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Times New Roman" w:cs="Times New Roman" w:eastAsia="Times New Roman" w:hAnsi="Times New Roman"/>
          <w:b w:val="1"/>
          <w:sz w:val="32"/>
          <w:szCs w:val="32"/>
        </w:rPr>
      </w:pPr>
      <w:bookmarkStart w:colFirst="0" w:colLast="0" w:name="_gjdgxs" w:id="0"/>
      <w:bookmarkEnd w:id="0"/>
      <w:r w:rsidDel="00000000" w:rsidR="00000000" w:rsidRPr="00000000">
        <w:rPr>
          <w:rFonts w:ascii="Times New Roman" w:cs="Times New Roman" w:eastAsia="Times New Roman" w:hAnsi="Times New Roman"/>
          <w:b w:val="1"/>
          <w:sz w:val="32"/>
          <w:szCs w:val="32"/>
          <w:rtl w:val="0"/>
        </w:rPr>
        <w:t xml:space="preserve">TÜRKİYE VARLIK FONU UYGULAMALARI VE SEÇİLMİŞ DİĞER ÜLKELERDEKİ VARLIK FONLARININ KARŞILAŞTIRILMASI</w:t>
      </w:r>
    </w:p>
    <w:p w:rsidR="00000000" w:rsidDel="00000000" w:rsidP="00000000" w:rsidRDefault="00000000" w:rsidRPr="00000000" w14:paraId="00000002">
      <w:pPr>
        <w:spacing w:after="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(TURKEY WEALTH FUND APPLICATIONS AND COMPARISON OF WEALTH FUNDS IN OTHER SELECTED COUNTRIES)</w:t>
      </w:r>
    </w:p>
    <w:p w:rsidR="00000000" w:rsidDel="00000000" w:rsidP="00000000" w:rsidRDefault="00000000" w:rsidRPr="00000000" w14:paraId="00000003">
      <w:pPr>
        <w:spacing w:after="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4">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1-Meryem TEKİN (Sorumlu yazar)</w:t>
      </w:r>
    </w:p>
    <w:p w:rsidR="00000000" w:rsidDel="00000000" w:rsidP="00000000" w:rsidRDefault="00000000" w:rsidRPr="00000000" w14:paraId="00000005">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İstanbul Arel Üniversitesi Lisansüstü Eğitim Enstitüsü Muhasebe ve Denetim Tezli Yüksek Lisans Öğrencisi</w:t>
      </w:r>
    </w:p>
    <w:p w:rsidR="00000000" w:rsidDel="00000000" w:rsidP="00000000" w:rsidRDefault="00000000" w:rsidRPr="00000000" w14:paraId="00000006">
      <w:pPr>
        <w:tabs>
          <w:tab w:val="left" w:pos="5970"/>
        </w:tabs>
        <w:spacing w:after="0" w:lineRule="auto"/>
        <w:jc w:val="center"/>
        <w:rPr>
          <w:rFonts w:ascii="Times New Roman" w:cs="Times New Roman" w:eastAsia="Times New Roman" w:hAnsi="Times New Roman"/>
          <w:b w:val="1"/>
          <w:sz w:val="24"/>
          <w:szCs w:val="24"/>
        </w:rPr>
      </w:pPr>
      <w:hyperlink r:id="rId6">
        <w:r w:rsidDel="00000000" w:rsidR="00000000" w:rsidRPr="00000000">
          <w:rPr>
            <w:rFonts w:ascii="Times New Roman" w:cs="Times New Roman" w:eastAsia="Times New Roman" w:hAnsi="Times New Roman"/>
            <w:b w:val="1"/>
            <w:color w:val="0000ff"/>
            <w:sz w:val="24"/>
            <w:szCs w:val="24"/>
            <w:u w:val="single"/>
            <w:rtl w:val="0"/>
          </w:rPr>
          <w:t xml:space="preserve">meryemtekin337@gmail.com</w:t>
        </w:r>
      </w:hyperlink>
      <w:r w:rsidDel="00000000" w:rsidR="00000000" w:rsidRPr="00000000">
        <w:rPr>
          <w:rtl w:val="0"/>
        </w:rPr>
      </w:r>
    </w:p>
    <w:p w:rsidR="00000000" w:rsidDel="00000000" w:rsidP="00000000" w:rsidRDefault="00000000" w:rsidRPr="00000000" w14:paraId="00000007">
      <w:pPr>
        <w:spacing w:after="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8">
      <w:pPr>
        <w:spacing w:after="0" w:lineRule="auto"/>
        <w:jc w:val="center"/>
        <w:rPr>
          <w:rFonts w:ascii="Times New Roman" w:cs="Times New Roman" w:eastAsia="Times New Roman" w:hAnsi="Times New Roman"/>
          <w:b w:val="1"/>
          <w:sz w:val="24"/>
          <w:szCs w:val="24"/>
        </w:rPr>
      </w:pPr>
      <w:bookmarkStart w:colFirst="0" w:colLast="0" w:name="_30j0zll" w:id="1"/>
      <w:bookmarkEnd w:id="1"/>
      <w:r w:rsidDel="00000000" w:rsidR="00000000" w:rsidRPr="00000000">
        <w:rPr>
          <w:rFonts w:ascii="Times New Roman" w:cs="Times New Roman" w:eastAsia="Times New Roman" w:hAnsi="Times New Roman"/>
          <w:b w:val="1"/>
          <w:sz w:val="24"/>
          <w:szCs w:val="24"/>
          <w:rtl w:val="0"/>
        </w:rPr>
        <w:t xml:space="preserve">2-Prof. Dr. Ayşe YİĞİT ŞAKAR</w:t>
      </w:r>
    </w:p>
    <w:p w:rsidR="00000000" w:rsidDel="00000000" w:rsidP="00000000" w:rsidRDefault="00000000" w:rsidRPr="00000000" w14:paraId="00000009">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İstanbul Arel Üniversitesi İşletme Bölümü</w:t>
      </w:r>
    </w:p>
    <w:p w:rsidR="00000000" w:rsidDel="00000000" w:rsidP="00000000" w:rsidRDefault="00000000" w:rsidRPr="00000000" w14:paraId="0000000A">
      <w:pPr>
        <w:tabs>
          <w:tab w:val="left" w:pos="5970"/>
        </w:tabs>
        <w:spacing w:after="0" w:lineRule="auto"/>
        <w:jc w:val="center"/>
        <w:rPr>
          <w:rFonts w:ascii="Times New Roman" w:cs="Times New Roman" w:eastAsia="Times New Roman" w:hAnsi="Times New Roman"/>
          <w:b w:val="1"/>
          <w:color w:val="0000ff"/>
          <w:sz w:val="24"/>
          <w:szCs w:val="24"/>
        </w:rPr>
      </w:pPr>
      <w:hyperlink r:id="rId7">
        <w:r w:rsidDel="00000000" w:rsidR="00000000" w:rsidRPr="00000000">
          <w:rPr>
            <w:rFonts w:ascii="Times New Roman" w:cs="Times New Roman" w:eastAsia="Times New Roman" w:hAnsi="Times New Roman"/>
            <w:b w:val="1"/>
            <w:color w:val="0000ff"/>
            <w:sz w:val="24"/>
            <w:szCs w:val="24"/>
            <w:u w:val="single"/>
            <w:rtl w:val="0"/>
          </w:rPr>
          <w:t xml:space="preserve">aysesakar@arel.edu.tr</w:t>
        </w:r>
      </w:hyperlink>
      <w:r w:rsidDel="00000000" w:rsidR="00000000" w:rsidRPr="00000000">
        <w:rPr>
          <w:rtl w:val="0"/>
        </w:rPr>
      </w:r>
    </w:p>
    <w:p w:rsidR="00000000" w:rsidDel="00000000" w:rsidP="00000000" w:rsidRDefault="00000000" w:rsidRPr="00000000" w14:paraId="0000000B">
      <w:pPr>
        <w:spacing w:after="0" w:lineRule="auto"/>
        <w:jc w:val="center"/>
        <w:rPr>
          <w:rFonts w:ascii="Times New Roman" w:cs="Times New Roman" w:eastAsia="Times New Roman" w:hAnsi="Times New Roman"/>
          <w:b w:val="1"/>
          <w:color w:val="0000ff"/>
          <w:sz w:val="24"/>
          <w:szCs w:val="24"/>
        </w:rPr>
      </w:pPr>
      <w:r w:rsidDel="00000000" w:rsidR="00000000" w:rsidRPr="00000000">
        <w:rPr>
          <w:rtl w:val="0"/>
        </w:rPr>
      </w:r>
    </w:p>
    <w:p w:rsidR="00000000" w:rsidDel="00000000" w:rsidP="00000000" w:rsidRDefault="00000000" w:rsidRPr="00000000" w14:paraId="0000000C">
      <w:pPr>
        <w:spacing w:after="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ÖZET</w:t>
      </w:r>
    </w:p>
    <w:p w:rsidR="00000000" w:rsidDel="00000000" w:rsidP="00000000" w:rsidRDefault="00000000" w:rsidRPr="00000000" w14:paraId="0000000D">
      <w:pPr>
        <w:spacing w:after="0" w:lineRule="auto"/>
        <w:ind w:left="1417" w:right="1417" w:firstLine="0"/>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E">
      <w:pPr>
        <w:spacing w:after="0" w:lineRule="auto"/>
        <w:jc w:val="both"/>
        <w:rPr>
          <w:rFonts w:ascii="Times New Roman" w:cs="Times New Roman" w:eastAsia="Times New Roman" w:hAnsi="Times New Roman"/>
          <w:sz w:val="20"/>
          <w:szCs w:val="20"/>
        </w:rPr>
      </w:pPr>
      <w:bookmarkStart w:colFirst="0" w:colLast="0" w:name="_1fob9te" w:id="2"/>
      <w:bookmarkEnd w:id="2"/>
      <w:r w:rsidDel="00000000" w:rsidR="00000000" w:rsidRPr="00000000">
        <w:rPr>
          <w:rFonts w:ascii="Times New Roman" w:cs="Times New Roman" w:eastAsia="Times New Roman" w:hAnsi="Times New Roman"/>
          <w:sz w:val="20"/>
          <w:szCs w:val="20"/>
          <w:rtl w:val="0"/>
        </w:rPr>
        <w:t xml:space="preserve">Varlık Fonu’nun geçmişi 1950’li yıllara dayanmaktadır. Varlık Fonları, devlet tarafından yönetilen en önemli yatırım araçlarından birisidir. Ülkelerin varlık fonu ve kaynak yönetiminin daha etkin olabilmesi için stratejik hedeflerin gerçekleştirilmesine yönelik kendi varlık fonlarına önemli misyonlar ve görevler yükletmektedir. Türkiye Varlık Fonu, Anonim Şirket nezdinde 2016 yılında kurulmuştur. Türkiye Varlık Fonu Anonim Şirketi’nin kurulması ile Bazı Kanunlarda Değişiklik Yapılmasına Dair Kanun, 26 Ağustos 2016 tarihinde Resmi Gazetede yayımlanarak yürürlüğe girmiştir. Yeni kurulan Türkiye Varlık Fonu’nun nasıl oluştuğu ne gibi faaliyetler yaptığı merak konusu olmuştur. Bu çalışmada TVF ile dünyadaki seçilmiş 5 farklı ülkedeki (Norveç, Çin, Birleşik Arap Emirlikleri, Singapur ve Katar) varlık fonları uygulamalarının karşılaştırılması ve değerlendirilmesi amaçlanmıştır. Türkiye Varlık Fonu’nun kuruluş öncesinde teorik olarak çok fazla incelenmediği, yeterli araştırma ve tartışmaların yapılmadığı eleştiri almış ve incelenmesi gerekli konulardan birisi haline gelmiştir. TVF, seçilen çeşitli ülkelerdeki varlık fonlarından birçok noktada farklılaşmaktadır. Türkiye’nin doğal kaynaklarından petrol, doğalgaz gibi emtiayı ihraç ederek kazandığı gelirlerle bir cari fazlası olmadığı gibi, devletin bütçe fazlalığı veya bir kamu emeklilik sisteminin olmaması diğer varlık fonlarından ayıran en önemli özelliğidir. Araştırılan diğer varlık fonlarından emtia kaynaklı petrol ve doğalgaz gelirlerinden oluşan ülke varlık fonu örnekleri Birleşik Arap Emirlikleri, Katar ve Norveç’tir. Çalışmaya konu olan kaynağı dış ticaret fazlası ve özelleştirme gelirlerinden oluşan emtia dışı ülke varlık fonu örnekleri ise Çin ve Sinagapur’ dur. Türkiye’de yeteri düzeyde tasarruf fazlalığı veya dış ticaret işlemlerinden oluşan bir cari fazlalığı da bulunmamaktadır. Türkiye Varlık Fonu’nun oluşum kaynağı ise özelleştirme gelirlerinden, şirkete devredilen kamu kurum ve şirket hisseleri ve TVF’ ye aktarılan gayrimenkullerden oluşmaktadır. Bu durumda Türkiye Varlık Fonu geleneksel varlık fonlarından farklılık göstermesi nedeniyle araştırılması açısından incelenmeye değer bir konu olmuştur.</w:t>
      </w:r>
    </w:p>
    <w:p w:rsidR="00000000" w:rsidDel="00000000" w:rsidP="00000000" w:rsidRDefault="00000000" w:rsidRPr="00000000" w14:paraId="0000000F">
      <w:pPr>
        <w:spacing w:after="0" w:lineRule="auto"/>
        <w:ind w:left="1417" w:right="1417"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spacing w:after="0" w:lineRule="auto"/>
        <w:ind w:left="1417" w:right="1417" w:hanging="141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Anahtar Kelimeler:</w:t>
      </w:r>
      <w:r w:rsidDel="00000000" w:rsidR="00000000" w:rsidRPr="00000000">
        <w:rPr>
          <w:rFonts w:ascii="Times New Roman" w:cs="Times New Roman" w:eastAsia="Times New Roman" w:hAnsi="Times New Roman"/>
          <w:sz w:val="20"/>
          <w:szCs w:val="20"/>
          <w:rtl w:val="0"/>
        </w:rPr>
        <w:t xml:space="preserve"> Türkiye Varlık Fonu, Türkiye Varlık Fonu Anonim Şirketi, Varlık Fonu</w:t>
      </w:r>
    </w:p>
    <w:p w:rsidR="00000000" w:rsidDel="00000000" w:rsidP="00000000" w:rsidRDefault="00000000" w:rsidRPr="00000000" w14:paraId="00000011">
      <w:pPr>
        <w:spacing w:after="0" w:lineRule="auto"/>
        <w:ind w:left="1417" w:right="1417"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2">
      <w:pPr>
        <w:spacing w:after="0" w:lineRule="auto"/>
        <w:ind w:right="1417"/>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ABSTRACT</w:t>
      </w:r>
      <w:r w:rsidDel="00000000" w:rsidR="00000000" w:rsidRPr="00000000">
        <w:rPr>
          <w:rtl w:val="0"/>
        </w:rPr>
      </w:r>
    </w:p>
    <w:p w:rsidR="00000000" w:rsidDel="00000000" w:rsidP="00000000" w:rsidRDefault="00000000" w:rsidRPr="00000000" w14:paraId="00000013">
      <w:pPr>
        <w:spacing w:after="0" w:lineRule="auto"/>
        <w:jc w:val="both"/>
        <w:rPr>
          <w:rFonts w:ascii="Times New Roman" w:cs="Times New Roman" w:eastAsia="Times New Roman" w:hAnsi="Times New Roman"/>
          <w:sz w:val="20"/>
          <w:szCs w:val="20"/>
        </w:rPr>
      </w:pPr>
      <w:r w:rsidDel="00000000" w:rsidR="00000000" w:rsidRPr="00000000">
        <w:rPr>
          <w:sz w:val="20"/>
          <w:szCs w:val="20"/>
          <w:rtl w:val="0"/>
        </w:rPr>
        <w:t xml:space="preserve">The history of the Wealth Fund dates back to the 1950s. Wealth Funds are one of the most important investment instruments managed by the state. In order for countries to be more effective in wealth fund and resource management, it imposes important missions and duties on their own wealth funds for the realization of strategic goals. Turkey Wealth Fund was established in 2016 under the auspices of a joint stock company. The Law on the Establishment of Turkey Wealth Fund Joint Stock Company and the Amendment of Certain Laws was published in the Official Gazette on 26 August 2016 and entered into force. It has been a matter of curiosity how the newly established Turkey Wealth Fund was formed and what kind of activities it carries out. In this study, it is aimed to compare and evaluate the practices of wealth funds in 5 different countries (Norway, China, United Arab Emirates, Singapore and Qatar) with TVF. Turkey Wealth Fund has been criticized for not being examined much theoretically before its establishment, that adequate research and discussions have not been carried out, and has become one of the issues that need to be examined. The TWF differs from sovereign wealth funds in various selected countries on many points. While Turkey does not have a current account surplus with the revenues it earns by exporting commodities such as oil and natural gas from its natural resources, the state's budget surplus or the lack of a public pension system is the most important feature that distinguishes it from other wealth funds. Examples of sovereign sovereign wealth funds, consisting of commodity-derived oil and gas revenues from other wealth funds explored, are the United Arab Emirates, Qatar and Norway. Examples of non-commodity sovereign wealth funds, the source of which is the subject of the study, consisting of foreign trade surplus and privatization revenues, are China and Singapore. There is also no sufficient savings surplus or a current account surplus consisting of foreign trade transactions in Turkey. The source of formation of the Turkey Wealth Fund consists of privatization revenues, shares of public institutions and companies transferred to the company and real estate transferred to the TVF. In this case, the Turkey Wealth Fund has become a subject worth examining in terms of its research because it differs from traditional wealth funds.</w:t>
      </w:r>
      <w:r w:rsidDel="00000000" w:rsidR="00000000" w:rsidRPr="00000000">
        <w:rPr>
          <w:rtl w:val="0"/>
        </w:rPr>
      </w:r>
    </w:p>
    <w:p w:rsidR="00000000" w:rsidDel="00000000" w:rsidP="00000000" w:rsidRDefault="00000000" w:rsidRPr="00000000" w14:paraId="00000014">
      <w:pPr>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5">
      <w:pPr>
        <w:spacing w:after="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6">
      <w:pPr>
        <w:spacing w:after="0" w:lineRule="auto"/>
        <w:jc w:val="both"/>
        <w:rPr>
          <w:rFonts w:ascii="Times New Roman" w:cs="Times New Roman" w:eastAsia="Times New Roman" w:hAnsi="Times New Roman"/>
          <w:sz w:val="20"/>
          <w:szCs w:val="20"/>
        </w:rPr>
      </w:pPr>
      <w:r w:rsidDel="00000000" w:rsidR="00000000" w:rsidRPr="00000000">
        <w:rPr>
          <w:b w:val="1"/>
          <w:sz w:val="20"/>
          <w:szCs w:val="20"/>
          <w:rtl w:val="0"/>
        </w:rPr>
        <w:t xml:space="preserve">Keywords : Turkey Wealth</w:t>
      </w:r>
      <w:r w:rsidDel="00000000" w:rsidR="00000000" w:rsidRPr="00000000">
        <w:rPr>
          <w:sz w:val="20"/>
          <w:szCs w:val="20"/>
          <w:rtl w:val="0"/>
        </w:rPr>
        <w:t xml:space="preserve"> Fund, Turkey Wealth Fund Joint Stock Company, Wealth Fund</w:t>
      </w:r>
      <w:r w:rsidDel="00000000" w:rsidR="00000000" w:rsidRPr="00000000">
        <w:rPr>
          <w:rtl w:val="0"/>
        </w:rPr>
      </w:r>
    </w:p>
    <w:p w:rsidR="00000000" w:rsidDel="00000000" w:rsidP="00000000" w:rsidRDefault="00000000" w:rsidRPr="00000000" w14:paraId="00000017">
      <w:pPr>
        <w:spacing w:after="0" w:lineRule="auto"/>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8">
      <w:pPr>
        <w:spacing w:after="0" w:lineRule="auto"/>
        <w:ind w:left="1417" w:right="1417" w:firstLine="0"/>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9">
      <w:pPr>
        <w:spacing w:after="0" w:lineRule="auto"/>
        <w:ind w:left="1417" w:right="1417"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after="0" w:lineRule="auto"/>
        <w:ind w:left="1417" w:right="1417" w:firstLine="0"/>
        <w:jc w:val="both"/>
        <w:rPr>
          <w:rFonts w:ascii="Times New Roman" w:cs="Times New Roman" w:eastAsia="Times New Roman" w:hAnsi="Times New Roman"/>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eryemtekin337@gmail.com" TargetMode="External"/><Relationship Id="rId7" Type="http://schemas.openxmlformats.org/officeDocument/2006/relationships/hyperlink" Target="mailto:aysesakar@arel.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