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8FAA94" w14:textId="270141F2" w:rsidR="00E25067" w:rsidRPr="0097784A" w:rsidRDefault="00BC1252" w:rsidP="00BC1252">
      <w:pPr>
        <w:jc w:val="center"/>
        <w:rPr>
          <w:rFonts w:ascii="Times New Roman" w:hAnsi="Times New Roman" w:cs="Times New Roman"/>
          <w:b/>
          <w:bCs/>
          <w:color w:val="000000" w:themeColor="text1"/>
          <w:sz w:val="28"/>
          <w:szCs w:val="28"/>
          <w:lang w:val="en-US"/>
        </w:rPr>
      </w:pPr>
      <w:r w:rsidRPr="00BC1252">
        <w:rPr>
          <w:rFonts w:ascii="Times New Roman" w:hAnsi="Times New Roman" w:cs="Times New Roman"/>
          <w:b/>
          <w:bCs/>
          <w:sz w:val="28"/>
          <w:szCs w:val="28"/>
          <w:lang w:val="en-US"/>
        </w:rPr>
        <w:t xml:space="preserve">Impact of </w:t>
      </w:r>
      <w:proofErr w:type="spellStart"/>
      <w:r w:rsidRPr="00BC1252">
        <w:rPr>
          <w:rFonts w:ascii="Times New Roman" w:hAnsi="Times New Roman" w:cs="Times New Roman"/>
          <w:b/>
          <w:bCs/>
          <w:sz w:val="28"/>
          <w:szCs w:val="28"/>
          <w:lang w:val="en-US"/>
        </w:rPr>
        <w:t>Cefotaxime</w:t>
      </w:r>
      <w:proofErr w:type="spellEnd"/>
      <w:r w:rsidRPr="00BC1252">
        <w:rPr>
          <w:rFonts w:ascii="Times New Roman" w:hAnsi="Times New Roman" w:cs="Times New Roman"/>
          <w:b/>
          <w:bCs/>
          <w:sz w:val="28"/>
          <w:szCs w:val="28"/>
          <w:lang w:val="en-US"/>
        </w:rPr>
        <w:t xml:space="preserve"> on Hepatic Enzymes and </w:t>
      </w:r>
      <w:r>
        <w:rPr>
          <w:rFonts w:ascii="Times New Roman" w:hAnsi="Times New Roman" w:cs="Times New Roman"/>
          <w:b/>
          <w:bCs/>
          <w:sz w:val="28"/>
          <w:szCs w:val="28"/>
          <w:lang w:val="en-US"/>
        </w:rPr>
        <w:t>S</w:t>
      </w:r>
      <w:r w:rsidRPr="00BC1252">
        <w:rPr>
          <w:rFonts w:ascii="Times New Roman" w:hAnsi="Times New Roman" w:cs="Times New Roman"/>
          <w:b/>
          <w:bCs/>
          <w:sz w:val="28"/>
          <w:szCs w:val="28"/>
          <w:lang w:val="en-US"/>
        </w:rPr>
        <w:t>ome  Laboratory Parameters</w:t>
      </w:r>
    </w:p>
    <w:p w14:paraId="258FD8F8" w14:textId="009086B9" w:rsidR="00E25067" w:rsidRPr="0097784A" w:rsidRDefault="00143772" w:rsidP="00143772">
      <w:pPr>
        <w:jc w:val="center"/>
        <w:rPr>
          <w:rFonts w:cstheme="minorHAnsi"/>
          <w:b/>
          <w:color w:val="000000" w:themeColor="text1"/>
          <w:vertAlign w:val="superscript"/>
        </w:rPr>
      </w:pPr>
      <w:r w:rsidRPr="00143772">
        <w:rPr>
          <w:rFonts w:ascii="Times New Roman" w:hAnsi="Times New Roman" w:cs="Times New Roman"/>
          <w:b/>
          <w:i/>
          <w:color w:val="000000" w:themeColor="text1"/>
          <w:u w:val="single"/>
        </w:rPr>
        <w:t>Zainab Falih ALKHAZAALI</w:t>
      </w:r>
      <w:r w:rsidR="00E25067" w:rsidRPr="00143772">
        <w:rPr>
          <w:rFonts w:ascii="Times New Roman" w:hAnsi="Times New Roman" w:cs="Times New Roman"/>
          <w:b/>
          <w:i/>
          <w:color w:val="000000" w:themeColor="text1"/>
          <w:u w:val="single"/>
          <w:vertAlign w:val="superscript"/>
        </w:rPr>
        <w:t>1</w:t>
      </w:r>
      <w:r>
        <w:rPr>
          <w:rFonts w:ascii="Times New Roman" w:hAnsi="Times New Roman" w:cs="Times New Roman"/>
          <w:b/>
          <w:i/>
          <w:color w:val="000000" w:themeColor="text1"/>
          <w:u w:val="single"/>
          <w:vertAlign w:val="superscript"/>
        </w:rPr>
        <w:t>(A,B)</w:t>
      </w:r>
      <w:r w:rsidR="00296EE9" w:rsidRPr="0097784A">
        <w:rPr>
          <w:rStyle w:val="af"/>
          <w:rFonts w:ascii="Times New Roman" w:hAnsi="Times New Roman"/>
          <w:b/>
          <w:i/>
          <w:color w:val="000000" w:themeColor="text1"/>
        </w:rPr>
        <w:footnoteReference w:customMarkFollows="1" w:id="1"/>
        <w:sym w:font="Symbol" w:char="F02A"/>
      </w:r>
      <w:r w:rsidR="00296EE9" w:rsidRPr="0097784A">
        <w:rPr>
          <w:rFonts w:ascii="Times New Roman" w:hAnsi="Times New Roman" w:cs="Times New Roman"/>
          <w:b/>
          <w:i/>
          <w:color w:val="000000" w:themeColor="text1"/>
          <w:vertAlign w:val="superscript"/>
        </w:rPr>
        <w:t xml:space="preserve"> </w:t>
      </w:r>
      <w:r w:rsidR="00E25067" w:rsidRPr="0097784A">
        <w:rPr>
          <w:rFonts w:ascii="Times New Roman" w:hAnsi="Times New Roman" w:cs="Times New Roman"/>
          <w:b/>
          <w:i/>
          <w:noProof/>
          <w:color w:val="000000" w:themeColor="text1"/>
          <w:lang w:val="en-US"/>
        </w:rPr>
        <w:drawing>
          <wp:inline distT="0" distB="0" distL="0" distR="0" wp14:anchorId="7A5A7D31" wp14:editId="05A2D15C">
            <wp:extent cx="155575" cy="155575"/>
            <wp:effectExtent l="0" t="0" r="0" b="0"/>
            <wp:docPr id="10" name="Resim 10"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r>
        <w:rPr>
          <w:rFonts w:ascii="Times New Roman" w:hAnsi="Times New Roman" w:cs="Times New Roman"/>
          <w:b/>
          <w:i/>
          <w:color w:val="000000" w:themeColor="text1"/>
        </w:rPr>
        <w:t>Zeyad Adil HAMEED</w:t>
      </w:r>
      <w:r w:rsidRPr="00143772">
        <w:rPr>
          <w:rFonts w:ascii="Times New Roman" w:hAnsi="Times New Roman" w:cs="Times New Roman"/>
          <w:b/>
          <w:i/>
          <w:color w:val="000000" w:themeColor="text1"/>
          <w:vertAlign w:val="superscript"/>
        </w:rPr>
        <w:t>3</w:t>
      </w:r>
      <w:r w:rsidR="00E25067" w:rsidRPr="0097784A">
        <w:rPr>
          <w:rFonts w:ascii="Times New Roman" w:hAnsi="Times New Roman" w:cs="Times New Roman"/>
          <w:b/>
          <w:i/>
          <w:noProof/>
          <w:color w:val="000000" w:themeColor="text1"/>
          <w:lang w:val="en-US"/>
        </w:rPr>
        <w:drawing>
          <wp:inline distT="0" distB="0" distL="0" distR="0" wp14:anchorId="17C50153" wp14:editId="1DF1C5EB">
            <wp:extent cx="155575" cy="155575"/>
            <wp:effectExtent l="0" t="0" r="0" b="0"/>
            <wp:docPr id="12" name="Resim 12"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r w:rsidR="00E25067" w:rsidRPr="0097784A">
        <w:rPr>
          <w:rFonts w:cstheme="minorHAnsi"/>
          <w:b/>
          <w:i/>
          <w:color w:val="000000" w:themeColor="text1"/>
        </w:rPr>
        <w:t xml:space="preserve">, </w:t>
      </w:r>
      <w:proofErr w:type="spellStart"/>
      <w:r w:rsidRPr="00143772">
        <w:rPr>
          <w:rFonts w:ascii="Times New Roman" w:hAnsi="Times New Roman" w:cs="Times New Roman"/>
          <w:b/>
          <w:i/>
          <w:color w:val="000000" w:themeColor="text1"/>
          <w:lang w:val="en-US"/>
        </w:rPr>
        <w:t>Şevki</w:t>
      </w:r>
      <w:proofErr w:type="spellEnd"/>
      <w:r w:rsidRPr="00143772">
        <w:rPr>
          <w:rFonts w:ascii="Times New Roman" w:hAnsi="Times New Roman" w:cs="Times New Roman"/>
          <w:b/>
          <w:i/>
          <w:color w:val="000000" w:themeColor="text1"/>
          <w:lang w:val="en-US"/>
        </w:rPr>
        <w:t xml:space="preserve"> ADIM </w:t>
      </w:r>
      <w:r>
        <w:rPr>
          <w:rFonts w:ascii="Times New Roman" w:hAnsi="Times New Roman" w:cs="Times New Roman"/>
          <w:b/>
          <w:i/>
          <w:color w:val="000000" w:themeColor="text1"/>
          <w:vertAlign w:val="superscript"/>
        </w:rPr>
        <w:t>4</w:t>
      </w:r>
      <w:r w:rsidR="00E25067" w:rsidRPr="0097784A">
        <w:rPr>
          <w:rFonts w:ascii="Times New Roman" w:hAnsi="Times New Roman" w:cs="Times New Roman"/>
          <w:b/>
          <w:i/>
          <w:noProof/>
          <w:color w:val="000000" w:themeColor="text1"/>
          <w:lang w:val="en-US"/>
        </w:rPr>
        <w:drawing>
          <wp:inline distT="0" distB="0" distL="0" distR="0" wp14:anchorId="0A02E53B" wp14:editId="7D134B2C">
            <wp:extent cx="155575" cy="155575"/>
            <wp:effectExtent l="0" t="0" r="0" b="0"/>
            <wp:docPr id="13" name="Resim 13"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E25067" w:rsidRPr="0097784A">
        <w:rPr>
          <w:rFonts w:cstheme="minorHAnsi"/>
          <w:b/>
          <w:i/>
          <w:color w:val="000000" w:themeColor="text1"/>
          <w:vertAlign w:val="superscript"/>
        </w:rPr>
        <w:t xml:space="preserve"> </w:t>
      </w:r>
    </w:p>
    <w:p w14:paraId="772865BD" w14:textId="77777777" w:rsidR="00143772" w:rsidRPr="00143772" w:rsidRDefault="00E25067" w:rsidP="00143772">
      <w:pPr>
        <w:autoSpaceDE w:val="0"/>
        <w:autoSpaceDN w:val="0"/>
        <w:spacing w:before="120" w:after="0"/>
        <w:jc w:val="center"/>
        <w:rPr>
          <w:rFonts w:ascii="Times New Roman" w:eastAsia="MS Mincho" w:hAnsi="Times New Roman" w:cs="Times New Roman"/>
          <w:i/>
          <w:iCs/>
          <w:sz w:val="18"/>
          <w:szCs w:val="18"/>
          <w:lang w:val="en-US"/>
        </w:rPr>
      </w:pPr>
      <w:r w:rsidRPr="0097784A">
        <w:rPr>
          <w:rFonts w:ascii="Times New Roman" w:hAnsi="Times New Roman" w:cs="Times New Roman"/>
          <w:i/>
          <w:color w:val="000000" w:themeColor="text1"/>
          <w:sz w:val="18"/>
          <w:szCs w:val="18"/>
          <w:vertAlign w:val="superscript"/>
        </w:rPr>
        <w:t>1</w:t>
      </w:r>
      <w:r w:rsidR="00B11128" w:rsidRPr="00B11128">
        <w:rPr>
          <w:rFonts w:ascii="Times New Roman" w:eastAsia="MS Mincho" w:hAnsi="Times New Roman" w:cs="Times New Roman"/>
          <w:i/>
          <w:iCs/>
          <w:sz w:val="18"/>
          <w:szCs w:val="18"/>
        </w:rPr>
        <w:t xml:space="preserve"> </w:t>
      </w:r>
      <w:proofErr w:type="spellStart"/>
      <w:r w:rsidR="00143772" w:rsidRPr="00143772">
        <w:rPr>
          <w:rFonts w:ascii="Times New Roman" w:eastAsia="MS Mincho" w:hAnsi="Times New Roman" w:cs="Times New Roman"/>
          <w:i/>
          <w:iCs/>
          <w:sz w:val="18"/>
          <w:szCs w:val="18"/>
          <w:vertAlign w:val="superscript"/>
          <w:lang w:val="en-US"/>
        </w:rPr>
        <w:t>A</w:t>
      </w:r>
      <w:r w:rsidR="00143772" w:rsidRPr="00143772">
        <w:rPr>
          <w:rFonts w:ascii="Times New Roman" w:eastAsia="MS Mincho" w:hAnsi="Times New Roman" w:cs="Times New Roman"/>
          <w:i/>
          <w:iCs/>
          <w:sz w:val="18"/>
          <w:szCs w:val="18"/>
          <w:lang w:val="en-US"/>
        </w:rPr>
        <w:t>Department</w:t>
      </w:r>
      <w:proofErr w:type="spellEnd"/>
      <w:r w:rsidR="00143772" w:rsidRPr="00143772">
        <w:rPr>
          <w:rFonts w:ascii="Times New Roman" w:eastAsia="MS Mincho" w:hAnsi="Times New Roman" w:cs="Times New Roman"/>
          <w:i/>
          <w:iCs/>
          <w:sz w:val="18"/>
          <w:szCs w:val="18"/>
          <w:lang w:val="en-US"/>
        </w:rPr>
        <w:t xml:space="preserve"> of Chemistry Sciences, School of Natural and Applied Sciences, </w:t>
      </w:r>
      <w:proofErr w:type="spellStart"/>
      <w:r w:rsidR="00143772" w:rsidRPr="00143772">
        <w:rPr>
          <w:rFonts w:ascii="Times New Roman" w:eastAsia="MS Mincho" w:hAnsi="Times New Roman" w:cs="Times New Roman"/>
          <w:i/>
          <w:iCs/>
          <w:sz w:val="18"/>
          <w:szCs w:val="18"/>
          <w:lang w:val="en-US"/>
        </w:rPr>
        <w:t>Çankiri</w:t>
      </w:r>
      <w:proofErr w:type="spellEnd"/>
      <w:r w:rsidR="00143772" w:rsidRPr="00143772">
        <w:rPr>
          <w:rFonts w:ascii="Times New Roman" w:eastAsia="MS Mincho" w:hAnsi="Times New Roman" w:cs="Times New Roman"/>
          <w:i/>
          <w:iCs/>
          <w:sz w:val="18"/>
          <w:szCs w:val="18"/>
          <w:lang w:val="en-US"/>
        </w:rPr>
        <w:t xml:space="preserve"> </w:t>
      </w:r>
      <w:proofErr w:type="spellStart"/>
      <w:r w:rsidR="00143772" w:rsidRPr="00143772">
        <w:rPr>
          <w:rFonts w:ascii="Times New Roman" w:eastAsia="MS Mincho" w:hAnsi="Times New Roman" w:cs="Times New Roman"/>
          <w:i/>
          <w:iCs/>
          <w:sz w:val="18"/>
          <w:szCs w:val="18"/>
          <w:lang w:val="en-US"/>
        </w:rPr>
        <w:t>Karatekin</w:t>
      </w:r>
      <w:proofErr w:type="spellEnd"/>
      <w:r w:rsidR="00143772" w:rsidRPr="00143772">
        <w:rPr>
          <w:rFonts w:ascii="Times New Roman" w:eastAsia="MS Mincho" w:hAnsi="Times New Roman" w:cs="Times New Roman"/>
          <w:i/>
          <w:iCs/>
          <w:sz w:val="18"/>
          <w:szCs w:val="18"/>
          <w:lang w:val="en-US"/>
        </w:rPr>
        <w:t xml:space="preserve"> University, Iraq.</w:t>
      </w:r>
    </w:p>
    <w:p w14:paraId="6875F911" w14:textId="63D3F2B4" w:rsidR="00B11128" w:rsidRPr="006E46CE" w:rsidRDefault="00143772" w:rsidP="00143772">
      <w:pPr>
        <w:autoSpaceDE w:val="0"/>
        <w:autoSpaceDN w:val="0"/>
        <w:spacing w:before="120" w:after="0"/>
        <w:jc w:val="center"/>
        <w:rPr>
          <w:rFonts w:ascii="Times New Roman" w:hAnsi="Times New Roman" w:cs="Times New Roman"/>
          <w:b/>
          <w:i/>
          <w:sz w:val="18"/>
          <w:szCs w:val="18"/>
        </w:rPr>
      </w:pPr>
      <w:proofErr w:type="spellStart"/>
      <w:r w:rsidRPr="00143772">
        <w:rPr>
          <w:rFonts w:ascii="Times New Roman" w:eastAsia="MS Mincho" w:hAnsi="Times New Roman" w:cs="Times New Roman"/>
          <w:bCs/>
          <w:i/>
          <w:iCs/>
          <w:sz w:val="18"/>
          <w:szCs w:val="18"/>
          <w:vertAlign w:val="superscript"/>
          <w:lang w:val="en-US"/>
        </w:rPr>
        <w:t>B</w:t>
      </w:r>
      <w:r w:rsidRPr="00143772">
        <w:rPr>
          <w:rFonts w:ascii="Times New Roman" w:eastAsia="MS Mincho" w:hAnsi="Times New Roman" w:cs="Times New Roman"/>
          <w:bCs/>
          <w:i/>
          <w:iCs/>
          <w:sz w:val="18"/>
          <w:szCs w:val="18"/>
          <w:lang w:val="en-US"/>
        </w:rPr>
        <w:t>Ibn</w:t>
      </w:r>
      <w:proofErr w:type="spellEnd"/>
      <w:r w:rsidRPr="00143772">
        <w:rPr>
          <w:rFonts w:ascii="Times New Roman" w:eastAsia="MS Mincho" w:hAnsi="Times New Roman" w:cs="Times New Roman"/>
          <w:bCs/>
          <w:i/>
          <w:iCs/>
          <w:sz w:val="18"/>
          <w:szCs w:val="18"/>
          <w:lang w:val="en-US"/>
        </w:rPr>
        <w:t xml:space="preserve"> </w:t>
      </w:r>
      <w:proofErr w:type="spellStart"/>
      <w:r w:rsidRPr="00143772">
        <w:rPr>
          <w:rFonts w:ascii="Times New Roman" w:eastAsia="MS Mincho" w:hAnsi="Times New Roman" w:cs="Times New Roman"/>
          <w:bCs/>
          <w:i/>
          <w:iCs/>
          <w:sz w:val="18"/>
          <w:szCs w:val="18"/>
          <w:lang w:val="en-US"/>
        </w:rPr>
        <w:t>Sina</w:t>
      </w:r>
      <w:proofErr w:type="spellEnd"/>
      <w:r w:rsidRPr="00143772">
        <w:rPr>
          <w:rFonts w:ascii="Times New Roman" w:eastAsia="MS Mincho" w:hAnsi="Times New Roman" w:cs="Times New Roman"/>
          <w:bCs/>
          <w:i/>
          <w:iCs/>
          <w:sz w:val="18"/>
          <w:szCs w:val="18"/>
          <w:lang w:val="en-US"/>
        </w:rPr>
        <w:t xml:space="preserve"> University for Medical and Pharmaceutical Sciences</w:t>
      </w:r>
    </w:p>
    <w:p w14:paraId="475A7B5C" w14:textId="6299E327" w:rsidR="00B11128" w:rsidRPr="00B7076A" w:rsidRDefault="00B11128" w:rsidP="00143772">
      <w:pPr>
        <w:autoSpaceDE w:val="0"/>
        <w:autoSpaceDN w:val="0"/>
        <w:spacing w:before="120" w:after="0"/>
        <w:jc w:val="center"/>
        <w:rPr>
          <w:rFonts w:ascii="Times New Roman" w:hAnsi="Times New Roman" w:cs="Times New Roman"/>
          <w:sz w:val="18"/>
          <w:szCs w:val="18"/>
        </w:rPr>
      </w:pPr>
      <w:r w:rsidRPr="006E46CE">
        <w:rPr>
          <w:rFonts w:ascii="Times New Roman" w:eastAsia="MS Mincho" w:hAnsi="Times New Roman" w:cs="Times New Roman"/>
          <w:i/>
          <w:iCs/>
          <w:sz w:val="18"/>
          <w:szCs w:val="18"/>
          <w:vertAlign w:val="superscript"/>
        </w:rPr>
        <w:t>2</w:t>
      </w:r>
      <w:r w:rsidR="00143772" w:rsidRPr="00143772">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00143772" w:rsidRPr="00143772">
        <w:rPr>
          <w:rFonts w:ascii="Times New Roman" w:eastAsia="MS Mincho" w:hAnsi="Times New Roman" w:cs="Times New Roman"/>
          <w:i/>
          <w:iCs/>
          <w:sz w:val="18"/>
          <w:szCs w:val="18"/>
          <w:lang w:val="en-US"/>
        </w:rPr>
        <w:t>Çankiri</w:t>
      </w:r>
      <w:proofErr w:type="spellEnd"/>
      <w:r w:rsidR="00143772" w:rsidRPr="00143772">
        <w:rPr>
          <w:rFonts w:ascii="Times New Roman" w:eastAsia="MS Mincho" w:hAnsi="Times New Roman" w:cs="Times New Roman"/>
          <w:i/>
          <w:iCs/>
          <w:sz w:val="18"/>
          <w:szCs w:val="18"/>
          <w:lang w:val="en-US"/>
        </w:rPr>
        <w:t xml:space="preserve"> </w:t>
      </w:r>
      <w:proofErr w:type="spellStart"/>
      <w:r w:rsidR="00143772" w:rsidRPr="00143772">
        <w:rPr>
          <w:rFonts w:ascii="Times New Roman" w:eastAsia="MS Mincho" w:hAnsi="Times New Roman" w:cs="Times New Roman"/>
          <w:i/>
          <w:iCs/>
          <w:sz w:val="18"/>
          <w:szCs w:val="18"/>
          <w:lang w:val="en-US"/>
        </w:rPr>
        <w:t>Karatekin</w:t>
      </w:r>
      <w:proofErr w:type="spellEnd"/>
      <w:r w:rsidR="00143772" w:rsidRPr="00143772">
        <w:rPr>
          <w:rFonts w:ascii="Times New Roman" w:eastAsia="MS Mincho" w:hAnsi="Times New Roman" w:cs="Times New Roman"/>
          <w:i/>
          <w:iCs/>
          <w:sz w:val="18"/>
          <w:szCs w:val="18"/>
          <w:lang w:val="en-US"/>
        </w:rPr>
        <w:t xml:space="preserve"> University, Iraq</w:t>
      </w:r>
    </w:p>
    <w:p w14:paraId="5A2B0A62" w14:textId="2BAFD7BD" w:rsidR="00B11128" w:rsidRPr="00B7076A" w:rsidRDefault="00B11128" w:rsidP="00143772">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143772" w:rsidRPr="00143772">
        <w:rPr>
          <w:rFonts w:ascii="Times New Roman" w:eastAsia="MS Mincho" w:hAnsi="Times New Roman" w:cs="Times New Roman"/>
          <w:i/>
          <w:iCs/>
          <w:sz w:val="18"/>
          <w:szCs w:val="18"/>
          <w:lang w:val="en-US"/>
        </w:rPr>
        <w:t xml:space="preserve">Department of Chemistry Sciences, School of Natural and Applied Sciences, </w:t>
      </w:r>
      <w:proofErr w:type="spellStart"/>
      <w:r w:rsidR="00143772" w:rsidRPr="00143772">
        <w:rPr>
          <w:rFonts w:ascii="Times New Roman" w:eastAsia="MS Mincho" w:hAnsi="Times New Roman" w:cs="Times New Roman"/>
          <w:i/>
          <w:iCs/>
          <w:sz w:val="18"/>
          <w:szCs w:val="18"/>
          <w:lang w:val="en-US"/>
        </w:rPr>
        <w:t>Çankiri</w:t>
      </w:r>
      <w:proofErr w:type="spellEnd"/>
      <w:r w:rsidR="00143772" w:rsidRPr="00143772">
        <w:rPr>
          <w:rFonts w:ascii="Times New Roman" w:eastAsia="MS Mincho" w:hAnsi="Times New Roman" w:cs="Times New Roman"/>
          <w:i/>
          <w:iCs/>
          <w:sz w:val="18"/>
          <w:szCs w:val="18"/>
          <w:lang w:val="en-US"/>
        </w:rPr>
        <w:t xml:space="preserve"> </w:t>
      </w:r>
      <w:proofErr w:type="spellStart"/>
      <w:r w:rsidR="00143772" w:rsidRPr="00143772">
        <w:rPr>
          <w:rFonts w:ascii="Times New Roman" w:eastAsia="MS Mincho" w:hAnsi="Times New Roman" w:cs="Times New Roman"/>
          <w:i/>
          <w:iCs/>
          <w:sz w:val="18"/>
          <w:szCs w:val="18"/>
          <w:lang w:val="en-US"/>
        </w:rPr>
        <w:t>Karatekin</w:t>
      </w:r>
      <w:proofErr w:type="spellEnd"/>
      <w:r w:rsidR="00143772" w:rsidRPr="00143772">
        <w:rPr>
          <w:rFonts w:ascii="Times New Roman" w:eastAsia="MS Mincho" w:hAnsi="Times New Roman" w:cs="Times New Roman"/>
          <w:i/>
          <w:iCs/>
          <w:sz w:val="18"/>
          <w:szCs w:val="18"/>
          <w:lang w:val="en-US"/>
        </w:rPr>
        <w:t xml:space="preserve"> University, Turkey</w:t>
      </w:r>
    </w:p>
    <w:p w14:paraId="2AC125AE" w14:textId="39D879E6" w:rsidR="00890B2E" w:rsidRPr="0097784A" w:rsidRDefault="00890B2E" w:rsidP="0059146B">
      <w:pPr>
        <w:spacing w:after="0"/>
        <w:jc w:val="center"/>
        <w:rPr>
          <w:rFonts w:ascii="Times New Roman" w:hAnsi="Times New Roman" w:cs="Times New Roman"/>
          <w:i/>
          <w:color w:val="000000" w:themeColor="text1"/>
          <w:sz w:val="20"/>
          <w:szCs w:val="20"/>
          <w:lang w:val="en-US"/>
        </w:rPr>
      </w:pPr>
    </w:p>
    <w:tbl>
      <w:tblPr>
        <w:tblStyle w:val="a5"/>
        <w:tblW w:w="101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150"/>
      </w:tblGrid>
      <w:tr w:rsidR="0097784A" w:rsidRPr="0097784A" w14:paraId="4166A5D6" w14:textId="77777777" w:rsidTr="00E76A06">
        <w:trPr>
          <w:trHeight w:val="1796"/>
        </w:trPr>
        <w:tc>
          <w:tcPr>
            <w:tcW w:w="10150" w:type="dxa"/>
            <w:shd w:val="clear" w:color="auto" w:fill="D9D9D9" w:themeFill="background1" w:themeFillShade="D9"/>
          </w:tcPr>
          <w:p w14:paraId="03DC91F4" w14:textId="0280DE0B" w:rsidR="00A664CE" w:rsidRDefault="001558FC" w:rsidP="00A02018">
            <w:pPr>
              <w:shd w:val="clear" w:color="auto" w:fill="D9D9D9" w:themeFill="background1" w:themeFillShade="D9"/>
              <w:ind w:right="-21"/>
              <w:rPr>
                <w:rFonts w:ascii="Times New Roman" w:hAnsi="Times New Roman" w:cs="Times New Roman"/>
                <w:b/>
                <w:bCs/>
                <w:color w:val="000000" w:themeColor="text1"/>
                <w:sz w:val="24"/>
                <w:szCs w:val="24"/>
              </w:rPr>
            </w:pPr>
            <w:r w:rsidRPr="0097784A">
              <w:rPr>
                <w:rFonts w:ascii="Times New Roman" w:hAnsi="Times New Roman" w:cs="Times New Roman"/>
                <w:b/>
                <w:bCs/>
                <w:color w:val="000000" w:themeColor="text1"/>
                <w:sz w:val="24"/>
                <w:szCs w:val="24"/>
              </w:rPr>
              <w:t>Abstract</w:t>
            </w:r>
            <w:r w:rsidR="00A664CE">
              <w:rPr>
                <w:rFonts w:ascii="Times New Roman" w:hAnsi="Times New Roman" w:cs="Times New Roman"/>
                <w:b/>
                <w:bCs/>
                <w:color w:val="000000" w:themeColor="text1"/>
                <w:sz w:val="24"/>
                <w:szCs w:val="24"/>
              </w:rPr>
              <w:t xml:space="preserve"> </w:t>
            </w:r>
          </w:p>
          <w:p w14:paraId="109F1148" w14:textId="7309EB56" w:rsidR="001558FC" w:rsidRPr="0097784A" w:rsidRDefault="00DB7FE7" w:rsidP="00200399">
            <w:pPr>
              <w:shd w:val="clear" w:color="auto" w:fill="D9D9D9" w:themeFill="background1" w:themeFillShade="D9"/>
              <w:ind w:right="-21"/>
              <w:jc w:val="both"/>
              <w:rPr>
                <w:color w:val="000000" w:themeColor="text1"/>
                <w:szCs w:val="24"/>
              </w:rPr>
            </w:pPr>
            <w:r w:rsidRPr="00DB7FE7">
              <w:rPr>
                <w:rFonts w:ascii="Times New Roman" w:hAnsi="Times New Roman" w:cs="Times New Roman"/>
                <w:noProof/>
                <w:sz w:val="20"/>
                <w:szCs w:val="20"/>
              </w:rPr>
              <w:t xml:space="preserve">This study investigates the impact of Cefotaxime, Cefotaxime is a third-generation cephalosporin antibiotic that is commonly used to treat a variety of bacterial infections. It is generally well-tolerated. In this study, we investigated the impact of cefotaxime on hepatic enzymes and some laboratory parameters in patients with bacterial infections. The homogeneity of the sample across age, weight, and length variables is established through the analysis of arithmetic mean, standard deviation, and coefficient of variation. Results indicate a low coefficient of variation, signifying accurate and homogeneous data. The result illustrates a 1% decrease in hemoglobin levels after Cefotaxime administration. The study attributes this effect to decrease red blood </w:t>
            </w:r>
            <w:r w:rsidR="00200399">
              <w:rPr>
                <w:rFonts w:ascii="Times New Roman" w:hAnsi="Times New Roman" w:cs="Times New Roman"/>
                <w:noProof/>
                <w:sz w:val="20"/>
                <w:szCs w:val="20"/>
              </w:rPr>
              <w:t xml:space="preserve">, </w:t>
            </w:r>
            <w:r w:rsidRPr="00DB7FE7">
              <w:rPr>
                <w:rFonts w:ascii="Times New Roman" w:hAnsi="Times New Roman" w:cs="Times New Roman"/>
                <w:noProof/>
                <w:sz w:val="20"/>
                <w:szCs w:val="20"/>
              </w:rPr>
              <w:t xml:space="preserve">in blood cell count, emphasizing Cefotaxime's efficacy in </w:t>
            </w:r>
            <w:r w:rsidR="00200399">
              <w:rPr>
                <w:rFonts w:ascii="Times New Roman" w:hAnsi="Times New Roman" w:cs="Times New Roman"/>
                <w:noProof/>
                <w:sz w:val="20"/>
                <w:szCs w:val="20"/>
              </w:rPr>
              <w:t>increasing</w:t>
            </w:r>
            <w:r w:rsidRPr="00DB7FE7">
              <w:rPr>
                <w:rFonts w:ascii="Times New Roman" w:hAnsi="Times New Roman" w:cs="Times New Roman"/>
                <w:noProof/>
                <w:sz w:val="20"/>
                <w:szCs w:val="20"/>
              </w:rPr>
              <w:t xml:space="preserve"> WBCs, crucial for infection defense. Presents mean and standard deviation values for hemoglobin, WBC, S.GOT, S.ALT, S.ALP, S.Na, and S.K before and after Cefotaxime. The significant decrease in hemoglobin levels and</w:t>
            </w:r>
            <w:r w:rsidRPr="00DB7FE7">
              <w:rPr>
                <w:rFonts w:ascii="Times New Roman" w:hAnsi="Times New Roman" w:cs="Times New Roman" w:hint="cs"/>
                <w:noProof/>
                <w:sz w:val="20"/>
                <w:szCs w:val="20"/>
                <w:rtl/>
              </w:rPr>
              <w:t xml:space="preserve"> </w:t>
            </w:r>
            <w:r w:rsidRPr="00DB7FE7">
              <w:rPr>
                <w:rFonts w:ascii="Times New Roman" w:hAnsi="Times New Roman" w:cs="Times New Roman"/>
                <w:noProof/>
                <w:sz w:val="20"/>
                <w:szCs w:val="20"/>
              </w:rPr>
              <w:t>rise in WBC count after Cefotaxime administration is evident, with a calculated T-value indicating high significance. Cefotaxime exhibits a notable impact on hematological and biochemical parameters, emphasizing its influence on hemoglobin and white blood cell levels. The study contributes valuable insights into the potential effects of Cefotaxime on hepatic enzymes and laboratory markers, enhancing our understanding of its clinical implications</w:t>
            </w:r>
            <w:r w:rsidR="009131C2" w:rsidRPr="003D3818">
              <w:rPr>
                <w:rFonts w:ascii="Times New Roman" w:hAnsi="Times New Roman" w:cs="Times New Roman"/>
                <w:noProof/>
                <w:sz w:val="20"/>
                <w:szCs w:val="20"/>
              </w:rPr>
              <w:t>.</w:t>
            </w:r>
          </w:p>
        </w:tc>
      </w:tr>
      <w:tr w:rsidR="0097784A" w:rsidRPr="0097784A" w14:paraId="6A0FB242" w14:textId="77777777" w:rsidTr="00192C46">
        <w:trPr>
          <w:trHeight w:val="274"/>
        </w:trPr>
        <w:tc>
          <w:tcPr>
            <w:tcW w:w="10150" w:type="dxa"/>
            <w:shd w:val="clear" w:color="auto" w:fill="FFFFFF" w:themeFill="background1"/>
          </w:tcPr>
          <w:p w14:paraId="5E1C673C" w14:textId="77777777" w:rsidR="00192C46" w:rsidRPr="0097784A" w:rsidRDefault="00192C46" w:rsidP="007D49B8">
            <w:pPr>
              <w:pStyle w:val="keywords"/>
              <w:spacing w:after="0"/>
              <w:ind w:firstLine="0"/>
              <w:rPr>
                <w:rFonts w:eastAsia="MS Mincho"/>
                <w:color w:val="000000" w:themeColor="text1"/>
                <w:sz w:val="20"/>
                <w:szCs w:val="20"/>
                <w:lang w:val="tr-TR"/>
              </w:rPr>
            </w:pPr>
          </w:p>
          <w:p w14:paraId="44E8481B" w14:textId="3927CF1A" w:rsidR="007D49B8" w:rsidRPr="0097784A" w:rsidRDefault="001558FC" w:rsidP="00DB7FE7">
            <w:pPr>
              <w:pStyle w:val="keywords"/>
              <w:spacing w:after="0"/>
              <w:ind w:firstLine="0"/>
              <w:rPr>
                <w:rFonts w:eastAsia="MS Mincho"/>
                <w:b w:val="0"/>
                <w:bCs w:val="0"/>
                <w:color w:val="000000" w:themeColor="text1"/>
                <w:sz w:val="20"/>
                <w:szCs w:val="20"/>
                <w:lang w:val="tr-TR"/>
              </w:rPr>
            </w:pPr>
            <w:r w:rsidRPr="0097784A">
              <w:rPr>
                <w:rFonts w:eastAsia="MS Mincho"/>
                <w:color w:val="000000" w:themeColor="text1"/>
                <w:sz w:val="20"/>
                <w:szCs w:val="20"/>
                <w:lang w:val="tr-TR"/>
              </w:rPr>
              <w:t>Keywords</w:t>
            </w:r>
            <w:r w:rsidR="007D49B8" w:rsidRPr="0097784A">
              <w:rPr>
                <w:rFonts w:eastAsia="MS Mincho"/>
                <w:color w:val="000000" w:themeColor="text1"/>
                <w:sz w:val="20"/>
                <w:szCs w:val="20"/>
                <w:lang w:val="tr-TR"/>
              </w:rPr>
              <w:t xml:space="preserve">: </w:t>
            </w:r>
            <w:r w:rsidR="00DB7FE7" w:rsidRPr="00DB7FE7">
              <w:rPr>
                <w:rFonts w:eastAsia="MS Mincho"/>
                <w:b w:val="0"/>
                <w:bCs w:val="0"/>
                <w:sz w:val="20"/>
                <w:szCs w:val="20"/>
                <w:lang w:val="tr-TR"/>
              </w:rPr>
              <w:t>Cefotaxim, GOT, GPT, Claforane,Crp</w:t>
            </w:r>
          </w:p>
          <w:p w14:paraId="6824E26F" w14:textId="1E2316F1" w:rsidR="001558FC" w:rsidRPr="0097784A" w:rsidRDefault="001558FC" w:rsidP="00432B5A">
            <w:pPr>
              <w:pStyle w:val="TRANSAffiliation"/>
              <w:jc w:val="both"/>
              <w:rPr>
                <w:i/>
                <w:color w:val="000000" w:themeColor="text1"/>
                <w:sz w:val="20"/>
              </w:rPr>
            </w:pPr>
          </w:p>
        </w:tc>
      </w:tr>
    </w:tbl>
    <w:p w14:paraId="447BB984" w14:textId="5F3B56E1" w:rsidR="003D3818" w:rsidRPr="0097784A" w:rsidRDefault="00B2099A" w:rsidP="00A02018">
      <w:pPr>
        <w:pStyle w:val="a3"/>
        <w:numPr>
          <w:ilvl w:val="0"/>
          <w:numId w:val="6"/>
        </w:numPr>
        <w:autoSpaceDE w:val="0"/>
        <w:autoSpaceDN w:val="0"/>
        <w:adjustRightInd w:val="0"/>
        <w:spacing w:before="120" w:after="0"/>
        <w:ind w:left="426" w:right="-59" w:hanging="426"/>
        <w:jc w:val="both"/>
        <w:rPr>
          <w:rFonts w:ascii="Times New Roman" w:hAnsi="Times New Roman" w:cs="Times New Roman"/>
          <w:noProof/>
          <w:color w:val="000000" w:themeColor="text1"/>
        </w:rPr>
      </w:pPr>
      <w:r w:rsidRPr="0097784A">
        <w:rPr>
          <w:rFonts w:ascii="Times New Roman" w:hAnsi="Times New Roman" w:cs="Times New Roman"/>
          <w:b/>
          <w:color w:val="000000" w:themeColor="text1"/>
          <w:sz w:val="24"/>
          <w:szCs w:val="24"/>
        </w:rPr>
        <w:t>Introduction</w:t>
      </w:r>
      <w:r w:rsidR="001558FC" w:rsidRPr="0097784A">
        <w:rPr>
          <w:rFonts w:ascii="Times New Roman" w:hAnsi="Times New Roman" w:cs="Times New Roman"/>
          <w:b/>
          <w:color w:val="000000" w:themeColor="text1"/>
          <w:sz w:val="24"/>
          <w:szCs w:val="24"/>
        </w:rPr>
        <w:t xml:space="preserve"> </w:t>
      </w:r>
    </w:p>
    <w:p w14:paraId="47C16903" w14:textId="77777777" w:rsidR="00DB7FE7" w:rsidRDefault="00DB7FE7" w:rsidP="00DB7FE7">
      <w:pPr>
        <w:autoSpaceDE w:val="0"/>
        <w:autoSpaceDN w:val="0"/>
        <w:adjustRightInd w:val="0"/>
        <w:spacing w:before="120" w:after="0"/>
        <w:ind w:right="-59"/>
        <w:jc w:val="both"/>
        <w:rPr>
          <w:rFonts w:ascii="Times New Roman" w:eastAsia="Times New Roman" w:hAnsi="Times New Roman" w:cs="Times New Roman"/>
          <w:shd w:val="clear" w:color="auto" w:fill="FFFFFF"/>
          <w:lang w:val="en-US" w:eastAsia="tr-TR"/>
        </w:rPr>
      </w:pPr>
      <w:r w:rsidRPr="00DB7FE7">
        <w:rPr>
          <w:rFonts w:ascii="Times New Roman" w:eastAsia="Times New Roman" w:hAnsi="Times New Roman" w:cs="Times New Roman"/>
          <w:shd w:val="clear" w:color="auto" w:fill="FFFFFF"/>
          <w:lang w:val="en-US" w:eastAsia="tr-TR"/>
        </w:rPr>
        <w:t>Antibiotics are a class of naturally occurring chemical compounds that has the capacity to inhibit the proliferation of communicable and infectious diseases induced by pathogenic microorganisms within their respective hosts. Within the therapeutic range, these chemicals exhibit no cytotoxic effects on the host's live cells.</w:t>
      </w:r>
    </w:p>
    <w:p w14:paraId="290DD93B" w14:textId="45FF6549"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rtl/>
          <w:lang w:bidi="ar-IQ"/>
        </w:rPr>
      </w:pPr>
      <w:r w:rsidRPr="00DB7FE7">
        <w:rPr>
          <w:rFonts w:ascii="Times New Roman" w:hAnsi="Times New Roman" w:cs="Times New Roman"/>
          <w:noProof/>
          <w:color w:val="000000" w:themeColor="text1"/>
          <w:lang w:val="en-US"/>
        </w:rPr>
        <w:t xml:space="preserve">The growing fascination with the pharmaceutical business has resulted in the development of numerous antibiotics that demonstrate efficacy against dangerous microorganisms, including bacteria and fungi. Consequently, this has played a crucial role in curtailing the proliferation and transmission of various epidemic diseases that pose a significant threat to human life </w:t>
      </w:r>
      <w:r w:rsidR="00BB35A3">
        <w:rPr>
          <w:rFonts w:ascii="Times New Roman" w:hAnsi="Times New Roman" w:cs="Times New Roman"/>
          <w:noProof/>
          <w:color w:val="000000" w:themeColor="text1"/>
          <w:lang w:val="en-US"/>
        </w:rPr>
        <w:t>[1]</w:t>
      </w:r>
      <w:r w:rsidRPr="00DB7FE7">
        <w:rPr>
          <w:rFonts w:ascii="Times New Roman" w:hAnsi="Times New Roman" w:cs="Times New Roman"/>
          <w:noProof/>
          <w:color w:val="000000" w:themeColor="text1"/>
          <w:lang w:val="en-US"/>
        </w:rPr>
        <w:t>.</w:t>
      </w:r>
    </w:p>
    <w:p w14:paraId="1353703F" w14:textId="56DE2098"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 xml:space="preserve">Antibiotics can be categorized into two main groups: bactericidal antibiotics, exemplified by beta-lactam antibiotics, and bacteriostatic antibiotics, such as sulfonamide and tetracycline antibiotics, which inhibit bacterial growth </w:t>
      </w:r>
      <w:r w:rsidR="00BB35A3">
        <w:rPr>
          <w:rFonts w:ascii="Times New Roman" w:hAnsi="Times New Roman" w:cs="Times New Roman"/>
          <w:noProof/>
          <w:color w:val="000000" w:themeColor="text1"/>
          <w:lang w:val="en-US"/>
        </w:rPr>
        <w:t>[2]</w:t>
      </w:r>
      <w:r w:rsidRPr="00DB7FE7">
        <w:rPr>
          <w:rFonts w:ascii="Times New Roman" w:hAnsi="Times New Roman" w:cs="Times New Roman"/>
          <w:noProof/>
          <w:color w:val="000000" w:themeColor="text1"/>
          <w:lang w:val="en-US"/>
        </w:rPr>
        <w:t>.</w:t>
      </w:r>
    </w:p>
    <w:p w14:paraId="0305E321" w14:textId="6AF5A69A"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rtl/>
          <w:lang w:bidi="ar-IQ"/>
        </w:rPr>
      </w:pPr>
      <w:r w:rsidRPr="00DB7FE7">
        <w:rPr>
          <w:rFonts w:ascii="Times New Roman" w:hAnsi="Times New Roman" w:cs="Times New Roman"/>
          <w:noProof/>
          <w:color w:val="000000" w:themeColor="text1"/>
          <w:lang w:val="en-US"/>
        </w:rPr>
        <w:t xml:space="preserve">One of the key characteristics of antibiotics is their relatively low toxicity </w:t>
      </w:r>
      <w:r w:rsidR="00BB35A3">
        <w:rPr>
          <w:rFonts w:ascii="Times New Roman" w:hAnsi="Times New Roman" w:cs="Times New Roman"/>
          <w:noProof/>
          <w:color w:val="000000" w:themeColor="text1"/>
          <w:lang w:val="en-US"/>
        </w:rPr>
        <w:t>[3]</w:t>
      </w:r>
      <w:r w:rsidRPr="00DB7FE7">
        <w:rPr>
          <w:rFonts w:ascii="Times New Roman" w:hAnsi="Times New Roman" w:cs="Times New Roman"/>
          <w:noProof/>
          <w:color w:val="000000" w:themeColor="text1"/>
          <w:lang w:val="en-US"/>
        </w:rPr>
        <w:t>.</w:t>
      </w:r>
    </w:p>
    <w:p w14:paraId="13E70BFC" w14:textId="7D60395A" w:rsidR="00DB7FE7" w:rsidRPr="00DB7FE7" w:rsidRDefault="00DB7FE7" w:rsidP="00BB35A3">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 xml:space="preserve">An antibiotic refers to a substance or product that possesses the ability to eradicate or impede the proliferation of microorganisms. Antibiotics are classified under a wider category of antibacterial chemicals </w:t>
      </w:r>
      <w:r w:rsidR="00BB35A3">
        <w:rPr>
          <w:rFonts w:ascii="Times New Roman" w:hAnsi="Times New Roman" w:cs="Times New Roman"/>
          <w:noProof/>
          <w:color w:val="000000" w:themeColor="text1"/>
          <w:lang w:val="en-US"/>
        </w:rPr>
        <w:t>[4]</w:t>
      </w:r>
      <w:r w:rsidRPr="00DB7FE7">
        <w:rPr>
          <w:rFonts w:ascii="Times New Roman" w:hAnsi="Times New Roman" w:cs="Times New Roman"/>
          <w:noProof/>
          <w:color w:val="000000" w:themeColor="text1"/>
          <w:lang w:val="en-US"/>
        </w:rPr>
        <w:t>.</w:t>
      </w:r>
    </w:p>
    <w:p w14:paraId="21C36F5C"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 xml:space="preserve">The historical development of antibiotics , Penicillin served as the fundamental cornerstone for the treatment of numerous infectious diseases prior to the onset of the twentieth century. </w:t>
      </w:r>
    </w:p>
    <w:p w14:paraId="6193D85D"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Cephalosporins are a class of antibiotics that are derived from natural sources but have been modified through a process of semi-synthesis.</w:t>
      </w:r>
    </w:p>
    <w:p w14:paraId="7FE04D9C"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lastRenderedPageBreak/>
        <w:t>The compound in question is obtained through the process of derivation from cephalosporin C, which is classified as a naturally occurring antibiotic. The mold Cephalosporium acremonium is responsible for its production</w:t>
      </w:r>
    </w:p>
    <w:p w14:paraId="5B0E541A"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These entities have structural and pharmacological similarities.</w:t>
      </w:r>
    </w:p>
    <w:p w14:paraId="4FBD6201" w14:textId="152F4B0B" w:rsidR="00DB7FE7" w:rsidRPr="00DB7FE7" w:rsidRDefault="00DB7FE7" w:rsidP="00FD5E70">
      <w:pPr>
        <w:autoSpaceDE w:val="0"/>
        <w:autoSpaceDN w:val="0"/>
        <w:adjustRightInd w:val="0"/>
        <w:spacing w:before="120" w:after="0"/>
        <w:ind w:right="-59"/>
        <w:jc w:val="both"/>
        <w:rPr>
          <w:rFonts w:ascii="Times New Roman" w:hAnsi="Times New Roman" w:cs="Times New Roman"/>
          <w:noProof/>
          <w:color w:val="000000" w:themeColor="text1"/>
          <w:rtl/>
          <w:lang w:bidi="ar-IQ"/>
        </w:rPr>
      </w:pPr>
      <w:r w:rsidRPr="00DB7FE7">
        <w:rPr>
          <w:rFonts w:ascii="Times New Roman" w:hAnsi="Times New Roman" w:cs="Times New Roman"/>
          <w:noProof/>
          <w:color w:val="000000" w:themeColor="text1"/>
          <w:lang w:val="en-US"/>
        </w:rPr>
        <w:t xml:space="preserve">Penicillin is an antibiotic drug that was discovered by </w:t>
      </w:r>
      <w:r w:rsidR="00BB35A3">
        <w:rPr>
          <w:rFonts w:ascii="Times New Roman" w:hAnsi="Times New Roman" w:cs="Times New Roman"/>
          <w:noProof/>
          <w:color w:val="000000" w:themeColor="text1"/>
          <w:lang w:val="en-US"/>
        </w:rPr>
        <w:t>[1</w:t>
      </w:r>
      <w:r w:rsidR="00FD5E70">
        <w:rPr>
          <w:rFonts w:ascii="Times New Roman" w:hAnsi="Times New Roman" w:cs="Times New Roman"/>
          <w:noProof/>
          <w:color w:val="000000" w:themeColor="text1"/>
          <w:lang w:val="en-US"/>
        </w:rPr>
        <w:t>0</w:t>
      </w:r>
      <w:r w:rsidR="00BB35A3">
        <w:rPr>
          <w:rFonts w:ascii="Times New Roman" w:hAnsi="Times New Roman" w:cs="Times New Roman"/>
          <w:noProof/>
          <w:color w:val="000000" w:themeColor="text1"/>
          <w:lang w:val="en-US"/>
        </w:rPr>
        <w:t>]</w:t>
      </w:r>
      <w:r w:rsidRPr="00DB7FE7">
        <w:rPr>
          <w:rFonts w:ascii="Times New Roman" w:hAnsi="Times New Roman" w:cs="Times New Roman"/>
          <w:noProof/>
          <w:color w:val="000000" w:themeColor="text1"/>
          <w:lang w:val="en-US"/>
        </w:rPr>
        <w:t xml:space="preserve">,Third Generation Parenteral Cephalosporins exhibit notable antimicrobial efficacy and possess a wide spectrum of resistance against beta-lactamases. These cephalosporins demonstrate exceptional effectiveness against a majority of Enterobacteriaceae strains.There are certain exceptions to consider in this context. For instance, Enterobacter and Serratia are two examples of microorganisms that exhibit different susceptibility patterns. Streptococci, on the other hand, are very vulnerable to certain factors. Staphylococci, albeit to a lesser extent, also display a certain level of susceptibility. Lastly, enterococci are known to be resistant to the aforementioned factors.The antibiotics that are included in this group are Cefmenoxime, Cefotaxime, Cefovecin, Ceftizoxime, Ceftriaxone, Ceftiofur, and Latamoxef </w:t>
      </w:r>
      <w:r w:rsidR="00BB35A3">
        <w:rPr>
          <w:rFonts w:ascii="Times New Roman" w:hAnsi="Times New Roman" w:cs="Times New Roman"/>
          <w:noProof/>
          <w:color w:val="000000" w:themeColor="text1"/>
          <w:lang w:val="en-US"/>
        </w:rPr>
        <w:t>[6]</w:t>
      </w:r>
      <w:r w:rsidRPr="00DB7FE7">
        <w:rPr>
          <w:rFonts w:ascii="Times New Roman" w:hAnsi="Times New Roman" w:cs="Times New Roman"/>
          <w:noProof/>
          <w:color w:val="000000" w:themeColor="text1"/>
          <w:lang w:val="en-US"/>
        </w:rPr>
        <w:t>.</w:t>
      </w:r>
    </w:p>
    <w:p w14:paraId="2F65A42B" w14:textId="77777777" w:rsidR="00DB7FE7" w:rsidRPr="00DB7FE7" w:rsidRDefault="00DB7FE7" w:rsidP="00DB7FE7">
      <w:pPr>
        <w:autoSpaceDE w:val="0"/>
        <w:autoSpaceDN w:val="0"/>
        <w:adjustRightInd w:val="0"/>
        <w:spacing w:before="120" w:after="0"/>
        <w:ind w:right="-59"/>
        <w:jc w:val="both"/>
        <w:rPr>
          <w:rFonts w:ascii="Times New Roman" w:hAnsi="Times New Roman" w:cs="Times New Roman"/>
          <w:noProof/>
          <w:color w:val="000000" w:themeColor="text1"/>
          <w:lang w:val="en-US"/>
        </w:rPr>
      </w:pPr>
      <w:r w:rsidRPr="00DB7FE7">
        <w:rPr>
          <w:rFonts w:ascii="Times New Roman" w:hAnsi="Times New Roman" w:cs="Times New Roman"/>
          <w:noProof/>
          <w:color w:val="000000" w:themeColor="text1"/>
          <w:lang w:val="en-US"/>
        </w:rPr>
        <w:t>Treatment of pneumonia, an infection of the lower respiratory tract, often involves administering 1-2 g intravenously/minute of cefotaxime every 8 hours. The drug's short half-life of 1-1.5 hours necessitates the administration of such a high dose.</w:t>
      </w:r>
    </w:p>
    <w:p w14:paraId="7117136F" w14:textId="6245A868" w:rsidR="007D49B8" w:rsidRPr="009131C2" w:rsidRDefault="00DB7FE7" w:rsidP="00BB35A3">
      <w:pPr>
        <w:autoSpaceDE w:val="0"/>
        <w:autoSpaceDN w:val="0"/>
        <w:adjustRightInd w:val="0"/>
        <w:spacing w:before="120" w:after="0"/>
        <w:ind w:right="-59"/>
        <w:jc w:val="both"/>
        <w:rPr>
          <w:rFonts w:ascii="Times New Roman" w:hAnsi="Times New Roman" w:cs="Times New Roman"/>
          <w:noProof/>
          <w:color w:val="000000" w:themeColor="text1"/>
        </w:rPr>
      </w:pPr>
      <w:r w:rsidRPr="00DB7FE7">
        <w:rPr>
          <w:rFonts w:ascii="Times New Roman" w:hAnsi="Times New Roman" w:cs="Times New Roman"/>
          <w:noProof/>
          <w:color w:val="000000" w:themeColor="text1"/>
          <w:lang w:val="en-US"/>
        </w:rPr>
        <w:t xml:space="preserve">Adverse effects occur at the maximum dose of 2 g IV/im every 8 hours. Cefotaxime microparticles with ethyl cellulose as the inhibitory polymer were thus created </w:t>
      </w:r>
      <w:r w:rsidR="00BB35A3">
        <w:rPr>
          <w:rFonts w:ascii="Times New Roman" w:hAnsi="Times New Roman" w:cs="Times New Roman"/>
          <w:noProof/>
          <w:color w:val="000000" w:themeColor="text1"/>
          <w:lang w:val="en-US"/>
        </w:rPr>
        <w:t>[5]</w:t>
      </w:r>
      <w:r w:rsidR="007D49B8" w:rsidRPr="009131C2">
        <w:rPr>
          <w:rFonts w:ascii="Times New Roman" w:hAnsi="Times New Roman" w:cs="Times New Roman"/>
          <w:noProof/>
          <w:color w:val="000000" w:themeColor="text1"/>
        </w:rPr>
        <w:t>.</w:t>
      </w:r>
    </w:p>
    <w:p w14:paraId="7220BE32" w14:textId="77777777" w:rsidR="007D49B8" w:rsidRPr="0097784A" w:rsidRDefault="007D49B8" w:rsidP="007D49B8">
      <w:pPr>
        <w:autoSpaceDE w:val="0"/>
        <w:autoSpaceDN w:val="0"/>
        <w:adjustRightInd w:val="0"/>
        <w:spacing w:before="120" w:after="0"/>
        <w:ind w:right="-59"/>
        <w:jc w:val="both"/>
        <w:rPr>
          <w:rFonts w:ascii="Times New Roman" w:hAnsi="Times New Roman" w:cs="Times New Roman"/>
          <w:noProof/>
          <w:color w:val="000000" w:themeColor="text1"/>
        </w:rPr>
      </w:pPr>
    </w:p>
    <w:p w14:paraId="7B5E7CA4" w14:textId="01B3867F" w:rsidR="007D49B8" w:rsidRPr="0097784A" w:rsidRDefault="00CF58C0" w:rsidP="00A02018">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lang w:val="en-GB"/>
        </w:rPr>
      </w:pPr>
      <w:r w:rsidRPr="0097784A">
        <w:rPr>
          <w:rFonts w:ascii="Times New Roman" w:hAnsi="Times New Roman" w:cs="Times New Roman"/>
          <w:b/>
          <w:color w:val="000000" w:themeColor="text1"/>
          <w:sz w:val="24"/>
          <w:szCs w:val="24"/>
        </w:rPr>
        <w:t>Mater</w:t>
      </w:r>
      <w:r w:rsidR="00C40CDB" w:rsidRPr="0097784A">
        <w:rPr>
          <w:rFonts w:ascii="Times New Roman" w:hAnsi="Times New Roman" w:cs="Times New Roman"/>
          <w:b/>
          <w:color w:val="000000" w:themeColor="text1"/>
          <w:sz w:val="24"/>
          <w:szCs w:val="24"/>
        </w:rPr>
        <w:t>i</w:t>
      </w:r>
      <w:r w:rsidRPr="0097784A">
        <w:rPr>
          <w:rFonts w:ascii="Times New Roman" w:hAnsi="Times New Roman" w:cs="Times New Roman"/>
          <w:b/>
          <w:color w:val="000000" w:themeColor="text1"/>
          <w:sz w:val="24"/>
          <w:szCs w:val="24"/>
        </w:rPr>
        <w:t>als and Method</w:t>
      </w:r>
      <w:r w:rsidR="00EF68D7" w:rsidRPr="0097784A">
        <w:rPr>
          <w:rFonts w:ascii="Times New Roman" w:hAnsi="Times New Roman" w:cs="Times New Roman"/>
          <w:b/>
          <w:color w:val="000000" w:themeColor="text1"/>
          <w:sz w:val="24"/>
          <w:szCs w:val="24"/>
        </w:rPr>
        <w:t>s</w:t>
      </w:r>
      <w:r w:rsidR="00A664CE">
        <w:rPr>
          <w:rFonts w:ascii="Times New Roman" w:hAnsi="Times New Roman" w:cs="Times New Roman"/>
          <w:b/>
          <w:color w:val="000000" w:themeColor="text1"/>
          <w:sz w:val="24"/>
          <w:szCs w:val="24"/>
        </w:rPr>
        <w:t xml:space="preserve"> </w:t>
      </w:r>
    </w:p>
    <w:p w14:paraId="510F656D" w14:textId="77777777" w:rsid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bCs/>
          <w:kern w:val="32"/>
          <w:lang w:val="en"/>
        </w:rPr>
        <w:t>Tools used for the purpose of conducting this study</w:t>
      </w:r>
      <w:r w:rsidRPr="00872FA7">
        <w:rPr>
          <w:rFonts w:ascii="Times New Roman" w:eastAsiaTheme="majorEastAsia" w:hAnsi="Times New Roman" w:cs="Times New Roman" w:hint="cs"/>
          <w:bCs/>
          <w:kern w:val="32"/>
          <w:rtl/>
          <w:lang w:val="en-US" w:bidi="ar-IQ"/>
        </w:rPr>
        <w:t>:</w:t>
      </w:r>
    </w:p>
    <w:p w14:paraId="29F39AF9" w14:textId="584F370B" w:rsidR="00872FA7" w:rsidRPr="00872FA7" w:rsidRDefault="00872FA7" w:rsidP="00872FA7">
      <w:pPr>
        <w:autoSpaceDE w:val="0"/>
        <w:autoSpaceDN w:val="0"/>
        <w:adjustRightInd w:val="0"/>
        <w:jc w:val="both"/>
        <w:rPr>
          <w:rFonts w:ascii="Times New Roman" w:eastAsiaTheme="majorEastAsia" w:hAnsi="Times New Roman" w:cs="Times New Roman"/>
          <w:bCs/>
          <w:kern w:val="32"/>
          <w:rtl/>
          <w:lang w:val="en-US" w:bidi="ar-IQ"/>
        </w:rPr>
      </w:pPr>
      <w:r>
        <w:rPr>
          <w:rFonts w:ascii="Times New Roman" w:eastAsiaTheme="majorEastAsia" w:hAnsi="Times New Roman" w:cs="Times New Roman"/>
          <w:bCs/>
          <w:kern w:val="32"/>
          <w:lang w:val="en-US" w:bidi="ar-IQ"/>
        </w:rPr>
        <w:t>-</w:t>
      </w:r>
      <w:r w:rsidRPr="00872FA7">
        <w:rPr>
          <w:rFonts w:ascii="Times New Roman" w:eastAsiaTheme="majorEastAsia" w:hAnsi="Times New Roman" w:cs="Times New Roman"/>
          <w:bCs/>
          <w:kern w:val="32"/>
          <w:lang w:val="en" w:bidi="ar-IQ"/>
        </w:rPr>
        <w:t>Scale to measure weight.</w:t>
      </w:r>
    </w:p>
    <w:p w14:paraId="018D103D" w14:textId="77777777"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hint="cs"/>
          <w:bCs/>
          <w:kern w:val="32"/>
          <w:rtl/>
          <w:lang w:val="en-US" w:bidi="ar-IQ"/>
        </w:rPr>
        <w:t>-</w:t>
      </w:r>
      <w:r w:rsidRPr="00872FA7">
        <w:rPr>
          <w:rFonts w:ascii="Times New Roman" w:eastAsiaTheme="majorEastAsia" w:hAnsi="Times New Roman" w:cs="Times New Roman"/>
          <w:bCs/>
          <w:kern w:val="32"/>
          <w:lang w:val="en" w:bidi="ar-IQ"/>
        </w:rPr>
        <w:t>Tape to measure length.</w:t>
      </w:r>
    </w:p>
    <w:p w14:paraId="1BB4961B" w14:textId="77777777"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hint="cs"/>
          <w:bCs/>
          <w:kern w:val="32"/>
          <w:rtl/>
          <w:lang w:val="en-US" w:bidi="ar-IQ"/>
        </w:rPr>
        <w:t>-</w:t>
      </w:r>
      <w:r w:rsidRPr="00872FA7">
        <w:rPr>
          <w:rFonts w:ascii="Times New Roman" w:eastAsiaTheme="majorEastAsia" w:hAnsi="Times New Roman" w:cs="Times New Roman"/>
          <w:bCs/>
          <w:kern w:val="32"/>
          <w:lang w:val="en" w:bidi="ar-IQ"/>
        </w:rPr>
        <w:t>Test tubes</w:t>
      </w:r>
      <w:r w:rsidRPr="00872FA7">
        <w:rPr>
          <w:rFonts w:ascii="Times New Roman" w:eastAsiaTheme="majorEastAsia" w:hAnsi="Times New Roman" w:cs="Times New Roman" w:hint="cs"/>
          <w:bCs/>
          <w:kern w:val="32"/>
          <w:rtl/>
          <w:lang w:val="en-US" w:bidi="ar-IQ"/>
        </w:rPr>
        <w:t>)</w:t>
      </w:r>
      <w:r w:rsidRPr="00872FA7">
        <w:rPr>
          <w:rFonts w:ascii="Times New Roman" w:eastAsiaTheme="majorEastAsia" w:hAnsi="Times New Roman" w:cs="Times New Roman"/>
          <w:bCs/>
          <w:kern w:val="32"/>
          <w:lang w:val="en-US" w:bidi="ar-IQ"/>
        </w:rPr>
        <w:t xml:space="preserve"> </w:t>
      </w:r>
      <w:r w:rsidRPr="00872FA7">
        <w:rPr>
          <w:rFonts w:ascii="Times New Roman" w:eastAsiaTheme="majorEastAsia" w:hAnsi="Times New Roman" w:cs="Times New Roman"/>
          <w:bCs/>
          <w:kern w:val="32"/>
          <w:lang w:val="en" w:bidi="ar-IQ"/>
        </w:rPr>
        <w:t xml:space="preserve">Of various kinds </w:t>
      </w:r>
      <w:proofErr w:type="spellStart"/>
      <w:r w:rsidRPr="00872FA7">
        <w:rPr>
          <w:rFonts w:ascii="Times New Roman" w:eastAsiaTheme="majorEastAsia" w:hAnsi="Times New Roman" w:cs="Times New Roman"/>
          <w:bCs/>
          <w:kern w:val="32"/>
          <w:lang w:val="en-US" w:bidi="ar-IQ"/>
        </w:rPr>
        <w:t>EDTA,Gel</w:t>
      </w:r>
      <w:proofErr w:type="spellEnd"/>
      <w:r w:rsidRPr="00872FA7">
        <w:rPr>
          <w:rFonts w:ascii="Times New Roman" w:eastAsiaTheme="majorEastAsia" w:hAnsi="Times New Roman" w:cs="Times New Roman"/>
          <w:bCs/>
          <w:kern w:val="32"/>
          <w:lang w:val="en-US" w:bidi="ar-IQ"/>
        </w:rPr>
        <w:t xml:space="preserve"> tube).</w:t>
      </w:r>
    </w:p>
    <w:p w14:paraId="79EF4826" w14:textId="70745CC8"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 w:bidi="ar-IQ"/>
        </w:rPr>
      </w:pPr>
      <w:r w:rsidRPr="00872FA7">
        <w:rPr>
          <w:rFonts w:ascii="Times New Roman" w:eastAsiaTheme="majorEastAsia" w:hAnsi="Times New Roman" w:cs="Times New Roman" w:hint="cs"/>
          <w:bCs/>
          <w:kern w:val="32"/>
          <w:rtl/>
          <w:lang w:val="en-US" w:bidi="ar-IQ"/>
        </w:rPr>
        <w:t>-</w:t>
      </w:r>
      <w:r>
        <w:rPr>
          <w:rFonts w:ascii="Times New Roman" w:eastAsiaTheme="majorEastAsia" w:hAnsi="Times New Roman" w:cs="Times New Roman"/>
          <w:bCs/>
          <w:kern w:val="32"/>
          <w:lang w:val="en-US" w:bidi="ar-IQ"/>
        </w:rPr>
        <w:t>C</w:t>
      </w:r>
      <w:r w:rsidRPr="00872FA7">
        <w:rPr>
          <w:rFonts w:ascii="Times New Roman" w:eastAsiaTheme="majorEastAsia" w:hAnsi="Times New Roman" w:cs="Times New Roman"/>
          <w:bCs/>
          <w:kern w:val="32"/>
          <w:lang w:val="en-US" w:bidi="ar-IQ"/>
        </w:rPr>
        <w:t xml:space="preserve">entrifuge with another devices for example( </w:t>
      </w:r>
      <w:r w:rsidRPr="00872FA7">
        <w:rPr>
          <w:rFonts w:ascii="Times New Roman" w:eastAsiaTheme="majorEastAsia" w:hAnsi="Times New Roman" w:cs="Times New Roman"/>
          <w:bCs/>
          <w:kern w:val="32"/>
          <w:lang w:val="en" w:bidi="ar-IQ"/>
        </w:rPr>
        <w:t>Biochemistry device to measure ALP,AST.ALT)</w:t>
      </w:r>
    </w:p>
    <w:p w14:paraId="6BAFC3F0" w14:textId="77777777"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bCs/>
          <w:kern w:val="32"/>
          <w:lang w:val="en" w:bidi="ar-IQ"/>
        </w:rPr>
        <w:t>And</w:t>
      </w:r>
      <w:r w:rsidRPr="00872FA7">
        <w:rPr>
          <w:rFonts w:ascii="Times New Roman" w:eastAsiaTheme="majorEastAsia" w:hAnsi="Times New Roman" w:cs="Times New Roman"/>
          <w:bCs/>
          <w:kern w:val="32"/>
          <w:lang w:val="en-US" w:bidi="ar-IQ"/>
        </w:rPr>
        <w:t xml:space="preserve"> Electrolytes</w:t>
      </w:r>
      <w:r w:rsidRPr="00872FA7">
        <w:rPr>
          <w:rFonts w:ascii="Times New Roman" w:eastAsiaTheme="majorEastAsia" w:hAnsi="Times New Roman" w:cs="Times New Roman"/>
          <w:bCs/>
          <w:kern w:val="32"/>
          <w:lang w:val="en" w:bidi="ar-IQ"/>
        </w:rPr>
        <w:t xml:space="preserve"> </w:t>
      </w:r>
      <w:r w:rsidRPr="00872FA7">
        <w:rPr>
          <w:rFonts w:ascii="Times New Roman" w:eastAsiaTheme="majorEastAsia" w:hAnsi="Times New Roman" w:cs="Times New Roman"/>
          <w:bCs/>
          <w:kern w:val="32"/>
          <w:lang w:val="en-US" w:bidi="ar-IQ"/>
        </w:rPr>
        <w:t xml:space="preserve">device for measuring </w:t>
      </w:r>
      <w:proofErr w:type="spellStart"/>
      <w:r w:rsidRPr="00872FA7">
        <w:rPr>
          <w:rFonts w:ascii="Times New Roman" w:eastAsiaTheme="majorEastAsia" w:hAnsi="Times New Roman" w:cs="Times New Roman"/>
          <w:bCs/>
          <w:kern w:val="32"/>
          <w:lang w:val="en-US" w:bidi="ar-IQ"/>
        </w:rPr>
        <w:t>S.Na</w:t>
      </w:r>
      <w:proofErr w:type="spellEnd"/>
      <w:r w:rsidRPr="00872FA7">
        <w:rPr>
          <w:rFonts w:ascii="Times New Roman" w:eastAsiaTheme="majorEastAsia" w:hAnsi="Times New Roman" w:cs="Times New Roman"/>
          <w:bCs/>
          <w:kern w:val="32"/>
          <w:lang w:val="en-US" w:bidi="ar-IQ"/>
        </w:rPr>
        <w:t xml:space="preserve"> ,S.K</w:t>
      </w:r>
      <w:r w:rsidRPr="00872FA7">
        <w:rPr>
          <w:rFonts w:ascii="Times New Roman" w:eastAsiaTheme="majorEastAsia" w:hAnsi="Times New Roman" w:cs="Times New Roman"/>
          <w:bCs/>
          <w:kern w:val="32"/>
          <w:vertAlign w:val="superscript"/>
          <w:lang w:val="en-US" w:bidi="ar-IQ"/>
        </w:rPr>
        <w:t>+</w:t>
      </w:r>
      <w:r w:rsidRPr="00872FA7">
        <w:rPr>
          <w:rFonts w:ascii="Times New Roman" w:eastAsiaTheme="majorEastAsia" w:hAnsi="Times New Roman" w:cs="Times New Roman"/>
          <w:bCs/>
          <w:kern w:val="32"/>
          <w:lang w:val="en-US" w:bidi="ar-IQ"/>
        </w:rPr>
        <w:t>.</w:t>
      </w:r>
    </w:p>
    <w:p w14:paraId="50FCC672" w14:textId="55488825" w:rsidR="00872FA7" w:rsidRPr="00872FA7" w:rsidRDefault="00872FA7" w:rsidP="00872FA7">
      <w:pPr>
        <w:autoSpaceDE w:val="0"/>
        <w:autoSpaceDN w:val="0"/>
        <w:adjustRightInd w:val="0"/>
        <w:jc w:val="both"/>
        <w:rPr>
          <w:rFonts w:ascii="Times New Roman" w:eastAsiaTheme="majorEastAsia" w:hAnsi="Times New Roman" w:cs="Times New Roman"/>
          <w:bCs/>
          <w:kern w:val="32"/>
          <w:lang w:val="en-US" w:bidi="ar-IQ"/>
        </w:rPr>
      </w:pPr>
      <w:r w:rsidRPr="00872FA7">
        <w:rPr>
          <w:rFonts w:ascii="Times New Roman" w:eastAsiaTheme="majorEastAsia" w:hAnsi="Times New Roman" w:cs="Times New Roman"/>
          <w:bCs/>
          <w:kern w:val="32"/>
          <w:lang w:val="en-US" w:bidi="ar-IQ"/>
        </w:rPr>
        <w:t xml:space="preserve">5 ml of blood was collected from each person from the group who participated in this study, and they were given the drug </w:t>
      </w:r>
      <w:proofErr w:type="spellStart"/>
      <w:r w:rsidRPr="00872FA7">
        <w:rPr>
          <w:rFonts w:ascii="Times New Roman" w:eastAsiaTheme="majorEastAsia" w:hAnsi="Times New Roman" w:cs="Times New Roman"/>
          <w:bCs/>
          <w:kern w:val="32"/>
          <w:lang w:val="en-US" w:bidi="ar-IQ"/>
        </w:rPr>
        <w:t>cefotaxime</w:t>
      </w:r>
      <w:proofErr w:type="spellEnd"/>
      <w:r w:rsidRPr="00872FA7">
        <w:rPr>
          <w:rFonts w:ascii="Times New Roman" w:eastAsiaTheme="majorEastAsia" w:hAnsi="Times New Roman" w:cs="Times New Roman"/>
          <w:bCs/>
          <w:kern w:val="32"/>
          <w:lang w:val="en-US" w:bidi="ar-IQ"/>
        </w:rPr>
        <w:t xml:space="preserve"> . Blood was taken</w:t>
      </w:r>
      <w:r w:rsidR="006814B5">
        <w:rPr>
          <w:rFonts w:ascii="Times New Roman" w:eastAsiaTheme="majorEastAsia" w:hAnsi="Times New Roman" w:cs="Times New Roman"/>
          <w:bCs/>
          <w:kern w:val="32"/>
          <w:lang w:val="en-US" w:bidi="ar-IQ"/>
        </w:rPr>
        <w:t xml:space="preserve"> before and after the infection</w:t>
      </w:r>
      <w:r w:rsidR="006814B5">
        <w:rPr>
          <w:rFonts w:ascii="Times New Roman" w:eastAsiaTheme="majorEastAsia" w:hAnsi="Times New Roman" w:cs="Times New Roman" w:hint="cs"/>
          <w:bCs/>
          <w:kern w:val="32"/>
          <w:rtl/>
          <w:lang w:val="en-US" w:bidi="ar-IQ"/>
        </w:rPr>
        <w:t>)</w:t>
      </w:r>
      <w:r w:rsidR="006814B5" w:rsidRPr="006814B5">
        <w:t xml:space="preserve"> </w:t>
      </w:r>
      <w:r w:rsidR="006814B5" w:rsidRPr="006814B5">
        <w:rPr>
          <w:rFonts w:ascii="Times New Roman" w:eastAsiaTheme="majorEastAsia" w:hAnsi="Times New Roman" w:cs="Times New Roman"/>
          <w:bCs/>
          <w:kern w:val="32"/>
          <w:lang w:val="en-US" w:bidi="ar-IQ"/>
        </w:rPr>
        <w:t>Consume the medication</w:t>
      </w:r>
      <w:r w:rsidR="006814B5">
        <w:rPr>
          <w:rFonts w:ascii="Times New Roman" w:eastAsiaTheme="majorEastAsia" w:hAnsi="Times New Roman" w:cs="Times New Roman"/>
          <w:bCs/>
          <w:kern w:val="32"/>
          <w:lang w:val="en-US" w:bidi="ar-IQ"/>
        </w:rPr>
        <w:t>).</w:t>
      </w:r>
    </w:p>
    <w:p w14:paraId="45A3132C" w14:textId="0C55F1C9" w:rsidR="001869AE" w:rsidRPr="0097784A" w:rsidRDefault="00872FA7" w:rsidP="00872FA7">
      <w:pPr>
        <w:autoSpaceDE w:val="0"/>
        <w:autoSpaceDN w:val="0"/>
        <w:adjustRightInd w:val="0"/>
        <w:jc w:val="both"/>
        <w:rPr>
          <w:rFonts w:ascii="Times New Roman" w:eastAsia="Times New Roman" w:hAnsi="Times New Roman" w:cs="Times New Roman"/>
          <w:color w:val="000000" w:themeColor="text1"/>
          <w:shd w:val="clear" w:color="auto" w:fill="FFFFFF"/>
          <w:lang w:val="en-US" w:eastAsia="tr-TR"/>
        </w:rPr>
      </w:pPr>
      <w:r w:rsidRPr="00872FA7">
        <w:rPr>
          <w:rFonts w:ascii="Times New Roman" w:eastAsiaTheme="majorEastAsia" w:hAnsi="Times New Roman" w:cs="Times New Roman"/>
          <w:bCs/>
          <w:kern w:val="32"/>
          <w:lang w:val="en-US" w:bidi="ar-IQ"/>
        </w:rPr>
        <w:t xml:space="preserve"> 5 ml of blood was divided into two groups, the first 2 ml and placed in an EDTA tube to measure </w:t>
      </w:r>
      <w:proofErr w:type="spellStart"/>
      <w:r w:rsidRPr="00872FA7">
        <w:rPr>
          <w:rFonts w:ascii="Times New Roman" w:eastAsiaTheme="majorEastAsia" w:hAnsi="Times New Roman" w:cs="Times New Roman"/>
          <w:bCs/>
          <w:kern w:val="32"/>
          <w:lang w:val="en-US" w:bidi="ar-IQ"/>
        </w:rPr>
        <w:t>Hb</w:t>
      </w:r>
      <w:proofErr w:type="spellEnd"/>
      <w:r w:rsidRPr="00872FA7">
        <w:rPr>
          <w:rFonts w:ascii="Times New Roman" w:eastAsiaTheme="majorEastAsia" w:hAnsi="Times New Roman" w:cs="Times New Roman"/>
          <w:bCs/>
          <w:kern w:val="32"/>
          <w:lang w:val="en-US" w:bidi="ar-IQ"/>
        </w:rPr>
        <w:t xml:space="preserve"> ,WBC, while the first 3 ml to measure the rest of the tests ( AST, ALT, ALP, S. Na, S.K</w:t>
      </w:r>
      <w:r w:rsidRPr="00872FA7">
        <w:rPr>
          <w:rFonts w:ascii="Times New Roman" w:eastAsiaTheme="majorEastAsia" w:hAnsi="Times New Roman" w:cs="Times New Roman"/>
          <w:bCs/>
          <w:kern w:val="32"/>
          <w:vertAlign w:val="superscript"/>
          <w:lang w:val="en-US" w:bidi="ar-IQ"/>
        </w:rPr>
        <w:t>+</w:t>
      </w:r>
      <w:r w:rsidRPr="00872FA7">
        <w:rPr>
          <w:rFonts w:ascii="Times New Roman" w:eastAsiaTheme="majorEastAsia" w:hAnsi="Times New Roman" w:cs="Times New Roman"/>
          <w:bCs/>
          <w:kern w:val="32"/>
          <w:lang w:val="en-US" w:bidi="ar-IQ"/>
        </w:rPr>
        <w:t>)</w:t>
      </w:r>
      <w:r w:rsidR="007D49B8" w:rsidRPr="0097784A">
        <w:rPr>
          <w:rFonts w:ascii="Times New Roman" w:eastAsia="Times New Roman" w:hAnsi="Times New Roman" w:cs="Times New Roman"/>
          <w:color w:val="000000" w:themeColor="text1"/>
          <w:shd w:val="clear" w:color="auto" w:fill="FFFFFF"/>
          <w:lang w:val="en-US" w:eastAsia="tr-TR"/>
        </w:rPr>
        <w:t>.</w:t>
      </w:r>
    </w:p>
    <w:p w14:paraId="0C053254" w14:textId="77777777" w:rsidR="00C00D5F" w:rsidRPr="0097784A" w:rsidRDefault="00C00D5F" w:rsidP="00C00D5F">
      <w:pPr>
        <w:rPr>
          <w:color w:val="000000" w:themeColor="text1"/>
          <w:lang w:eastAsia="tr-TR"/>
        </w:rPr>
      </w:pPr>
    </w:p>
    <w:p w14:paraId="4A0C6CD6" w14:textId="263CB334" w:rsidR="00CA318B" w:rsidRPr="00CA318B" w:rsidRDefault="00CA318B" w:rsidP="00A02018">
      <w:pPr>
        <w:pStyle w:val="a3"/>
        <w:numPr>
          <w:ilvl w:val="0"/>
          <w:numId w:val="6"/>
        </w:numPr>
        <w:autoSpaceDE w:val="0"/>
        <w:autoSpaceDN w:val="0"/>
        <w:adjustRightInd w:val="0"/>
        <w:spacing w:after="120" w:line="276" w:lineRule="auto"/>
        <w:jc w:val="both"/>
        <w:rPr>
          <w:rFonts w:ascii="Times New Roman" w:hAnsi="Times New Roman" w:cs="Times New Roman"/>
          <w:b/>
          <w:color w:val="000000" w:themeColor="text1"/>
          <w:sz w:val="24"/>
          <w:szCs w:val="24"/>
          <w:lang w:val="en-GB"/>
        </w:rPr>
      </w:pPr>
      <w:r w:rsidRPr="00CA318B">
        <w:rPr>
          <w:rFonts w:ascii="Times New Roman" w:hAnsi="Times New Roman" w:cs="Times New Roman"/>
          <w:b/>
          <w:sz w:val="24"/>
          <w:szCs w:val="24"/>
        </w:rPr>
        <w:t>Results and Discussion</w:t>
      </w:r>
    </w:p>
    <w:p w14:paraId="451E846B" w14:textId="2E34E404" w:rsidR="00A06667" w:rsidRDefault="00BB35A3" w:rsidP="00922B26">
      <w:pPr>
        <w:autoSpaceDE w:val="0"/>
        <w:autoSpaceDN w:val="0"/>
        <w:adjustRightInd w:val="0"/>
        <w:spacing w:after="240"/>
        <w:jc w:val="both"/>
        <w:rPr>
          <w:rFonts w:ascii="Times New Roman" w:hAnsi="Times New Roman" w:cs="Times New Roman"/>
          <w:lang w:val="en"/>
        </w:rPr>
      </w:pPr>
      <w:r>
        <w:rPr>
          <w:rFonts w:ascii="Times New Roman" w:hAnsi="Times New Roman" w:cs="Times New Roman"/>
          <w:lang w:val="en"/>
        </w:rPr>
        <w:t>T</w:t>
      </w:r>
      <w:r w:rsidR="00A06667" w:rsidRPr="00A06667">
        <w:rPr>
          <w:rFonts w:ascii="Times New Roman" w:hAnsi="Times New Roman" w:cs="Times New Roman"/>
          <w:lang w:val="en"/>
        </w:rPr>
        <w:t>able</w:t>
      </w:r>
      <w:r>
        <w:rPr>
          <w:rFonts w:ascii="Times New Roman" w:hAnsi="Times New Roman" w:cs="Times New Roman"/>
          <w:lang w:val="en"/>
        </w:rPr>
        <w:t xml:space="preserve"> 1</w:t>
      </w:r>
      <w:r w:rsidR="00A06667" w:rsidRPr="00A06667">
        <w:rPr>
          <w:rFonts w:ascii="Times New Roman" w:hAnsi="Times New Roman" w:cs="Times New Roman"/>
          <w:lang w:val="en"/>
        </w:rPr>
        <w:t xml:space="preserve"> shows the homogeneity of the sample for three variables: age, weight, and length. In this case, we are looking at the homogeneity of the sample across all three variables.</w:t>
      </w:r>
    </w:p>
    <w:p w14:paraId="3B7D8C14" w14:textId="122D03A9" w:rsidR="00922B26" w:rsidRDefault="00922B26" w:rsidP="00922B26">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b/>
          <w:bCs/>
          <w:lang w:val="en"/>
        </w:rPr>
        <w:t>Table 1</w:t>
      </w:r>
      <w:r w:rsidRPr="00922B26">
        <w:rPr>
          <w:rFonts w:ascii="Times New Roman" w:hAnsi="Times New Roman" w:cs="Times New Roman"/>
          <w:lang w:val="en"/>
        </w:rPr>
        <w:t xml:space="preserve"> </w:t>
      </w:r>
      <w:r>
        <w:rPr>
          <w:rFonts w:ascii="Times New Roman" w:hAnsi="Times New Roman" w:cs="Times New Roman"/>
          <w:lang w:val="en"/>
        </w:rPr>
        <w:t>S</w:t>
      </w:r>
      <w:r w:rsidRPr="00922B26">
        <w:rPr>
          <w:rFonts w:ascii="Times New Roman" w:hAnsi="Times New Roman" w:cs="Times New Roman"/>
          <w:lang w:val="en"/>
        </w:rPr>
        <w:t>howing the homogeneity of the sample</w:t>
      </w:r>
    </w:p>
    <w:tbl>
      <w:tblPr>
        <w:tblStyle w:val="a5"/>
        <w:tblpPr w:leftFromText="180" w:rightFromText="180" w:vertAnchor="text" w:horzAnchor="margin" w:tblpXSpec="center" w:tblpY="71"/>
        <w:tblW w:w="0" w:type="auto"/>
        <w:tblLook w:val="04A0" w:firstRow="1" w:lastRow="0" w:firstColumn="1" w:lastColumn="0" w:noHBand="0" w:noVBand="1"/>
      </w:tblPr>
      <w:tblGrid>
        <w:gridCol w:w="1206"/>
        <w:gridCol w:w="1404"/>
        <w:gridCol w:w="1980"/>
        <w:gridCol w:w="1980"/>
      </w:tblGrid>
      <w:tr w:rsidR="00922B26" w:rsidRPr="00922B26" w14:paraId="34F7C68C" w14:textId="77777777" w:rsidTr="00342B2C">
        <w:tc>
          <w:tcPr>
            <w:tcW w:w="1206" w:type="dxa"/>
          </w:tcPr>
          <w:p w14:paraId="1C3C0A9C"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Sequence</w:t>
            </w:r>
          </w:p>
        </w:tc>
        <w:tc>
          <w:tcPr>
            <w:tcW w:w="1404" w:type="dxa"/>
          </w:tcPr>
          <w:p w14:paraId="466FC67B"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rPr>
              <w:t>Variable</w:t>
            </w:r>
          </w:p>
        </w:tc>
        <w:tc>
          <w:tcPr>
            <w:tcW w:w="1980" w:type="dxa"/>
          </w:tcPr>
          <w:p w14:paraId="491E4549"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Arithmetic mean</w:t>
            </w:r>
          </w:p>
        </w:tc>
        <w:tc>
          <w:tcPr>
            <w:tcW w:w="1980" w:type="dxa"/>
          </w:tcPr>
          <w:p w14:paraId="2954CAE0"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Standard deviation</w:t>
            </w:r>
          </w:p>
        </w:tc>
      </w:tr>
      <w:tr w:rsidR="00922B26" w:rsidRPr="00922B26" w14:paraId="284E1240" w14:textId="77777777" w:rsidTr="00342B2C">
        <w:tc>
          <w:tcPr>
            <w:tcW w:w="1206" w:type="dxa"/>
          </w:tcPr>
          <w:p w14:paraId="2088B42A"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1</w:t>
            </w:r>
          </w:p>
        </w:tc>
        <w:tc>
          <w:tcPr>
            <w:tcW w:w="1404" w:type="dxa"/>
          </w:tcPr>
          <w:p w14:paraId="377477CA"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age</w:t>
            </w:r>
          </w:p>
        </w:tc>
        <w:tc>
          <w:tcPr>
            <w:tcW w:w="1980" w:type="dxa"/>
          </w:tcPr>
          <w:p w14:paraId="0A2453A2"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18</w:t>
            </w:r>
          </w:p>
        </w:tc>
        <w:tc>
          <w:tcPr>
            <w:tcW w:w="1980" w:type="dxa"/>
          </w:tcPr>
          <w:p w14:paraId="2EA919C3"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0.71</w:t>
            </w:r>
          </w:p>
        </w:tc>
      </w:tr>
      <w:tr w:rsidR="00922B26" w:rsidRPr="00922B26" w14:paraId="56DFB9D9" w14:textId="77777777" w:rsidTr="00342B2C">
        <w:tc>
          <w:tcPr>
            <w:tcW w:w="1206" w:type="dxa"/>
          </w:tcPr>
          <w:p w14:paraId="561EF4DE"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2</w:t>
            </w:r>
          </w:p>
        </w:tc>
        <w:tc>
          <w:tcPr>
            <w:tcW w:w="1404" w:type="dxa"/>
          </w:tcPr>
          <w:p w14:paraId="7CA4DDC2"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Weight</w:t>
            </w:r>
          </w:p>
        </w:tc>
        <w:tc>
          <w:tcPr>
            <w:tcW w:w="1980" w:type="dxa"/>
          </w:tcPr>
          <w:p w14:paraId="5BDC5802"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60.5</w:t>
            </w:r>
          </w:p>
        </w:tc>
        <w:tc>
          <w:tcPr>
            <w:tcW w:w="1980" w:type="dxa"/>
          </w:tcPr>
          <w:p w14:paraId="2F291A39"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1.52</w:t>
            </w:r>
          </w:p>
        </w:tc>
      </w:tr>
      <w:tr w:rsidR="00922B26" w:rsidRPr="00922B26" w14:paraId="3A4E4B73" w14:textId="77777777" w:rsidTr="00342B2C">
        <w:tc>
          <w:tcPr>
            <w:tcW w:w="1206" w:type="dxa"/>
          </w:tcPr>
          <w:p w14:paraId="5FE99C10" w14:textId="77777777" w:rsidR="00922B26" w:rsidRPr="00922B26" w:rsidRDefault="00922B26" w:rsidP="00922B26">
            <w:pPr>
              <w:jc w:val="center"/>
              <w:rPr>
                <w:rFonts w:ascii="Times New Roman" w:eastAsia="Calibri" w:hAnsi="Times New Roman" w:cs="Times New Roman"/>
                <w:b/>
                <w:bCs/>
                <w:sz w:val="20"/>
                <w:szCs w:val="20"/>
                <w:lang w:bidi="ar-IQ"/>
              </w:rPr>
            </w:pPr>
            <w:r w:rsidRPr="00922B26">
              <w:rPr>
                <w:rFonts w:ascii="Times New Roman" w:eastAsia="Calibri" w:hAnsi="Times New Roman" w:cs="Times New Roman"/>
                <w:b/>
                <w:bCs/>
                <w:sz w:val="20"/>
                <w:szCs w:val="20"/>
                <w:lang w:bidi="ar-IQ"/>
              </w:rPr>
              <w:t>3</w:t>
            </w:r>
          </w:p>
        </w:tc>
        <w:tc>
          <w:tcPr>
            <w:tcW w:w="1404" w:type="dxa"/>
          </w:tcPr>
          <w:p w14:paraId="2014F0AD"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Length/CM</w:t>
            </w:r>
          </w:p>
        </w:tc>
        <w:tc>
          <w:tcPr>
            <w:tcW w:w="1980" w:type="dxa"/>
          </w:tcPr>
          <w:p w14:paraId="5E61CEAC"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173</w:t>
            </w:r>
          </w:p>
        </w:tc>
        <w:tc>
          <w:tcPr>
            <w:tcW w:w="1980" w:type="dxa"/>
          </w:tcPr>
          <w:p w14:paraId="694294AB" w14:textId="77777777" w:rsidR="00922B26" w:rsidRPr="00922B26" w:rsidRDefault="00922B26" w:rsidP="00922B26">
            <w:pPr>
              <w:jc w:val="center"/>
              <w:rPr>
                <w:rFonts w:ascii="Times New Roman" w:eastAsia="Calibri" w:hAnsi="Times New Roman" w:cs="Times New Roman"/>
                <w:sz w:val="20"/>
                <w:szCs w:val="20"/>
                <w:lang w:bidi="ar-IQ"/>
              </w:rPr>
            </w:pPr>
            <w:r w:rsidRPr="00922B26">
              <w:rPr>
                <w:rFonts w:ascii="Times New Roman" w:eastAsia="Calibri" w:hAnsi="Times New Roman" w:cs="Times New Roman"/>
                <w:sz w:val="20"/>
                <w:szCs w:val="20"/>
                <w:lang w:bidi="ar-IQ"/>
              </w:rPr>
              <w:t>5.70</w:t>
            </w:r>
          </w:p>
        </w:tc>
      </w:tr>
    </w:tbl>
    <w:p w14:paraId="2519F16C" w14:textId="77777777" w:rsidR="00922B26" w:rsidRDefault="00922B26" w:rsidP="00922B26">
      <w:pPr>
        <w:autoSpaceDE w:val="0"/>
        <w:autoSpaceDN w:val="0"/>
        <w:adjustRightInd w:val="0"/>
        <w:spacing w:after="240"/>
        <w:jc w:val="both"/>
        <w:rPr>
          <w:rFonts w:ascii="Times New Roman" w:hAnsi="Times New Roman" w:cs="Times New Roman"/>
          <w:lang w:val="en"/>
        </w:rPr>
      </w:pPr>
    </w:p>
    <w:p w14:paraId="68B140C2" w14:textId="77777777" w:rsidR="00922B26" w:rsidRDefault="00922B26" w:rsidP="00922B26">
      <w:pPr>
        <w:autoSpaceDE w:val="0"/>
        <w:autoSpaceDN w:val="0"/>
        <w:adjustRightInd w:val="0"/>
        <w:spacing w:after="240"/>
        <w:jc w:val="both"/>
        <w:rPr>
          <w:rFonts w:ascii="Times New Roman" w:hAnsi="Times New Roman" w:cs="Times New Roman"/>
          <w:lang w:val="en"/>
        </w:rPr>
      </w:pPr>
    </w:p>
    <w:p w14:paraId="058705E8" w14:textId="77777777" w:rsidR="00922B26" w:rsidRDefault="00922B26" w:rsidP="00922B26">
      <w:pPr>
        <w:autoSpaceDE w:val="0"/>
        <w:autoSpaceDN w:val="0"/>
        <w:adjustRightInd w:val="0"/>
        <w:spacing w:after="240"/>
        <w:jc w:val="both"/>
        <w:rPr>
          <w:rFonts w:ascii="Times New Roman" w:hAnsi="Times New Roman" w:cs="Times New Roman"/>
          <w:lang w:val="en"/>
        </w:rPr>
      </w:pPr>
    </w:p>
    <w:p w14:paraId="1295E89E"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Since the arithmetic mean is the average value of the variable in Table 1, the standard deviation is a measure of the extent to which values spread around the mean. The coefficient of variation is low, indicating that the data is accurate and homogeneous. In this case, the arithmetic mean and standard deviation are very similar for all three variables. The arithmetic mean is 18, 60.5, and 173 for age, weight, and length, respectively. The standard deviation is 0.71, 1.52, and 5.70 for age, weight, and length, respectively. This suggests that the sample is homogeneous for all three variables., this is interpreted from Table 1.</w:t>
      </w:r>
    </w:p>
    <w:p w14:paraId="1C09A0B6" w14:textId="3CA9925F"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lastRenderedPageBreak/>
        <w:t xml:space="preserve">The Figure 1 shows the percentage of people who took </w:t>
      </w:r>
      <w:proofErr w:type="spellStart"/>
      <w:r w:rsidRPr="00A06667">
        <w:rPr>
          <w:rFonts w:ascii="Times New Roman" w:hAnsi="Times New Roman" w:cs="Times New Roman"/>
          <w:lang w:val="en-US"/>
        </w:rPr>
        <w:t>cefotaxim</w:t>
      </w:r>
      <w:proofErr w:type="spellEnd"/>
      <w:r w:rsidRPr="00A06667">
        <w:rPr>
          <w:rFonts w:ascii="Times New Roman" w:hAnsi="Times New Roman" w:cs="Times New Roman"/>
          <w:lang w:val="en-US"/>
        </w:rPr>
        <w:t xml:space="preserve"> before and after taking </w:t>
      </w:r>
      <w:proofErr w:type="spellStart"/>
      <w:r w:rsidRPr="00A06667">
        <w:rPr>
          <w:rFonts w:ascii="Times New Roman" w:hAnsi="Times New Roman" w:cs="Times New Roman"/>
          <w:lang w:val="en-US"/>
        </w:rPr>
        <w:t>cefotaxim</w:t>
      </w:r>
      <w:proofErr w:type="spellEnd"/>
      <w:r w:rsidRPr="00A06667">
        <w:rPr>
          <w:rFonts w:ascii="Times New Roman" w:hAnsi="Times New Roman" w:cs="Times New Roman"/>
          <w:lang w:val="en-US"/>
        </w:rPr>
        <w:t xml:space="preserve">. The mean hemoglobin level before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14.5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and the standard deviation was 1.22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xml:space="preserve">. The mean hemoglobin level after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13.5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and the standard deviation was 1.14 g/</w:t>
      </w:r>
      <w:proofErr w:type="spellStart"/>
      <w:r w:rsidRPr="00A06667">
        <w:rPr>
          <w:rFonts w:ascii="Times New Roman" w:hAnsi="Times New Roman" w:cs="Times New Roman"/>
          <w:lang w:val="en-US"/>
        </w:rPr>
        <w:t>dL</w:t>
      </w:r>
      <w:proofErr w:type="spellEnd"/>
      <w:r w:rsidRPr="00A06667">
        <w:rPr>
          <w:rFonts w:ascii="Times New Roman" w:hAnsi="Times New Roman" w:cs="Times New Roman"/>
          <w:lang w:val="en-US"/>
        </w:rPr>
        <w:t xml:space="preserve">. Figure 1 shows that the active substance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has a significant effect at a significance level of 1% on the variable studied (HB).</w:t>
      </w:r>
    </w:p>
    <w:p w14:paraId="38671925" w14:textId="77777777" w:rsidR="00A06667" w:rsidRPr="00A06667" w:rsidRDefault="00A06667" w:rsidP="00A06667">
      <w:pPr>
        <w:autoSpaceDE w:val="0"/>
        <w:autoSpaceDN w:val="0"/>
        <w:adjustRightInd w:val="0"/>
        <w:spacing w:after="240"/>
        <w:jc w:val="center"/>
        <w:rPr>
          <w:rFonts w:ascii="Times New Roman" w:hAnsi="Times New Roman" w:cs="Times New Roman"/>
          <w:lang w:val="en-US"/>
        </w:rPr>
      </w:pPr>
      <w:r w:rsidRPr="00A06667">
        <w:rPr>
          <w:rFonts w:ascii="Times New Roman" w:hAnsi="Times New Roman" w:cs="Times New Roman"/>
          <w:noProof/>
          <w:lang w:val="en-US"/>
        </w:rPr>
        <w:drawing>
          <wp:inline distT="0" distB="0" distL="0" distR="0" wp14:anchorId="500B126C" wp14:editId="53CE8C1B">
            <wp:extent cx="2724150" cy="1533525"/>
            <wp:effectExtent l="0" t="0" r="19050" b="9525"/>
            <wp:docPr id="1" name="مخطط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63C6EAA" w14:textId="50610AFF" w:rsidR="00A06667" w:rsidRPr="00A06667" w:rsidRDefault="00A06667" w:rsidP="00A06667">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b/>
          <w:bCs/>
          <w:lang w:val="en"/>
        </w:rPr>
        <w:t>Figure 1</w:t>
      </w:r>
      <w:r>
        <w:rPr>
          <w:rFonts w:ascii="Times New Roman" w:hAnsi="Times New Roman" w:cs="Times New Roman"/>
          <w:lang w:val="en"/>
        </w:rPr>
        <w:t xml:space="preserve"> </w:t>
      </w:r>
      <w:r w:rsidRPr="00A06667">
        <w:rPr>
          <w:rFonts w:ascii="Times New Roman" w:hAnsi="Times New Roman" w:cs="Times New Roman"/>
          <w:lang w:val="en"/>
        </w:rPr>
        <w:t>HB g/</w:t>
      </w:r>
      <w:proofErr w:type="spellStart"/>
      <w:r w:rsidRPr="00A06667">
        <w:rPr>
          <w:rFonts w:ascii="Times New Roman" w:hAnsi="Times New Roman" w:cs="Times New Roman"/>
          <w:lang w:val="en"/>
        </w:rPr>
        <w:t>dL</w:t>
      </w:r>
      <w:proofErr w:type="spellEnd"/>
      <w:r w:rsidRPr="00A06667">
        <w:rPr>
          <w:rFonts w:ascii="Times New Roman" w:hAnsi="Times New Roman" w:cs="Times New Roman"/>
          <w:lang w:val="en"/>
        </w:rPr>
        <w:t xml:space="preserve">  percentage before and after taking </w:t>
      </w:r>
      <w:proofErr w:type="spellStart"/>
      <w:r w:rsidRPr="00A06667">
        <w:rPr>
          <w:rFonts w:ascii="Times New Roman" w:hAnsi="Times New Roman" w:cs="Times New Roman"/>
          <w:lang w:val="en"/>
        </w:rPr>
        <w:t>cefotaxim</w:t>
      </w:r>
      <w:proofErr w:type="spellEnd"/>
    </w:p>
    <w:p w14:paraId="20AD9A5B" w14:textId="7264345C" w:rsidR="00A06667" w:rsidRPr="00A06667" w:rsidRDefault="00A06667" w:rsidP="00FD5E70">
      <w:pPr>
        <w:autoSpaceDE w:val="0"/>
        <w:autoSpaceDN w:val="0"/>
        <w:adjustRightInd w:val="0"/>
        <w:spacing w:after="240"/>
        <w:jc w:val="both"/>
        <w:rPr>
          <w:rFonts w:ascii="Times New Roman" w:hAnsi="Times New Roman" w:cs="Times New Roman"/>
          <w:lang w:val="en"/>
        </w:rPr>
      </w:pP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can cause a decrease in red blood cell production. Red blood cells are responsible for carrying oxygen throughout the body. When there are not enough red blood cells, it can lead to a decrease in hemoglobin levels. It can cause a decrease in the absorption of iron. Iron is an essential mineral for the production of hemoglobin. When iron levels are low, it can lead to a decrease in hemoglobin levels. It can cause a decrease in the lifespan of red blood cells. Red blood cells normally live for about 120 days. However, certain conditions, such as infection, can shorten the lifespan of red blood cells. This can lead to a decrease in hemoglobin levels. Targeting bacterial infections, supporting the immune system.</w:t>
      </w:r>
      <w:r w:rsidRPr="00A06667">
        <w:rPr>
          <w:rFonts w:ascii="Times New Roman" w:hAnsi="Times New Roman" w:cs="Times New Roman"/>
          <w:lang w:val="en"/>
        </w:rPr>
        <w:t xml:space="preserve"> This study by </w:t>
      </w:r>
      <w:r w:rsidR="00FD5E70">
        <w:rPr>
          <w:rFonts w:ascii="Times New Roman" w:hAnsi="Times New Roman" w:cs="Times New Roman"/>
          <w:lang w:val="en-US"/>
        </w:rPr>
        <w:t>[7]</w:t>
      </w:r>
      <w:r w:rsidRPr="00A06667">
        <w:rPr>
          <w:rFonts w:ascii="Times New Roman" w:hAnsi="Times New Roman" w:cs="Times New Roman"/>
          <w:lang w:val="en"/>
        </w:rPr>
        <w:t xml:space="preserve"> found that </w:t>
      </w:r>
      <w:proofErr w:type="spellStart"/>
      <w:r w:rsidRPr="00A06667">
        <w:rPr>
          <w:rFonts w:ascii="Times New Roman" w:hAnsi="Times New Roman" w:cs="Times New Roman"/>
          <w:lang w:val="en"/>
        </w:rPr>
        <w:t>cefotaxime</w:t>
      </w:r>
      <w:proofErr w:type="spellEnd"/>
      <w:r w:rsidRPr="00A06667">
        <w:rPr>
          <w:rFonts w:ascii="Times New Roman" w:hAnsi="Times New Roman" w:cs="Times New Roman"/>
          <w:lang w:val="en"/>
        </w:rPr>
        <w:t xml:space="preserve"> had a significant effect on hemoglobin levels in patients with pneumonia. The average hemoglobin level decreased between 1-3% g/</w:t>
      </w:r>
      <w:proofErr w:type="spellStart"/>
      <w:r w:rsidRPr="00A06667">
        <w:rPr>
          <w:rFonts w:ascii="Times New Roman" w:hAnsi="Times New Roman" w:cs="Times New Roman"/>
          <w:lang w:val="en"/>
        </w:rPr>
        <w:t>dL</w:t>
      </w:r>
      <w:proofErr w:type="spellEnd"/>
      <w:r w:rsidRPr="00A06667">
        <w:rPr>
          <w:rFonts w:ascii="Times New Roman" w:hAnsi="Times New Roman" w:cs="Times New Roman"/>
          <w:lang w:val="en"/>
        </w:rPr>
        <w:t xml:space="preserve"> after </w:t>
      </w:r>
      <w:proofErr w:type="spellStart"/>
      <w:r w:rsidRPr="00A06667">
        <w:rPr>
          <w:rFonts w:ascii="Times New Roman" w:hAnsi="Times New Roman" w:cs="Times New Roman"/>
          <w:lang w:val="en"/>
        </w:rPr>
        <w:t>cefotaxime</w:t>
      </w:r>
      <w:proofErr w:type="spellEnd"/>
      <w:r w:rsidRPr="00A06667">
        <w:rPr>
          <w:rFonts w:ascii="Times New Roman" w:hAnsi="Times New Roman" w:cs="Times New Roman"/>
          <w:lang w:val="en"/>
        </w:rPr>
        <w:t xml:space="preserve"> administration.</w:t>
      </w:r>
    </w:p>
    <w:p w14:paraId="3F074F94" w14:textId="022EA2AD" w:rsidR="00A06667" w:rsidRPr="00A06667" w:rsidRDefault="00A06667" w:rsidP="00FD5E70">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Figure 2 shows the percentage of people who took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before and after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The mean WBC count before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9600 cells/mm3, and the standard deviation was 1.22 cells/mm3. The mean WBC count after taking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5800 cells/mm3, and the standard deviation was 1.52 cells/mm3. For the variable studied white blood cells </w:t>
      </w:r>
      <w:proofErr w:type="spellStart"/>
      <w:r w:rsidRPr="00A06667">
        <w:rPr>
          <w:rFonts w:ascii="Times New Roman" w:hAnsi="Times New Roman" w:cs="Times New Roman"/>
          <w:lang w:val="en-US"/>
        </w:rPr>
        <w:t>WBc</w:t>
      </w:r>
      <w:proofErr w:type="spellEnd"/>
      <w:r w:rsidRPr="00A06667">
        <w:rPr>
          <w:rFonts w:ascii="Times New Roman" w:hAnsi="Times New Roman" w:cs="Times New Roman"/>
          <w:lang w:val="en-US"/>
        </w:rPr>
        <w:t xml:space="preserve"> the effect of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has a highly significant at a significance level of 1%... This indicates that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is effective in increasing the number of white blood cells in the blood </w:t>
      </w:r>
      <w:r w:rsidRPr="00A06667">
        <w:rPr>
          <w:rFonts w:ascii="Times New Roman" w:hAnsi="Times New Roman" w:cs="Times New Roman" w:hint="cs"/>
          <w:rtl/>
          <w:lang w:val="en" w:bidi="ar-IQ"/>
        </w:rPr>
        <w:t>.</w:t>
      </w:r>
      <w:r w:rsidRPr="00A06667">
        <w:rPr>
          <w:rFonts w:ascii="Times New Roman" w:hAnsi="Times New Roman" w:cs="Times New Roman"/>
          <w:lang w:val="en-US"/>
        </w:rPr>
        <w:t xml:space="preserve">This study by </w:t>
      </w:r>
      <w:r w:rsidR="00FD5E70">
        <w:rPr>
          <w:rFonts w:ascii="Times New Roman" w:hAnsi="Times New Roman" w:cs="Times New Roman"/>
          <w:lang w:val="en-US"/>
        </w:rPr>
        <w:t>[8]</w:t>
      </w:r>
      <w:r w:rsidRPr="00A06667">
        <w:rPr>
          <w:rFonts w:ascii="Times New Roman" w:hAnsi="Times New Roman" w:cs="Times New Roman"/>
          <w:lang w:val="en-US"/>
        </w:rPr>
        <w:t xml:space="preserve"> found that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had a significant effect on WBC levels in patients with neonatal septicemia.</w:t>
      </w:r>
      <w:r w:rsidRPr="00A06667">
        <w:rPr>
          <w:rFonts w:ascii="Times New Roman" w:hAnsi="Times New Roman" w:cs="Times New Roman"/>
          <w:lang w:val="en"/>
        </w:rPr>
        <w:t xml:space="preserve">  </w:t>
      </w:r>
    </w:p>
    <w:p w14:paraId="744A38B7" w14:textId="3B51B5EC" w:rsidR="00A06667" w:rsidRDefault="00A06667" w:rsidP="00A06667">
      <w:pPr>
        <w:autoSpaceDE w:val="0"/>
        <w:autoSpaceDN w:val="0"/>
        <w:adjustRightInd w:val="0"/>
        <w:spacing w:after="240"/>
        <w:jc w:val="center"/>
        <w:rPr>
          <w:rFonts w:ascii="Times New Roman" w:hAnsi="Times New Roman" w:cs="Times New Roman"/>
          <w:lang w:val="en"/>
        </w:rPr>
      </w:pPr>
      <w:r>
        <w:rPr>
          <w:rFonts w:ascii="Times New Roman" w:hAnsi="Times New Roman" w:cs="Times New Roman"/>
          <w:noProof/>
          <w:lang w:val="en-US"/>
        </w:rPr>
        <w:drawing>
          <wp:inline distT="0" distB="0" distL="0" distR="0" wp14:anchorId="65392BED" wp14:editId="429DD06D">
            <wp:extent cx="3054350" cy="1597025"/>
            <wp:effectExtent l="0" t="0" r="0" b="3175"/>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54350" cy="1597025"/>
                    </a:xfrm>
                    <a:prstGeom prst="rect">
                      <a:avLst/>
                    </a:prstGeom>
                    <a:noFill/>
                  </pic:spPr>
                </pic:pic>
              </a:graphicData>
            </a:graphic>
          </wp:inline>
        </w:drawing>
      </w:r>
    </w:p>
    <w:p w14:paraId="4B43FC25" w14:textId="5E6ECD13" w:rsidR="00A06667" w:rsidRPr="00A06667" w:rsidRDefault="00A06667" w:rsidP="00A06667">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b/>
          <w:bCs/>
          <w:lang w:val="en"/>
        </w:rPr>
        <w:t>Figure 2</w:t>
      </w:r>
      <w:r>
        <w:rPr>
          <w:rFonts w:ascii="Times New Roman" w:hAnsi="Times New Roman" w:cs="Times New Roman"/>
          <w:lang w:val="en"/>
        </w:rPr>
        <w:t xml:space="preserve"> </w:t>
      </w:r>
      <w:r w:rsidRPr="00A06667">
        <w:rPr>
          <w:rFonts w:ascii="Times New Roman" w:hAnsi="Times New Roman" w:cs="Times New Roman"/>
          <w:lang w:val="en"/>
        </w:rPr>
        <w:t xml:space="preserve">WBC percentage before and after taking </w:t>
      </w:r>
      <w:proofErr w:type="spellStart"/>
      <w:r w:rsidRPr="00A06667">
        <w:rPr>
          <w:rFonts w:ascii="Times New Roman" w:hAnsi="Times New Roman" w:cs="Times New Roman"/>
          <w:lang w:val="en"/>
        </w:rPr>
        <w:t>cefotaxime</w:t>
      </w:r>
      <w:proofErr w:type="spellEnd"/>
    </w:p>
    <w:p w14:paraId="77905B94"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WBCs help to protect the body from infection. However, too many WBCs can be a sign of infection or inflammation, we can see it in the Figure 2.</w:t>
      </w:r>
    </w:p>
    <w:p w14:paraId="78162C41" w14:textId="77777777" w:rsidR="00A06667" w:rsidRDefault="00A06667" w:rsidP="00A06667">
      <w:pPr>
        <w:autoSpaceDE w:val="0"/>
        <w:autoSpaceDN w:val="0"/>
        <w:adjustRightInd w:val="0"/>
        <w:spacing w:after="240"/>
        <w:jc w:val="both"/>
        <w:rPr>
          <w:rFonts w:ascii="Times New Roman" w:hAnsi="Times New Roman" w:cs="Times New Roman"/>
          <w:lang w:val="en-US"/>
        </w:rPr>
      </w:pP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is a cephalosporin antibiotic. It is used to treat a variety of infections, including bacterial pneumonia, meningitis, and urinary tract infections.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works by killing bacteria.</w:t>
      </w:r>
    </w:p>
    <w:p w14:paraId="5CF1A85C" w14:textId="2AD6AED4" w:rsidR="00A06667" w:rsidRPr="00A06667" w:rsidRDefault="00A06667" w:rsidP="00A06667">
      <w:pPr>
        <w:autoSpaceDE w:val="0"/>
        <w:autoSpaceDN w:val="0"/>
        <w:adjustRightInd w:val="0"/>
        <w:spacing w:after="240"/>
        <w:jc w:val="both"/>
        <w:rPr>
          <w:rFonts w:ascii="Times New Roman" w:hAnsi="Times New Roman" w:cs="Times New Roman"/>
          <w:lang w:val="en"/>
        </w:rPr>
      </w:pPr>
      <w:r w:rsidRPr="00A06667">
        <w:rPr>
          <w:rFonts w:ascii="Times New Roman" w:hAnsi="Times New Roman" w:cs="Times New Roman"/>
          <w:lang w:val="en"/>
        </w:rPr>
        <w:lastRenderedPageBreak/>
        <w:t>In Table 2, you can see the average and standard deviation of a number of pre- and post-</w:t>
      </w:r>
      <w:proofErr w:type="spellStart"/>
      <w:r w:rsidRPr="00A06667">
        <w:rPr>
          <w:rFonts w:ascii="Times New Roman" w:hAnsi="Times New Roman" w:cs="Times New Roman"/>
          <w:lang w:val="en"/>
        </w:rPr>
        <w:t>cefotaxime</w:t>
      </w:r>
      <w:proofErr w:type="spellEnd"/>
      <w:r w:rsidRPr="00A06667">
        <w:rPr>
          <w:rFonts w:ascii="Times New Roman" w:hAnsi="Times New Roman" w:cs="Times New Roman"/>
          <w:lang w:val="en"/>
        </w:rPr>
        <w:t xml:space="preserve"> measures.</w:t>
      </w:r>
      <w:r>
        <w:rPr>
          <w:rFonts w:ascii="Times New Roman" w:hAnsi="Times New Roman" w:cs="Times New Roman"/>
          <w:lang w:val="en"/>
        </w:rPr>
        <w:t xml:space="preserve"> </w:t>
      </w:r>
      <w:r w:rsidRPr="00A06667">
        <w:rPr>
          <w:rFonts w:ascii="Times New Roman" w:hAnsi="Times New Roman" w:cs="Times New Roman"/>
          <w:lang w:val="en-US"/>
        </w:rPr>
        <w:t>The measurements include S.GOT, S.ALT, S.ALP, S. Na, and S. k.</w:t>
      </w:r>
    </w:p>
    <w:p w14:paraId="05ACC49C" w14:textId="076E20F7" w:rsidR="00A06667" w:rsidRPr="00A06667" w:rsidRDefault="00A06667" w:rsidP="00A06667">
      <w:pPr>
        <w:autoSpaceDE w:val="0"/>
        <w:autoSpaceDN w:val="0"/>
        <w:adjustRightInd w:val="0"/>
        <w:spacing w:after="240"/>
        <w:ind w:left="850" w:hanging="850"/>
        <w:jc w:val="both"/>
        <w:rPr>
          <w:rFonts w:ascii="Times New Roman" w:hAnsi="Times New Roman" w:cs="Times New Roman"/>
          <w:rtl/>
          <w:lang w:val="en-US" w:bidi="ar-IQ"/>
        </w:rPr>
      </w:pPr>
      <w:r w:rsidRPr="00A06667">
        <w:rPr>
          <w:rFonts w:ascii="Times New Roman" w:hAnsi="Times New Roman" w:cs="Times New Roman"/>
          <w:b/>
          <w:bCs/>
          <w:lang w:val="en-US" w:bidi="ar-IQ"/>
        </w:rPr>
        <w:t>Table 2</w:t>
      </w:r>
      <w:r w:rsidRPr="00A06667">
        <w:rPr>
          <w:rFonts w:ascii="Times New Roman" w:hAnsi="Times New Roman" w:cs="Times New Roman"/>
          <w:lang w:val="en-US" w:bidi="ar-IQ"/>
        </w:rPr>
        <w:t xml:space="preserve"> </w:t>
      </w:r>
      <w:r>
        <w:rPr>
          <w:rFonts w:ascii="Times New Roman" w:hAnsi="Times New Roman" w:cs="Times New Roman"/>
          <w:lang w:val="en-US" w:bidi="ar-IQ"/>
        </w:rPr>
        <w:t>S</w:t>
      </w:r>
      <w:r w:rsidRPr="00A06667">
        <w:rPr>
          <w:rFonts w:ascii="Times New Roman" w:hAnsi="Times New Roman" w:cs="Times New Roman"/>
          <w:lang w:val="en-US" w:bidi="ar-IQ"/>
        </w:rPr>
        <w:t>hows the mean and standard deviation of various measurements before and af</w:t>
      </w:r>
      <w:r>
        <w:rPr>
          <w:rFonts w:ascii="Times New Roman" w:hAnsi="Times New Roman" w:cs="Times New Roman"/>
          <w:lang w:val="en-US" w:bidi="ar-IQ"/>
        </w:rPr>
        <w:t xml:space="preserve">ter taking the drug </w:t>
      </w:r>
      <w:proofErr w:type="spellStart"/>
      <w:r>
        <w:rPr>
          <w:rFonts w:ascii="Times New Roman" w:hAnsi="Times New Roman" w:cs="Times New Roman"/>
          <w:lang w:val="en-US" w:bidi="ar-IQ"/>
        </w:rPr>
        <w:t>cefotaxime</w:t>
      </w:r>
      <w:proofErr w:type="spellEnd"/>
    </w:p>
    <w:tbl>
      <w:tblPr>
        <w:tblStyle w:val="a5"/>
        <w:tblW w:w="0" w:type="auto"/>
        <w:tblInd w:w="738" w:type="dxa"/>
        <w:tblLook w:val="04A0" w:firstRow="1" w:lastRow="0" w:firstColumn="1" w:lastColumn="0" w:noHBand="0" w:noVBand="1"/>
      </w:tblPr>
      <w:tblGrid>
        <w:gridCol w:w="1175"/>
        <w:gridCol w:w="1735"/>
        <w:gridCol w:w="1613"/>
        <w:gridCol w:w="1549"/>
        <w:gridCol w:w="1496"/>
        <w:gridCol w:w="1270"/>
      </w:tblGrid>
      <w:tr w:rsidR="00A06667" w:rsidRPr="000959D8" w14:paraId="246DE8AE" w14:textId="77777777" w:rsidTr="00342B2C">
        <w:trPr>
          <w:trHeight w:val="256"/>
        </w:trPr>
        <w:tc>
          <w:tcPr>
            <w:tcW w:w="1175" w:type="dxa"/>
          </w:tcPr>
          <w:p w14:paraId="4FFF460D"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variable</w:t>
            </w:r>
          </w:p>
        </w:tc>
        <w:tc>
          <w:tcPr>
            <w:tcW w:w="1735" w:type="dxa"/>
          </w:tcPr>
          <w:p w14:paraId="0F2F2F1A"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tl/>
                <w:lang w:bidi="ar-IQ"/>
              </w:rPr>
            </w:pPr>
            <w:r w:rsidRPr="000959D8">
              <w:rPr>
                <w:rFonts w:ascii="Times New Roman" w:hAnsi="Times New Roman" w:cs="Times New Roman"/>
                <w:b/>
                <w:bCs/>
                <w:sz w:val="20"/>
                <w:szCs w:val="20"/>
                <w:lang w:val="en"/>
              </w:rPr>
              <w:t>Measurement</w:t>
            </w:r>
          </w:p>
          <w:p w14:paraId="202EABC6"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p>
        </w:tc>
        <w:tc>
          <w:tcPr>
            <w:tcW w:w="1613" w:type="dxa"/>
          </w:tcPr>
          <w:p w14:paraId="39808EAA"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Arithmetic mean</w:t>
            </w:r>
          </w:p>
        </w:tc>
        <w:tc>
          <w:tcPr>
            <w:tcW w:w="1549" w:type="dxa"/>
          </w:tcPr>
          <w:p w14:paraId="13EDF164"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Standard deviation</w:t>
            </w:r>
          </w:p>
        </w:tc>
        <w:tc>
          <w:tcPr>
            <w:tcW w:w="1496" w:type="dxa"/>
          </w:tcPr>
          <w:p w14:paraId="2A5256CE"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T calculated</w:t>
            </w:r>
          </w:p>
        </w:tc>
        <w:tc>
          <w:tcPr>
            <w:tcW w:w="1270" w:type="dxa"/>
          </w:tcPr>
          <w:p w14:paraId="33D8EFA2" w14:textId="77777777" w:rsidR="00A06667" w:rsidRPr="000959D8" w:rsidRDefault="00A06667" w:rsidP="00A06667">
            <w:pPr>
              <w:autoSpaceDE w:val="0"/>
              <w:autoSpaceDN w:val="0"/>
              <w:adjustRightInd w:val="0"/>
              <w:spacing w:after="240"/>
              <w:jc w:val="both"/>
              <w:rPr>
                <w:rFonts w:ascii="Times New Roman" w:hAnsi="Times New Roman" w:cs="Times New Roman"/>
                <w:b/>
                <w:bCs/>
                <w:sz w:val="20"/>
                <w:szCs w:val="20"/>
              </w:rPr>
            </w:pPr>
            <w:r w:rsidRPr="000959D8">
              <w:rPr>
                <w:rFonts w:ascii="Times New Roman" w:hAnsi="Times New Roman" w:cs="Times New Roman"/>
                <w:b/>
                <w:bCs/>
                <w:sz w:val="20"/>
                <w:szCs w:val="20"/>
              </w:rPr>
              <w:t xml:space="preserve">Correlation co-efficient </w:t>
            </w:r>
          </w:p>
        </w:tc>
      </w:tr>
      <w:tr w:rsidR="00A06667" w:rsidRPr="000959D8" w14:paraId="5CA87E3A" w14:textId="77777777" w:rsidTr="00342B2C">
        <w:trPr>
          <w:trHeight w:val="150"/>
        </w:trPr>
        <w:tc>
          <w:tcPr>
            <w:tcW w:w="1175" w:type="dxa"/>
          </w:tcPr>
          <w:p w14:paraId="278411F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S.GOT U/L</w:t>
            </w:r>
          </w:p>
        </w:tc>
        <w:tc>
          <w:tcPr>
            <w:tcW w:w="1735" w:type="dxa"/>
          </w:tcPr>
          <w:p w14:paraId="10B2C1E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Before</w:t>
            </w:r>
          </w:p>
        </w:tc>
        <w:tc>
          <w:tcPr>
            <w:tcW w:w="1613" w:type="dxa"/>
          </w:tcPr>
          <w:p w14:paraId="34C6384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9</w:t>
            </w:r>
          </w:p>
        </w:tc>
        <w:tc>
          <w:tcPr>
            <w:tcW w:w="1549" w:type="dxa"/>
          </w:tcPr>
          <w:p w14:paraId="3368CDF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1.22</w:t>
            </w:r>
          </w:p>
        </w:tc>
        <w:tc>
          <w:tcPr>
            <w:tcW w:w="1496" w:type="dxa"/>
            <w:vMerge w:val="restart"/>
          </w:tcPr>
          <w:p w14:paraId="56B2209F"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10.614</w:t>
            </w:r>
          </w:p>
        </w:tc>
        <w:tc>
          <w:tcPr>
            <w:tcW w:w="1270" w:type="dxa"/>
            <w:vMerge w:val="restart"/>
          </w:tcPr>
          <w:p w14:paraId="0A9A4DD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significant</w:t>
            </w:r>
          </w:p>
        </w:tc>
      </w:tr>
      <w:tr w:rsidR="00A06667" w:rsidRPr="000959D8" w14:paraId="343033AC" w14:textId="77777777" w:rsidTr="00342B2C">
        <w:trPr>
          <w:trHeight w:val="150"/>
        </w:trPr>
        <w:tc>
          <w:tcPr>
            <w:tcW w:w="1175" w:type="dxa"/>
          </w:tcPr>
          <w:p w14:paraId="46FF6A7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4FA40037"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After</w:t>
            </w:r>
          </w:p>
        </w:tc>
        <w:tc>
          <w:tcPr>
            <w:tcW w:w="1613" w:type="dxa"/>
          </w:tcPr>
          <w:p w14:paraId="61A92588"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6.4</w:t>
            </w:r>
          </w:p>
        </w:tc>
        <w:tc>
          <w:tcPr>
            <w:tcW w:w="1549" w:type="dxa"/>
          </w:tcPr>
          <w:p w14:paraId="3111AD4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1.14</w:t>
            </w:r>
          </w:p>
        </w:tc>
        <w:tc>
          <w:tcPr>
            <w:tcW w:w="1496" w:type="dxa"/>
            <w:vMerge/>
          </w:tcPr>
          <w:p w14:paraId="0E31FCC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2EBA17CF"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r w:rsidR="00A06667" w:rsidRPr="000959D8" w14:paraId="36999BC3" w14:textId="77777777" w:rsidTr="00342B2C">
        <w:trPr>
          <w:trHeight w:val="150"/>
        </w:trPr>
        <w:tc>
          <w:tcPr>
            <w:tcW w:w="1175" w:type="dxa"/>
          </w:tcPr>
          <w:p w14:paraId="383B0E4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S.ALT U/L</w:t>
            </w:r>
          </w:p>
        </w:tc>
        <w:tc>
          <w:tcPr>
            <w:tcW w:w="1735" w:type="dxa"/>
          </w:tcPr>
          <w:p w14:paraId="4CA0580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Before</w:t>
            </w:r>
          </w:p>
        </w:tc>
        <w:tc>
          <w:tcPr>
            <w:tcW w:w="1613" w:type="dxa"/>
          </w:tcPr>
          <w:p w14:paraId="3E5D8C9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10.8</w:t>
            </w:r>
          </w:p>
        </w:tc>
        <w:tc>
          <w:tcPr>
            <w:tcW w:w="1549" w:type="dxa"/>
          </w:tcPr>
          <w:p w14:paraId="25E63480"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1.30</w:t>
            </w:r>
          </w:p>
        </w:tc>
        <w:tc>
          <w:tcPr>
            <w:tcW w:w="1496" w:type="dxa"/>
            <w:vMerge w:val="restart"/>
          </w:tcPr>
          <w:p w14:paraId="0B78D138" w14:textId="2B2A8211" w:rsidR="00A06667" w:rsidRPr="000959D8" w:rsidRDefault="001D633B" w:rsidP="00A06667">
            <w:pPr>
              <w:autoSpaceDE w:val="0"/>
              <w:autoSpaceDN w:val="0"/>
              <w:adjustRightInd w:val="0"/>
              <w:spacing w:after="240"/>
              <w:jc w:val="both"/>
              <w:rPr>
                <w:rFonts w:ascii="Times New Roman" w:hAnsi="Times New Roman" w:cs="Times New Roman"/>
                <w:sz w:val="20"/>
                <w:szCs w:val="20"/>
              </w:rPr>
            </w:pPr>
            <w:r>
              <w:rPr>
                <w:rFonts w:ascii="Times New Roman" w:hAnsi="Times New Roman" w:cs="Times New Roman"/>
                <w:sz w:val="20"/>
                <w:szCs w:val="20"/>
              </w:rPr>
              <w:t>13.880</w:t>
            </w:r>
            <w:bookmarkStart w:id="0" w:name="_GoBack"/>
            <w:bookmarkEnd w:id="0"/>
          </w:p>
        </w:tc>
        <w:tc>
          <w:tcPr>
            <w:tcW w:w="1270" w:type="dxa"/>
            <w:vMerge w:val="restart"/>
          </w:tcPr>
          <w:p w14:paraId="34FF0618" w14:textId="7EBB7177" w:rsidR="00A06667" w:rsidRPr="000959D8" w:rsidRDefault="00F16D01"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Significant</w:t>
            </w:r>
          </w:p>
        </w:tc>
      </w:tr>
      <w:tr w:rsidR="00A06667" w:rsidRPr="000959D8" w14:paraId="27AB3F0F" w14:textId="77777777" w:rsidTr="00342B2C">
        <w:trPr>
          <w:trHeight w:val="156"/>
        </w:trPr>
        <w:tc>
          <w:tcPr>
            <w:tcW w:w="1175" w:type="dxa"/>
          </w:tcPr>
          <w:p w14:paraId="3DF967E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2413B727"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After</w:t>
            </w:r>
          </w:p>
        </w:tc>
        <w:tc>
          <w:tcPr>
            <w:tcW w:w="1613" w:type="dxa"/>
          </w:tcPr>
          <w:p w14:paraId="2366096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7.4</w:t>
            </w:r>
          </w:p>
        </w:tc>
        <w:tc>
          <w:tcPr>
            <w:tcW w:w="1549" w:type="dxa"/>
          </w:tcPr>
          <w:p w14:paraId="1C8414D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1.51</w:t>
            </w:r>
          </w:p>
        </w:tc>
        <w:tc>
          <w:tcPr>
            <w:tcW w:w="1496" w:type="dxa"/>
            <w:vMerge/>
          </w:tcPr>
          <w:p w14:paraId="121FE362"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6C62DC53"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r w:rsidR="00A06667" w:rsidRPr="000959D8" w14:paraId="180DB8F1" w14:textId="77777777" w:rsidTr="00342B2C">
        <w:trPr>
          <w:trHeight w:val="150"/>
        </w:trPr>
        <w:tc>
          <w:tcPr>
            <w:tcW w:w="1175" w:type="dxa"/>
          </w:tcPr>
          <w:p w14:paraId="6F9EF34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S.ALP U/L</w:t>
            </w:r>
          </w:p>
        </w:tc>
        <w:tc>
          <w:tcPr>
            <w:tcW w:w="1735" w:type="dxa"/>
          </w:tcPr>
          <w:p w14:paraId="3FE88413"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 xml:space="preserve">Before </w:t>
            </w:r>
          </w:p>
        </w:tc>
        <w:tc>
          <w:tcPr>
            <w:tcW w:w="1613" w:type="dxa"/>
          </w:tcPr>
          <w:p w14:paraId="561FA218"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14.8</w:t>
            </w:r>
          </w:p>
        </w:tc>
        <w:tc>
          <w:tcPr>
            <w:tcW w:w="1549" w:type="dxa"/>
          </w:tcPr>
          <w:p w14:paraId="169A60B7"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1.30</w:t>
            </w:r>
          </w:p>
        </w:tc>
        <w:tc>
          <w:tcPr>
            <w:tcW w:w="1496" w:type="dxa"/>
            <w:vMerge w:val="restart"/>
          </w:tcPr>
          <w:p w14:paraId="3B7D18D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17.963</w:t>
            </w:r>
          </w:p>
        </w:tc>
        <w:tc>
          <w:tcPr>
            <w:tcW w:w="1270" w:type="dxa"/>
            <w:vMerge w:val="restart"/>
          </w:tcPr>
          <w:p w14:paraId="492E80BD"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Significant</w:t>
            </w:r>
          </w:p>
        </w:tc>
      </w:tr>
      <w:tr w:rsidR="00A06667" w:rsidRPr="000959D8" w14:paraId="7774F523" w14:textId="77777777" w:rsidTr="00342B2C">
        <w:trPr>
          <w:trHeight w:val="150"/>
        </w:trPr>
        <w:tc>
          <w:tcPr>
            <w:tcW w:w="1175" w:type="dxa"/>
          </w:tcPr>
          <w:p w14:paraId="617CA6B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0614273A"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 xml:space="preserve">After </w:t>
            </w:r>
          </w:p>
        </w:tc>
        <w:tc>
          <w:tcPr>
            <w:tcW w:w="1613" w:type="dxa"/>
          </w:tcPr>
          <w:p w14:paraId="4E319BC2"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10.4</w:t>
            </w:r>
          </w:p>
        </w:tc>
        <w:tc>
          <w:tcPr>
            <w:tcW w:w="1549" w:type="dxa"/>
          </w:tcPr>
          <w:p w14:paraId="60314A73"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0.89</w:t>
            </w:r>
          </w:p>
        </w:tc>
        <w:tc>
          <w:tcPr>
            <w:tcW w:w="1496" w:type="dxa"/>
            <w:vMerge/>
          </w:tcPr>
          <w:p w14:paraId="5E0209F9"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0F457A6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r w:rsidR="00A06667" w:rsidRPr="000959D8" w14:paraId="66A236D7" w14:textId="77777777" w:rsidTr="00342B2C">
        <w:trPr>
          <w:trHeight w:val="305"/>
        </w:trPr>
        <w:tc>
          <w:tcPr>
            <w:tcW w:w="1175" w:type="dxa"/>
          </w:tcPr>
          <w:p w14:paraId="5CED435D"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S. Na</w:t>
            </w:r>
          </w:p>
          <w:p w14:paraId="153E262C"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vertAlign w:val="superscript"/>
              </w:rPr>
            </w:pPr>
            <w:r w:rsidRPr="000959D8">
              <w:rPr>
                <w:rFonts w:ascii="Times New Roman" w:hAnsi="Times New Roman" w:cs="Times New Roman"/>
                <w:sz w:val="20"/>
                <w:szCs w:val="20"/>
              </w:rPr>
              <w:t>S. k</w:t>
            </w:r>
            <w:r w:rsidRPr="000959D8">
              <w:rPr>
                <w:rFonts w:ascii="Times New Roman" w:hAnsi="Times New Roman" w:cs="Times New Roman"/>
                <w:sz w:val="20"/>
                <w:szCs w:val="20"/>
                <w:vertAlign w:val="superscript"/>
              </w:rPr>
              <w:t>+</w:t>
            </w:r>
          </w:p>
          <w:p w14:paraId="0C4B223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vertAlign w:val="superscript"/>
              </w:rPr>
            </w:pPr>
            <w:proofErr w:type="spellStart"/>
            <w:r w:rsidRPr="000959D8">
              <w:rPr>
                <w:rFonts w:ascii="Times New Roman" w:hAnsi="Times New Roman" w:cs="Times New Roman"/>
                <w:sz w:val="20"/>
                <w:szCs w:val="20"/>
              </w:rPr>
              <w:t>mmol</w:t>
            </w:r>
            <w:proofErr w:type="spellEnd"/>
            <w:r w:rsidRPr="000959D8">
              <w:rPr>
                <w:rFonts w:ascii="Times New Roman" w:hAnsi="Times New Roman" w:cs="Times New Roman"/>
                <w:sz w:val="20"/>
                <w:szCs w:val="20"/>
              </w:rPr>
              <w:t>/l</w:t>
            </w:r>
          </w:p>
        </w:tc>
        <w:tc>
          <w:tcPr>
            <w:tcW w:w="1735" w:type="dxa"/>
          </w:tcPr>
          <w:p w14:paraId="396CE669"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Before</w:t>
            </w:r>
          </w:p>
        </w:tc>
        <w:tc>
          <w:tcPr>
            <w:tcW w:w="1613" w:type="dxa"/>
          </w:tcPr>
          <w:p w14:paraId="21D00DB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60.6</w:t>
            </w:r>
          </w:p>
        </w:tc>
        <w:tc>
          <w:tcPr>
            <w:tcW w:w="1549" w:type="dxa"/>
          </w:tcPr>
          <w:p w14:paraId="45AB92A1"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1.52</w:t>
            </w:r>
          </w:p>
        </w:tc>
        <w:tc>
          <w:tcPr>
            <w:tcW w:w="1496" w:type="dxa"/>
            <w:vMerge w:val="restart"/>
          </w:tcPr>
          <w:p w14:paraId="62250034"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6.5</w:t>
            </w:r>
          </w:p>
        </w:tc>
        <w:tc>
          <w:tcPr>
            <w:tcW w:w="1270" w:type="dxa"/>
            <w:vMerge w:val="restart"/>
          </w:tcPr>
          <w:p w14:paraId="4085C34D"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 xml:space="preserve">Significant </w:t>
            </w:r>
          </w:p>
        </w:tc>
      </w:tr>
      <w:tr w:rsidR="00A06667" w:rsidRPr="000959D8" w14:paraId="0326638C" w14:textId="77777777" w:rsidTr="00342B2C">
        <w:trPr>
          <w:trHeight w:val="156"/>
        </w:trPr>
        <w:tc>
          <w:tcPr>
            <w:tcW w:w="1175" w:type="dxa"/>
          </w:tcPr>
          <w:p w14:paraId="781EB61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735" w:type="dxa"/>
          </w:tcPr>
          <w:p w14:paraId="4D3C5DF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After</w:t>
            </w:r>
          </w:p>
        </w:tc>
        <w:tc>
          <w:tcPr>
            <w:tcW w:w="1613" w:type="dxa"/>
          </w:tcPr>
          <w:p w14:paraId="1FEE46EB"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58</w:t>
            </w:r>
          </w:p>
        </w:tc>
        <w:tc>
          <w:tcPr>
            <w:tcW w:w="1549" w:type="dxa"/>
          </w:tcPr>
          <w:p w14:paraId="13236BF5"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r w:rsidRPr="000959D8">
              <w:rPr>
                <w:rFonts w:ascii="Times New Roman" w:hAnsi="Times New Roman" w:cs="Times New Roman"/>
                <w:sz w:val="20"/>
                <w:szCs w:val="20"/>
              </w:rPr>
              <w:t>1.22`</w:t>
            </w:r>
          </w:p>
        </w:tc>
        <w:tc>
          <w:tcPr>
            <w:tcW w:w="1496" w:type="dxa"/>
            <w:vMerge/>
          </w:tcPr>
          <w:p w14:paraId="50F14D86"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c>
          <w:tcPr>
            <w:tcW w:w="1270" w:type="dxa"/>
            <w:vMerge/>
          </w:tcPr>
          <w:p w14:paraId="5437FE5F" w14:textId="77777777" w:rsidR="00A06667" w:rsidRPr="000959D8" w:rsidRDefault="00A06667" w:rsidP="00A06667">
            <w:pPr>
              <w:autoSpaceDE w:val="0"/>
              <w:autoSpaceDN w:val="0"/>
              <w:adjustRightInd w:val="0"/>
              <w:spacing w:after="240"/>
              <w:jc w:val="both"/>
              <w:rPr>
                <w:rFonts w:ascii="Times New Roman" w:hAnsi="Times New Roman" w:cs="Times New Roman"/>
                <w:sz w:val="20"/>
                <w:szCs w:val="20"/>
              </w:rPr>
            </w:pPr>
          </w:p>
        </w:tc>
      </w:tr>
    </w:tbl>
    <w:p w14:paraId="24AF370C" w14:textId="412426A6" w:rsidR="00A06667" w:rsidRPr="00A06667" w:rsidRDefault="00A06667" w:rsidP="00A06667">
      <w:pPr>
        <w:autoSpaceDE w:val="0"/>
        <w:autoSpaceDN w:val="0"/>
        <w:adjustRightInd w:val="0"/>
        <w:spacing w:after="240"/>
        <w:jc w:val="both"/>
        <w:rPr>
          <w:rFonts w:ascii="Times New Roman" w:hAnsi="Times New Roman" w:cs="Times New Roman"/>
          <w:lang w:val="en-US"/>
        </w:rPr>
      </w:pPr>
    </w:p>
    <w:p w14:paraId="70DF83D3"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S.GOT (aspartate aminotransferase)</w:t>
      </w:r>
    </w:p>
    <w:p w14:paraId="49D125E5" w14:textId="77777777" w:rsidR="00A06667" w:rsidRPr="00A06667" w:rsidRDefault="00A06667" w:rsidP="00B4571C">
      <w:pPr>
        <w:numPr>
          <w:ilvl w:val="0"/>
          <w:numId w:val="37"/>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9 U/L</w:t>
      </w:r>
    </w:p>
    <w:p w14:paraId="77A79FC6" w14:textId="77777777" w:rsidR="00A06667" w:rsidRPr="00A06667" w:rsidRDefault="00A06667" w:rsidP="00B4571C">
      <w:pPr>
        <w:numPr>
          <w:ilvl w:val="0"/>
          <w:numId w:val="37"/>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6.4 U/L</w:t>
      </w:r>
    </w:p>
    <w:p w14:paraId="74A96A1C"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The normal reference range for S.GOT is 0-3</w:t>
      </w:r>
      <w:r w:rsidRPr="00A06667">
        <w:rPr>
          <w:rFonts w:ascii="Times New Roman" w:hAnsi="Times New Roman" w:cs="Times New Roman" w:hint="cs"/>
          <w:rtl/>
          <w:lang w:val="en-US" w:bidi="ar-IQ"/>
        </w:rPr>
        <w:t>2</w:t>
      </w:r>
      <w:r w:rsidRPr="00A06667">
        <w:rPr>
          <w:rFonts w:ascii="Times New Roman" w:hAnsi="Times New Roman" w:cs="Times New Roman"/>
          <w:lang w:val="en-US"/>
        </w:rPr>
        <w:t xml:space="preserve"> U/L. The patient's S.GOT level was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suggests that the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effective in reducing the damage to the patient's liver cells.</w:t>
      </w:r>
    </w:p>
    <w:p w14:paraId="2258A5B1"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S.ALT (alanine aminotransferase)</w:t>
      </w:r>
    </w:p>
    <w:p w14:paraId="3DD931F8" w14:textId="77777777" w:rsidR="00A06667" w:rsidRPr="00A06667" w:rsidRDefault="00A06667" w:rsidP="00B4571C">
      <w:pPr>
        <w:numPr>
          <w:ilvl w:val="0"/>
          <w:numId w:val="38"/>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10.8 U/L</w:t>
      </w:r>
    </w:p>
    <w:p w14:paraId="505ED98D" w14:textId="77777777" w:rsidR="00A06667" w:rsidRPr="00A06667" w:rsidRDefault="00A06667" w:rsidP="00B4571C">
      <w:pPr>
        <w:numPr>
          <w:ilvl w:val="0"/>
          <w:numId w:val="38"/>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7.4 U/L</w:t>
      </w:r>
    </w:p>
    <w:p w14:paraId="61CCC39F"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The normal reference range for S.ALT is 0-</w:t>
      </w:r>
      <w:r w:rsidRPr="00A06667">
        <w:rPr>
          <w:rFonts w:ascii="Times New Roman" w:hAnsi="Times New Roman" w:cs="Times New Roman" w:hint="cs"/>
          <w:rtl/>
          <w:lang w:val="en-US" w:bidi="ar-IQ"/>
        </w:rPr>
        <w:t>33</w:t>
      </w:r>
      <w:r w:rsidRPr="00A06667">
        <w:rPr>
          <w:rFonts w:ascii="Times New Roman" w:hAnsi="Times New Roman" w:cs="Times New Roman"/>
          <w:lang w:val="en-US"/>
        </w:rPr>
        <w:t xml:space="preserve"> U/L. The patient's S.ALT level was also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is another sign that the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effective in reducing the damage to the patient's liver cells.</w:t>
      </w:r>
    </w:p>
    <w:p w14:paraId="07799CF5"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S.ALP (alkaline phosphatase)</w:t>
      </w:r>
    </w:p>
    <w:p w14:paraId="5F870F96" w14:textId="77777777" w:rsidR="00A06667" w:rsidRPr="00A06667" w:rsidRDefault="00A06667" w:rsidP="00B4571C">
      <w:pPr>
        <w:numPr>
          <w:ilvl w:val="0"/>
          <w:numId w:val="39"/>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14.8 U/L</w:t>
      </w:r>
    </w:p>
    <w:p w14:paraId="5B6DCA41" w14:textId="77777777" w:rsidR="00A06667" w:rsidRPr="00A06667" w:rsidRDefault="00A06667" w:rsidP="00B4571C">
      <w:pPr>
        <w:numPr>
          <w:ilvl w:val="0"/>
          <w:numId w:val="39"/>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10.4 U/L</w:t>
      </w:r>
    </w:p>
    <w:p w14:paraId="1DF4F482"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lastRenderedPageBreak/>
        <w:t xml:space="preserve">The normal reference range for S.ALP is 35_104 U/L. The patient's S.ALP level was mildly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is another sign that the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was effective in improving the patient's liver function.</w:t>
      </w:r>
    </w:p>
    <w:p w14:paraId="5954F159"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 Na (sodium)</w:t>
      </w:r>
    </w:p>
    <w:p w14:paraId="2ABBC02B" w14:textId="77777777" w:rsidR="00A06667" w:rsidRPr="00A06667" w:rsidRDefault="00A06667" w:rsidP="00B4571C">
      <w:pPr>
        <w:numPr>
          <w:ilvl w:val="0"/>
          <w:numId w:val="40"/>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 xml:space="preserve">Before treatment: 60.6 </w:t>
      </w:r>
      <w:proofErr w:type="spellStart"/>
      <w:r w:rsidRPr="00A06667">
        <w:rPr>
          <w:rFonts w:ascii="Times New Roman" w:hAnsi="Times New Roman" w:cs="Times New Roman"/>
          <w:lang w:val="en-US"/>
        </w:rPr>
        <w:t>mmol</w:t>
      </w:r>
      <w:proofErr w:type="spellEnd"/>
      <w:r w:rsidRPr="00A06667">
        <w:rPr>
          <w:rFonts w:ascii="Times New Roman" w:hAnsi="Times New Roman" w:cs="Times New Roman"/>
          <w:lang w:val="en-US"/>
        </w:rPr>
        <w:t>/L</w:t>
      </w:r>
    </w:p>
    <w:p w14:paraId="7FC80D7B" w14:textId="77777777" w:rsidR="00A06667" w:rsidRPr="00A06667" w:rsidRDefault="00A06667" w:rsidP="00B4571C">
      <w:pPr>
        <w:numPr>
          <w:ilvl w:val="0"/>
          <w:numId w:val="40"/>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 xml:space="preserve">After treatment: 58 </w:t>
      </w:r>
      <w:proofErr w:type="spellStart"/>
      <w:r w:rsidRPr="00A06667">
        <w:rPr>
          <w:rFonts w:ascii="Times New Roman" w:hAnsi="Times New Roman" w:cs="Times New Roman"/>
          <w:lang w:val="en-US"/>
        </w:rPr>
        <w:t>mmol</w:t>
      </w:r>
      <w:proofErr w:type="spellEnd"/>
      <w:r w:rsidRPr="00A06667">
        <w:rPr>
          <w:rFonts w:ascii="Times New Roman" w:hAnsi="Times New Roman" w:cs="Times New Roman"/>
          <w:lang w:val="en-US"/>
        </w:rPr>
        <w:t>/L</w:t>
      </w:r>
    </w:p>
    <w:p w14:paraId="38BA1C0C" w14:textId="31D47F2B"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The patient's S. Na level was mildly elevated before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but it decreased to within the normal range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This is likely due to the fact that the patient's liver function improved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w:t>
      </w:r>
    </w:p>
    <w:p w14:paraId="56D2D5A5"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S. k+ (potassium)</w:t>
      </w:r>
    </w:p>
    <w:p w14:paraId="715AFA3F" w14:textId="77777777" w:rsidR="00A06667" w:rsidRPr="00A06667" w:rsidRDefault="00A06667" w:rsidP="00B4571C">
      <w:pPr>
        <w:numPr>
          <w:ilvl w:val="0"/>
          <w:numId w:val="41"/>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Before treatment: normal</w:t>
      </w:r>
    </w:p>
    <w:p w14:paraId="4A3F44E3" w14:textId="77777777" w:rsidR="00A06667" w:rsidRPr="00A06667" w:rsidRDefault="00A06667" w:rsidP="00B4571C">
      <w:pPr>
        <w:numPr>
          <w:ilvl w:val="0"/>
          <w:numId w:val="41"/>
        </w:numPr>
        <w:autoSpaceDE w:val="0"/>
        <w:autoSpaceDN w:val="0"/>
        <w:adjustRightInd w:val="0"/>
        <w:spacing w:after="240"/>
        <w:ind w:left="360"/>
        <w:jc w:val="both"/>
        <w:rPr>
          <w:rFonts w:ascii="Times New Roman" w:hAnsi="Times New Roman" w:cs="Times New Roman"/>
          <w:lang w:val="en-US"/>
        </w:rPr>
      </w:pPr>
      <w:r w:rsidRPr="00A06667">
        <w:rPr>
          <w:rFonts w:ascii="Times New Roman" w:hAnsi="Times New Roman" w:cs="Times New Roman"/>
          <w:lang w:val="en-US"/>
        </w:rPr>
        <w:t>After treatment: normal</w:t>
      </w:r>
    </w:p>
    <w:p w14:paraId="784297FF" w14:textId="0E1D363A"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The patient's S. k+ level was normal both before and after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w:t>
      </w:r>
    </w:p>
    <w:p w14:paraId="2DCE022E"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As for the other variables studied,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has a high significant effect.</w:t>
      </w:r>
    </w:p>
    <w:p w14:paraId="533671CE" w14:textId="77777777" w:rsidR="00A06667" w:rsidRPr="00A06667" w:rsidRDefault="00A06667" w:rsidP="00A06667">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 The calculated T-values are absolute values, with a value of 7.7, which is higher than the tabulated T-value. This indicates that this substance has a high significant effect on the all variables studied.</w:t>
      </w:r>
    </w:p>
    <w:p w14:paraId="7C96E47E" w14:textId="34F640E4" w:rsidR="00A664CE" w:rsidRPr="00A06667" w:rsidRDefault="00A06667" w:rsidP="00FD5E70">
      <w:pPr>
        <w:autoSpaceDE w:val="0"/>
        <w:autoSpaceDN w:val="0"/>
        <w:adjustRightInd w:val="0"/>
        <w:spacing w:after="240"/>
        <w:jc w:val="both"/>
        <w:rPr>
          <w:rFonts w:ascii="Times New Roman" w:hAnsi="Times New Roman" w:cs="Times New Roman"/>
          <w:lang w:val="en-US"/>
        </w:rPr>
      </w:pPr>
      <w:r w:rsidRPr="00A06667">
        <w:rPr>
          <w:rFonts w:ascii="Times New Roman" w:hAnsi="Times New Roman" w:cs="Times New Roman"/>
          <w:lang w:val="en-US"/>
        </w:rPr>
        <w:t xml:space="preserve">Regarding the effect of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vaccination on other variables, it was found to be highly significant on all the variables studied. </w:t>
      </w:r>
      <w:r w:rsidR="00FD5E70">
        <w:rPr>
          <w:rFonts w:ascii="Times New Roman" w:hAnsi="Times New Roman" w:cs="Times New Roman"/>
          <w:lang w:val="en-US"/>
        </w:rPr>
        <w:t>[9]</w:t>
      </w:r>
      <w:r w:rsidRPr="00A06667">
        <w:rPr>
          <w:rFonts w:ascii="Times New Roman" w:hAnsi="Times New Roman" w:cs="Times New Roman"/>
          <w:lang w:val="en-US"/>
        </w:rPr>
        <w:t xml:space="preserve"> found that </w:t>
      </w:r>
      <w:proofErr w:type="spellStart"/>
      <w:r w:rsidRPr="00A06667">
        <w:rPr>
          <w:rFonts w:ascii="Times New Roman" w:hAnsi="Times New Roman" w:cs="Times New Roman"/>
          <w:lang w:val="en-US"/>
        </w:rPr>
        <w:t>cefotaxime</w:t>
      </w:r>
      <w:proofErr w:type="spellEnd"/>
      <w:r w:rsidRPr="00A06667">
        <w:rPr>
          <w:rFonts w:ascii="Times New Roman" w:hAnsi="Times New Roman" w:cs="Times New Roman"/>
          <w:lang w:val="en-US"/>
        </w:rPr>
        <w:t xml:space="preserve"> had a significant effect on Some Biochemical Parameter levels in patients</w:t>
      </w:r>
      <w:r w:rsidR="00A664CE" w:rsidRPr="002B5660">
        <w:rPr>
          <w:rFonts w:ascii="Times New Roman" w:hAnsi="Times New Roman" w:cs="Times New Roman"/>
          <w:lang w:val="en-US"/>
        </w:rPr>
        <w:t>.</w:t>
      </w:r>
    </w:p>
    <w:p w14:paraId="2DB39701" w14:textId="24D3107C" w:rsidR="00E910FB" w:rsidRPr="00F25C16" w:rsidRDefault="00E910FB" w:rsidP="00A02018">
      <w:pPr>
        <w:numPr>
          <w:ilvl w:val="0"/>
          <w:numId w:val="6"/>
        </w:numPr>
        <w:autoSpaceDE w:val="0"/>
        <w:autoSpaceDN w:val="0"/>
        <w:adjustRightInd w:val="0"/>
        <w:spacing w:before="240" w:after="360"/>
        <w:contextualSpacing/>
        <w:jc w:val="both"/>
        <w:rPr>
          <w:rFonts w:ascii="Times New Roman" w:hAnsi="Times New Roman" w:cs="Times New Roman"/>
          <w:b/>
          <w:color w:val="000000" w:themeColor="text1"/>
          <w:sz w:val="24"/>
          <w:szCs w:val="24"/>
        </w:rPr>
      </w:pPr>
      <w:r w:rsidRPr="00F25C16">
        <w:rPr>
          <w:rFonts w:ascii="Times New Roman" w:hAnsi="Times New Roman" w:cs="Times New Roman"/>
          <w:b/>
          <w:color w:val="000000" w:themeColor="text1"/>
          <w:sz w:val="24"/>
          <w:szCs w:val="24"/>
        </w:rPr>
        <w:t>Conclusion</w:t>
      </w:r>
      <w:r w:rsidR="00F25C16" w:rsidRPr="00F25C16">
        <w:rPr>
          <w:rFonts w:ascii="Times New Roman" w:hAnsi="Times New Roman" w:cs="Times New Roman"/>
          <w:b/>
          <w:color w:val="000000" w:themeColor="text1"/>
          <w:sz w:val="24"/>
          <w:szCs w:val="24"/>
        </w:rPr>
        <w:t xml:space="preserve"> </w:t>
      </w:r>
    </w:p>
    <w:p w14:paraId="1F0C882F" w14:textId="77777777" w:rsidR="00E910FB" w:rsidRPr="0097784A" w:rsidRDefault="00E910FB" w:rsidP="00F25C16">
      <w:pPr>
        <w:autoSpaceDE w:val="0"/>
        <w:autoSpaceDN w:val="0"/>
        <w:adjustRightInd w:val="0"/>
        <w:spacing w:before="240" w:after="360"/>
        <w:contextualSpacing/>
        <w:jc w:val="both"/>
        <w:rPr>
          <w:rFonts w:ascii="Times New Roman" w:hAnsi="Times New Roman" w:cs="Times New Roman"/>
          <w:b/>
          <w:color w:val="000000" w:themeColor="text1"/>
        </w:rPr>
      </w:pPr>
    </w:p>
    <w:p w14:paraId="2D313A6D"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The study conducted on the effects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on various physiological parameters provides valuable insights into the impact of this antibiotic on individuals undergoing treatment. The research utilized a range of tools, including blood tests and measurements, to assess the outcomes before and after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administration. The key findings and conclusions drawn from the study are as follows:</w:t>
      </w:r>
    </w:p>
    <w:p w14:paraId="549B2E41"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Homogeneity of the Sample: The study ensured a homogeneous sample across age, weight, and length variables, indicating that the data collected was accurate and consistent.</w:t>
      </w:r>
    </w:p>
    <w:p w14:paraId="604A5877"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Hemoglobin Levels: The research revealed a significant effect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on hemoglobin levels. The decrease in hemoglobin levels after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administration may be attributed to factors such as a reduction in red blood cell production, decreased iron absorption, and a shorter lifespan of red blood cells. The study aligns with previous research indicating a decline in hemoglobin levels post-</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treatment.</w:t>
      </w:r>
    </w:p>
    <w:p w14:paraId="1F30B9CE"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White Blood Cell Count: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demonstrated a highly significant effect in increasing white blood cell count. This is consistent with the antibiotic's role in supporting the immune system, as evidenced by previous studies highlighting its effectiveness in patients with conditions such as neonatal septicemia.</w:t>
      </w:r>
    </w:p>
    <w:p w14:paraId="2B54CEE2"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Liver Function Markers: The study assessed various liver function markers, including S.GOT, S.ALT, and S.ALP. The results indicated that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was effective in reducing liver cell damage, as reflected in the normalization of these markers within the reference ranges. This supports the antibiotic's positive impact on liver function.</w:t>
      </w:r>
    </w:p>
    <w:p w14:paraId="6F916CAB"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Electrolyte Levels: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contributed to the normalization of sodium (S. Na) levels, suggesting an improvement in overall liver function. Potassium levels (S. k+) remained within the normal range both before and after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treatment.</w:t>
      </w:r>
    </w:p>
    <w:p w14:paraId="3902E1A5" w14:textId="77777777" w:rsidR="000959D8" w:rsidRPr="000959D8" w:rsidRDefault="000959D8" w:rsidP="000959D8">
      <w:pPr>
        <w:autoSpaceDE w:val="0"/>
        <w:autoSpaceDN w:val="0"/>
        <w:adjustRightInd w:val="0"/>
        <w:spacing w:before="240" w:after="360"/>
        <w:contextualSpacing/>
        <w:jc w:val="both"/>
        <w:rPr>
          <w:rFonts w:ascii="Times New Roman" w:hAnsi="Times New Roman" w:cs="Times New Roman"/>
          <w:lang w:val="en-US"/>
        </w:rPr>
      </w:pPr>
      <w:r w:rsidRPr="000959D8">
        <w:rPr>
          <w:rFonts w:ascii="Times New Roman" w:hAnsi="Times New Roman" w:cs="Times New Roman"/>
          <w:lang w:val="en-US"/>
        </w:rPr>
        <w:t xml:space="preserve">Overall Effect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The calculated T-values demonstrated a high significant effect of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on all variables studied. This reinforces the antibiotic's comprehensive impact on physiological parameters and emphasizes its efficacy in addressing microbial infections.</w:t>
      </w:r>
    </w:p>
    <w:p w14:paraId="4B39B936" w14:textId="3E9744A4" w:rsidR="00E910FB" w:rsidRPr="0097784A" w:rsidRDefault="000959D8" w:rsidP="000959D8">
      <w:pPr>
        <w:autoSpaceDE w:val="0"/>
        <w:autoSpaceDN w:val="0"/>
        <w:adjustRightInd w:val="0"/>
        <w:spacing w:before="240" w:after="360"/>
        <w:contextualSpacing/>
        <w:jc w:val="both"/>
        <w:rPr>
          <w:rFonts w:ascii="Times New Roman" w:eastAsia="Times New Roman" w:hAnsi="Times New Roman" w:cs="Times New Roman"/>
          <w:color w:val="000000" w:themeColor="text1"/>
          <w:shd w:val="clear" w:color="auto" w:fill="FFFFFF"/>
          <w:lang w:val="en-US" w:eastAsia="tr-TR"/>
        </w:rPr>
      </w:pPr>
      <w:r w:rsidRPr="000959D8">
        <w:rPr>
          <w:rFonts w:ascii="Times New Roman" w:hAnsi="Times New Roman" w:cs="Times New Roman"/>
          <w:lang w:val="en-US"/>
        </w:rPr>
        <w:lastRenderedPageBreak/>
        <w:t xml:space="preserve">Clinical Implications: The results suggest that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while effectively targeting bacterial infections, may influence certain physiological parameters. Healthcare professionals should consider monitoring hemoglobin levels, white blood cell count, and liver function markers in patients undergoing </w:t>
      </w:r>
      <w:proofErr w:type="spellStart"/>
      <w:r w:rsidRPr="000959D8">
        <w:rPr>
          <w:rFonts w:ascii="Times New Roman" w:hAnsi="Times New Roman" w:cs="Times New Roman"/>
          <w:lang w:val="en-US"/>
        </w:rPr>
        <w:t>cefotaxime</w:t>
      </w:r>
      <w:proofErr w:type="spellEnd"/>
      <w:r w:rsidRPr="000959D8">
        <w:rPr>
          <w:rFonts w:ascii="Times New Roman" w:hAnsi="Times New Roman" w:cs="Times New Roman"/>
          <w:lang w:val="en-US"/>
        </w:rPr>
        <w:t xml:space="preserve"> treatment</w:t>
      </w:r>
      <w:r w:rsidR="00E910FB" w:rsidRPr="0097784A">
        <w:rPr>
          <w:rFonts w:ascii="Times New Roman" w:eastAsia="Times New Roman" w:hAnsi="Times New Roman" w:cs="Times New Roman"/>
          <w:color w:val="000000" w:themeColor="text1"/>
          <w:shd w:val="clear" w:color="auto" w:fill="FFFFFF"/>
          <w:lang w:val="en-US" w:eastAsia="tr-TR"/>
        </w:rPr>
        <w:t>.</w:t>
      </w:r>
    </w:p>
    <w:p w14:paraId="1A4D32A4" w14:textId="77777777" w:rsidR="00182331" w:rsidRDefault="00182331" w:rsidP="00182331">
      <w:pPr>
        <w:spacing w:after="0" w:line="23" w:lineRule="atLeast"/>
        <w:jc w:val="both"/>
        <w:rPr>
          <w:rFonts w:ascii="Times New Roman" w:hAnsi="Times New Roman" w:cs="Times New Roman"/>
          <w:b/>
          <w:color w:val="000000" w:themeColor="text1"/>
          <w:sz w:val="24"/>
          <w:szCs w:val="24"/>
          <w:lang w:val="en-US" w:eastAsia="tr-TR"/>
        </w:rPr>
      </w:pPr>
    </w:p>
    <w:p w14:paraId="62EAC885" w14:textId="77777777" w:rsidR="00F25C16" w:rsidRPr="0097784A" w:rsidRDefault="00F25C16" w:rsidP="007D49B8">
      <w:pPr>
        <w:spacing w:after="0" w:line="23" w:lineRule="atLeast"/>
        <w:jc w:val="both"/>
        <w:rPr>
          <w:rFonts w:ascii="Times New Roman" w:hAnsi="Times New Roman" w:cs="Times New Roman"/>
          <w:b/>
          <w:color w:val="000000" w:themeColor="text1"/>
          <w:sz w:val="24"/>
          <w:szCs w:val="24"/>
          <w:lang w:val="en-US" w:eastAsia="tr-TR"/>
        </w:rPr>
      </w:pPr>
    </w:p>
    <w:p w14:paraId="7E1069DA" w14:textId="502C1946" w:rsidR="00F25C16" w:rsidRPr="00C84AD4" w:rsidRDefault="00F25C16" w:rsidP="00A02018">
      <w:pPr>
        <w:spacing w:after="0" w:line="23" w:lineRule="atLeast"/>
        <w:jc w:val="both"/>
        <w:rPr>
          <w:rFonts w:ascii="Times New Roman" w:eastAsia="Times New Roman" w:hAnsi="Times New Roman" w:cs="Times New Roman"/>
          <w:color w:val="FF0000"/>
          <w:sz w:val="24"/>
          <w:szCs w:val="24"/>
          <w:shd w:val="clear" w:color="auto" w:fill="FFFFFF"/>
          <w:lang w:val="en-US" w:eastAsia="tr-TR"/>
        </w:rPr>
      </w:pPr>
      <w:r w:rsidRPr="00182331">
        <w:rPr>
          <w:rFonts w:ascii="Times New Roman" w:hAnsi="Times New Roman" w:cs="Times New Roman"/>
          <w:b/>
          <w:sz w:val="24"/>
          <w:szCs w:val="24"/>
          <w:lang w:val="en-US" w:eastAsia="tr-TR"/>
        </w:rPr>
        <w:t xml:space="preserve">References </w:t>
      </w:r>
    </w:p>
    <w:p w14:paraId="3992B296" w14:textId="77777777" w:rsidR="00E25067" w:rsidRPr="0097784A" w:rsidRDefault="00E25067" w:rsidP="007D49B8">
      <w:pPr>
        <w:spacing w:after="0" w:line="23" w:lineRule="atLeast"/>
        <w:jc w:val="both"/>
        <w:rPr>
          <w:rFonts w:ascii="Times New Roman" w:hAnsi="Times New Roman" w:cs="Times New Roman"/>
          <w:b/>
          <w:color w:val="000000" w:themeColor="text1"/>
          <w:sz w:val="24"/>
          <w:szCs w:val="24"/>
          <w:lang w:val="en-US" w:eastAsia="tr-TR"/>
        </w:rPr>
      </w:pPr>
    </w:p>
    <w:p w14:paraId="291DED0F" w14:textId="6DFD31B0" w:rsidR="00F25C16" w:rsidRPr="00F85871"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0959D8">
        <w:rPr>
          <w:rFonts w:ascii="Times New Roman" w:hAnsi="Times New Roman" w:cs="Times New Roman"/>
          <w:color w:val="222222"/>
          <w:shd w:val="clear" w:color="auto" w:fill="FFFFFF"/>
        </w:rPr>
        <w:t>Joseph, L. H. (1998). Chemotherapeutic drugs. </w:t>
      </w:r>
      <w:r w:rsidRPr="000959D8">
        <w:rPr>
          <w:rFonts w:ascii="Times New Roman" w:hAnsi="Times New Roman" w:cs="Times New Roman"/>
          <w:i/>
          <w:iCs/>
          <w:color w:val="222222"/>
          <w:shd w:val="clear" w:color="auto" w:fill="FFFFFF"/>
        </w:rPr>
        <w:t>Clinical pharmacy and thetapeutics</w:t>
      </w:r>
      <w:r w:rsidRPr="000959D8">
        <w:rPr>
          <w:rFonts w:ascii="Times New Roman" w:hAnsi="Times New Roman" w:cs="Times New Roman"/>
          <w:color w:val="222222"/>
          <w:shd w:val="clear" w:color="auto" w:fill="FFFFFF"/>
        </w:rPr>
        <w:t>.</w:t>
      </w:r>
    </w:p>
    <w:p w14:paraId="541F6138" w14:textId="20EA1189" w:rsidR="00F25C16" w:rsidRPr="00C84AD4"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0959D8">
        <w:rPr>
          <w:rFonts w:ascii="Times New Roman" w:hAnsi="Times New Roman" w:cs="Times New Roman"/>
          <w:color w:val="222222"/>
          <w:shd w:val="clear" w:color="auto" w:fill="FFFFFF"/>
        </w:rPr>
        <w:t>Aati, S. A. A., Hussein, H. A., &amp; Aljamali, N. M.</w:t>
      </w:r>
      <w:r>
        <w:rPr>
          <w:rFonts w:ascii="Times New Roman" w:hAnsi="Times New Roman" w:cs="Times New Roman"/>
          <w:color w:val="222222"/>
          <w:shd w:val="clear" w:color="auto" w:fill="FFFFFF"/>
        </w:rPr>
        <w:t xml:space="preserve"> (1990)</w:t>
      </w:r>
      <w:r w:rsidRPr="000959D8">
        <w:rPr>
          <w:rFonts w:ascii="Times New Roman" w:hAnsi="Times New Roman" w:cs="Times New Roman"/>
          <w:color w:val="222222"/>
          <w:shd w:val="clear" w:color="auto" w:fill="FFFFFF"/>
        </w:rPr>
        <w:t xml:space="preserve"> Statistical Studying of Biochemical Compounds on Microbes.</w:t>
      </w:r>
    </w:p>
    <w:p w14:paraId="20E9393F" w14:textId="30AB9375" w:rsidR="00907C17" w:rsidRPr="00C84AD4"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0959D8">
        <w:rPr>
          <w:rFonts w:ascii="Times New Roman" w:hAnsi="Times New Roman" w:cs="Times New Roman"/>
          <w:color w:val="222222"/>
          <w:shd w:val="clear" w:color="auto" w:fill="FFFFFF"/>
        </w:rPr>
        <w:t>Ameerghaf</w:t>
      </w:r>
      <w:r>
        <w:rPr>
          <w:rFonts w:ascii="Times New Roman" w:hAnsi="Times New Roman" w:cs="Times New Roman"/>
          <w:color w:val="222222"/>
          <w:shd w:val="clear" w:color="auto" w:fill="FFFFFF"/>
        </w:rPr>
        <w:t>i</w:t>
      </w:r>
      <w:r w:rsidRPr="000959D8">
        <w:rPr>
          <w:rFonts w:ascii="Times New Roman" w:hAnsi="Times New Roman" w:cs="Times New Roman"/>
          <w:color w:val="222222"/>
          <w:shd w:val="clear" w:color="auto" w:fill="FFFFFF"/>
        </w:rPr>
        <w:t>l, R. A. (2019). Schiff-Chalcone derivatives (preparation, investigation, antibacterial assay). </w:t>
      </w:r>
      <w:r w:rsidRPr="000959D8">
        <w:rPr>
          <w:rFonts w:ascii="Times New Roman" w:hAnsi="Times New Roman" w:cs="Times New Roman"/>
          <w:i/>
          <w:iCs/>
          <w:color w:val="222222"/>
          <w:shd w:val="clear" w:color="auto" w:fill="FFFFFF"/>
        </w:rPr>
        <w:t>International Journal of Pharmaceutical Research (09752366)</w:t>
      </w:r>
      <w:r w:rsidRPr="000959D8">
        <w:rPr>
          <w:rFonts w:ascii="Times New Roman" w:hAnsi="Times New Roman" w:cs="Times New Roman"/>
          <w:color w:val="222222"/>
          <w:shd w:val="clear" w:color="auto" w:fill="FFFFFF"/>
        </w:rPr>
        <w:t>, </w:t>
      </w:r>
      <w:r w:rsidRPr="000959D8">
        <w:rPr>
          <w:rFonts w:ascii="Times New Roman" w:hAnsi="Times New Roman" w:cs="Times New Roman"/>
          <w:i/>
          <w:iCs/>
          <w:color w:val="222222"/>
          <w:shd w:val="clear" w:color="auto" w:fill="FFFFFF"/>
        </w:rPr>
        <w:t>11</w:t>
      </w:r>
      <w:r w:rsidRPr="000959D8">
        <w:rPr>
          <w:rFonts w:ascii="Times New Roman" w:hAnsi="Times New Roman" w:cs="Times New Roman"/>
          <w:color w:val="222222"/>
          <w:shd w:val="clear" w:color="auto" w:fill="FFFFFF"/>
        </w:rPr>
        <w:t>(1).</w:t>
      </w:r>
    </w:p>
    <w:p w14:paraId="2A36C005" w14:textId="01C1FA37" w:rsidR="00F25C16" w:rsidRPr="00C84AD4" w:rsidRDefault="000959D8" w:rsidP="000959D8">
      <w:pPr>
        <w:pStyle w:val="a3"/>
        <w:widowControl w:val="0"/>
        <w:numPr>
          <w:ilvl w:val="0"/>
          <w:numId w:val="31"/>
        </w:numPr>
        <w:tabs>
          <w:tab w:val="left" w:pos="426"/>
        </w:tabs>
        <w:suppressAutoHyphens/>
        <w:spacing w:after="0" w:line="23" w:lineRule="atLeast"/>
        <w:ind w:left="426" w:hanging="426"/>
        <w:contextualSpacing w:val="0"/>
        <w:jc w:val="both"/>
        <w:rPr>
          <w:rFonts w:ascii="Times New Roman" w:hAnsi="Times New Roman" w:cs="Times New Roman"/>
          <w:i/>
          <w:color w:val="FF0000"/>
        </w:rPr>
      </w:pPr>
      <w:r w:rsidRPr="000959D8">
        <w:rPr>
          <w:rFonts w:ascii="Times New Roman" w:eastAsia="Times New Roman" w:hAnsi="Times New Roman" w:cs="Times New Roman"/>
          <w:color w:val="333333"/>
          <w:lang w:eastAsia="tr-TR"/>
        </w:rPr>
        <w:t>Agüero, J., Peris, J. E., &amp; San-Martín, E. (1999). Validation of a high-performance chromatographic method for determination of cefotaxime in biological samples. </w:t>
      </w:r>
      <w:r w:rsidRPr="000959D8">
        <w:rPr>
          <w:rFonts w:ascii="Times New Roman" w:eastAsia="Times New Roman" w:hAnsi="Times New Roman" w:cs="Times New Roman"/>
          <w:i/>
          <w:iCs/>
          <w:color w:val="333333"/>
          <w:lang w:eastAsia="tr-TR"/>
        </w:rPr>
        <w:t>Fresenius' journal of analytical chemistry</w:t>
      </w:r>
      <w:r w:rsidRPr="000959D8">
        <w:rPr>
          <w:rFonts w:ascii="Times New Roman" w:eastAsia="Times New Roman" w:hAnsi="Times New Roman" w:cs="Times New Roman"/>
          <w:color w:val="333333"/>
          <w:lang w:eastAsia="tr-TR"/>
        </w:rPr>
        <w:t>, </w:t>
      </w:r>
      <w:r w:rsidRPr="000959D8">
        <w:rPr>
          <w:rFonts w:ascii="Times New Roman" w:eastAsia="Times New Roman" w:hAnsi="Times New Roman" w:cs="Times New Roman"/>
          <w:i/>
          <w:iCs/>
          <w:color w:val="333333"/>
          <w:lang w:eastAsia="tr-TR"/>
        </w:rPr>
        <w:t>363</w:t>
      </w:r>
      <w:r w:rsidRPr="000959D8">
        <w:rPr>
          <w:rFonts w:ascii="Times New Roman" w:eastAsia="Times New Roman" w:hAnsi="Times New Roman" w:cs="Times New Roman"/>
          <w:color w:val="333333"/>
          <w:lang w:eastAsia="tr-TR"/>
        </w:rPr>
        <w:t>, 289-293.</w:t>
      </w:r>
      <w:r w:rsidR="00C84AD4" w:rsidRPr="00C84AD4">
        <w:rPr>
          <w:rFonts w:ascii="Times New Roman" w:eastAsia="Times New Roman" w:hAnsi="Times New Roman" w:cs="Times New Roman"/>
          <w:i/>
          <w:color w:val="FF0000"/>
          <w:lang w:eastAsia="tr-TR"/>
        </w:rPr>
        <w:t> </w:t>
      </w:r>
      <w:r w:rsidR="00C84AD4" w:rsidRPr="00C84AD4">
        <w:rPr>
          <w:rFonts w:ascii="Times New Roman" w:eastAsia="Times New Roman" w:hAnsi="Times New Roman" w:cs="Times New Roman"/>
          <w:color w:val="333333"/>
          <w:lang w:eastAsia="tr-TR"/>
        </w:rPr>
        <w:t xml:space="preserve">     </w:t>
      </w:r>
    </w:p>
    <w:p w14:paraId="3F6A8EAD" w14:textId="193DF7D9" w:rsidR="00F25C16" w:rsidRPr="000959D8"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pPr>
      <w:r w:rsidRPr="000959D8">
        <w:rPr>
          <w:rFonts w:ascii="Times New Roman" w:eastAsia="Times New Roman" w:hAnsi="Times New Roman" w:cs="Times New Roman"/>
          <w:color w:val="333333"/>
          <w:lang w:eastAsia="tr-TR"/>
        </w:rPr>
        <w:t>Khalaf, R. J., &amp; SuaadAli, J. A. G. (2021). Sub-minimum Inhibition Dose of Cefotaxime Diminishes Biofilm Arrangement by Staphylococcus aureus and Pseudomonas aeruginosa in vitro. </w:t>
      </w:r>
      <w:r w:rsidRPr="000959D8">
        <w:rPr>
          <w:rFonts w:ascii="Times New Roman" w:eastAsia="Times New Roman" w:hAnsi="Times New Roman" w:cs="Times New Roman"/>
          <w:i/>
          <w:iCs/>
          <w:color w:val="333333"/>
          <w:lang w:eastAsia="tr-TR"/>
        </w:rPr>
        <w:t>Annals of the Romanian Society for Cell Biology</w:t>
      </w:r>
      <w:r w:rsidRPr="000959D8">
        <w:rPr>
          <w:rFonts w:ascii="Times New Roman" w:eastAsia="Times New Roman" w:hAnsi="Times New Roman" w:cs="Times New Roman"/>
          <w:color w:val="333333"/>
          <w:lang w:eastAsia="tr-TR"/>
        </w:rPr>
        <w:t>, 7928-7933.</w:t>
      </w:r>
    </w:p>
    <w:p w14:paraId="7D64453E" w14:textId="77777777" w:rsidR="000959D8" w:rsidRPr="00C84AD4" w:rsidRDefault="000959D8" w:rsidP="000959D8">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i/>
          <w:color w:val="FF0000"/>
          <w:lang w:eastAsia="tr-TR"/>
        </w:rPr>
        <w:sectPr w:rsidR="000959D8" w:rsidRPr="00C84AD4" w:rsidSect="001869AE">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p>
    <w:p w14:paraId="75F05BA2" w14:textId="185BD2BB" w:rsidR="00F25C16" w:rsidRPr="003159D2"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C61CB1">
        <w:rPr>
          <w:rFonts w:ascii="Times New Roman" w:eastAsia="Times New Roman" w:hAnsi="Times New Roman" w:cs="Times New Roman"/>
          <w:color w:val="333333"/>
          <w:lang w:eastAsia="tr-TR"/>
        </w:rPr>
        <w:lastRenderedPageBreak/>
        <w:t>Carmine, A. A., Brogden, R. N., Heel, R. C., Speight, T. M., &amp; Avery, G. S. (1983). Cefotaxime: a review of its antibacterial activity, pharmacological properties and therapeutic use. </w:t>
      </w:r>
      <w:r w:rsidRPr="00C61CB1">
        <w:rPr>
          <w:rFonts w:ascii="Times New Roman" w:eastAsia="Times New Roman" w:hAnsi="Times New Roman" w:cs="Times New Roman"/>
          <w:i/>
          <w:iCs/>
          <w:color w:val="333333"/>
          <w:lang w:eastAsia="tr-TR"/>
        </w:rPr>
        <w:t>Drugs</w:t>
      </w:r>
      <w:r w:rsidRPr="00C61CB1">
        <w:rPr>
          <w:rFonts w:ascii="Times New Roman" w:eastAsia="Times New Roman" w:hAnsi="Times New Roman" w:cs="Times New Roman"/>
          <w:color w:val="333333"/>
          <w:lang w:eastAsia="tr-TR"/>
        </w:rPr>
        <w:t>, </w:t>
      </w:r>
      <w:r w:rsidRPr="00C61CB1">
        <w:rPr>
          <w:rFonts w:ascii="Times New Roman" w:eastAsia="Times New Roman" w:hAnsi="Times New Roman" w:cs="Times New Roman"/>
          <w:i/>
          <w:iCs/>
          <w:color w:val="333333"/>
          <w:lang w:eastAsia="tr-TR"/>
        </w:rPr>
        <w:t>25</w:t>
      </w:r>
      <w:r w:rsidRPr="00C61CB1">
        <w:rPr>
          <w:rFonts w:ascii="Times New Roman" w:eastAsia="Times New Roman" w:hAnsi="Times New Roman" w:cs="Times New Roman"/>
          <w:color w:val="333333"/>
          <w:lang w:eastAsia="tr-TR"/>
        </w:rPr>
        <w:t>, 223-289.</w:t>
      </w:r>
    </w:p>
    <w:p w14:paraId="77423109" w14:textId="763A6AC3" w:rsidR="00C61CB1" w:rsidRPr="00C61CB1"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C61CB1">
        <w:rPr>
          <w:rFonts w:ascii="Times New Roman" w:eastAsia="Times New Roman" w:hAnsi="Times New Roman" w:cs="Times New Roman"/>
          <w:color w:val="333333"/>
          <w:lang w:val="en-US" w:eastAsia="tr-TR"/>
        </w:rPr>
        <w:t>Nawara</w:t>
      </w:r>
      <w:proofErr w:type="spellEnd"/>
      <w:r w:rsidRPr="00C61CB1">
        <w:rPr>
          <w:rFonts w:ascii="Times New Roman" w:eastAsia="Times New Roman" w:hAnsi="Times New Roman" w:cs="Times New Roman"/>
          <w:color w:val="333333"/>
          <w:lang w:val="en-US" w:eastAsia="tr-TR"/>
        </w:rPr>
        <w:t xml:space="preserve">, A. M., </w:t>
      </w:r>
      <w:proofErr w:type="spellStart"/>
      <w:r w:rsidRPr="00C61CB1">
        <w:rPr>
          <w:rFonts w:ascii="Times New Roman" w:eastAsia="Times New Roman" w:hAnsi="Times New Roman" w:cs="Times New Roman"/>
          <w:color w:val="333333"/>
          <w:lang w:val="en-US" w:eastAsia="tr-TR"/>
        </w:rPr>
        <w:t>Hassanein</w:t>
      </w:r>
      <w:proofErr w:type="spellEnd"/>
      <w:r w:rsidRPr="00C61CB1">
        <w:rPr>
          <w:rFonts w:ascii="Times New Roman" w:eastAsia="Times New Roman" w:hAnsi="Times New Roman" w:cs="Times New Roman"/>
          <w:color w:val="333333"/>
          <w:lang w:val="en-US" w:eastAsia="tr-TR"/>
        </w:rPr>
        <w:t xml:space="preserve">, H. M., </w:t>
      </w:r>
      <w:proofErr w:type="spellStart"/>
      <w:r w:rsidRPr="00C61CB1">
        <w:rPr>
          <w:rFonts w:ascii="Times New Roman" w:eastAsia="Times New Roman" w:hAnsi="Times New Roman" w:cs="Times New Roman"/>
          <w:color w:val="333333"/>
          <w:lang w:val="en-US" w:eastAsia="tr-TR"/>
        </w:rPr>
        <w:t>Elalawi</w:t>
      </w:r>
      <w:proofErr w:type="spellEnd"/>
      <w:r w:rsidRPr="00C61CB1">
        <w:rPr>
          <w:rFonts w:ascii="Times New Roman" w:eastAsia="Times New Roman" w:hAnsi="Times New Roman" w:cs="Times New Roman"/>
          <w:color w:val="333333"/>
          <w:lang w:val="en-US" w:eastAsia="tr-TR"/>
        </w:rPr>
        <w:t xml:space="preserve">, S. M., </w:t>
      </w:r>
      <w:proofErr w:type="spellStart"/>
      <w:r w:rsidRPr="00C61CB1">
        <w:rPr>
          <w:rFonts w:ascii="Times New Roman" w:eastAsia="Times New Roman" w:hAnsi="Times New Roman" w:cs="Times New Roman"/>
          <w:color w:val="333333"/>
          <w:lang w:val="en-US" w:eastAsia="tr-TR"/>
        </w:rPr>
        <w:t>Esmail</w:t>
      </w:r>
      <w:proofErr w:type="spellEnd"/>
      <w:r w:rsidRPr="00C61CB1">
        <w:rPr>
          <w:rFonts w:ascii="Times New Roman" w:eastAsia="Times New Roman" w:hAnsi="Times New Roman" w:cs="Times New Roman"/>
          <w:color w:val="333333"/>
          <w:lang w:val="en-US" w:eastAsia="tr-TR"/>
        </w:rPr>
        <w:t xml:space="preserve">, A. E. A., &amp; </w:t>
      </w:r>
      <w:proofErr w:type="spellStart"/>
      <w:r w:rsidRPr="00C61CB1">
        <w:rPr>
          <w:rFonts w:ascii="Times New Roman" w:eastAsia="Times New Roman" w:hAnsi="Times New Roman" w:cs="Times New Roman"/>
          <w:color w:val="333333"/>
          <w:lang w:val="en-US" w:eastAsia="tr-TR"/>
        </w:rPr>
        <w:t>Abd</w:t>
      </w:r>
      <w:proofErr w:type="spellEnd"/>
      <w:r w:rsidRPr="00C61CB1">
        <w:rPr>
          <w:rFonts w:ascii="Times New Roman" w:eastAsia="Times New Roman" w:hAnsi="Times New Roman" w:cs="Times New Roman"/>
          <w:color w:val="333333"/>
          <w:lang w:val="en-US" w:eastAsia="tr-TR"/>
        </w:rPr>
        <w:t xml:space="preserve"> El </w:t>
      </w:r>
      <w:proofErr w:type="spellStart"/>
      <w:r w:rsidRPr="00C61CB1">
        <w:rPr>
          <w:rFonts w:ascii="Times New Roman" w:eastAsia="Times New Roman" w:hAnsi="Times New Roman" w:cs="Times New Roman"/>
          <w:color w:val="333333"/>
          <w:lang w:val="en-US" w:eastAsia="tr-TR"/>
        </w:rPr>
        <w:t>Khalik</w:t>
      </w:r>
      <w:proofErr w:type="spellEnd"/>
      <w:r w:rsidRPr="00C61CB1">
        <w:rPr>
          <w:rFonts w:ascii="Times New Roman" w:eastAsia="Times New Roman" w:hAnsi="Times New Roman" w:cs="Times New Roman"/>
          <w:color w:val="333333"/>
          <w:lang w:val="en-US" w:eastAsia="tr-TR"/>
        </w:rPr>
        <w:t>, H. S. (2023). Assessment of Nosocomial Pneumonia Antibiotic Susceptibility Patterns among Patients in Intensive Care Units. </w:t>
      </w:r>
      <w:r w:rsidRPr="00C61CB1">
        <w:rPr>
          <w:rFonts w:ascii="Times New Roman" w:eastAsia="Times New Roman" w:hAnsi="Times New Roman" w:cs="Times New Roman"/>
          <w:i/>
          <w:iCs/>
          <w:color w:val="333333"/>
          <w:lang w:val="en-US" w:eastAsia="tr-TR"/>
        </w:rPr>
        <w:t>The Egyptian Journal of Hospital Medicine (July 2023)</w:t>
      </w:r>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92</w:t>
      </w:r>
      <w:r w:rsidRPr="00C61CB1">
        <w:rPr>
          <w:rFonts w:ascii="Times New Roman" w:eastAsia="Times New Roman" w:hAnsi="Times New Roman" w:cs="Times New Roman"/>
          <w:color w:val="333333"/>
          <w:lang w:val="en-US" w:eastAsia="tr-TR"/>
        </w:rPr>
        <w:t>, 5863-5869.</w:t>
      </w:r>
    </w:p>
    <w:p w14:paraId="12E89E23" w14:textId="01076A41" w:rsidR="00C61CB1" w:rsidRPr="00C61CB1"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C61CB1">
        <w:rPr>
          <w:rFonts w:ascii="Times New Roman" w:eastAsia="Times New Roman" w:hAnsi="Times New Roman" w:cs="Times New Roman"/>
          <w:color w:val="333333"/>
          <w:lang w:val="en-US" w:eastAsia="tr-TR"/>
        </w:rPr>
        <w:t>Xu</w:t>
      </w:r>
      <w:proofErr w:type="spellEnd"/>
      <w:r w:rsidRPr="00C61CB1">
        <w:rPr>
          <w:rFonts w:ascii="Times New Roman" w:eastAsia="Times New Roman" w:hAnsi="Times New Roman" w:cs="Times New Roman"/>
          <w:color w:val="333333"/>
          <w:lang w:val="en-US" w:eastAsia="tr-TR"/>
        </w:rPr>
        <w:t xml:space="preserve">, Y. B., </w:t>
      </w:r>
      <w:proofErr w:type="spellStart"/>
      <w:r w:rsidRPr="00C61CB1">
        <w:rPr>
          <w:rFonts w:ascii="Times New Roman" w:eastAsia="Times New Roman" w:hAnsi="Times New Roman" w:cs="Times New Roman"/>
          <w:color w:val="333333"/>
          <w:lang w:val="en-US" w:eastAsia="tr-TR"/>
        </w:rPr>
        <w:t>Ouyang</w:t>
      </w:r>
      <w:proofErr w:type="spellEnd"/>
      <w:r w:rsidRPr="00C61CB1">
        <w:rPr>
          <w:rFonts w:ascii="Times New Roman" w:eastAsia="Times New Roman" w:hAnsi="Times New Roman" w:cs="Times New Roman"/>
          <w:color w:val="333333"/>
          <w:lang w:val="en-US" w:eastAsia="tr-TR"/>
        </w:rPr>
        <w:t xml:space="preserve">, Y., &amp; Zhao, D. (2020). Curative effects of </w:t>
      </w:r>
      <w:proofErr w:type="spellStart"/>
      <w:r w:rsidRPr="00C61CB1">
        <w:rPr>
          <w:rFonts w:ascii="Times New Roman" w:eastAsia="Times New Roman" w:hAnsi="Times New Roman" w:cs="Times New Roman"/>
          <w:color w:val="333333"/>
          <w:lang w:val="en-US" w:eastAsia="tr-TR"/>
        </w:rPr>
        <w:t>vancomycin</w:t>
      </w:r>
      <w:proofErr w:type="spellEnd"/>
      <w:r w:rsidRPr="00C61CB1">
        <w:rPr>
          <w:rFonts w:ascii="Times New Roman" w:eastAsia="Times New Roman" w:hAnsi="Times New Roman" w:cs="Times New Roman"/>
          <w:color w:val="333333"/>
          <w:lang w:val="en-US" w:eastAsia="tr-TR"/>
        </w:rPr>
        <w:t xml:space="preserve"> and </w:t>
      </w:r>
      <w:proofErr w:type="spellStart"/>
      <w:r w:rsidRPr="00C61CB1">
        <w:rPr>
          <w:rFonts w:ascii="Times New Roman" w:eastAsia="Times New Roman" w:hAnsi="Times New Roman" w:cs="Times New Roman"/>
          <w:color w:val="333333"/>
          <w:lang w:val="en-US" w:eastAsia="tr-TR"/>
        </w:rPr>
        <w:t>cefotaxime</w:t>
      </w:r>
      <w:proofErr w:type="spellEnd"/>
      <w:r w:rsidRPr="00C61CB1">
        <w:rPr>
          <w:rFonts w:ascii="Times New Roman" w:eastAsia="Times New Roman" w:hAnsi="Times New Roman" w:cs="Times New Roman"/>
          <w:color w:val="333333"/>
          <w:lang w:val="en-US" w:eastAsia="tr-TR"/>
        </w:rPr>
        <w:t xml:space="preserve"> combined with gamma globulin respectively in neonatal septicemia and their influences on PCT, CRP and </w:t>
      </w:r>
      <w:proofErr w:type="spellStart"/>
      <w:r w:rsidRPr="00C61CB1">
        <w:rPr>
          <w:rFonts w:ascii="Times New Roman" w:eastAsia="Times New Roman" w:hAnsi="Times New Roman" w:cs="Times New Roman"/>
          <w:color w:val="333333"/>
          <w:lang w:val="en-US" w:eastAsia="tr-TR"/>
        </w:rPr>
        <w:t>hs</w:t>
      </w:r>
      <w:proofErr w:type="spellEnd"/>
      <w:r w:rsidRPr="00C61CB1">
        <w:rPr>
          <w:rFonts w:ascii="Times New Roman" w:eastAsia="Times New Roman" w:hAnsi="Times New Roman" w:cs="Times New Roman"/>
          <w:color w:val="333333"/>
          <w:lang w:val="en-US" w:eastAsia="tr-TR"/>
        </w:rPr>
        <w:t>-CRP. </w:t>
      </w:r>
      <w:r w:rsidRPr="00C61CB1">
        <w:rPr>
          <w:rFonts w:ascii="Times New Roman" w:eastAsia="Times New Roman" w:hAnsi="Times New Roman" w:cs="Times New Roman"/>
          <w:i/>
          <w:iCs/>
          <w:color w:val="333333"/>
          <w:lang w:val="en-US" w:eastAsia="tr-TR"/>
        </w:rPr>
        <w:t>European Review for Medical &amp; Pharmacological Sciences</w:t>
      </w:r>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24</w:t>
      </w:r>
      <w:r w:rsidRPr="00C61CB1">
        <w:rPr>
          <w:rFonts w:ascii="Times New Roman" w:eastAsia="Times New Roman" w:hAnsi="Times New Roman" w:cs="Times New Roman"/>
          <w:color w:val="333333"/>
          <w:lang w:val="en-US" w:eastAsia="tr-TR"/>
        </w:rPr>
        <w:t>(8).</w:t>
      </w:r>
    </w:p>
    <w:p w14:paraId="619301C7" w14:textId="336F5AFD" w:rsidR="00C61CB1" w:rsidRPr="00BB35A3" w:rsidRDefault="00C61CB1" w:rsidP="00C61CB1">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proofErr w:type="spellStart"/>
      <w:r w:rsidRPr="00C61CB1">
        <w:rPr>
          <w:rFonts w:ascii="Times New Roman" w:eastAsia="Times New Roman" w:hAnsi="Times New Roman" w:cs="Times New Roman"/>
          <w:color w:val="333333"/>
          <w:lang w:val="en-US" w:eastAsia="tr-TR"/>
        </w:rPr>
        <w:t>Raddam</w:t>
      </w:r>
      <w:proofErr w:type="spellEnd"/>
      <w:r w:rsidRPr="00C61CB1">
        <w:rPr>
          <w:rFonts w:ascii="Times New Roman" w:eastAsia="Times New Roman" w:hAnsi="Times New Roman" w:cs="Times New Roman"/>
          <w:color w:val="333333"/>
          <w:lang w:val="en-US" w:eastAsia="tr-TR"/>
        </w:rPr>
        <w:t xml:space="preserve">, Q. N. (2021). Physiological Changes of Some Biochemical Parameters in Blood, Liver and Kidney Result by used Antibiotic </w:t>
      </w:r>
      <w:proofErr w:type="spellStart"/>
      <w:r w:rsidRPr="00C61CB1">
        <w:rPr>
          <w:rFonts w:ascii="Times New Roman" w:eastAsia="Times New Roman" w:hAnsi="Times New Roman" w:cs="Times New Roman"/>
          <w:color w:val="333333"/>
          <w:lang w:val="en-US" w:eastAsia="tr-TR"/>
        </w:rPr>
        <w:t>Cefixime</w:t>
      </w:r>
      <w:proofErr w:type="spellEnd"/>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Annals of the Romanian Society for Cell Biology</w:t>
      </w:r>
      <w:r w:rsidRPr="00C61CB1">
        <w:rPr>
          <w:rFonts w:ascii="Times New Roman" w:eastAsia="Times New Roman" w:hAnsi="Times New Roman" w:cs="Times New Roman"/>
          <w:color w:val="333333"/>
          <w:lang w:val="en-US" w:eastAsia="tr-TR"/>
        </w:rPr>
        <w:t>, </w:t>
      </w:r>
      <w:r w:rsidRPr="00C61CB1">
        <w:rPr>
          <w:rFonts w:ascii="Times New Roman" w:eastAsia="Times New Roman" w:hAnsi="Times New Roman" w:cs="Times New Roman"/>
          <w:i/>
          <w:iCs/>
          <w:color w:val="333333"/>
          <w:lang w:val="en-US" w:eastAsia="tr-TR"/>
        </w:rPr>
        <w:t>25</w:t>
      </w:r>
      <w:r w:rsidRPr="00C61CB1">
        <w:rPr>
          <w:rFonts w:ascii="Times New Roman" w:eastAsia="Times New Roman" w:hAnsi="Times New Roman" w:cs="Times New Roman"/>
          <w:color w:val="333333"/>
          <w:lang w:val="en-US" w:eastAsia="tr-TR"/>
        </w:rPr>
        <w:t>(6), 8257-8263.</w:t>
      </w:r>
    </w:p>
    <w:p w14:paraId="1A2BB11A" w14:textId="28FC4899" w:rsidR="00BB35A3" w:rsidRPr="00540509" w:rsidRDefault="00BB35A3" w:rsidP="00BB35A3">
      <w:pPr>
        <w:pStyle w:val="a3"/>
        <w:widowControl w:val="0"/>
        <w:numPr>
          <w:ilvl w:val="0"/>
          <w:numId w:val="31"/>
        </w:numPr>
        <w:shd w:val="clear" w:color="auto" w:fill="FFFFFF"/>
        <w:tabs>
          <w:tab w:val="left" w:pos="426"/>
        </w:tabs>
        <w:suppressAutoHyphens/>
        <w:spacing w:after="0" w:line="23" w:lineRule="atLeast"/>
        <w:ind w:left="426" w:hanging="426"/>
        <w:contextualSpacing w:val="0"/>
        <w:jc w:val="both"/>
        <w:rPr>
          <w:rFonts w:ascii="Times New Roman" w:eastAsia="Times New Roman" w:hAnsi="Times New Roman" w:cs="Times New Roman"/>
          <w:color w:val="333333"/>
          <w:lang w:eastAsia="tr-TR"/>
        </w:rPr>
      </w:pPr>
      <w:r w:rsidRPr="00BB35A3">
        <w:rPr>
          <w:rFonts w:ascii="Times New Roman" w:eastAsia="Times New Roman" w:hAnsi="Times New Roman" w:cs="Times New Roman"/>
          <w:color w:val="333333"/>
          <w:lang w:eastAsia="tr-TR"/>
        </w:rPr>
        <w:t>Fleming, A. (1928). The bactericidal power of human blood and some methods of altering it.</w:t>
      </w:r>
    </w:p>
    <w:p w14:paraId="52C4B2E4" w14:textId="266C0D25" w:rsidR="0007224B" w:rsidRPr="004F0667" w:rsidRDefault="0007224B" w:rsidP="00F803B1">
      <w:pPr>
        <w:jc w:val="both"/>
        <w:rPr>
          <w:rFonts w:ascii="Times New Roman" w:hAnsi="Times New Roman" w:cs="Times New Roman"/>
          <w:b/>
          <w:color w:val="FF0000"/>
          <w:highlight w:val="yellow"/>
          <w:lang w:val="en-US" w:eastAsia="tr-TR"/>
        </w:rPr>
      </w:pPr>
    </w:p>
    <w:sectPr w:rsidR="0007224B" w:rsidRPr="004F0667"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2452C7" w14:textId="77777777" w:rsidR="009945BC" w:rsidRDefault="009945BC" w:rsidP="00A86FE2">
      <w:pPr>
        <w:spacing w:after="0"/>
      </w:pPr>
      <w:r>
        <w:separator/>
      </w:r>
    </w:p>
  </w:endnote>
  <w:endnote w:type="continuationSeparator" w:id="0">
    <w:p w14:paraId="4EDAD47F" w14:textId="77777777" w:rsidR="009945BC" w:rsidRDefault="009945BC"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2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80"/>
    <w:family w:val="auto"/>
    <w:notTrueType/>
    <w:pitch w:val="default"/>
    <w:sig w:usb0="00000203" w:usb1="08070000" w:usb2="00000010" w:usb3="00000000" w:csb0="00020005"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F0140" w14:textId="77777777" w:rsidR="003159D2" w:rsidRDefault="003159D2">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2336" behindDoc="0" locked="0" layoutInCell="1" allowOverlap="1" wp14:anchorId="6DEAD4E6" wp14:editId="64F67935">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9" style="position:absolute;margin-left:232.5pt;margin-top:8.3pt;width:58.5pt;height:3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" fillcolor="#00b0f0" stroked="f">
              <v:textbox>
                <w:txbxContent>
                  <w:p w14:paraId="4B011AFE" w14:textId="77777777" w:rsidR="003159D2" w:rsidRPr="00BA518C" w:rsidRDefault="003159D2">
                    <w:pPr>
                      <w:pStyle w:val="a7"/>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70AFB031" w14:textId="77777777" w:rsidR="003159D2" w:rsidRDefault="003159D2" w:rsidP="00CD3262">
    <w:pPr>
      <w:pStyle w:val="a7"/>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1980039"/>
      <w:docPartObj>
        <w:docPartGallery w:val="Page Numbers (Bottom of Page)"/>
        <w:docPartUnique/>
      </w:docPartObj>
    </w:sdtPr>
    <w:sdtEndPr/>
    <w:sdtContent>
      <w:p w14:paraId="2FA51904" w14:textId="59F374FE" w:rsidR="003159D2" w:rsidRDefault="003159D2" w:rsidP="004F0667">
        <w:pPr>
          <w:pStyle w:val="a7"/>
          <w:jc w:val="center"/>
        </w:pPr>
        <w:r>
          <w:fldChar w:fldCharType="begin"/>
        </w:r>
        <w:r>
          <w:instrText>PAGE   \* MERGEFORMAT</w:instrText>
        </w:r>
        <w:r>
          <w:fldChar w:fldCharType="separate"/>
        </w:r>
        <w:r w:rsidR="001D633B">
          <w:rPr>
            <w:noProof/>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909931"/>
      <w:docPartObj>
        <w:docPartGallery w:val="Page Numbers (Bottom of Page)"/>
        <w:docPartUnique/>
      </w:docPartObj>
    </w:sdtPr>
    <w:sdtEndPr/>
    <w:sdtContent>
      <w:p w14:paraId="7B43CF64" w14:textId="280565EE" w:rsidR="003159D2" w:rsidRPr="00DB0AE9" w:rsidRDefault="00DB0AE9" w:rsidP="00DB0AE9">
        <w:pPr>
          <w:pStyle w:val="a7"/>
          <w:jc w:val="center"/>
        </w:pPr>
        <w:r>
          <w:fldChar w:fldCharType="begin"/>
        </w:r>
        <w:r>
          <w:instrText>PAGE   \* MERGEFORMAT</w:instrText>
        </w:r>
        <w:r>
          <w:fldChar w:fldCharType="separate"/>
        </w:r>
        <w:r w:rsidR="001D633B">
          <w:rPr>
            <w:noProof/>
          </w:rPr>
          <w:t>1</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78EA0" w14:textId="77777777" w:rsidR="003159D2" w:rsidRDefault="003159D2">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34F78" w14:textId="77777777" w:rsidR="003159D2" w:rsidRDefault="003159D2">
    <w:pPr>
      <w:pStyle w:val="a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14:paraId="7C9A0385" w14:textId="5A19F237" w:rsidR="003159D2" w:rsidRDefault="003159D2">
        <w:pPr>
          <w:pStyle w:val="a7"/>
          <w:jc w:val="center"/>
        </w:pPr>
        <w:r>
          <w:fldChar w:fldCharType="begin"/>
        </w:r>
        <w:r>
          <w:instrText>PAGE   \* MERGEFORMAT</w:instrText>
        </w:r>
        <w:r>
          <w:fldChar w:fldCharType="separate"/>
        </w:r>
        <w:r>
          <w:rPr>
            <w:noProof/>
          </w:rPr>
          <w:t>1</w:t>
        </w:r>
        <w:r>
          <w:fldChar w:fldCharType="end"/>
        </w:r>
      </w:p>
    </w:sdtContent>
  </w:sdt>
  <w:p w14:paraId="3B86036C" w14:textId="77777777" w:rsidR="003159D2" w:rsidRDefault="003159D2"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1491D" w14:textId="77777777" w:rsidR="009945BC" w:rsidRDefault="009945BC" w:rsidP="00A86FE2">
      <w:pPr>
        <w:spacing w:after="0"/>
      </w:pPr>
      <w:r>
        <w:separator/>
      </w:r>
    </w:p>
  </w:footnote>
  <w:footnote w:type="continuationSeparator" w:id="0">
    <w:p w14:paraId="4E9A9583" w14:textId="77777777" w:rsidR="009945BC" w:rsidRDefault="009945BC" w:rsidP="00A86FE2">
      <w:pPr>
        <w:spacing w:after="0"/>
      </w:pPr>
      <w:r>
        <w:continuationSeparator/>
      </w:r>
    </w:p>
  </w:footnote>
  <w:footnote w:id="1">
    <w:p w14:paraId="0E1C552D" w14:textId="30AD1372" w:rsidR="00296EE9" w:rsidRPr="00296EE9" w:rsidRDefault="00296EE9" w:rsidP="006E46CE">
      <w:pPr>
        <w:pStyle w:val="af0"/>
        <w:ind w:firstLine="0"/>
        <w:rPr>
          <w:lang w:val="tr-TR"/>
        </w:rPr>
      </w:pPr>
      <w:r>
        <w:rPr>
          <w:lang w:val="tr-TR"/>
        </w:rPr>
        <w:t>*</w:t>
      </w:r>
      <w:r w:rsidRPr="00296EE9">
        <w:rPr>
          <w:rFonts w:ascii="Times New Roman" w:hAnsi="Times New Roman"/>
          <w:color w:val="000000" w:themeColor="text1"/>
          <w:sz w:val="16"/>
          <w:szCs w:val="16"/>
        </w:rPr>
        <w:t xml:space="preserve"> </w:t>
      </w:r>
      <w:r w:rsidRPr="00073776">
        <w:rPr>
          <w:rFonts w:ascii="Times New Roman" w:hAnsi="Times New Roman"/>
          <w:color w:val="000000" w:themeColor="text1"/>
          <w:sz w:val="16"/>
          <w:szCs w:val="16"/>
        </w:rPr>
        <w:t xml:space="preserve">Corresponding author. </w:t>
      </w:r>
      <w:r>
        <w:rPr>
          <w:rFonts w:ascii="Times New Roman" w:hAnsi="Times New Roman"/>
          <w:i/>
          <w:color w:val="000000" w:themeColor="text1"/>
          <w:sz w:val="16"/>
          <w:szCs w:val="16"/>
        </w:rPr>
        <w:t>e-</w:t>
      </w:r>
      <w:r w:rsidRPr="00073776">
        <w:rPr>
          <w:rFonts w:ascii="Times New Roman" w:hAnsi="Times New Roman"/>
          <w:i/>
          <w:color w:val="000000" w:themeColor="text1"/>
          <w:sz w:val="16"/>
          <w:szCs w:val="16"/>
        </w:rPr>
        <w:t>mail address</w:t>
      </w:r>
      <w:r>
        <w:rPr>
          <w:rFonts w:ascii="Times New Roman" w:hAnsi="Times New Roman"/>
          <w:i/>
          <w:color w:val="000000" w:themeColor="text1"/>
          <w:sz w:val="16"/>
          <w:szCs w:val="16"/>
        </w:rPr>
        <w:t>: .........</w:t>
      </w:r>
      <w:r w:rsidRPr="0061355D">
        <w:rPr>
          <w:rFonts w:ascii="Times New Roman" w:hAnsi="Times New Roman"/>
          <w:i/>
          <w:color w:val="000000" w:themeColor="text1"/>
          <w:sz w:val="16"/>
          <w:szCs w:val="16"/>
        </w:rPr>
        <w:t>@</w:t>
      </w:r>
      <w:r>
        <w:rPr>
          <w:rFonts w:ascii="Times New Roman" w:hAnsi="Times New Roman"/>
          <w:i/>
          <w:color w:val="000000" w:themeColor="text1"/>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5670E" w14:textId="77777777" w:rsidR="003159D2" w:rsidRPr="00E21D99" w:rsidRDefault="003159D2" w:rsidP="00D63A79">
    <w:pPr>
      <w:pStyle w:val="a6"/>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60288" behindDoc="0" locked="0" layoutInCell="0" allowOverlap="1" wp14:anchorId="647F4941" wp14:editId="022A393B">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XuS1RugIA&#10;ALgFAAAOAAAAAAAAAAAAAAAAAC4CAABkcnMvZTJvRG9jLnhtbFBLAQItABQABgAIAAAAIQCdzm+q&#10;3AAAAAUBAAAPAAAAAAAAAAAAAAAAABQFAABkcnMvZG93bnJldi54bWxQSwUGAAAAAAQABADzAAAA&#10;HQYAAAAA&#10;" o:allowincell="f" filled="f" stroked="f">
              <v:textbox style="mso-fit-shape-to-text:t" inset=",0,,0">
                <w:txbxContent>
                  <w:p w14:paraId="20F85F6C" w14:textId="77777777" w:rsidR="003159D2" w:rsidRPr="00AF3867" w:rsidRDefault="003159D2"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9264" behindDoc="0" locked="0" layoutInCell="0" allowOverlap="1" wp14:anchorId="28E22E27" wp14:editId="08115DF9">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Metin Kutusu 11" o:spid="_x0000_s1027" type="#_x0000_t202" style="position:absolute;left:0;text-align:left;margin-left:0;margin-top:0;width:36pt;height:12.6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" o:allowincell="f" fillcolor="#00b0f0" stroked="f">
              <v:textbox style="mso-fit-shape-to-text:t" inset=",0,,0">
                <w:txbxContent>
                  <w:p w14:paraId="73717897" w14:textId="77777777" w:rsidR="003159D2" w:rsidRPr="00D47BAE" w:rsidRDefault="003159D2">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C6ACAF" w14:textId="77777777" w:rsidR="003159D2" w:rsidRPr="000B0C6C" w:rsidRDefault="003159D2" w:rsidP="008D1B4F">
    <w:pPr>
      <w:pStyle w:val="a6"/>
      <w:jc w:val="center"/>
      <w:rPr>
        <w:rFonts w:ascii="Times New Roman" w:hAnsi="Times New Roman" w:cs="Times New Roman"/>
        <w:i/>
        <w:sz w:val="18"/>
      </w:rPr>
    </w:pPr>
    <w:r>
      <w:rPr>
        <w:rFonts w:ascii="Times New Roman" w:hAnsi="Times New Roman" w:cs="Times New Roman"/>
        <w:i/>
        <w:noProof/>
        <w:sz w:val="18"/>
        <w:lang w:val="en-US"/>
      </w:rPr>
      <mc:AlternateContent>
        <mc:Choice Requires="wps">
          <w:drawing>
            <wp:anchor distT="0" distB="0" distL="114300" distR="114300" simplePos="0" relativeHeight="251661312" behindDoc="0" locked="0" layoutInCell="0" allowOverlap="1" wp14:anchorId="1D4ECEBC" wp14:editId="735DBB64">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" o:allowincell="f" filled="f" stroked="f">
              <v:textbox style="mso-fit-shape-to-text:t" inset=",0,,0">
                <w:txbxContent>
                  <w:p w14:paraId="632C2832" w14:textId="60DE0C9D" w:rsidR="003159D2" w:rsidRPr="00AF3867" w:rsidRDefault="003159D2"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4F0667">
                      <w:rPr>
                        <w:rFonts w:ascii="Times New Roman" w:hAnsi="Times New Roman" w:cs="Times New Roman"/>
                        <w:bCs/>
                        <w:i/>
                        <w:color w:val="000000" w:themeColor="text1"/>
                        <w:sz w:val="20"/>
                        <w:szCs w:val="16"/>
                      </w:rPr>
                      <w:t>3</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14:paraId="300F035F" w14:textId="77777777" w:rsidR="003159D2" w:rsidRPr="00AF3867" w:rsidRDefault="003159D2"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86C92" w14:textId="401A8138" w:rsidR="003159D2" w:rsidRPr="00B04BE4" w:rsidRDefault="003159D2" w:rsidP="000823EB">
    <w:pPr>
      <w:jc w:val="center"/>
      <w:rPr>
        <w:rFonts w:cs="Arial"/>
        <w:b/>
        <w:color w:val="4F81BD" w:themeColor="accent1"/>
        <w:sz w:val="20"/>
        <w:szCs w:val="20"/>
      </w:rPr>
    </w:pPr>
    <w:r>
      <w:rPr>
        <w:noProof/>
        <w:lang w:val="en-US"/>
      </w:rPr>
      <w:drawing>
        <wp:inline distT="0" distB="0" distL="0" distR="0" wp14:anchorId="5E94D79E" wp14:editId="0F20C1C9">
          <wp:extent cx="464820" cy="464820"/>
          <wp:effectExtent l="0" t="0" r="0" b="0"/>
          <wp:docPr id="54" name="Resim 5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006E46CE">
      <w:rPr>
        <w:rFonts w:cs="Arial"/>
        <w:b/>
        <w:caps/>
        <w:color w:val="4F81BD" w:themeColor="accent1"/>
        <w:sz w:val="18"/>
        <w:szCs w:val="18"/>
      </w:rPr>
      <w:t>Proceedıngs of ıkstc 2023 - 2</w:t>
    </w:r>
    <w:r w:rsidR="006E46CE">
      <w:rPr>
        <w:rFonts w:cs="Arial"/>
        <w:b/>
        <w:caps/>
        <w:color w:val="4F81BD" w:themeColor="accent1"/>
        <w:sz w:val="18"/>
        <w:szCs w:val="18"/>
        <w:vertAlign w:val="superscript"/>
      </w:rPr>
      <w:t>nd</w:t>
    </w:r>
    <w:r w:rsidR="006E46CE">
      <w:rPr>
        <w:rFonts w:cs="Arial"/>
        <w:b/>
        <w:caps/>
        <w:color w:val="4F81BD" w:themeColor="accent1"/>
        <w:sz w:val="18"/>
        <w:szCs w:val="18"/>
      </w:rPr>
      <w:t xml:space="preserve"> ınternatıo</w:t>
    </w:r>
    <w:r w:rsidRPr="00986F68">
      <w:rPr>
        <w:rFonts w:cs="Arial"/>
        <w:b/>
        <w:caps/>
        <w:color w:val="4F81BD" w:themeColor="accent1"/>
        <w:sz w:val="18"/>
        <w:szCs w:val="18"/>
      </w:rPr>
      <w:t>nal karatekin sc</w:t>
    </w:r>
    <w:r w:rsidR="006E46CE">
      <w:rPr>
        <w:rFonts w:cs="Arial"/>
        <w:b/>
        <w:caps/>
        <w:color w:val="4F81BD" w:themeColor="accent1"/>
        <w:sz w:val="18"/>
        <w:szCs w:val="18"/>
      </w:rPr>
      <w:t>ı</w:t>
    </w:r>
    <w:r w:rsidRPr="00986F68">
      <w:rPr>
        <w:rFonts w:cs="Arial"/>
        <w:b/>
        <w:caps/>
        <w:color w:val="4F81BD" w:themeColor="accent1"/>
        <w:sz w:val="18"/>
        <w:szCs w:val="18"/>
      </w:rPr>
      <w:t>ence and technology CONFERENCE</w:t>
    </w:r>
    <w:r>
      <w:rPr>
        <w:noProof/>
        <w:lang w:val="en-US"/>
      </w:rPr>
      <w:drawing>
        <wp:inline distT="0" distB="0" distL="0" distR="0" wp14:anchorId="76B6F962" wp14:editId="648A1BBC">
          <wp:extent cx="334808" cy="289340"/>
          <wp:effectExtent l="0" t="0" r="8255" b="0"/>
          <wp:docPr id="55" name="Resim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783A0629" w14:textId="7BF1853C" w:rsidR="003159D2" w:rsidRDefault="006E46CE" w:rsidP="007B369A">
    <w:pPr>
      <w:wordWrap w:val="0"/>
      <w:ind w:left="6372"/>
      <w:rPr>
        <w:rFonts w:eastAsiaTheme="minorEastAsia" w:cs="Arial"/>
        <w:b/>
        <w:caps/>
        <w:color w:val="7030A0"/>
        <w:sz w:val="16"/>
        <w:szCs w:val="16"/>
        <w:lang w:eastAsia="zh-CN"/>
      </w:rPr>
    </w:pPr>
    <w:r>
      <w:rPr>
        <w:rFonts w:cs="Arial"/>
        <w:b/>
        <w:caps/>
        <w:color w:val="7030A0"/>
        <w:sz w:val="16"/>
        <w:szCs w:val="16"/>
      </w:rPr>
      <w:t>2</w:t>
    </w:r>
    <w:r w:rsidR="003159D2">
      <w:rPr>
        <w:rFonts w:cs="Arial"/>
        <w:b/>
        <w:caps/>
        <w:color w:val="7030A0"/>
        <w:sz w:val="16"/>
        <w:szCs w:val="16"/>
      </w:rPr>
      <w:t>1-</w:t>
    </w:r>
    <w:r>
      <w:rPr>
        <w:rFonts w:cs="Arial"/>
        <w:b/>
        <w:caps/>
        <w:color w:val="7030A0"/>
        <w:sz w:val="16"/>
        <w:szCs w:val="16"/>
      </w:rPr>
      <w:t>22 december 2023</w:t>
    </w:r>
    <w:r w:rsidR="003159D2" w:rsidRPr="00B04BE4">
      <w:rPr>
        <w:rFonts w:cs="Arial"/>
        <w:b/>
        <w:caps/>
        <w:color w:val="7030A0"/>
        <w:sz w:val="16"/>
        <w:szCs w:val="16"/>
      </w:rPr>
      <w:t>, ÇANKIRI,</w:t>
    </w:r>
    <w:r w:rsidR="003159D2" w:rsidRPr="00B04BE4">
      <w:rPr>
        <w:rFonts w:eastAsiaTheme="minorEastAsia" w:cs="Arial"/>
        <w:b/>
        <w:caps/>
        <w:color w:val="7030A0"/>
        <w:sz w:val="16"/>
        <w:szCs w:val="16"/>
        <w:lang w:eastAsia="zh-CN"/>
      </w:rPr>
      <w:t xml:space="preserve"> TURK</w:t>
    </w:r>
    <w:r w:rsidR="00296EE9">
      <w:rPr>
        <w:rFonts w:eastAsiaTheme="minorEastAsia" w:cs="Arial"/>
        <w:b/>
        <w:caps/>
        <w:color w:val="7030A0"/>
        <w:sz w:val="16"/>
        <w:szCs w:val="16"/>
        <w:lang w:eastAsia="zh-CN"/>
      </w:rPr>
      <w:t>ıye</w:t>
    </w:r>
  </w:p>
  <w:p w14:paraId="650B4D07" w14:textId="77777777" w:rsidR="003159D2" w:rsidRDefault="003159D2" w:rsidP="007B369A">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EA2443" w14:textId="77777777" w:rsidR="003159D2" w:rsidRDefault="003159D2">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FAEFAD" w14:textId="77777777" w:rsidR="003159D2" w:rsidRDefault="003159D2">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B848BD" w14:textId="77777777" w:rsidR="003159D2" w:rsidRDefault="003159D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37622D"/>
    <w:multiLevelType w:val="multilevel"/>
    <w:tmpl w:val="253E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1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3">
    <w:nsid w:val="1AE9108A"/>
    <w:multiLevelType w:val="multilevel"/>
    <w:tmpl w:val="63F4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7">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A07C88"/>
    <w:multiLevelType w:val="multilevel"/>
    <w:tmpl w:val="A560C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503012"/>
    <w:multiLevelType w:val="multilevel"/>
    <w:tmpl w:val="D38E6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3">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4">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9">
    <w:nsid w:val="70E12D32"/>
    <w:multiLevelType w:val="hybridMultilevel"/>
    <w:tmpl w:val="2398DBD6"/>
    <w:lvl w:ilvl="0" w:tplc="F386FF6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5B60BCA"/>
    <w:multiLevelType w:val="multilevel"/>
    <w:tmpl w:val="D1345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abstractNumId w:val="19"/>
  </w:num>
  <w:num w:numId="2">
    <w:abstractNumId w:val="12"/>
  </w:num>
  <w:num w:numId="3">
    <w:abstractNumId w:val="9"/>
  </w:num>
  <w:num w:numId="4">
    <w:abstractNumId w:val="0"/>
  </w:num>
  <w:num w:numId="5">
    <w:abstractNumId w:val="35"/>
  </w:num>
  <w:num w:numId="6">
    <w:abstractNumId w:val="11"/>
  </w:num>
  <w:num w:numId="7">
    <w:abstractNumId w:val="5"/>
  </w:num>
  <w:num w:numId="8">
    <w:abstractNumId w:val="20"/>
  </w:num>
  <w:num w:numId="9">
    <w:abstractNumId w:val="30"/>
  </w:num>
  <w:num w:numId="10">
    <w:abstractNumId w:val="24"/>
  </w:num>
  <w:num w:numId="11">
    <w:abstractNumId w:val="14"/>
  </w:num>
  <w:num w:numId="12">
    <w:abstractNumId w:val="3"/>
  </w:num>
  <w:num w:numId="13">
    <w:abstractNumId w:val="25"/>
  </w:num>
  <w:num w:numId="14">
    <w:abstractNumId w:val="36"/>
  </w:num>
  <w:num w:numId="15">
    <w:abstractNumId w:val="38"/>
  </w:num>
  <w:num w:numId="16">
    <w:abstractNumId w:val="41"/>
  </w:num>
  <w:num w:numId="17">
    <w:abstractNumId w:val="15"/>
  </w:num>
  <w:num w:numId="18">
    <w:abstractNumId w:val="32"/>
  </w:num>
  <w:num w:numId="19">
    <w:abstractNumId w:val="34"/>
  </w:num>
  <w:num w:numId="20">
    <w:abstractNumId w:val="10"/>
  </w:num>
  <w:num w:numId="21">
    <w:abstractNumId w:val="21"/>
  </w:num>
  <w:num w:numId="22">
    <w:abstractNumId w:val="7"/>
  </w:num>
  <w:num w:numId="23">
    <w:abstractNumId w:val="29"/>
  </w:num>
  <w:num w:numId="24">
    <w:abstractNumId w:val="2"/>
  </w:num>
  <w:num w:numId="25">
    <w:abstractNumId w:val="8"/>
  </w:num>
  <w:num w:numId="26">
    <w:abstractNumId w:val="18"/>
  </w:num>
  <w:num w:numId="27">
    <w:abstractNumId w:val="17"/>
  </w:num>
  <w:num w:numId="28">
    <w:abstractNumId w:val="33"/>
  </w:num>
  <w:num w:numId="29">
    <w:abstractNumId w:val="37"/>
  </w:num>
  <w:num w:numId="30">
    <w:abstractNumId w:val="22"/>
  </w:num>
  <w:num w:numId="31">
    <w:abstractNumId w:val="23"/>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6"/>
  </w:num>
  <w:num w:numId="35">
    <w:abstractNumId w:val="28"/>
  </w:num>
  <w:num w:numId="36">
    <w:abstractNumId w:val="39"/>
  </w:num>
  <w:num w:numId="37">
    <w:abstractNumId w:val="27"/>
  </w:num>
  <w:num w:numId="38">
    <w:abstractNumId w:val="40"/>
  </w:num>
  <w:num w:numId="39">
    <w:abstractNumId w:val="26"/>
  </w:num>
  <w:num w:numId="40">
    <w:abstractNumId w:val="4"/>
  </w:num>
  <w:num w:numId="41">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ocumentProtection w:edit="readOnly"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qwUA3LsxpSwAAAA="/>
  </w:docVars>
  <w:rsids>
    <w:rsidRoot w:val="00A71ABA"/>
    <w:rsid w:val="0000116C"/>
    <w:rsid w:val="000028EC"/>
    <w:rsid w:val="00002EBF"/>
    <w:rsid w:val="00004AD1"/>
    <w:rsid w:val="00005506"/>
    <w:rsid w:val="00012A16"/>
    <w:rsid w:val="00013D56"/>
    <w:rsid w:val="00014982"/>
    <w:rsid w:val="00016F9D"/>
    <w:rsid w:val="00021EC6"/>
    <w:rsid w:val="000226CA"/>
    <w:rsid w:val="0002363F"/>
    <w:rsid w:val="00023EFE"/>
    <w:rsid w:val="0002436F"/>
    <w:rsid w:val="000261CE"/>
    <w:rsid w:val="000305BF"/>
    <w:rsid w:val="00032FFA"/>
    <w:rsid w:val="0003318E"/>
    <w:rsid w:val="00034276"/>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4BBD"/>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42D5"/>
    <w:rsid w:val="000959D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04A"/>
    <w:rsid w:val="000E43D9"/>
    <w:rsid w:val="000E48B2"/>
    <w:rsid w:val="000E621C"/>
    <w:rsid w:val="000F0B84"/>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363CF"/>
    <w:rsid w:val="001402EB"/>
    <w:rsid w:val="00141D05"/>
    <w:rsid w:val="00141F50"/>
    <w:rsid w:val="00142D7D"/>
    <w:rsid w:val="00143506"/>
    <w:rsid w:val="00143772"/>
    <w:rsid w:val="001468FF"/>
    <w:rsid w:val="00150A43"/>
    <w:rsid w:val="001558FC"/>
    <w:rsid w:val="00156DA2"/>
    <w:rsid w:val="00161B9E"/>
    <w:rsid w:val="001634B1"/>
    <w:rsid w:val="00166435"/>
    <w:rsid w:val="001723FD"/>
    <w:rsid w:val="00176329"/>
    <w:rsid w:val="001772E4"/>
    <w:rsid w:val="001816E1"/>
    <w:rsid w:val="00182331"/>
    <w:rsid w:val="00183830"/>
    <w:rsid w:val="00185A1E"/>
    <w:rsid w:val="001869AE"/>
    <w:rsid w:val="0019128E"/>
    <w:rsid w:val="0019173F"/>
    <w:rsid w:val="00191E60"/>
    <w:rsid w:val="00192C46"/>
    <w:rsid w:val="00194791"/>
    <w:rsid w:val="00194CD5"/>
    <w:rsid w:val="00195FFD"/>
    <w:rsid w:val="001961A0"/>
    <w:rsid w:val="001A13FF"/>
    <w:rsid w:val="001A1F13"/>
    <w:rsid w:val="001A4BA4"/>
    <w:rsid w:val="001A5A10"/>
    <w:rsid w:val="001A724C"/>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33B"/>
    <w:rsid w:val="001D6477"/>
    <w:rsid w:val="001E2285"/>
    <w:rsid w:val="001E4578"/>
    <w:rsid w:val="001E4647"/>
    <w:rsid w:val="001F0C15"/>
    <w:rsid w:val="001F2869"/>
    <w:rsid w:val="001F2D29"/>
    <w:rsid w:val="001F3C5C"/>
    <w:rsid w:val="001F4149"/>
    <w:rsid w:val="001F4C7D"/>
    <w:rsid w:val="001F5AFE"/>
    <w:rsid w:val="001F62CD"/>
    <w:rsid w:val="001F740F"/>
    <w:rsid w:val="00200399"/>
    <w:rsid w:val="002017F8"/>
    <w:rsid w:val="00206EBB"/>
    <w:rsid w:val="002139A7"/>
    <w:rsid w:val="00217ABE"/>
    <w:rsid w:val="00220893"/>
    <w:rsid w:val="002219E7"/>
    <w:rsid w:val="0022604D"/>
    <w:rsid w:val="0023543B"/>
    <w:rsid w:val="00235FE5"/>
    <w:rsid w:val="002373CF"/>
    <w:rsid w:val="00242AF0"/>
    <w:rsid w:val="00243410"/>
    <w:rsid w:val="002435CE"/>
    <w:rsid w:val="002446C7"/>
    <w:rsid w:val="0024620B"/>
    <w:rsid w:val="002509A3"/>
    <w:rsid w:val="00252028"/>
    <w:rsid w:val="00253396"/>
    <w:rsid w:val="00255408"/>
    <w:rsid w:val="00257B1D"/>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96EE9"/>
    <w:rsid w:val="002A041C"/>
    <w:rsid w:val="002A0598"/>
    <w:rsid w:val="002A198A"/>
    <w:rsid w:val="002A1C50"/>
    <w:rsid w:val="002A49B9"/>
    <w:rsid w:val="002A5C3A"/>
    <w:rsid w:val="002B0527"/>
    <w:rsid w:val="002B1A50"/>
    <w:rsid w:val="002B2A8A"/>
    <w:rsid w:val="002B3A67"/>
    <w:rsid w:val="002B5660"/>
    <w:rsid w:val="002B5B23"/>
    <w:rsid w:val="002B6939"/>
    <w:rsid w:val="002C018E"/>
    <w:rsid w:val="002C223B"/>
    <w:rsid w:val="002C2A1B"/>
    <w:rsid w:val="002C5284"/>
    <w:rsid w:val="002C7A08"/>
    <w:rsid w:val="002D563D"/>
    <w:rsid w:val="002D5AFE"/>
    <w:rsid w:val="002D6005"/>
    <w:rsid w:val="002D7D21"/>
    <w:rsid w:val="002E0A62"/>
    <w:rsid w:val="002E3230"/>
    <w:rsid w:val="002E45FC"/>
    <w:rsid w:val="002E5C5B"/>
    <w:rsid w:val="002E7AA4"/>
    <w:rsid w:val="002F4D18"/>
    <w:rsid w:val="002F4EF5"/>
    <w:rsid w:val="002F5562"/>
    <w:rsid w:val="002F6ACD"/>
    <w:rsid w:val="00304BED"/>
    <w:rsid w:val="00305082"/>
    <w:rsid w:val="003102CB"/>
    <w:rsid w:val="00310FEF"/>
    <w:rsid w:val="00313B5E"/>
    <w:rsid w:val="0031591A"/>
    <w:rsid w:val="003159D2"/>
    <w:rsid w:val="0031782F"/>
    <w:rsid w:val="00320AAB"/>
    <w:rsid w:val="003244FC"/>
    <w:rsid w:val="003268E5"/>
    <w:rsid w:val="003317C2"/>
    <w:rsid w:val="0033611C"/>
    <w:rsid w:val="00337C37"/>
    <w:rsid w:val="00342CCA"/>
    <w:rsid w:val="00342EAB"/>
    <w:rsid w:val="003436EF"/>
    <w:rsid w:val="003449F0"/>
    <w:rsid w:val="00345C8C"/>
    <w:rsid w:val="00353047"/>
    <w:rsid w:val="0035383D"/>
    <w:rsid w:val="00354B4D"/>
    <w:rsid w:val="00355CAE"/>
    <w:rsid w:val="003644DB"/>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A79B6"/>
    <w:rsid w:val="003B1029"/>
    <w:rsid w:val="003B1C96"/>
    <w:rsid w:val="003B41DF"/>
    <w:rsid w:val="003B5F92"/>
    <w:rsid w:val="003C3FDC"/>
    <w:rsid w:val="003C74B9"/>
    <w:rsid w:val="003C7CC2"/>
    <w:rsid w:val="003D223F"/>
    <w:rsid w:val="003D304F"/>
    <w:rsid w:val="003D3818"/>
    <w:rsid w:val="003E3010"/>
    <w:rsid w:val="003E5758"/>
    <w:rsid w:val="003E70C9"/>
    <w:rsid w:val="003F1FCB"/>
    <w:rsid w:val="003F6A44"/>
    <w:rsid w:val="003F6BB3"/>
    <w:rsid w:val="003F6CB6"/>
    <w:rsid w:val="003F7099"/>
    <w:rsid w:val="004020EB"/>
    <w:rsid w:val="004021CF"/>
    <w:rsid w:val="004050E8"/>
    <w:rsid w:val="004051C9"/>
    <w:rsid w:val="00407EEA"/>
    <w:rsid w:val="004116D0"/>
    <w:rsid w:val="00413652"/>
    <w:rsid w:val="00413C80"/>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3A62"/>
    <w:rsid w:val="00495871"/>
    <w:rsid w:val="004A0AAF"/>
    <w:rsid w:val="004A4C36"/>
    <w:rsid w:val="004B03AE"/>
    <w:rsid w:val="004B3504"/>
    <w:rsid w:val="004B5DD7"/>
    <w:rsid w:val="004C280E"/>
    <w:rsid w:val="004C3D0B"/>
    <w:rsid w:val="004C4B76"/>
    <w:rsid w:val="004C4BF6"/>
    <w:rsid w:val="004C6E45"/>
    <w:rsid w:val="004C751B"/>
    <w:rsid w:val="004D27D7"/>
    <w:rsid w:val="004D3CD6"/>
    <w:rsid w:val="004D5227"/>
    <w:rsid w:val="004E02A8"/>
    <w:rsid w:val="004E5A55"/>
    <w:rsid w:val="004E5E59"/>
    <w:rsid w:val="004E6A86"/>
    <w:rsid w:val="004E7E58"/>
    <w:rsid w:val="004F0667"/>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3E13"/>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146B"/>
    <w:rsid w:val="005923C6"/>
    <w:rsid w:val="0059456C"/>
    <w:rsid w:val="00595134"/>
    <w:rsid w:val="00596E83"/>
    <w:rsid w:val="005A1A59"/>
    <w:rsid w:val="005A4189"/>
    <w:rsid w:val="005A48B5"/>
    <w:rsid w:val="005A63DA"/>
    <w:rsid w:val="005A6DE3"/>
    <w:rsid w:val="005A76D1"/>
    <w:rsid w:val="005B0B20"/>
    <w:rsid w:val="005B1FE7"/>
    <w:rsid w:val="005B2675"/>
    <w:rsid w:val="005B38AD"/>
    <w:rsid w:val="005C08A1"/>
    <w:rsid w:val="005C23CF"/>
    <w:rsid w:val="005D4955"/>
    <w:rsid w:val="005D5963"/>
    <w:rsid w:val="005E0BA1"/>
    <w:rsid w:val="005E2170"/>
    <w:rsid w:val="005E509C"/>
    <w:rsid w:val="005E5971"/>
    <w:rsid w:val="005E6455"/>
    <w:rsid w:val="005E6C0B"/>
    <w:rsid w:val="005E6E3E"/>
    <w:rsid w:val="005F0644"/>
    <w:rsid w:val="005F3CE3"/>
    <w:rsid w:val="005F4BC4"/>
    <w:rsid w:val="006004E2"/>
    <w:rsid w:val="006011E1"/>
    <w:rsid w:val="006021BE"/>
    <w:rsid w:val="006079D3"/>
    <w:rsid w:val="00607FE8"/>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5C7"/>
    <w:rsid w:val="00653E62"/>
    <w:rsid w:val="006578D9"/>
    <w:rsid w:val="006637E4"/>
    <w:rsid w:val="0066401F"/>
    <w:rsid w:val="00665E35"/>
    <w:rsid w:val="00667C07"/>
    <w:rsid w:val="006716E0"/>
    <w:rsid w:val="00673F24"/>
    <w:rsid w:val="0067546F"/>
    <w:rsid w:val="00676032"/>
    <w:rsid w:val="006762DF"/>
    <w:rsid w:val="006814B5"/>
    <w:rsid w:val="00685B8B"/>
    <w:rsid w:val="00685C58"/>
    <w:rsid w:val="00692461"/>
    <w:rsid w:val="0069654D"/>
    <w:rsid w:val="00697A35"/>
    <w:rsid w:val="006A2D9C"/>
    <w:rsid w:val="006A4277"/>
    <w:rsid w:val="006B2143"/>
    <w:rsid w:val="006B6D80"/>
    <w:rsid w:val="006B6E69"/>
    <w:rsid w:val="006C022E"/>
    <w:rsid w:val="006C0327"/>
    <w:rsid w:val="006C552F"/>
    <w:rsid w:val="006C6A54"/>
    <w:rsid w:val="006C7EB9"/>
    <w:rsid w:val="006D17CC"/>
    <w:rsid w:val="006D709A"/>
    <w:rsid w:val="006E11E5"/>
    <w:rsid w:val="006E15DF"/>
    <w:rsid w:val="006E3380"/>
    <w:rsid w:val="006E43E3"/>
    <w:rsid w:val="006E46CE"/>
    <w:rsid w:val="006E4B22"/>
    <w:rsid w:val="006E4BCC"/>
    <w:rsid w:val="006E4F11"/>
    <w:rsid w:val="006E5424"/>
    <w:rsid w:val="006F03E6"/>
    <w:rsid w:val="006F16E6"/>
    <w:rsid w:val="006F1C46"/>
    <w:rsid w:val="006F2B55"/>
    <w:rsid w:val="006F5E99"/>
    <w:rsid w:val="0070184A"/>
    <w:rsid w:val="007022BB"/>
    <w:rsid w:val="00702B4B"/>
    <w:rsid w:val="007044C2"/>
    <w:rsid w:val="00704D09"/>
    <w:rsid w:val="00705974"/>
    <w:rsid w:val="007073D6"/>
    <w:rsid w:val="00713484"/>
    <w:rsid w:val="00717E99"/>
    <w:rsid w:val="007217A8"/>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90211"/>
    <w:rsid w:val="00790946"/>
    <w:rsid w:val="007920CE"/>
    <w:rsid w:val="0079379D"/>
    <w:rsid w:val="00794F14"/>
    <w:rsid w:val="00795576"/>
    <w:rsid w:val="007A0337"/>
    <w:rsid w:val="007A13CD"/>
    <w:rsid w:val="007A26D2"/>
    <w:rsid w:val="007A33D4"/>
    <w:rsid w:val="007A3474"/>
    <w:rsid w:val="007A3B69"/>
    <w:rsid w:val="007A3C47"/>
    <w:rsid w:val="007A7A2B"/>
    <w:rsid w:val="007A7EB7"/>
    <w:rsid w:val="007B2325"/>
    <w:rsid w:val="007B3240"/>
    <w:rsid w:val="007B369A"/>
    <w:rsid w:val="007B47CE"/>
    <w:rsid w:val="007B7C36"/>
    <w:rsid w:val="007C0293"/>
    <w:rsid w:val="007C3AA1"/>
    <w:rsid w:val="007D05D7"/>
    <w:rsid w:val="007D0DCC"/>
    <w:rsid w:val="007D3D0A"/>
    <w:rsid w:val="007D49B8"/>
    <w:rsid w:val="007E3FDB"/>
    <w:rsid w:val="007E75C3"/>
    <w:rsid w:val="007F2498"/>
    <w:rsid w:val="007F3721"/>
    <w:rsid w:val="007F5C18"/>
    <w:rsid w:val="007F5C3B"/>
    <w:rsid w:val="007F7E87"/>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5BC4"/>
    <w:rsid w:val="008564C0"/>
    <w:rsid w:val="00860B75"/>
    <w:rsid w:val="00860E25"/>
    <w:rsid w:val="00862AC4"/>
    <w:rsid w:val="00863695"/>
    <w:rsid w:val="008657DB"/>
    <w:rsid w:val="00871B0F"/>
    <w:rsid w:val="0087228C"/>
    <w:rsid w:val="00872384"/>
    <w:rsid w:val="00872CEE"/>
    <w:rsid w:val="00872FA7"/>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C2AD1"/>
    <w:rsid w:val="008C347E"/>
    <w:rsid w:val="008C355E"/>
    <w:rsid w:val="008C5FCE"/>
    <w:rsid w:val="008D1B4F"/>
    <w:rsid w:val="008D2A6D"/>
    <w:rsid w:val="008D62E7"/>
    <w:rsid w:val="008E09F7"/>
    <w:rsid w:val="008E1A70"/>
    <w:rsid w:val="008E1FF1"/>
    <w:rsid w:val="008E4634"/>
    <w:rsid w:val="008E75EF"/>
    <w:rsid w:val="008E7D53"/>
    <w:rsid w:val="008F11A6"/>
    <w:rsid w:val="008F3DBD"/>
    <w:rsid w:val="009052C0"/>
    <w:rsid w:val="009059B4"/>
    <w:rsid w:val="00906B48"/>
    <w:rsid w:val="009072A7"/>
    <w:rsid w:val="00907C17"/>
    <w:rsid w:val="009131C2"/>
    <w:rsid w:val="009132C3"/>
    <w:rsid w:val="00914531"/>
    <w:rsid w:val="00915143"/>
    <w:rsid w:val="00915340"/>
    <w:rsid w:val="00916440"/>
    <w:rsid w:val="00916DCB"/>
    <w:rsid w:val="0092030C"/>
    <w:rsid w:val="00920D83"/>
    <w:rsid w:val="009211F0"/>
    <w:rsid w:val="00922B26"/>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7784A"/>
    <w:rsid w:val="00980517"/>
    <w:rsid w:val="009812A7"/>
    <w:rsid w:val="0098513F"/>
    <w:rsid w:val="00986F68"/>
    <w:rsid w:val="00992AA4"/>
    <w:rsid w:val="00992DCA"/>
    <w:rsid w:val="009945BC"/>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18DB"/>
    <w:rsid w:val="009C3DF5"/>
    <w:rsid w:val="009C52FC"/>
    <w:rsid w:val="009C5321"/>
    <w:rsid w:val="009D0710"/>
    <w:rsid w:val="009D7734"/>
    <w:rsid w:val="009E205B"/>
    <w:rsid w:val="009E4E8F"/>
    <w:rsid w:val="009E72AB"/>
    <w:rsid w:val="009F270C"/>
    <w:rsid w:val="009F4DD3"/>
    <w:rsid w:val="009F53D9"/>
    <w:rsid w:val="009F6DEF"/>
    <w:rsid w:val="009F71D1"/>
    <w:rsid w:val="00A0007F"/>
    <w:rsid w:val="00A02018"/>
    <w:rsid w:val="00A06667"/>
    <w:rsid w:val="00A10842"/>
    <w:rsid w:val="00A12F8A"/>
    <w:rsid w:val="00A14CF7"/>
    <w:rsid w:val="00A219F5"/>
    <w:rsid w:val="00A3233F"/>
    <w:rsid w:val="00A32C29"/>
    <w:rsid w:val="00A330F8"/>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4CE"/>
    <w:rsid w:val="00A66F08"/>
    <w:rsid w:val="00A67DDD"/>
    <w:rsid w:val="00A700A3"/>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1DAC"/>
    <w:rsid w:val="00B04156"/>
    <w:rsid w:val="00B04BE4"/>
    <w:rsid w:val="00B05A6F"/>
    <w:rsid w:val="00B06340"/>
    <w:rsid w:val="00B104E4"/>
    <w:rsid w:val="00B11128"/>
    <w:rsid w:val="00B12F60"/>
    <w:rsid w:val="00B14BC6"/>
    <w:rsid w:val="00B14D9B"/>
    <w:rsid w:val="00B16D35"/>
    <w:rsid w:val="00B16D97"/>
    <w:rsid w:val="00B2099A"/>
    <w:rsid w:val="00B21F96"/>
    <w:rsid w:val="00B24197"/>
    <w:rsid w:val="00B27341"/>
    <w:rsid w:val="00B27E4D"/>
    <w:rsid w:val="00B36BFC"/>
    <w:rsid w:val="00B37277"/>
    <w:rsid w:val="00B407D3"/>
    <w:rsid w:val="00B428CC"/>
    <w:rsid w:val="00B4571C"/>
    <w:rsid w:val="00B52B8D"/>
    <w:rsid w:val="00B605CD"/>
    <w:rsid w:val="00B61528"/>
    <w:rsid w:val="00B65BCA"/>
    <w:rsid w:val="00B65F5C"/>
    <w:rsid w:val="00B6606C"/>
    <w:rsid w:val="00B66322"/>
    <w:rsid w:val="00B6722F"/>
    <w:rsid w:val="00B67892"/>
    <w:rsid w:val="00B7076A"/>
    <w:rsid w:val="00B72052"/>
    <w:rsid w:val="00B74918"/>
    <w:rsid w:val="00B816E3"/>
    <w:rsid w:val="00B82756"/>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35A3"/>
    <w:rsid w:val="00BB4DBF"/>
    <w:rsid w:val="00BC1252"/>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0D5F"/>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1E6"/>
    <w:rsid w:val="00C42E90"/>
    <w:rsid w:val="00C4392E"/>
    <w:rsid w:val="00C47142"/>
    <w:rsid w:val="00C50E9D"/>
    <w:rsid w:val="00C53D14"/>
    <w:rsid w:val="00C61CB1"/>
    <w:rsid w:val="00C63986"/>
    <w:rsid w:val="00C63FE3"/>
    <w:rsid w:val="00C64DA3"/>
    <w:rsid w:val="00C7136C"/>
    <w:rsid w:val="00C733B1"/>
    <w:rsid w:val="00C73E23"/>
    <w:rsid w:val="00C7752B"/>
    <w:rsid w:val="00C80005"/>
    <w:rsid w:val="00C82905"/>
    <w:rsid w:val="00C84723"/>
    <w:rsid w:val="00C84AD4"/>
    <w:rsid w:val="00C87D13"/>
    <w:rsid w:val="00C922AF"/>
    <w:rsid w:val="00C93311"/>
    <w:rsid w:val="00C93863"/>
    <w:rsid w:val="00C9468E"/>
    <w:rsid w:val="00C94EF9"/>
    <w:rsid w:val="00C95A71"/>
    <w:rsid w:val="00C96228"/>
    <w:rsid w:val="00CA29D5"/>
    <w:rsid w:val="00CA318B"/>
    <w:rsid w:val="00CA4510"/>
    <w:rsid w:val="00CA7405"/>
    <w:rsid w:val="00CB2179"/>
    <w:rsid w:val="00CB36FD"/>
    <w:rsid w:val="00CC2F7E"/>
    <w:rsid w:val="00CC74A1"/>
    <w:rsid w:val="00CC7F79"/>
    <w:rsid w:val="00CD3262"/>
    <w:rsid w:val="00CD6512"/>
    <w:rsid w:val="00CD7918"/>
    <w:rsid w:val="00CE00F0"/>
    <w:rsid w:val="00CE0309"/>
    <w:rsid w:val="00CE16A0"/>
    <w:rsid w:val="00CE5895"/>
    <w:rsid w:val="00CF0059"/>
    <w:rsid w:val="00CF0522"/>
    <w:rsid w:val="00CF1F7C"/>
    <w:rsid w:val="00CF58C0"/>
    <w:rsid w:val="00CF7803"/>
    <w:rsid w:val="00D01262"/>
    <w:rsid w:val="00D04677"/>
    <w:rsid w:val="00D05762"/>
    <w:rsid w:val="00D109BE"/>
    <w:rsid w:val="00D137BB"/>
    <w:rsid w:val="00D228CB"/>
    <w:rsid w:val="00D23ED3"/>
    <w:rsid w:val="00D26B60"/>
    <w:rsid w:val="00D33D98"/>
    <w:rsid w:val="00D3524E"/>
    <w:rsid w:val="00D358AC"/>
    <w:rsid w:val="00D35B8E"/>
    <w:rsid w:val="00D35F06"/>
    <w:rsid w:val="00D43E57"/>
    <w:rsid w:val="00D44B42"/>
    <w:rsid w:val="00D456F0"/>
    <w:rsid w:val="00D45951"/>
    <w:rsid w:val="00D46340"/>
    <w:rsid w:val="00D47BAE"/>
    <w:rsid w:val="00D5503B"/>
    <w:rsid w:val="00D5551F"/>
    <w:rsid w:val="00D56853"/>
    <w:rsid w:val="00D61EDD"/>
    <w:rsid w:val="00D62CCB"/>
    <w:rsid w:val="00D63A79"/>
    <w:rsid w:val="00D64F2C"/>
    <w:rsid w:val="00D65A7C"/>
    <w:rsid w:val="00D709D8"/>
    <w:rsid w:val="00D71128"/>
    <w:rsid w:val="00D73843"/>
    <w:rsid w:val="00D74253"/>
    <w:rsid w:val="00D76431"/>
    <w:rsid w:val="00D769FA"/>
    <w:rsid w:val="00D778D5"/>
    <w:rsid w:val="00D819F7"/>
    <w:rsid w:val="00D825D7"/>
    <w:rsid w:val="00D82848"/>
    <w:rsid w:val="00D82C20"/>
    <w:rsid w:val="00D860C2"/>
    <w:rsid w:val="00D87278"/>
    <w:rsid w:val="00D87799"/>
    <w:rsid w:val="00D96BA4"/>
    <w:rsid w:val="00DA2394"/>
    <w:rsid w:val="00DA63AC"/>
    <w:rsid w:val="00DA73CC"/>
    <w:rsid w:val="00DA75A6"/>
    <w:rsid w:val="00DA7F5D"/>
    <w:rsid w:val="00DB0AE9"/>
    <w:rsid w:val="00DB2F69"/>
    <w:rsid w:val="00DB6529"/>
    <w:rsid w:val="00DB7FE7"/>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494"/>
    <w:rsid w:val="00E05BB6"/>
    <w:rsid w:val="00E21D99"/>
    <w:rsid w:val="00E235CD"/>
    <w:rsid w:val="00E2379E"/>
    <w:rsid w:val="00E25067"/>
    <w:rsid w:val="00E26969"/>
    <w:rsid w:val="00E313E3"/>
    <w:rsid w:val="00E328AD"/>
    <w:rsid w:val="00E34448"/>
    <w:rsid w:val="00E35991"/>
    <w:rsid w:val="00E376B5"/>
    <w:rsid w:val="00E37BAA"/>
    <w:rsid w:val="00E41248"/>
    <w:rsid w:val="00E4195A"/>
    <w:rsid w:val="00E43183"/>
    <w:rsid w:val="00E43496"/>
    <w:rsid w:val="00E4734C"/>
    <w:rsid w:val="00E4785A"/>
    <w:rsid w:val="00E47A1C"/>
    <w:rsid w:val="00E52EAF"/>
    <w:rsid w:val="00E5533B"/>
    <w:rsid w:val="00E55B23"/>
    <w:rsid w:val="00E56787"/>
    <w:rsid w:val="00E5724B"/>
    <w:rsid w:val="00E574E0"/>
    <w:rsid w:val="00E57898"/>
    <w:rsid w:val="00E6048F"/>
    <w:rsid w:val="00E63B43"/>
    <w:rsid w:val="00E72823"/>
    <w:rsid w:val="00E73155"/>
    <w:rsid w:val="00E7472C"/>
    <w:rsid w:val="00E76A06"/>
    <w:rsid w:val="00E80682"/>
    <w:rsid w:val="00E849C9"/>
    <w:rsid w:val="00E910FB"/>
    <w:rsid w:val="00E92988"/>
    <w:rsid w:val="00E92E9A"/>
    <w:rsid w:val="00E93676"/>
    <w:rsid w:val="00E93E6D"/>
    <w:rsid w:val="00E966CE"/>
    <w:rsid w:val="00EA20E3"/>
    <w:rsid w:val="00EA21BC"/>
    <w:rsid w:val="00EA4E26"/>
    <w:rsid w:val="00EA5EB0"/>
    <w:rsid w:val="00EA6D74"/>
    <w:rsid w:val="00EA6E0E"/>
    <w:rsid w:val="00EB0460"/>
    <w:rsid w:val="00EB1608"/>
    <w:rsid w:val="00EB47E4"/>
    <w:rsid w:val="00EB48E4"/>
    <w:rsid w:val="00EB558E"/>
    <w:rsid w:val="00EB5E5A"/>
    <w:rsid w:val="00EB60A7"/>
    <w:rsid w:val="00EB71F0"/>
    <w:rsid w:val="00EB7BFA"/>
    <w:rsid w:val="00EC15AB"/>
    <w:rsid w:val="00EC1C7D"/>
    <w:rsid w:val="00EC253A"/>
    <w:rsid w:val="00EC4A68"/>
    <w:rsid w:val="00EC4C7A"/>
    <w:rsid w:val="00EC59DB"/>
    <w:rsid w:val="00EC5B69"/>
    <w:rsid w:val="00ED07D8"/>
    <w:rsid w:val="00ED153C"/>
    <w:rsid w:val="00EE374D"/>
    <w:rsid w:val="00EE526A"/>
    <w:rsid w:val="00EE7B0B"/>
    <w:rsid w:val="00EF4E9E"/>
    <w:rsid w:val="00EF4F57"/>
    <w:rsid w:val="00EF68D7"/>
    <w:rsid w:val="00F01FCA"/>
    <w:rsid w:val="00F035A5"/>
    <w:rsid w:val="00F05AF0"/>
    <w:rsid w:val="00F05D7E"/>
    <w:rsid w:val="00F1021D"/>
    <w:rsid w:val="00F10805"/>
    <w:rsid w:val="00F16963"/>
    <w:rsid w:val="00F16D01"/>
    <w:rsid w:val="00F25C16"/>
    <w:rsid w:val="00F30776"/>
    <w:rsid w:val="00F30DDD"/>
    <w:rsid w:val="00F31B01"/>
    <w:rsid w:val="00F31B8F"/>
    <w:rsid w:val="00F33455"/>
    <w:rsid w:val="00F34D25"/>
    <w:rsid w:val="00F362F2"/>
    <w:rsid w:val="00F42088"/>
    <w:rsid w:val="00F42A83"/>
    <w:rsid w:val="00F4316D"/>
    <w:rsid w:val="00F45CA1"/>
    <w:rsid w:val="00F47322"/>
    <w:rsid w:val="00F50CC2"/>
    <w:rsid w:val="00F53EC5"/>
    <w:rsid w:val="00F56331"/>
    <w:rsid w:val="00F574B3"/>
    <w:rsid w:val="00F601E5"/>
    <w:rsid w:val="00F60CCC"/>
    <w:rsid w:val="00F63979"/>
    <w:rsid w:val="00F67EAC"/>
    <w:rsid w:val="00F73BFB"/>
    <w:rsid w:val="00F8020A"/>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2F7C"/>
    <w:rsid w:val="00FC3E46"/>
    <w:rsid w:val="00FD085D"/>
    <w:rsid w:val="00FD5E70"/>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DD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header" w:uiPriority="99"/>
    <w:lsdException w:name="footer" w:uiPriority="99"/>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uiPriority="99"/>
    <w:lsdException w:name="FollowedHyperlink" w:semiHidden="0"/>
    <w:lsdException w:name="Strong" w:semiHidden="0" w:unhideWhenUsed="0"/>
    <w:lsdException w:name="Emphasis" w:semiHidden="0" w:unhideWhenUsed="0"/>
    <w:lsdException w:name="HTML Preformatted" w:uiPriority="99"/>
    <w:lsdException w:name="Table Grid" w:semiHidden="0" w:uiPriority="59" w:unhideWhenUsed="0"/>
    <w:lsdException w:name="Placeholder Text" w:uiPriority="99"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345C8C"/>
  </w:style>
  <w:style w:type="paragraph" w:styleId="1">
    <w:name w:val="heading 1"/>
    <w:basedOn w:val="a"/>
    <w:next w:val="a"/>
    <w:link w:val="1Char"/>
    <w:qFormat/>
    <w:rsid w:val="0023543B"/>
    <w:pPr>
      <w:keepNext/>
      <w:spacing w:after="0"/>
      <w:outlineLvl w:val="0"/>
    </w:pPr>
    <w:rPr>
      <w:rFonts w:ascii="Times New Roman" w:eastAsia="Times New Roman" w:hAnsi="Times New Roman" w:cs="Times New Roman"/>
      <w:b/>
      <w:sz w:val="24"/>
      <w:szCs w:val="20"/>
      <w:lang w:eastAsia="tr-TR"/>
    </w:rPr>
  </w:style>
  <w:style w:type="paragraph" w:styleId="2">
    <w:name w:val="heading 2"/>
    <w:basedOn w:val="1"/>
    <w:next w:val="PARAGRAPHnoindent"/>
    <w:link w:val="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3">
    <w:name w:val="heading 3"/>
    <w:basedOn w:val="2"/>
    <w:next w:val="PARAGRAPHnoindent"/>
    <w:link w:val="3Char"/>
    <w:uiPriority w:val="9"/>
    <w:qFormat/>
    <w:rsid w:val="00C7136C"/>
    <w:pPr>
      <w:ind w:left="520" w:hanging="520"/>
      <w:outlineLvl w:val="2"/>
    </w:pPr>
    <w:rPr>
      <w:bCs w:val="0"/>
      <w:sz w:val="26"/>
      <w:szCs w:val="26"/>
    </w:rPr>
  </w:style>
  <w:style w:type="paragraph" w:styleId="4">
    <w:name w:val="heading 4"/>
    <w:basedOn w:val="a"/>
    <w:next w:val="PARAGRAPHnoindent"/>
    <w:link w:val="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5">
    <w:name w:val="heading 5"/>
    <w:basedOn w:val="a"/>
    <w:next w:val="a"/>
    <w:link w:val="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6">
    <w:name w:val="heading 6"/>
    <w:basedOn w:val="a"/>
    <w:next w:val="a"/>
    <w:link w:val="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7">
    <w:name w:val="heading 7"/>
    <w:basedOn w:val="a"/>
    <w:next w:val="a"/>
    <w:link w:val="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8">
    <w:name w:val="heading 8"/>
    <w:basedOn w:val="a"/>
    <w:next w:val="a"/>
    <w:link w:val="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9">
    <w:name w:val="heading 9"/>
    <w:basedOn w:val="a"/>
    <w:next w:val="a"/>
    <w:link w:val="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Char"/>
    <w:uiPriority w:val="1"/>
    <w:qFormat/>
    <w:rsid w:val="00A71ABA"/>
    <w:pPr>
      <w:ind w:left="720"/>
      <w:contextualSpacing/>
    </w:pPr>
  </w:style>
  <w:style w:type="paragraph" w:styleId="a4">
    <w:name w:val="Balloon Text"/>
    <w:basedOn w:val="a"/>
    <w:link w:val="Char0"/>
    <w:uiPriority w:val="99"/>
    <w:unhideWhenUsed/>
    <w:rsid w:val="0019128E"/>
    <w:pPr>
      <w:spacing w:after="0"/>
    </w:pPr>
    <w:rPr>
      <w:rFonts w:ascii="Tahoma" w:hAnsi="Tahoma" w:cs="Tahoma"/>
      <w:sz w:val="16"/>
      <w:szCs w:val="16"/>
    </w:rPr>
  </w:style>
  <w:style w:type="character" w:customStyle="1" w:styleId="Char0">
    <w:name w:val="نص في بالون Char"/>
    <w:basedOn w:val="a0"/>
    <w:link w:val="a4"/>
    <w:uiPriority w:val="99"/>
    <w:rsid w:val="0019128E"/>
    <w:rPr>
      <w:rFonts w:ascii="Tahoma" w:hAnsi="Tahoma" w:cs="Tahoma"/>
      <w:sz w:val="16"/>
      <w:szCs w:val="16"/>
    </w:rPr>
  </w:style>
  <w:style w:type="table" w:styleId="a5">
    <w:name w:val="Table Grid"/>
    <w:basedOn w:val="a1"/>
    <w:uiPriority w:val="5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E41248"/>
    <w:rPr>
      <w:color w:val="0000FF" w:themeColor="hyperlink"/>
      <w:u w:val="single"/>
    </w:rPr>
  </w:style>
  <w:style w:type="paragraph" w:styleId="a6">
    <w:name w:val="header"/>
    <w:basedOn w:val="a"/>
    <w:link w:val="Char1"/>
    <w:uiPriority w:val="99"/>
    <w:unhideWhenUsed/>
    <w:rsid w:val="00A86FE2"/>
    <w:pPr>
      <w:tabs>
        <w:tab w:val="center" w:pos="4703"/>
        <w:tab w:val="right" w:pos="9406"/>
      </w:tabs>
      <w:spacing w:after="0"/>
    </w:pPr>
  </w:style>
  <w:style w:type="character" w:customStyle="1" w:styleId="Char1">
    <w:name w:val="رأس الصفحة Char"/>
    <w:basedOn w:val="a0"/>
    <w:link w:val="a6"/>
    <w:uiPriority w:val="99"/>
    <w:rsid w:val="00A86FE2"/>
  </w:style>
  <w:style w:type="paragraph" w:styleId="a7">
    <w:name w:val="footer"/>
    <w:basedOn w:val="a"/>
    <w:link w:val="Char2"/>
    <w:uiPriority w:val="99"/>
    <w:unhideWhenUsed/>
    <w:rsid w:val="00A86FE2"/>
    <w:pPr>
      <w:tabs>
        <w:tab w:val="center" w:pos="4703"/>
        <w:tab w:val="right" w:pos="9406"/>
      </w:tabs>
      <w:spacing w:after="0"/>
    </w:pPr>
  </w:style>
  <w:style w:type="character" w:customStyle="1" w:styleId="Char2">
    <w:name w:val="تذييل الصفحة Char"/>
    <w:basedOn w:val="a0"/>
    <w:link w:val="a7"/>
    <w:uiPriority w:val="99"/>
    <w:rsid w:val="00A86FE2"/>
  </w:style>
  <w:style w:type="paragraph" w:styleId="a8">
    <w:name w:val="Normal (Web)"/>
    <w:basedOn w:val="a"/>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9">
    <w:name w:val="No Spacing"/>
    <w:link w:val="Char3"/>
    <w:uiPriority w:val="1"/>
    <w:qFormat/>
    <w:rsid w:val="00A86FE2"/>
    <w:pPr>
      <w:spacing w:after="0"/>
    </w:pPr>
    <w:rPr>
      <w:rFonts w:ascii="Calibri" w:eastAsia="Times New Roman" w:hAnsi="Calibri" w:cs="Times New Roman"/>
    </w:rPr>
  </w:style>
  <w:style w:type="paragraph" w:styleId="aa">
    <w:name w:val="caption"/>
    <w:basedOn w:val="a"/>
    <w:next w:val="a"/>
    <w:link w:val="Char4"/>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har4">
    <w:name w:val="تسمية توضيحية Char"/>
    <w:basedOn w:val="a0"/>
    <w:link w:val="aa"/>
    <w:uiPriority w:val="35"/>
    <w:rsid w:val="00980517"/>
    <w:rPr>
      <w:rFonts w:ascii="Times New Roman" w:eastAsia="Times New Roman" w:hAnsi="Times New Roman" w:cs="Times New Roman"/>
      <w:b/>
      <w:bCs/>
      <w:sz w:val="20"/>
      <w:szCs w:val="20"/>
      <w:lang w:eastAsia="tr-TR"/>
    </w:rPr>
  </w:style>
  <w:style w:type="character" w:styleId="ab">
    <w:name w:val="Strong"/>
    <w:basedOn w:val="a0"/>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ac">
    <w:name w:val="Emphasis"/>
    <w:basedOn w:val="a0"/>
    <w:uiPriority w:val="20"/>
    <w:qFormat/>
    <w:rsid w:val="004C751B"/>
    <w:rPr>
      <w:i/>
      <w:iCs/>
    </w:rPr>
  </w:style>
  <w:style w:type="paragraph" w:styleId="ad">
    <w:name w:val="Body Text"/>
    <w:basedOn w:val="a"/>
    <w:link w:val="Char5"/>
    <w:uiPriority w:val="99"/>
    <w:qFormat/>
    <w:rsid w:val="00C20C4B"/>
    <w:pPr>
      <w:spacing w:after="120"/>
    </w:pPr>
    <w:rPr>
      <w:rFonts w:ascii="Times New Roman" w:eastAsia="Times New Roman" w:hAnsi="Times New Roman" w:cs="Times New Roman"/>
      <w:sz w:val="24"/>
      <w:szCs w:val="24"/>
      <w:lang w:eastAsia="tr-TR"/>
    </w:rPr>
  </w:style>
  <w:style w:type="character" w:customStyle="1" w:styleId="Char5">
    <w:name w:val="نص أساسي Char"/>
    <w:basedOn w:val="a0"/>
    <w:link w:val="ad"/>
    <w:uiPriority w:val="99"/>
    <w:rsid w:val="00C20C4B"/>
    <w:rPr>
      <w:rFonts w:ascii="Times New Roman" w:eastAsia="Times New Roman" w:hAnsi="Times New Roman" w:cs="Times New Roman"/>
      <w:sz w:val="24"/>
      <w:szCs w:val="24"/>
      <w:lang w:eastAsia="tr-TR"/>
    </w:rPr>
  </w:style>
  <w:style w:type="character" w:customStyle="1" w:styleId="hps">
    <w:name w:val="hps"/>
    <w:basedOn w:val="a0"/>
    <w:rsid w:val="00A94A60"/>
  </w:style>
  <w:style w:type="paragraph" w:styleId="20">
    <w:name w:val="Body Text 2"/>
    <w:basedOn w:val="a"/>
    <w:link w:val="2Char0"/>
    <w:unhideWhenUsed/>
    <w:rsid w:val="00790946"/>
    <w:pPr>
      <w:spacing w:after="120" w:line="480" w:lineRule="auto"/>
    </w:pPr>
  </w:style>
  <w:style w:type="character" w:customStyle="1" w:styleId="2Char0">
    <w:name w:val="نص أساسي 2 Char"/>
    <w:basedOn w:val="a0"/>
    <w:link w:val="20"/>
    <w:rsid w:val="00790946"/>
  </w:style>
  <w:style w:type="character" w:customStyle="1" w:styleId="citation">
    <w:name w:val="citation"/>
    <w:basedOn w:val="a0"/>
    <w:rsid w:val="005C08A1"/>
  </w:style>
  <w:style w:type="character" w:customStyle="1" w:styleId="ft">
    <w:name w:val="ft"/>
    <w:basedOn w:val="a0"/>
    <w:rsid w:val="005C08A1"/>
  </w:style>
  <w:style w:type="character" w:customStyle="1" w:styleId="A20">
    <w:name w:val="A2"/>
    <w:uiPriority w:val="99"/>
    <w:rsid w:val="005C08A1"/>
    <w:rPr>
      <w:rFonts w:cs="HelveticaOTF"/>
      <w:color w:val="000000"/>
      <w:sz w:val="20"/>
      <w:szCs w:val="20"/>
    </w:rPr>
  </w:style>
  <w:style w:type="character" w:customStyle="1" w:styleId="text">
    <w:name w:val="text"/>
    <w:basedOn w:val="a0"/>
    <w:rsid w:val="00872384"/>
  </w:style>
  <w:style w:type="character" w:customStyle="1" w:styleId="st1">
    <w:name w:val="st1"/>
    <w:basedOn w:val="a0"/>
    <w:rsid w:val="00872384"/>
  </w:style>
  <w:style w:type="character" w:customStyle="1" w:styleId="A30">
    <w:name w:val="A3"/>
    <w:uiPriority w:val="99"/>
    <w:rsid w:val="00872384"/>
    <w:rPr>
      <w:color w:val="000000"/>
      <w:sz w:val="18"/>
      <w:szCs w:val="18"/>
    </w:rPr>
  </w:style>
  <w:style w:type="character" w:customStyle="1" w:styleId="italic1">
    <w:name w:val="italic1"/>
    <w:basedOn w:val="a0"/>
    <w:rsid w:val="00872384"/>
    <w:rPr>
      <w:i/>
      <w:iCs/>
    </w:rPr>
  </w:style>
  <w:style w:type="paragraph" w:customStyle="1" w:styleId="References">
    <w:name w:val="References"/>
    <w:basedOn w:val="a"/>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a"/>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a"/>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a"/>
    <w:uiPriority w:val="99"/>
    <w:rsid w:val="000E43D9"/>
    <w:pPr>
      <w:spacing w:after="0"/>
      <w:jc w:val="center"/>
    </w:pPr>
    <w:rPr>
      <w:rFonts w:ascii="Times New Roman" w:eastAsia="Times New Roman" w:hAnsi="Times New Roman" w:cs="Times New Roman"/>
      <w:smallCaps/>
      <w:sz w:val="16"/>
      <w:szCs w:val="16"/>
      <w:lang w:val="en-US"/>
    </w:rPr>
  </w:style>
  <w:style w:type="paragraph" w:styleId="ae">
    <w:name w:val="Body Text Indent"/>
    <w:basedOn w:val="a"/>
    <w:link w:val="Char6"/>
    <w:unhideWhenUsed/>
    <w:rsid w:val="0023543B"/>
    <w:pPr>
      <w:spacing w:after="120"/>
      <w:ind w:left="283"/>
    </w:pPr>
  </w:style>
  <w:style w:type="character" w:customStyle="1" w:styleId="Char6">
    <w:name w:val="نص أساسي بمسافة بادئة Char"/>
    <w:basedOn w:val="a0"/>
    <w:link w:val="ae"/>
    <w:rsid w:val="0023543B"/>
  </w:style>
  <w:style w:type="character" w:customStyle="1" w:styleId="1Char">
    <w:name w:val="عنوان 1 Char"/>
    <w:basedOn w:val="a0"/>
    <w:link w:val="1"/>
    <w:rsid w:val="0023543B"/>
    <w:rPr>
      <w:rFonts w:ascii="Times New Roman" w:eastAsia="Times New Roman" w:hAnsi="Times New Roman" w:cs="Times New Roman"/>
      <w:b/>
      <w:sz w:val="24"/>
      <w:szCs w:val="20"/>
      <w:lang w:eastAsia="tr-TR"/>
    </w:rPr>
  </w:style>
  <w:style w:type="paragraph" w:customStyle="1" w:styleId="ABSTRACT">
    <w:name w:val="ABSTRACT"/>
    <w:basedOn w:val="a"/>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a"/>
    <w:uiPriority w:val="99"/>
    <w:rsid w:val="00C7136C"/>
    <w:pPr>
      <w:spacing w:after="0"/>
    </w:pPr>
  </w:style>
  <w:style w:type="paragraph" w:customStyle="1" w:styleId="PARAGRAPHnoindent">
    <w:name w:val="PARAGRAPH (no indent)"/>
    <w:basedOn w:val="a"/>
    <w:next w:val="a"/>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2Char">
    <w:name w:val="عنوان 2 Char"/>
    <w:basedOn w:val="a0"/>
    <w:link w:val="2"/>
    <w:uiPriority w:val="9"/>
    <w:rsid w:val="00C7136C"/>
    <w:rPr>
      <w:rFonts w:ascii="Cambria" w:eastAsia="Times New Roman" w:hAnsi="Cambria" w:cs="Times New Roman"/>
      <w:b/>
      <w:bCs/>
      <w:i/>
      <w:iCs/>
      <w:kern w:val="16"/>
      <w:sz w:val="28"/>
      <w:szCs w:val="28"/>
      <w:lang w:val="en-US"/>
    </w:rPr>
  </w:style>
  <w:style w:type="character" w:customStyle="1" w:styleId="3Char">
    <w:name w:val="عنوان 3 Char"/>
    <w:basedOn w:val="a0"/>
    <w:link w:val="3"/>
    <w:uiPriority w:val="9"/>
    <w:rsid w:val="00C7136C"/>
    <w:rPr>
      <w:rFonts w:ascii="Cambria" w:eastAsia="Times New Roman" w:hAnsi="Cambria" w:cs="Times New Roman"/>
      <w:b/>
      <w:i/>
      <w:iCs/>
      <w:kern w:val="16"/>
      <w:sz w:val="26"/>
      <w:szCs w:val="26"/>
      <w:lang w:val="en-US"/>
    </w:rPr>
  </w:style>
  <w:style w:type="character" w:customStyle="1" w:styleId="4Char">
    <w:name w:val="عنوان 4 Char"/>
    <w:basedOn w:val="a0"/>
    <w:link w:val="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a"/>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af">
    <w:name w:val="footnote reference"/>
    <w:basedOn w:val="a0"/>
    <w:uiPriority w:val="99"/>
    <w:semiHidden/>
    <w:rsid w:val="00C7136C"/>
    <w:rPr>
      <w:rFonts w:cs="Times New Roman"/>
      <w:position w:val="0"/>
      <w:vertAlign w:val="superscript"/>
    </w:rPr>
  </w:style>
  <w:style w:type="paragraph" w:styleId="af0">
    <w:name w:val="footnote text"/>
    <w:basedOn w:val="PARAGRAPHnoindent"/>
    <w:link w:val="Char7"/>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Char7">
    <w:name w:val="نص حاشية سفلية Char"/>
    <w:basedOn w:val="a0"/>
    <w:link w:val="af0"/>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a"/>
    <w:uiPriority w:val="99"/>
    <w:rsid w:val="00C7136C"/>
    <w:pPr>
      <w:spacing w:after="480" w:line="280" w:lineRule="exact"/>
    </w:pPr>
    <w:rPr>
      <w:spacing w:val="5"/>
      <w:sz w:val="22"/>
    </w:rPr>
  </w:style>
  <w:style w:type="paragraph" w:customStyle="1" w:styleId="TABLEFOOTNOTE">
    <w:name w:val="TABLE FOOTNOTE"/>
    <w:basedOn w:val="a"/>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a"/>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a"/>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a"/>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af1">
    <w:name w:val="page number"/>
    <w:basedOn w:val="a0"/>
    <w:rsid w:val="00C7136C"/>
    <w:rPr>
      <w:rFonts w:cs="Times New Roman"/>
    </w:rPr>
  </w:style>
  <w:style w:type="paragraph" w:customStyle="1" w:styleId="ART">
    <w:name w:val="ART"/>
    <w:basedOn w:val="a"/>
    <w:next w:val="a"/>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af0"/>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a"/>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a"/>
    <w:next w:val="a"/>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1"/>
    <w:uiPriority w:val="99"/>
    <w:rsid w:val="00C7136C"/>
    <w:pPr>
      <w:autoSpaceDE w:val="0"/>
      <w:autoSpaceDN w:val="0"/>
      <w:spacing w:before="240" w:after="80"/>
      <w:jc w:val="center"/>
    </w:pPr>
    <w:rPr>
      <w:b w:val="0"/>
      <w:smallCaps/>
      <w:kern w:val="28"/>
      <w:sz w:val="20"/>
      <w:lang w:val="en-US" w:eastAsia="en-US"/>
    </w:rPr>
  </w:style>
  <w:style w:type="character" w:styleId="af2">
    <w:name w:val="FollowedHyperlink"/>
    <w:basedOn w:val="a0"/>
    <w:uiPriority w:val="99"/>
    <w:rsid w:val="00C7136C"/>
    <w:rPr>
      <w:rFonts w:cs="Times New Roman"/>
      <w:color w:val="800080"/>
      <w:u w:val="single"/>
    </w:rPr>
  </w:style>
  <w:style w:type="character" w:styleId="af3">
    <w:name w:val="Placeholder Text"/>
    <w:basedOn w:val="a0"/>
    <w:uiPriority w:val="99"/>
    <w:semiHidden/>
    <w:rsid w:val="00C7136C"/>
    <w:rPr>
      <w:rFonts w:cs="Times New Roman"/>
      <w:color w:val="808080"/>
    </w:rPr>
  </w:style>
  <w:style w:type="character" w:customStyle="1" w:styleId="apple-converted-space">
    <w:name w:val="apple-converted-space"/>
    <w:rsid w:val="00C7136C"/>
  </w:style>
  <w:style w:type="character" w:styleId="af4">
    <w:name w:val="annotation reference"/>
    <w:basedOn w:val="a0"/>
    <w:rsid w:val="00C7136C"/>
    <w:rPr>
      <w:rFonts w:cs="Times New Roman"/>
      <w:sz w:val="16"/>
    </w:rPr>
  </w:style>
  <w:style w:type="paragraph" w:styleId="af5">
    <w:name w:val="annotation text"/>
    <w:basedOn w:val="a"/>
    <w:link w:val="Char8"/>
    <w:rsid w:val="00C7136C"/>
    <w:pPr>
      <w:widowControl w:val="0"/>
      <w:spacing w:after="0"/>
      <w:jc w:val="both"/>
    </w:pPr>
    <w:rPr>
      <w:rFonts w:ascii="Palatino" w:eastAsia="Times New Roman" w:hAnsi="Palatino" w:cs="Times New Roman"/>
      <w:kern w:val="16"/>
      <w:sz w:val="20"/>
      <w:szCs w:val="20"/>
      <w:lang w:val="en-US"/>
    </w:rPr>
  </w:style>
  <w:style w:type="character" w:customStyle="1" w:styleId="Char8">
    <w:name w:val="نص تعليق Char"/>
    <w:basedOn w:val="a0"/>
    <w:link w:val="af5"/>
    <w:rsid w:val="00C7136C"/>
    <w:rPr>
      <w:rFonts w:ascii="Palatino" w:eastAsia="Times New Roman" w:hAnsi="Palatino" w:cs="Times New Roman"/>
      <w:kern w:val="16"/>
      <w:sz w:val="20"/>
      <w:szCs w:val="20"/>
      <w:lang w:val="en-US"/>
    </w:rPr>
  </w:style>
  <w:style w:type="paragraph" w:styleId="af6">
    <w:name w:val="annotation subject"/>
    <w:basedOn w:val="af5"/>
    <w:next w:val="af5"/>
    <w:link w:val="Char9"/>
    <w:rsid w:val="00C7136C"/>
    <w:rPr>
      <w:b/>
      <w:bCs/>
    </w:rPr>
  </w:style>
  <w:style w:type="character" w:customStyle="1" w:styleId="Char9">
    <w:name w:val="موضوع تعليق Char"/>
    <w:basedOn w:val="Char8"/>
    <w:link w:val="af6"/>
    <w:rsid w:val="00C7136C"/>
    <w:rPr>
      <w:rFonts w:ascii="Palatino" w:eastAsia="Times New Roman" w:hAnsi="Palatino" w:cs="Times New Roman"/>
      <w:b/>
      <w:bCs/>
      <w:kern w:val="16"/>
      <w:sz w:val="20"/>
      <w:szCs w:val="20"/>
      <w:lang w:val="en-US"/>
    </w:rPr>
  </w:style>
  <w:style w:type="character" w:customStyle="1" w:styleId="Char3">
    <w:name w:val="بلا تباعد Char"/>
    <w:link w:val="a9"/>
    <w:uiPriority w:val="99"/>
    <w:locked/>
    <w:rsid w:val="00C7136C"/>
    <w:rPr>
      <w:rFonts w:ascii="Calibri" w:eastAsia="Times New Roman" w:hAnsi="Calibri" w:cs="Times New Roman"/>
    </w:rPr>
  </w:style>
  <w:style w:type="paragraph" w:customStyle="1" w:styleId="ALTBASLIK1">
    <w:name w:val="ALTBASLIK 1"/>
    <w:basedOn w:val="a"/>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af7">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table" w:customStyle="1" w:styleId="TabloKlavuzu2">
    <w:name w:val="Tablo Kılavuzu2"/>
    <w:basedOn w:val="a1"/>
    <w:next w:val="a5"/>
    <w:uiPriority w:val="39"/>
    <w:rsid w:val="00E910FB"/>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endnote text"/>
    <w:basedOn w:val="a"/>
    <w:link w:val="Chara"/>
    <w:uiPriority w:val="99"/>
    <w:semiHidden/>
    <w:unhideWhenUsed/>
    <w:rsid w:val="00074338"/>
    <w:pPr>
      <w:spacing w:after="0"/>
    </w:pPr>
    <w:rPr>
      <w:sz w:val="20"/>
      <w:szCs w:val="20"/>
    </w:rPr>
  </w:style>
  <w:style w:type="character" w:customStyle="1" w:styleId="Chara">
    <w:name w:val="نص تعليق ختامي Char"/>
    <w:basedOn w:val="a0"/>
    <w:link w:val="af8"/>
    <w:uiPriority w:val="99"/>
    <w:semiHidden/>
    <w:rsid w:val="00074338"/>
    <w:rPr>
      <w:sz w:val="20"/>
      <w:szCs w:val="20"/>
    </w:rPr>
  </w:style>
  <w:style w:type="character" w:styleId="af9">
    <w:name w:val="endnote reference"/>
    <w:basedOn w:val="a0"/>
    <w:uiPriority w:val="99"/>
    <w:semiHidden/>
    <w:unhideWhenUsed/>
    <w:rsid w:val="00074338"/>
    <w:rPr>
      <w:vertAlign w:val="superscript"/>
    </w:rPr>
  </w:style>
  <w:style w:type="paragraph" w:customStyle="1" w:styleId="Affiliation">
    <w:name w:val="Affiliation"/>
    <w:basedOn w:val="a"/>
    <w:next w:val="a"/>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1"/>
    <w:rsid w:val="00771441"/>
    <w:pPr>
      <w:jc w:val="center"/>
    </w:pPr>
    <w:rPr>
      <w:caps/>
      <w:kern w:val="28"/>
      <w:sz w:val="28"/>
      <w:lang w:val="en-GB" w:eastAsia="en-US"/>
    </w:rPr>
  </w:style>
  <w:style w:type="paragraph" w:customStyle="1" w:styleId="Author0">
    <w:name w:val="Author"/>
    <w:basedOn w:val="a"/>
    <w:rsid w:val="00771441"/>
    <w:pPr>
      <w:spacing w:after="0"/>
      <w:jc w:val="center"/>
    </w:pPr>
    <w:rPr>
      <w:rFonts w:ascii="Times New Roman" w:eastAsia="Times New Roman" w:hAnsi="Times New Roman" w:cs="Times New Roman"/>
      <w:caps/>
      <w:sz w:val="28"/>
      <w:szCs w:val="20"/>
      <w:lang w:val="en-GB"/>
    </w:rPr>
  </w:style>
  <w:style w:type="character" w:customStyle="1" w:styleId="5Char">
    <w:name w:val="عنوان 5 Char"/>
    <w:basedOn w:val="a0"/>
    <w:link w:val="5"/>
    <w:rsid w:val="007550F6"/>
    <w:rPr>
      <w:rFonts w:ascii="Times New Roman" w:eastAsia="Times New Roman" w:hAnsi="Times New Roman" w:cs="Times New Roman"/>
      <w:szCs w:val="20"/>
      <w:lang w:eastAsia="tr-TR"/>
    </w:rPr>
  </w:style>
  <w:style w:type="character" w:customStyle="1" w:styleId="6Char">
    <w:name w:val="عنوان 6 Char"/>
    <w:basedOn w:val="a0"/>
    <w:link w:val="6"/>
    <w:rsid w:val="007550F6"/>
    <w:rPr>
      <w:rFonts w:ascii="Times New Roman" w:eastAsia="Times New Roman" w:hAnsi="Times New Roman" w:cs="Times New Roman"/>
      <w:i/>
      <w:szCs w:val="20"/>
      <w:lang w:eastAsia="tr-TR"/>
    </w:rPr>
  </w:style>
  <w:style w:type="character" w:customStyle="1" w:styleId="7Char">
    <w:name w:val="عنوان 7 Char"/>
    <w:basedOn w:val="a0"/>
    <w:link w:val="7"/>
    <w:rsid w:val="007550F6"/>
    <w:rPr>
      <w:rFonts w:ascii="Arial" w:eastAsia="Times New Roman" w:hAnsi="Arial" w:cs="Times New Roman"/>
      <w:sz w:val="20"/>
      <w:szCs w:val="20"/>
      <w:lang w:eastAsia="tr-TR"/>
    </w:rPr>
  </w:style>
  <w:style w:type="character" w:customStyle="1" w:styleId="8Char">
    <w:name w:val="عنوان 8 Char"/>
    <w:basedOn w:val="a0"/>
    <w:link w:val="8"/>
    <w:rsid w:val="007550F6"/>
    <w:rPr>
      <w:rFonts w:ascii="Arial" w:eastAsia="Times New Roman" w:hAnsi="Arial" w:cs="Times New Roman"/>
      <w:i/>
      <w:sz w:val="20"/>
      <w:szCs w:val="20"/>
      <w:lang w:eastAsia="tr-TR"/>
    </w:rPr>
  </w:style>
  <w:style w:type="character" w:customStyle="1" w:styleId="9Char">
    <w:name w:val="عنوان 9 Char"/>
    <w:basedOn w:val="a0"/>
    <w:link w:val="9"/>
    <w:rsid w:val="007550F6"/>
    <w:rPr>
      <w:rFonts w:ascii="Arial" w:eastAsia="Times New Roman" w:hAnsi="Arial" w:cs="Times New Roman"/>
      <w:b/>
      <w:i/>
      <w:sz w:val="18"/>
      <w:szCs w:val="20"/>
      <w:lang w:eastAsia="tr-TR"/>
    </w:rPr>
  </w:style>
  <w:style w:type="paragraph" w:styleId="30">
    <w:name w:val="Body Text 3"/>
    <w:basedOn w:val="a"/>
    <w:link w:val="3Char0"/>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3Char0">
    <w:name w:val="نص أساسي 3 Char"/>
    <w:basedOn w:val="a0"/>
    <w:link w:val="30"/>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a"/>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a0"/>
    <w:link w:val="Govde"/>
    <w:rsid w:val="00BF4832"/>
    <w:rPr>
      <w:rFonts w:ascii="Times New Roman" w:eastAsia="Times New Roman" w:hAnsi="Times New Roman" w:cs="Times New Roman"/>
      <w:szCs w:val="20"/>
    </w:rPr>
  </w:style>
  <w:style w:type="paragraph" w:customStyle="1" w:styleId="Reference">
    <w:name w:val="Reference"/>
    <w:basedOn w:val="a"/>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a"/>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a"/>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afa">
    <w:name w:val="line number"/>
    <w:uiPriority w:val="99"/>
    <w:rsid w:val="00C63986"/>
  </w:style>
  <w:style w:type="paragraph" w:styleId="afb">
    <w:name w:val="Plain Text"/>
    <w:basedOn w:val="a"/>
    <w:link w:val="Charb"/>
    <w:rsid w:val="00C63986"/>
    <w:pPr>
      <w:spacing w:after="0"/>
    </w:pPr>
    <w:rPr>
      <w:rFonts w:ascii="Courier New" w:eastAsia="Times New Roman" w:hAnsi="Courier New" w:cs="Courier New"/>
      <w:sz w:val="20"/>
      <w:szCs w:val="20"/>
      <w:lang w:eastAsia="tr-TR"/>
    </w:rPr>
  </w:style>
  <w:style w:type="character" w:customStyle="1" w:styleId="Charb">
    <w:name w:val="نص عادي Char"/>
    <w:basedOn w:val="a0"/>
    <w:link w:val="afb"/>
    <w:rsid w:val="00C63986"/>
    <w:rPr>
      <w:rFonts w:ascii="Courier New" w:eastAsia="Times New Roman" w:hAnsi="Courier New" w:cs="Courier New"/>
      <w:sz w:val="20"/>
      <w:szCs w:val="20"/>
      <w:lang w:eastAsia="tr-TR"/>
    </w:rPr>
  </w:style>
  <w:style w:type="paragraph" w:customStyle="1" w:styleId="Stil1">
    <w:name w:val="Stil1"/>
    <w:basedOn w:val="1"/>
    <w:rsid w:val="00C63986"/>
    <w:pPr>
      <w:spacing w:before="1000" w:after="300" w:line="360" w:lineRule="atLeast"/>
      <w:jc w:val="both"/>
    </w:pPr>
    <w:rPr>
      <w:bCs/>
      <w:caps/>
      <w:sz w:val="32"/>
      <w:szCs w:val="32"/>
    </w:rPr>
  </w:style>
  <w:style w:type="paragraph" w:customStyle="1" w:styleId="10">
    <w:name w:val="1"/>
    <w:basedOn w:val="a"/>
    <w:next w:val="afc"/>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a2"/>
    <w:rsid w:val="00C63986"/>
    <w:pPr>
      <w:numPr>
        <w:numId w:val="5"/>
      </w:numPr>
    </w:pPr>
  </w:style>
  <w:style w:type="table" w:styleId="21">
    <w:name w:val="Table Classic 2"/>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50">
    <w:name w:val="Table Columns 5"/>
    <w:basedOn w:val="a1"/>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22">
    <w:name w:val="Table Simple 2"/>
    <w:basedOn w:val="a1"/>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1">
    <w:name w:val="Table Classic 1"/>
    <w:basedOn w:val="a1"/>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2">
    <w:name w:val="toc 1"/>
    <w:basedOn w:val="a"/>
    <w:next w:val="a"/>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23">
    <w:name w:val="toc 2"/>
    <w:basedOn w:val="a"/>
    <w:next w:val="a"/>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31">
    <w:name w:val="toc 3"/>
    <w:basedOn w:val="a"/>
    <w:next w:val="a"/>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40">
    <w:name w:val="toc 4"/>
    <w:basedOn w:val="a"/>
    <w:next w:val="a"/>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51">
    <w:name w:val="toc 5"/>
    <w:basedOn w:val="a"/>
    <w:next w:val="a"/>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60">
    <w:name w:val="toc 6"/>
    <w:basedOn w:val="a"/>
    <w:next w:val="a"/>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a"/>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afd">
    <w:name w:val="Block Text"/>
    <w:basedOn w:val="a"/>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a"/>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a"/>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a"/>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a"/>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a"/>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a"/>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a"/>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a"/>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a"/>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a"/>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a"/>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70">
    <w:name w:val="toc 7"/>
    <w:basedOn w:val="a"/>
    <w:next w:val="a"/>
    <w:autoRedefine/>
    <w:uiPriority w:val="39"/>
    <w:unhideWhenUsed/>
    <w:rsid w:val="00C63986"/>
    <w:pPr>
      <w:spacing w:after="100"/>
      <w:ind w:left="1320"/>
    </w:pPr>
    <w:rPr>
      <w:rFonts w:ascii="Calibri" w:eastAsia="Times New Roman" w:hAnsi="Calibri" w:cs="Times New Roman"/>
      <w:lang w:eastAsia="tr-TR"/>
    </w:rPr>
  </w:style>
  <w:style w:type="paragraph" w:styleId="80">
    <w:name w:val="toc 8"/>
    <w:basedOn w:val="a"/>
    <w:next w:val="a"/>
    <w:autoRedefine/>
    <w:uiPriority w:val="39"/>
    <w:unhideWhenUsed/>
    <w:rsid w:val="00C63986"/>
    <w:pPr>
      <w:spacing w:after="100"/>
      <w:ind w:left="1540"/>
    </w:pPr>
    <w:rPr>
      <w:rFonts w:ascii="Calibri" w:eastAsia="Times New Roman" w:hAnsi="Calibri" w:cs="Times New Roman"/>
      <w:lang w:eastAsia="tr-TR"/>
    </w:rPr>
  </w:style>
  <w:style w:type="paragraph" w:styleId="90">
    <w:name w:val="toc 9"/>
    <w:basedOn w:val="a"/>
    <w:next w:val="a"/>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a"/>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afe">
    <w:name w:val="Title"/>
    <w:basedOn w:val="a"/>
    <w:link w:val="Charc"/>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Charc">
    <w:name w:val="العنوان Char"/>
    <w:basedOn w:val="a0"/>
    <w:link w:val="afe"/>
    <w:rsid w:val="00C63986"/>
    <w:rPr>
      <w:rFonts w:ascii="Arial" w:eastAsia="Times New Roman" w:hAnsi="Arial" w:cs="Times New Roman"/>
      <w:b/>
      <w:szCs w:val="20"/>
      <w:lang w:eastAsia="tr-TR"/>
    </w:rPr>
  </w:style>
  <w:style w:type="paragraph" w:styleId="32">
    <w:name w:val="Body Text Indent 3"/>
    <w:basedOn w:val="a"/>
    <w:link w:val="3Char1"/>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3Char1">
    <w:name w:val="نص أساسي بمسافة بادئة 3 Char"/>
    <w:basedOn w:val="a0"/>
    <w:link w:val="32"/>
    <w:rsid w:val="00C63986"/>
    <w:rPr>
      <w:rFonts w:ascii="Times New Roman" w:eastAsia="Times New Roman" w:hAnsi="Times New Roman" w:cs="Times New Roman"/>
      <w:sz w:val="24"/>
      <w:szCs w:val="24"/>
      <w:lang w:eastAsia="tr-TR"/>
    </w:rPr>
  </w:style>
  <w:style w:type="paragraph" w:styleId="24">
    <w:name w:val="Body Text Indent 2"/>
    <w:basedOn w:val="a"/>
    <w:link w:val="2Char1"/>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2Char1">
    <w:name w:val="نص أساسي بمسافة بادئة 2 Char"/>
    <w:basedOn w:val="a0"/>
    <w:link w:val="24"/>
    <w:rsid w:val="00C63986"/>
    <w:rPr>
      <w:rFonts w:ascii="Times New Roman" w:eastAsia="Times New Roman" w:hAnsi="Times New Roman" w:cs="Times New Roman"/>
      <w:kern w:val="20"/>
      <w:sz w:val="24"/>
      <w:szCs w:val="24"/>
      <w:lang w:eastAsia="tr-TR"/>
    </w:rPr>
  </w:style>
  <w:style w:type="paragraph" w:customStyle="1" w:styleId="xl25">
    <w:name w:val="xl25"/>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a"/>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a"/>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a"/>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a"/>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a"/>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a"/>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ae"/>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a"/>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aff">
    <w:name w:val="List"/>
    <w:basedOn w:val="a"/>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0"/>
    <w:rsid w:val="00C63986"/>
    <w:rPr>
      <w:rFonts w:ascii="Arial" w:hAnsi="Arial"/>
      <w:i/>
      <w:sz w:val="24"/>
      <w:lang w:val="en-US"/>
    </w:rPr>
  </w:style>
  <w:style w:type="paragraph" w:styleId="25">
    <w:name w:val="List 2"/>
    <w:basedOn w:val="a"/>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26">
    <w:name w:val="List Bullet 2"/>
    <w:basedOn w:val="a"/>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aff0">
    <w:name w:val="List Bullet"/>
    <w:basedOn w:val="a"/>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a"/>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a"/>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a"/>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0">
    <w:name w:val="A8"/>
    <w:uiPriority w:val="99"/>
    <w:rsid w:val="00C63986"/>
    <w:rPr>
      <w:rFonts w:cs="Times"/>
      <w:color w:val="000000"/>
      <w:sz w:val="11"/>
      <w:szCs w:val="11"/>
    </w:rPr>
  </w:style>
  <w:style w:type="paragraph" w:customStyle="1" w:styleId="xl77">
    <w:name w:val="xl77"/>
    <w:basedOn w:val="a"/>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a"/>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a"/>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
    <w:name w:val="HTML Preformatted"/>
    <w:basedOn w:val="a"/>
    <w:link w:val="HTML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Char">
    <w:name w:val="بتنسيق HTML مسبق Char"/>
    <w:basedOn w:val="a0"/>
    <w:link w:val="HTML"/>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fc">
    <w:name w:val="Subtitle"/>
    <w:basedOn w:val="a"/>
    <w:next w:val="a"/>
    <w:link w:val="Chard"/>
    <w:uiPriority w:val="11"/>
    <w:qFormat/>
    <w:rsid w:val="00C63986"/>
    <w:pPr>
      <w:numPr>
        <w:ilvl w:val="1"/>
      </w:numPr>
      <w:spacing w:after="160"/>
    </w:pPr>
    <w:rPr>
      <w:rFonts w:eastAsiaTheme="minorEastAsia"/>
      <w:color w:val="5A5A5A" w:themeColor="text1" w:themeTint="A5"/>
      <w:spacing w:val="15"/>
    </w:rPr>
  </w:style>
  <w:style w:type="character" w:customStyle="1" w:styleId="Chard">
    <w:name w:val="عنوان فرعي Char"/>
    <w:basedOn w:val="a0"/>
    <w:link w:val="afc"/>
    <w:uiPriority w:val="11"/>
    <w:rsid w:val="00C63986"/>
    <w:rPr>
      <w:rFonts w:eastAsiaTheme="minorEastAsia"/>
      <w:color w:val="5A5A5A" w:themeColor="text1" w:themeTint="A5"/>
      <w:spacing w:val="15"/>
    </w:rPr>
  </w:style>
  <w:style w:type="character" w:customStyle="1" w:styleId="Char">
    <w:name w:val=" سرد الفقرات Char"/>
    <w:basedOn w:val="a0"/>
    <w:link w:val="a3"/>
    <w:uiPriority w:val="34"/>
    <w:rsid w:val="00DC257E"/>
  </w:style>
  <w:style w:type="character" w:customStyle="1" w:styleId="ffline">
    <w:name w:val="ff_line"/>
    <w:basedOn w:val="a0"/>
    <w:rsid w:val="0003318E"/>
  </w:style>
  <w:style w:type="table" w:customStyle="1" w:styleId="OrtaGlgeleme2-Vurgu11">
    <w:name w:val="Orta Gölgeleme 2 - Vurgu 11"/>
    <w:basedOn w:val="a1"/>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a0"/>
    <w:rsid w:val="00CA29D5"/>
  </w:style>
  <w:style w:type="character" w:customStyle="1" w:styleId="KonuBal1">
    <w:name w:val="Konu Başlığı1"/>
    <w:basedOn w:val="a0"/>
    <w:rsid w:val="00CA29D5"/>
  </w:style>
  <w:style w:type="character" w:customStyle="1" w:styleId="searchhighlight">
    <w:name w:val="searchhighlight"/>
    <w:basedOn w:val="a0"/>
    <w:rsid w:val="00CA29D5"/>
  </w:style>
  <w:style w:type="character" w:customStyle="1" w:styleId="nlmstring-name">
    <w:name w:val="nlm_string-name"/>
    <w:basedOn w:val="a0"/>
    <w:rsid w:val="00CA29D5"/>
  </w:style>
  <w:style w:type="paragraph" w:customStyle="1" w:styleId="EndNoteBibliography">
    <w:name w:val="EndNote Bibliography"/>
    <w:basedOn w:val="a"/>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a0"/>
    <w:rsid w:val="00DA75A6"/>
  </w:style>
  <w:style w:type="character" w:customStyle="1" w:styleId="articlecitationpages">
    <w:name w:val="articlecitation_pages"/>
    <w:basedOn w:val="a0"/>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7">
    <w:name w:val="2"/>
    <w:basedOn w:val="ad"/>
    <w:link w:val="2Char2"/>
    <w:qFormat/>
    <w:rsid w:val="00537DFA"/>
    <w:pPr>
      <w:tabs>
        <w:tab w:val="left" w:pos="1134"/>
      </w:tabs>
    </w:pPr>
    <w:rPr>
      <w:b/>
      <w:sz w:val="28"/>
      <w:szCs w:val="28"/>
    </w:rPr>
  </w:style>
  <w:style w:type="paragraph" w:customStyle="1" w:styleId="33">
    <w:name w:val="3"/>
    <w:basedOn w:val="a"/>
    <w:link w:val="3Char2"/>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2">
    <w:name w:val="2 Char"/>
    <w:basedOn w:val="Char5"/>
    <w:link w:val="27"/>
    <w:rsid w:val="00537DFA"/>
    <w:rPr>
      <w:rFonts w:ascii="Times New Roman" w:eastAsia="Times New Roman" w:hAnsi="Times New Roman" w:cs="Times New Roman"/>
      <w:b/>
      <w:sz w:val="28"/>
      <w:szCs w:val="28"/>
      <w:lang w:eastAsia="tr-TR"/>
    </w:rPr>
  </w:style>
  <w:style w:type="character" w:customStyle="1" w:styleId="3Char2">
    <w:name w:val="3 Char"/>
    <w:basedOn w:val="a0"/>
    <w:link w:val="33"/>
    <w:rsid w:val="00537DFA"/>
    <w:rPr>
      <w:rFonts w:ascii="Times New Roman" w:eastAsia="Times New Roman" w:hAnsi="Times New Roman" w:cs="Times New Roman"/>
      <w:b/>
      <w:sz w:val="24"/>
      <w:szCs w:val="24"/>
      <w:lang w:eastAsia="tr-TR"/>
    </w:rPr>
  </w:style>
  <w:style w:type="paragraph" w:customStyle="1" w:styleId="ekil">
    <w:name w:val="şekil"/>
    <w:basedOn w:val="a"/>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a0"/>
    <w:link w:val="ekil"/>
    <w:rsid w:val="00F01FCA"/>
    <w:rPr>
      <w:rFonts w:ascii="Times New Roman" w:eastAsia="TimesNewRoman" w:hAnsi="Times New Roman" w:cs="Times New Roman"/>
      <w:noProof/>
      <w:sz w:val="24"/>
      <w:szCs w:val="24"/>
      <w:lang w:eastAsia="tr-TR"/>
    </w:rPr>
  </w:style>
  <w:style w:type="paragraph" w:customStyle="1" w:styleId="41">
    <w:name w:val="4"/>
    <w:basedOn w:val="33"/>
    <w:link w:val="4Char0"/>
    <w:qFormat/>
    <w:rsid w:val="00F01FCA"/>
  </w:style>
  <w:style w:type="character" w:customStyle="1" w:styleId="4Char0">
    <w:name w:val="4 Char"/>
    <w:basedOn w:val="3Char2"/>
    <w:link w:val="41"/>
    <w:rsid w:val="00F01FCA"/>
    <w:rPr>
      <w:rFonts w:ascii="Times New Roman" w:eastAsia="Times New Roman" w:hAnsi="Times New Roman" w:cs="Times New Roman"/>
      <w:b/>
      <w:sz w:val="24"/>
      <w:szCs w:val="24"/>
      <w:lang w:eastAsia="tr-TR"/>
    </w:rPr>
  </w:style>
  <w:style w:type="table" w:styleId="aff1">
    <w:name w:val="Light Shading"/>
    <w:basedOn w:val="a1"/>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a"/>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a"/>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a"/>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a"/>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ae"/>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a"/>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a0"/>
    <w:rsid w:val="00DB6529"/>
  </w:style>
  <w:style w:type="character" w:customStyle="1" w:styleId="WW8Num4z5">
    <w:name w:val="WW8Num4z5"/>
    <w:rsid w:val="007563BE"/>
  </w:style>
  <w:style w:type="character" w:customStyle="1" w:styleId="citeas">
    <w:name w:val="citeas"/>
    <w:basedOn w:val="a0"/>
    <w:rsid w:val="009A723A"/>
  </w:style>
  <w:style w:type="character" w:customStyle="1" w:styleId="addmd">
    <w:name w:val="addmd"/>
    <w:basedOn w:val="a0"/>
    <w:rsid w:val="009A723A"/>
  </w:style>
  <w:style w:type="paragraph" w:customStyle="1" w:styleId="AUBTDAman">
    <w:name w:val="AUBTDA_man"/>
    <w:basedOn w:val="a"/>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a0"/>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a1"/>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a1"/>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a0"/>
    <w:rsid w:val="000C06AC"/>
  </w:style>
  <w:style w:type="character" w:customStyle="1" w:styleId="ref-journal">
    <w:name w:val="ref-journal"/>
    <w:basedOn w:val="a0"/>
    <w:rsid w:val="000C06AC"/>
  </w:style>
  <w:style w:type="table" w:customStyle="1" w:styleId="TabloKlavuzu1">
    <w:name w:val="Tablo Kılavuzu1"/>
    <w:basedOn w:val="a1"/>
    <w:next w:val="a5"/>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a0"/>
    <w:rsid w:val="006B6E69"/>
  </w:style>
  <w:style w:type="character" w:customStyle="1" w:styleId="pubyear">
    <w:name w:val="pubyear"/>
    <w:basedOn w:val="a0"/>
    <w:rsid w:val="006B6E69"/>
  </w:style>
  <w:style w:type="character" w:customStyle="1" w:styleId="articletitle0">
    <w:name w:val="articletitle"/>
    <w:basedOn w:val="a0"/>
    <w:rsid w:val="006B6E69"/>
  </w:style>
  <w:style w:type="character" w:customStyle="1" w:styleId="journaltitle">
    <w:name w:val="journaltitle"/>
    <w:basedOn w:val="a0"/>
    <w:rsid w:val="006B6E69"/>
  </w:style>
  <w:style w:type="character" w:customStyle="1" w:styleId="vol">
    <w:name w:val="vol"/>
    <w:basedOn w:val="a0"/>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 w:type="character" w:customStyle="1" w:styleId="UnresolvedMention">
    <w:name w:val="Unresolved Mention"/>
    <w:basedOn w:val="a0"/>
    <w:uiPriority w:val="99"/>
    <w:semiHidden/>
    <w:unhideWhenUsed/>
    <w:rsid w:val="00413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1.gi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orcid.org/xxxx-xxxx-xxxx-xxxx"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ورقة1!$B$1</c:f>
              <c:strCache>
                <c:ptCount val="1"/>
                <c:pt idx="0">
                  <c:v>سلسلة 1</c:v>
                </c:pt>
              </c:strCache>
            </c:strRef>
          </c:tx>
          <c:invertIfNegative val="0"/>
          <c:cat>
            <c:strRef>
              <c:f>ورقة1!$A$2:$A$5</c:f>
              <c:strCache>
                <c:ptCount val="2"/>
                <c:pt idx="0">
                  <c:v>before Cefotaxim</c:v>
                </c:pt>
                <c:pt idx="1">
                  <c:v>after Cefotaxim</c:v>
                </c:pt>
              </c:strCache>
            </c:strRef>
          </c:cat>
          <c:val>
            <c:numRef>
              <c:f>ورقة1!$B$2:$B$5</c:f>
              <c:numCache>
                <c:formatCode>General</c:formatCode>
                <c:ptCount val="4"/>
                <c:pt idx="0">
                  <c:v>14.8</c:v>
                </c:pt>
                <c:pt idx="1">
                  <c:v>13.7</c:v>
                </c:pt>
              </c:numCache>
            </c:numRef>
          </c:val>
          <c:extLst xmlns:c16r2="http://schemas.microsoft.com/office/drawing/2015/06/chart">
            <c:ext xmlns:c16="http://schemas.microsoft.com/office/drawing/2014/chart" uri="{C3380CC4-5D6E-409C-BE32-E72D297353CC}">
              <c16:uniqueId val="{00000000-35E5-E540-BE88-CB29274DC587}"/>
            </c:ext>
          </c:extLst>
        </c:ser>
        <c:ser>
          <c:idx val="1"/>
          <c:order val="1"/>
          <c:tx>
            <c:strRef>
              <c:f>ورقة1!$C$1</c:f>
              <c:strCache>
                <c:ptCount val="1"/>
                <c:pt idx="0">
                  <c:v>سلسلة 2</c:v>
                </c:pt>
              </c:strCache>
            </c:strRef>
          </c:tx>
          <c:invertIfNegative val="0"/>
          <c:cat>
            <c:strRef>
              <c:f>ورقة1!$A$2:$A$5</c:f>
              <c:strCache>
                <c:ptCount val="2"/>
                <c:pt idx="0">
                  <c:v>before Cefotaxim</c:v>
                </c:pt>
                <c:pt idx="1">
                  <c:v>after Cefotaxim</c:v>
                </c:pt>
              </c:strCache>
            </c:strRef>
          </c:cat>
          <c:val>
            <c:numRef>
              <c:f>ورقة1!$C$2:$C$5</c:f>
              <c:numCache>
                <c:formatCode>General</c:formatCode>
                <c:ptCount val="4"/>
              </c:numCache>
            </c:numRef>
          </c:val>
          <c:extLst xmlns:c16r2="http://schemas.microsoft.com/office/drawing/2015/06/chart">
            <c:ext xmlns:c16="http://schemas.microsoft.com/office/drawing/2014/chart" uri="{C3380CC4-5D6E-409C-BE32-E72D297353CC}">
              <c16:uniqueId val="{00000001-35E5-E540-BE88-CB29274DC587}"/>
            </c:ext>
          </c:extLst>
        </c:ser>
        <c:ser>
          <c:idx val="2"/>
          <c:order val="2"/>
          <c:tx>
            <c:strRef>
              <c:f>ورقة1!$D$1</c:f>
              <c:strCache>
                <c:ptCount val="1"/>
                <c:pt idx="0">
                  <c:v>سلسلة 3</c:v>
                </c:pt>
              </c:strCache>
            </c:strRef>
          </c:tx>
          <c:invertIfNegative val="0"/>
          <c:cat>
            <c:strRef>
              <c:f>ورقة1!$A$2:$A$5</c:f>
              <c:strCache>
                <c:ptCount val="2"/>
                <c:pt idx="0">
                  <c:v>before Cefotaxim</c:v>
                </c:pt>
                <c:pt idx="1">
                  <c:v>after Cefotaxim</c:v>
                </c:pt>
              </c:strCache>
            </c:strRef>
          </c:cat>
          <c:val>
            <c:numRef>
              <c:f>ورقة1!$D$2:$D$5</c:f>
              <c:numCache>
                <c:formatCode>General</c:formatCode>
                <c:ptCount val="4"/>
              </c:numCache>
            </c:numRef>
          </c:val>
          <c:extLst xmlns:c16r2="http://schemas.microsoft.com/office/drawing/2015/06/chart">
            <c:ext xmlns:c16="http://schemas.microsoft.com/office/drawing/2014/chart" uri="{C3380CC4-5D6E-409C-BE32-E72D297353CC}">
              <c16:uniqueId val="{00000002-35E5-E540-BE88-CB29274DC587}"/>
            </c:ext>
          </c:extLst>
        </c:ser>
        <c:dLbls>
          <c:showLegendKey val="0"/>
          <c:showVal val="0"/>
          <c:showCatName val="0"/>
          <c:showSerName val="0"/>
          <c:showPercent val="0"/>
          <c:showBubbleSize val="0"/>
        </c:dLbls>
        <c:gapWidth val="233"/>
        <c:overlap val="100"/>
        <c:axId val="228039680"/>
        <c:axId val="228045568"/>
      </c:barChart>
      <c:catAx>
        <c:axId val="228039680"/>
        <c:scaling>
          <c:orientation val="minMax"/>
        </c:scaling>
        <c:delete val="0"/>
        <c:axPos val="b"/>
        <c:numFmt formatCode="General" sourceLinked="0"/>
        <c:majorTickMark val="out"/>
        <c:minorTickMark val="none"/>
        <c:tickLblPos val="nextTo"/>
        <c:crossAx val="228045568"/>
        <c:crosses val="autoZero"/>
        <c:auto val="1"/>
        <c:lblAlgn val="ctr"/>
        <c:lblOffset val="100"/>
        <c:noMultiLvlLbl val="0"/>
      </c:catAx>
      <c:valAx>
        <c:axId val="228045568"/>
        <c:scaling>
          <c:orientation val="minMax"/>
        </c:scaling>
        <c:delete val="0"/>
        <c:axPos val="l"/>
        <c:majorGridlines/>
        <c:numFmt formatCode="General" sourceLinked="1"/>
        <c:majorTickMark val="out"/>
        <c:minorTickMark val="none"/>
        <c:tickLblPos val="nextTo"/>
        <c:crossAx val="2280396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6CADC02-919D-4019-999C-A8ABC27D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2475</Words>
  <Characters>14113</Characters>
  <Application>Microsoft Office Word</Application>
  <DocSecurity>0</DocSecurity>
  <Lines>117</Lines>
  <Paragraphs>33</Paragraphs>
  <ScaleCrop>false</ScaleCrop>
  <HeadingPairs>
    <vt:vector size="6" baseType="variant">
      <vt:variant>
        <vt:lpstr>العنوان</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Windows User</cp:lastModifiedBy>
  <cp:revision>15</cp:revision>
  <cp:lastPrinted>2022-10-06T12:06:00Z</cp:lastPrinted>
  <dcterms:created xsi:type="dcterms:W3CDTF">2023-11-24T12:34:00Z</dcterms:created>
  <dcterms:modified xsi:type="dcterms:W3CDTF">2023-11-26T19:17:00Z</dcterms:modified>
</cp:coreProperties>
</file>