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C6" w:rsidRDefault="006E2F44" w:rsidP="008557F2">
      <w:pPr>
        <w:spacing w:line="0" w:lineRule="atLeast"/>
        <w:jc w:val="center"/>
        <w:rPr>
          <w:rFonts w:ascii="Times New Roman" w:hAnsi="Times New Roman" w:cs="Times New Roman"/>
          <w:b/>
        </w:rPr>
      </w:pPr>
      <w:r>
        <w:rPr>
          <w:rFonts w:ascii="Times New Roman" w:hAnsi="Times New Roman" w:cs="Times New Roman"/>
          <w:b/>
        </w:rPr>
        <w:t>Dİ</w:t>
      </w:r>
      <w:r w:rsidR="009D6FAD">
        <w:rPr>
          <w:rFonts w:ascii="Times New Roman" w:hAnsi="Times New Roman" w:cs="Times New Roman"/>
          <w:b/>
        </w:rPr>
        <w:t xml:space="preserve">JİTAL HİZMET VERGİSİNDE </w:t>
      </w:r>
      <w:r>
        <w:rPr>
          <w:rFonts w:ascii="Times New Roman" w:hAnsi="Times New Roman" w:cs="Times New Roman"/>
          <w:b/>
        </w:rPr>
        <w:t>ERİŞİMİN ENGELLENMESİNİN DEĞERLENDİRİLMESİ</w:t>
      </w:r>
    </w:p>
    <w:p w:rsidR="009D6FAD" w:rsidRPr="006044F3" w:rsidRDefault="009D6FAD" w:rsidP="008557F2">
      <w:pPr>
        <w:spacing w:line="0" w:lineRule="atLeast"/>
        <w:jc w:val="center"/>
        <w:rPr>
          <w:rFonts w:ascii="Times New Roman" w:hAnsi="Times New Roman" w:cs="Times New Roman"/>
          <w:b/>
        </w:rPr>
      </w:pPr>
      <w:r>
        <w:rPr>
          <w:rFonts w:ascii="Times New Roman" w:hAnsi="Times New Roman" w:cs="Times New Roman"/>
          <w:b/>
        </w:rPr>
        <w:t>(</w:t>
      </w:r>
      <w:r w:rsidRPr="009D6FAD">
        <w:rPr>
          <w:rFonts w:ascii="Times New Roman" w:hAnsi="Times New Roman" w:cs="Times New Roman"/>
        </w:rPr>
        <w:t>EVALUATION OF BLOCKİNG OF ACCESS IN DIGITAL SERVICE TAX</w:t>
      </w:r>
      <w:r>
        <w:rPr>
          <w:rFonts w:ascii="Times New Roman" w:hAnsi="Times New Roman" w:cs="Times New Roman"/>
          <w:b/>
        </w:rPr>
        <w:t>)</w:t>
      </w:r>
    </w:p>
    <w:p w:rsidR="008557F2" w:rsidRPr="006044F3" w:rsidRDefault="008557F2" w:rsidP="008557F2">
      <w:pPr>
        <w:jc w:val="right"/>
        <w:rPr>
          <w:rFonts w:ascii="Times New Roman" w:hAnsi="Times New Roman" w:cs="Times New Roman"/>
          <w:b/>
          <w:i/>
        </w:rPr>
      </w:pPr>
      <w:r w:rsidRPr="006044F3">
        <w:rPr>
          <w:rFonts w:ascii="Times New Roman" w:hAnsi="Times New Roman" w:cs="Times New Roman"/>
          <w:b/>
          <w:i/>
        </w:rPr>
        <w:t>Mümin GÜNGÖR</w:t>
      </w:r>
      <w:r w:rsidRPr="006044F3">
        <w:rPr>
          <w:rStyle w:val="DipnotBavurusu"/>
          <w:rFonts w:ascii="Times New Roman" w:hAnsi="Times New Roman" w:cs="Times New Roman"/>
          <w:b/>
          <w:i/>
        </w:rPr>
        <w:footnoteReference w:customMarkFollows="1" w:id="2"/>
        <w:sym w:font="Symbol" w:char="002A"/>
      </w:r>
    </w:p>
    <w:p w:rsidR="008557F2" w:rsidRPr="0035418A" w:rsidRDefault="008557F2" w:rsidP="007C75C6">
      <w:pPr>
        <w:spacing w:after="0" w:line="360" w:lineRule="auto"/>
        <w:ind w:firstLine="709"/>
        <w:jc w:val="both"/>
        <w:rPr>
          <w:rFonts w:ascii="Times New Roman" w:eastAsia="Arial" w:hAnsi="Times New Roman" w:cs="Times New Roman"/>
          <w:b/>
        </w:rPr>
      </w:pPr>
      <w:r w:rsidRPr="0035418A">
        <w:rPr>
          <w:rFonts w:ascii="Times New Roman" w:eastAsia="Arial" w:hAnsi="Times New Roman" w:cs="Times New Roman"/>
          <w:b/>
        </w:rPr>
        <w:t>ÖZ</w:t>
      </w:r>
      <w:r w:rsidR="007C75C6" w:rsidRPr="0035418A">
        <w:rPr>
          <w:rFonts w:ascii="Times New Roman" w:eastAsia="Arial" w:hAnsi="Times New Roman" w:cs="Times New Roman"/>
          <w:b/>
        </w:rPr>
        <w:t>ET</w:t>
      </w:r>
    </w:p>
    <w:p w:rsidR="008557F2" w:rsidRPr="0035418A" w:rsidRDefault="006E2F44" w:rsidP="009D6FAD">
      <w:pPr>
        <w:pStyle w:val="ListeParagraf"/>
        <w:spacing w:after="0" w:line="360" w:lineRule="auto"/>
        <w:ind w:left="0" w:firstLine="709"/>
        <w:jc w:val="both"/>
        <w:rPr>
          <w:rFonts w:ascii="Times New Roman" w:eastAsia="Palatino Linotype" w:hAnsi="Times New Roman"/>
        </w:rPr>
      </w:pPr>
      <w:r w:rsidRPr="0009453C">
        <w:rPr>
          <w:rFonts w:ascii="Times New Roman" w:eastAsia="Times New Roman" w:hAnsi="Times New Roman"/>
        </w:rPr>
        <w:t xml:space="preserve">İnternet erişimi, Birleşmiş Milletler tarafından 4 Haziran 2011’de “Temel bir insan hakkı” olarak tanımlandı. İnsan Hakları Evrensel Beyannamesi’ne “Üçüncü Kuşak İnsan Hakkı” olarak dahil edildi. Avrupa Konseyi, 19 Nisan 2011’de internete erişim hakkını temel bir hak olarak Avrupa İnsan Hakları Sözleşmesi’ne ekledi.  Bu sözleşmelere imzacı taraf olan Türkiye Cumhuriyeti’nin bu kararları iç hukukuna uyarlama yükümlülüğü </w:t>
      </w:r>
      <w:r w:rsidR="002C0A41" w:rsidRPr="0009453C">
        <w:rPr>
          <w:rFonts w:ascii="Times New Roman" w:eastAsia="Times New Roman" w:hAnsi="Times New Roman"/>
        </w:rPr>
        <w:t>bulunmaktadır. Artık çağımızda i</w:t>
      </w:r>
      <w:r w:rsidRPr="0009453C">
        <w:rPr>
          <w:rFonts w:ascii="Times New Roman" w:eastAsia="Times New Roman" w:hAnsi="Times New Roman"/>
        </w:rPr>
        <w:t xml:space="preserve">nternet, </w:t>
      </w:r>
      <w:r w:rsidR="002C0A41" w:rsidRPr="0009453C">
        <w:rPr>
          <w:rFonts w:ascii="Times New Roman" w:eastAsia="Times New Roman" w:hAnsi="Times New Roman"/>
        </w:rPr>
        <w:t xml:space="preserve">bir </w:t>
      </w:r>
      <w:r w:rsidRPr="0009453C">
        <w:rPr>
          <w:rFonts w:ascii="Times New Roman" w:eastAsia="Times New Roman" w:hAnsi="Times New Roman"/>
        </w:rPr>
        <w:t xml:space="preserve">insan hakkıdır. Erişimi engellemek </w:t>
      </w:r>
      <w:r w:rsidR="002C0A41" w:rsidRPr="0009453C">
        <w:rPr>
          <w:rFonts w:ascii="Times New Roman" w:eastAsia="Times New Roman" w:hAnsi="Times New Roman"/>
        </w:rPr>
        <w:t xml:space="preserve">ise </w:t>
      </w:r>
      <w:r w:rsidRPr="0009453C">
        <w:rPr>
          <w:rFonts w:ascii="Times New Roman" w:eastAsia="Times New Roman" w:hAnsi="Times New Roman"/>
        </w:rPr>
        <w:t xml:space="preserve">insan hakkı ihlalidir. </w:t>
      </w:r>
      <w:r w:rsidR="003F3B6D" w:rsidRPr="0009453C">
        <w:rPr>
          <w:rFonts w:ascii="Times New Roman" w:eastAsia="Times New Roman" w:hAnsi="Times New Roman"/>
        </w:rPr>
        <w:t xml:space="preserve">2012 yılında </w:t>
      </w:r>
      <w:r w:rsidR="0009453C" w:rsidRPr="0009453C">
        <w:rPr>
          <w:rFonts w:ascii="Times New Roman" w:eastAsia="Times New Roman" w:hAnsi="Times New Roman"/>
        </w:rPr>
        <w:t xml:space="preserve">Türkiye ise </w:t>
      </w:r>
      <w:r w:rsidRPr="0009453C">
        <w:rPr>
          <w:rFonts w:ascii="Times New Roman" w:eastAsia="Times New Roman" w:hAnsi="Times New Roman"/>
        </w:rPr>
        <w:t>TBMM Bilişim ve İ</w:t>
      </w:r>
      <w:r w:rsidR="003F3B6D" w:rsidRPr="0009453C">
        <w:rPr>
          <w:rFonts w:ascii="Times New Roman" w:eastAsia="Times New Roman" w:hAnsi="Times New Roman"/>
        </w:rPr>
        <w:t xml:space="preserve">nternet Araştırma Komisyonun hazırladığı raporda </w:t>
      </w:r>
      <w:r w:rsidRPr="0009453C">
        <w:rPr>
          <w:rFonts w:ascii="Times New Roman" w:eastAsia="Times New Roman" w:hAnsi="Times New Roman"/>
        </w:rPr>
        <w:t xml:space="preserve">“Bilgiye erişimin ve internetin” yeni Anayasa’da “Temel hak” olarak düzenlenmesi gerektiği </w:t>
      </w:r>
      <w:r w:rsidR="0009453C" w:rsidRPr="0009453C">
        <w:rPr>
          <w:rFonts w:ascii="Times New Roman" w:eastAsia="Times New Roman" w:hAnsi="Times New Roman"/>
        </w:rPr>
        <w:t>açıkça ifade edildi</w:t>
      </w:r>
      <w:r w:rsidRPr="0009453C">
        <w:rPr>
          <w:rFonts w:ascii="Times New Roman" w:eastAsia="Times New Roman" w:hAnsi="Times New Roman"/>
        </w:rPr>
        <w:t xml:space="preserve">. </w:t>
      </w:r>
      <w:r w:rsidR="003F3B6D" w:rsidRPr="0009453C">
        <w:rPr>
          <w:rFonts w:ascii="Times New Roman" w:eastAsia="Times New Roman" w:hAnsi="Times New Roman"/>
        </w:rPr>
        <w:t>Sonuç olarak internete erişim hakkı dijital çağda temel bir insan hakkıdır.</w:t>
      </w:r>
      <w:r w:rsidR="0009453C" w:rsidRPr="0009453C">
        <w:rPr>
          <w:rFonts w:ascii="Times New Roman" w:eastAsia="Times New Roman" w:hAnsi="Times New Roman"/>
        </w:rPr>
        <w:t xml:space="preserve"> Bu hakkın sınırlanması ancak </w:t>
      </w:r>
      <w:r w:rsidR="00834115" w:rsidRPr="0009453C">
        <w:rPr>
          <w:rFonts w:ascii="Times New Roman" w:eastAsia="Times New Roman" w:hAnsi="Times New Roman"/>
        </w:rPr>
        <w:t>Türkiye Cumhuriyeti Anayasasının 13’</w:t>
      </w:r>
      <w:r w:rsidR="0009453C" w:rsidRPr="0009453C">
        <w:rPr>
          <w:rFonts w:ascii="Times New Roman" w:eastAsia="Times New Roman" w:hAnsi="Times New Roman"/>
        </w:rPr>
        <w:t xml:space="preserve">ncü maddesi çerçevesinde </w:t>
      </w:r>
      <w:r w:rsidR="00834115" w:rsidRPr="0009453C">
        <w:rPr>
          <w:rFonts w:ascii="Times New Roman" w:eastAsia="Times New Roman" w:hAnsi="Times New Roman"/>
        </w:rPr>
        <w:t>yapılabilecektir. Bu temel düzenlemenin yanı sıra 5651 sayılı Kanun ile de internet erişiminin engellenmesine ilişkin genel düzenlemeler getirilmiştir. Bu düzenlemeler dışında internet erişiminin engellenmesi bir hakkın ihlali olduğu gibi aynı zamanda hukuka da aykırı olacaktır. Ancak oluşan ve süreçle gelişen internetinde vergilendirilmesi yönünde önemli adımlarda atılmaktadır. Bu yönde 2019 tarihli ve 7194 sayılı Kanunla birlikte Dijital Hizmet Vergisi geti</w:t>
      </w:r>
      <w:r w:rsidR="00BB420C" w:rsidRPr="0009453C">
        <w:rPr>
          <w:rFonts w:ascii="Times New Roman" w:eastAsia="Times New Roman" w:hAnsi="Times New Roman"/>
        </w:rPr>
        <w:t>r</w:t>
      </w:r>
      <w:r w:rsidR="00834115" w:rsidRPr="0009453C">
        <w:rPr>
          <w:rFonts w:ascii="Times New Roman" w:eastAsia="Times New Roman" w:hAnsi="Times New Roman"/>
        </w:rPr>
        <w:t xml:space="preserve">ilmiştir. Bu vergi ile </w:t>
      </w:r>
      <w:r w:rsidR="00BB420C" w:rsidRPr="0009453C">
        <w:rPr>
          <w:rFonts w:ascii="Times New Roman" w:hAnsi="Times New Roman"/>
        </w:rPr>
        <w:t>sanal alemde yani internet ağı üzerinde oyundan, uygulamaya; müzikten, filme; reklamdan, e-ticarete sunulan tüm dijital hizmetler vergilendirilmektedir. 7194 sayılı Kanunun 7’nci maddesiyle</w:t>
      </w:r>
      <w:r w:rsidR="0009453C">
        <w:rPr>
          <w:rFonts w:ascii="Times New Roman" w:hAnsi="Times New Roman"/>
        </w:rPr>
        <w:t xml:space="preserve"> </w:t>
      </w:r>
      <w:r w:rsidR="00BB420C" w:rsidRPr="0009453C">
        <w:rPr>
          <w:rFonts w:ascii="Times New Roman" w:hAnsi="Times New Roman"/>
        </w:rPr>
        <w:t>vergi güvenliği</w:t>
      </w:r>
      <w:r w:rsidR="0035418A" w:rsidRPr="0009453C">
        <w:rPr>
          <w:rFonts w:ascii="Times New Roman" w:hAnsi="Times New Roman"/>
        </w:rPr>
        <w:t xml:space="preserve"> için erişimi</w:t>
      </w:r>
      <w:r w:rsidR="00BB420C" w:rsidRPr="0009453C">
        <w:rPr>
          <w:rFonts w:ascii="Times New Roman" w:hAnsi="Times New Roman"/>
        </w:rPr>
        <w:t xml:space="preserve">n engellenmesinin yapılabileceği </w:t>
      </w:r>
      <w:r w:rsidR="0009453C">
        <w:rPr>
          <w:rFonts w:ascii="Times New Roman" w:hAnsi="Times New Roman"/>
        </w:rPr>
        <w:t>öngörülmüştür</w:t>
      </w:r>
      <w:r w:rsidR="0035418A" w:rsidRPr="0009453C">
        <w:rPr>
          <w:rFonts w:ascii="Times New Roman" w:hAnsi="Times New Roman"/>
        </w:rPr>
        <w:t xml:space="preserve">. </w:t>
      </w:r>
      <w:r w:rsidR="0009453C">
        <w:rPr>
          <w:rFonts w:ascii="Times New Roman" w:hAnsi="Times New Roman"/>
        </w:rPr>
        <w:t>Burada 7’nci madde b</w:t>
      </w:r>
      <w:r w:rsidR="0035418A" w:rsidRPr="0009453C">
        <w:rPr>
          <w:rFonts w:ascii="Times New Roman" w:hAnsi="Times New Roman"/>
        </w:rPr>
        <w:t>ir</w:t>
      </w:r>
      <w:r w:rsidR="00BB420C" w:rsidRPr="0009453C">
        <w:rPr>
          <w:rFonts w:ascii="Times New Roman" w:hAnsi="Times New Roman"/>
        </w:rPr>
        <w:t xml:space="preserve"> nevi internet erişiminin engellenmesi ol</w:t>
      </w:r>
      <w:r w:rsidR="0035418A" w:rsidRPr="0009453C">
        <w:rPr>
          <w:rFonts w:ascii="Times New Roman" w:hAnsi="Times New Roman"/>
        </w:rPr>
        <w:t>a</w:t>
      </w:r>
      <w:r w:rsidR="00BB420C" w:rsidRPr="0009453C">
        <w:rPr>
          <w:rFonts w:ascii="Times New Roman" w:hAnsi="Times New Roman"/>
        </w:rPr>
        <w:t>nağı getir</w:t>
      </w:r>
      <w:r w:rsidR="0035418A" w:rsidRPr="0009453C">
        <w:rPr>
          <w:rFonts w:ascii="Times New Roman" w:hAnsi="Times New Roman"/>
        </w:rPr>
        <w:t>e</w:t>
      </w:r>
      <w:r w:rsidR="0009453C">
        <w:rPr>
          <w:rFonts w:ascii="Times New Roman" w:hAnsi="Times New Roman"/>
        </w:rPr>
        <w:t xml:space="preserve">n özel bir düzenleme olarak </w:t>
      </w:r>
      <w:r w:rsidR="00BB420C" w:rsidRPr="0009453C">
        <w:rPr>
          <w:rFonts w:ascii="Times New Roman" w:hAnsi="Times New Roman"/>
        </w:rPr>
        <w:t>karşımıza çıkmaktadır.</w:t>
      </w:r>
      <w:r w:rsidR="00BB420C" w:rsidRPr="0009453C">
        <w:rPr>
          <w:rFonts w:ascii="Times New Roman" w:eastAsia="Times New Roman" w:hAnsi="Times New Roman"/>
        </w:rPr>
        <w:t xml:space="preserve"> </w:t>
      </w:r>
      <w:r w:rsidR="000310B4" w:rsidRPr="0009453C">
        <w:rPr>
          <w:rFonts w:ascii="Times New Roman" w:eastAsia="Times New Roman" w:hAnsi="Times New Roman"/>
        </w:rPr>
        <w:t xml:space="preserve">Çalışmayla </w:t>
      </w:r>
      <w:r w:rsidR="00E847E1" w:rsidRPr="0009453C">
        <w:rPr>
          <w:rFonts w:ascii="Times New Roman" w:hAnsi="Times New Roman"/>
        </w:rPr>
        <w:t>belge ve bilgilerin toplanması, analizi ve bu bilgilerin yorumlanarak değerlendirilmesi yani nitel</w:t>
      </w:r>
      <w:r w:rsidR="00953646" w:rsidRPr="0009453C">
        <w:rPr>
          <w:rFonts w:ascii="Times New Roman" w:hAnsi="Times New Roman"/>
        </w:rPr>
        <w:t xml:space="preserve"> araştırma yöntemi</w:t>
      </w:r>
      <w:r w:rsidR="00E847E1" w:rsidRPr="0009453C">
        <w:rPr>
          <w:rFonts w:ascii="Times New Roman" w:hAnsi="Times New Roman"/>
        </w:rPr>
        <w:t xml:space="preserve"> kullanılarak</w:t>
      </w:r>
      <w:r w:rsidR="00E847E1" w:rsidRPr="0009453C">
        <w:rPr>
          <w:rFonts w:ascii="Times New Roman" w:hAnsi="Times New Roman"/>
          <w:noProof/>
        </w:rPr>
        <w:t xml:space="preserve"> </w:t>
      </w:r>
      <w:r w:rsidR="00BB420C" w:rsidRPr="0009453C">
        <w:rPr>
          <w:rFonts w:ascii="Times New Roman" w:hAnsi="Times New Roman"/>
          <w:noProof/>
        </w:rPr>
        <w:t>internete erişim hakkının devletin ve</w:t>
      </w:r>
      <w:r w:rsidR="0035418A" w:rsidRPr="0009453C">
        <w:rPr>
          <w:rFonts w:ascii="Times New Roman" w:hAnsi="Times New Roman"/>
          <w:noProof/>
        </w:rPr>
        <w:t>rgi hakkı ile çatışması</w:t>
      </w:r>
      <w:r w:rsidR="0009453C">
        <w:rPr>
          <w:rFonts w:ascii="Times New Roman" w:hAnsi="Times New Roman"/>
          <w:noProof/>
        </w:rPr>
        <w:t>nın yansıması olarak</w:t>
      </w:r>
      <w:r w:rsidR="0035418A" w:rsidRPr="0009453C">
        <w:rPr>
          <w:rFonts w:ascii="Times New Roman" w:hAnsi="Times New Roman"/>
          <w:noProof/>
        </w:rPr>
        <w:t xml:space="preserve"> ortaya çıkan</w:t>
      </w:r>
      <w:r w:rsidR="00BB420C" w:rsidRPr="0009453C">
        <w:rPr>
          <w:rFonts w:ascii="Times New Roman" w:hAnsi="Times New Roman"/>
          <w:noProof/>
        </w:rPr>
        <w:t xml:space="preserve"> erişimin engellenmesi </w:t>
      </w:r>
      <w:r w:rsidR="0035418A" w:rsidRPr="0009453C">
        <w:rPr>
          <w:rFonts w:ascii="Times New Roman" w:hAnsi="Times New Roman"/>
          <w:noProof/>
        </w:rPr>
        <w:t xml:space="preserve">kararı </w:t>
      </w:r>
      <w:r w:rsidR="00BB420C" w:rsidRPr="0009453C">
        <w:rPr>
          <w:rFonts w:ascii="Times New Roman" w:eastAsia="Times New Roman" w:hAnsi="Times New Roman"/>
        </w:rPr>
        <w:t xml:space="preserve">hukuki açıdan değerlendirilecektir. Böylece hak ihlallerinin önüne geçilmesi ve yasal düzenlemede </w:t>
      </w:r>
      <w:r w:rsidR="0035418A" w:rsidRPr="0009453C">
        <w:rPr>
          <w:rFonts w:ascii="Times New Roman" w:eastAsia="Times New Roman" w:hAnsi="Times New Roman"/>
        </w:rPr>
        <w:t xml:space="preserve">birtakım esaslı eksikliklerin </w:t>
      </w:r>
      <w:r w:rsidR="00BB420C" w:rsidRPr="0009453C">
        <w:rPr>
          <w:rFonts w:ascii="Times New Roman" w:eastAsia="Times New Roman" w:hAnsi="Times New Roman"/>
        </w:rPr>
        <w:t>gösterilmesi amaçlanmaktadır.</w:t>
      </w:r>
    </w:p>
    <w:p w:rsidR="008557F2" w:rsidRDefault="008557F2" w:rsidP="007C75C6">
      <w:pPr>
        <w:spacing w:after="0" w:line="360" w:lineRule="auto"/>
        <w:ind w:firstLine="709"/>
        <w:jc w:val="both"/>
        <w:rPr>
          <w:rFonts w:ascii="Times New Roman" w:eastAsia="Palatino Linotype" w:hAnsi="Times New Roman" w:cs="Times New Roman"/>
        </w:rPr>
      </w:pPr>
      <w:r w:rsidRPr="0035418A">
        <w:rPr>
          <w:rFonts w:ascii="Times New Roman" w:eastAsia="Palatino Linotype" w:hAnsi="Times New Roman" w:cs="Times New Roman"/>
          <w:b/>
        </w:rPr>
        <w:t xml:space="preserve">Anahtar Kelimeler: </w:t>
      </w:r>
      <w:r w:rsidR="009D6FAD">
        <w:rPr>
          <w:rFonts w:ascii="Times New Roman" w:eastAsia="Palatino Linotype" w:hAnsi="Times New Roman" w:cs="Times New Roman"/>
        </w:rPr>
        <w:t>Digital Çağda İnsan Hakları,</w:t>
      </w:r>
      <w:r w:rsidR="0035418A" w:rsidRPr="0035418A">
        <w:rPr>
          <w:rFonts w:ascii="Times New Roman" w:eastAsia="Palatino Linotype" w:hAnsi="Times New Roman" w:cs="Times New Roman"/>
        </w:rPr>
        <w:t xml:space="preserve"> İnternete Erişim Hakkı, </w:t>
      </w:r>
      <w:r w:rsidR="00BB420C" w:rsidRPr="0035418A">
        <w:rPr>
          <w:rFonts w:ascii="Times New Roman" w:eastAsia="Palatino Linotype" w:hAnsi="Times New Roman" w:cs="Times New Roman"/>
        </w:rPr>
        <w:t>Dijital Hizmet Vergisi, Vergi Güvenliği,</w:t>
      </w:r>
      <w:r w:rsidR="0035418A" w:rsidRPr="0035418A">
        <w:rPr>
          <w:rFonts w:ascii="Times New Roman" w:eastAsia="Palatino Linotype" w:hAnsi="Times New Roman" w:cs="Times New Roman"/>
        </w:rPr>
        <w:t xml:space="preserve"> Erişim</w:t>
      </w:r>
      <w:r w:rsidR="009D6FAD">
        <w:rPr>
          <w:rFonts w:ascii="Times New Roman" w:eastAsia="Palatino Linotype" w:hAnsi="Times New Roman" w:cs="Times New Roman"/>
        </w:rPr>
        <w:t>in</w:t>
      </w:r>
      <w:r w:rsidR="0035418A" w:rsidRPr="0035418A">
        <w:rPr>
          <w:rFonts w:ascii="Times New Roman" w:eastAsia="Palatino Linotype" w:hAnsi="Times New Roman" w:cs="Times New Roman"/>
        </w:rPr>
        <w:t xml:space="preserve"> Engelle</w:t>
      </w:r>
      <w:r w:rsidR="009D6FAD">
        <w:rPr>
          <w:rFonts w:ascii="Times New Roman" w:eastAsia="Palatino Linotype" w:hAnsi="Times New Roman" w:cs="Times New Roman"/>
        </w:rPr>
        <w:t>n</w:t>
      </w:r>
      <w:r w:rsidR="0035418A" w:rsidRPr="0035418A">
        <w:rPr>
          <w:rFonts w:ascii="Times New Roman" w:eastAsia="Palatino Linotype" w:hAnsi="Times New Roman" w:cs="Times New Roman"/>
        </w:rPr>
        <w:t>me</w:t>
      </w:r>
      <w:r w:rsidR="009D6FAD">
        <w:rPr>
          <w:rFonts w:ascii="Times New Roman" w:eastAsia="Palatino Linotype" w:hAnsi="Times New Roman" w:cs="Times New Roman"/>
        </w:rPr>
        <w:t>si.</w:t>
      </w:r>
    </w:p>
    <w:p w:rsidR="009D6FAD" w:rsidRPr="006044F3" w:rsidRDefault="009D6FAD" w:rsidP="007C75C6">
      <w:pPr>
        <w:spacing w:after="0" w:line="360" w:lineRule="auto"/>
        <w:ind w:firstLine="709"/>
        <w:jc w:val="both"/>
        <w:rPr>
          <w:rFonts w:ascii="Times New Roman" w:eastAsia="Palatino Linotype" w:hAnsi="Times New Roman" w:cs="Times New Roman"/>
        </w:rPr>
      </w:pPr>
    </w:p>
    <w:p w:rsidR="008557F2" w:rsidRPr="006044F3" w:rsidRDefault="008557F2" w:rsidP="007C75C6">
      <w:pPr>
        <w:spacing w:after="0" w:line="360" w:lineRule="auto"/>
        <w:ind w:firstLine="709"/>
        <w:jc w:val="both"/>
        <w:rPr>
          <w:rFonts w:ascii="Times New Roman" w:eastAsia="Palatino Linotype" w:hAnsi="Times New Roman" w:cs="Times New Roman"/>
          <w:b/>
        </w:rPr>
      </w:pPr>
      <w:r w:rsidRPr="006044F3">
        <w:rPr>
          <w:rFonts w:ascii="Times New Roman" w:eastAsia="Palatino Linotype" w:hAnsi="Times New Roman" w:cs="Times New Roman"/>
          <w:b/>
        </w:rPr>
        <w:t>ABSTRACT</w:t>
      </w:r>
    </w:p>
    <w:p w:rsidR="0009453C" w:rsidRDefault="0009453C" w:rsidP="007C75C6">
      <w:pPr>
        <w:spacing w:after="0" w:line="360" w:lineRule="auto"/>
        <w:ind w:firstLine="709"/>
        <w:jc w:val="both"/>
        <w:rPr>
          <w:rFonts w:ascii="Times New Roman" w:eastAsia="Palatino Linotype" w:hAnsi="Times New Roman" w:cs="Times New Roman"/>
        </w:rPr>
      </w:pPr>
      <w:r w:rsidRPr="0009453C">
        <w:rPr>
          <w:rFonts w:ascii="Times New Roman" w:eastAsia="Palatino Linotype" w:hAnsi="Times New Roman" w:cs="Times New Roman"/>
        </w:rPr>
        <w:t xml:space="preserve">Internet access was defined as "a fundamental human right" by the United Nations on June 4, 2011. Included in the Universal Declaration of Human Rights as "Third Generation Human Rights". The European Council added the right to internet access as a fundamental right to the European </w:t>
      </w:r>
      <w:r w:rsidRPr="0009453C">
        <w:rPr>
          <w:rFonts w:ascii="Times New Roman" w:eastAsia="Palatino Linotype" w:hAnsi="Times New Roman" w:cs="Times New Roman"/>
        </w:rPr>
        <w:lastRenderedPageBreak/>
        <w:t>Convention on Human Rights on 19 April 2011. This decision of the signatory parties to the agreement with the Republic of Turkey has an obligation to adapt its domestic legal system. In our age, the Internet is a human right. Blocking access is a violation of human rights. In 2012, while Turkey Parliamentary Information and Research Commission to prepare a report on the Internet that "access to information and the Internet" a new Constitution "Fundamental rights" is clearly stated that he should be arranged. As a result, the right to access the internet is a fundamental human right in the digital age. The restriction of this right can only be made under the 13th article of the Constitution of the Republic of Turkey. In addition to this basic regulation, general regulations regarding the blocking of internet access have been introduced with the Law No. 5651. Apart from these regulations, blocking internet access will be a violation of a right and also against the law. However, important steps are taken towards taxation in the internet that is formed and evolves with the process. In this direction, Digital Service Tax has been introduced with Law No. 7194 of 2019. With this tax, in the virtual world, ie on the internet network, from game to application; from music to film; All digital services offered from advertising to e-commerce are taxed. With the article 7 of the Law No. 7194, it has been stipulated that the access can be blocked for tax security. Here, article 7 appears as a special regulation that provides the possibility of blocking internet access. The decision of collecting, analyzing, interpreting and evaluating documents and information with the study, that is, by using qualitative research method, to block access, which emerges as a reflection of the conflict between the right to access the Internet and the state's right to tax, will be evaluated legally. Thus, it is aimed to prevent violations of rights and to show some fundamental deficiencies in legal regulation.</w:t>
      </w:r>
    </w:p>
    <w:p w:rsidR="008557F2" w:rsidRPr="006044F3" w:rsidRDefault="008557F2" w:rsidP="007C75C6">
      <w:pPr>
        <w:spacing w:after="0" w:line="360" w:lineRule="auto"/>
        <w:ind w:firstLine="709"/>
        <w:jc w:val="both"/>
        <w:rPr>
          <w:rFonts w:ascii="Times New Roman" w:eastAsia="Palatino Linotype" w:hAnsi="Times New Roman" w:cs="Times New Roman"/>
        </w:rPr>
      </w:pPr>
      <w:r w:rsidRPr="006044F3">
        <w:rPr>
          <w:rFonts w:ascii="Times New Roman" w:eastAsia="Palatino Linotype" w:hAnsi="Times New Roman" w:cs="Times New Roman"/>
          <w:b/>
        </w:rPr>
        <w:t>Keywords:</w:t>
      </w:r>
      <w:r w:rsidR="00953646" w:rsidRPr="006044F3">
        <w:rPr>
          <w:rFonts w:ascii="Times New Roman" w:hAnsi="Times New Roman" w:cs="Times New Roman"/>
        </w:rPr>
        <w:t xml:space="preserve"> </w:t>
      </w:r>
      <w:r w:rsidR="009D6FAD" w:rsidRPr="009D6FAD">
        <w:rPr>
          <w:rFonts w:ascii="Times New Roman" w:hAnsi="Times New Roman" w:cs="Times New Roman"/>
        </w:rPr>
        <w:t>Human Rights in the Digital Age, Right to Internet Access, Digital Service Tax, Tax Security, Access Blocking.</w:t>
      </w:r>
    </w:p>
    <w:sectPr w:rsidR="008557F2" w:rsidRPr="006044F3" w:rsidSect="00D04B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3BB" w:rsidRDefault="00D013BB" w:rsidP="008557F2">
      <w:pPr>
        <w:spacing w:after="0" w:line="240" w:lineRule="auto"/>
      </w:pPr>
      <w:r>
        <w:separator/>
      </w:r>
    </w:p>
  </w:endnote>
  <w:endnote w:type="continuationSeparator" w:id="1">
    <w:p w:rsidR="00D013BB" w:rsidRDefault="00D013BB" w:rsidP="0085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3BB" w:rsidRDefault="00D013BB" w:rsidP="008557F2">
      <w:pPr>
        <w:spacing w:after="0" w:line="240" w:lineRule="auto"/>
      </w:pPr>
      <w:r>
        <w:separator/>
      </w:r>
    </w:p>
  </w:footnote>
  <w:footnote w:type="continuationSeparator" w:id="1">
    <w:p w:rsidR="00D013BB" w:rsidRDefault="00D013BB" w:rsidP="008557F2">
      <w:pPr>
        <w:spacing w:after="0" w:line="240" w:lineRule="auto"/>
      </w:pPr>
      <w:r>
        <w:continuationSeparator/>
      </w:r>
    </w:p>
  </w:footnote>
  <w:footnote w:id="2">
    <w:p w:rsidR="008557F2" w:rsidRPr="001644CE" w:rsidRDefault="008557F2" w:rsidP="008557F2">
      <w:pPr>
        <w:pStyle w:val="DipnotMetni"/>
        <w:ind w:firstLine="0"/>
        <w:rPr>
          <w:sz w:val="18"/>
          <w:szCs w:val="18"/>
        </w:rPr>
      </w:pPr>
      <w:r w:rsidRPr="001644CE">
        <w:rPr>
          <w:rStyle w:val="DipnotBavurusu"/>
          <w:sz w:val="18"/>
          <w:szCs w:val="18"/>
        </w:rPr>
        <w:sym w:font="Symbol" w:char="002A"/>
      </w:r>
      <w:r w:rsidR="00172643">
        <w:rPr>
          <w:sz w:val="18"/>
          <w:szCs w:val="18"/>
        </w:rPr>
        <w:t>Ankara Üniv</w:t>
      </w:r>
      <w:r w:rsidR="00BF118D">
        <w:rPr>
          <w:sz w:val="18"/>
          <w:szCs w:val="18"/>
        </w:rPr>
        <w:t>ersitesi, Sosyal Bilimler Enstit</w:t>
      </w:r>
      <w:r w:rsidR="00172643">
        <w:rPr>
          <w:sz w:val="18"/>
          <w:szCs w:val="18"/>
        </w:rPr>
        <w:t xml:space="preserve">üsü, Kamu Hukuku Doktora Programı Öğrencisi, mmngngr46@hotmail.com / gungorm@ankara.edu.tr, </w:t>
      </w:r>
      <w:r w:rsidRPr="001644CE">
        <w:rPr>
          <w:sz w:val="18"/>
          <w:szCs w:val="18"/>
        </w:rPr>
        <w:t>ORCID ID: 0000-0002-4731-2605.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0245C8"/>
    <w:rsid w:val="000245C8"/>
    <w:rsid w:val="000310B4"/>
    <w:rsid w:val="0009453C"/>
    <w:rsid w:val="00172643"/>
    <w:rsid w:val="002C0A41"/>
    <w:rsid w:val="002D4A62"/>
    <w:rsid w:val="0035418A"/>
    <w:rsid w:val="003F3B6D"/>
    <w:rsid w:val="006044F3"/>
    <w:rsid w:val="00610680"/>
    <w:rsid w:val="006E2F44"/>
    <w:rsid w:val="0073759F"/>
    <w:rsid w:val="007C75C6"/>
    <w:rsid w:val="00834115"/>
    <w:rsid w:val="008557F2"/>
    <w:rsid w:val="00953646"/>
    <w:rsid w:val="009D6FAD"/>
    <w:rsid w:val="00A50566"/>
    <w:rsid w:val="00BB420C"/>
    <w:rsid w:val="00BF118D"/>
    <w:rsid w:val="00D013BB"/>
    <w:rsid w:val="00D04B15"/>
    <w:rsid w:val="00D37351"/>
    <w:rsid w:val="00D6118B"/>
    <w:rsid w:val="00E46DF2"/>
    <w:rsid w:val="00E847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1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245C8"/>
    <w:rPr>
      <w:b/>
      <w:bCs/>
    </w:rPr>
  </w:style>
  <w:style w:type="paragraph" w:styleId="DipnotMetni">
    <w:name w:val="footnote text"/>
    <w:basedOn w:val="Normal"/>
    <w:link w:val="DipnotMetniChar"/>
    <w:uiPriority w:val="99"/>
    <w:semiHidden/>
    <w:unhideWhenUsed/>
    <w:qFormat/>
    <w:rsid w:val="008557F2"/>
    <w:pPr>
      <w:spacing w:after="0" w:line="240" w:lineRule="auto"/>
      <w:ind w:firstLine="709"/>
      <w:jc w:val="both"/>
    </w:pPr>
    <w:rPr>
      <w:rFonts w:ascii="Times New Roman" w:hAnsi="Times New Roman"/>
      <w:sz w:val="20"/>
      <w:szCs w:val="20"/>
    </w:rPr>
  </w:style>
  <w:style w:type="character" w:customStyle="1" w:styleId="DipnotMetniChar">
    <w:name w:val="Dipnot Metni Char"/>
    <w:basedOn w:val="VarsaylanParagrafYazTipi"/>
    <w:link w:val="DipnotMetni"/>
    <w:uiPriority w:val="99"/>
    <w:semiHidden/>
    <w:rsid w:val="008557F2"/>
    <w:rPr>
      <w:rFonts w:ascii="Times New Roman" w:hAnsi="Times New Roman"/>
      <w:sz w:val="20"/>
      <w:szCs w:val="20"/>
    </w:rPr>
  </w:style>
  <w:style w:type="character" w:styleId="DipnotBavurusu">
    <w:name w:val="footnote reference"/>
    <w:aliases w:val="(1) Dipnot Başvurusu"/>
    <w:basedOn w:val="VarsaylanParagrafYazTipi"/>
    <w:uiPriority w:val="99"/>
    <w:unhideWhenUsed/>
    <w:qFormat/>
    <w:rsid w:val="008557F2"/>
    <w:rPr>
      <w:vertAlign w:val="superscript"/>
    </w:rPr>
  </w:style>
  <w:style w:type="character" w:styleId="Kpr">
    <w:name w:val="Hyperlink"/>
    <w:basedOn w:val="VarsaylanParagrafYazTipi"/>
    <w:uiPriority w:val="99"/>
    <w:unhideWhenUsed/>
    <w:rsid w:val="00172643"/>
    <w:rPr>
      <w:color w:val="0000FF" w:themeColor="hyperlink"/>
      <w:u w:val="single"/>
    </w:rPr>
  </w:style>
  <w:style w:type="paragraph" w:styleId="ListeParagraf">
    <w:name w:val="List Paragraph"/>
    <w:basedOn w:val="Normal"/>
    <w:uiPriority w:val="34"/>
    <w:qFormat/>
    <w:rsid w:val="00E847E1"/>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732</Words>
  <Characters>4176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MÜMİN GÜNGÖR</dc:creator>
  <cp:keywords/>
  <dc:description/>
  <cp:lastModifiedBy>MÜMİN GÜNGÖR</cp:lastModifiedBy>
  <cp:revision>17</cp:revision>
  <dcterms:created xsi:type="dcterms:W3CDTF">2021-03-22T16:32:00Z</dcterms:created>
  <dcterms:modified xsi:type="dcterms:W3CDTF">2021-03-22T19:06:00Z</dcterms:modified>
</cp:coreProperties>
</file>