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DBE84" w14:textId="64FB141D" w:rsidR="00296CD7" w:rsidRDefault="00884589" w:rsidP="00CC5545">
      <w:pPr>
        <w:pStyle w:val="Title"/>
        <w:spacing w:after="240"/>
      </w:pPr>
      <w:bookmarkStart w:id="0" w:name="_GoBack"/>
      <w:r w:rsidRPr="00884589">
        <w:t xml:space="preserve">İlkokul ve Ortaokul Öğretmenleri Arasında Nöromitlerin Yaygınlığının </w:t>
      </w:r>
      <w:r>
        <w:t>İncelenmesi</w:t>
      </w:r>
    </w:p>
    <w:bookmarkEnd w:id="0"/>
    <w:p w14:paraId="0B12CDE4" w14:textId="73A9E75E" w:rsidR="00537C84" w:rsidRDefault="00E377F9" w:rsidP="00CC5545">
      <w:pPr>
        <w:pStyle w:val="Subtitle"/>
        <w:spacing w:after="0"/>
      </w:pPr>
      <w:r>
        <w:t>Yeliz Tunga</w:t>
      </w:r>
      <w:r w:rsidR="00474DB6">
        <w:rPr>
          <w:vertAlign w:val="superscript"/>
        </w:rPr>
        <w:t>1</w:t>
      </w:r>
      <w:r w:rsidR="00696F69" w:rsidRPr="00474DB6">
        <w:t xml:space="preserve">, </w:t>
      </w:r>
      <w:r w:rsidR="00544387" w:rsidRPr="00544387">
        <w:t>0000-0002-4046-4198</w:t>
      </w:r>
      <w:r w:rsidR="00AD396A" w:rsidRPr="00474DB6">
        <w:t xml:space="preserve">, </w:t>
      </w:r>
      <w:r>
        <w:t>yelizt</w:t>
      </w:r>
      <w:r w:rsidR="00696F69" w:rsidRPr="00474DB6">
        <w:t>@</w:t>
      </w:r>
      <w:r>
        <w:t>metu</w:t>
      </w:r>
      <w:r w:rsidR="00696F69" w:rsidRPr="00474DB6">
        <w:t>.edu.tr</w:t>
      </w:r>
      <w:r w:rsidR="00474DB6" w:rsidRPr="00474DB6">
        <w:t xml:space="preserve"> </w:t>
      </w:r>
      <w:r w:rsidR="00AA0C99" w:rsidRPr="00474DB6">
        <w:br/>
      </w:r>
      <w:r>
        <w:t>Kürşat Çağıltay</w:t>
      </w:r>
      <w:r w:rsidRPr="00E377F9">
        <w:rPr>
          <w:vertAlign w:val="superscript"/>
        </w:rPr>
        <w:t>1</w:t>
      </w:r>
      <w:r w:rsidR="00AA0C99" w:rsidRPr="00474DB6">
        <w:t>,</w:t>
      </w:r>
      <w:r w:rsidR="00AD396A" w:rsidRPr="00474DB6">
        <w:t xml:space="preserve"> </w:t>
      </w:r>
      <w:r w:rsidR="00544387" w:rsidRPr="00544387">
        <w:t>0000-0003-1973-7056</w:t>
      </w:r>
      <w:r w:rsidR="00AD396A" w:rsidRPr="00474DB6">
        <w:t xml:space="preserve">, </w:t>
      </w:r>
      <w:r>
        <w:t>kursat</w:t>
      </w:r>
      <w:r w:rsidR="00537C84" w:rsidRPr="00134C30">
        <w:t>@</w:t>
      </w:r>
      <w:r>
        <w:t>metu</w:t>
      </w:r>
      <w:r w:rsidR="00537C84" w:rsidRPr="00134C30">
        <w:t>.edu.tr</w:t>
      </w:r>
    </w:p>
    <w:p w14:paraId="457924B4" w14:textId="190DC466" w:rsidR="00474DB6" w:rsidRDefault="00474DB6" w:rsidP="00CC5545">
      <w:pPr>
        <w:pStyle w:val="Subtitle"/>
        <w:spacing w:after="0"/>
      </w:pPr>
    </w:p>
    <w:p w14:paraId="40343E05" w14:textId="6AAD1785" w:rsidR="00474DB6" w:rsidRPr="00474DB6" w:rsidRDefault="00474DB6" w:rsidP="00CC5545">
      <w:pPr>
        <w:pStyle w:val="Subtitle"/>
        <w:spacing w:after="0"/>
      </w:pPr>
      <w:r>
        <w:rPr>
          <w:vertAlign w:val="superscript"/>
        </w:rPr>
        <w:t>1</w:t>
      </w:r>
      <w:r w:rsidR="00E377F9">
        <w:t>Orta Doğu Teknik Üniversitesi, Bilgisayar ve Öğretim Teknolojileri Eğitimi Bölümü</w:t>
      </w:r>
    </w:p>
    <w:p w14:paraId="3E336251" w14:textId="21769436" w:rsidR="00474DB6" w:rsidRDefault="00474DB6" w:rsidP="00CC5545">
      <w:pPr>
        <w:spacing w:after="0"/>
        <w:jc w:val="center"/>
        <w:rPr>
          <w:sz w:val="16"/>
          <w:szCs w:val="16"/>
        </w:rPr>
      </w:pPr>
    </w:p>
    <w:p w14:paraId="52A51C67" w14:textId="77777777" w:rsidR="00250E0F" w:rsidRDefault="00250E0F" w:rsidP="00250E0F">
      <w:pPr>
        <w:jc w:val="both"/>
      </w:pPr>
      <w:r>
        <w:t>Nöromit kavramı mit ve nöron (sinir hücresi) kelimelerinin birleşmesi ile oluşan bir terimdir. Bu terim, beyin ve beynin öğrenme ile ilgisi hakkındaki kavram yanılgılarını ifade etmek için kullanılmaktadır.  Başka bir ifadeyle, nöromitler eğitsel sinirbilim çalışmaları ile ilgili şehir efsanelerini tanımlamak için kullanılmaktadır. Nöromitler, sinirbilim araştırma sonuçlarının yanlış anlaşılma ya da kasıtlı olarak  yanlış veya aşırı basitleştirilerek eksik aktarılması ile ortaya çıkmaktadır. Bu doğrultuda, literatürde bilimsel gerçeklerin çarpıtılması ile oluşmuş birçok nöromit tanımlanmıştır. Sağ beyin-sol beyin miti, Mozart etkisi, %10 miti, öğrenme stilleri, çoklu zeka, beyin geliştirme egzersizleri bu nöromitlere örnek olarak verilebilir. Nöromitlerin uzun yıllardır varlığını sürdürdüğü bilinmektedir. Örneğin, beynimizin yalnızca %10’nu kullandığımıza dair yanlış inanç, yüz yıldan fazla süredir varlığını sürdürmektedir.</w:t>
      </w:r>
    </w:p>
    <w:p w14:paraId="10F3F17C" w14:textId="5B8B3360" w:rsidR="00EC4B3B" w:rsidRDefault="00250E0F" w:rsidP="00250E0F">
      <w:pPr>
        <w:jc w:val="both"/>
      </w:pPr>
      <w:r>
        <w:t xml:space="preserve">Eğitsel sinirbilim çalışmalarına artan ilgi, bu alanda yapılan bilimsel çalışmaların sayısını artırmakta kalmamış, aynı zamanda nöromitlerin bilinirliğinin artmasına da neden olmuştur. Ekonomik Kalkınma ve İş Birliği Örgütü (OECD) bu tehlikeye dikkat çekerek, eğitsel nöromitlerin yayılmasını önlemek üzere 2002 yılında Beyin ve Öğrenme isimli bir proje başlatmıştır. Proje kapsamında bir rapor yayınlanarak eğitsel nöromitlerin tanımlanması ve çürütülmesine yönelik bir adım atılmıştır. Raporda ve birçok farklı kaynakta da değinildiği üzere, nöromitlerin varlığını sürdürmesi etkili olmayan eğitsel uygulamaların kullanılmasına neden olarak zaman, para gibi önemli kaynaklarında israf edilmesine neden olmaktadır. Bu sebeple, eğitsel nöromitlerin tespit edilmesi ve çürütülmesine yönelik çalışmalara ihtiyaç duyulmaktadır. Bu eksiklikten yola çıkarak, dünyanın farklı bölgelerinde öğretmenlerin nöromitlere inanma düzeylerinin tespit edilmesine yönelik çalışmalar yapılmaktadır. Araştırma sonuçları öğretmenlerin aradan geçen yirmi yıla yakın süre sonunda hala birçok nöromite inandığını göstermektedir. Bu kapsamda, ülkemizde yapılan eğitsel nöromitlerin öğretmenler arasındaki yaygınlığının tespit edilmesine yönelik çalışmalar incelendiğinde, çalışmaların sayıca yetersiz ve düşük örneklem sayısı ve örneklem grubu olarak öğretmen adayları ile çalışma gibi yöntemsel sınırlılıkların olduğu görülmektedir. Bu doğrultuda, literatürdeki bu boşluğu doldurmak üzere, 40 maddeden oluşan beyin ile ilgili genel bilgiler ve nöromit sorularının bulunduğu eğitsel nöromit anketi kullanılarak 730 ilk ve orta okul öğretmeninden veri toplanmıştır. Verilerin analizde betimsel istatistikler kullanılarak öğretmenlerin her bir nöromit maddesine yönelik kabul düzeyleri hesaplanmıştır. Sonuçlar öğretmenlerin birçok eğitsel nöromite yüksek düzeyde inandığı göstermektedir. Sırasıyla, öğrenme stilleri, çoklu zeka ve zenginleştirilmiş ortam mitleri en çok </w:t>
      </w:r>
      <w:r w:rsidR="001E19CC">
        <w:t>inanılan</w:t>
      </w:r>
      <w:r>
        <w:t xml:space="preserve"> ilk üç eğitsel nöromit olarak tespit edilmiştir. Bunun yanı sıra, öğretmenlerin BrainGYM, sağ beyin-sol beyin, %10 miti, kritik dönemler, Mozart etkisi gibi on dört farklı mite de %50’den fazla oranda inandıkları görülmüştür. Çalışmanın detaylı sonuçları ve eğitsel nöromitlerin ortadan kaldırılmasına yönelik öneriler sunumda tartışılacaktır.</w:t>
      </w:r>
    </w:p>
    <w:p w14:paraId="5000FB7F" w14:textId="73E8D1E0" w:rsidR="00740CF5" w:rsidRPr="00740CF5" w:rsidRDefault="00740CF5" w:rsidP="00CC5545">
      <w:pPr>
        <w:rPr>
          <w:b/>
          <w:bCs/>
        </w:rPr>
      </w:pPr>
      <w:r w:rsidRPr="00740CF5">
        <w:rPr>
          <w:b/>
          <w:bCs/>
        </w:rPr>
        <w:t xml:space="preserve">Anahtar Kelimeler: </w:t>
      </w:r>
      <w:r w:rsidR="00E377F9">
        <w:rPr>
          <w:i/>
          <w:iCs/>
        </w:rPr>
        <w:t>nöromit</w:t>
      </w:r>
      <w:r w:rsidRPr="00740CF5">
        <w:rPr>
          <w:i/>
          <w:iCs/>
        </w:rPr>
        <w:t xml:space="preserve">, </w:t>
      </w:r>
      <w:r w:rsidR="00E377F9">
        <w:rPr>
          <w:i/>
          <w:iCs/>
        </w:rPr>
        <w:t>öğrenme stilleri</w:t>
      </w:r>
      <w:r w:rsidRPr="00740CF5">
        <w:rPr>
          <w:i/>
          <w:iCs/>
        </w:rPr>
        <w:t xml:space="preserve">, </w:t>
      </w:r>
      <w:r w:rsidR="00E377F9">
        <w:rPr>
          <w:i/>
          <w:iCs/>
        </w:rPr>
        <w:t>beyin egzersizleri, sağ beyin-sol beyin</w:t>
      </w:r>
      <w:r w:rsidR="00996585">
        <w:rPr>
          <w:i/>
          <w:iCs/>
        </w:rPr>
        <w:t>, Mozart etkisi</w:t>
      </w:r>
    </w:p>
    <w:p w14:paraId="77539D3F" w14:textId="4FE0B37D" w:rsidR="00C25724" w:rsidRDefault="00C25724" w:rsidP="00C25724">
      <w:pPr>
        <w:pStyle w:val="Title"/>
        <w:spacing w:after="240"/>
      </w:pPr>
      <w:r>
        <w:rPr>
          <w:b w:val="0"/>
          <w:bCs w:val="0"/>
          <w:i/>
          <w:iCs/>
        </w:rPr>
        <w:br w:type="page"/>
      </w:r>
      <w:r w:rsidR="00BF592D" w:rsidRPr="00BF592D">
        <w:lastRenderedPageBreak/>
        <w:t>Investigation of The Prevalence of Neuromyths among Primar</w:t>
      </w:r>
      <w:r w:rsidR="000C5FBB">
        <w:t>y and Secondary School Teachers</w:t>
      </w:r>
    </w:p>
    <w:p w14:paraId="5DC4846D" w14:textId="77777777" w:rsidR="00C25724" w:rsidRDefault="00C25724" w:rsidP="00C25724">
      <w:pPr>
        <w:pStyle w:val="Subtitle"/>
        <w:spacing w:after="0"/>
      </w:pPr>
      <w:r>
        <w:t>Yeliz Tunga</w:t>
      </w:r>
      <w:r>
        <w:rPr>
          <w:vertAlign w:val="superscript"/>
        </w:rPr>
        <w:t>1</w:t>
      </w:r>
      <w:r w:rsidRPr="00474DB6">
        <w:t xml:space="preserve">, </w:t>
      </w:r>
      <w:r w:rsidRPr="00544387">
        <w:t>0000-0002-4046-4198</w:t>
      </w:r>
      <w:r w:rsidRPr="00474DB6">
        <w:t xml:space="preserve">, </w:t>
      </w:r>
      <w:r>
        <w:t>yelizt</w:t>
      </w:r>
      <w:r w:rsidRPr="00474DB6">
        <w:t>@</w:t>
      </w:r>
      <w:r>
        <w:t>metu</w:t>
      </w:r>
      <w:r w:rsidRPr="00474DB6">
        <w:t xml:space="preserve">.edu.tr </w:t>
      </w:r>
      <w:r w:rsidRPr="00474DB6">
        <w:br/>
      </w:r>
      <w:r>
        <w:t>Kürşat Çağıltay</w:t>
      </w:r>
      <w:r w:rsidRPr="00E377F9">
        <w:rPr>
          <w:vertAlign w:val="superscript"/>
        </w:rPr>
        <w:t>1</w:t>
      </w:r>
      <w:r w:rsidRPr="00474DB6">
        <w:t xml:space="preserve">, </w:t>
      </w:r>
      <w:r w:rsidRPr="00544387">
        <w:t>0000-0003-1973-7056</w:t>
      </w:r>
      <w:r w:rsidRPr="00474DB6">
        <w:t xml:space="preserve">, </w:t>
      </w:r>
      <w:r>
        <w:t>kursat</w:t>
      </w:r>
      <w:r w:rsidRPr="00134C30">
        <w:t>@</w:t>
      </w:r>
      <w:r>
        <w:t>metu</w:t>
      </w:r>
      <w:r w:rsidRPr="00134C30">
        <w:t>.edu.tr</w:t>
      </w:r>
    </w:p>
    <w:p w14:paraId="57194441" w14:textId="77777777" w:rsidR="00C25724" w:rsidRDefault="00C25724" w:rsidP="00C25724">
      <w:pPr>
        <w:pStyle w:val="Subtitle"/>
        <w:spacing w:after="0"/>
      </w:pPr>
    </w:p>
    <w:p w14:paraId="7F5C58B6" w14:textId="1427D35C" w:rsidR="00C25724" w:rsidRPr="00474DB6" w:rsidRDefault="00C25724" w:rsidP="00C25724">
      <w:pPr>
        <w:pStyle w:val="Subtitle"/>
        <w:spacing w:after="0"/>
      </w:pPr>
      <w:r>
        <w:rPr>
          <w:vertAlign w:val="superscript"/>
        </w:rPr>
        <w:t>1</w:t>
      </w:r>
      <w:r w:rsidR="003638DD">
        <w:t xml:space="preserve">Middle East </w:t>
      </w:r>
      <w:r w:rsidR="003638DD" w:rsidRPr="003638DD">
        <w:t>Technical University, Department of Computer Education and Instructional Technologies</w:t>
      </w:r>
      <w:r>
        <w:t xml:space="preserve"> </w:t>
      </w:r>
    </w:p>
    <w:p w14:paraId="14C43BED" w14:textId="77777777" w:rsidR="00C25724" w:rsidRDefault="00C25724" w:rsidP="00C25724">
      <w:pPr>
        <w:spacing w:after="0"/>
        <w:jc w:val="center"/>
        <w:rPr>
          <w:sz w:val="16"/>
          <w:szCs w:val="16"/>
        </w:rPr>
      </w:pPr>
    </w:p>
    <w:p w14:paraId="1D2D543F" w14:textId="77777777" w:rsidR="00250E0F" w:rsidRDefault="00250E0F" w:rsidP="00250E0F">
      <w:pPr>
        <w:jc w:val="both"/>
      </w:pPr>
      <w:r>
        <w:t>The neuromyth is a term formed by the combination of the words myth and neuron (nerve cell). This term is used to express misconceptions about the brain and its relation to learning. In other words, neuromyths are used to describe urban legends related to educational neuroscience studies. Neuromyths arise when neuroscience research results are misunderstood or deliberately misrepresented or oversimplified. In this direction, many neuromyths formed by distorting scientific facts have been described in the literature. Right brain-left brain myth, Mozart effect, 10% myth, learning styles, multiple intelligences, brain exercises can be given as examples of these neuromyths. It is known that neuromyths have survived for many years. For example, the neuromyth that we only use 10% of our brain has existed for over a hundred years.</w:t>
      </w:r>
    </w:p>
    <w:p w14:paraId="473BA5AD" w14:textId="6F05C894" w:rsidR="00C25724" w:rsidRDefault="00250E0F" w:rsidP="00250E0F">
      <w:pPr>
        <w:jc w:val="both"/>
      </w:pPr>
      <w:r>
        <w:t>The growing interest in educational neuroscience studies has not only increased the number of research studies in this field but also increased the spread of neuromyths. The Organization for Economic Cooperation and Development (OECD)  launched a project called Brain and Learning in 2002 to prevent the spread of neuromyths by drawing attention to this danger. The report that identifies and dispels neuromyths was published within the scope of the project. As mentioned in this report and in many other sources, the survival of neuromyths causes waste of important resources such as time and money by enabling the use of ineffective educational practices. For this reason, more research studies are needed to determine and dispel educational neuromyths.  Based on this necessity, studies are carried out to determine the prevalence of neuromyths among teachers in different parts of the world. The results of the current studies show that teachers still believe in many neuromyths after nearly two decades. In this context, considering studies conducted in our country to determine the prevalence of educational neuromyths among teachers, it is seen that they have some methodological limitations such as low sample size and using mainly pre-service teachers as a sample group. To fill this gap in the literature, data were collected from 730 primary and secondary school teachers using the educational neuromyth questionnaire consisting of 40 items includes general knowledge about the brain and neuromyth statements. The prevalence of each neuromyth item was calculated by using descriptive statistics. The results showed that teachers believed in many educational neuromyths. The myths of learning styles, multiple intelligences, and enriched environments were identified as the top three most endorsed educational neuromyths, respectively. In addition, it was found that fourteen neuromyth statements including BrainGYM, right brain-left brain, 10% myth, critical periods, Mozart effect believed by more than 50% of teachers. Detailed results of the study and recommendations for the elimination of educational neuromyths will be discussed in the presentation</w:t>
      </w:r>
      <w:r w:rsidR="003638DD" w:rsidRPr="003638DD">
        <w:t xml:space="preserve">The neuromyth is a term formed by the combination of the words myth and neuron (nerve cell). This term is used to express misconceptions about the brain and its relation to learning. In other words, neuromyths are used to describe urban legends related to educational neuroscience studies. Neuromyths arise when neuroscience research results are misunderstood or deliberately misrepresented or oversimplified. In this direction, many neuromyths formed by distorting scientific facts have been described in the literature. Right brain-left brain myth, Mozart effect, 10% myth, learning styles, multiple intelligences, brain exercises can be given as examples of these neuromyths. It is known that neuromyths have </w:t>
      </w:r>
      <w:r w:rsidR="003638DD">
        <w:t>survived</w:t>
      </w:r>
      <w:r w:rsidR="003638DD" w:rsidRPr="003638DD">
        <w:t xml:space="preserve"> for many years. For example, the </w:t>
      </w:r>
      <w:r w:rsidR="003638DD">
        <w:t>neuromyth</w:t>
      </w:r>
      <w:r w:rsidR="003638DD" w:rsidRPr="003638DD">
        <w:t xml:space="preserve"> that we only use 10% of our brain has existed for over a hundred years.</w:t>
      </w:r>
    </w:p>
    <w:p w14:paraId="4407FC38" w14:textId="7F13C4BC" w:rsidR="00C25724" w:rsidRDefault="00996585" w:rsidP="00542DEB">
      <w:r>
        <w:rPr>
          <w:b/>
          <w:bCs/>
        </w:rPr>
        <w:t>Keywords</w:t>
      </w:r>
      <w:r>
        <w:rPr>
          <w:i/>
          <w:iCs/>
        </w:rPr>
        <w:t xml:space="preserve"> : </w:t>
      </w:r>
      <w:r w:rsidRPr="00996585">
        <w:rPr>
          <w:i/>
          <w:iCs/>
        </w:rPr>
        <w:t>neuromyth, learning styles, brain e</w:t>
      </w:r>
      <w:r>
        <w:rPr>
          <w:i/>
          <w:iCs/>
        </w:rPr>
        <w:t>xercises, right brain-left brain, Mozart Effect</w:t>
      </w:r>
      <w:r w:rsidR="00C25724">
        <w:rPr>
          <w:b/>
          <w:bCs/>
          <w:i/>
          <w:iCs/>
        </w:rPr>
        <w:br w:type="page"/>
      </w:r>
    </w:p>
    <w:p w14:paraId="39CEBB03" w14:textId="71B58E8F" w:rsidR="006C0DAA" w:rsidRPr="00C25724" w:rsidRDefault="006C0DAA" w:rsidP="00C25724">
      <w:pPr>
        <w:spacing w:line="259" w:lineRule="auto"/>
        <w:ind w:firstLine="0"/>
      </w:pPr>
    </w:p>
    <w:sectPr w:rsidR="006C0DAA" w:rsidRPr="00C2572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612EE" w14:textId="77777777" w:rsidR="00FD7BE8" w:rsidRDefault="00FD7BE8" w:rsidP="00D82260">
      <w:pPr>
        <w:spacing w:after="0"/>
      </w:pPr>
      <w:r>
        <w:separator/>
      </w:r>
    </w:p>
  </w:endnote>
  <w:endnote w:type="continuationSeparator" w:id="0">
    <w:p w14:paraId="24E275C9" w14:textId="77777777" w:rsidR="00FD7BE8" w:rsidRDefault="00FD7BE8" w:rsidP="00D822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80384"/>
      <w:docPartObj>
        <w:docPartGallery w:val="Page Numbers (Bottom of Page)"/>
        <w:docPartUnique/>
      </w:docPartObj>
    </w:sdtPr>
    <w:sdtEndPr/>
    <w:sdtContent>
      <w:p w14:paraId="60AA3656" w14:textId="66619057" w:rsidR="00D82260" w:rsidRDefault="00D82260">
        <w:pPr>
          <w:pStyle w:val="Footer"/>
          <w:jc w:val="center"/>
        </w:pPr>
        <w:r>
          <w:fldChar w:fldCharType="begin"/>
        </w:r>
        <w:r>
          <w:instrText>PAGE   \* MERGEFORMAT</w:instrText>
        </w:r>
        <w:r>
          <w:fldChar w:fldCharType="separate"/>
        </w:r>
        <w:r w:rsidR="00884589">
          <w:rPr>
            <w:noProof/>
          </w:rPr>
          <w:t>2</w:t>
        </w:r>
        <w:r>
          <w:fldChar w:fldCharType="end"/>
        </w:r>
      </w:p>
    </w:sdtContent>
  </w:sdt>
  <w:p w14:paraId="756447D4" w14:textId="77777777" w:rsidR="00D82260" w:rsidRDefault="00D8226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BB80E" w14:textId="77777777" w:rsidR="00FD7BE8" w:rsidRDefault="00FD7BE8" w:rsidP="00D82260">
      <w:pPr>
        <w:spacing w:after="0"/>
      </w:pPr>
      <w:r>
        <w:separator/>
      </w:r>
    </w:p>
  </w:footnote>
  <w:footnote w:type="continuationSeparator" w:id="0">
    <w:p w14:paraId="321E3C6D" w14:textId="77777777" w:rsidR="00FD7BE8" w:rsidRDefault="00FD7BE8" w:rsidP="00D8226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25929"/>
    <w:multiLevelType w:val="hybridMultilevel"/>
    <w:tmpl w:val="72B64B4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7F228AD"/>
    <w:multiLevelType w:val="hybridMultilevel"/>
    <w:tmpl w:val="4B38FAB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95411CF"/>
    <w:multiLevelType w:val="hybridMultilevel"/>
    <w:tmpl w:val="CA1898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wMTE1NzQ3MTEwMzRS0lEKTi0uzszPAykwrwUA8VFSdSwAAAA="/>
  </w:docVars>
  <w:rsids>
    <w:rsidRoot w:val="00696F69"/>
    <w:rsid w:val="00026746"/>
    <w:rsid w:val="00036A01"/>
    <w:rsid w:val="00085B38"/>
    <w:rsid w:val="000C5FBB"/>
    <w:rsid w:val="000D0CF2"/>
    <w:rsid w:val="000F598C"/>
    <w:rsid w:val="00134C30"/>
    <w:rsid w:val="001B0CED"/>
    <w:rsid w:val="001E19CC"/>
    <w:rsid w:val="00250E0F"/>
    <w:rsid w:val="00296CD7"/>
    <w:rsid w:val="002A1EF7"/>
    <w:rsid w:val="002F4AF3"/>
    <w:rsid w:val="00356154"/>
    <w:rsid w:val="003638DD"/>
    <w:rsid w:val="00372098"/>
    <w:rsid w:val="0039718A"/>
    <w:rsid w:val="003A18E0"/>
    <w:rsid w:val="003A28B2"/>
    <w:rsid w:val="003D0D07"/>
    <w:rsid w:val="003D704C"/>
    <w:rsid w:val="003F1841"/>
    <w:rsid w:val="003F4392"/>
    <w:rsid w:val="00414AC7"/>
    <w:rsid w:val="00474DB6"/>
    <w:rsid w:val="0049692A"/>
    <w:rsid w:val="004A2F13"/>
    <w:rsid w:val="004E29CB"/>
    <w:rsid w:val="00537C84"/>
    <w:rsid w:val="00542DEB"/>
    <w:rsid w:val="00544387"/>
    <w:rsid w:val="00564A85"/>
    <w:rsid w:val="005C6ED2"/>
    <w:rsid w:val="005D1478"/>
    <w:rsid w:val="00632B05"/>
    <w:rsid w:val="00656660"/>
    <w:rsid w:val="00696F69"/>
    <w:rsid w:val="006C0A23"/>
    <w:rsid w:val="006C0DAA"/>
    <w:rsid w:val="006C7162"/>
    <w:rsid w:val="00704DFF"/>
    <w:rsid w:val="00740CF5"/>
    <w:rsid w:val="0074123B"/>
    <w:rsid w:val="00781CE5"/>
    <w:rsid w:val="0079358F"/>
    <w:rsid w:val="007C4C5B"/>
    <w:rsid w:val="007C7FF0"/>
    <w:rsid w:val="00815C1D"/>
    <w:rsid w:val="00822663"/>
    <w:rsid w:val="0084505E"/>
    <w:rsid w:val="00846EC1"/>
    <w:rsid w:val="0086257A"/>
    <w:rsid w:val="00884589"/>
    <w:rsid w:val="00894310"/>
    <w:rsid w:val="008949D2"/>
    <w:rsid w:val="00897CC1"/>
    <w:rsid w:val="00914F81"/>
    <w:rsid w:val="00917E45"/>
    <w:rsid w:val="0093742D"/>
    <w:rsid w:val="009520B2"/>
    <w:rsid w:val="00954C5F"/>
    <w:rsid w:val="009553B1"/>
    <w:rsid w:val="00956831"/>
    <w:rsid w:val="009672BA"/>
    <w:rsid w:val="00991C2B"/>
    <w:rsid w:val="00996585"/>
    <w:rsid w:val="009E1D7D"/>
    <w:rsid w:val="00A00B9B"/>
    <w:rsid w:val="00A04BA0"/>
    <w:rsid w:val="00A60C29"/>
    <w:rsid w:val="00AA0C99"/>
    <w:rsid w:val="00AC6DF1"/>
    <w:rsid w:val="00AC7055"/>
    <w:rsid w:val="00AD396A"/>
    <w:rsid w:val="00AD7448"/>
    <w:rsid w:val="00B072D8"/>
    <w:rsid w:val="00B62291"/>
    <w:rsid w:val="00B6252C"/>
    <w:rsid w:val="00B62B01"/>
    <w:rsid w:val="00BB08D5"/>
    <w:rsid w:val="00BD6C79"/>
    <w:rsid w:val="00BF1D22"/>
    <w:rsid w:val="00BF592D"/>
    <w:rsid w:val="00C2176C"/>
    <w:rsid w:val="00C25724"/>
    <w:rsid w:val="00CC5545"/>
    <w:rsid w:val="00CF7497"/>
    <w:rsid w:val="00D117AF"/>
    <w:rsid w:val="00D259FF"/>
    <w:rsid w:val="00D300AE"/>
    <w:rsid w:val="00D43B50"/>
    <w:rsid w:val="00D52756"/>
    <w:rsid w:val="00D82260"/>
    <w:rsid w:val="00D831C0"/>
    <w:rsid w:val="00DA52CD"/>
    <w:rsid w:val="00DB01D9"/>
    <w:rsid w:val="00E377F9"/>
    <w:rsid w:val="00EB5843"/>
    <w:rsid w:val="00EC4B3B"/>
    <w:rsid w:val="00F63032"/>
    <w:rsid w:val="00F84A75"/>
    <w:rsid w:val="00F91256"/>
    <w:rsid w:val="00F92DED"/>
    <w:rsid w:val="00FB047C"/>
    <w:rsid w:val="00FB5405"/>
    <w:rsid w:val="00FC3642"/>
    <w:rsid w:val="00FC4ADB"/>
    <w:rsid w:val="00FD7BE8"/>
    <w:rsid w:val="00FD7FFD"/>
    <w:rsid w:val="00FE1F88"/>
    <w:rsid w:val="00FF76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A3111"/>
  <w15:chartTrackingRefBased/>
  <w15:docId w15:val="{910E315A-4322-4F73-97EA-6BE23239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545"/>
    <w:pPr>
      <w:spacing w:line="240" w:lineRule="auto"/>
      <w:ind w:firstLine="709"/>
    </w:pPr>
    <w:rPr>
      <w:rFonts w:ascii="Verdana" w:hAnsi="Verdana"/>
      <w:sz w:val="20"/>
    </w:rPr>
  </w:style>
  <w:style w:type="paragraph" w:styleId="Heading1">
    <w:name w:val="heading 1"/>
    <w:aliases w:val="Başlık 1"/>
    <w:basedOn w:val="Normal"/>
    <w:next w:val="Normal"/>
    <w:link w:val="Heading1Char"/>
    <w:uiPriority w:val="9"/>
    <w:qFormat/>
    <w:rsid w:val="003F4392"/>
    <w:pPr>
      <w:ind w:firstLine="0"/>
      <w:jc w:val="center"/>
      <w:outlineLvl w:val="0"/>
    </w:pPr>
    <w:rPr>
      <w:b/>
      <w:bCs/>
    </w:rPr>
  </w:style>
  <w:style w:type="paragraph" w:styleId="Heading2">
    <w:name w:val="heading 2"/>
    <w:aliases w:val="Başlık 2"/>
    <w:basedOn w:val="Normal"/>
    <w:next w:val="Normal"/>
    <w:link w:val="Heading2Char"/>
    <w:uiPriority w:val="9"/>
    <w:unhideWhenUsed/>
    <w:qFormat/>
    <w:rsid w:val="003F4392"/>
    <w:pPr>
      <w:ind w:firstLine="0"/>
      <w:outlineLvl w:val="1"/>
    </w:pPr>
    <w:rPr>
      <w:b/>
      <w:bCs/>
    </w:rPr>
  </w:style>
  <w:style w:type="paragraph" w:styleId="Heading3">
    <w:name w:val="heading 3"/>
    <w:aliases w:val="Başlık 3"/>
    <w:basedOn w:val="Normal"/>
    <w:next w:val="Normal"/>
    <w:link w:val="Heading3Char"/>
    <w:uiPriority w:val="9"/>
    <w:unhideWhenUsed/>
    <w:qFormat/>
    <w:rsid w:val="00956831"/>
    <w:pPr>
      <w:ind w:firstLine="0"/>
      <w:outlineLvl w:val="2"/>
    </w:pPr>
    <w:rPr>
      <w:b/>
      <w:bCs/>
      <w:i/>
      <w:iCs/>
    </w:rPr>
  </w:style>
  <w:style w:type="paragraph" w:styleId="Heading4">
    <w:name w:val="heading 4"/>
    <w:aliases w:val="Başlık 4"/>
    <w:basedOn w:val="Normal"/>
    <w:next w:val="Normal"/>
    <w:link w:val="Heading4Char"/>
    <w:uiPriority w:val="9"/>
    <w:unhideWhenUsed/>
    <w:qFormat/>
    <w:rsid w:val="00474DB6"/>
    <w:pPr>
      <w:outlineLvl w:val="3"/>
    </w:pPr>
    <w:rPr>
      <w:b/>
      <w:bCs/>
    </w:rPr>
  </w:style>
  <w:style w:type="paragraph" w:styleId="Heading5">
    <w:name w:val="heading 5"/>
    <w:aliases w:val="Başlık 5"/>
    <w:basedOn w:val="Normal"/>
    <w:next w:val="Normal"/>
    <w:link w:val="Heading5Char"/>
    <w:uiPriority w:val="9"/>
    <w:unhideWhenUsed/>
    <w:qFormat/>
    <w:rsid w:val="00474DB6"/>
    <w:pPr>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Başlık"/>
    <w:basedOn w:val="Normal"/>
    <w:next w:val="Normal"/>
    <w:link w:val="TitleChar"/>
    <w:uiPriority w:val="10"/>
    <w:qFormat/>
    <w:rsid w:val="00474DB6"/>
    <w:pPr>
      <w:spacing w:after="0"/>
      <w:ind w:firstLine="0"/>
      <w:jc w:val="center"/>
    </w:pPr>
    <w:rPr>
      <w:b/>
      <w:bCs/>
      <w:sz w:val="28"/>
      <w:szCs w:val="28"/>
    </w:rPr>
  </w:style>
  <w:style w:type="character" w:customStyle="1" w:styleId="TitleChar">
    <w:name w:val="Title Char"/>
    <w:aliases w:val="Başlık Char"/>
    <w:basedOn w:val="DefaultParagraphFont"/>
    <w:link w:val="Title"/>
    <w:uiPriority w:val="10"/>
    <w:rsid w:val="00474DB6"/>
    <w:rPr>
      <w:rFonts w:ascii="Verdana" w:hAnsi="Verdana"/>
      <w:b/>
      <w:bCs/>
      <w:sz w:val="28"/>
      <w:szCs w:val="28"/>
    </w:rPr>
  </w:style>
  <w:style w:type="character" w:styleId="CommentReference">
    <w:name w:val="annotation reference"/>
    <w:basedOn w:val="DefaultParagraphFont"/>
    <w:uiPriority w:val="99"/>
    <w:semiHidden/>
    <w:unhideWhenUsed/>
    <w:rsid w:val="00696F69"/>
    <w:rPr>
      <w:sz w:val="16"/>
      <w:szCs w:val="16"/>
    </w:rPr>
  </w:style>
  <w:style w:type="paragraph" w:styleId="CommentText">
    <w:name w:val="annotation text"/>
    <w:basedOn w:val="Normal"/>
    <w:link w:val="CommentTextChar"/>
    <w:uiPriority w:val="99"/>
    <w:semiHidden/>
    <w:unhideWhenUsed/>
    <w:rsid w:val="00696F69"/>
    <w:rPr>
      <w:szCs w:val="20"/>
    </w:rPr>
  </w:style>
  <w:style w:type="character" w:customStyle="1" w:styleId="CommentTextChar">
    <w:name w:val="Comment Text Char"/>
    <w:basedOn w:val="DefaultParagraphFont"/>
    <w:link w:val="CommentText"/>
    <w:uiPriority w:val="99"/>
    <w:semiHidden/>
    <w:rsid w:val="00696F69"/>
    <w:rPr>
      <w:sz w:val="20"/>
      <w:szCs w:val="20"/>
    </w:rPr>
  </w:style>
  <w:style w:type="paragraph" w:styleId="CommentSubject">
    <w:name w:val="annotation subject"/>
    <w:basedOn w:val="CommentText"/>
    <w:next w:val="CommentText"/>
    <w:link w:val="CommentSubjectChar"/>
    <w:uiPriority w:val="99"/>
    <w:semiHidden/>
    <w:unhideWhenUsed/>
    <w:rsid w:val="00696F69"/>
    <w:rPr>
      <w:b/>
      <w:bCs/>
    </w:rPr>
  </w:style>
  <w:style w:type="character" w:customStyle="1" w:styleId="CommentSubjectChar">
    <w:name w:val="Comment Subject Char"/>
    <w:basedOn w:val="CommentTextChar"/>
    <w:link w:val="CommentSubject"/>
    <w:uiPriority w:val="99"/>
    <w:semiHidden/>
    <w:rsid w:val="00696F69"/>
    <w:rPr>
      <w:b/>
      <w:bCs/>
      <w:sz w:val="20"/>
      <w:szCs w:val="20"/>
    </w:rPr>
  </w:style>
  <w:style w:type="character" w:styleId="Hyperlink">
    <w:name w:val="Hyperlink"/>
    <w:basedOn w:val="DefaultParagraphFont"/>
    <w:uiPriority w:val="99"/>
    <w:unhideWhenUsed/>
    <w:rsid w:val="00696F69"/>
    <w:rPr>
      <w:color w:val="0563C1" w:themeColor="hyperlink"/>
      <w:u w:val="single"/>
    </w:rPr>
  </w:style>
  <w:style w:type="character" w:customStyle="1" w:styleId="UnresolvedMention">
    <w:name w:val="Unresolved Mention"/>
    <w:basedOn w:val="DefaultParagraphFont"/>
    <w:uiPriority w:val="99"/>
    <w:semiHidden/>
    <w:unhideWhenUsed/>
    <w:rsid w:val="00696F69"/>
    <w:rPr>
      <w:color w:val="605E5C"/>
      <w:shd w:val="clear" w:color="auto" w:fill="E1DFDD"/>
    </w:rPr>
  </w:style>
  <w:style w:type="character" w:customStyle="1" w:styleId="Heading1Char">
    <w:name w:val="Heading 1 Char"/>
    <w:aliases w:val="Başlık 1 Char"/>
    <w:basedOn w:val="DefaultParagraphFont"/>
    <w:link w:val="Heading1"/>
    <w:uiPriority w:val="9"/>
    <w:rsid w:val="003F4392"/>
    <w:rPr>
      <w:rFonts w:ascii="Verdana" w:hAnsi="Verdana"/>
      <w:b/>
      <w:bCs/>
      <w:sz w:val="20"/>
    </w:rPr>
  </w:style>
  <w:style w:type="character" w:customStyle="1" w:styleId="Heading2Char">
    <w:name w:val="Heading 2 Char"/>
    <w:aliases w:val="Başlık 2 Char"/>
    <w:basedOn w:val="DefaultParagraphFont"/>
    <w:link w:val="Heading2"/>
    <w:uiPriority w:val="9"/>
    <w:rsid w:val="003F4392"/>
    <w:rPr>
      <w:rFonts w:ascii="Verdana" w:hAnsi="Verdana"/>
      <w:b/>
      <w:bCs/>
      <w:sz w:val="20"/>
    </w:rPr>
  </w:style>
  <w:style w:type="character" w:customStyle="1" w:styleId="Heading3Char">
    <w:name w:val="Heading 3 Char"/>
    <w:aliases w:val="Başlık 3 Char"/>
    <w:basedOn w:val="DefaultParagraphFont"/>
    <w:link w:val="Heading3"/>
    <w:uiPriority w:val="9"/>
    <w:rsid w:val="00956831"/>
    <w:rPr>
      <w:rFonts w:ascii="Verdana" w:hAnsi="Verdana"/>
      <w:b/>
      <w:bCs/>
      <w:i/>
      <w:iCs/>
      <w:sz w:val="20"/>
    </w:rPr>
  </w:style>
  <w:style w:type="character" w:customStyle="1" w:styleId="Heading4Char">
    <w:name w:val="Heading 4 Char"/>
    <w:aliases w:val="Başlık 4 Char"/>
    <w:basedOn w:val="DefaultParagraphFont"/>
    <w:link w:val="Heading4"/>
    <w:uiPriority w:val="9"/>
    <w:rsid w:val="00474DB6"/>
    <w:rPr>
      <w:rFonts w:ascii="Verdana" w:hAnsi="Verdana"/>
      <w:b/>
      <w:bCs/>
      <w:sz w:val="20"/>
    </w:rPr>
  </w:style>
  <w:style w:type="character" w:customStyle="1" w:styleId="Heading5Char">
    <w:name w:val="Heading 5 Char"/>
    <w:aliases w:val="Başlık 5 Char"/>
    <w:basedOn w:val="DefaultParagraphFont"/>
    <w:link w:val="Heading5"/>
    <w:uiPriority w:val="9"/>
    <w:rsid w:val="00474DB6"/>
    <w:rPr>
      <w:rFonts w:ascii="Verdana" w:hAnsi="Verdana"/>
      <w:b/>
      <w:bCs/>
      <w:i/>
      <w:iCs/>
      <w:sz w:val="20"/>
    </w:rPr>
  </w:style>
  <w:style w:type="paragraph" w:styleId="ListParagraph">
    <w:name w:val="List Paragraph"/>
    <w:basedOn w:val="Normal"/>
    <w:uiPriority w:val="34"/>
    <w:qFormat/>
    <w:rsid w:val="00AA0C99"/>
    <w:pPr>
      <w:ind w:left="720"/>
      <w:contextualSpacing/>
    </w:pPr>
  </w:style>
  <w:style w:type="paragraph" w:styleId="Header">
    <w:name w:val="header"/>
    <w:basedOn w:val="Normal"/>
    <w:link w:val="HeaderChar"/>
    <w:uiPriority w:val="99"/>
    <w:unhideWhenUsed/>
    <w:rsid w:val="00D82260"/>
    <w:pPr>
      <w:tabs>
        <w:tab w:val="center" w:pos="4513"/>
        <w:tab w:val="right" w:pos="9026"/>
      </w:tabs>
      <w:spacing w:after="0"/>
    </w:pPr>
  </w:style>
  <w:style w:type="character" w:customStyle="1" w:styleId="HeaderChar">
    <w:name w:val="Header Char"/>
    <w:basedOn w:val="DefaultParagraphFont"/>
    <w:link w:val="Header"/>
    <w:uiPriority w:val="99"/>
    <w:rsid w:val="00D82260"/>
    <w:rPr>
      <w:rFonts w:ascii="Verdana" w:hAnsi="Verdana"/>
      <w:sz w:val="20"/>
    </w:rPr>
  </w:style>
  <w:style w:type="paragraph" w:styleId="Footer">
    <w:name w:val="footer"/>
    <w:basedOn w:val="Normal"/>
    <w:link w:val="FooterChar"/>
    <w:uiPriority w:val="99"/>
    <w:unhideWhenUsed/>
    <w:rsid w:val="00D82260"/>
    <w:pPr>
      <w:tabs>
        <w:tab w:val="center" w:pos="4513"/>
        <w:tab w:val="right" w:pos="9026"/>
      </w:tabs>
      <w:spacing w:after="0"/>
    </w:pPr>
  </w:style>
  <w:style w:type="character" w:customStyle="1" w:styleId="FooterChar">
    <w:name w:val="Footer Char"/>
    <w:basedOn w:val="DefaultParagraphFont"/>
    <w:link w:val="Footer"/>
    <w:uiPriority w:val="99"/>
    <w:rsid w:val="00D82260"/>
    <w:rPr>
      <w:rFonts w:ascii="Verdana" w:hAnsi="Verdana"/>
      <w:sz w:val="20"/>
    </w:rPr>
  </w:style>
  <w:style w:type="paragraph" w:styleId="NoSpacing">
    <w:name w:val="No Spacing"/>
    <w:uiPriority w:val="1"/>
    <w:qFormat/>
    <w:rsid w:val="00956831"/>
    <w:pPr>
      <w:spacing w:after="0" w:line="240" w:lineRule="auto"/>
    </w:pPr>
    <w:rPr>
      <w:rFonts w:ascii="Verdana" w:hAnsi="Verdana"/>
      <w:sz w:val="20"/>
    </w:rPr>
  </w:style>
  <w:style w:type="character" w:styleId="Strong">
    <w:name w:val="Strong"/>
    <w:basedOn w:val="DefaultParagraphFont"/>
    <w:uiPriority w:val="22"/>
    <w:qFormat/>
    <w:rsid w:val="00956831"/>
    <w:rPr>
      <w:b/>
      <w:bCs/>
    </w:rPr>
  </w:style>
  <w:style w:type="paragraph" w:styleId="Subtitle">
    <w:name w:val="Subtitle"/>
    <w:aliases w:val="Alt Başlık"/>
    <w:basedOn w:val="Normal"/>
    <w:next w:val="Normal"/>
    <w:link w:val="SubtitleChar"/>
    <w:uiPriority w:val="11"/>
    <w:qFormat/>
    <w:rsid w:val="00537C84"/>
    <w:pPr>
      <w:numPr>
        <w:ilvl w:val="1"/>
      </w:numPr>
      <w:ind w:firstLine="709"/>
      <w:jc w:val="center"/>
    </w:pPr>
    <w:rPr>
      <w:rFonts w:eastAsiaTheme="minorEastAsia"/>
      <w:spacing w:val="15"/>
      <w:sz w:val="16"/>
    </w:rPr>
  </w:style>
  <w:style w:type="character" w:customStyle="1" w:styleId="SubtitleChar">
    <w:name w:val="Subtitle Char"/>
    <w:aliases w:val="Alt Başlık Char"/>
    <w:basedOn w:val="DefaultParagraphFont"/>
    <w:link w:val="Subtitle"/>
    <w:uiPriority w:val="11"/>
    <w:rsid w:val="00537C84"/>
    <w:rPr>
      <w:rFonts w:ascii="Verdana" w:eastAsiaTheme="minorEastAsia" w:hAnsi="Verdana"/>
      <w:spacing w:val="15"/>
      <w:sz w:val="16"/>
    </w:rPr>
  </w:style>
  <w:style w:type="table" w:styleId="TableGrid">
    <w:name w:val="Table Grid"/>
    <w:basedOn w:val="TableNormal"/>
    <w:uiPriority w:val="39"/>
    <w:rsid w:val="00134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62B01"/>
    <w:pPr>
      <w:spacing w:before="100" w:beforeAutospacing="1" w:after="100" w:afterAutospacing="1"/>
      <w:ind w:firstLine="0"/>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B62B01"/>
    <w:rPr>
      <w:i/>
      <w:iCs/>
    </w:rPr>
  </w:style>
  <w:style w:type="paragraph" w:styleId="BalloonText">
    <w:name w:val="Balloon Text"/>
    <w:basedOn w:val="Normal"/>
    <w:link w:val="BalloonTextChar"/>
    <w:uiPriority w:val="99"/>
    <w:semiHidden/>
    <w:unhideWhenUsed/>
    <w:rsid w:val="00F84A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A75"/>
    <w:rPr>
      <w:rFonts w:ascii="Segoe UI" w:hAnsi="Segoe UI" w:cs="Segoe UI"/>
      <w:sz w:val="18"/>
      <w:szCs w:val="18"/>
    </w:rPr>
  </w:style>
  <w:style w:type="character" w:customStyle="1" w:styleId="jlqj4b">
    <w:name w:val="jlqj4b"/>
    <w:basedOn w:val="DefaultParagraphFont"/>
    <w:rsid w:val="00C2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510524">
      <w:bodyDiv w:val="1"/>
      <w:marLeft w:val="0"/>
      <w:marRight w:val="0"/>
      <w:marTop w:val="0"/>
      <w:marBottom w:val="0"/>
      <w:divBdr>
        <w:top w:val="none" w:sz="0" w:space="0" w:color="auto"/>
        <w:left w:val="none" w:sz="0" w:space="0" w:color="auto"/>
        <w:bottom w:val="none" w:sz="0" w:space="0" w:color="auto"/>
        <w:right w:val="none" w:sz="0" w:space="0" w:color="auto"/>
      </w:divBdr>
      <w:divsChild>
        <w:div w:id="378743450">
          <w:marLeft w:val="0"/>
          <w:marRight w:val="0"/>
          <w:marTop w:val="0"/>
          <w:marBottom w:val="0"/>
          <w:divBdr>
            <w:top w:val="none" w:sz="0" w:space="0" w:color="auto"/>
            <w:left w:val="none" w:sz="0" w:space="0" w:color="auto"/>
            <w:bottom w:val="none" w:sz="0" w:space="0" w:color="auto"/>
            <w:right w:val="none" w:sz="0" w:space="0" w:color="auto"/>
          </w:divBdr>
          <w:divsChild>
            <w:div w:id="594902249">
              <w:marLeft w:val="0"/>
              <w:marRight w:val="0"/>
              <w:marTop w:val="0"/>
              <w:marBottom w:val="0"/>
              <w:divBdr>
                <w:top w:val="none" w:sz="0" w:space="0" w:color="auto"/>
                <w:left w:val="none" w:sz="0" w:space="0" w:color="auto"/>
                <w:bottom w:val="none" w:sz="0" w:space="0" w:color="auto"/>
                <w:right w:val="none" w:sz="0" w:space="0" w:color="auto"/>
              </w:divBdr>
              <w:divsChild>
                <w:div w:id="489562899">
                  <w:marLeft w:val="0"/>
                  <w:marRight w:val="0"/>
                  <w:marTop w:val="0"/>
                  <w:marBottom w:val="0"/>
                  <w:divBdr>
                    <w:top w:val="none" w:sz="0" w:space="0" w:color="auto"/>
                    <w:left w:val="none" w:sz="0" w:space="0" w:color="auto"/>
                    <w:bottom w:val="none" w:sz="0" w:space="0" w:color="auto"/>
                    <w:right w:val="none" w:sz="0" w:space="0" w:color="auto"/>
                  </w:divBdr>
                  <w:divsChild>
                    <w:div w:id="165957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140430">
          <w:marLeft w:val="0"/>
          <w:marRight w:val="0"/>
          <w:marTop w:val="100"/>
          <w:marBottom w:val="0"/>
          <w:divBdr>
            <w:top w:val="none" w:sz="0" w:space="0" w:color="auto"/>
            <w:left w:val="none" w:sz="0" w:space="0" w:color="auto"/>
            <w:bottom w:val="none" w:sz="0" w:space="0" w:color="auto"/>
            <w:right w:val="none" w:sz="0" w:space="0" w:color="auto"/>
          </w:divBdr>
          <w:divsChild>
            <w:div w:id="20712517">
              <w:marLeft w:val="0"/>
              <w:marRight w:val="0"/>
              <w:marTop w:val="0"/>
              <w:marBottom w:val="0"/>
              <w:divBdr>
                <w:top w:val="none" w:sz="0" w:space="0" w:color="auto"/>
                <w:left w:val="none" w:sz="0" w:space="0" w:color="auto"/>
                <w:bottom w:val="none" w:sz="0" w:space="0" w:color="auto"/>
                <w:right w:val="none" w:sz="0" w:space="0" w:color="auto"/>
              </w:divBdr>
              <w:divsChild>
                <w:div w:id="200869405">
                  <w:marLeft w:val="0"/>
                  <w:marRight w:val="0"/>
                  <w:marTop w:val="0"/>
                  <w:marBottom w:val="0"/>
                  <w:divBdr>
                    <w:top w:val="none" w:sz="0" w:space="0" w:color="auto"/>
                    <w:left w:val="none" w:sz="0" w:space="0" w:color="auto"/>
                    <w:bottom w:val="none" w:sz="0" w:space="0" w:color="auto"/>
                    <w:right w:val="none" w:sz="0" w:space="0" w:color="auto"/>
                  </w:divBdr>
                  <w:divsChild>
                    <w:div w:id="1128663625">
                      <w:marLeft w:val="0"/>
                      <w:marRight w:val="0"/>
                      <w:marTop w:val="0"/>
                      <w:marBottom w:val="0"/>
                      <w:divBdr>
                        <w:top w:val="none" w:sz="0" w:space="0" w:color="auto"/>
                        <w:left w:val="none" w:sz="0" w:space="0" w:color="auto"/>
                        <w:bottom w:val="none" w:sz="0" w:space="0" w:color="auto"/>
                        <w:right w:val="none" w:sz="0" w:space="0" w:color="auto"/>
                      </w:divBdr>
                      <w:divsChild>
                        <w:div w:id="19045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7711">
              <w:marLeft w:val="0"/>
              <w:marRight w:val="0"/>
              <w:marTop w:val="60"/>
              <w:marBottom w:val="0"/>
              <w:divBdr>
                <w:top w:val="none" w:sz="0" w:space="0" w:color="auto"/>
                <w:left w:val="none" w:sz="0" w:space="0" w:color="auto"/>
                <w:bottom w:val="none" w:sz="0" w:space="0" w:color="auto"/>
                <w:right w:val="none" w:sz="0" w:space="0" w:color="auto"/>
              </w:divBdr>
            </w:div>
          </w:divsChild>
        </w:div>
        <w:div w:id="1485855991">
          <w:marLeft w:val="0"/>
          <w:marRight w:val="0"/>
          <w:marTop w:val="0"/>
          <w:marBottom w:val="0"/>
          <w:divBdr>
            <w:top w:val="none" w:sz="0" w:space="0" w:color="auto"/>
            <w:left w:val="none" w:sz="0" w:space="0" w:color="auto"/>
            <w:bottom w:val="none" w:sz="0" w:space="0" w:color="auto"/>
            <w:right w:val="none" w:sz="0" w:space="0" w:color="auto"/>
          </w:divBdr>
          <w:divsChild>
            <w:div w:id="1627810829">
              <w:marLeft w:val="0"/>
              <w:marRight w:val="0"/>
              <w:marTop w:val="0"/>
              <w:marBottom w:val="0"/>
              <w:divBdr>
                <w:top w:val="none" w:sz="0" w:space="0" w:color="auto"/>
                <w:left w:val="none" w:sz="0" w:space="0" w:color="auto"/>
                <w:bottom w:val="none" w:sz="0" w:space="0" w:color="auto"/>
                <w:right w:val="none" w:sz="0" w:space="0" w:color="auto"/>
              </w:divBdr>
              <w:divsChild>
                <w:div w:id="18832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287150">
      <w:bodyDiv w:val="1"/>
      <w:marLeft w:val="0"/>
      <w:marRight w:val="0"/>
      <w:marTop w:val="0"/>
      <w:marBottom w:val="0"/>
      <w:divBdr>
        <w:top w:val="none" w:sz="0" w:space="0" w:color="auto"/>
        <w:left w:val="none" w:sz="0" w:space="0" w:color="auto"/>
        <w:bottom w:val="none" w:sz="0" w:space="0" w:color="auto"/>
        <w:right w:val="none" w:sz="0" w:space="0" w:color="auto"/>
      </w:divBdr>
      <w:divsChild>
        <w:div w:id="1293248975">
          <w:marLeft w:val="0"/>
          <w:marRight w:val="0"/>
          <w:marTop w:val="100"/>
          <w:marBottom w:val="0"/>
          <w:divBdr>
            <w:top w:val="none" w:sz="0" w:space="0" w:color="auto"/>
            <w:left w:val="none" w:sz="0" w:space="0" w:color="auto"/>
            <w:bottom w:val="none" w:sz="0" w:space="0" w:color="auto"/>
            <w:right w:val="none" w:sz="0" w:space="0" w:color="auto"/>
          </w:divBdr>
          <w:divsChild>
            <w:div w:id="222913782">
              <w:marLeft w:val="0"/>
              <w:marRight w:val="0"/>
              <w:marTop w:val="60"/>
              <w:marBottom w:val="0"/>
              <w:divBdr>
                <w:top w:val="none" w:sz="0" w:space="0" w:color="auto"/>
                <w:left w:val="none" w:sz="0" w:space="0" w:color="auto"/>
                <w:bottom w:val="none" w:sz="0" w:space="0" w:color="auto"/>
                <w:right w:val="none" w:sz="0" w:space="0" w:color="auto"/>
              </w:divBdr>
            </w:div>
          </w:divsChild>
        </w:div>
        <w:div w:id="107629361">
          <w:marLeft w:val="0"/>
          <w:marRight w:val="0"/>
          <w:marTop w:val="0"/>
          <w:marBottom w:val="0"/>
          <w:divBdr>
            <w:top w:val="none" w:sz="0" w:space="0" w:color="auto"/>
            <w:left w:val="none" w:sz="0" w:space="0" w:color="auto"/>
            <w:bottom w:val="none" w:sz="0" w:space="0" w:color="auto"/>
            <w:right w:val="none" w:sz="0" w:space="0" w:color="auto"/>
          </w:divBdr>
          <w:divsChild>
            <w:div w:id="2069108077">
              <w:marLeft w:val="0"/>
              <w:marRight w:val="0"/>
              <w:marTop w:val="0"/>
              <w:marBottom w:val="0"/>
              <w:divBdr>
                <w:top w:val="none" w:sz="0" w:space="0" w:color="auto"/>
                <w:left w:val="none" w:sz="0" w:space="0" w:color="auto"/>
                <w:bottom w:val="none" w:sz="0" w:space="0" w:color="auto"/>
                <w:right w:val="none" w:sz="0" w:space="0" w:color="auto"/>
              </w:divBdr>
              <w:divsChild>
                <w:div w:id="16625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56846">
      <w:bodyDiv w:val="1"/>
      <w:marLeft w:val="0"/>
      <w:marRight w:val="0"/>
      <w:marTop w:val="0"/>
      <w:marBottom w:val="0"/>
      <w:divBdr>
        <w:top w:val="none" w:sz="0" w:space="0" w:color="auto"/>
        <w:left w:val="none" w:sz="0" w:space="0" w:color="auto"/>
        <w:bottom w:val="none" w:sz="0" w:space="0" w:color="auto"/>
        <w:right w:val="none" w:sz="0" w:space="0" w:color="auto"/>
      </w:divBdr>
      <w:divsChild>
        <w:div w:id="1809712104">
          <w:marLeft w:val="0"/>
          <w:marRight w:val="0"/>
          <w:marTop w:val="0"/>
          <w:marBottom w:val="0"/>
          <w:divBdr>
            <w:top w:val="none" w:sz="0" w:space="0" w:color="auto"/>
            <w:left w:val="none" w:sz="0" w:space="0" w:color="auto"/>
            <w:bottom w:val="none" w:sz="0" w:space="0" w:color="auto"/>
            <w:right w:val="none" w:sz="0" w:space="0" w:color="auto"/>
          </w:divBdr>
          <w:divsChild>
            <w:div w:id="1742756980">
              <w:marLeft w:val="0"/>
              <w:marRight w:val="0"/>
              <w:marTop w:val="0"/>
              <w:marBottom w:val="0"/>
              <w:divBdr>
                <w:top w:val="none" w:sz="0" w:space="0" w:color="auto"/>
                <w:left w:val="none" w:sz="0" w:space="0" w:color="auto"/>
                <w:bottom w:val="none" w:sz="0" w:space="0" w:color="auto"/>
                <w:right w:val="none" w:sz="0" w:space="0" w:color="auto"/>
              </w:divBdr>
              <w:divsChild>
                <w:div w:id="1693916448">
                  <w:marLeft w:val="0"/>
                  <w:marRight w:val="0"/>
                  <w:marTop w:val="0"/>
                  <w:marBottom w:val="0"/>
                  <w:divBdr>
                    <w:top w:val="none" w:sz="0" w:space="0" w:color="auto"/>
                    <w:left w:val="none" w:sz="0" w:space="0" w:color="auto"/>
                    <w:bottom w:val="none" w:sz="0" w:space="0" w:color="auto"/>
                    <w:right w:val="none" w:sz="0" w:space="0" w:color="auto"/>
                  </w:divBdr>
                  <w:divsChild>
                    <w:div w:id="117376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11337">
          <w:marLeft w:val="0"/>
          <w:marRight w:val="0"/>
          <w:marTop w:val="100"/>
          <w:marBottom w:val="0"/>
          <w:divBdr>
            <w:top w:val="none" w:sz="0" w:space="0" w:color="auto"/>
            <w:left w:val="none" w:sz="0" w:space="0" w:color="auto"/>
            <w:bottom w:val="none" w:sz="0" w:space="0" w:color="auto"/>
            <w:right w:val="none" w:sz="0" w:space="0" w:color="auto"/>
          </w:divBdr>
          <w:divsChild>
            <w:div w:id="1529566364">
              <w:marLeft w:val="0"/>
              <w:marRight w:val="0"/>
              <w:marTop w:val="0"/>
              <w:marBottom w:val="0"/>
              <w:divBdr>
                <w:top w:val="none" w:sz="0" w:space="0" w:color="auto"/>
                <w:left w:val="none" w:sz="0" w:space="0" w:color="auto"/>
                <w:bottom w:val="none" w:sz="0" w:space="0" w:color="auto"/>
                <w:right w:val="none" w:sz="0" w:space="0" w:color="auto"/>
              </w:divBdr>
              <w:divsChild>
                <w:div w:id="553543803">
                  <w:marLeft w:val="0"/>
                  <w:marRight w:val="0"/>
                  <w:marTop w:val="0"/>
                  <w:marBottom w:val="0"/>
                  <w:divBdr>
                    <w:top w:val="none" w:sz="0" w:space="0" w:color="auto"/>
                    <w:left w:val="none" w:sz="0" w:space="0" w:color="auto"/>
                    <w:bottom w:val="none" w:sz="0" w:space="0" w:color="auto"/>
                    <w:right w:val="none" w:sz="0" w:space="0" w:color="auto"/>
                  </w:divBdr>
                  <w:divsChild>
                    <w:div w:id="1665939394">
                      <w:marLeft w:val="0"/>
                      <w:marRight w:val="0"/>
                      <w:marTop w:val="0"/>
                      <w:marBottom w:val="0"/>
                      <w:divBdr>
                        <w:top w:val="none" w:sz="0" w:space="0" w:color="auto"/>
                        <w:left w:val="none" w:sz="0" w:space="0" w:color="auto"/>
                        <w:bottom w:val="none" w:sz="0" w:space="0" w:color="auto"/>
                        <w:right w:val="none" w:sz="0" w:space="0" w:color="auto"/>
                      </w:divBdr>
                      <w:divsChild>
                        <w:div w:id="17872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9267">
              <w:marLeft w:val="0"/>
              <w:marRight w:val="0"/>
              <w:marTop w:val="60"/>
              <w:marBottom w:val="0"/>
              <w:divBdr>
                <w:top w:val="none" w:sz="0" w:space="0" w:color="auto"/>
                <w:left w:val="none" w:sz="0" w:space="0" w:color="auto"/>
                <w:bottom w:val="none" w:sz="0" w:space="0" w:color="auto"/>
                <w:right w:val="none" w:sz="0" w:space="0" w:color="auto"/>
              </w:divBdr>
            </w:div>
          </w:divsChild>
        </w:div>
        <w:div w:id="1470393424">
          <w:marLeft w:val="0"/>
          <w:marRight w:val="0"/>
          <w:marTop w:val="0"/>
          <w:marBottom w:val="0"/>
          <w:divBdr>
            <w:top w:val="none" w:sz="0" w:space="0" w:color="auto"/>
            <w:left w:val="none" w:sz="0" w:space="0" w:color="auto"/>
            <w:bottom w:val="none" w:sz="0" w:space="0" w:color="auto"/>
            <w:right w:val="none" w:sz="0" w:space="0" w:color="auto"/>
          </w:divBdr>
          <w:divsChild>
            <w:div w:id="1293830868">
              <w:marLeft w:val="0"/>
              <w:marRight w:val="0"/>
              <w:marTop w:val="0"/>
              <w:marBottom w:val="0"/>
              <w:divBdr>
                <w:top w:val="none" w:sz="0" w:space="0" w:color="auto"/>
                <w:left w:val="none" w:sz="0" w:space="0" w:color="auto"/>
                <w:bottom w:val="none" w:sz="0" w:space="0" w:color="auto"/>
                <w:right w:val="none" w:sz="0" w:space="0" w:color="auto"/>
              </w:divBdr>
              <w:divsChild>
                <w:div w:id="3107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53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İslamoğlu</dc:creator>
  <cp:keywords/>
  <dc:description/>
  <cp:lastModifiedBy>CASPER</cp:lastModifiedBy>
  <cp:revision>4</cp:revision>
  <cp:lastPrinted>2021-06-16T13:33:00Z</cp:lastPrinted>
  <dcterms:created xsi:type="dcterms:W3CDTF">2021-10-01T15:44:00Z</dcterms:created>
  <dcterms:modified xsi:type="dcterms:W3CDTF">2021-10-01T15:52:00Z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0b9724d6-40ad-39e6-9406-e0117699df66</vt:lpwstr>
  </property>
  <property fmtid="{D5CDD505-2E9C-101B-9397-08002B2CF9AE}" pid="4" name="Mendeley Citation Style_1">
    <vt:lpwstr>http://www.zotero.org/styles/apa-tr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http://www.zotero.org/styles/apa-tr</vt:lpwstr>
  </property>
  <property fmtid="{D5CDD505-2E9C-101B-9397-08002B2CF9AE}" pid="10" name="Mendeley Recent Style Name 2_1">
    <vt:lpwstr>American Psychological Association 6th edition (Turkish)</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