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15C9B" w14:textId="18D793FB" w:rsidR="00081D9A" w:rsidRPr="003723BD" w:rsidRDefault="005D0FBD" w:rsidP="0043253D">
      <w:pPr>
        <w:jc w:val="center"/>
        <w:rPr>
          <w:rFonts w:ascii="Times New Roman" w:hAnsi="Times New Roman" w:cs="Times New Roman"/>
          <w:b/>
          <w:sz w:val="24"/>
          <w:szCs w:val="24"/>
          <w:lang w:val="en-US"/>
        </w:rPr>
      </w:pPr>
      <w:r>
        <w:rPr>
          <w:rFonts w:ascii="Times New Roman" w:hAnsi="Times New Roman" w:cs="Times New Roman"/>
          <w:b/>
          <w:sz w:val="24"/>
          <w:szCs w:val="24"/>
          <w:lang w:val="en-US"/>
        </w:rPr>
        <w:t>EKONOMİK VE SOSYO-DEMOGRAFİK FAKTÖRLERİN YAŞAM SÜRELERI ÜZERİNDEKİ ETKİLERİ: GEÇİŞ ÜLKELERİ ÖRNEĞİ</w:t>
      </w:r>
    </w:p>
    <w:p w14:paraId="2FF72F0B" w14:textId="77777777" w:rsidR="0043253D" w:rsidRPr="0043253D" w:rsidRDefault="0043253D" w:rsidP="0043253D">
      <w:pPr>
        <w:spacing w:before="240" w:after="0" w:line="360" w:lineRule="auto"/>
        <w:jc w:val="center"/>
        <w:rPr>
          <w:rFonts w:ascii="Times New Roman" w:eastAsia="Times New Roman" w:hAnsi="Times New Roman" w:cs="Times New Roman"/>
          <w:sz w:val="28"/>
          <w:szCs w:val="24"/>
          <w:lang w:val="en-GB" w:eastAsia="en-GB"/>
        </w:rPr>
      </w:pPr>
      <w:r w:rsidRPr="0043253D">
        <w:rPr>
          <w:rFonts w:ascii="Times New Roman" w:eastAsia="Times New Roman" w:hAnsi="Times New Roman" w:cs="Times New Roman"/>
          <w:sz w:val="28"/>
          <w:szCs w:val="24"/>
          <w:lang w:val="en-GB" w:eastAsia="en-GB"/>
        </w:rPr>
        <w:t>Ebru Çağlayan-Akay</w:t>
      </w:r>
      <w:r w:rsidRPr="0043253D">
        <w:rPr>
          <w:rFonts w:ascii="Times New Roman" w:eastAsia="Times New Roman" w:hAnsi="Times New Roman" w:cs="Times New Roman"/>
          <w:sz w:val="28"/>
          <w:szCs w:val="24"/>
          <w:vertAlign w:val="superscript"/>
          <w:lang w:val="en-GB" w:eastAsia="en-GB"/>
        </w:rPr>
        <w:t>a</w:t>
      </w:r>
      <w:r w:rsidRPr="0043253D">
        <w:rPr>
          <w:rFonts w:ascii="Times New Roman" w:eastAsia="Times New Roman" w:hAnsi="Times New Roman" w:cs="Times New Roman"/>
          <w:sz w:val="28"/>
          <w:szCs w:val="24"/>
          <w:lang w:val="en-GB" w:eastAsia="en-GB"/>
        </w:rPr>
        <w:t xml:space="preserve">            Zamira Oskonbaeva</w:t>
      </w:r>
      <w:r w:rsidRPr="0043253D">
        <w:rPr>
          <w:rFonts w:ascii="Times New Roman" w:eastAsia="Times New Roman" w:hAnsi="Times New Roman" w:cs="Times New Roman"/>
          <w:sz w:val="28"/>
          <w:szCs w:val="24"/>
          <w:vertAlign w:val="superscript"/>
          <w:lang w:val="en-GB" w:eastAsia="en-GB"/>
        </w:rPr>
        <w:t>b</w:t>
      </w:r>
    </w:p>
    <w:p w14:paraId="38D479F6" w14:textId="2109F5D8" w:rsidR="0043253D" w:rsidRPr="004B091C" w:rsidRDefault="0043253D" w:rsidP="004B091C">
      <w:pPr>
        <w:spacing w:after="0" w:line="240" w:lineRule="auto"/>
        <w:jc w:val="both"/>
        <w:rPr>
          <w:rFonts w:ascii="Times New Roman" w:eastAsia="Times New Roman" w:hAnsi="Times New Roman" w:cs="Times New Roman"/>
          <w:i/>
          <w:sz w:val="20"/>
          <w:szCs w:val="20"/>
          <w:lang w:val="en-GB" w:eastAsia="en-GB"/>
        </w:rPr>
      </w:pPr>
      <w:r w:rsidRPr="004A47CE">
        <w:rPr>
          <w:rFonts w:ascii="Times New Roman" w:eastAsia="Times New Roman" w:hAnsi="Times New Roman" w:cs="Times New Roman"/>
          <w:i/>
          <w:sz w:val="20"/>
          <w:szCs w:val="20"/>
          <w:vertAlign w:val="superscript"/>
          <w:lang w:val="en-GB" w:eastAsia="en-GB"/>
        </w:rPr>
        <w:t>a</w:t>
      </w:r>
      <w:r w:rsidRPr="004A47CE">
        <w:rPr>
          <w:rFonts w:ascii="Times New Roman" w:eastAsia="Times New Roman" w:hAnsi="Times New Roman" w:cs="Times New Roman"/>
          <w:i/>
          <w:sz w:val="20"/>
          <w:szCs w:val="20"/>
          <w:lang w:val="en-GB" w:eastAsia="en-GB"/>
        </w:rPr>
        <w:t>Department of Econometrics, Marmara University, Istanbul, Turkey ORCID ID: 0000-0002-9998-5334</w:t>
      </w:r>
      <w:r w:rsidRPr="004A47CE">
        <w:rPr>
          <w:rFonts w:ascii="Times New Roman" w:eastAsia="Times New Roman" w:hAnsi="Times New Roman" w:cs="Times New Roman"/>
          <w:i/>
          <w:sz w:val="20"/>
          <w:szCs w:val="20"/>
          <w:lang w:val="en-US" w:eastAsia="en-GB"/>
        </w:rPr>
        <w:t>;</w:t>
      </w:r>
    </w:p>
    <w:p w14:paraId="4A57985A" w14:textId="77777777" w:rsidR="0043253D" w:rsidRPr="004A47CE" w:rsidRDefault="0043253D" w:rsidP="004B091C">
      <w:pPr>
        <w:spacing w:after="0" w:line="240" w:lineRule="auto"/>
        <w:jc w:val="both"/>
        <w:rPr>
          <w:rFonts w:ascii="Times New Roman" w:eastAsia="Times New Roman" w:hAnsi="Times New Roman" w:cs="Times New Roman"/>
          <w:i/>
          <w:sz w:val="20"/>
          <w:szCs w:val="20"/>
          <w:lang w:val="en-GB" w:eastAsia="en-GB"/>
        </w:rPr>
      </w:pPr>
      <w:r w:rsidRPr="004A47CE">
        <w:rPr>
          <w:rFonts w:ascii="Times New Roman" w:eastAsia="Times New Roman" w:hAnsi="Times New Roman" w:cs="Times New Roman"/>
          <w:i/>
          <w:sz w:val="20"/>
          <w:szCs w:val="20"/>
          <w:vertAlign w:val="superscript"/>
          <w:lang w:val="en-GB" w:eastAsia="en-GB"/>
        </w:rPr>
        <w:t xml:space="preserve">b </w:t>
      </w:r>
      <w:r w:rsidRPr="004A47CE">
        <w:rPr>
          <w:rFonts w:ascii="Times New Roman" w:eastAsia="Times New Roman" w:hAnsi="Times New Roman" w:cs="Times New Roman"/>
          <w:i/>
          <w:sz w:val="20"/>
          <w:szCs w:val="20"/>
          <w:lang w:val="en-GB" w:eastAsia="en-GB"/>
        </w:rPr>
        <w:t xml:space="preserve">Department of Economics, Kyrgyz-Turkish Manas University, Bishkek, Kyrgyzstan ORCID ID: 0000-0002-3711-6918 e-mail: </w:t>
      </w:r>
      <w:hyperlink r:id="rId8" w:history="1">
        <w:r w:rsidRPr="004A47CE">
          <w:rPr>
            <w:rFonts w:ascii="Times New Roman" w:eastAsia="Times New Roman" w:hAnsi="Times New Roman" w:cs="Times New Roman"/>
            <w:i/>
            <w:sz w:val="20"/>
            <w:szCs w:val="20"/>
            <w:lang w:val="en-GB" w:eastAsia="en-GB"/>
          </w:rPr>
          <w:t>zamira.oskonbaeva@manas.edu.kg</w:t>
        </w:r>
      </w:hyperlink>
    </w:p>
    <w:p w14:paraId="0CCEB8D7" w14:textId="205A8AD8" w:rsidR="001B214F" w:rsidRPr="00500470" w:rsidRDefault="001B214F">
      <w:pPr>
        <w:rPr>
          <w:rFonts w:ascii="Times New Roman" w:hAnsi="Times New Roman" w:cs="Times New Roman"/>
          <w:b/>
          <w:sz w:val="24"/>
          <w:szCs w:val="24"/>
          <w:lang w:val="tr-TR"/>
        </w:rPr>
      </w:pPr>
    </w:p>
    <w:p w14:paraId="7A2E2B50" w14:textId="55BCC178" w:rsidR="006202BB" w:rsidRPr="004A47CE" w:rsidRDefault="007B1D65" w:rsidP="004A47CE">
      <w:pPr>
        <w:spacing w:after="0" w:line="240" w:lineRule="auto"/>
        <w:rPr>
          <w:rFonts w:ascii="Times New Roman" w:eastAsia="Calibri" w:hAnsi="Times New Roman" w:cs="Times New Roman"/>
          <w:b/>
          <w:i/>
          <w:sz w:val="20"/>
          <w:szCs w:val="20"/>
          <w:lang w:val="tr-TR"/>
        </w:rPr>
      </w:pPr>
      <w:r w:rsidRPr="004A47CE">
        <w:rPr>
          <w:rFonts w:ascii="Times New Roman" w:eastAsia="Calibri" w:hAnsi="Times New Roman" w:cs="Times New Roman"/>
          <w:b/>
          <w:i/>
          <w:sz w:val="20"/>
          <w:szCs w:val="20"/>
          <w:lang w:val="tr-TR"/>
        </w:rPr>
        <w:t>ÖZET</w:t>
      </w:r>
    </w:p>
    <w:p w14:paraId="3883069D" w14:textId="77777777" w:rsidR="0067473D" w:rsidRPr="003F50F8" w:rsidRDefault="0067473D" w:rsidP="004A47CE">
      <w:pPr>
        <w:spacing w:after="0" w:line="240" w:lineRule="auto"/>
        <w:jc w:val="both"/>
        <w:rPr>
          <w:rFonts w:ascii="Times New Roman" w:eastAsia="Calibri" w:hAnsi="Times New Roman" w:cs="Times New Roman"/>
          <w:i/>
          <w:sz w:val="20"/>
          <w:szCs w:val="20"/>
          <w:lang w:val="tr-TR"/>
        </w:rPr>
      </w:pPr>
      <w:r w:rsidRPr="003F50F8">
        <w:rPr>
          <w:rFonts w:ascii="Times New Roman" w:eastAsia="Calibri" w:hAnsi="Times New Roman" w:cs="Times New Roman"/>
          <w:i/>
          <w:sz w:val="20"/>
          <w:szCs w:val="20"/>
          <w:lang w:val="tr-TR"/>
        </w:rPr>
        <w:t>Bir ülkedeki nüfusunun sağlık sorunları, ülkenin gelişmişlik düzeyinin ortaya çıkarılmasında son derece önemlidir. Sağlık çok boyutlu bir kavramdır ve ekonomik yaşamın tüm alanlarını etkilemektedir. Genellikle kadınların erkeklerden daha uzun yaşadığı bilinmektedir. Cinsiyete göre sağlık çıktılarındaki farklılık araştırmacıların bu konulara olan ilgisini artırmaktadır. Yaşam beklentisi, bir ülkenin veya bölgenin ekonomik ve sosyal gelişimini değerlendirmede önemli bir gösterge olarak kabul edilmektedir.</w:t>
      </w:r>
    </w:p>
    <w:p w14:paraId="15A18EE1" w14:textId="73602444" w:rsidR="0067473D" w:rsidRPr="003F50F8" w:rsidRDefault="0067473D" w:rsidP="004A47CE">
      <w:pPr>
        <w:spacing w:after="0" w:line="240" w:lineRule="auto"/>
        <w:jc w:val="both"/>
        <w:rPr>
          <w:rFonts w:ascii="Times New Roman" w:eastAsia="Calibri" w:hAnsi="Times New Roman" w:cs="Times New Roman"/>
          <w:i/>
          <w:sz w:val="20"/>
          <w:szCs w:val="20"/>
          <w:lang w:val="tr-TR"/>
        </w:rPr>
      </w:pPr>
      <w:r w:rsidRPr="003F50F8">
        <w:rPr>
          <w:rFonts w:ascii="Times New Roman" w:eastAsia="Calibri" w:hAnsi="Times New Roman" w:cs="Times New Roman"/>
          <w:i/>
          <w:sz w:val="20"/>
          <w:szCs w:val="20"/>
          <w:lang w:val="tr-TR"/>
        </w:rPr>
        <w:t>Bu çalışma, ekonomik ve sosyo-demografik faktörlerin kadın ve erkeklerin sağlık durumları üzerindeki etkilerini ayrı ayrı incelemektedir. Çalışmada seçilmiş 16 geçiş ülkesinin ( Ermenistan, Beyaz Rusya, Bulgaristan, Gürcistan, Estonya, Macaristan, Kazakistan, Kırgız Cumhuriyeti, Letonya, Litvanya, Moldova, Rusya Federasyonu, Slovakça, Slovenya, Tacikistan, Özbekistan ) 2000-2016 dönemi için yıllık veriler kullanılmıştır. Sağlığın göstergesi olarak doğumda beklenen yaşam süresi kullanılmıştır. Kişi başına düşen GSYİH, sağlık harcamaları, eğitim, temiz suya erişim ve nüfus gibi ekonomik ve sosyo-demografik değişkenler, doğumda beklenen yaşam süresini etkileyen faktörler olarak incelenmiştir. Araştırmada, Pesaran, Shin ve Smith (1999) tarafından önerilen Otoregresif Dağıtılmış Gecikmeler (ARDL) modeli kullanılmıştır. Panel ARDL yaklaşımı, I (0), I (1) veya hem I (0) hem de I (1) olup olmadıklarına bakılmaksızın serilerle birlikte kullanılabilmektedir.</w:t>
      </w:r>
    </w:p>
    <w:p w14:paraId="71F2F90B" w14:textId="4C397EF4" w:rsidR="0067473D" w:rsidRPr="004A47CE" w:rsidRDefault="0067473D" w:rsidP="004A47CE">
      <w:pPr>
        <w:spacing w:after="0" w:line="240" w:lineRule="auto"/>
        <w:jc w:val="both"/>
        <w:rPr>
          <w:rFonts w:ascii="Times New Roman" w:eastAsia="Calibri" w:hAnsi="Times New Roman" w:cs="Times New Roman"/>
          <w:i/>
          <w:sz w:val="20"/>
          <w:szCs w:val="20"/>
          <w:lang w:val="tr-TR"/>
        </w:rPr>
      </w:pPr>
      <w:r w:rsidRPr="003F50F8">
        <w:rPr>
          <w:rFonts w:ascii="Times New Roman" w:eastAsia="Calibri" w:hAnsi="Times New Roman" w:cs="Times New Roman"/>
          <w:i/>
          <w:sz w:val="20"/>
          <w:szCs w:val="20"/>
          <w:lang w:val="tr-TR"/>
        </w:rPr>
        <w:t>Çalışmadan elde edilen bulgular, ekonomik ve sosyo-demografik faktörlerin yaşam beklentisi üzerindeki etkilerinin kadınlara ve erkeklere göre farklılık gösterdiğini ortaya koymuştur</w:t>
      </w:r>
      <w:r w:rsidRPr="00940E86">
        <w:rPr>
          <w:rFonts w:ascii="Times New Roman" w:eastAsia="Calibri" w:hAnsi="Times New Roman" w:cs="Times New Roman"/>
          <w:i/>
          <w:sz w:val="20"/>
          <w:szCs w:val="20"/>
          <w:lang w:val="tr-TR"/>
        </w:rPr>
        <w:t xml:space="preserve">. </w:t>
      </w:r>
      <w:r w:rsidR="00DF4A46" w:rsidRPr="00940E86">
        <w:rPr>
          <w:rFonts w:ascii="Times New Roman" w:eastAsia="Calibri" w:hAnsi="Times New Roman" w:cs="Times New Roman"/>
          <w:i/>
          <w:sz w:val="20"/>
          <w:szCs w:val="20"/>
          <w:lang w:val="tr-TR"/>
        </w:rPr>
        <w:t>K</w:t>
      </w:r>
      <w:r w:rsidR="003F50F8" w:rsidRPr="00940E86">
        <w:rPr>
          <w:rFonts w:ascii="Times New Roman" w:eastAsia="Calibri" w:hAnsi="Times New Roman" w:cs="Times New Roman"/>
          <w:i/>
          <w:sz w:val="20"/>
          <w:szCs w:val="20"/>
          <w:lang w:val="tr-TR"/>
        </w:rPr>
        <w:t xml:space="preserve">adın ve erkeklerin yaşam süreleri üzerinde </w:t>
      </w:r>
      <w:r w:rsidR="00DF4A46" w:rsidRPr="00940E86">
        <w:rPr>
          <w:rFonts w:ascii="Times New Roman" w:eastAsia="Calibri" w:hAnsi="Times New Roman" w:cs="Times New Roman"/>
          <w:i/>
          <w:sz w:val="20"/>
          <w:szCs w:val="20"/>
          <w:lang w:val="tr-TR"/>
        </w:rPr>
        <w:t xml:space="preserve"> u</w:t>
      </w:r>
      <w:r w:rsidR="003F50F8" w:rsidRPr="00940E86">
        <w:rPr>
          <w:rFonts w:ascii="Times New Roman" w:eastAsia="Calibri" w:hAnsi="Times New Roman" w:cs="Times New Roman"/>
          <w:i/>
          <w:sz w:val="20"/>
          <w:szCs w:val="20"/>
          <w:lang w:val="tr-TR"/>
        </w:rPr>
        <w:t xml:space="preserve">zun vadede ekonomik faktörlere göre </w:t>
      </w:r>
      <w:r w:rsidR="00DF4A46" w:rsidRPr="00940E86">
        <w:rPr>
          <w:rFonts w:ascii="Times New Roman" w:eastAsia="Calibri" w:hAnsi="Times New Roman" w:cs="Times New Roman"/>
          <w:i/>
          <w:sz w:val="20"/>
          <w:szCs w:val="20"/>
          <w:lang w:val="tr-TR"/>
        </w:rPr>
        <w:t xml:space="preserve"> </w:t>
      </w:r>
      <w:r w:rsidR="003F50F8" w:rsidRPr="00940E86">
        <w:rPr>
          <w:rFonts w:ascii="Times New Roman" w:eastAsia="Calibri" w:hAnsi="Times New Roman" w:cs="Times New Roman"/>
          <w:i/>
          <w:sz w:val="20"/>
          <w:szCs w:val="20"/>
          <w:lang w:val="tr-TR"/>
        </w:rPr>
        <w:t>sosyo-demografik</w:t>
      </w:r>
      <w:r w:rsidRPr="00940E86">
        <w:rPr>
          <w:rFonts w:ascii="Times New Roman" w:eastAsia="Calibri" w:hAnsi="Times New Roman" w:cs="Times New Roman"/>
          <w:i/>
          <w:sz w:val="20"/>
          <w:szCs w:val="20"/>
          <w:lang w:val="tr-TR"/>
        </w:rPr>
        <w:t xml:space="preserve"> faktörlerin </w:t>
      </w:r>
      <w:r w:rsidR="003F50F8" w:rsidRPr="00940E86">
        <w:rPr>
          <w:rFonts w:ascii="Times New Roman" w:eastAsia="Calibri" w:hAnsi="Times New Roman" w:cs="Times New Roman"/>
          <w:i/>
          <w:sz w:val="20"/>
          <w:szCs w:val="20"/>
          <w:lang w:val="tr-TR"/>
        </w:rPr>
        <w:t xml:space="preserve">daha </w:t>
      </w:r>
      <w:r w:rsidRPr="00940E86">
        <w:rPr>
          <w:rFonts w:ascii="Times New Roman" w:eastAsia="Calibri" w:hAnsi="Times New Roman" w:cs="Times New Roman"/>
          <w:i/>
          <w:sz w:val="20"/>
          <w:szCs w:val="20"/>
          <w:lang w:val="tr-TR"/>
        </w:rPr>
        <w:t xml:space="preserve">etkili olduğu görülmüştür. </w:t>
      </w:r>
      <w:r w:rsidRPr="003F50F8">
        <w:rPr>
          <w:rFonts w:ascii="Times New Roman" w:eastAsia="Calibri" w:hAnsi="Times New Roman" w:cs="Times New Roman"/>
          <w:i/>
          <w:sz w:val="20"/>
          <w:szCs w:val="20"/>
          <w:lang w:val="tr-TR"/>
        </w:rPr>
        <w:t>Eğitim, nüfus ve güvenli suya erişim gibi değişkenlerin yaşam beklentisi ü</w:t>
      </w:r>
      <w:r w:rsidR="003F50F8" w:rsidRPr="003F50F8">
        <w:rPr>
          <w:rFonts w:ascii="Times New Roman" w:eastAsia="Calibri" w:hAnsi="Times New Roman" w:cs="Times New Roman"/>
          <w:i/>
          <w:sz w:val="20"/>
          <w:szCs w:val="20"/>
          <w:lang w:val="tr-TR"/>
        </w:rPr>
        <w:t>zerinde önemli etkileri olduğu</w:t>
      </w:r>
      <w:r w:rsidRPr="003F50F8">
        <w:rPr>
          <w:rFonts w:ascii="Times New Roman" w:eastAsia="Calibri" w:hAnsi="Times New Roman" w:cs="Times New Roman"/>
          <w:i/>
          <w:sz w:val="20"/>
          <w:szCs w:val="20"/>
          <w:lang w:val="tr-TR"/>
        </w:rPr>
        <w:t xml:space="preserve"> bulunmuştur.</w:t>
      </w:r>
      <w:r w:rsidRPr="00940E86">
        <w:rPr>
          <w:rFonts w:ascii="Times New Roman" w:hAnsi="Times New Roman" w:cs="Times New Roman"/>
          <w:i/>
          <w:sz w:val="20"/>
          <w:szCs w:val="20"/>
          <w:lang w:val="tr-TR"/>
        </w:rPr>
        <w:t xml:space="preserve"> </w:t>
      </w:r>
      <w:r w:rsidRPr="003F50F8">
        <w:rPr>
          <w:rFonts w:ascii="Times New Roman" w:eastAsia="Calibri" w:hAnsi="Times New Roman" w:cs="Times New Roman"/>
          <w:i/>
          <w:sz w:val="20"/>
          <w:szCs w:val="20"/>
          <w:lang w:val="tr-TR"/>
        </w:rPr>
        <w:t>Bu nedenle, ülkelerin sağlık sonuçlarının iyileştirilmesinde sosyo-demografik hedeflere öncelik verilmesi önerilebilir. Özellikle nüfus için sağlıklı ve güvenli suyun sağlanması ve  eğitim politikasının iyileştirilmesi çok önemli konulardır.</w:t>
      </w:r>
    </w:p>
    <w:p w14:paraId="4030C00A" w14:textId="2B7381E6" w:rsidR="006202BB" w:rsidRPr="004A47CE" w:rsidRDefault="006202BB" w:rsidP="004A47CE">
      <w:pPr>
        <w:spacing w:after="0" w:line="240" w:lineRule="auto"/>
        <w:rPr>
          <w:rFonts w:ascii="Times New Roman" w:eastAsia="Calibri" w:hAnsi="Times New Roman" w:cs="Times New Roman"/>
          <w:i/>
          <w:sz w:val="20"/>
          <w:szCs w:val="20"/>
          <w:lang w:val="tr-TR"/>
        </w:rPr>
      </w:pPr>
      <w:r w:rsidRPr="004A47CE">
        <w:rPr>
          <w:rFonts w:ascii="Times New Roman" w:eastAsia="Calibri" w:hAnsi="Times New Roman" w:cs="Times New Roman"/>
          <w:b/>
          <w:i/>
          <w:sz w:val="20"/>
          <w:szCs w:val="20"/>
          <w:lang w:val="tr-TR"/>
        </w:rPr>
        <w:t xml:space="preserve">Anahtar kelimeler: </w:t>
      </w:r>
      <w:r w:rsidRPr="004A47CE">
        <w:rPr>
          <w:rFonts w:ascii="Times New Roman" w:eastAsia="Calibri" w:hAnsi="Times New Roman" w:cs="Times New Roman"/>
          <w:i/>
          <w:sz w:val="20"/>
          <w:szCs w:val="20"/>
          <w:lang w:val="tr-TR"/>
        </w:rPr>
        <w:t>Panel ARDL modeli, geçiş ülk</w:t>
      </w:r>
      <w:r w:rsidR="007E350E" w:rsidRPr="004A47CE">
        <w:rPr>
          <w:rFonts w:ascii="Times New Roman" w:eastAsia="Calibri" w:hAnsi="Times New Roman" w:cs="Times New Roman"/>
          <w:i/>
          <w:sz w:val="20"/>
          <w:szCs w:val="20"/>
          <w:lang w:val="tr-TR"/>
        </w:rPr>
        <w:t xml:space="preserve">eleri, sağlık, sosyo-demografik </w:t>
      </w:r>
      <w:r w:rsidRPr="004A47CE">
        <w:rPr>
          <w:rFonts w:ascii="Times New Roman" w:eastAsia="Calibri" w:hAnsi="Times New Roman" w:cs="Times New Roman"/>
          <w:i/>
          <w:sz w:val="20"/>
          <w:szCs w:val="20"/>
          <w:lang w:val="tr-TR"/>
        </w:rPr>
        <w:t>faktör</w:t>
      </w:r>
      <w:r w:rsidR="007E350E" w:rsidRPr="004A47CE">
        <w:rPr>
          <w:rFonts w:ascii="Times New Roman" w:eastAsia="Calibri" w:hAnsi="Times New Roman" w:cs="Times New Roman"/>
          <w:i/>
          <w:sz w:val="20"/>
          <w:szCs w:val="20"/>
          <w:lang w:val="tr-TR"/>
        </w:rPr>
        <w:t>, yaşam süresi</w:t>
      </w:r>
    </w:p>
    <w:p w14:paraId="5D406CDD" w14:textId="5EEF75EA" w:rsidR="00E90761" w:rsidRPr="00C631BD" w:rsidRDefault="00E90761" w:rsidP="004A47CE">
      <w:pPr>
        <w:rPr>
          <w:rFonts w:ascii="Times New Roman" w:hAnsi="Times New Roman" w:cs="Times New Roman"/>
          <w:b/>
          <w:sz w:val="24"/>
          <w:szCs w:val="24"/>
          <w:lang w:val="tr-TR"/>
        </w:rPr>
      </w:pPr>
    </w:p>
    <w:p w14:paraId="4C3EA9AF" w14:textId="4C83612A" w:rsidR="00E90761" w:rsidRPr="004A47CE" w:rsidRDefault="003723BD" w:rsidP="004A47CE">
      <w:pPr>
        <w:jc w:val="center"/>
        <w:rPr>
          <w:rFonts w:ascii="Times New Roman" w:hAnsi="Times New Roman" w:cs="Times New Roman"/>
          <w:b/>
          <w:sz w:val="24"/>
          <w:szCs w:val="24"/>
          <w:lang w:val="en-US"/>
        </w:rPr>
      </w:pPr>
      <w:r w:rsidRPr="004B091C">
        <w:rPr>
          <w:rFonts w:ascii="Times New Roman" w:hAnsi="Times New Roman" w:cs="Times New Roman"/>
          <w:b/>
          <w:sz w:val="24"/>
          <w:szCs w:val="24"/>
          <w:lang w:val="en-US"/>
        </w:rPr>
        <w:t>EFFECTS</w:t>
      </w:r>
      <w:r w:rsidRPr="00E90761">
        <w:rPr>
          <w:rFonts w:ascii="Times New Roman" w:hAnsi="Times New Roman" w:cs="Times New Roman"/>
          <w:b/>
          <w:sz w:val="24"/>
          <w:szCs w:val="24"/>
          <w:lang w:val="en-US"/>
        </w:rPr>
        <w:t xml:space="preserve"> OF ECONOMIC AND SOCIO-DEMOGRAPHIC FACTORS ON LIFE EXPECTANCY: THE CASE OF TRANSITION ECONOMIES</w:t>
      </w:r>
    </w:p>
    <w:p w14:paraId="5274B55F" w14:textId="1188E826" w:rsidR="007E350E" w:rsidRPr="004A47CE" w:rsidRDefault="007B1D65" w:rsidP="004A47CE">
      <w:pPr>
        <w:spacing w:after="0" w:line="240" w:lineRule="auto"/>
        <w:rPr>
          <w:rFonts w:ascii="Times New Roman" w:eastAsia="Calibri" w:hAnsi="Times New Roman" w:cs="Times New Roman"/>
          <w:b/>
          <w:sz w:val="20"/>
          <w:szCs w:val="20"/>
          <w:lang w:val="tr-TR"/>
        </w:rPr>
      </w:pPr>
      <w:r w:rsidRPr="004A47CE">
        <w:rPr>
          <w:rFonts w:ascii="Times New Roman" w:eastAsia="Calibri" w:hAnsi="Times New Roman" w:cs="Times New Roman"/>
          <w:b/>
          <w:sz w:val="20"/>
          <w:szCs w:val="20"/>
          <w:lang w:val="tr-TR"/>
        </w:rPr>
        <w:t>ABSTRACT</w:t>
      </w:r>
    </w:p>
    <w:p w14:paraId="1F4B8AB5" w14:textId="77777777" w:rsidR="0067473D" w:rsidRPr="003F50F8" w:rsidRDefault="0067473D" w:rsidP="004A47CE">
      <w:pPr>
        <w:spacing w:after="0" w:line="240" w:lineRule="auto"/>
        <w:jc w:val="both"/>
        <w:rPr>
          <w:rFonts w:ascii="Times New Roman" w:eastAsia="Calibri" w:hAnsi="Times New Roman" w:cs="Times New Roman"/>
          <w:i/>
          <w:sz w:val="20"/>
          <w:szCs w:val="20"/>
          <w:lang w:val="tr-TR"/>
        </w:rPr>
      </w:pPr>
      <w:r w:rsidRPr="003F50F8">
        <w:rPr>
          <w:rFonts w:ascii="Times New Roman" w:eastAsia="Calibri" w:hAnsi="Times New Roman" w:cs="Times New Roman"/>
          <w:i/>
          <w:sz w:val="20"/>
          <w:szCs w:val="20"/>
          <w:lang w:val="tr-TR"/>
        </w:rPr>
        <w:t>Issues of the health of the population of a country are extremely important in revealing the development level of a country. Health is a multidimensional concept and affects all areas of economic life. Generally, women are known to live longer than men. The difference in health outcomes according to gender increases the interest of researchers in these issues.</w:t>
      </w:r>
      <w:r w:rsidRPr="003F50F8">
        <w:rPr>
          <w:i/>
          <w:sz w:val="20"/>
          <w:szCs w:val="20"/>
          <w:lang w:val="en-US"/>
        </w:rPr>
        <w:t xml:space="preserve"> </w:t>
      </w:r>
      <w:r w:rsidRPr="003F50F8">
        <w:rPr>
          <w:rFonts w:ascii="Times New Roman" w:eastAsia="Calibri" w:hAnsi="Times New Roman" w:cs="Times New Roman"/>
          <w:i/>
          <w:sz w:val="20"/>
          <w:szCs w:val="20"/>
          <w:lang w:val="tr-TR"/>
        </w:rPr>
        <w:t>Life expectancy is an important indicator in assessing the economic and social development of a country or region.</w:t>
      </w:r>
    </w:p>
    <w:p w14:paraId="3015123A" w14:textId="65412086" w:rsidR="0067473D" w:rsidRPr="003F50F8" w:rsidRDefault="0067473D" w:rsidP="004A47CE">
      <w:pPr>
        <w:spacing w:after="0" w:line="240" w:lineRule="auto"/>
        <w:jc w:val="both"/>
        <w:rPr>
          <w:rFonts w:ascii="Times New Roman" w:eastAsia="Calibri" w:hAnsi="Times New Roman" w:cs="Times New Roman"/>
          <w:i/>
          <w:sz w:val="20"/>
          <w:szCs w:val="20"/>
          <w:lang w:val="en-US"/>
        </w:rPr>
      </w:pPr>
      <w:r w:rsidRPr="003F50F8">
        <w:rPr>
          <w:rFonts w:ascii="Times New Roman" w:eastAsia="Calibri" w:hAnsi="Times New Roman" w:cs="Times New Roman"/>
          <w:i/>
          <w:sz w:val="20"/>
          <w:szCs w:val="20"/>
          <w:lang w:val="tr-TR"/>
        </w:rPr>
        <w:t xml:space="preserve">This study examines the effects of economic and socio-demographic factors on the health status of men and women separately. </w:t>
      </w:r>
      <w:r w:rsidRPr="003F50F8">
        <w:rPr>
          <w:rFonts w:ascii="Times New Roman" w:eastAsia="Calibri" w:hAnsi="Times New Roman" w:cs="Times New Roman"/>
          <w:i/>
          <w:sz w:val="20"/>
          <w:szCs w:val="20"/>
          <w:lang w:val="en-US"/>
        </w:rPr>
        <w:t>The annual data of 16 selected transition countries (Armenia, Belarus, Bulgaria, Georgia, Estonia, Hungary, Kazakhstan, Kyrgyz Republic, Latvia, Lithuania, Moldova, Russian Federation, Slovak, Slovenia, Tajikistan, Uzbekistan) for the period 2000-2016 were used. Life expectancy at birth was used as an indicator of health status in the study. Economic and socio-demographic variables such as GDP per capita, health expenditures, education, access to safe water, and population are considered as factors affecting life expectancy at birth.</w:t>
      </w:r>
      <w:r w:rsidRPr="003F50F8">
        <w:rPr>
          <w:i/>
          <w:sz w:val="20"/>
          <w:szCs w:val="20"/>
          <w:lang w:val="en-US"/>
        </w:rPr>
        <w:t xml:space="preserve"> </w:t>
      </w:r>
      <w:r w:rsidRPr="003F50F8">
        <w:rPr>
          <w:rFonts w:ascii="Times New Roman" w:eastAsia="Calibri" w:hAnsi="Times New Roman" w:cs="Times New Roman"/>
          <w:i/>
          <w:sz w:val="20"/>
          <w:szCs w:val="20"/>
          <w:lang w:val="en-US"/>
        </w:rPr>
        <w:t>In the study, the Autoregressive Distributed Lags (ARDL) model proposed by Pesaran, Shin, and Smith (1999) was used. The panel ARDL approach could be used with the series regardless of whether they were I</w:t>
      </w:r>
      <w:r w:rsidR="004B091C">
        <w:rPr>
          <w:rFonts w:ascii="Times New Roman" w:eastAsia="Calibri" w:hAnsi="Times New Roman" w:cs="Times New Roman"/>
          <w:i/>
          <w:sz w:val="20"/>
          <w:szCs w:val="20"/>
          <w:lang w:val="en-US"/>
        </w:rPr>
        <w:t xml:space="preserve"> (0), </w:t>
      </w:r>
      <w:r w:rsidRPr="003F50F8">
        <w:rPr>
          <w:rFonts w:ascii="Times New Roman" w:eastAsia="Calibri" w:hAnsi="Times New Roman" w:cs="Times New Roman"/>
          <w:i/>
          <w:sz w:val="20"/>
          <w:szCs w:val="20"/>
          <w:lang w:val="en-US"/>
        </w:rPr>
        <w:t>I</w:t>
      </w:r>
      <w:r w:rsidR="004B091C">
        <w:rPr>
          <w:rFonts w:ascii="Times New Roman" w:eastAsia="Calibri" w:hAnsi="Times New Roman" w:cs="Times New Roman"/>
          <w:i/>
          <w:sz w:val="20"/>
          <w:szCs w:val="20"/>
          <w:lang w:val="en-US"/>
        </w:rPr>
        <w:t xml:space="preserve"> </w:t>
      </w:r>
      <w:r w:rsidRPr="003F50F8">
        <w:rPr>
          <w:rFonts w:ascii="Times New Roman" w:eastAsia="Calibri" w:hAnsi="Times New Roman" w:cs="Times New Roman"/>
          <w:i/>
          <w:sz w:val="20"/>
          <w:szCs w:val="20"/>
          <w:lang w:val="en-US"/>
        </w:rPr>
        <w:t>(1), or both I(0) and I(1).</w:t>
      </w:r>
    </w:p>
    <w:p w14:paraId="3369180F" w14:textId="7EADDA7D" w:rsidR="0067473D" w:rsidRPr="004A47CE" w:rsidRDefault="0067473D" w:rsidP="004A47CE">
      <w:pPr>
        <w:spacing w:after="0" w:line="240" w:lineRule="auto"/>
        <w:jc w:val="both"/>
        <w:rPr>
          <w:rFonts w:ascii="Times New Roman" w:eastAsia="Calibri" w:hAnsi="Times New Roman" w:cs="Times New Roman"/>
          <w:i/>
          <w:sz w:val="20"/>
          <w:szCs w:val="20"/>
          <w:lang w:val="en-US"/>
        </w:rPr>
      </w:pPr>
      <w:r w:rsidRPr="003F50F8">
        <w:rPr>
          <w:rFonts w:ascii="Times New Roman" w:eastAsia="Calibri" w:hAnsi="Times New Roman" w:cs="Times New Roman"/>
          <w:i/>
          <w:sz w:val="20"/>
          <w:szCs w:val="20"/>
          <w:lang w:val="en-US"/>
        </w:rPr>
        <w:t>The findings show that the effects of economic and socio-demographic factors on life expectancy differ according to men and w</w:t>
      </w:r>
      <w:r w:rsidR="003F50F8" w:rsidRPr="003F50F8">
        <w:rPr>
          <w:rFonts w:ascii="Times New Roman" w:eastAsia="Calibri" w:hAnsi="Times New Roman" w:cs="Times New Roman"/>
          <w:i/>
          <w:sz w:val="20"/>
          <w:szCs w:val="20"/>
          <w:lang w:val="en-US"/>
        </w:rPr>
        <w:t>omen. Especially, socio-demographic</w:t>
      </w:r>
      <w:r w:rsidRPr="003F50F8">
        <w:rPr>
          <w:rFonts w:ascii="Times New Roman" w:eastAsia="Calibri" w:hAnsi="Times New Roman" w:cs="Times New Roman"/>
          <w:i/>
          <w:sz w:val="20"/>
          <w:szCs w:val="20"/>
          <w:lang w:val="en-US"/>
        </w:rPr>
        <w:t xml:space="preserve"> factors have been found to be more effective in life expectancy than economic factors.</w:t>
      </w:r>
      <w:r w:rsidRPr="003F50F8">
        <w:rPr>
          <w:i/>
          <w:sz w:val="20"/>
          <w:szCs w:val="20"/>
          <w:lang w:val="en-US"/>
        </w:rPr>
        <w:t xml:space="preserve"> </w:t>
      </w:r>
      <w:r w:rsidRPr="003F50F8">
        <w:rPr>
          <w:rFonts w:ascii="Times New Roman" w:eastAsia="Calibri" w:hAnsi="Times New Roman" w:cs="Times New Roman"/>
          <w:i/>
          <w:sz w:val="20"/>
          <w:szCs w:val="20"/>
          <w:lang w:val="en-US"/>
        </w:rPr>
        <w:t>The study revealed that variables such as education, population and access to safe water have significant effects on life expectancy.</w:t>
      </w:r>
      <w:r w:rsidRPr="003F50F8">
        <w:rPr>
          <w:i/>
          <w:sz w:val="20"/>
          <w:szCs w:val="20"/>
          <w:lang w:val="en-US"/>
        </w:rPr>
        <w:t xml:space="preserve"> </w:t>
      </w:r>
      <w:r w:rsidRPr="003F50F8">
        <w:rPr>
          <w:rFonts w:ascii="Times New Roman" w:eastAsia="Calibri" w:hAnsi="Times New Roman" w:cs="Times New Roman"/>
          <w:i/>
          <w:sz w:val="20"/>
          <w:szCs w:val="20"/>
          <w:lang w:val="en-US"/>
        </w:rPr>
        <w:t>Therefore, it can be recommended to prioritize socio-demographic targets in improving the health outcomes of countries. Especially, it is crucial issues to provide healthy and safe water for the population and to improve the education policy.</w:t>
      </w:r>
    </w:p>
    <w:p w14:paraId="0F0D071E" w14:textId="692216D1" w:rsidR="0070544B" w:rsidRPr="003723BD" w:rsidRDefault="007E350E" w:rsidP="003723BD">
      <w:pPr>
        <w:spacing w:after="0" w:line="240" w:lineRule="auto"/>
        <w:jc w:val="both"/>
        <w:rPr>
          <w:rFonts w:ascii="Times New Roman" w:eastAsia="Calibri" w:hAnsi="Times New Roman" w:cs="Times New Roman"/>
          <w:i/>
          <w:sz w:val="20"/>
          <w:szCs w:val="20"/>
          <w:lang w:val="en-US"/>
        </w:rPr>
      </w:pPr>
      <w:r w:rsidRPr="004A47CE">
        <w:rPr>
          <w:rFonts w:ascii="Times New Roman" w:eastAsia="Calibri" w:hAnsi="Times New Roman" w:cs="Times New Roman"/>
          <w:b/>
          <w:i/>
          <w:sz w:val="20"/>
          <w:szCs w:val="20"/>
          <w:lang w:val="en-US"/>
        </w:rPr>
        <w:lastRenderedPageBreak/>
        <w:t>Keywords:</w:t>
      </w:r>
      <w:r w:rsidRPr="004A47CE">
        <w:rPr>
          <w:rFonts w:ascii="Times New Roman" w:eastAsia="Calibri" w:hAnsi="Times New Roman" w:cs="Times New Roman"/>
          <w:i/>
          <w:sz w:val="20"/>
          <w:szCs w:val="20"/>
          <w:lang w:val="en-US"/>
        </w:rPr>
        <w:t xml:space="preserve"> Panel ARDL model, transition economies, health, socio-demographic factor, life expectancy </w:t>
      </w:r>
    </w:p>
    <w:p w14:paraId="29441102" w14:textId="13FA9404" w:rsidR="006202BB" w:rsidRPr="00965FBD" w:rsidRDefault="007B1D65" w:rsidP="00EC0C30">
      <w:pPr>
        <w:pStyle w:val="1"/>
        <w:rPr>
          <w:rFonts w:ascii="Times New Roman" w:eastAsia="Calibri" w:hAnsi="Times New Roman" w:cs="Times New Roman"/>
          <w:b/>
          <w:color w:val="auto"/>
          <w:sz w:val="24"/>
          <w:szCs w:val="24"/>
          <w:lang w:val="tr-TR"/>
        </w:rPr>
      </w:pPr>
      <w:r w:rsidRPr="00965FBD">
        <w:rPr>
          <w:rFonts w:ascii="Times New Roman" w:eastAsia="Calibri" w:hAnsi="Times New Roman" w:cs="Times New Roman"/>
          <w:b/>
          <w:color w:val="auto"/>
          <w:sz w:val="24"/>
          <w:szCs w:val="24"/>
          <w:lang w:val="tr-TR"/>
        </w:rPr>
        <w:t>1.GİRİŞ</w:t>
      </w:r>
    </w:p>
    <w:p w14:paraId="2DE779BA" w14:textId="05D69CDC" w:rsidR="002E7B1A" w:rsidRPr="004A47CE" w:rsidRDefault="006202BB" w:rsidP="004A47CE">
      <w:pPr>
        <w:spacing w:after="120" w:line="240" w:lineRule="auto"/>
        <w:ind w:firstLine="709"/>
        <w:jc w:val="both"/>
        <w:rPr>
          <w:rFonts w:ascii="Times New Roman" w:eastAsia="Calibri" w:hAnsi="Times New Roman" w:cs="Times New Roman"/>
          <w:sz w:val="24"/>
          <w:szCs w:val="24"/>
          <w:lang w:val="tr-TR"/>
        </w:rPr>
      </w:pPr>
      <w:r w:rsidRPr="004A47CE">
        <w:rPr>
          <w:rFonts w:ascii="Times New Roman" w:eastAsia="Calibri" w:hAnsi="Times New Roman" w:cs="Times New Roman"/>
          <w:sz w:val="24"/>
          <w:szCs w:val="24"/>
          <w:lang w:val="tr-TR"/>
        </w:rPr>
        <w:t xml:space="preserve">Günümüzde sağlık iktisadi büyüme, yoksulluğu azaltma ve uzun vadeli ekonomik kalkınma için çok önemli girdi olarak karşımıza çıkmaktadır (Asafu-Adjaye, 2007; Smith, 1999). </w:t>
      </w:r>
      <w:r w:rsidR="00924468" w:rsidRPr="004A47CE">
        <w:rPr>
          <w:rFonts w:ascii="Times New Roman" w:eastAsia="Calibri" w:hAnsi="Times New Roman" w:cs="Times New Roman"/>
          <w:color w:val="000000" w:themeColor="text1"/>
          <w:sz w:val="24"/>
          <w:szCs w:val="24"/>
          <w:lang w:val="tr-TR"/>
        </w:rPr>
        <w:t>Makro düzeyde, nüfus sağlığının korunması ve iyileştirilmesi sürdürülebilir kalkınmanın temel politikalarından biri olarak kabul</w:t>
      </w:r>
      <w:r w:rsidR="00E612AB" w:rsidRPr="004A47CE">
        <w:rPr>
          <w:rFonts w:ascii="Times New Roman" w:eastAsia="Calibri" w:hAnsi="Times New Roman" w:cs="Times New Roman"/>
          <w:color w:val="000000" w:themeColor="text1"/>
          <w:sz w:val="24"/>
          <w:szCs w:val="24"/>
          <w:lang w:val="tr-TR"/>
        </w:rPr>
        <w:t xml:space="preserve"> edilmektedir</w:t>
      </w:r>
      <w:r w:rsidR="00924468" w:rsidRPr="004A47CE">
        <w:rPr>
          <w:rFonts w:ascii="Times New Roman" w:eastAsia="Calibri" w:hAnsi="Times New Roman" w:cs="Times New Roman"/>
          <w:color w:val="000000" w:themeColor="text1"/>
          <w:sz w:val="24"/>
          <w:szCs w:val="24"/>
          <w:lang w:val="tr-TR"/>
        </w:rPr>
        <w:t xml:space="preserve"> </w:t>
      </w:r>
      <w:r w:rsidR="00E071F1">
        <w:rPr>
          <w:rFonts w:ascii="Times New Roman" w:eastAsia="Calibri" w:hAnsi="Times New Roman" w:cs="Times New Roman"/>
          <w:color w:val="000000" w:themeColor="text1"/>
          <w:sz w:val="24"/>
          <w:szCs w:val="24"/>
          <w:lang w:val="tr-TR"/>
        </w:rPr>
        <w:t>(Bayati ve diğ.</w:t>
      </w:r>
      <w:r w:rsidR="000D7810" w:rsidRPr="004A47CE">
        <w:rPr>
          <w:rFonts w:ascii="Times New Roman" w:eastAsia="Calibri" w:hAnsi="Times New Roman" w:cs="Times New Roman"/>
          <w:color w:val="000000" w:themeColor="text1"/>
          <w:sz w:val="24"/>
          <w:szCs w:val="24"/>
          <w:lang w:val="tr-TR"/>
        </w:rPr>
        <w:t xml:space="preserve"> 2013).</w:t>
      </w:r>
      <w:r w:rsidR="000D7810" w:rsidRPr="004A47CE">
        <w:rPr>
          <w:rFonts w:ascii="Times New Roman" w:eastAsia="Calibri" w:hAnsi="Times New Roman" w:cs="Times New Roman"/>
          <w:sz w:val="24"/>
          <w:szCs w:val="24"/>
          <w:lang w:val="tr-TR"/>
        </w:rPr>
        <w:t xml:space="preserve"> </w:t>
      </w:r>
      <w:r w:rsidR="008769CA" w:rsidRPr="004A47CE">
        <w:rPr>
          <w:rFonts w:ascii="Times New Roman" w:eastAsia="Calibri" w:hAnsi="Times New Roman" w:cs="Times New Roman"/>
          <w:sz w:val="24"/>
          <w:szCs w:val="24"/>
          <w:lang w:val="tr-TR"/>
        </w:rPr>
        <w:t>B</w:t>
      </w:r>
      <w:r w:rsidRPr="004A47CE">
        <w:rPr>
          <w:rFonts w:ascii="Times New Roman" w:eastAsia="Calibri" w:hAnsi="Times New Roman" w:cs="Times New Roman"/>
          <w:sz w:val="24"/>
          <w:szCs w:val="24"/>
          <w:lang w:val="tr-TR"/>
        </w:rPr>
        <w:t>ir nüfusun sağlık durumunu ölçmenin yanı sıra her ülkedeki sağlık durumundaki iyileşmeyi değerlendirmek iç</w:t>
      </w:r>
      <w:r w:rsidR="002562DD" w:rsidRPr="004A47CE">
        <w:rPr>
          <w:rFonts w:ascii="Times New Roman" w:eastAsia="Calibri" w:hAnsi="Times New Roman" w:cs="Times New Roman"/>
          <w:sz w:val="24"/>
          <w:szCs w:val="24"/>
          <w:lang w:val="tr-TR"/>
        </w:rPr>
        <w:t>in doğumda beklenen yaşam süresi</w:t>
      </w:r>
      <w:r w:rsidRPr="004A47CE">
        <w:rPr>
          <w:rFonts w:ascii="Times New Roman" w:eastAsia="Calibri" w:hAnsi="Times New Roman" w:cs="Times New Roman"/>
          <w:sz w:val="24"/>
          <w:szCs w:val="24"/>
          <w:lang w:val="tr-TR"/>
        </w:rPr>
        <w:t xml:space="preserve"> çok sık kullanılmaktadır. Sağlık çok boyutlu bir kavram olmasına rağmen </w:t>
      </w:r>
      <w:r w:rsidR="002562DD" w:rsidRPr="004A47CE">
        <w:rPr>
          <w:rFonts w:ascii="Times New Roman" w:eastAsia="Calibri" w:hAnsi="Times New Roman" w:cs="Times New Roman"/>
          <w:sz w:val="24"/>
          <w:szCs w:val="24"/>
          <w:lang w:val="tr-TR"/>
        </w:rPr>
        <w:t xml:space="preserve">doğumda beklenen yaşam süresi </w:t>
      </w:r>
      <w:r w:rsidRPr="004A47CE">
        <w:rPr>
          <w:rFonts w:ascii="Times New Roman" w:eastAsia="Calibri" w:hAnsi="Times New Roman" w:cs="Times New Roman"/>
          <w:sz w:val="24"/>
          <w:szCs w:val="24"/>
          <w:lang w:val="tr-TR"/>
        </w:rPr>
        <w:t xml:space="preserve">en yaygın kullanılan nüfus sağlığı göstergelerinden biridir (Sharma, 2018). </w:t>
      </w:r>
      <w:r w:rsidR="00E071F1">
        <w:rPr>
          <w:rFonts w:ascii="Times New Roman" w:eastAsia="Calibri" w:hAnsi="Times New Roman" w:cs="Times New Roman"/>
          <w:sz w:val="24"/>
          <w:szCs w:val="24"/>
          <w:lang w:val="tr-TR"/>
        </w:rPr>
        <w:t xml:space="preserve">Bilas ve diğ. </w:t>
      </w:r>
      <w:r w:rsidRPr="004A47CE">
        <w:rPr>
          <w:rFonts w:ascii="Times New Roman" w:eastAsia="Calibri" w:hAnsi="Times New Roman" w:cs="Times New Roman"/>
          <w:sz w:val="24"/>
          <w:szCs w:val="24"/>
          <w:lang w:val="tr-TR"/>
        </w:rPr>
        <w:t>(2014), bir ülkenin veya bölgenin ekonomik ve sosyal gelişimini değerlendirmede yaşam beklentisinin önemli bir gösterge olduğunu ileri sürmüşlerdir.</w:t>
      </w:r>
    </w:p>
    <w:p w14:paraId="5C13BA63" w14:textId="7AFBAD98" w:rsidR="0026575A" w:rsidRPr="004A47CE" w:rsidRDefault="0026575A" w:rsidP="004A47CE">
      <w:pPr>
        <w:spacing w:after="120" w:line="240" w:lineRule="auto"/>
        <w:ind w:firstLine="709"/>
        <w:jc w:val="both"/>
        <w:rPr>
          <w:rFonts w:ascii="Times New Roman" w:eastAsia="Calibri" w:hAnsi="Times New Roman" w:cs="Times New Roman"/>
          <w:color w:val="000000" w:themeColor="text1"/>
          <w:sz w:val="24"/>
          <w:szCs w:val="24"/>
          <w:lang w:val="tr-TR"/>
        </w:rPr>
      </w:pPr>
      <w:r w:rsidRPr="004A47CE">
        <w:rPr>
          <w:rFonts w:ascii="Times New Roman" w:eastAsia="Calibri" w:hAnsi="Times New Roman" w:cs="Times New Roman"/>
          <w:color w:val="000000" w:themeColor="text1"/>
          <w:sz w:val="24"/>
          <w:szCs w:val="24"/>
          <w:lang w:val="tr-TR"/>
        </w:rPr>
        <w:t xml:space="preserve">Dünya Sağlık Örgütü'nün Dünya Sağlık Raporuna </w:t>
      </w:r>
      <w:r w:rsidR="008622EA" w:rsidRPr="004A47CE">
        <w:rPr>
          <w:rFonts w:ascii="Times New Roman" w:eastAsia="Calibri" w:hAnsi="Times New Roman" w:cs="Times New Roman"/>
          <w:color w:val="000000" w:themeColor="text1"/>
          <w:sz w:val="24"/>
          <w:szCs w:val="24"/>
          <w:lang w:val="tr-TR"/>
        </w:rPr>
        <w:t xml:space="preserve">göre </w:t>
      </w:r>
      <w:r w:rsidRPr="004A47CE">
        <w:rPr>
          <w:rFonts w:ascii="Times New Roman" w:eastAsia="Calibri" w:hAnsi="Times New Roman" w:cs="Times New Roman"/>
          <w:color w:val="000000" w:themeColor="text1"/>
          <w:sz w:val="24"/>
          <w:szCs w:val="24"/>
          <w:lang w:val="tr-TR"/>
        </w:rPr>
        <w:t>insanlar bugün 30 yı</w:t>
      </w:r>
      <w:r w:rsidR="008622EA" w:rsidRPr="004A47CE">
        <w:rPr>
          <w:rFonts w:ascii="Times New Roman" w:eastAsia="Calibri" w:hAnsi="Times New Roman" w:cs="Times New Roman"/>
          <w:color w:val="000000" w:themeColor="text1"/>
          <w:sz w:val="24"/>
          <w:szCs w:val="24"/>
          <w:lang w:val="tr-TR"/>
        </w:rPr>
        <w:t>l öncesine göre daha sağlıklı</w:t>
      </w:r>
      <w:r w:rsidRPr="004A47CE">
        <w:rPr>
          <w:rFonts w:ascii="Times New Roman" w:eastAsia="Calibri" w:hAnsi="Times New Roman" w:cs="Times New Roman"/>
          <w:color w:val="000000" w:themeColor="text1"/>
          <w:sz w:val="24"/>
          <w:szCs w:val="24"/>
          <w:lang w:val="tr-TR"/>
        </w:rPr>
        <w:t xml:space="preserve"> ve daha uzun yaşamaktadırlar. 1998 yıldan 2025 yılına kadar ortalama küresel y</w:t>
      </w:r>
      <w:r w:rsidR="00255087" w:rsidRPr="004A47CE">
        <w:rPr>
          <w:rFonts w:ascii="Times New Roman" w:eastAsia="Calibri" w:hAnsi="Times New Roman" w:cs="Times New Roman"/>
          <w:color w:val="000000" w:themeColor="text1"/>
          <w:sz w:val="24"/>
          <w:szCs w:val="24"/>
          <w:lang w:val="tr-TR"/>
        </w:rPr>
        <w:t>aşam beklentisinin 7 yıl artacağ</w:t>
      </w:r>
      <w:r w:rsidRPr="004A47CE">
        <w:rPr>
          <w:rFonts w:ascii="Times New Roman" w:eastAsia="Calibri" w:hAnsi="Times New Roman" w:cs="Times New Roman"/>
          <w:color w:val="000000" w:themeColor="text1"/>
          <w:sz w:val="24"/>
          <w:szCs w:val="24"/>
          <w:lang w:val="tr-TR"/>
        </w:rPr>
        <w:t>ı ve 26 ülkede yaşam beklentisi</w:t>
      </w:r>
      <w:r w:rsidR="00255087" w:rsidRPr="004A47CE">
        <w:rPr>
          <w:rFonts w:ascii="Times New Roman" w:eastAsia="Calibri" w:hAnsi="Times New Roman" w:cs="Times New Roman"/>
          <w:color w:val="000000" w:themeColor="text1"/>
          <w:sz w:val="24"/>
          <w:szCs w:val="24"/>
          <w:lang w:val="tr-TR"/>
        </w:rPr>
        <w:t>nin</w:t>
      </w:r>
      <w:r w:rsidRPr="004A47CE">
        <w:rPr>
          <w:rFonts w:ascii="Times New Roman" w:eastAsia="Calibri" w:hAnsi="Times New Roman" w:cs="Times New Roman"/>
          <w:color w:val="000000" w:themeColor="text1"/>
          <w:sz w:val="24"/>
          <w:szCs w:val="24"/>
          <w:lang w:val="tr-TR"/>
        </w:rPr>
        <w:t xml:space="preserve"> 80’in </w:t>
      </w:r>
      <w:r w:rsidR="00924468" w:rsidRPr="004A47CE">
        <w:rPr>
          <w:rFonts w:ascii="Times New Roman" w:eastAsia="Calibri" w:hAnsi="Times New Roman" w:cs="Times New Roman"/>
          <w:color w:val="000000" w:themeColor="text1"/>
          <w:sz w:val="24"/>
          <w:szCs w:val="24"/>
          <w:lang w:val="tr-TR"/>
        </w:rPr>
        <w:t>üzerine çıkacağı</w:t>
      </w:r>
      <w:r w:rsidR="004F6AA8" w:rsidRPr="004A47CE">
        <w:rPr>
          <w:rFonts w:ascii="Times New Roman" w:eastAsia="Calibri" w:hAnsi="Times New Roman" w:cs="Times New Roman"/>
          <w:color w:val="000000" w:themeColor="text1"/>
          <w:sz w:val="24"/>
          <w:szCs w:val="24"/>
          <w:lang w:val="tr-TR"/>
        </w:rPr>
        <w:t xml:space="preserve"> tahmin edilmektedir</w:t>
      </w:r>
      <w:r w:rsidR="00A552BA" w:rsidRPr="004A47CE">
        <w:rPr>
          <w:rFonts w:ascii="Times New Roman" w:eastAsia="Calibri" w:hAnsi="Times New Roman" w:cs="Times New Roman"/>
          <w:color w:val="000000" w:themeColor="text1"/>
          <w:sz w:val="24"/>
          <w:szCs w:val="24"/>
          <w:lang w:val="tr-TR"/>
        </w:rPr>
        <w:t xml:space="preserve"> (World Health Organization,WHO</w:t>
      </w:r>
      <w:r w:rsidR="00924468" w:rsidRPr="004A47CE">
        <w:rPr>
          <w:rFonts w:ascii="Times New Roman" w:eastAsia="Calibri" w:hAnsi="Times New Roman" w:cs="Times New Roman"/>
          <w:color w:val="000000" w:themeColor="text1"/>
          <w:sz w:val="24"/>
          <w:szCs w:val="24"/>
          <w:lang w:val="tr-TR"/>
        </w:rPr>
        <w:t>, 2008)</w:t>
      </w:r>
      <w:r w:rsidRPr="004A47CE">
        <w:rPr>
          <w:rFonts w:ascii="Times New Roman" w:eastAsia="Calibri" w:hAnsi="Times New Roman" w:cs="Times New Roman"/>
          <w:color w:val="000000" w:themeColor="text1"/>
          <w:sz w:val="24"/>
          <w:szCs w:val="24"/>
          <w:lang w:val="tr-TR"/>
        </w:rPr>
        <w:t>. 2000-2016 yıllarında yaşam beklentisi küresel olarak %8 oranında artmıştır</w:t>
      </w:r>
      <w:r w:rsidR="008622EA" w:rsidRPr="004A47CE">
        <w:rPr>
          <w:rFonts w:ascii="Times New Roman" w:eastAsia="Calibri" w:hAnsi="Times New Roman" w:cs="Times New Roman"/>
          <w:color w:val="000000" w:themeColor="text1"/>
          <w:sz w:val="24"/>
          <w:szCs w:val="24"/>
          <w:lang w:val="tr-TR"/>
        </w:rPr>
        <w:t xml:space="preserve"> (World Health Stat</w:t>
      </w:r>
      <w:r w:rsidR="004A47CE">
        <w:rPr>
          <w:rFonts w:ascii="Times New Roman" w:eastAsia="Calibri" w:hAnsi="Times New Roman" w:cs="Times New Roman"/>
          <w:color w:val="000000" w:themeColor="text1"/>
          <w:sz w:val="24"/>
          <w:szCs w:val="24"/>
          <w:lang w:val="en-US"/>
        </w:rPr>
        <w:t>i</w:t>
      </w:r>
      <w:r w:rsidR="008622EA" w:rsidRPr="004A47CE">
        <w:rPr>
          <w:rFonts w:ascii="Times New Roman" w:eastAsia="Calibri" w:hAnsi="Times New Roman" w:cs="Times New Roman"/>
          <w:color w:val="000000" w:themeColor="text1"/>
          <w:sz w:val="24"/>
          <w:szCs w:val="24"/>
          <w:lang w:val="tr-TR"/>
        </w:rPr>
        <w:t>sti</w:t>
      </w:r>
      <w:r w:rsidR="00924468" w:rsidRPr="004A47CE">
        <w:rPr>
          <w:rFonts w:ascii="Times New Roman" w:eastAsia="Calibri" w:hAnsi="Times New Roman" w:cs="Times New Roman"/>
          <w:color w:val="000000" w:themeColor="text1"/>
          <w:sz w:val="24"/>
          <w:szCs w:val="24"/>
          <w:lang w:val="tr-TR"/>
        </w:rPr>
        <w:t>cs, 2020)</w:t>
      </w:r>
      <w:r w:rsidRPr="004A47CE">
        <w:rPr>
          <w:rFonts w:ascii="Times New Roman" w:eastAsia="Calibri" w:hAnsi="Times New Roman" w:cs="Times New Roman"/>
          <w:color w:val="000000" w:themeColor="text1"/>
          <w:sz w:val="24"/>
          <w:szCs w:val="24"/>
          <w:lang w:val="tr-TR"/>
        </w:rPr>
        <w:t xml:space="preserve">. </w:t>
      </w:r>
    </w:p>
    <w:p w14:paraId="535A67DF" w14:textId="5EA35856" w:rsidR="002E7B1A" w:rsidRPr="004A47CE" w:rsidRDefault="005D25E2" w:rsidP="004A47CE">
      <w:pPr>
        <w:spacing w:after="120" w:line="240" w:lineRule="auto"/>
        <w:ind w:firstLine="709"/>
        <w:jc w:val="both"/>
        <w:rPr>
          <w:rFonts w:ascii="Times New Roman" w:eastAsia="Calibri" w:hAnsi="Times New Roman" w:cs="Times New Roman"/>
          <w:color w:val="FF0000"/>
          <w:sz w:val="24"/>
          <w:szCs w:val="24"/>
          <w:lang w:val="tr-TR"/>
        </w:rPr>
      </w:pPr>
      <w:r w:rsidRPr="004A47CE">
        <w:rPr>
          <w:rFonts w:ascii="Times New Roman" w:eastAsia="Calibri" w:hAnsi="Times New Roman" w:cs="Times New Roman"/>
          <w:color w:val="000000" w:themeColor="text1"/>
          <w:sz w:val="24"/>
          <w:szCs w:val="24"/>
          <w:lang w:val="tr-TR"/>
        </w:rPr>
        <w:t xml:space="preserve">Yaşam sürelerinin daha çok </w:t>
      </w:r>
      <w:r w:rsidR="002E7B1A" w:rsidRPr="004A47CE">
        <w:rPr>
          <w:rFonts w:ascii="Times New Roman" w:eastAsia="Calibri" w:hAnsi="Times New Roman" w:cs="Times New Roman"/>
          <w:color w:val="000000" w:themeColor="text1"/>
          <w:sz w:val="24"/>
          <w:szCs w:val="24"/>
          <w:lang w:val="tr-TR"/>
        </w:rPr>
        <w:t>yaşam tarzı (</w:t>
      </w:r>
      <w:r w:rsidR="00DB7461" w:rsidRPr="004A47CE">
        <w:rPr>
          <w:rFonts w:ascii="Times New Roman" w:eastAsia="Calibri" w:hAnsi="Times New Roman" w:cs="Times New Roman"/>
          <w:color w:val="000000" w:themeColor="text1"/>
          <w:sz w:val="24"/>
          <w:szCs w:val="24"/>
          <w:lang w:val="tr-TR"/>
        </w:rPr>
        <w:t>Luy ve</w:t>
      </w:r>
      <w:r w:rsidR="002E7B1A" w:rsidRPr="004A47CE">
        <w:rPr>
          <w:rFonts w:ascii="Times New Roman" w:eastAsia="Calibri" w:hAnsi="Times New Roman" w:cs="Times New Roman"/>
          <w:color w:val="000000" w:themeColor="text1"/>
          <w:sz w:val="24"/>
          <w:szCs w:val="24"/>
          <w:lang w:val="tr-TR"/>
        </w:rPr>
        <w:t xml:space="preserve"> Wegne</w:t>
      </w:r>
      <w:r w:rsidR="00DB7461" w:rsidRPr="004A47CE">
        <w:rPr>
          <w:rFonts w:ascii="Times New Roman" w:eastAsia="Calibri" w:hAnsi="Times New Roman" w:cs="Times New Roman"/>
          <w:color w:val="000000" w:themeColor="text1"/>
          <w:sz w:val="24"/>
          <w:szCs w:val="24"/>
          <w:lang w:val="tr-TR"/>
        </w:rPr>
        <w:t>r-Siegmundt</w:t>
      </w:r>
      <w:r w:rsidR="00E071F1">
        <w:rPr>
          <w:rFonts w:ascii="Times New Roman" w:eastAsia="Calibri" w:hAnsi="Times New Roman" w:cs="Times New Roman"/>
          <w:color w:val="000000" w:themeColor="text1"/>
          <w:sz w:val="24"/>
          <w:szCs w:val="24"/>
          <w:lang w:val="tr-TR"/>
        </w:rPr>
        <w:t>,</w:t>
      </w:r>
      <w:r w:rsidR="00DB7461" w:rsidRPr="004A47CE">
        <w:rPr>
          <w:rFonts w:ascii="Times New Roman" w:eastAsia="Calibri" w:hAnsi="Times New Roman" w:cs="Times New Roman"/>
          <w:color w:val="000000" w:themeColor="text1"/>
          <w:sz w:val="24"/>
          <w:szCs w:val="24"/>
          <w:lang w:val="tr-TR"/>
        </w:rPr>
        <w:t xml:space="preserve"> 2015; Oksuzyan </w:t>
      </w:r>
      <w:r w:rsidR="00E071F1">
        <w:rPr>
          <w:rFonts w:ascii="Times New Roman" w:eastAsia="Calibri" w:hAnsi="Times New Roman" w:cs="Times New Roman"/>
          <w:color w:val="000000" w:themeColor="text1"/>
          <w:sz w:val="24"/>
          <w:szCs w:val="24"/>
          <w:lang w:val="tr-TR"/>
        </w:rPr>
        <w:t>ve diğ.</w:t>
      </w:r>
      <w:r w:rsidR="002E7B1A" w:rsidRPr="004A47CE">
        <w:rPr>
          <w:rFonts w:ascii="Times New Roman" w:eastAsia="Calibri" w:hAnsi="Times New Roman" w:cs="Times New Roman"/>
          <w:color w:val="000000" w:themeColor="text1"/>
          <w:sz w:val="24"/>
          <w:szCs w:val="24"/>
          <w:lang w:val="tr-TR"/>
        </w:rPr>
        <w:t xml:space="preserve"> 2008),</w:t>
      </w:r>
      <w:r w:rsidR="002562DD" w:rsidRPr="004A47CE">
        <w:rPr>
          <w:rFonts w:ascii="Times New Roman" w:eastAsia="Calibri" w:hAnsi="Times New Roman" w:cs="Times New Roman"/>
          <w:color w:val="000000" w:themeColor="text1"/>
          <w:sz w:val="24"/>
          <w:szCs w:val="24"/>
          <w:lang w:val="tr-TR"/>
        </w:rPr>
        <w:t xml:space="preserve"> çevresel </w:t>
      </w:r>
      <w:r w:rsidR="002E7B1A" w:rsidRPr="004A47CE">
        <w:rPr>
          <w:rFonts w:ascii="Times New Roman" w:eastAsia="Calibri" w:hAnsi="Times New Roman" w:cs="Times New Roman"/>
          <w:color w:val="000000" w:themeColor="text1"/>
          <w:sz w:val="24"/>
          <w:szCs w:val="24"/>
          <w:lang w:val="tr-TR"/>
        </w:rPr>
        <w:t>(</w:t>
      </w:r>
      <w:r w:rsidR="001D7515" w:rsidRPr="004A47CE">
        <w:rPr>
          <w:rFonts w:ascii="Times New Roman" w:eastAsia="Calibri" w:hAnsi="Times New Roman" w:cs="Times New Roman"/>
          <w:color w:val="000000" w:themeColor="text1"/>
          <w:sz w:val="24"/>
          <w:szCs w:val="24"/>
          <w:lang w:val="tr-TR"/>
        </w:rPr>
        <w:t xml:space="preserve">Mariani </w:t>
      </w:r>
      <w:r w:rsidR="00E071F1">
        <w:rPr>
          <w:rFonts w:ascii="Times New Roman" w:eastAsia="Calibri" w:hAnsi="Times New Roman" w:cs="Times New Roman"/>
          <w:color w:val="000000" w:themeColor="text1"/>
          <w:sz w:val="24"/>
          <w:szCs w:val="24"/>
          <w:lang w:val="tr-TR"/>
        </w:rPr>
        <w:t>ve diğ.</w:t>
      </w:r>
      <w:r w:rsidR="001D7515" w:rsidRPr="004A47CE">
        <w:rPr>
          <w:rFonts w:ascii="Times New Roman" w:eastAsia="Calibri" w:hAnsi="Times New Roman" w:cs="Times New Roman"/>
          <w:color w:val="000000" w:themeColor="text1"/>
          <w:sz w:val="24"/>
          <w:szCs w:val="24"/>
          <w:lang w:val="tr-TR"/>
        </w:rPr>
        <w:t xml:space="preserve"> 2009</w:t>
      </w:r>
      <w:r w:rsidR="00DB7461" w:rsidRPr="004A47CE">
        <w:rPr>
          <w:rFonts w:ascii="Times New Roman" w:eastAsia="Calibri" w:hAnsi="Times New Roman" w:cs="Times New Roman"/>
          <w:color w:val="000000" w:themeColor="text1"/>
          <w:sz w:val="24"/>
          <w:szCs w:val="24"/>
          <w:lang w:val="tr-TR"/>
        </w:rPr>
        <w:t>; Elo ve</w:t>
      </w:r>
      <w:r w:rsidR="002E7B1A" w:rsidRPr="004A47CE">
        <w:rPr>
          <w:rFonts w:ascii="Times New Roman" w:eastAsia="Calibri" w:hAnsi="Times New Roman" w:cs="Times New Roman"/>
          <w:color w:val="000000" w:themeColor="text1"/>
          <w:sz w:val="24"/>
          <w:szCs w:val="24"/>
          <w:lang w:val="tr-TR"/>
        </w:rPr>
        <w:t xml:space="preserve"> Preston</w:t>
      </w:r>
      <w:r w:rsidR="00E071F1">
        <w:rPr>
          <w:rFonts w:ascii="Times New Roman" w:eastAsia="Calibri" w:hAnsi="Times New Roman" w:cs="Times New Roman"/>
          <w:color w:val="000000" w:themeColor="text1"/>
          <w:sz w:val="24"/>
          <w:szCs w:val="24"/>
          <w:lang w:val="tr-TR"/>
        </w:rPr>
        <w:t>,</w:t>
      </w:r>
      <w:r w:rsidR="002E7B1A" w:rsidRPr="004A47CE">
        <w:rPr>
          <w:rFonts w:ascii="Times New Roman" w:eastAsia="Calibri" w:hAnsi="Times New Roman" w:cs="Times New Roman"/>
          <w:color w:val="000000" w:themeColor="text1"/>
          <w:sz w:val="24"/>
          <w:szCs w:val="24"/>
          <w:lang w:val="tr-TR"/>
        </w:rPr>
        <w:t xml:space="preserve"> 1992</w:t>
      </w:r>
      <w:r w:rsidR="00DB7461" w:rsidRPr="004A47CE">
        <w:rPr>
          <w:rFonts w:ascii="Times New Roman" w:eastAsia="Calibri" w:hAnsi="Times New Roman" w:cs="Times New Roman"/>
          <w:color w:val="000000" w:themeColor="text1"/>
          <w:sz w:val="24"/>
          <w:szCs w:val="24"/>
          <w:lang w:val="tr-TR"/>
        </w:rPr>
        <w:t>;  Evans ve</w:t>
      </w:r>
      <w:r w:rsidR="002E7B1A" w:rsidRPr="004A47CE">
        <w:rPr>
          <w:rFonts w:ascii="Times New Roman" w:eastAsia="Calibri" w:hAnsi="Times New Roman" w:cs="Times New Roman"/>
          <w:color w:val="000000" w:themeColor="text1"/>
          <w:sz w:val="24"/>
          <w:szCs w:val="24"/>
          <w:lang w:val="tr-TR"/>
        </w:rPr>
        <w:t xml:space="preserve"> Smith, 2005), ekonomik</w:t>
      </w:r>
      <w:r w:rsidR="008622EA" w:rsidRPr="004A47CE">
        <w:rPr>
          <w:rFonts w:ascii="Times New Roman" w:eastAsia="Calibri" w:hAnsi="Times New Roman" w:cs="Times New Roman"/>
          <w:color w:val="000000" w:themeColor="text1"/>
          <w:sz w:val="24"/>
          <w:szCs w:val="24"/>
          <w:lang w:val="tr-TR"/>
        </w:rPr>
        <w:t xml:space="preserve"> (doğrudan yabancı yatırımlar ve dış ticaret </w:t>
      </w:r>
      <w:r w:rsidR="008622EA" w:rsidRPr="004A47CE">
        <w:rPr>
          <w:rFonts w:ascii="Times New Roman" w:eastAsia="Calibri" w:hAnsi="Times New Roman" w:cs="Times New Roman"/>
          <w:sz w:val="24"/>
          <w:szCs w:val="24"/>
          <w:lang w:val="tr-TR"/>
        </w:rPr>
        <w:t>(</w:t>
      </w:r>
      <w:r w:rsidR="008B19F8" w:rsidRPr="004A47CE">
        <w:rPr>
          <w:rFonts w:ascii="Times New Roman" w:eastAsia="Calibri" w:hAnsi="Times New Roman" w:cs="Times New Roman"/>
          <w:sz w:val="24"/>
          <w:szCs w:val="24"/>
          <w:lang w:val="tr-TR"/>
        </w:rPr>
        <w:t>Herzer ve Nunnenkamp</w:t>
      </w:r>
      <w:r w:rsidR="00E071F1">
        <w:rPr>
          <w:rFonts w:ascii="Times New Roman" w:eastAsia="Calibri" w:hAnsi="Times New Roman" w:cs="Times New Roman"/>
          <w:sz w:val="24"/>
          <w:szCs w:val="24"/>
          <w:lang w:val="tr-TR"/>
        </w:rPr>
        <w:t>,</w:t>
      </w:r>
      <w:r w:rsidR="008B19F8" w:rsidRPr="004A47CE">
        <w:rPr>
          <w:rFonts w:ascii="Times New Roman" w:eastAsia="Calibri" w:hAnsi="Times New Roman" w:cs="Times New Roman"/>
          <w:sz w:val="24"/>
          <w:szCs w:val="24"/>
          <w:lang w:val="tr-TR"/>
        </w:rPr>
        <w:t xml:space="preserve"> 2012; </w:t>
      </w:r>
      <w:r w:rsidR="00B04F70" w:rsidRPr="004A47CE">
        <w:rPr>
          <w:rFonts w:ascii="Times New Roman" w:eastAsia="Calibri" w:hAnsi="Times New Roman" w:cs="Times New Roman"/>
          <w:sz w:val="24"/>
          <w:szCs w:val="24"/>
          <w:lang w:val="tr-TR"/>
        </w:rPr>
        <w:t>Owen ve Wu, 2007</w:t>
      </w:r>
      <w:r w:rsidR="008622EA" w:rsidRPr="004A47CE">
        <w:rPr>
          <w:rFonts w:ascii="Times New Roman" w:eastAsia="Calibri" w:hAnsi="Times New Roman" w:cs="Times New Roman"/>
          <w:sz w:val="24"/>
          <w:szCs w:val="24"/>
          <w:lang w:val="tr-TR"/>
        </w:rPr>
        <w:t>), ik</w:t>
      </w:r>
      <w:r w:rsidR="00F5658C" w:rsidRPr="004A47CE">
        <w:rPr>
          <w:rFonts w:ascii="Times New Roman" w:eastAsia="Calibri" w:hAnsi="Times New Roman" w:cs="Times New Roman"/>
          <w:sz w:val="24"/>
          <w:szCs w:val="24"/>
          <w:lang w:val="tr-TR"/>
        </w:rPr>
        <w:t xml:space="preserve">tisadi büyüme (Salahuddin, 2020) </w:t>
      </w:r>
      <w:r w:rsidR="002562DD" w:rsidRPr="004A47CE">
        <w:rPr>
          <w:rFonts w:ascii="Times New Roman" w:eastAsia="Calibri" w:hAnsi="Times New Roman" w:cs="Times New Roman"/>
          <w:color w:val="000000" w:themeColor="text1"/>
          <w:sz w:val="24"/>
          <w:szCs w:val="24"/>
          <w:lang w:val="tr-TR"/>
        </w:rPr>
        <w:t>ve sosyo-</w:t>
      </w:r>
      <w:r w:rsidR="005805F7" w:rsidRPr="004A47CE">
        <w:rPr>
          <w:rFonts w:ascii="Times New Roman" w:eastAsia="Calibri" w:hAnsi="Times New Roman" w:cs="Times New Roman"/>
          <w:color w:val="000000" w:themeColor="text1"/>
          <w:sz w:val="24"/>
          <w:szCs w:val="24"/>
          <w:lang w:val="tr-TR"/>
        </w:rPr>
        <w:t>demografik faktörler</w:t>
      </w:r>
      <w:r w:rsidRPr="004A47CE">
        <w:rPr>
          <w:rFonts w:ascii="Times New Roman" w:eastAsia="Calibri" w:hAnsi="Times New Roman" w:cs="Times New Roman"/>
          <w:color w:val="000000" w:themeColor="text1"/>
          <w:sz w:val="24"/>
          <w:szCs w:val="24"/>
          <w:lang w:val="tr-TR"/>
        </w:rPr>
        <w:t xml:space="preserve">den </w:t>
      </w:r>
      <w:r w:rsidR="008622EA" w:rsidRPr="004A47CE">
        <w:rPr>
          <w:rFonts w:ascii="Times New Roman" w:eastAsia="Calibri" w:hAnsi="Times New Roman" w:cs="Times New Roman"/>
          <w:color w:val="000000" w:themeColor="text1"/>
          <w:sz w:val="24"/>
          <w:szCs w:val="24"/>
          <w:lang w:val="tr-TR"/>
        </w:rPr>
        <w:t>(</w:t>
      </w:r>
      <w:r w:rsidR="00177931" w:rsidRPr="004A47CE">
        <w:rPr>
          <w:rFonts w:ascii="Times New Roman" w:eastAsia="Calibri" w:hAnsi="Times New Roman" w:cs="Times New Roman"/>
          <w:color w:val="000000" w:themeColor="text1"/>
          <w:sz w:val="24"/>
          <w:szCs w:val="24"/>
          <w:lang w:val="tr-TR"/>
        </w:rPr>
        <w:t>şehirleşme (</w:t>
      </w:r>
      <w:r w:rsidR="008622EA" w:rsidRPr="004A47CE">
        <w:rPr>
          <w:rFonts w:ascii="Times New Roman" w:eastAsia="Calibri" w:hAnsi="Times New Roman" w:cs="Times New Roman"/>
          <w:sz w:val="24"/>
          <w:szCs w:val="24"/>
          <w:lang w:val="tr-TR"/>
        </w:rPr>
        <w:t>Rogers  ve Wofford, 1989</w:t>
      </w:r>
      <w:r w:rsidRPr="004A47CE">
        <w:rPr>
          <w:rFonts w:ascii="Times New Roman" w:eastAsia="Calibri" w:hAnsi="Times New Roman" w:cs="Times New Roman"/>
          <w:sz w:val="24"/>
          <w:szCs w:val="24"/>
          <w:lang w:val="tr-TR"/>
        </w:rPr>
        <w:t xml:space="preserve"> ), güvenli suya erişim (Rogers  ve Wofford, 1989;</w:t>
      </w:r>
      <w:r w:rsidRPr="004A47CE">
        <w:rPr>
          <w:rFonts w:ascii="Times New Roman" w:eastAsia="Calibri" w:hAnsi="Times New Roman" w:cs="Times New Roman"/>
          <w:color w:val="000000" w:themeColor="text1"/>
          <w:sz w:val="24"/>
          <w:szCs w:val="24"/>
          <w:lang w:val="tr-TR"/>
        </w:rPr>
        <w:t xml:space="preserve"> Gullis, 2000), </w:t>
      </w:r>
      <w:r w:rsidRPr="004A47CE">
        <w:rPr>
          <w:rFonts w:ascii="Times New Roman" w:hAnsi="Times New Roman" w:cs="Times New Roman"/>
          <w:color w:val="000000" w:themeColor="text1"/>
          <w:sz w:val="24"/>
          <w:szCs w:val="24"/>
          <w:lang w:val="tr-TR"/>
        </w:rPr>
        <w:t xml:space="preserve"> </w:t>
      </w:r>
      <w:r w:rsidR="00917878" w:rsidRPr="004A47CE">
        <w:rPr>
          <w:rFonts w:ascii="Times New Roman" w:hAnsi="Times New Roman" w:cs="Times New Roman"/>
          <w:color w:val="000000" w:themeColor="text1"/>
          <w:sz w:val="24"/>
          <w:szCs w:val="24"/>
          <w:lang w:val="tr-TR"/>
        </w:rPr>
        <w:t>eğitim (</w:t>
      </w:r>
      <w:r w:rsidR="008622EA" w:rsidRPr="004A47CE">
        <w:rPr>
          <w:rFonts w:ascii="Times New Roman" w:hAnsi="Times New Roman" w:cs="Times New Roman"/>
          <w:color w:val="000000" w:themeColor="text1"/>
          <w:sz w:val="24"/>
          <w:szCs w:val="24"/>
          <w:lang w:val="tr-TR"/>
        </w:rPr>
        <w:t>Luy</w:t>
      </w:r>
      <w:r w:rsidR="00917878" w:rsidRPr="004A47CE">
        <w:rPr>
          <w:rFonts w:ascii="Times New Roman" w:hAnsi="Times New Roman" w:cs="Times New Roman"/>
          <w:color w:val="000000" w:themeColor="text1"/>
          <w:sz w:val="24"/>
          <w:szCs w:val="24"/>
          <w:lang w:val="tr-TR"/>
        </w:rPr>
        <w:t xml:space="preserve"> </w:t>
      </w:r>
      <w:r w:rsidR="00E071F1">
        <w:rPr>
          <w:rFonts w:ascii="Times New Roman" w:hAnsi="Times New Roman" w:cs="Times New Roman"/>
          <w:color w:val="000000" w:themeColor="text1"/>
          <w:sz w:val="24"/>
          <w:szCs w:val="24"/>
          <w:lang w:val="tr-TR"/>
        </w:rPr>
        <w:t>ve diğ.</w:t>
      </w:r>
      <w:r w:rsidR="008622EA" w:rsidRPr="004A47CE">
        <w:rPr>
          <w:rFonts w:ascii="Times New Roman" w:hAnsi="Times New Roman" w:cs="Times New Roman"/>
          <w:color w:val="000000" w:themeColor="text1"/>
          <w:sz w:val="24"/>
          <w:szCs w:val="24"/>
          <w:lang w:val="tr-TR"/>
        </w:rPr>
        <w:t xml:space="preserve"> 2019; Lleras-Muney, 2005) ve </w:t>
      </w:r>
      <w:r w:rsidRPr="004A47CE">
        <w:rPr>
          <w:rFonts w:ascii="Times New Roman" w:hAnsi="Times New Roman" w:cs="Times New Roman"/>
          <w:color w:val="000000" w:themeColor="text1"/>
          <w:sz w:val="24"/>
          <w:szCs w:val="24"/>
          <w:lang w:val="tr-TR"/>
        </w:rPr>
        <w:t>gelir eşitsizliği (</w:t>
      </w:r>
      <w:r w:rsidRPr="004A47CE">
        <w:rPr>
          <w:rFonts w:ascii="Times New Roman" w:eastAsia="Calibri" w:hAnsi="Times New Roman" w:cs="Times New Roman"/>
          <w:color w:val="000000" w:themeColor="text1"/>
          <w:sz w:val="24"/>
          <w:szCs w:val="24"/>
          <w:lang w:val="tr-TR"/>
        </w:rPr>
        <w:t>Matthew</w:t>
      </w:r>
      <w:r w:rsidR="002562DD" w:rsidRPr="004A47CE">
        <w:rPr>
          <w:rFonts w:ascii="Times New Roman" w:eastAsia="Calibri" w:hAnsi="Times New Roman" w:cs="Times New Roman"/>
          <w:color w:val="000000" w:themeColor="text1"/>
          <w:sz w:val="24"/>
          <w:szCs w:val="24"/>
          <w:lang w:val="tr-TR"/>
        </w:rPr>
        <w:t xml:space="preserve"> ve Brodersen</w:t>
      </w:r>
      <w:r w:rsidRPr="004A47CE">
        <w:rPr>
          <w:rFonts w:ascii="Times New Roman" w:eastAsia="Calibri" w:hAnsi="Times New Roman" w:cs="Times New Roman"/>
          <w:color w:val="000000" w:themeColor="text1"/>
          <w:sz w:val="24"/>
          <w:szCs w:val="24"/>
          <w:lang w:val="tr-TR"/>
        </w:rPr>
        <w:t>,</w:t>
      </w:r>
      <w:r w:rsidR="002562DD" w:rsidRPr="004A47CE">
        <w:rPr>
          <w:rFonts w:ascii="Times New Roman" w:eastAsia="Calibri" w:hAnsi="Times New Roman" w:cs="Times New Roman"/>
          <w:color w:val="000000" w:themeColor="text1"/>
          <w:sz w:val="24"/>
          <w:szCs w:val="24"/>
          <w:lang w:val="tr-TR"/>
        </w:rPr>
        <w:t xml:space="preserve"> </w:t>
      </w:r>
      <w:r w:rsidRPr="004A47CE">
        <w:rPr>
          <w:rFonts w:ascii="Times New Roman" w:eastAsia="Calibri" w:hAnsi="Times New Roman" w:cs="Times New Roman"/>
          <w:color w:val="000000" w:themeColor="text1"/>
          <w:sz w:val="24"/>
          <w:szCs w:val="24"/>
          <w:lang w:val="tr-TR"/>
        </w:rPr>
        <w:t xml:space="preserve">2018) </w:t>
      </w:r>
      <w:r w:rsidR="00255087" w:rsidRPr="004A47CE">
        <w:rPr>
          <w:rFonts w:ascii="Times New Roman" w:eastAsia="Calibri" w:hAnsi="Times New Roman" w:cs="Times New Roman"/>
          <w:color w:val="000000" w:themeColor="text1"/>
          <w:sz w:val="24"/>
          <w:szCs w:val="24"/>
          <w:lang w:val="tr-TR"/>
        </w:rPr>
        <w:t xml:space="preserve">gibi faktörlerden </w:t>
      </w:r>
      <w:r w:rsidRPr="004A47CE">
        <w:rPr>
          <w:rFonts w:ascii="Times New Roman" w:eastAsia="Calibri" w:hAnsi="Times New Roman" w:cs="Times New Roman"/>
          <w:color w:val="000000" w:themeColor="text1"/>
          <w:sz w:val="24"/>
          <w:szCs w:val="24"/>
          <w:lang w:val="tr-TR"/>
        </w:rPr>
        <w:t>etkilendiği araştırmacılar tarafından</w:t>
      </w:r>
      <w:r w:rsidR="002562DD" w:rsidRPr="004A47CE">
        <w:rPr>
          <w:rFonts w:ascii="Times New Roman" w:eastAsia="Calibri" w:hAnsi="Times New Roman" w:cs="Times New Roman"/>
          <w:color w:val="000000" w:themeColor="text1"/>
          <w:sz w:val="24"/>
          <w:szCs w:val="24"/>
          <w:lang w:val="tr-TR"/>
        </w:rPr>
        <w:t xml:space="preserve"> </w:t>
      </w:r>
      <w:r w:rsidR="00255087" w:rsidRPr="004A47CE">
        <w:rPr>
          <w:rFonts w:ascii="Times New Roman" w:eastAsia="Calibri" w:hAnsi="Times New Roman" w:cs="Times New Roman"/>
          <w:color w:val="000000" w:themeColor="text1"/>
          <w:sz w:val="24"/>
          <w:szCs w:val="24"/>
          <w:lang w:val="tr-TR"/>
        </w:rPr>
        <w:t>belirlenmiştir</w:t>
      </w:r>
      <w:r w:rsidR="002562DD" w:rsidRPr="004A47CE">
        <w:rPr>
          <w:rFonts w:ascii="Times New Roman" w:eastAsia="Calibri" w:hAnsi="Times New Roman" w:cs="Times New Roman"/>
          <w:color w:val="000000" w:themeColor="text1"/>
          <w:sz w:val="24"/>
          <w:szCs w:val="24"/>
          <w:lang w:val="tr-TR"/>
        </w:rPr>
        <w:t>.</w:t>
      </w:r>
    </w:p>
    <w:p w14:paraId="32A57F2D" w14:textId="36532728" w:rsidR="00882A9E" w:rsidRPr="004A47CE" w:rsidRDefault="00882A9E" w:rsidP="004A47CE">
      <w:pPr>
        <w:spacing w:after="120" w:line="240" w:lineRule="auto"/>
        <w:ind w:firstLine="709"/>
        <w:jc w:val="both"/>
        <w:rPr>
          <w:rFonts w:ascii="Times New Roman" w:eastAsia="Calibri" w:hAnsi="Times New Roman" w:cs="Times New Roman"/>
          <w:color w:val="000000" w:themeColor="text1"/>
          <w:sz w:val="24"/>
          <w:szCs w:val="24"/>
          <w:lang w:val="tr-TR"/>
        </w:rPr>
      </w:pPr>
      <w:r w:rsidRPr="004A47CE">
        <w:rPr>
          <w:rFonts w:ascii="Times New Roman" w:eastAsia="Calibri" w:hAnsi="Times New Roman" w:cs="Times New Roman"/>
          <w:color w:val="000000" w:themeColor="text1"/>
          <w:sz w:val="24"/>
          <w:szCs w:val="24"/>
          <w:lang w:val="tr-TR"/>
        </w:rPr>
        <w:t xml:space="preserve">Dünya genelinde kadınların erkeklere göre daha uzun yaşadıkları bilinmektedir (Pinkhasov </w:t>
      </w:r>
      <w:r w:rsidR="00E071F1">
        <w:rPr>
          <w:rFonts w:ascii="Times New Roman" w:eastAsia="Calibri" w:hAnsi="Times New Roman" w:cs="Times New Roman"/>
          <w:color w:val="000000" w:themeColor="text1"/>
          <w:sz w:val="24"/>
          <w:szCs w:val="24"/>
          <w:lang w:val="tr-TR"/>
        </w:rPr>
        <w:t>ve diğ.</w:t>
      </w:r>
      <w:r w:rsidRPr="004A47CE">
        <w:rPr>
          <w:rFonts w:ascii="Times New Roman" w:eastAsia="Calibri" w:hAnsi="Times New Roman" w:cs="Times New Roman"/>
          <w:color w:val="000000" w:themeColor="text1"/>
          <w:sz w:val="24"/>
          <w:szCs w:val="24"/>
          <w:lang w:val="tr-TR"/>
        </w:rPr>
        <w:t xml:space="preserve"> 2010).  </w:t>
      </w:r>
      <w:r w:rsidR="00FD7D86" w:rsidRPr="004A47CE">
        <w:rPr>
          <w:rFonts w:ascii="Times New Roman" w:eastAsia="Calibri" w:hAnsi="Times New Roman" w:cs="Times New Roman"/>
          <w:color w:val="000000" w:themeColor="text1"/>
          <w:sz w:val="24"/>
          <w:szCs w:val="24"/>
          <w:lang w:val="tr-TR"/>
        </w:rPr>
        <w:t>Araştırmacılar</w:t>
      </w:r>
      <w:r w:rsidR="0026575A" w:rsidRPr="004A47CE">
        <w:rPr>
          <w:rFonts w:ascii="Times New Roman" w:eastAsia="Calibri" w:hAnsi="Times New Roman" w:cs="Times New Roman"/>
          <w:color w:val="000000" w:themeColor="text1"/>
          <w:sz w:val="24"/>
          <w:szCs w:val="24"/>
          <w:lang w:val="tr-TR"/>
        </w:rPr>
        <w:t>a göre</w:t>
      </w:r>
      <w:r w:rsidR="00FD7D86" w:rsidRPr="004A47CE">
        <w:rPr>
          <w:rFonts w:ascii="Times New Roman" w:eastAsia="Calibri" w:hAnsi="Times New Roman" w:cs="Times New Roman"/>
          <w:color w:val="000000" w:themeColor="text1"/>
          <w:sz w:val="24"/>
          <w:szCs w:val="24"/>
          <w:lang w:val="tr-TR"/>
        </w:rPr>
        <w:t xml:space="preserve"> bunun nedenleri biyolojik, psikolojik ve sosyal faktörl</w:t>
      </w:r>
      <w:r w:rsidR="0026575A" w:rsidRPr="004A47CE">
        <w:rPr>
          <w:rFonts w:ascii="Times New Roman" w:eastAsia="Calibri" w:hAnsi="Times New Roman" w:cs="Times New Roman"/>
          <w:color w:val="000000" w:themeColor="text1"/>
          <w:sz w:val="24"/>
          <w:szCs w:val="24"/>
          <w:lang w:val="tr-TR"/>
        </w:rPr>
        <w:t xml:space="preserve">ere dayanmaktadır. </w:t>
      </w:r>
      <w:r w:rsidR="00FD7D86" w:rsidRPr="004A47CE">
        <w:rPr>
          <w:rFonts w:ascii="Times New Roman" w:eastAsia="Calibri" w:hAnsi="Times New Roman" w:cs="Times New Roman"/>
          <w:color w:val="000000" w:themeColor="text1"/>
          <w:sz w:val="24"/>
          <w:szCs w:val="24"/>
          <w:lang w:val="tr-TR"/>
        </w:rPr>
        <w:t>Cinsiyete göre yaşam beklentisindeki fark araştırmacıların ilgi odağı</w:t>
      </w:r>
      <w:r w:rsidR="0070544B" w:rsidRPr="004A47CE">
        <w:rPr>
          <w:rFonts w:ascii="Times New Roman" w:eastAsia="Calibri" w:hAnsi="Times New Roman" w:cs="Times New Roman"/>
          <w:color w:val="000000" w:themeColor="text1"/>
          <w:sz w:val="24"/>
          <w:szCs w:val="24"/>
          <w:lang w:val="tr-TR"/>
        </w:rPr>
        <w:t>nı oluşturmuştur (Sundberg, 2018</w:t>
      </w:r>
      <w:r w:rsidR="00FD7D86" w:rsidRPr="004A47CE">
        <w:rPr>
          <w:rFonts w:ascii="Times New Roman" w:eastAsia="Calibri" w:hAnsi="Times New Roman" w:cs="Times New Roman"/>
          <w:color w:val="000000" w:themeColor="text1"/>
          <w:sz w:val="24"/>
          <w:szCs w:val="24"/>
          <w:lang w:val="tr-TR"/>
        </w:rPr>
        <w:t xml:space="preserve">). </w:t>
      </w:r>
      <w:r w:rsidR="00255087" w:rsidRPr="004A47CE">
        <w:rPr>
          <w:rFonts w:ascii="Times New Roman" w:eastAsia="Calibri" w:hAnsi="Times New Roman" w:cs="Times New Roman"/>
          <w:color w:val="000000" w:themeColor="text1"/>
          <w:sz w:val="24"/>
          <w:szCs w:val="24"/>
          <w:lang w:val="tr-TR"/>
        </w:rPr>
        <w:t>Bu farklılığı</w:t>
      </w:r>
      <w:r w:rsidR="00322393" w:rsidRPr="004A47CE">
        <w:rPr>
          <w:rFonts w:ascii="Times New Roman" w:eastAsia="Calibri" w:hAnsi="Times New Roman" w:cs="Times New Roman"/>
          <w:color w:val="000000" w:themeColor="text1"/>
          <w:sz w:val="24"/>
          <w:szCs w:val="24"/>
          <w:lang w:val="tr-TR"/>
        </w:rPr>
        <w:t>n % 75’i</w:t>
      </w:r>
      <w:r w:rsidR="00255087" w:rsidRPr="004A47CE">
        <w:rPr>
          <w:rFonts w:ascii="Times New Roman" w:eastAsia="Calibri" w:hAnsi="Times New Roman" w:cs="Times New Roman"/>
          <w:color w:val="000000" w:themeColor="text1"/>
          <w:sz w:val="24"/>
          <w:szCs w:val="24"/>
          <w:lang w:val="tr-TR"/>
        </w:rPr>
        <w:t>nin</w:t>
      </w:r>
      <w:r w:rsidR="00322393" w:rsidRPr="004A47CE">
        <w:rPr>
          <w:rFonts w:ascii="Times New Roman" w:eastAsia="Calibri" w:hAnsi="Times New Roman" w:cs="Times New Roman"/>
          <w:color w:val="000000" w:themeColor="text1"/>
          <w:sz w:val="24"/>
          <w:szCs w:val="24"/>
          <w:lang w:val="tr-TR"/>
        </w:rPr>
        <w:t xml:space="preserve"> biyolojik olmayan </w:t>
      </w:r>
      <w:r w:rsidR="0026575A" w:rsidRPr="004A47CE">
        <w:rPr>
          <w:rFonts w:ascii="Times New Roman" w:eastAsia="Calibri" w:hAnsi="Times New Roman" w:cs="Times New Roman"/>
          <w:color w:val="000000" w:themeColor="text1"/>
          <w:sz w:val="24"/>
          <w:szCs w:val="24"/>
          <w:lang w:val="tr-TR"/>
        </w:rPr>
        <w:t xml:space="preserve">(davranış, yaşam tarzı, sosyal roller vs.) </w:t>
      </w:r>
      <w:r w:rsidR="00322393" w:rsidRPr="004A47CE">
        <w:rPr>
          <w:rFonts w:ascii="Times New Roman" w:eastAsia="Calibri" w:hAnsi="Times New Roman" w:cs="Times New Roman"/>
          <w:color w:val="000000" w:themeColor="text1"/>
          <w:sz w:val="24"/>
          <w:szCs w:val="24"/>
          <w:lang w:val="tr-TR"/>
        </w:rPr>
        <w:t xml:space="preserve">faktörlerden kaynaklandığı ileri sürülmektedir (Luy ve Wegner-Siegmundt 2015; Oksuzyan </w:t>
      </w:r>
      <w:r w:rsidR="00E071F1">
        <w:rPr>
          <w:rFonts w:ascii="Times New Roman" w:eastAsia="Calibri" w:hAnsi="Times New Roman" w:cs="Times New Roman"/>
          <w:color w:val="000000" w:themeColor="text1"/>
          <w:sz w:val="24"/>
          <w:szCs w:val="24"/>
          <w:lang w:val="tr-TR"/>
        </w:rPr>
        <w:t>ve diğ.</w:t>
      </w:r>
      <w:r w:rsidR="00322393" w:rsidRPr="004A47CE">
        <w:rPr>
          <w:rFonts w:ascii="Times New Roman" w:eastAsia="Calibri" w:hAnsi="Times New Roman" w:cs="Times New Roman"/>
          <w:color w:val="000000" w:themeColor="text1"/>
          <w:sz w:val="24"/>
          <w:szCs w:val="24"/>
          <w:lang w:val="tr-TR"/>
        </w:rPr>
        <w:t xml:space="preserve"> 2008). Bilindiği gibi erkekler kadınlara göre daha fazla tütün tüketir, alkol </w:t>
      </w:r>
      <w:r w:rsidR="00924468" w:rsidRPr="004A47CE">
        <w:rPr>
          <w:rFonts w:ascii="Times New Roman" w:eastAsia="Calibri" w:hAnsi="Times New Roman" w:cs="Times New Roman"/>
          <w:color w:val="000000" w:themeColor="text1"/>
          <w:sz w:val="24"/>
          <w:szCs w:val="24"/>
          <w:lang w:val="tr-TR"/>
        </w:rPr>
        <w:t xml:space="preserve">kullanır </w:t>
      </w:r>
      <w:r w:rsidR="00322393" w:rsidRPr="004A47CE">
        <w:rPr>
          <w:rFonts w:ascii="Times New Roman" w:eastAsia="Calibri" w:hAnsi="Times New Roman" w:cs="Times New Roman"/>
          <w:color w:val="000000" w:themeColor="text1"/>
          <w:sz w:val="24"/>
          <w:szCs w:val="24"/>
          <w:lang w:val="tr-TR"/>
        </w:rPr>
        <w:t>ve daha riskli mesleklerde istihdam edilmektedirler (</w:t>
      </w:r>
      <w:r w:rsidR="0026575A" w:rsidRPr="004A47CE">
        <w:rPr>
          <w:rFonts w:ascii="Times New Roman" w:eastAsia="Calibri" w:hAnsi="Times New Roman" w:cs="Times New Roman"/>
          <w:color w:val="000000" w:themeColor="text1"/>
          <w:sz w:val="24"/>
          <w:szCs w:val="24"/>
          <w:lang w:val="tr-TR"/>
        </w:rPr>
        <w:t xml:space="preserve">Loef ve Walach 2012; Oksuzyan </w:t>
      </w:r>
      <w:r w:rsidR="00E071F1">
        <w:rPr>
          <w:rFonts w:ascii="Times New Roman" w:eastAsia="Calibri" w:hAnsi="Times New Roman" w:cs="Times New Roman"/>
          <w:color w:val="000000" w:themeColor="text1"/>
          <w:sz w:val="24"/>
          <w:szCs w:val="24"/>
          <w:lang w:val="tr-TR"/>
        </w:rPr>
        <w:t>ve diğ.</w:t>
      </w:r>
      <w:r w:rsidR="0026575A" w:rsidRPr="004A47CE">
        <w:rPr>
          <w:rFonts w:ascii="Times New Roman" w:eastAsia="Calibri" w:hAnsi="Times New Roman" w:cs="Times New Roman"/>
          <w:color w:val="000000" w:themeColor="text1"/>
          <w:sz w:val="24"/>
          <w:szCs w:val="24"/>
          <w:lang w:val="tr-TR"/>
        </w:rPr>
        <w:t xml:space="preserve"> 2008).</w:t>
      </w:r>
    </w:p>
    <w:p w14:paraId="342101F7" w14:textId="59089188" w:rsidR="002B2359" w:rsidRPr="004A47CE" w:rsidRDefault="00C47102" w:rsidP="004A47CE">
      <w:pPr>
        <w:spacing w:after="120" w:line="240" w:lineRule="auto"/>
        <w:ind w:firstLine="709"/>
        <w:jc w:val="both"/>
        <w:rPr>
          <w:rFonts w:ascii="Times New Roman" w:eastAsia="Calibri" w:hAnsi="Times New Roman" w:cs="Times New Roman"/>
          <w:color w:val="000000" w:themeColor="text1"/>
          <w:sz w:val="24"/>
          <w:szCs w:val="24"/>
          <w:lang w:val="tr-TR"/>
        </w:rPr>
      </w:pPr>
      <w:r w:rsidRPr="004A47CE">
        <w:rPr>
          <w:rFonts w:ascii="Times New Roman" w:eastAsia="Calibri" w:hAnsi="Times New Roman" w:cs="Times New Roman"/>
          <w:color w:val="000000" w:themeColor="text1"/>
          <w:sz w:val="24"/>
          <w:szCs w:val="24"/>
          <w:lang w:val="tr-TR"/>
        </w:rPr>
        <w:t>Sağlık ç</w:t>
      </w:r>
      <w:r w:rsidR="007006F3" w:rsidRPr="004A47CE">
        <w:rPr>
          <w:rFonts w:ascii="Times New Roman" w:eastAsia="Calibri" w:hAnsi="Times New Roman" w:cs="Times New Roman"/>
          <w:color w:val="000000" w:themeColor="text1"/>
          <w:sz w:val="24"/>
          <w:szCs w:val="24"/>
          <w:lang w:val="tr-TR"/>
        </w:rPr>
        <w:t>ıktılarının geçiş ekonomileri için incelenmesi</w:t>
      </w:r>
      <w:r w:rsidR="00DA58B2" w:rsidRPr="004A47CE">
        <w:rPr>
          <w:rFonts w:ascii="Times New Roman" w:eastAsia="Calibri" w:hAnsi="Times New Roman" w:cs="Times New Roman"/>
          <w:color w:val="000000" w:themeColor="text1"/>
          <w:sz w:val="24"/>
          <w:szCs w:val="24"/>
          <w:lang w:val="tr-TR"/>
        </w:rPr>
        <w:t xml:space="preserve"> son derece önemlidir.</w:t>
      </w:r>
      <w:r w:rsidR="007006F3" w:rsidRPr="004A47CE">
        <w:rPr>
          <w:rFonts w:ascii="Times New Roman" w:eastAsia="Calibri" w:hAnsi="Times New Roman" w:cs="Times New Roman"/>
          <w:color w:val="000000" w:themeColor="text1"/>
          <w:sz w:val="24"/>
          <w:szCs w:val="24"/>
          <w:lang w:val="tr-TR"/>
        </w:rPr>
        <w:t xml:space="preserve"> Çünkü </w:t>
      </w:r>
      <w:r w:rsidR="00DA58B2" w:rsidRPr="004A47CE">
        <w:rPr>
          <w:rFonts w:ascii="Times New Roman" w:eastAsia="Calibri" w:hAnsi="Times New Roman" w:cs="Times New Roman"/>
          <w:color w:val="000000" w:themeColor="text1"/>
          <w:sz w:val="24"/>
          <w:szCs w:val="24"/>
          <w:lang w:val="tr-TR"/>
        </w:rPr>
        <w:t>söz konusu ülkeler</w:t>
      </w:r>
      <w:r w:rsidR="00AF42B9" w:rsidRPr="004A47CE">
        <w:rPr>
          <w:rFonts w:ascii="Times New Roman" w:eastAsia="Calibri" w:hAnsi="Times New Roman" w:cs="Times New Roman"/>
          <w:color w:val="000000" w:themeColor="text1"/>
          <w:sz w:val="24"/>
          <w:szCs w:val="24"/>
          <w:lang w:val="tr-TR"/>
        </w:rPr>
        <w:t xml:space="preserve"> </w:t>
      </w:r>
      <w:r w:rsidR="00EC502A" w:rsidRPr="004A47CE">
        <w:rPr>
          <w:rFonts w:ascii="Times New Roman" w:eastAsia="Calibri" w:hAnsi="Times New Roman" w:cs="Times New Roman"/>
          <w:color w:val="000000" w:themeColor="text1"/>
          <w:sz w:val="24"/>
          <w:szCs w:val="24"/>
          <w:lang w:val="tr-TR"/>
        </w:rPr>
        <w:t>1990’lı yıllarda</w:t>
      </w:r>
      <w:r w:rsidR="00AF42B9" w:rsidRPr="004A47CE">
        <w:rPr>
          <w:rFonts w:ascii="Times New Roman" w:eastAsia="Calibri" w:hAnsi="Times New Roman" w:cs="Times New Roman"/>
          <w:color w:val="000000" w:themeColor="text1"/>
          <w:sz w:val="24"/>
          <w:szCs w:val="24"/>
          <w:lang w:val="tr-TR"/>
        </w:rPr>
        <w:t xml:space="preserve"> siyasi,</w:t>
      </w:r>
      <w:r w:rsidR="008622EA" w:rsidRPr="004A47CE">
        <w:rPr>
          <w:rFonts w:ascii="Times New Roman" w:eastAsia="Calibri" w:hAnsi="Times New Roman" w:cs="Times New Roman"/>
          <w:color w:val="000000" w:themeColor="text1"/>
          <w:sz w:val="24"/>
          <w:szCs w:val="24"/>
          <w:lang w:val="tr-TR"/>
        </w:rPr>
        <w:t xml:space="preserve"> </w:t>
      </w:r>
      <w:r w:rsidR="00AF42B9" w:rsidRPr="004A47CE">
        <w:rPr>
          <w:rFonts w:ascii="Times New Roman" w:eastAsia="Calibri" w:hAnsi="Times New Roman" w:cs="Times New Roman"/>
          <w:color w:val="000000" w:themeColor="text1"/>
          <w:sz w:val="24"/>
          <w:szCs w:val="24"/>
          <w:lang w:val="tr-TR"/>
        </w:rPr>
        <w:t>sosyal ve ekonomik değişiklikler</w:t>
      </w:r>
      <w:r w:rsidR="00DB142F" w:rsidRPr="004A47CE">
        <w:rPr>
          <w:rFonts w:ascii="Times New Roman" w:eastAsia="Calibri" w:hAnsi="Times New Roman" w:cs="Times New Roman"/>
          <w:color w:val="000000" w:themeColor="text1"/>
          <w:sz w:val="24"/>
          <w:szCs w:val="24"/>
          <w:lang w:val="tr-TR"/>
        </w:rPr>
        <w:t>e maruz kalmışlardır.</w:t>
      </w:r>
      <w:r w:rsidR="00EC502A" w:rsidRPr="004A47CE">
        <w:rPr>
          <w:rFonts w:ascii="Times New Roman" w:eastAsia="Calibri" w:hAnsi="Times New Roman" w:cs="Times New Roman"/>
          <w:color w:val="000000" w:themeColor="text1"/>
          <w:sz w:val="24"/>
          <w:szCs w:val="24"/>
          <w:lang w:val="tr-TR"/>
        </w:rPr>
        <w:t xml:space="preserve"> Siyasi ve toplumsal </w:t>
      </w:r>
      <w:r w:rsidR="007A100C" w:rsidRPr="004A47CE">
        <w:rPr>
          <w:rFonts w:ascii="Times New Roman" w:eastAsia="Calibri" w:hAnsi="Times New Roman" w:cs="Times New Roman"/>
          <w:color w:val="000000" w:themeColor="text1"/>
          <w:sz w:val="24"/>
          <w:szCs w:val="24"/>
          <w:lang w:val="tr-TR"/>
        </w:rPr>
        <w:t>dönüşümler nüfus sağlığı</w:t>
      </w:r>
      <w:r w:rsidR="00255087" w:rsidRPr="004A47CE">
        <w:rPr>
          <w:rFonts w:ascii="Times New Roman" w:eastAsia="Calibri" w:hAnsi="Times New Roman" w:cs="Times New Roman"/>
          <w:color w:val="000000" w:themeColor="text1"/>
          <w:sz w:val="24"/>
          <w:szCs w:val="24"/>
          <w:lang w:val="tr-TR"/>
        </w:rPr>
        <w:t xml:space="preserve"> üzerinde de önemli etkilere neden olmuşlardır</w:t>
      </w:r>
      <w:r w:rsidR="00DB142F" w:rsidRPr="004A47CE">
        <w:rPr>
          <w:rFonts w:ascii="Times New Roman" w:eastAsia="Calibri" w:hAnsi="Times New Roman" w:cs="Times New Roman"/>
          <w:color w:val="000000" w:themeColor="text1"/>
          <w:sz w:val="24"/>
          <w:szCs w:val="24"/>
          <w:lang w:val="tr-TR"/>
        </w:rPr>
        <w:t xml:space="preserve"> (Nolte </w:t>
      </w:r>
      <w:r w:rsidR="00E071F1">
        <w:rPr>
          <w:rFonts w:ascii="Times New Roman" w:eastAsia="Calibri" w:hAnsi="Times New Roman" w:cs="Times New Roman"/>
          <w:color w:val="000000" w:themeColor="text1"/>
          <w:sz w:val="24"/>
          <w:szCs w:val="24"/>
          <w:lang w:val="tr-TR"/>
        </w:rPr>
        <w:t>ve diğ.</w:t>
      </w:r>
      <w:r w:rsidR="00DB142F" w:rsidRPr="004A47CE">
        <w:rPr>
          <w:rFonts w:ascii="Times New Roman" w:eastAsia="Calibri" w:hAnsi="Times New Roman" w:cs="Times New Roman"/>
          <w:color w:val="000000" w:themeColor="text1"/>
          <w:sz w:val="24"/>
          <w:szCs w:val="24"/>
          <w:lang w:val="tr-TR"/>
        </w:rPr>
        <w:t xml:space="preserve"> 2005</w:t>
      </w:r>
      <w:r w:rsidR="009F5A7F" w:rsidRPr="004A47CE">
        <w:rPr>
          <w:rFonts w:ascii="Times New Roman" w:eastAsia="Calibri" w:hAnsi="Times New Roman" w:cs="Times New Roman"/>
          <w:color w:val="000000" w:themeColor="text1"/>
          <w:sz w:val="24"/>
          <w:szCs w:val="24"/>
          <w:lang w:val="tr-TR"/>
        </w:rPr>
        <w:t xml:space="preserve">; Grigoriev </w:t>
      </w:r>
      <w:r w:rsidR="00E071F1">
        <w:rPr>
          <w:rFonts w:ascii="Times New Roman" w:eastAsia="Calibri" w:hAnsi="Times New Roman" w:cs="Times New Roman"/>
          <w:color w:val="000000" w:themeColor="text1"/>
          <w:sz w:val="24"/>
          <w:szCs w:val="24"/>
          <w:lang w:val="tr-TR"/>
        </w:rPr>
        <w:t>ve diğ.</w:t>
      </w:r>
      <w:r w:rsidR="009F5A7F" w:rsidRPr="004A47CE">
        <w:rPr>
          <w:rFonts w:ascii="Times New Roman" w:eastAsia="Calibri" w:hAnsi="Times New Roman" w:cs="Times New Roman"/>
          <w:color w:val="000000" w:themeColor="text1"/>
          <w:sz w:val="24"/>
          <w:szCs w:val="24"/>
          <w:lang w:val="tr-TR"/>
        </w:rPr>
        <w:t xml:space="preserve"> 2010</w:t>
      </w:r>
      <w:r w:rsidR="00DB142F" w:rsidRPr="004A47CE">
        <w:rPr>
          <w:rFonts w:ascii="Times New Roman" w:eastAsia="Calibri" w:hAnsi="Times New Roman" w:cs="Times New Roman"/>
          <w:color w:val="000000" w:themeColor="text1"/>
          <w:sz w:val="24"/>
          <w:szCs w:val="24"/>
          <w:lang w:val="tr-TR"/>
        </w:rPr>
        <w:t xml:space="preserve">). </w:t>
      </w:r>
      <w:r w:rsidR="009F5A7F" w:rsidRPr="004A47CE">
        <w:rPr>
          <w:rFonts w:ascii="Times New Roman" w:eastAsia="Calibri" w:hAnsi="Times New Roman" w:cs="Times New Roman"/>
          <w:color w:val="000000" w:themeColor="text1"/>
          <w:sz w:val="24"/>
          <w:szCs w:val="24"/>
          <w:lang w:val="tr-TR"/>
        </w:rPr>
        <w:t>Geçiş sürecinde yaşanan i</w:t>
      </w:r>
      <w:r w:rsidR="00FC6244" w:rsidRPr="004A47CE">
        <w:rPr>
          <w:rFonts w:ascii="Times New Roman" w:eastAsia="Calibri" w:hAnsi="Times New Roman" w:cs="Times New Roman"/>
          <w:color w:val="000000" w:themeColor="text1"/>
          <w:sz w:val="24"/>
          <w:szCs w:val="24"/>
          <w:lang w:val="tr-TR"/>
        </w:rPr>
        <w:t xml:space="preserve">şsizlikteki artış, yaşam standartlarının düşmesi, gelir dağılımındaki dengesizlikler ve psikolojik stres gibi faktörler sağlık çıktılarının bozulmasına neden olmuştur (Cornia ve Paniccia, 2000; Cockerham </w:t>
      </w:r>
      <w:r w:rsidR="00E071F1">
        <w:rPr>
          <w:rFonts w:ascii="Times New Roman" w:eastAsia="Calibri" w:hAnsi="Times New Roman" w:cs="Times New Roman"/>
          <w:color w:val="000000" w:themeColor="text1"/>
          <w:sz w:val="24"/>
          <w:szCs w:val="24"/>
          <w:lang w:val="tr-TR"/>
        </w:rPr>
        <w:t>ve diğ.</w:t>
      </w:r>
      <w:r w:rsidR="00FC6244" w:rsidRPr="004A47CE">
        <w:rPr>
          <w:rFonts w:ascii="Times New Roman" w:eastAsia="Calibri" w:hAnsi="Times New Roman" w:cs="Times New Roman"/>
          <w:color w:val="000000" w:themeColor="text1"/>
          <w:sz w:val="24"/>
          <w:szCs w:val="24"/>
          <w:lang w:val="tr-TR"/>
        </w:rPr>
        <w:t xml:space="preserve"> 200</w:t>
      </w:r>
      <w:r w:rsidR="009F5A7F" w:rsidRPr="004A47CE">
        <w:rPr>
          <w:rFonts w:ascii="Times New Roman" w:eastAsia="Calibri" w:hAnsi="Times New Roman" w:cs="Times New Roman"/>
          <w:color w:val="000000" w:themeColor="text1"/>
          <w:sz w:val="24"/>
          <w:szCs w:val="24"/>
          <w:lang w:val="tr-TR"/>
        </w:rPr>
        <w:t>6</w:t>
      </w:r>
      <w:r w:rsidR="008622EA" w:rsidRPr="004A47CE">
        <w:rPr>
          <w:rFonts w:ascii="Times New Roman" w:eastAsia="Calibri" w:hAnsi="Times New Roman" w:cs="Times New Roman"/>
          <w:color w:val="000000" w:themeColor="text1"/>
          <w:sz w:val="24"/>
          <w:szCs w:val="24"/>
          <w:lang w:val="tr-TR"/>
        </w:rPr>
        <w:t xml:space="preserve">). </w:t>
      </w:r>
      <w:r w:rsidR="00EC502A" w:rsidRPr="004A47CE">
        <w:rPr>
          <w:rFonts w:ascii="Times New Roman" w:eastAsia="Calibri" w:hAnsi="Times New Roman" w:cs="Times New Roman"/>
          <w:color w:val="000000" w:themeColor="text1"/>
          <w:sz w:val="24"/>
          <w:szCs w:val="24"/>
          <w:lang w:val="tr-TR"/>
        </w:rPr>
        <w:t>Cinsiyete göre yaşam beklentisindeki farklılıklar</w:t>
      </w:r>
      <w:r w:rsidR="0049203A" w:rsidRPr="004A47CE">
        <w:rPr>
          <w:rFonts w:ascii="Times New Roman" w:eastAsia="Calibri" w:hAnsi="Times New Roman" w:cs="Times New Roman"/>
          <w:color w:val="000000" w:themeColor="text1"/>
          <w:sz w:val="24"/>
          <w:szCs w:val="24"/>
          <w:lang w:val="tr-TR"/>
        </w:rPr>
        <w:t xml:space="preserve">ın da artmaya başladığı gözlemlenmiştir. 1960'larda Batı </w:t>
      </w:r>
      <w:r w:rsidR="00255087" w:rsidRPr="004A47CE">
        <w:rPr>
          <w:rFonts w:ascii="Times New Roman" w:eastAsia="Calibri" w:hAnsi="Times New Roman" w:cs="Times New Roman"/>
          <w:color w:val="000000" w:themeColor="text1"/>
          <w:sz w:val="24"/>
          <w:szCs w:val="24"/>
          <w:lang w:val="tr-TR"/>
        </w:rPr>
        <w:t xml:space="preserve">Bağımsız Devletler Topluluğu </w:t>
      </w:r>
      <w:r w:rsidR="0049203A" w:rsidRPr="004A47CE">
        <w:rPr>
          <w:rFonts w:ascii="Times New Roman" w:eastAsia="Calibri" w:hAnsi="Times New Roman" w:cs="Times New Roman"/>
          <w:color w:val="000000" w:themeColor="text1"/>
          <w:sz w:val="24"/>
          <w:szCs w:val="24"/>
          <w:lang w:val="tr-TR"/>
        </w:rPr>
        <w:t>(</w:t>
      </w:r>
      <w:r w:rsidR="00255087" w:rsidRPr="004A47CE">
        <w:rPr>
          <w:rFonts w:ascii="Times New Roman" w:eastAsia="Calibri" w:hAnsi="Times New Roman" w:cs="Times New Roman"/>
          <w:color w:val="000000" w:themeColor="text1"/>
          <w:sz w:val="24"/>
          <w:szCs w:val="24"/>
          <w:lang w:val="tr-TR"/>
        </w:rPr>
        <w:t>BDT</w:t>
      </w:r>
      <w:r w:rsidR="0049203A" w:rsidRPr="004A47CE">
        <w:rPr>
          <w:rFonts w:ascii="Times New Roman" w:eastAsia="Calibri" w:hAnsi="Times New Roman" w:cs="Times New Roman"/>
          <w:color w:val="000000" w:themeColor="text1"/>
          <w:sz w:val="24"/>
          <w:szCs w:val="24"/>
          <w:lang w:val="tr-TR"/>
        </w:rPr>
        <w:t>) ülkelerinde yaşayan erkekler küresel ortalamadan 12 yıl daha uzun yaş</w:t>
      </w:r>
      <w:r w:rsidR="00255087" w:rsidRPr="004A47CE">
        <w:rPr>
          <w:rFonts w:ascii="Times New Roman" w:eastAsia="Calibri" w:hAnsi="Times New Roman" w:cs="Times New Roman"/>
          <w:color w:val="000000" w:themeColor="text1"/>
          <w:sz w:val="24"/>
          <w:szCs w:val="24"/>
          <w:lang w:val="tr-TR"/>
        </w:rPr>
        <w:t>arken</w:t>
      </w:r>
      <w:r w:rsidR="0049203A" w:rsidRPr="004A47CE">
        <w:rPr>
          <w:rFonts w:ascii="Times New Roman" w:eastAsia="Calibri" w:hAnsi="Times New Roman" w:cs="Times New Roman"/>
          <w:color w:val="000000" w:themeColor="text1"/>
          <w:sz w:val="24"/>
          <w:szCs w:val="24"/>
          <w:lang w:val="tr-TR"/>
        </w:rPr>
        <w:t xml:space="preserve">, 2012 yılına doğru </w:t>
      </w:r>
      <w:r w:rsidR="00255087" w:rsidRPr="004A47CE">
        <w:rPr>
          <w:rFonts w:ascii="Times New Roman" w:eastAsia="Calibri" w:hAnsi="Times New Roman" w:cs="Times New Roman"/>
          <w:color w:val="000000" w:themeColor="text1"/>
          <w:sz w:val="24"/>
          <w:szCs w:val="24"/>
          <w:lang w:val="tr-TR"/>
        </w:rPr>
        <w:t xml:space="preserve">yaşam </w:t>
      </w:r>
      <w:r w:rsidR="0049203A" w:rsidRPr="004A47CE">
        <w:rPr>
          <w:rFonts w:ascii="Times New Roman" w:eastAsia="Calibri" w:hAnsi="Times New Roman" w:cs="Times New Roman"/>
          <w:color w:val="000000" w:themeColor="text1"/>
          <w:sz w:val="24"/>
          <w:szCs w:val="24"/>
          <w:lang w:val="tr-TR"/>
        </w:rPr>
        <w:t>ömrü</w:t>
      </w:r>
      <w:r w:rsidR="00255087" w:rsidRPr="004A47CE">
        <w:rPr>
          <w:rFonts w:ascii="Times New Roman" w:eastAsia="Calibri" w:hAnsi="Times New Roman" w:cs="Times New Roman"/>
          <w:color w:val="000000" w:themeColor="text1"/>
          <w:sz w:val="24"/>
          <w:szCs w:val="24"/>
          <w:lang w:val="tr-TR"/>
        </w:rPr>
        <w:t>nün</w:t>
      </w:r>
      <w:r w:rsidR="0049203A" w:rsidRPr="004A47CE">
        <w:rPr>
          <w:rFonts w:ascii="Times New Roman" w:eastAsia="Calibri" w:hAnsi="Times New Roman" w:cs="Times New Roman"/>
          <w:color w:val="000000" w:themeColor="text1"/>
          <w:sz w:val="24"/>
          <w:szCs w:val="24"/>
          <w:lang w:val="tr-TR"/>
        </w:rPr>
        <w:t xml:space="preserve"> dünya ortalamasından iki yıl daha az</w:t>
      </w:r>
      <w:r w:rsidR="00255087" w:rsidRPr="004A47CE">
        <w:rPr>
          <w:rFonts w:ascii="Times New Roman" w:eastAsia="Calibri" w:hAnsi="Times New Roman" w:cs="Times New Roman"/>
          <w:color w:val="000000" w:themeColor="text1"/>
          <w:sz w:val="24"/>
          <w:szCs w:val="24"/>
          <w:lang w:val="tr-TR"/>
        </w:rPr>
        <w:t xml:space="preserve"> olduğu görülmektedir</w:t>
      </w:r>
      <w:r w:rsidR="0049203A" w:rsidRPr="004A47CE">
        <w:rPr>
          <w:rFonts w:ascii="Times New Roman" w:eastAsia="Calibri" w:hAnsi="Times New Roman" w:cs="Times New Roman"/>
          <w:color w:val="000000" w:themeColor="text1"/>
          <w:sz w:val="24"/>
          <w:szCs w:val="24"/>
          <w:lang w:val="tr-TR"/>
        </w:rPr>
        <w:t>. Kadınlar için de düşüş olduğu görülmüştür. 1960’lı yılların başlarında kadınlar diğer ülkelerdeki kadınlara göre 14 yıl uzun yaş</w:t>
      </w:r>
      <w:r w:rsidR="00255087" w:rsidRPr="004A47CE">
        <w:rPr>
          <w:rFonts w:ascii="Times New Roman" w:eastAsia="Calibri" w:hAnsi="Times New Roman" w:cs="Times New Roman"/>
          <w:color w:val="000000" w:themeColor="text1"/>
          <w:sz w:val="24"/>
          <w:szCs w:val="24"/>
          <w:lang w:val="tr-TR"/>
        </w:rPr>
        <w:t xml:space="preserve">arken, </w:t>
      </w:r>
      <w:r w:rsidR="0049203A" w:rsidRPr="004A47CE">
        <w:rPr>
          <w:rFonts w:ascii="Times New Roman" w:eastAsia="Calibri" w:hAnsi="Times New Roman" w:cs="Times New Roman"/>
          <w:color w:val="000000" w:themeColor="text1"/>
          <w:sz w:val="24"/>
          <w:szCs w:val="24"/>
          <w:lang w:val="tr-TR"/>
        </w:rPr>
        <w:t>2012</w:t>
      </w:r>
      <w:r w:rsidR="00255087" w:rsidRPr="004A47CE">
        <w:rPr>
          <w:rFonts w:ascii="Times New Roman" w:eastAsia="Calibri" w:hAnsi="Times New Roman" w:cs="Times New Roman"/>
          <w:color w:val="000000" w:themeColor="text1"/>
          <w:sz w:val="24"/>
          <w:szCs w:val="24"/>
          <w:lang w:val="tr-TR"/>
        </w:rPr>
        <w:t xml:space="preserve"> yılına </w:t>
      </w:r>
      <w:r w:rsidR="0049203A" w:rsidRPr="004A47CE">
        <w:rPr>
          <w:rFonts w:ascii="Times New Roman" w:eastAsia="Calibri" w:hAnsi="Times New Roman" w:cs="Times New Roman"/>
          <w:color w:val="000000" w:themeColor="text1"/>
          <w:sz w:val="24"/>
          <w:szCs w:val="24"/>
          <w:lang w:val="tr-TR"/>
        </w:rPr>
        <w:t xml:space="preserve">doğru bu fark iki yıl olarak kaydedilmiştir. </w:t>
      </w:r>
    </w:p>
    <w:p w14:paraId="344D243C" w14:textId="680814DE" w:rsidR="006202BB" w:rsidRPr="004A47CE" w:rsidRDefault="006202BB" w:rsidP="004A47CE">
      <w:pPr>
        <w:spacing w:after="120" w:line="240" w:lineRule="auto"/>
        <w:ind w:firstLine="709"/>
        <w:jc w:val="both"/>
        <w:rPr>
          <w:rFonts w:ascii="Times New Roman" w:eastAsia="Calibri" w:hAnsi="Times New Roman" w:cs="Times New Roman"/>
          <w:sz w:val="24"/>
          <w:szCs w:val="24"/>
          <w:lang w:val="tr-TR"/>
        </w:rPr>
      </w:pPr>
      <w:r w:rsidRPr="004A47CE">
        <w:rPr>
          <w:rFonts w:ascii="Times New Roman" w:eastAsia="Calibri" w:hAnsi="Times New Roman" w:cs="Times New Roman"/>
          <w:sz w:val="24"/>
          <w:szCs w:val="24"/>
          <w:lang w:val="tr-TR"/>
        </w:rPr>
        <w:t>Bu çalışmanın amacı</w:t>
      </w:r>
      <w:r w:rsidR="00255087" w:rsidRPr="004A47CE">
        <w:rPr>
          <w:rFonts w:ascii="Times New Roman" w:eastAsia="Calibri" w:hAnsi="Times New Roman" w:cs="Times New Roman"/>
          <w:sz w:val="24"/>
          <w:szCs w:val="24"/>
          <w:lang w:val="tr-TR"/>
        </w:rPr>
        <w:t>,</w:t>
      </w:r>
      <w:r w:rsidRPr="004A47CE">
        <w:rPr>
          <w:rFonts w:ascii="Times New Roman" w:eastAsia="Calibri" w:hAnsi="Times New Roman" w:cs="Times New Roman"/>
          <w:sz w:val="24"/>
          <w:szCs w:val="24"/>
          <w:lang w:val="tr-TR"/>
        </w:rPr>
        <w:t xml:space="preserve"> seçilmiş geçiş ülkelerinde (Ermenistan, Beyaz Rusya, Bulgaristan, Gürcistan, Estonya, Macaristan, Kazakistan, Kırgız Cumhuriyeti, Letonya, Litvanya, Moldova,  Rusya Federasyonu, Slovak,  Slovenya, Tacikistan, Özbekistan) kadın ve </w:t>
      </w:r>
      <w:r w:rsidRPr="004A47CE">
        <w:rPr>
          <w:rFonts w:ascii="Times New Roman" w:eastAsia="Calibri" w:hAnsi="Times New Roman" w:cs="Times New Roman"/>
          <w:sz w:val="24"/>
          <w:szCs w:val="24"/>
          <w:lang w:val="tr-TR"/>
        </w:rPr>
        <w:lastRenderedPageBreak/>
        <w:t xml:space="preserve">erkeklerin yaşam sürelerini etkileyen ekonomik ve sosyo-demografik faktörleri incelemektir. Ampirik uygulamada söz konusu ülkelerin 2000-2016 dönemine ait yıllık verileri kullanılmıştır. Kişi başına GSYİH, eğitim, sağlık harcamaları, güvenli suya erişim ve nüfus gibi ekonomik ve sosyo-demografik faktörlerin etkilerini ortaya koyabilmek için Panel ARDL modeli kullanılmıştır. </w:t>
      </w:r>
      <w:r w:rsidR="001029B1" w:rsidRPr="00F9226F">
        <w:rPr>
          <w:rFonts w:ascii="Times New Roman" w:eastAsia="Calibri" w:hAnsi="Times New Roman" w:cs="Times New Roman"/>
          <w:sz w:val="24"/>
          <w:szCs w:val="24"/>
          <w:lang w:val="tr-TR"/>
        </w:rPr>
        <w:t>Çalışmadan e</w:t>
      </w:r>
      <w:r w:rsidRPr="00F9226F">
        <w:rPr>
          <w:rFonts w:ascii="Times New Roman" w:eastAsia="Calibri" w:hAnsi="Times New Roman" w:cs="Times New Roman"/>
          <w:sz w:val="24"/>
          <w:szCs w:val="24"/>
          <w:lang w:val="tr-TR"/>
        </w:rPr>
        <w:t>lde edilen bulgular</w:t>
      </w:r>
      <w:r w:rsidR="001029B1" w:rsidRPr="00F9226F">
        <w:rPr>
          <w:rFonts w:ascii="Times New Roman" w:eastAsia="Calibri" w:hAnsi="Times New Roman" w:cs="Times New Roman"/>
          <w:sz w:val="24"/>
          <w:szCs w:val="24"/>
          <w:lang w:val="tr-TR"/>
        </w:rPr>
        <w:t>,</w:t>
      </w:r>
      <w:r w:rsidRPr="00F9226F">
        <w:rPr>
          <w:rFonts w:ascii="Times New Roman" w:eastAsia="Calibri" w:hAnsi="Times New Roman" w:cs="Times New Roman"/>
          <w:sz w:val="24"/>
          <w:szCs w:val="24"/>
          <w:lang w:val="tr-TR"/>
        </w:rPr>
        <w:t xml:space="preserve"> </w:t>
      </w:r>
      <w:r w:rsidR="001029B1" w:rsidRPr="00F9226F">
        <w:rPr>
          <w:rFonts w:ascii="Times New Roman" w:eastAsia="Calibri" w:hAnsi="Times New Roman" w:cs="Times New Roman"/>
          <w:sz w:val="24"/>
          <w:szCs w:val="24"/>
          <w:lang w:val="tr-TR"/>
        </w:rPr>
        <w:t xml:space="preserve">ekonomik ve sosyo-demografik faktörlerin </w:t>
      </w:r>
      <w:r w:rsidR="003C382A" w:rsidRPr="00F9226F">
        <w:rPr>
          <w:rFonts w:ascii="Times New Roman" w:eastAsia="Calibri" w:hAnsi="Times New Roman" w:cs="Times New Roman"/>
          <w:sz w:val="24"/>
          <w:szCs w:val="24"/>
          <w:lang w:val="tr-TR"/>
        </w:rPr>
        <w:t>yaşam süreleri üzerinde</w:t>
      </w:r>
      <w:r w:rsidR="001029B1" w:rsidRPr="00F9226F">
        <w:rPr>
          <w:rFonts w:ascii="Times New Roman" w:eastAsia="Calibri" w:hAnsi="Times New Roman" w:cs="Times New Roman"/>
          <w:sz w:val="24"/>
          <w:szCs w:val="24"/>
          <w:lang w:val="tr-TR"/>
        </w:rPr>
        <w:t>ki etkilerinin cinsiyete göre farklılık olduğunu ortaya koymuştur.</w:t>
      </w:r>
      <w:r w:rsidR="001029B1" w:rsidRPr="004A47CE">
        <w:rPr>
          <w:rFonts w:ascii="Times New Roman" w:eastAsia="Calibri" w:hAnsi="Times New Roman" w:cs="Times New Roman"/>
          <w:sz w:val="24"/>
          <w:szCs w:val="24"/>
          <w:lang w:val="tr-TR"/>
        </w:rPr>
        <w:t xml:space="preserve"> </w:t>
      </w:r>
    </w:p>
    <w:p w14:paraId="76F71F9C" w14:textId="507A4887" w:rsidR="00900CE1" w:rsidRPr="004A47CE" w:rsidRDefault="003C382A" w:rsidP="004A47CE">
      <w:pPr>
        <w:spacing w:after="120" w:line="240" w:lineRule="auto"/>
        <w:ind w:firstLine="709"/>
        <w:jc w:val="both"/>
        <w:rPr>
          <w:rFonts w:ascii="Times New Roman" w:eastAsia="Calibri" w:hAnsi="Times New Roman" w:cs="Times New Roman"/>
          <w:color w:val="000000" w:themeColor="text1"/>
          <w:sz w:val="24"/>
          <w:szCs w:val="24"/>
          <w:lang w:val="tr-TR"/>
        </w:rPr>
      </w:pPr>
      <w:r w:rsidRPr="004A47CE">
        <w:rPr>
          <w:rFonts w:ascii="Times New Roman" w:eastAsia="Calibri" w:hAnsi="Times New Roman" w:cs="Times New Roman"/>
          <w:color w:val="000000" w:themeColor="text1"/>
          <w:sz w:val="24"/>
          <w:szCs w:val="24"/>
          <w:lang w:val="tr-TR"/>
        </w:rPr>
        <w:t>Bu ç</w:t>
      </w:r>
      <w:r w:rsidR="00652327" w:rsidRPr="004A47CE">
        <w:rPr>
          <w:rFonts w:ascii="Times New Roman" w:eastAsia="Calibri" w:hAnsi="Times New Roman" w:cs="Times New Roman"/>
          <w:color w:val="000000" w:themeColor="text1"/>
          <w:sz w:val="24"/>
          <w:szCs w:val="24"/>
          <w:lang w:val="tr-TR"/>
        </w:rPr>
        <w:t xml:space="preserve">alışmamın literatüre katkısı iki yönden ele alınabilir. İlk olarak geçiş ülkelerinde sağlık çıktılarının cinsiyete göre farklılık gösterip göstermediği incelenmektedir. Literatür incelendiğinde geçiş ülkelerini ele alan ve bu açıdan inceleyen başka bir çalışmaya rastlanılmamıştır. Hem iktisadi hem de sosyo-demografik değişkenler ile kadın ve erkeklerin yaşam beklentileri arasındaki ilişkiye odaklanan çalışmanın yapılmadığı görülmektedir. İkinci olarak geçiş ülkeleri bağlamında bu çalışmada kullanılan panel ARDL modelini kullanan başka bir çalışma bulunmamaktadır. </w:t>
      </w:r>
    </w:p>
    <w:p w14:paraId="3F3B1245" w14:textId="5222B6AA" w:rsidR="00B5085A" w:rsidRPr="004A47CE" w:rsidRDefault="006202BB" w:rsidP="004A47CE">
      <w:pPr>
        <w:spacing w:after="120" w:line="240" w:lineRule="auto"/>
        <w:ind w:firstLine="709"/>
        <w:jc w:val="both"/>
        <w:rPr>
          <w:rFonts w:ascii="Times New Roman" w:hAnsi="Times New Roman" w:cs="Times New Roman"/>
          <w:b/>
          <w:sz w:val="24"/>
          <w:szCs w:val="24"/>
          <w:lang w:val="tr-TR"/>
        </w:rPr>
      </w:pPr>
      <w:r w:rsidRPr="004A47CE">
        <w:rPr>
          <w:rFonts w:ascii="Times New Roman" w:eastAsia="Calibri" w:hAnsi="Times New Roman" w:cs="Times New Roman"/>
          <w:sz w:val="24"/>
          <w:szCs w:val="24"/>
          <w:lang w:val="tr-TR"/>
        </w:rPr>
        <w:t>Giriş bölümünü izleyen ikinci bölümde sağlığın temel belirleyicilerini inceleyen çalışmalar üzerinde durulmuştur. Üçüncü bölümde veri seti ve değişkenler tanıtılmıştır. Metodoloji ve elde edilen bulgulara dördüncü bölümde yer verilmiştir. Çalışmamız sonuç bölümüyle sona ermektedir.</w:t>
      </w:r>
      <w:r w:rsidR="00177931" w:rsidRPr="004A47CE">
        <w:rPr>
          <w:rFonts w:ascii="Times New Roman" w:hAnsi="Times New Roman" w:cs="Times New Roman"/>
          <w:b/>
          <w:sz w:val="24"/>
          <w:szCs w:val="24"/>
          <w:lang w:val="tr-TR"/>
        </w:rPr>
        <w:t xml:space="preserve"> </w:t>
      </w:r>
    </w:p>
    <w:p w14:paraId="3B1B2F0A" w14:textId="6124240E" w:rsidR="002921B6" w:rsidRPr="00965FBD" w:rsidRDefault="007B1D65" w:rsidP="00982AE4">
      <w:pPr>
        <w:pStyle w:val="1"/>
        <w:spacing w:before="0" w:after="120" w:line="240" w:lineRule="auto"/>
        <w:rPr>
          <w:rFonts w:ascii="Times New Roman" w:hAnsi="Times New Roman" w:cs="Times New Roman"/>
          <w:b/>
          <w:color w:val="auto"/>
          <w:sz w:val="24"/>
          <w:szCs w:val="24"/>
          <w:lang w:val="tr-TR"/>
        </w:rPr>
      </w:pPr>
      <w:r w:rsidRPr="00965FBD">
        <w:rPr>
          <w:rFonts w:ascii="Times New Roman" w:hAnsi="Times New Roman" w:cs="Times New Roman"/>
          <w:b/>
          <w:color w:val="auto"/>
          <w:sz w:val="24"/>
          <w:szCs w:val="24"/>
          <w:lang w:val="tr-TR"/>
        </w:rPr>
        <w:t>2.LİTERATÜR</w:t>
      </w:r>
    </w:p>
    <w:p w14:paraId="1BB5DDFA" w14:textId="653362E3" w:rsidR="00C27DE2" w:rsidRPr="004A47CE" w:rsidRDefault="00C77480" w:rsidP="004A47CE">
      <w:pPr>
        <w:spacing w:after="120" w:line="240" w:lineRule="auto"/>
        <w:ind w:firstLine="709"/>
        <w:jc w:val="both"/>
        <w:rPr>
          <w:rFonts w:ascii="Times New Roman" w:hAnsi="Times New Roman" w:cs="Times New Roman"/>
          <w:sz w:val="24"/>
          <w:szCs w:val="24"/>
          <w:lang w:val="tr-TR"/>
        </w:rPr>
      </w:pPr>
      <w:r w:rsidRPr="004A47CE">
        <w:rPr>
          <w:rFonts w:ascii="Times New Roman" w:hAnsi="Times New Roman" w:cs="Times New Roman"/>
          <w:sz w:val="24"/>
          <w:szCs w:val="24"/>
          <w:lang w:val="tr-TR"/>
        </w:rPr>
        <w:t xml:space="preserve">Auster vd. (1969)’in yayımladığı çalışma ile </w:t>
      </w:r>
      <w:r w:rsidR="009D0538" w:rsidRPr="004A47CE">
        <w:rPr>
          <w:rFonts w:ascii="Times New Roman" w:hAnsi="Times New Roman" w:cs="Times New Roman"/>
          <w:sz w:val="24"/>
          <w:szCs w:val="24"/>
          <w:lang w:val="tr-TR"/>
        </w:rPr>
        <w:t xml:space="preserve">sağlığın temel belirleyicilerinin ortaya konulması </w:t>
      </w:r>
      <w:r w:rsidRPr="004A47CE">
        <w:rPr>
          <w:rFonts w:ascii="Times New Roman" w:hAnsi="Times New Roman" w:cs="Times New Roman"/>
          <w:sz w:val="24"/>
          <w:szCs w:val="24"/>
          <w:lang w:val="tr-TR"/>
        </w:rPr>
        <w:t>araştırmacıla</w:t>
      </w:r>
      <w:r w:rsidR="009D0538" w:rsidRPr="004A47CE">
        <w:rPr>
          <w:rFonts w:ascii="Times New Roman" w:hAnsi="Times New Roman" w:cs="Times New Roman"/>
          <w:sz w:val="24"/>
          <w:szCs w:val="24"/>
          <w:lang w:val="tr-TR"/>
        </w:rPr>
        <w:t>rın ilgi odağı haline gelmiştir</w:t>
      </w:r>
      <w:r w:rsidRPr="004A47CE">
        <w:rPr>
          <w:rFonts w:ascii="Times New Roman" w:hAnsi="Times New Roman" w:cs="Times New Roman"/>
          <w:sz w:val="24"/>
          <w:szCs w:val="24"/>
          <w:lang w:val="tr-TR"/>
        </w:rPr>
        <w:t xml:space="preserve">. </w:t>
      </w:r>
      <w:r w:rsidR="009D0538" w:rsidRPr="004A47CE">
        <w:rPr>
          <w:rFonts w:ascii="Times New Roman" w:hAnsi="Times New Roman" w:cs="Times New Roman"/>
          <w:sz w:val="24"/>
          <w:szCs w:val="24"/>
          <w:lang w:val="tr-TR"/>
        </w:rPr>
        <w:t>Sağlığa etki eden faktörleri farklı ülkeler için değişik yöntemleri kullanarak inceleyen çalışmaların</w:t>
      </w:r>
      <w:r w:rsidRPr="004A47CE">
        <w:rPr>
          <w:rFonts w:ascii="Times New Roman" w:hAnsi="Times New Roman" w:cs="Times New Roman"/>
          <w:sz w:val="24"/>
          <w:szCs w:val="24"/>
          <w:lang w:val="tr-TR"/>
        </w:rPr>
        <w:t xml:space="preserve"> </w:t>
      </w:r>
      <w:r w:rsidR="002D5F5E" w:rsidRPr="004A47CE">
        <w:rPr>
          <w:rFonts w:ascii="Times New Roman" w:hAnsi="Times New Roman" w:cs="Times New Roman"/>
          <w:sz w:val="24"/>
          <w:szCs w:val="24"/>
          <w:lang w:val="tr-TR"/>
        </w:rPr>
        <w:t xml:space="preserve">sayısı artmaya başlamıştır. </w:t>
      </w:r>
      <w:r w:rsidR="009D0538" w:rsidRPr="004A47CE">
        <w:rPr>
          <w:rFonts w:ascii="Times New Roman" w:hAnsi="Times New Roman" w:cs="Times New Roman"/>
          <w:sz w:val="24"/>
          <w:szCs w:val="24"/>
          <w:lang w:val="tr-TR"/>
        </w:rPr>
        <w:t>Önceki çalışmaların çoğu</w:t>
      </w:r>
      <w:r w:rsidR="00C0612F" w:rsidRPr="004A47CE">
        <w:rPr>
          <w:rFonts w:ascii="Times New Roman" w:hAnsi="Times New Roman" w:cs="Times New Roman"/>
          <w:sz w:val="24"/>
          <w:szCs w:val="24"/>
          <w:lang w:val="tr-TR"/>
        </w:rPr>
        <w:t>nda</w:t>
      </w:r>
      <w:r w:rsidR="009D0538" w:rsidRPr="004A47CE">
        <w:rPr>
          <w:rFonts w:ascii="Times New Roman" w:hAnsi="Times New Roman" w:cs="Times New Roman"/>
          <w:sz w:val="24"/>
          <w:szCs w:val="24"/>
          <w:lang w:val="tr-TR"/>
        </w:rPr>
        <w:t xml:space="preserve"> sağlığın temel belirleyicileri olarak ekonomik, </w:t>
      </w:r>
      <w:r w:rsidR="00C0612F" w:rsidRPr="004A47CE">
        <w:rPr>
          <w:rFonts w:ascii="Times New Roman" w:hAnsi="Times New Roman" w:cs="Times New Roman"/>
          <w:sz w:val="24"/>
          <w:szCs w:val="24"/>
          <w:lang w:val="tr-TR"/>
        </w:rPr>
        <w:t>sosyo-demografik,</w:t>
      </w:r>
      <w:r w:rsidR="009D0538" w:rsidRPr="004A47CE">
        <w:rPr>
          <w:rFonts w:ascii="Times New Roman" w:hAnsi="Times New Roman" w:cs="Times New Roman"/>
          <w:sz w:val="24"/>
          <w:szCs w:val="24"/>
          <w:lang w:val="tr-TR"/>
        </w:rPr>
        <w:t xml:space="preserve"> çevresel</w:t>
      </w:r>
      <w:r w:rsidR="00C0612F" w:rsidRPr="004A47CE">
        <w:rPr>
          <w:rFonts w:ascii="Times New Roman" w:hAnsi="Times New Roman" w:cs="Times New Roman"/>
          <w:sz w:val="24"/>
          <w:szCs w:val="24"/>
          <w:lang w:val="tr-TR"/>
        </w:rPr>
        <w:t xml:space="preserve">, yaşam tarzı, sağlık hizmetlerine erişim değişkenlerinin ele alındığı gözlemlenmektedir. </w:t>
      </w:r>
      <w:r w:rsidR="004B4E9C" w:rsidRPr="004A47CE">
        <w:rPr>
          <w:rFonts w:ascii="Times New Roman" w:hAnsi="Times New Roman" w:cs="Times New Roman"/>
          <w:sz w:val="24"/>
          <w:szCs w:val="24"/>
          <w:lang w:val="tr-TR"/>
        </w:rPr>
        <w:t>Sağlığın önemli bir göstergesi olarak beklenen yaşam süre</w:t>
      </w:r>
      <w:r w:rsidR="00E86828" w:rsidRPr="004A47CE">
        <w:rPr>
          <w:rFonts w:ascii="Times New Roman" w:hAnsi="Times New Roman" w:cs="Times New Roman"/>
          <w:sz w:val="24"/>
          <w:szCs w:val="24"/>
          <w:lang w:val="tr-TR"/>
        </w:rPr>
        <w:t>si</w:t>
      </w:r>
      <w:r w:rsidR="004B4E9C" w:rsidRPr="004A47CE">
        <w:rPr>
          <w:rFonts w:ascii="Times New Roman" w:hAnsi="Times New Roman" w:cs="Times New Roman"/>
          <w:sz w:val="24"/>
          <w:szCs w:val="24"/>
          <w:lang w:val="tr-TR"/>
        </w:rPr>
        <w:t xml:space="preserve"> ile bebek ölüm oranlarının sıkça kullanıldığı görülmektedir. </w:t>
      </w:r>
      <w:r w:rsidR="00C0612F" w:rsidRPr="004A47CE">
        <w:rPr>
          <w:rFonts w:ascii="Times New Roman" w:hAnsi="Times New Roman" w:cs="Times New Roman"/>
          <w:sz w:val="24"/>
          <w:szCs w:val="24"/>
          <w:lang w:val="tr-TR"/>
        </w:rPr>
        <w:t>Araştırmacıların daha çok OECD, Avrupa ülkeleri ile ABD üzerine od</w:t>
      </w:r>
      <w:r w:rsidR="00A968BD" w:rsidRPr="004A47CE">
        <w:rPr>
          <w:rFonts w:ascii="Times New Roman" w:hAnsi="Times New Roman" w:cs="Times New Roman"/>
          <w:sz w:val="24"/>
          <w:szCs w:val="24"/>
          <w:lang w:val="tr-TR"/>
        </w:rPr>
        <w:t>aklandıkları göze çarpan bir diğer husus olarak karşımıza çıkmaktadır.</w:t>
      </w:r>
      <w:r w:rsidR="00C0612F" w:rsidRPr="004A47CE">
        <w:rPr>
          <w:rFonts w:ascii="Times New Roman" w:hAnsi="Times New Roman" w:cs="Times New Roman"/>
          <w:sz w:val="24"/>
          <w:szCs w:val="24"/>
          <w:lang w:val="tr-TR"/>
        </w:rPr>
        <w:t xml:space="preserve"> </w:t>
      </w:r>
      <w:r w:rsidR="00502A84" w:rsidRPr="004A47CE">
        <w:rPr>
          <w:rFonts w:ascii="Times New Roman" w:hAnsi="Times New Roman" w:cs="Times New Roman"/>
          <w:sz w:val="24"/>
          <w:szCs w:val="24"/>
          <w:lang w:val="tr-TR"/>
        </w:rPr>
        <w:t>Tablo 1’de bu çalışmalardan bazıları özetlenmiştir.</w:t>
      </w:r>
    </w:p>
    <w:p w14:paraId="77B0914F" w14:textId="4BC37FEE" w:rsidR="00E47839" w:rsidRPr="004A47CE" w:rsidRDefault="00E47839" w:rsidP="004A47CE">
      <w:pPr>
        <w:spacing w:after="120" w:line="240" w:lineRule="auto"/>
        <w:ind w:firstLine="709"/>
        <w:jc w:val="both"/>
        <w:rPr>
          <w:rFonts w:ascii="Times New Roman" w:hAnsi="Times New Roman" w:cs="Times New Roman"/>
          <w:sz w:val="24"/>
          <w:szCs w:val="24"/>
          <w:lang w:val="tr-TR"/>
        </w:rPr>
      </w:pPr>
    </w:p>
    <w:p w14:paraId="2C773DA2" w14:textId="221027DD" w:rsidR="00944FCF" w:rsidRPr="004A47CE" w:rsidRDefault="00944FCF" w:rsidP="003723BD">
      <w:pPr>
        <w:tabs>
          <w:tab w:val="left" w:pos="705"/>
        </w:tabs>
        <w:spacing w:after="120" w:line="240" w:lineRule="auto"/>
        <w:ind w:firstLine="709"/>
        <w:jc w:val="center"/>
        <w:rPr>
          <w:rFonts w:ascii="Times New Roman" w:hAnsi="Times New Roman" w:cs="Times New Roman"/>
          <w:b/>
          <w:sz w:val="24"/>
          <w:szCs w:val="24"/>
          <w:lang w:val="tr-TR"/>
        </w:rPr>
        <w:sectPr w:rsidR="00944FCF" w:rsidRPr="004A47CE" w:rsidSect="003723BD">
          <w:pgSz w:w="11906" w:h="16838"/>
          <w:pgMar w:top="1418" w:right="1418" w:bottom="1418" w:left="1418" w:header="708" w:footer="708" w:gutter="0"/>
          <w:cols w:space="708"/>
          <w:docGrid w:linePitch="360"/>
        </w:sectPr>
      </w:pPr>
    </w:p>
    <w:tbl>
      <w:tblPr>
        <w:tblStyle w:val="aa"/>
        <w:tblW w:w="15021" w:type="dxa"/>
        <w:tblLook w:val="04A0" w:firstRow="1" w:lastRow="0" w:firstColumn="1" w:lastColumn="0" w:noHBand="0" w:noVBand="1"/>
      </w:tblPr>
      <w:tblGrid>
        <w:gridCol w:w="1980"/>
        <w:gridCol w:w="2551"/>
        <w:gridCol w:w="2127"/>
        <w:gridCol w:w="8363"/>
      </w:tblGrid>
      <w:tr w:rsidR="005D0FBD" w:rsidRPr="00500470" w14:paraId="5422C5F4" w14:textId="77777777" w:rsidTr="00507F1D">
        <w:tc>
          <w:tcPr>
            <w:tcW w:w="15021" w:type="dxa"/>
            <w:gridSpan w:val="4"/>
            <w:tcBorders>
              <w:top w:val="nil"/>
              <w:left w:val="nil"/>
              <w:right w:val="nil"/>
            </w:tcBorders>
          </w:tcPr>
          <w:p w14:paraId="26DF007F" w14:textId="4332DA66" w:rsidR="005D0FBD" w:rsidRPr="005D0FBD" w:rsidRDefault="005D0FBD" w:rsidP="005D0FBD">
            <w:pPr>
              <w:jc w:val="center"/>
              <w:rPr>
                <w:rFonts w:ascii="Times New Roman" w:hAnsi="Times New Roman" w:cs="Times New Roman"/>
                <w:b/>
                <w:sz w:val="24"/>
                <w:szCs w:val="24"/>
                <w:lang w:val="tr-TR"/>
              </w:rPr>
            </w:pPr>
            <w:r w:rsidRPr="005D0FBD">
              <w:rPr>
                <w:rFonts w:ascii="Times New Roman" w:hAnsi="Times New Roman" w:cs="Times New Roman"/>
                <w:b/>
                <w:sz w:val="24"/>
                <w:szCs w:val="24"/>
                <w:lang w:val="tr-TR"/>
              </w:rPr>
              <w:lastRenderedPageBreak/>
              <w:t>Tablo 1: Literatür</w:t>
            </w:r>
          </w:p>
        </w:tc>
      </w:tr>
      <w:tr w:rsidR="00C27DE2" w:rsidRPr="00500470" w14:paraId="21C85377" w14:textId="77777777" w:rsidTr="00EF7C9A">
        <w:tc>
          <w:tcPr>
            <w:tcW w:w="1980" w:type="dxa"/>
          </w:tcPr>
          <w:p w14:paraId="6B982848" w14:textId="5029C5B2" w:rsidR="00C27DE2" w:rsidRPr="00500470" w:rsidRDefault="00C27DE2" w:rsidP="00C27DE2">
            <w:pPr>
              <w:rPr>
                <w:rFonts w:ascii="Times New Roman" w:hAnsi="Times New Roman" w:cs="Times New Roman"/>
                <w:b/>
                <w:sz w:val="20"/>
                <w:szCs w:val="20"/>
                <w:lang w:val="tr-TR"/>
              </w:rPr>
            </w:pPr>
            <w:r w:rsidRPr="00500470">
              <w:rPr>
                <w:rFonts w:ascii="Times New Roman" w:hAnsi="Times New Roman" w:cs="Times New Roman"/>
                <w:b/>
                <w:sz w:val="20"/>
                <w:szCs w:val="20"/>
                <w:lang w:val="tr-TR"/>
              </w:rPr>
              <w:t>Yazar</w:t>
            </w:r>
          </w:p>
        </w:tc>
        <w:tc>
          <w:tcPr>
            <w:tcW w:w="2551" w:type="dxa"/>
          </w:tcPr>
          <w:p w14:paraId="474E416D" w14:textId="76207F53" w:rsidR="00C27DE2" w:rsidRPr="00500470" w:rsidRDefault="00C27DE2" w:rsidP="00C27DE2">
            <w:pPr>
              <w:rPr>
                <w:rFonts w:ascii="Times New Roman" w:hAnsi="Times New Roman" w:cs="Times New Roman"/>
                <w:b/>
                <w:sz w:val="20"/>
                <w:szCs w:val="20"/>
                <w:lang w:val="tr-TR"/>
              </w:rPr>
            </w:pPr>
            <w:r w:rsidRPr="00500470">
              <w:rPr>
                <w:rFonts w:ascii="Times New Roman" w:hAnsi="Times New Roman" w:cs="Times New Roman"/>
                <w:b/>
                <w:sz w:val="20"/>
                <w:szCs w:val="20"/>
                <w:lang w:val="tr-TR"/>
              </w:rPr>
              <w:t>Ülke</w:t>
            </w:r>
          </w:p>
        </w:tc>
        <w:tc>
          <w:tcPr>
            <w:tcW w:w="2127" w:type="dxa"/>
          </w:tcPr>
          <w:p w14:paraId="2030C266" w14:textId="46F50C16" w:rsidR="00C27DE2" w:rsidRPr="00500470" w:rsidRDefault="00C27DE2" w:rsidP="00C27DE2">
            <w:pPr>
              <w:rPr>
                <w:rFonts w:ascii="Times New Roman" w:hAnsi="Times New Roman" w:cs="Times New Roman"/>
                <w:b/>
                <w:sz w:val="20"/>
                <w:szCs w:val="20"/>
                <w:lang w:val="tr-TR"/>
              </w:rPr>
            </w:pPr>
            <w:r w:rsidRPr="00500470">
              <w:rPr>
                <w:rFonts w:ascii="Times New Roman" w:hAnsi="Times New Roman" w:cs="Times New Roman"/>
                <w:b/>
                <w:sz w:val="20"/>
                <w:szCs w:val="20"/>
                <w:lang w:val="tr-TR"/>
              </w:rPr>
              <w:t>Yöntem</w:t>
            </w:r>
          </w:p>
        </w:tc>
        <w:tc>
          <w:tcPr>
            <w:tcW w:w="8363" w:type="dxa"/>
          </w:tcPr>
          <w:p w14:paraId="099E87B1" w14:textId="3FBE5FEC" w:rsidR="00C27DE2" w:rsidRPr="00500470" w:rsidRDefault="00C27DE2" w:rsidP="00C27DE2">
            <w:pPr>
              <w:rPr>
                <w:rFonts w:ascii="Times New Roman" w:hAnsi="Times New Roman" w:cs="Times New Roman"/>
                <w:b/>
                <w:sz w:val="20"/>
                <w:szCs w:val="20"/>
                <w:lang w:val="tr-TR"/>
              </w:rPr>
            </w:pPr>
            <w:r w:rsidRPr="00500470">
              <w:rPr>
                <w:rFonts w:ascii="Times New Roman" w:hAnsi="Times New Roman" w:cs="Times New Roman"/>
                <w:b/>
                <w:sz w:val="20"/>
                <w:szCs w:val="20"/>
                <w:lang w:val="tr-TR"/>
              </w:rPr>
              <w:t>Sonuç</w:t>
            </w:r>
          </w:p>
        </w:tc>
      </w:tr>
      <w:tr w:rsidR="00944FCF" w:rsidRPr="00940E86" w14:paraId="03489012" w14:textId="77777777" w:rsidTr="00EF7C9A">
        <w:tc>
          <w:tcPr>
            <w:tcW w:w="1980" w:type="dxa"/>
          </w:tcPr>
          <w:p w14:paraId="27B5D2F3" w14:textId="00B5B9D2" w:rsidR="00944FCF" w:rsidRPr="00500470" w:rsidRDefault="00944FCF" w:rsidP="00944FCF">
            <w:pPr>
              <w:rPr>
                <w:rFonts w:ascii="Times New Roman" w:hAnsi="Times New Roman" w:cs="Times New Roman"/>
                <w:sz w:val="20"/>
                <w:szCs w:val="20"/>
                <w:lang w:val="en-US"/>
              </w:rPr>
            </w:pPr>
            <w:r w:rsidRPr="00500470">
              <w:rPr>
                <w:rFonts w:ascii="Times New Roman" w:hAnsi="Times New Roman" w:cs="Times New Roman"/>
                <w:sz w:val="20"/>
                <w:szCs w:val="20"/>
                <w:lang w:val="tr-TR"/>
              </w:rPr>
              <w:t xml:space="preserve">Salahuddin </w:t>
            </w:r>
            <w:r w:rsidR="005D0FBD" w:rsidRPr="005D0FBD">
              <w:rPr>
                <w:rFonts w:ascii="Times New Roman" w:hAnsi="Times New Roman" w:cs="Times New Roman"/>
                <w:sz w:val="20"/>
                <w:szCs w:val="20"/>
                <w:lang w:val="tr-TR"/>
              </w:rPr>
              <w:t xml:space="preserve">ve diğ. </w:t>
            </w:r>
            <w:r w:rsidRPr="00500470">
              <w:rPr>
                <w:rFonts w:ascii="Times New Roman" w:hAnsi="Times New Roman" w:cs="Times New Roman"/>
                <w:sz w:val="20"/>
                <w:szCs w:val="20"/>
                <w:lang w:val="tr-TR"/>
              </w:rPr>
              <w:t>(2020)</w:t>
            </w:r>
          </w:p>
        </w:tc>
        <w:tc>
          <w:tcPr>
            <w:tcW w:w="2551" w:type="dxa"/>
          </w:tcPr>
          <w:p w14:paraId="66476E41" w14:textId="77777777"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Güney Afrika</w:t>
            </w:r>
          </w:p>
          <w:p w14:paraId="056A6FC6" w14:textId="5D5DAAE6"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1985–2016</w:t>
            </w:r>
          </w:p>
        </w:tc>
        <w:tc>
          <w:tcPr>
            <w:tcW w:w="2127" w:type="dxa"/>
          </w:tcPr>
          <w:p w14:paraId="5F4EBAF2" w14:textId="6D7219FC"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ARDL modeli</w:t>
            </w:r>
          </w:p>
        </w:tc>
        <w:tc>
          <w:tcPr>
            <w:tcW w:w="8363" w:type="dxa"/>
          </w:tcPr>
          <w:p w14:paraId="6A66C2B5" w14:textId="657594B0"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İktisadi büyüme ve </w:t>
            </w:r>
            <w:r w:rsidR="003860BA" w:rsidRPr="00E86828">
              <w:rPr>
                <w:rFonts w:ascii="Times New Roman" w:hAnsi="Times New Roman" w:cs="Times New Roman"/>
                <w:sz w:val="20"/>
                <w:szCs w:val="20"/>
                <w:lang w:val="tr-TR"/>
              </w:rPr>
              <w:t>doğrudan yabancı yatırımlar</w:t>
            </w:r>
            <w:r w:rsidRPr="00E86828">
              <w:rPr>
                <w:rFonts w:ascii="Times New Roman" w:hAnsi="Times New Roman" w:cs="Times New Roman"/>
                <w:sz w:val="20"/>
                <w:szCs w:val="20"/>
                <w:lang w:val="tr-TR"/>
              </w:rPr>
              <w:t>ın çocuk ölüm oranı üzerinde negatif etkiye sahip olduğu gözlemlenmiştir.</w:t>
            </w:r>
          </w:p>
        </w:tc>
      </w:tr>
      <w:tr w:rsidR="00282744" w:rsidRPr="00940E86" w14:paraId="7C0A4B05" w14:textId="77777777" w:rsidTr="00EF7C9A">
        <w:tc>
          <w:tcPr>
            <w:tcW w:w="1980" w:type="dxa"/>
          </w:tcPr>
          <w:p w14:paraId="0584485C" w14:textId="4D8201F8" w:rsidR="00282744" w:rsidRPr="00500470" w:rsidRDefault="00282744"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Mıladinov (2020)</w:t>
            </w:r>
          </w:p>
        </w:tc>
        <w:tc>
          <w:tcPr>
            <w:tcW w:w="2551" w:type="dxa"/>
          </w:tcPr>
          <w:p w14:paraId="64E5CBA3" w14:textId="77777777" w:rsidR="00282744" w:rsidRPr="00500470" w:rsidRDefault="00282744"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Makedonya, Sırbistan, Bosna Hersek, Karadağ ve Arnavutluk</w:t>
            </w:r>
          </w:p>
          <w:p w14:paraId="3ED8B349" w14:textId="2AE08FD2" w:rsidR="00282744" w:rsidRPr="00500470" w:rsidRDefault="00282744"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1990-2017</w:t>
            </w:r>
          </w:p>
        </w:tc>
        <w:tc>
          <w:tcPr>
            <w:tcW w:w="2127" w:type="dxa"/>
          </w:tcPr>
          <w:p w14:paraId="1A62C466" w14:textId="1CA20B2D" w:rsidR="00282744" w:rsidRPr="00500470" w:rsidRDefault="00282744"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Tam Bilgi Maksimum Olabilirlik</w:t>
            </w:r>
            <w:r w:rsidR="006225E2" w:rsidRPr="00500470">
              <w:rPr>
                <w:rFonts w:ascii="Times New Roman" w:hAnsi="Times New Roman" w:cs="Times New Roman"/>
                <w:sz w:val="20"/>
                <w:szCs w:val="20"/>
                <w:lang w:val="tr-TR"/>
              </w:rPr>
              <w:t xml:space="preserve"> yöntemi</w:t>
            </w:r>
          </w:p>
        </w:tc>
        <w:tc>
          <w:tcPr>
            <w:tcW w:w="8363" w:type="dxa"/>
          </w:tcPr>
          <w:p w14:paraId="5A153E77" w14:textId="77400667" w:rsidR="00282744" w:rsidRPr="00500470" w:rsidRDefault="006225E2" w:rsidP="00E86828">
            <w:pPr>
              <w:rPr>
                <w:rFonts w:ascii="Times New Roman" w:hAnsi="Times New Roman" w:cs="Times New Roman"/>
                <w:sz w:val="20"/>
                <w:szCs w:val="20"/>
                <w:lang w:val="tr-TR"/>
              </w:rPr>
            </w:pPr>
            <w:r w:rsidRPr="00500470">
              <w:rPr>
                <w:rFonts w:ascii="Times New Roman" w:hAnsi="Times New Roman" w:cs="Times New Roman"/>
                <w:sz w:val="20"/>
                <w:szCs w:val="20"/>
                <w:lang w:val="tr-TR"/>
              </w:rPr>
              <w:t>K</w:t>
            </w:r>
            <w:r w:rsidR="00282744" w:rsidRPr="00500470">
              <w:rPr>
                <w:rFonts w:ascii="Times New Roman" w:hAnsi="Times New Roman" w:cs="Times New Roman"/>
                <w:sz w:val="20"/>
                <w:szCs w:val="20"/>
                <w:lang w:val="tr-TR"/>
              </w:rPr>
              <w:t>işi başına düşen GSYİH’daki artışın ve bebek ölüm oranlarındaki düşüşün doğumda yaşam beklentisini iyileştireceği sonucu ortaya konulmuştur.</w:t>
            </w:r>
          </w:p>
        </w:tc>
      </w:tr>
      <w:tr w:rsidR="002456D1" w:rsidRPr="00940E86" w14:paraId="5F392F5F" w14:textId="77777777" w:rsidTr="00EF7C9A">
        <w:tc>
          <w:tcPr>
            <w:tcW w:w="1980" w:type="dxa"/>
          </w:tcPr>
          <w:p w14:paraId="0F97A77A" w14:textId="33772C8A" w:rsidR="002456D1" w:rsidRPr="00500470" w:rsidRDefault="002456D1" w:rsidP="00944FCF">
            <w:pPr>
              <w:rPr>
                <w:rFonts w:ascii="Times New Roman" w:hAnsi="Times New Roman" w:cs="Times New Roman"/>
                <w:sz w:val="20"/>
                <w:szCs w:val="20"/>
                <w:lang w:val="en-US"/>
              </w:rPr>
            </w:pPr>
            <w:r w:rsidRPr="00500470">
              <w:rPr>
                <w:rFonts w:ascii="Times New Roman" w:hAnsi="Times New Roman" w:cs="Times New Roman"/>
                <w:sz w:val="20"/>
                <w:szCs w:val="20"/>
                <w:lang w:val="en-US"/>
              </w:rPr>
              <w:t>Luy v</w:t>
            </w:r>
            <w:r w:rsidR="005D0FBD">
              <w:rPr>
                <w:rFonts w:ascii="Times New Roman" w:hAnsi="Times New Roman" w:cs="Times New Roman"/>
                <w:sz w:val="20"/>
                <w:szCs w:val="20"/>
                <w:lang w:val="en-US"/>
              </w:rPr>
              <w:t xml:space="preserve">e </w:t>
            </w:r>
            <w:r w:rsidRPr="00500470">
              <w:rPr>
                <w:rFonts w:ascii="Times New Roman" w:hAnsi="Times New Roman" w:cs="Times New Roman"/>
                <w:sz w:val="20"/>
                <w:szCs w:val="20"/>
                <w:lang w:val="en-US"/>
              </w:rPr>
              <w:t>d</w:t>
            </w:r>
            <w:r w:rsidR="005D0FBD">
              <w:rPr>
                <w:rFonts w:ascii="Times New Roman" w:hAnsi="Times New Roman" w:cs="Times New Roman"/>
                <w:sz w:val="20"/>
                <w:szCs w:val="20"/>
                <w:lang w:val="tr-TR"/>
              </w:rPr>
              <w:t>iğ</w:t>
            </w:r>
            <w:r w:rsidRPr="00500470">
              <w:rPr>
                <w:rFonts w:ascii="Times New Roman" w:hAnsi="Times New Roman" w:cs="Times New Roman"/>
                <w:sz w:val="20"/>
                <w:szCs w:val="20"/>
                <w:lang w:val="en-US"/>
              </w:rPr>
              <w:t>. (2019)</w:t>
            </w:r>
          </w:p>
        </w:tc>
        <w:tc>
          <w:tcPr>
            <w:tcW w:w="2551" w:type="dxa"/>
          </w:tcPr>
          <w:p w14:paraId="666E6A12" w14:textId="2E7AE6C7" w:rsidR="002456D1" w:rsidRPr="00500470" w:rsidRDefault="002456D1"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İtalya, Danimarka ve ABD</w:t>
            </w:r>
          </w:p>
          <w:p w14:paraId="48009BA2" w14:textId="045C5D28" w:rsidR="002456D1" w:rsidRPr="00500470" w:rsidRDefault="002456D1"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1990-2010</w:t>
            </w:r>
          </w:p>
        </w:tc>
        <w:tc>
          <w:tcPr>
            <w:tcW w:w="2127" w:type="dxa"/>
          </w:tcPr>
          <w:p w14:paraId="5A5F650D" w14:textId="624A8FA9" w:rsidR="002456D1" w:rsidRPr="00500470" w:rsidRDefault="00A55A45"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Ayrıştırma yöntemi</w:t>
            </w:r>
          </w:p>
        </w:tc>
        <w:tc>
          <w:tcPr>
            <w:tcW w:w="8363" w:type="dxa"/>
          </w:tcPr>
          <w:p w14:paraId="18B47D57" w14:textId="2C660E8D" w:rsidR="002456D1" w:rsidRPr="00500470" w:rsidRDefault="00A55A45"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Eğitimin sağlığı iyileştirdiği ortaya konulmuştur.</w:t>
            </w:r>
          </w:p>
        </w:tc>
      </w:tr>
      <w:tr w:rsidR="00944FCF" w:rsidRPr="00940E86" w14:paraId="2AFBE756" w14:textId="77777777" w:rsidTr="00EF7C9A">
        <w:tc>
          <w:tcPr>
            <w:tcW w:w="1980" w:type="dxa"/>
          </w:tcPr>
          <w:p w14:paraId="1C162458" w14:textId="7C5720DD" w:rsidR="00944FCF" w:rsidRPr="00500470" w:rsidRDefault="00944FCF" w:rsidP="00944FCF">
            <w:pPr>
              <w:rPr>
                <w:rFonts w:ascii="Times New Roman" w:hAnsi="Times New Roman" w:cs="Times New Roman"/>
                <w:sz w:val="20"/>
                <w:szCs w:val="20"/>
                <w:lang w:val="en-US"/>
              </w:rPr>
            </w:pPr>
            <w:r w:rsidRPr="00500470">
              <w:rPr>
                <w:rFonts w:ascii="Times New Roman" w:hAnsi="Times New Roman" w:cs="Times New Roman"/>
                <w:sz w:val="20"/>
                <w:szCs w:val="20"/>
                <w:lang w:val="en-US"/>
              </w:rPr>
              <w:t>Matthew ve Brodersen (2018)</w:t>
            </w:r>
          </w:p>
        </w:tc>
        <w:tc>
          <w:tcPr>
            <w:tcW w:w="2551" w:type="dxa"/>
          </w:tcPr>
          <w:p w14:paraId="12242E98" w14:textId="77777777"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ABD </w:t>
            </w:r>
          </w:p>
          <w:p w14:paraId="187CFFC4" w14:textId="5474711C"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2006-2014</w:t>
            </w:r>
          </w:p>
        </w:tc>
        <w:tc>
          <w:tcPr>
            <w:tcW w:w="2127" w:type="dxa"/>
          </w:tcPr>
          <w:p w14:paraId="0E6CB3BC" w14:textId="0CA1400B"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Probit regresyon analizi</w:t>
            </w:r>
          </w:p>
        </w:tc>
        <w:tc>
          <w:tcPr>
            <w:tcW w:w="8363" w:type="dxa"/>
          </w:tcPr>
          <w:p w14:paraId="2FF52B5C" w14:textId="77777777"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Gelir eşitsizliğinin sağlık üzerinde etkili olduğu sonucuna varılmıştır.</w:t>
            </w:r>
          </w:p>
          <w:p w14:paraId="7B37E93E" w14:textId="21896BB1" w:rsidR="00944FCF" w:rsidRPr="00500470" w:rsidRDefault="00944FCF" w:rsidP="00944FCF">
            <w:pPr>
              <w:rPr>
                <w:rFonts w:ascii="Times New Roman" w:hAnsi="Times New Roman" w:cs="Times New Roman"/>
                <w:sz w:val="20"/>
                <w:szCs w:val="20"/>
                <w:lang w:val="tr-TR"/>
              </w:rPr>
            </w:pPr>
          </w:p>
        </w:tc>
      </w:tr>
      <w:tr w:rsidR="00944FCF" w:rsidRPr="00940E86" w14:paraId="4F9DBC2D" w14:textId="77777777" w:rsidTr="00EF7C9A">
        <w:tc>
          <w:tcPr>
            <w:tcW w:w="1980" w:type="dxa"/>
          </w:tcPr>
          <w:p w14:paraId="310F43ED" w14:textId="4C1A5CF2"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Rahman </w:t>
            </w:r>
            <w:r w:rsidR="005D0FBD" w:rsidRPr="005D0FBD">
              <w:rPr>
                <w:rFonts w:ascii="Times New Roman" w:hAnsi="Times New Roman" w:cs="Times New Roman"/>
                <w:sz w:val="20"/>
                <w:szCs w:val="20"/>
                <w:lang w:val="tr-TR"/>
              </w:rPr>
              <w:t xml:space="preserve">ve diğ. </w:t>
            </w:r>
            <w:r w:rsidRPr="00500470">
              <w:rPr>
                <w:rFonts w:ascii="Times New Roman" w:hAnsi="Times New Roman" w:cs="Times New Roman"/>
                <w:sz w:val="20"/>
                <w:szCs w:val="20"/>
                <w:lang w:val="tr-TR"/>
              </w:rPr>
              <w:t>(2018)</w:t>
            </w:r>
          </w:p>
        </w:tc>
        <w:tc>
          <w:tcPr>
            <w:tcW w:w="2551" w:type="dxa"/>
          </w:tcPr>
          <w:p w14:paraId="07E2D811" w14:textId="1EB64326"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SAARC-ASEAN</w:t>
            </w:r>
            <w:r w:rsidR="00E47839" w:rsidRPr="00500470">
              <w:rPr>
                <w:rFonts w:ascii="Times New Roman" w:hAnsi="Times New Roman" w:cs="Times New Roman"/>
                <w:sz w:val="20"/>
                <w:szCs w:val="20"/>
                <w:lang w:val="tr-TR"/>
              </w:rPr>
              <w:t xml:space="preserve"> ülkeleri</w:t>
            </w:r>
          </w:p>
          <w:p w14:paraId="31AD9A43" w14:textId="50E8CCA9"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1995–2014</w:t>
            </w:r>
          </w:p>
        </w:tc>
        <w:tc>
          <w:tcPr>
            <w:tcW w:w="2127" w:type="dxa"/>
          </w:tcPr>
          <w:p w14:paraId="6C03DAE6" w14:textId="377229C4"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Panel veri regresyonu</w:t>
            </w:r>
          </w:p>
        </w:tc>
        <w:tc>
          <w:tcPr>
            <w:tcW w:w="8363" w:type="dxa"/>
          </w:tcPr>
          <w:p w14:paraId="6AF18C3C" w14:textId="2EA17EDA" w:rsidR="00944FCF" w:rsidRPr="00500470" w:rsidRDefault="00944FCF" w:rsidP="00E86828">
            <w:pPr>
              <w:rPr>
                <w:rFonts w:ascii="Times New Roman" w:hAnsi="Times New Roman" w:cs="Times New Roman"/>
                <w:sz w:val="20"/>
                <w:szCs w:val="20"/>
                <w:lang w:val="tr-TR"/>
              </w:rPr>
            </w:pPr>
            <w:r w:rsidRPr="00500470">
              <w:rPr>
                <w:rFonts w:ascii="Times New Roman" w:hAnsi="Times New Roman" w:cs="Times New Roman"/>
                <w:sz w:val="20"/>
                <w:szCs w:val="20"/>
                <w:lang w:val="tr-TR"/>
              </w:rPr>
              <w:t>Toplam, kamu ve özel sağlık harcamalarının bebek ölüm oranlarını önemli ölçüde azalttığı ortaya konulmuştur.</w:t>
            </w:r>
            <w:r w:rsidR="00E86828">
              <w:rPr>
                <w:rFonts w:ascii="Times New Roman" w:hAnsi="Times New Roman" w:cs="Times New Roman"/>
                <w:sz w:val="20"/>
                <w:szCs w:val="20"/>
                <w:lang w:val="tr-TR"/>
              </w:rPr>
              <w:t xml:space="preserve"> Kişi başına düşen gelirdeki </w:t>
            </w:r>
            <w:r w:rsidRPr="00500470">
              <w:rPr>
                <w:rFonts w:ascii="Times New Roman" w:hAnsi="Times New Roman" w:cs="Times New Roman"/>
                <w:sz w:val="20"/>
                <w:szCs w:val="20"/>
                <w:lang w:val="tr-TR"/>
              </w:rPr>
              <w:t>artışın ve iyileştirilmiş temizlik tesislerinin bölgedeki nüfus sağlığının iyileştirilmesinde katkısı görülmüştür.</w:t>
            </w:r>
          </w:p>
        </w:tc>
      </w:tr>
      <w:tr w:rsidR="00944FCF" w:rsidRPr="00940E86" w14:paraId="7ED308B2" w14:textId="77777777" w:rsidTr="00EF7C9A">
        <w:tc>
          <w:tcPr>
            <w:tcW w:w="1980" w:type="dxa"/>
          </w:tcPr>
          <w:p w14:paraId="023EAB14" w14:textId="1BED3B3D"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Blazquez-Fernández </w:t>
            </w:r>
            <w:r w:rsidR="005D0FBD" w:rsidRPr="005D0FBD">
              <w:rPr>
                <w:rFonts w:ascii="Times New Roman" w:hAnsi="Times New Roman" w:cs="Times New Roman"/>
                <w:sz w:val="20"/>
                <w:szCs w:val="20"/>
                <w:lang w:val="tr-TR"/>
              </w:rPr>
              <w:t xml:space="preserve">ve diğ. </w:t>
            </w:r>
            <w:r w:rsidRPr="00500470">
              <w:rPr>
                <w:rFonts w:ascii="Times New Roman" w:hAnsi="Times New Roman" w:cs="Times New Roman"/>
                <w:sz w:val="20"/>
                <w:szCs w:val="20"/>
                <w:lang w:val="tr-TR"/>
              </w:rPr>
              <w:t>(2017)</w:t>
            </w:r>
          </w:p>
        </w:tc>
        <w:tc>
          <w:tcPr>
            <w:tcW w:w="2551" w:type="dxa"/>
          </w:tcPr>
          <w:p w14:paraId="10D101D5" w14:textId="77777777"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OECD Asya / Pasifik bölgesi ülkeleri</w:t>
            </w:r>
          </w:p>
          <w:p w14:paraId="3935BE8F" w14:textId="60B49E64"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1995-2013</w:t>
            </w:r>
          </w:p>
        </w:tc>
        <w:tc>
          <w:tcPr>
            <w:tcW w:w="2127" w:type="dxa"/>
          </w:tcPr>
          <w:p w14:paraId="5DDC58CE" w14:textId="3A741BD6"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Panel ve zaman serisi analizi</w:t>
            </w:r>
          </w:p>
        </w:tc>
        <w:tc>
          <w:tcPr>
            <w:tcW w:w="8363" w:type="dxa"/>
          </w:tcPr>
          <w:p w14:paraId="6947B40B" w14:textId="01023C96"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Ampirik sonuçlar, kişi başına düşen gelirin, işsizliğin ve döviz kurlarının farklı sağlık çıktılarına neden olduğunu göstermektedir. Ayrıca sağlık harcamalarına ilişkin olarak daha fazla harcamanın her zaman daha iyi sonuçlar vermediği bulunmuştur.</w:t>
            </w:r>
          </w:p>
        </w:tc>
      </w:tr>
      <w:tr w:rsidR="00944FCF" w:rsidRPr="00940E86" w14:paraId="5F9BA057" w14:textId="77777777" w:rsidTr="00EF7C9A">
        <w:tc>
          <w:tcPr>
            <w:tcW w:w="1980" w:type="dxa"/>
          </w:tcPr>
          <w:p w14:paraId="482003BB" w14:textId="389DD3D9"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Tavares (2017)</w:t>
            </w:r>
          </w:p>
        </w:tc>
        <w:tc>
          <w:tcPr>
            <w:tcW w:w="2551" w:type="dxa"/>
          </w:tcPr>
          <w:p w14:paraId="0F3C03AA" w14:textId="4A9AE383"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28 AB ülkesi</w:t>
            </w:r>
          </w:p>
        </w:tc>
        <w:tc>
          <w:tcPr>
            <w:tcW w:w="2127" w:type="dxa"/>
          </w:tcPr>
          <w:p w14:paraId="0C65455C" w14:textId="1E6001A6"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Panel veri regresyonu</w:t>
            </w:r>
          </w:p>
        </w:tc>
        <w:tc>
          <w:tcPr>
            <w:tcW w:w="8363" w:type="dxa"/>
          </w:tcPr>
          <w:p w14:paraId="2422A188" w14:textId="4F471961"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GSYİH ve 20 yaşından önce doğum yapmanın bebek ölüm oranını etkilediği görülmüştür. Annelerin ortalama ilk çocuk yaşı arttıkça bebek ölüm oranının düştüğü gözlemlenmiştir.</w:t>
            </w:r>
          </w:p>
        </w:tc>
      </w:tr>
      <w:tr w:rsidR="00944FCF" w:rsidRPr="00500470" w14:paraId="4A58ACB1" w14:textId="77777777" w:rsidTr="00EF7C9A">
        <w:tc>
          <w:tcPr>
            <w:tcW w:w="1980" w:type="dxa"/>
          </w:tcPr>
          <w:p w14:paraId="7E3071AD" w14:textId="0BD15B03"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Asiskovitch (2010)</w:t>
            </w:r>
          </w:p>
        </w:tc>
        <w:tc>
          <w:tcPr>
            <w:tcW w:w="2551" w:type="dxa"/>
          </w:tcPr>
          <w:p w14:paraId="2385EAD7" w14:textId="3E7CB31F"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19 OECD ülkesi 1990–2005</w:t>
            </w:r>
          </w:p>
        </w:tc>
        <w:tc>
          <w:tcPr>
            <w:tcW w:w="2127" w:type="dxa"/>
          </w:tcPr>
          <w:p w14:paraId="638F10A5" w14:textId="466CB11B"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Panel veri regresyonu hiyerarşik model</w:t>
            </w:r>
          </w:p>
        </w:tc>
        <w:tc>
          <w:tcPr>
            <w:tcW w:w="8363" w:type="dxa"/>
          </w:tcPr>
          <w:p w14:paraId="027E8248" w14:textId="58352CA8"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Sağlık sisteminin her iki cinsiyet için doğumda yaşam beklentileri üzerinde marjinal bir etkisi bulunmuştur. Kamusal finansmanın etkisi özele göre daha büyüktür.</w:t>
            </w:r>
          </w:p>
        </w:tc>
      </w:tr>
      <w:tr w:rsidR="00AA7BF0" w:rsidRPr="00940E86" w14:paraId="3E192DB5" w14:textId="77777777" w:rsidTr="00EF7C9A">
        <w:tc>
          <w:tcPr>
            <w:tcW w:w="1980" w:type="dxa"/>
          </w:tcPr>
          <w:p w14:paraId="1C445162" w14:textId="0183330C" w:rsidR="00AA7BF0" w:rsidRPr="00500470" w:rsidRDefault="00AA7BF0"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Fabella (2008)</w:t>
            </w:r>
          </w:p>
        </w:tc>
        <w:tc>
          <w:tcPr>
            <w:tcW w:w="2551" w:type="dxa"/>
          </w:tcPr>
          <w:p w14:paraId="18F488D2" w14:textId="202DFF72" w:rsidR="001A6806" w:rsidRPr="00500470" w:rsidRDefault="001A6806"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134 ülke</w:t>
            </w:r>
          </w:p>
          <w:p w14:paraId="03F2EE47" w14:textId="6AAD647A" w:rsidR="00AA7BF0" w:rsidRPr="00500470" w:rsidRDefault="001A6806"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2000 ve 2003 </w:t>
            </w:r>
          </w:p>
        </w:tc>
        <w:tc>
          <w:tcPr>
            <w:tcW w:w="2127" w:type="dxa"/>
          </w:tcPr>
          <w:p w14:paraId="19ABCCD2" w14:textId="50FC8FC7" w:rsidR="00AA7BF0" w:rsidRPr="00500470" w:rsidRDefault="00C77480"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Yatay kesit veri analiz</w:t>
            </w:r>
          </w:p>
        </w:tc>
        <w:tc>
          <w:tcPr>
            <w:tcW w:w="8363" w:type="dxa"/>
          </w:tcPr>
          <w:p w14:paraId="6EDD6283" w14:textId="5810C46F" w:rsidR="00AA7BF0" w:rsidRPr="00500470" w:rsidRDefault="001A6806"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Nüfustaki artışın </w:t>
            </w:r>
            <w:r w:rsidRPr="00E86828">
              <w:rPr>
                <w:rFonts w:ascii="Times New Roman" w:hAnsi="Times New Roman" w:cs="Times New Roman"/>
                <w:sz w:val="20"/>
                <w:szCs w:val="20"/>
                <w:lang w:val="tr-TR"/>
              </w:rPr>
              <w:t>b</w:t>
            </w:r>
            <w:r w:rsidR="00E86828" w:rsidRPr="00E86828">
              <w:rPr>
                <w:rFonts w:ascii="Times New Roman" w:hAnsi="Times New Roman" w:cs="Times New Roman"/>
                <w:sz w:val="20"/>
                <w:szCs w:val="20"/>
                <w:lang w:val="tr-TR"/>
              </w:rPr>
              <w:t xml:space="preserve">ebek </w:t>
            </w:r>
            <w:r w:rsidR="00C77480" w:rsidRPr="00E86828">
              <w:rPr>
                <w:rFonts w:ascii="Times New Roman" w:hAnsi="Times New Roman" w:cs="Times New Roman"/>
                <w:sz w:val="20"/>
                <w:szCs w:val="20"/>
                <w:lang w:val="tr-TR"/>
              </w:rPr>
              <w:t xml:space="preserve">ölüm oranını </w:t>
            </w:r>
            <w:r w:rsidRPr="00E86828">
              <w:rPr>
                <w:rFonts w:ascii="Times New Roman" w:hAnsi="Times New Roman" w:cs="Times New Roman"/>
                <w:sz w:val="20"/>
                <w:szCs w:val="20"/>
                <w:lang w:val="tr-TR"/>
              </w:rPr>
              <w:t>arttırdığı</w:t>
            </w:r>
            <w:r w:rsidRPr="00500470">
              <w:rPr>
                <w:rFonts w:ascii="Times New Roman" w:hAnsi="Times New Roman" w:cs="Times New Roman"/>
                <w:sz w:val="20"/>
                <w:szCs w:val="20"/>
                <w:lang w:val="tr-TR"/>
              </w:rPr>
              <w:t xml:space="preserve"> ortaya konulmuştur.</w:t>
            </w:r>
          </w:p>
        </w:tc>
      </w:tr>
      <w:tr w:rsidR="00944FCF" w:rsidRPr="00940E86" w14:paraId="7FB58FCC" w14:textId="77777777" w:rsidTr="00EF7C9A">
        <w:tc>
          <w:tcPr>
            <w:tcW w:w="1980" w:type="dxa"/>
          </w:tcPr>
          <w:p w14:paraId="5F43FF4C" w14:textId="35AD7630"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Soares (2007)</w:t>
            </w:r>
          </w:p>
        </w:tc>
        <w:tc>
          <w:tcPr>
            <w:tcW w:w="2551" w:type="dxa"/>
          </w:tcPr>
          <w:p w14:paraId="5A9BE2AE" w14:textId="687182BA" w:rsidR="00944FCF" w:rsidRPr="00500470" w:rsidRDefault="00E86828" w:rsidP="00944FCF">
            <w:pPr>
              <w:rPr>
                <w:rFonts w:ascii="Times New Roman" w:hAnsi="Times New Roman" w:cs="Times New Roman"/>
                <w:sz w:val="20"/>
                <w:szCs w:val="20"/>
                <w:lang w:val="tr-TR"/>
              </w:rPr>
            </w:pPr>
            <w:r>
              <w:rPr>
                <w:rFonts w:ascii="Times New Roman" w:hAnsi="Times New Roman" w:cs="Times New Roman"/>
                <w:sz w:val="20"/>
                <w:szCs w:val="20"/>
                <w:lang w:val="tr-TR"/>
              </w:rPr>
              <w:t>Brezilya</w:t>
            </w:r>
            <w:r w:rsidR="00944FCF" w:rsidRPr="00500470">
              <w:rPr>
                <w:rFonts w:ascii="Times New Roman" w:hAnsi="Times New Roman" w:cs="Times New Roman"/>
                <w:sz w:val="20"/>
                <w:szCs w:val="20"/>
                <w:lang w:val="tr-TR"/>
              </w:rPr>
              <w:t xml:space="preserve"> belediyeleri</w:t>
            </w:r>
          </w:p>
          <w:p w14:paraId="4EA5EA0A" w14:textId="295425D9"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1970-2000</w:t>
            </w:r>
          </w:p>
        </w:tc>
        <w:tc>
          <w:tcPr>
            <w:tcW w:w="2127" w:type="dxa"/>
          </w:tcPr>
          <w:p w14:paraId="4E105CE5" w14:textId="1C3CBA3E"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Panel veri regresyonu</w:t>
            </w:r>
          </w:p>
        </w:tc>
        <w:tc>
          <w:tcPr>
            <w:tcW w:w="8363" w:type="dxa"/>
          </w:tcPr>
          <w:p w14:paraId="64C8A02B" w14:textId="60C1B024"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Sağlık hizmetleri altyapısının mevcudiyeti, yaşam beklentisi üzerinde önemli bir etkiye sahiptir.</w:t>
            </w:r>
          </w:p>
        </w:tc>
      </w:tr>
      <w:tr w:rsidR="00944FCF" w:rsidRPr="00940E86" w14:paraId="6AD2FEF8" w14:textId="77777777" w:rsidTr="00EF7C9A">
        <w:tc>
          <w:tcPr>
            <w:tcW w:w="1980" w:type="dxa"/>
          </w:tcPr>
          <w:p w14:paraId="1D36BE9F" w14:textId="5A01960C"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Nixon ve Ullman (2006)</w:t>
            </w:r>
          </w:p>
        </w:tc>
        <w:tc>
          <w:tcPr>
            <w:tcW w:w="2551" w:type="dxa"/>
          </w:tcPr>
          <w:p w14:paraId="09E63642" w14:textId="5575FB44" w:rsidR="00944FCF" w:rsidRPr="00500470" w:rsidRDefault="00E86828" w:rsidP="00944FCF">
            <w:pPr>
              <w:rPr>
                <w:rFonts w:ascii="Times New Roman" w:hAnsi="Times New Roman" w:cs="Times New Roman"/>
                <w:sz w:val="20"/>
                <w:szCs w:val="20"/>
                <w:lang w:val="tr-TR"/>
              </w:rPr>
            </w:pPr>
            <w:r>
              <w:rPr>
                <w:rFonts w:ascii="Times New Roman" w:hAnsi="Times New Roman" w:cs="Times New Roman"/>
                <w:sz w:val="20"/>
                <w:szCs w:val="20"/>
                <w:lang w:val="tr-TR"/>
              </w:rPr>
              <w:t xml:space="preserve">15 </w:t>
            </w:r>
            <w:r w:rsidR="00944FCF" w:rsidRPr="00500470">
              <w:rPr>
                <w:rFonts w:ascii="Times New Roman" w:hAnsi="Times New Roman" w:cs="Times New Roman"/>
                <w:sz w:val="20"/>
                <w:szCs w:val="20"/>
                <w:lang w:val="tr-TR"/>
              </w:rPr>
              <w:t xml:space="preserve">AB ülkesi </w:t>
            </w:r>
          </w:p>
          <w:p w14:paraId="583B8AB0" w14:textId="5FBC4B08"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 1980-1995 </w:t>
            </w:r>
          </w:p>
        </w:tc>
        <w:tc>
          <w:tcPr>
            <w:tcW w:w="2127" w:type="dxa"/>
          </w:tcPr>
          <w:p w14:paraId="7F44733A" w14:textId="55974F91"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Panel veri regresyonu</w:t>
            </w:r>
          </w:p>
        </w:tc>
        <w:tc>
          <w:tcPr>
            <w:tcW w:w="8363" w:type="dxa"/>
          </w:tcPr>
          <w:p w14:paraId="00056A7D" w14:textId="28D44977"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 Sağlık harcamalarının AB ülkeleri için sağlık çıktıları üzerinde marjinal fakat olumlu bir etkisi olduğu görülmüştür. AB ülkelerinde sağlık harcamalarındaki ve hekim sayısındaki değişimin erkek yaşam beklentisine sırasıyla 2.6 ve 1.6 yıl eklediği ve bebek ölüm oranında yüzde 0,63 ve 0,22 puanlık bir düşüşe neden olduğu ortaya konulmuştur.</w:t>
            </w:r>
          </w:p>
        </w:tc>
      </w:tr>
      <w:tr w:rsidR="00944FCF" w:rsidRPr="00940E86" w14:paraId="19611349" w14:textId="77777777" w:rsidTr="00EF7C9A">
        <w:tc>
          <w:tcPr>
            <w:tcW w:w="1980" w:type="dxa"/>
          </w:tcPr>
          <w:p w14:paraId="3B8C6DD3" w14:textId="04611451" w:rsidR="00944FCF" w:rsidRPr="00500470" w:rsidRDefault="00547861" w:rsidP="00944FCF">
            <w:pPr>
              <w:rPr>
                <w:rFonts w:ascii="Times New Roman" w:hAnsi="Times New Roman" w:cs="Times New Roman"/>
                <w:sz w:val="20"/>
                <w:szCs w:val="20"/>
                <w:lang w:val="tr-TR"/>
              </w:rPr>
            </w:pPr>
            <w:r>
              <w:rPr>
                <w:rFonts w:ascii="Times New Roman" w:hAnsi="Times New Roman" w:cs="Times New Roman"/>
                <w:sz w:val="20"/>
                <w:szCs w:val="20"/>
                <w:lang w:val="tr-TR"/>
              </w:rPr>
              <w:t xml:space="preserve">Afonso ve </w:t>
            </w:r>
            <w:r w:rsidR="00944FCF" w:rsidRPr="00500470">
              <w:rPr>
                <w:rFonts w:ascii="Times New Roman" w:hAnsi="Times New Roman" w:cs="Times New Roman"/>
                <w:sz w:val="20"/>
                <w:szCs w:val="20"/>
                <w:lang w:val="tr-TR"/>
              </w:rPr>
              <w:t>St. Aubyn (2006)</w:t>
            </w:r>
          </w:p>
        </w:tc>
        <w:tc>
          <w:tcPr>
            <w:tcW w:w="2551" w:type="dxa"/>
          </w:tcPr>
          <w:p w14:paraId="20DDD20E" w14:textId="661A74A6"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30 OECD ülkeleri</w:t>
            </w:r>
          </w:p>
          <w:p w14:paraId="7AF4F4D6" w14:textId="7CFB3B66"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 2000 yılı </w:t>
            </w:r>
          </w:p>
          <w:p w14:paraId="155E177D" w14:textId="74E6529A"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 </w:t>
            </w:r>
          </w:p>
        </w:tc>
        <w:tc>
          <w:tcPr>
            <w:tcW w:w="2127" w:type="dxa"/>
          </w:tcPr>
          <w:p w14:paraId="55B7D619" w14:textId="1A5E9BE8" w:rsidR="00944FCF" w:rsidRPr="00500470" w:rsidRDefault="00944FCF"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Kesit verileri için iki aşamalı prosedür: </w:t>
            </w:r>
            <w:r w:rsidR="009D0538" w:rsidRPr="00500470">
              <w:rPr>
                <w:rFonts w:ascii="Times New Roman" w:hAnsi="Times New Roman" w:cs="Times New Roman"/>
                <w:sz w:val="20"/>
                <w:szCs w:val="20"/>
                <w:lang w:val="tr-TR"/>
              </w:rPr>
              <w:t>veri zarflama analizi</w:t>
            </w:r>
            <w:r w:rsidRPr="00500470">
              <w:rPr>
                <w:rFonts w:ascii="Times New Roman" w:hAnsi="Times New Roman" w:cs="Times New Roman"/>
                <w:sz w:val="20"/>
                <w:szCs w:val="20"/>
                <w:lang w:val="tr-TR"/>
              </w:rPr>
              <w:t xml:space="preserve"> ve Tobit regresyonları</w:t>
            </w:r>
          </w:p>
        </w:tc>
        <w:tc>
          <w:tcPr>
            <w:tcW w:w="8363" w:type="dxa"/>
          </w:tcPr>
          <w:p w14:paraId="089D660F" w14:textId="2E7585CF" w:rsidR="00944FCF" w:rsidRPr="00E86828" w:rsidRDefault="00944FCF" w:rsidP="00944FCF">
            <w:pPr>
              <w:rPr>
                <w:rFonts w:ascii="Times New Roman" w:hAnsi="Times New Roman" w:cs="Times New Roman"/>
                <w:sz w:val="20"/>
                <w:szCs w:val="20"/>
                <w:lang w:val="tr-TR"/>
              </w:rPr>
            </w:pPr>
            <w:r w:rsidRPr="00E86828">
              <w:rPr>
                <w:rFonts w:ascii="Times New Roman" w:hAnsi="Times New Roman" w:cs="Times New Roman"/>
                <w:sz w:val="20"/>
                <w:szCs w:val="20"/>
                <w:lang w:val="tr-TR"/>
              </w:rPr>
              <w:t>Kişi baş</w:t>
            </w:r>
            <w:r w:rsidR="003860BA" w:rsidRPr="00E86828">
              <w:rPr>
                <w:rFonts w:ascii="Times New Roman" w:hAnsi="Times New Roman" w:cs="Times New Roman"/>
                <w:sz w:val="20"/>
                <w:szCs w:val="20"/>
                <w:lang w:val="tr-TR"/>
              </w:rPr>
              <w:t xml:space="preserve">ına </w:t>
            </w:r>
            <w:r w:rsidR="003A22F9" w:rsidRPr="00E86828">
              <w:rPr>
                <w:rFonts w:ascii="Times New Roman" w:hAnsi="Times New Roman" w:cs="Times New Roman"/>
                <w:sz w:val="20"/>
                <w:szCs w:val="20"/>
                <w:lang w:val="tr-TR"/>
              </w:rPr>
              <w:t xml:space="preserve">düşen </w:t>
            </w:r>
            <w:r w:rsidR="003860BA" w:rsidRPr="00E86828">
              <w:rPr>
                <w:rFonts w:ascii="Times New Roman" w:hAnsi="Times New Roman" w:cs="Times New Roman"/>
                <w:sz w:val="20"/>
                <w:szCs w:val="20"/>
                <w:lang w:val="tr-TR"/>
              </w:rPr>
              <w:t xml:space="preserve">GSYİH, </w:t>
            </w:r>
            <w:r w:rsidRPr="00E86828">
              <w:rPr>
                <w:rFonts w:ascii="Times New Roman" w:hAnsi="Times New Roman" w:cs="Times New Roman"/>
                <w:sz w:val="20"/>
                <w:szCs w:val="20"/>
                <w:lang w:val="tr-TR"/>
              </w:rPr>
              <w:t>eğitim, tütün</w:t>
            </w:r>
            <w:r w:rsidR="003860BA" w:rsidRPr="00E86828">
              <w:rPr>
                <w:rFonts w:ascii="Times New Roman" w:hAnsi="Times New Roman" w:cs="Times New Roman"/>
                <w:sz w:val="20"/>
                <w:szCs w:val="20"/>
                <w:lang w:val="tr-TR"/>
              </w:rPr>
              <w:t xml:space="preserve"> kullanımı</w:t>
            </w:r>
            <w:r w:rsidRPr="00E86828">
              <w:rPr>
                <w:rFonts w:ascii="Times New Roman" w:hAnsi="Times New Roman" w:cs="Times New Roman"/>
                <w:sz w:val="20"/>
                <w:szCs w:val="20"/>
                <w:lang w:val="tr-TR"/>
              </w:rPr>
              <w:t xml:space="preserve"> ve obezite sağlık statüsüne etki eden faktörler olarak bulunmuştur.</w:t>
            </w:r>
          </w:p>
        </w:tc>
      </w:tr>
      <w:tr w:rsidR="00D44F43" w:rsidRPr="00940E86" w14:paraId="08E4CC39" w14:textId="77777777" w:rsidTr="00EF7C9A">
        <w:tc>
          <w:tcPr>
            <w:tcW w:w="1980" w:type="dxa"/>
          </w:tcPr>
          <w:p w14:paraId="400D25B2" w14:textId="5412F0FE" w:rsidR="00D44F43" w:rsidRPr="00500470" w:rsidRDefault="00D44F43" w:rsidP="00D44F43">
            <w:pPr>
              <w:rPr>
                <w:rFonts w:ascii="Times New Roman" w:hAnsi="Times New Roman" w:cs="Times New Roman"/>
                <w:sz w:val="20"/>
                <w:szCs w:val="20"/>
                <w:lang w:val="tr-TR"/>
              </w:rPr>
            </w:pPr>
            <w:r w:rsidRPr="00500470">
              <w:rPr>
                <w:rFonts w:ascii="Times New Roman" w:hAnsi="Times New Roman" w:cs="Times New Roman"/>
                <w:sz w:val="20"/>
                <w:szCs w:val="20"/>
                <w:lang w:val="tr-TR"/>
              </w:rPr>
              <w:t>Fayissa ve Gutema (2005)</w:t>
            </w:r>
          </w:p>
        </w:tc>
        <w:tc>
          <w:tcPr>
            <w:tcW w:w="2551" w:type="dxa"/>
          </w:tcPr>
          <w:p w14:paraId="227D4D1F" w14:textId="734BA822" w:rsidR="00D44F43" w:rsidRPr="00500470" w:rsidRDefault="00D44F43"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31</w:t>
            </w:r>
            <w:r w:rsidRPr="00500470">
              <w:rPr>
                <w:rFonts w:ascii="Times New Roman" w:hAnsi="Times New Roman" w:cs="Times New Roman"/>
                <w:sz w:val="20"/>
                <w:szCs w:val="20"/>
              </w:rPr>
              <w:t xml:space="preserve"> </w:t>
            </w:r>
            <w:r w:rsidRPr="00500470">
              <w:rPr>
                <w:rFonts w:ascii="Times New Roman" w:hAnsi="Times New Roman" w:cs="Times New Roman"/>
                <w:sz w:val="20"/>
                <w:szCs w:val="20"/>
                <w:lang w:val="tr-TR"/>
              </w:rPr>
              <w:t>Sahra- altı Afrika ülkeleri</w:t>
            </w:r>
          </w:p>
          <w:p w14:paraId="536BF2B5" w14:textId="646E3748" w:rsidR="00D44F43" w:rsidRPr="00500470" w:rsidRDefault="00D44F43" w:rsidP="00944FCF">
            <w:pPr>
              <w:rPr>
                <w:rFonts w:ascii="Times New Roman" w:hAnsi="Times New Roman" w:cs="Times New Roman"/>
                <w:sz w:val="20"/>
                <w:szCs w:val="20"/>
                <w:lang w:val="tr-TR"/>
              </w:rPr>
            </w:pPr>
            <w:r w:rsidRPr="00500470">
              <w:rPr>
                <w:rFonts w:ascii="Times New Roman" w:hAnsi="Times New Roman" w:cs="Times New Roman"/>
                <w:sz w:val="20"/>
                <w:szCs w:val="20"/>
                <w:lang w:val="tr-TR"/>
              </w:rPr>
              <w:t>1990-2000</w:t>
            </w:r>
          </w:p>
        </w:tc>
        <w:tc>
          <w:tcPr>
            <w:tcW w:w="2127" w:type="dxa"/>
          </w:tcPr>
          <w:p w14:paraId="0B4F7A08" w14:textId="29556F5A" w:rsidR="00D44F43" w:rsidRPr="00500470" w:rsidRDefault="00D44F43" w:rsidP="00D44F43">
            <w:pPr>
              <w:rPr>
                <w:rFonts w:ascii="Times New Roman" w:hAnsi="Times New Roman" w:cs="Times New Roman"/>
                <w:sz w:val="20"/>
                <w:szCs w:val="20"/>
                <w:lang w:val="tr-TR"/>
              </w:rPr>
            </w:pPr>
            <w:r w:rsidRPr="00500470">
              <w:rPr>
                <w:rFonts w:ascii="Times New Roman" w:hAnsi="Times New Roman" w:cs="Times New Roman"/>
                <w:sz w:val="20"/>
                <w:szCs w:val="20"/>
                <w:lang w:val="tr-TR"/>
              </w:rPr>
              <w:t>2 aşamalı</w:t>
            </w:r>
          </w:p>
          <w:p w14:paraId="6F4AE9CF" w14:textId="01CD833F" w:rsidR="00D44F43" w:rsidRPr="00500470" w:rsidRDefault="00D44F43" w:rsidP="00D44F43">
            <w:pPr>
              <w:rPr>
                <w:rFonts w:ascii="Times New Roman" w:hAnsi="Times New Roman" w:cs="Times New Roman"/>
                <w:sz w:val="20"/>
                <w:szCs w:val="20"/>
                <w:lang w:val="tr-TR"/>
              </w:rPr>
            </w:pPr>
            <w:r w:rsidRPr="00500470">
              <w:rPr>
                <w:rFonts w:ascii="Times New Roman" w:hAnsi="Times New Roman" w:cs="Times New Roman"/>
                <w:sz w:val="20"/>
                <w:szCs w:val="20"/>
                <w:lang w:val="tr-TR"/>
              </w:rPr>
              <w:t>Genelleştirilmiş En Küçük Kareler (GLS) yöntemi</w:t>
            </w:r>
          </w:p>
        </w:tc>
        <w:tc>
          <w:tcPr>
            <w:tcW w:w="8363" w:type="dxa"/>
          </w:tcPr>
          <w:p w14:paraId="27F8A529" w14:textId="2E9B7052" w:rsidR="00D44F43" w:rsidRPr="00E86828" w:rsidRDefault="008B57DE" w:rsidP="00AE02E6">
            <w:pPr>
              <w:rPr>
                <w:rFonts w:ascii="Times New Roman" w:hAnsi="Times New Roman" w:cs="Times New Roman"/>
                <w:sz w:val="20"/>
                <w:szCs w:val="20"/>
                <w:lang w:val="tr-TR"/>
              </w:rPr>
            </w:pPr>
            <w:r w:rsidRPr="00E86828">
              <w:rPr>
                <w:rFonts w:ascii="Times New Roman" w:hAnsi="Times New Roman" w:cs="Times New Roman"/>
                <w:sz w:val="20"/>
                <w:szCs w:val="20"/>
                <w:lang w:val="tr-TR"/>
              </w:rPr>
              <w:t>Kişi başına gelirde ve gıda</w:t>
            </w:r>
            <w:r w:rsidR="00E47839" w:rsidRPr="00E86828">
              <w:rPr>
                <w:rFonts w:ascii="Times New Roman" w:hAnsi="Times New Roman" w:cs="Times New Roman"/>
                <w:sz w:val="20"/>
                <w:szCs w:val="20"/>
                <w:lang w:val="tr-TR"/>
              </w:rPr>
              <w:t xml:space="preserve"> ulaşılabilirliği değişkenindeki </w:t>
            </w:r>
            <w:r w:rsidRPr="00E86828">
              <w:rPr>
                <w:rFonts w:ascii="Times New Roman" w:hAnsi="Times New Roman" w:cs="Times New Roman"/>
                <w:sz w:val="20"/>
                <w:szCs w:val="20"/>
                <w:lang w:val="tr-TR"/>
              </w:rPr>
              <w:t>artışın ve okuma yazma bilm</w:t>
            </w:r>
            <w:r w:rsidR="00E86828">
              <w:rPr>
                <w:rFonts w:ascii="Times New Roman" w:hAnsi="Times New Roman" w:cs="Times New Roman"/>
                <w:sz w:val="20"/>
                <w:szCs w:val="20"/>
                <w:lang w:val="tr-TR"/>
              </w:rPr>
              <w:t xml:space="preserve">eyenlerin oranındaki azalmanın </w:t>
            </w:r>
            <w:r w:rsidRPr="00E86828">
              <w:rPr>
                <w:rFonts w:ascii="Times New Roman" w:hAnsi="Times New Roman" w:cs="Times New Roman"/>
                <w:sz w:val="20"/>
                <w:szCs w:val="20"/>
                <w:lang w:val="tr-TR"/>
              </w:rPr>
              <w:t>doğumda yaşam beklentisini iyileştireceği sonucuna varılmıştır.</w:t>
            </w:r>
          </w:p>
        </w:tc>
      </w:tr>
      <w:tr w:rsidR="00C77480" w:rsidRPr="00940E86" w14:paraId="3D5C2772" w14:textId="77777777" w:rsidTr="00EF7C9A">
        <w:tc>
          <w:tcPr>
            <w:tcW w:w="1980" w:type="dxa"/>
          </w:tcPr>
          <w:p w14:paraId="3C0A975B" w14:textId="4A69369F"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lastRenderedPageBreak/>
              <w:t xml:space="preserve">Shaw </w:t>
            </w:r>
            <w:r w:rsidR="005D0FBD" w:rsidRPr="005D0FBD">
              <w:rPr>
                <w:rFonts w:ascii="Times New Roman" w:hAnsi="Times New Roman" w:cs="Times New Roman"/>
                <w:sz w:val="20"/>
                <w:szCs w:val="20"/>
                <w:lang w:val="tr-TR"/>
              </w:rPr>
              <w:t xml:space="preserve">ve diğ. </w:t>
            </w:r>
            <w:r w:rsidRPr="00500470">
              <w:rPr>
                <w:rFonts w:ascii="Times New Roman" w:hAnsi="Times New Roman" w:cs="Times New Roman"/>
                <w:sz w:val="20"/>
                <w:szCs w:val="20"/>
                <w:lang w:val="tr-TR"/>
              </w:rPr>
              <w:t>(2005)</w:t>
            </w:r>
          </w:p>
        </w:tc>
        <w:tc>
          <w:tcPr>
            <w:tcW w:w="2551" w:type="dxa"/>
          </w:tcPr>
          <w:p w14:paraId="7DAE6532" w14:textId="77777777"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19 OECD ülkesi</w:t>
            </w:r>
          </w:p>
          <w:p w14:paraId="7D5D5F76" w14:textId="266D1D16"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1990</w:t>
            </w:r>
          </w:p>
        </w:tc>
        <w:tc>
          <w:tcPr>
            <w:tcW w:w="2127" w:type="dxa"/>
          </w:tcPr>
          <w:p w14:paraId="0224372B" w14:textId="43019A73"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Yatay kesit analizi</w:t>
            </w:r>
          </w:p>
        </w:tc>
        <w:tc>
          <w:tcPr>
            <w:tcW w:w="8363" w:type="dxa"/>
          </w:tcPr>
          <w:p w14:paraId="4265257E" w14:textId="690EB693" w:rsidR="00C77480" w:rsidRPr="00500470" w:rsidRDefault="00C77480" w:rsidP="00E86828">
            <w:pPr>
              <w:rPr>
                <w:rFonts w:ascii="Times New Roman" w:hAnsi="Times New Roman" w:cs="Times New Roman"/>
                <w:sz w:val="20"/>
                <w:szCs w:val="20"/>
                <w:lang w:val="tr-TR"/>
              </w:rPr>
            </w:pPr>
            <w:r w:rsidRPr="00500470">
              <w:rPr>
                <w:rFonts w:ascii="Times New Roman" w:hAnsi="Times New Roman" w:cs="Times New Roman"/>
                <w:sz w:val="20"/>
                <w:szCs w:val="20"/>
                <w:lang w:val="tr-TR"/>
              </w:rPr>
              <w:t>Yıllık ilaç harcamalarının ikiye katlanmasının 40 yaşındaki erkekler için 1 yıl 65 yaşındaki kadınlar için yaşam beklentisinde bir yıldan az artışa neden olacağı görülmüştür. Tütün kullanımını günde ikiye indirmenin veya meyve ve sebze tüketimini % 30 arttırmanın 40 yaşındaki kadınlar için yaşam beklentisinde yaklaşık bir yıllık uzamaya neden olacağı sonucuna varılmıştır.</w:t>
            </w:r>
          </w:p>
        </w:tc>
      </w:tr>
      <w:tr w:rsidR="00C77480" w:rsidRPr="00940E86" w14:paraId="30CBE47E" w14:textId="77777777" w:rsidTr="00EF7C9A">
        <w:tc>
          <w:tcPr>
            <w:tcW w:w="1980" w:type="dxa"/>
          </w:tcPr>
          <w:p w14:paraId="3C2D9616" w14:textId="360EE9FD"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Thornton (2002)</w:t>
            </w:r>
          </w:p>
        </w:tc>
        <w:tc>
          <w:tcPr>
            <w:tcW w:w="2551" w:type="dxa"/>
          </w:tcPr>
          <w:p w14:paraId="75335C29" w14:textId="77777777"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ABD eyaletleri</w:t>
            </w:r>
          </w:p>
          <w:p w14:paraId="3BE3972B" w14:textId="4E637526"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1990</w:t>
            </w:r>
          </w:p>
        </w:tc>
        <w:tc>
          <w:tcPr>
            <w:tcW w:w="2127" w:type="dxa"/>
          </w:tcPr>
          <w:p w14:paraId="252B29E9" w14:textId="58920E24"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Yatay kesit veri regresyonları</w:t>
            </w:r>
          </w:p>
        </w:tc>
        <w:tc>
          <w:tcPr>
            <w:tcW w:w="8363" w:type="dxa"/>
          </w:tcPr>
          <w:p w14:paraId="03F38898" w14:textId="76356506"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Tıbbi bakımın ölüm oranını düşürmedeki katkısı oldukça azdır. Hastalığı önlemede ve yaşam beklentisini iyileştirmede sosyoekonomik ve yaşam tarzı faktörlerinin rolüne daha fazla önem verilmelidir.</w:t>
            </w:r>
          </w:p>
        </w:tc>
      </w:tr>
      <w:tr w:rsidR="00C77480" w:rsidRPr="00940E86" w14:paraId="57DB29D7" w14:textId="77777777" w:rsidTr="00EF7C9A">
        <w:tc>
          <w:tcPr>
            <w:tcW w:w="1980" w:type="dxa"/>
          </w:tcPr>
          <w:p w14:paraId="28DF759D" w14:textId="0412AB11"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Lichtenberg (2002)</w:t>
            </w:r>
          </w:p>
        </w:tc>
        <w:tc>
          <w:tcPr>
            <w:tcW w:w="2551" w:type="dxa"/>
          </w:tcPr>
          <w:p w14:paraId="64B9D0E0" w14:textId="639DDA52"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ABD </w:t>
            </w:r>
          </w:p>
          <w:p w14:paraId="39CD6CC8" w14:textId="723EBB35"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1960-1997</w:t>
            </w:r>
          </w:p>
          <w:p w14:paraId="1FAFE3AD" w14:textId="48183BC5" w:rsidR="00C77480" w:rsidRPr="00500470" w:rsidRDefault="00C77480" w:rsidP="00C77480">
            <w:pPr>
              <w:rPr>
                <w:rFonts w:ascii="Times New Roman" w:hAnsi="Times New Roman" w:cs="Times New Roman"/>
                <w:sz w:val="20"/>
                <w:szCs w:val="20"/>
                <w:lang w:val="tr-TR"/>
              </w:rPr>
            </w:pPr>
          </w:p>
        </w:tc>
        <w:tc>
          <w:tcPr>
            <w:tcW w:w="2127" w:type="dxa"/>
          </w:tcPr>
          <w:p w14:paraId="39BE1CF2" w14:textId="0C6F1B6D"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Maximum olabilirlik yöntemi </w:t>
            </w:r>
          </w:p>
        </w:tc>
        <w:tc>
          <w:tcPr>
            <w:tcW w:w="8363" w:type="dxa"/>
          </w:tcPr>
          <w:p w14:paraId="4D693320" w14:textId="4C5122CD" w:rsidR="00C77480" w:rsidRPr="00500470" w:rsidRDefault="00E86828" w:rsidP="00C77480">
            <w:pPr>
              <w:rPr>
                <w:rFonts w:ascii="Times New Roman" w:hAnsi="Times New Roman" w:cs="Times New Roman"/>
                <w:sz w:val="20"/>
                <w:szCs w:val="20"/>
                <w:lang w:val="tr-TR"/>
              </w:rPr>
            </w:pPr>
            <w:r>
              <w:rPr>
                <w:rFonts w:ascii="Times New Roman" w:hAnsi="Times New Roman" w:cs="Times New Roman"/>
                <w:sz w:val="20"/>
                <w:szCs w:val="20"/>
                <w:lang w:val="tr-TR"/>
              </w:rPr>
              <w:t xml:space="preserve">Tıbbi yenilik </w:t>
            </w:r>
            <w:r w:rsidR="00C77480" w:rsidRPr="00500470">
              <w:rPr>
                <w:rFonts w:ascii="Times New Roman" w:hAnsi="Times New Roman" w:cs="Times New Roman"/>
                <w:sz w:val="20"/>
                <w:szCs w:val="20"/>
                <w:lang w:val="tr-TR"/>
              </w:rPr>
              <w:t>ve tıbbi bakım harcamalarının (özellikle kamu harcamaları</w:t>
            </w:r>
            <w:r w:rsidR="00C77480" w:rsidRPr="00E86828">
              <w:rPr>
                <w:rFonts w:ascii="Times New Roman" w:hAnsi="Times New Roman" w:cs="Times New Roman"/>
                <w:sz w:val="20"/>
                <w:szCs w:val="20"/>
                <w:lang w:val="tr-TR"/>
              </w:rPr>
              <w:t xml:space="preserve">) </w:t>
            </w:r>
            <w:r w:rsidR="005D25E2" w:rsidRPr="00E86828">
              <w:rPr>
                <w:rFonts w:ascii="Times New Roman" w:hAnsi="Times New Roman" w:cs="Times New Roman"/>
                <w:sz w:val="20"/>
                <w:szCs w:val="20"/>
                <w:lang w:val="tr-TR"/>
              </w:rPr>
              <w:t>yaşa</w:t>
            </w:r>
            <w:r w:rsidR="00C77480" w:rsidRPr="00E86828">
              <w:rPr>
                <w:rFonts w:ascii="Times New Roman" w:hAnsi="Times New Roman" w:cs="Times New Roman"/>
                <w:sz w:val="20"/>
                <w:szCs w:val="20"/>
                <w:lang w:val="tr-TR"/>
              </w:rPr>
              <w:t>m beklentileri üzerinde olumlu etkileri bulunmuştur.</w:t>
            </w:r>
          </w:p>
        </w:tc>
      </w:tr>
      <w:tr w:rsidR="00C77480" w:rsidRPr="00940E86" w14:paraId="7A3442BA" w14:textId="77777777" w:rsidTr="00EF7C9A">
        <w:tc>
          <w:tcPr>
            <w:tcW w:w="1980" w:type="dxa"/>
          </w:tcPr>
          <w:p w14:paraId="4058CF7C" w14:textId="05AFE126"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Or (2000a)</w:t>
            </w:r>
          </w:p>
        </w:tc>
        <w:tc>
          <w:tcPr>
            <w:tcW w:w="2551" w:type="dxa"/>
          </w:tcPr>
          <w:p w14:paraId="2A1CA9E8" w14:textId="402DAA01"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21 OECD ülkeleri 1970-1992  </w:t>
            </w:r>
          </w:p>
        </w:tc>
        <w:tc>
          <w:tcPr>
            <w:tcW w:w="2127" w:type="dxa"/>
          </w:tcPr>
          <w:p w14:paraId="28AEE54D" w14:textId="5B7C8B00"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Panel veri regresyonu</w:t>
            </w:r>
          </w:p>
        </w:tc>
        <w:tc>
          <w:tcPr>
            <w:tcW w:w="8363" w:type="dxa"/>
          </w:tcPr>
          <w:p w14:paraId="589F8167" w14:textId="6D0B31B8"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Beyaz yakalı çalışanların istihdam payındaki ve kişi başına düşen gelirdeki artışın, erken ölümlerin azalmasında etkili olduğu sonucuna varılmıştır. Sağlık harcamaları ile sağlık statüsü arasında, özellikle kadınlar için önemli ve olumlu bir ilişki bulunmuştur.</w:t>
            </w:r>
          </w:p>
        </w:tc>
      </w:tr>
      <w:tr w:rsidR="00C77480" w:rsidRPr="00940E86" w14:paraId="3EE47B5C" w14:textId="77777777" w:rsidTr="00EF7C9A">
        <w:tc>
          <w:tcPr>
            <w:tcW w:w="1980" w:type="dxa"/>
          </w:tcPr>
          <w:p w14:paraId="6C3541B1" w14:textId="0901609E"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Or (2000b)</w:t>
            </w:r>
          </w:p>
        </w:tc>
        <w:tc>
          <w:tcPr>
            <w:tcW w:w="2551" w:type="dxa"/>
          </w:tcPr>
          <w:p w14:paraId="52262227" w14:textId="15A6FE21"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21 OECD ülkeleri 1970-1995  </w:t>
            </w:r>
          </w:p>
        </w:tc>
        <w:tc>
          <w:tcPr>
            <w:tcW w:w="2127" w:type="dxa"/>
          </w:tcPr>
          <w:p w14:paraId="1BF91FF1" w14:textId="32D0E711"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Panel veri regresyonu</w:t>
            </w:r>
          </w:p>
        </w:tc>
        <w:tc>
          <w:tcPr>
            <w:tcW w:w="8363" w:type="dxa"/>
          </w:tcPr>
          <w:p w14:paraId="3F4B1800" w14:textId="696568CB"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Kişi başına düşen doktor sayısındaki artışın erken ölüm oranları ile perinatal ve bebek ölüm oranlarında düşüşe ve özellikle 65 yaşında daha uzun yaşam beklentisi ve daha düşük kalp hastalıklarına neden olacağı ortaya konulmuştur.</w:t>
            </w:r>
          </w:p>
        </w:tc>
      </w:tr>
      <w:tr w:rsidR="00B447E3" w:rsidRPr="00940E86" w14:paraId="47B8337F" w14:textId="77777777" w:rsidTr="00EF7C9A">
        <w:tc>
          <w:tcPr>
            <w:tcW w:w="1980" w:type="dxa"/>
          </w:tcPr>
          <w:p w14:paraId="7CEFA309" w14:textId="4C6B52AC" w:rsidR="00B447E3" w:rsidRPr="00500470" w:rsidRDefault="00B447E3"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Gulis (2000)</w:t>
            </w:r>
          </w:p>
        </w:tc>
        <w:tc>
          <w:tcPr>
            <w:tcW w:w="2551" w:type="dxa"/>
          </w:tcPr>
          <w:p w14:paraId="5A225F99" w14:textId="77777777" w:rsidR="00B447E3" w:rsidRPr="00500470" w:rsidRDefault="00B447E3"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156 ülke</w:t>
            </w:r>
          </w:p>
          <w:p w14:paraId="104E99FE" w14:textId="119D7EFA" w:rsidR="00B447E3" w:rsidRPr="00500470" w:rsidRDefault="001D3882"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1990</w:t>
            </w:r>
          </w:p>
        </w:tc>
        <w:tc>
          <w:tcPr>
            <w:tcW w:w="2127" w:type="dxa"/>
          </w:tcPr>
          <w:p w14:paraId="3276535B" w14:textId="086AA831" w:rsidR="00B447E3" w:rsidRPr="00500470" w:rsidRDefault="001D3882"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Çok değişkenli doğrusal model</w:t>
            </w:r>
          </w:p>
        </w:tc>
        <w:tc>
          <w:tcPr>
            <w:tcW w:w="8363" w:type="dxa"/>
          </w:tcPr>
          <w:p w14:paraId="006898BD" w14:textId="045F8E29" w:rsidR="00B447E3" w:rsidRPr="00500470" w:rsidRDefault="00B447E3" w:rsidP="00E86828">
            <w:pPr>
              <w:rPr>
                <w:rFonts w:ascii="Times New Roman" w:hAnsi="Times New Roman" w:cs="Times New Roman"/>
                <w:sz w:val="20"/>
                <w:szCs w:val="20"/>
                <w:lang w:val="tr-TR"/>
              </w:rPr>
            </w:pPr>
            <w:r w:rsidRPr="00500470">
              <w:rPr>
                <w:rFonts w:ascii="Times New Roman" w:hAnsi="Times New Roman" w:cs="Times New Roman"/>
                <w:sz w:val="20"/>
                <w:szCs w:val="20"/>
                <w:lang w:val="tr-TR"/>
              </w:rPr>
              <w:t>Eğitim ve güvenli suya erişimin sağlık üzerindeki kuvvetli e</w:t>
            </w:r>
            <w:r w:rsidR="00E86828">
              <w:rPr>
                <w:rFonts w:ascii="Times New Roman" w:hAnsi="Times New Roman" w:cs="Times New Roman"/>
                <w:sz w:val="20"/>
                <w:szCs w:val="20"/>
                <w:lang w:val="tr-TR"/>
              </w:rPr>
              <w:t>tkisine vurgu yapılmıştır. Okury</w:t>
            </w:r>
            <w:r w:rsidRPr="00500470">
              <w:rPr>
                <w:rFonts w:ascii="Times New Roman" w:hAnsi="Times New Roman" w:cs="Times New Roman"/>
                <w:sz w:val="20"/>
                <w:szCs w:val="20"/>
                <w:lang w:val="tr-TR"/>
              </w:rPr>
              <w:t>azarlık oranındaki % 10’luk art</w:t>
            </w:r>
            <w:r w:rsidR="00E86828">
              <w:rPr>
                <w:rFonts w:ascii="Times New Roman" w:hAnsi="Times New Roman" w:cs="Times New Roman"/>
                <w:sz w:val="20"/>
                <w:szCs w:val="20"/>
                <w:lang w:val="tr-TR"/>
              </w:rPr>
              <w:t xml:space="preserve">ışın yaşam beklentisinin 2,439 </w:t>
            </w:r>
            <w:r w:rsidRPr="00500470">
              <w:rPr>
                <w:rFonts w:ascii="Times New Roman" w:hAnsi="Times New Roman" w:cs="Times New Roman"/>
                <w:sz w:val="20"/>
                <w:szCs w:val="20"/>
                <w:lang w:val="tr-TR"/>
              </w:rPr>
              <w:t>yıla uzamasına neden olacağı ortaya konulmuştur.</w:t>
            </w:r>
          </w:p>
        </w:tc>
      </w:tr>
      <w:tr w:rsidR="00C77480" w:rsidRPr="00940E86" w14:paraId="2928804A" w14:textId="77777777" w:rsidTr="00EF7C9A">
        <w:tc>
          <w:tcPr>
            <w:tcW w:w="1980" w:type="dxa"/>
          </w:tcPr>
          <w:p w14:paraId="25E85CFD" w14:textId="0DAE26A5"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Barlow ve Vissandjie (1999)</w:t>
            </w:r>
          </w:p>
        </w:tc>
        <w:tc>
          <w:tcPr>
            <w:tcW w:w="2551" w:type="dxa"/>
          </w:tcPr>
          <w:p w14:paraId="6D0D52B8" w14:textId="77777777"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77 ülke</w:t>
            </w:r>
          </w:p>
          <w:p w14:paraId="5E442C00" w14:textId="332B4153"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1990</w:t>
            </w:r>
          </w:p>
        </w:tc>
        <w:tc>
          <w:tcPr>
            <w:tcW w:w="2127" w:type="dxa"/>
          </w:tcPr>
          <w:p w14:paraId="7858F0E3" w14:textId="1D75D6F6"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Çok değişkenli yatay kesit analizi</w:t>
            </w:r>
          </w:p>
        </w:tc>
        <w:tc>
          <w:tcPr>
            <w:tcW w:w="8363" w:type="dxa"/>
          </w:tcPr>
          <w:p w14:paraId="071E1C18" w14:textId="65BBA3D0" w:rsidR="00C77480" w:rsidRPr="00500470" w:rsidRDefault="00E86828" w:rsidP="00E86828">
            <w:pPr>
              <w:rPr>
                <w:rFonts w:ascii="Times New Roman" w:hAnsi="Times New Roman" w:cs="Times New Roman"/>
                <w:sz w:val="20"/>
                <w:szCs w:val="20"/>
                <w:lang w:val="tr-TR"/>
              </w:rPr>
            </w:pPr>
            <w:r>
              <w:rPr>
                <w:rFonts w:ascii="Times New Roman" w:hAnsi="Times New Roman" w:cs="Times New Roman"/>
                <w:sz w:val="20"/>
                <w:szCs w:val="20"/>
                <w:lang w:val="tr-TR"/>
              </w:rPr>
              <w:t>Okur</w:t>
            </w:r>
            <w:r w:rsidR="00C77480" w:rsidRPr="00500470">
              <w:rPr>
                <w:rFonts w:ascii="Times New Roman" w:hAnsi="Times New Roman" w:cs="Times New Roman"/>
                <w:sz w:val="20"/>
                <w:szCs w:val="20"/>
                <w:lang w:val="tr-TR"/>
              </w:rPr>
              <w:t>yazarlık oranı, kişi başına düşen gelir ve güvenli su kaynaklarına erişimin ortalama yaşam süresi üzerinde önemli ölçüde olumlu etkileri olduğu bulunmuştur. Doğurganlık ve tropikal konumun olumsuz etkileri ortaya konulmuştur. Buna ilaveten hayvansal ürünl</w:t>
            </w:r>
            <w:r>
              <w:rPr>
                <w:rFonts w:ascii="Times New Roman" w:hAnsi="Times New Roman" w:cs="Times New Roman"/>
                <w:sz w:val="20"/>
                <w:szCs w:val="20"/>
                <w:lang w:val="tr-TR"/>
              </w:rPr>
              <w:t xml:space="preserve">erin kişi başına </w:t>
            </w:r>
            <w:r w:rsidR="00C77480" w:rsidRPr="00500470">
              <w:rPr>
                <w:rFonts w:ascii="Times New Roman" w:hAnsi="Times New Roman" w:cs="Times New Roman"/>
                <w:sz w:val="20"/>
                <w:szCs w:val="20"/>
                <w:lang w:val="tr-TR"/>
              </w:rPr>
              <w:t>tüketim</w:t>
            </w:r>
            <w:r>
              <w:rPr>
                <w:rFonts w:ascii="Times New Roman" w:hAnsi="Times New Roman" w:cs="Times New Roman"/>
                <w:sz w:val="20"/>
                <w:szCs w:val="20"/>
                <w:lang w:val="tr-TR"/>
              </w:rPr>
              <w:t xml:space="preserve">inin, yaşam beklentisiyle ters </w:t>
            </w:r>
            <w:r w:rsidR="00C77480" w:rsidRPr="00500470">
              <w:rPr>
                <w:rFonts w:ascii="Times New Roman" w:hAnsi="Times New Roman" w:cs="Times New Roman"/>
                <w:sz w:val="20"/>
                <w:szCs w:val="20"/>
                <w:lang w:val="tr-TR"/>
              </w:rPr>
              <w:t>U ilişkisi içerisinde olduğu gözlemlenmiştir. Kişi başına sağlık harcaması ve kentleşme oranı zayıf belirleyiciler olarak bulunmuştur.</w:t>
            </w:r>
          </w:p>
        </w:tc>
      </w:tr>
      <w:tr w:rsidR="00C77480" w:rsidRPr="00940E86" w14:paraId="1F382D31" w14:textId="77777777" w:rsidTr="00EF7C9A">
        <w:tc>
          <w:tcPr>
            <w:tcW w:w="1980" w:type="dxa"/>
          </w:tcPr>
          <w:p w14:paraId="11CE59DF" w14:textId="2F688310"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Cremieux </w:t>
            </w:r>
            <w:r w:rsidR="005D0FBD">
              <w:rPr>
                <w:rFonts w:ascii="Times New Roman" w:hAnsi="Times New Roman" w:cs="Times New Roman"/>
                <w:sz w:val="20"/>
                <w:szCs w:val="20"/>
                <w:lang w:val="tr-TR"/>
              </w:rPr>
              <w:t>ve diğ</w:t>
            </w:r>
            <w:r w:rsidRPr="00500470">
              <w:rPr>
                <w:rFonts w:ascii="Times New Roman" w:hAnsi="Times New Roman" w:cs="Times New Roman"/>
                <w:sz w:val="20"/>
                <w:szCs w:val="20"/>
                <w:lang w:val="tr-TR"/>
              </w:rPr>
              <w:t>.(1999)</w:t>
            </w:r>
          </w:p>
        </w:tc>
        <w:tc>
          <w:tcPr>
            <w:tcW w:w="2551" w:type="dxa"/>
          </w:tcPr>
          <w:p w14:paraId="0F80232C" w14:textId="77777777"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10 Kanada Eyaleti</w:t>
            </w:r>
          </w:p>
          <w:p w14:paraId="345A8253" w14:textId="41D20D1A"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1978-1992</w:t>
            </w:r>
          </w:p>
        </w:tc>
        <w:tc>
          <w:tcPr>
            <w:tcW w:w="2127" w:type="dxa"/>
          </w:tcPr>
          <w:p w14:paraId="0F467A7B" w14:textId="324D682D"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Panel veri regresyonu</w:t>
            </w:r>
          </w:p>
        </w:tc>
        <w:tc>
          <w:tcPr>
            <w:tcW w:w="8363" w:type="dxa"/>
          </w:tcPr>
          <w:p w14:paraId="5EA255FF" w14:textId="77777777"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Sağlığın temel belirleyicileri olarak yaşam tarzı faktörleri görülmüştür. Gelirin yaşam beklentisi üzerindeki pozitif etkisi bulunmuştur. </w:t>
            </w:r>
          </w:p>
          <w:p w14:paraId="1DD5695F" w14:textId="14C9F4B3"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 10'luk bir harcama kesintisi, erkekler için ortalama yaşam süresinde 6 aylık ve kadınlar için 3 aylık bir azalmaya neden olacağı gözlemlenmiştir.</w:t>
            </w:r>
          </w:p>
        </w:tc>
      </w:tr>
      <w:tr w:rsidR="00C77480" w:rsidRPr="00940E86" w14:paraId="3E2742E4" w14:textId="77777777" w:rsidTr="00EF7C9A">
        <w:tc>
          <w:tcPr>
            <w:tcW w:w="1980" w:type="dxa"/>
          </w:tcPr>
          <w:p w14:paraId="03D5203D" w14:textId="17187389"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Elola </w:t>
            </w:r>
            <w:r w:rsidR="005D0FBD" w:rsidRPr="005D0FBD">
              <w:rPr>
                <w:rFonts w:ascii="Times New Roman" w:hAnsi="Times New Roman" w:cs="Times New Roman"/>
                <w:sz w:val="20"/>
                <w:szCs w:val="20"/>
                <w:lang w:val="tr-TR"/>
              </w:rPr>
              <w:t xml:space="preserve">ve diğ. </w:t>
            </w:r>
            <w:r w:rsidRPr="00500470">
              <w:rPr>
                <w:rFonts w:ascii="Times New Roman" w:hAnsi="Times New Roman" w:cs="Times New Roman"/>
                <w:sz w:val="20"/>
                <w:szCs w:val="20"/>
                <w:lang w:val="tr-TR"/>
              </w:rPr>
              <w:t>(1995)</w:t>
            </w:r>
          </w:p>
        </w:tc>
        <w:tc>
          <w:tcPr>
            <w:tcW w:w="2551" w:type="dxa"/>
          </w:tcPr>
          <w:p w14:paraId="22427517" w14:textId="53196EA0" w:rsidR="00C77480" w:rsidRPr="00500470" w:rsidRDefault="00E86828" w:rsidP="00C77480">
            <w:pPr>
              <w:rPr>
                <w:rFonts w:ascii="Times New Roman" w:hAnsi="Times New Roman" w:cs="Times New Roman"/>
                <w:sz w:val="20"/>
                <w:szCs w:val="20"/>
                <w:lang w:val="tr-TR"/>
              </w:rPr>
            </w:pPr>
            <w:r>
              <w:rPr>
                <w:rFonts w:ascii="Times New Roman" w:hAnsi="Times New Roman" w:cs="Times New Roman"/>
                <w:sz w:val="20"/>
                <w:szCs w:val="20"/>
                <w:lang w:val="tr-TR"/>
              </w:rPr>
              <w:t xml:space="preserve">17 </w:t>
            </w:r>
            <w:r w:rsidR="00C77480" w:rsidRPr="00500470">
              <w:rPr>
                <w:rFonts w:ascii="Times New Roman" w:hAnsi="Times New Roman" w:cs="Times New Roman"/>
                <w:sz w:val="20"/>
                <w:szCs w:val="20"/>
                <w:lang w:val="tr-TR"/>
              </w:rPr>
              <w:t xml:space="preserve">Avrupa ülkeleri  </w:t>
            </w:r>
          </w:p>
        </w:tc>
        <w:tc>
          <w:tcPr>
            <w:tcW w:w="2127" w:type="dxa"/>
          </w:tcPr>
          <w:p w14:paraId="6A92BE48" w14:textId="5BBE2F8B"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Kesit veri regresyonları</w:t>
            </w:r>
          </w:p>
        </w:tc>
        <w:tc>
          <w:tcPr>
            <w:tcW w:w="8363" w:type="dxa"/>
          </w:tcPr>
          <w:p w14:paraId="1A9AC293" w14:textId="0A003062" w:rsidR="00C77480" w:rsidRPr="00500470" w:rsidRDefault="00C77480" w:rsidP="00E86828">
            <w:pPr>
              <w:rPr>
                <w:rFonts w:ascii="Times New Roman" w:hAnsi="Times New Roman" w:cs="Times New Roman"/>
                <w:sz w:val="20"/>
                <w:szCs w:val="20"/>
                <w:lang w:val="tr-TR"/>
              </w:rPr>
            </w:pPr>
            <w:r w:rsidRPr="00500470">
              <w:rPr>
                <w:rFonts w:ascii="Times New Roman" w:hAnsi="Times New Roman" w:cs="Times New Roman"/>
                <w:sz w:val="20"/>
                <w:szCs w:val="20"/>
                <w:lang w:val="tr-TR"/>
              </w:rPr>
              <w:t>Kişi başına düşen sağlık harcamaları, bebek ölümlerinde kişi başına düşen GSYİH'ya göre daha fazla varyansı açıklayabilir. Sağlık harcamaları, kadın erken ölümleri ile ters orantılıdır ve kadınların yaşam beklentisiyle pozitif olarak ilişkilidir.</w:t>
            </w:r>
          </w:p>
        </w:tc>
      </w:tr>
      <w:tr w:rsidR="00C77480" w:rsidRPr="00940E86" w14:paraId="6A76DF0B" w14:textId="77777777" w:rsidTr="00EF7C9A">
        <w:tc>
          <w:tcPr>
            <w:tcW w:w="1980" w:type="dxa"/>
          </w:tcPr>
          <w:p w14:paraId="4AA8B9BD" w14:textId="07878998" w:rsidR="00C77480" w:rsidRPr="00500470" w:rsidRDefault="00E86828" w:rsidP="00C77480">
            <w:pPr>
              <w:rPr>
                <w:rFonts w:ascii="Times New Roman" w:hAnsi="Times New Roman" w:cs="Times New Roman"/>
                <w:sz w:val="20"/>
                <w:szCs w:val="20"/>
                <w:lang w:val="tr-TR"/>
              </w:rPr>
            </w:pPr>
            <w:r>
              <w:rPr>
                <w:rFonts w:ascii="Times New Roman" w:hAnsi="Times New Roman" w:cs="Times New Roman"/>
                <w:sz w:val="20"/>
                <w:szCs w:val="20"/>
                <w:lang w:val="tr-TR"/>
              </w:rPr>
              <w:t xml:space="preserve">Rogers </w:t>
            </w:r>
            <w:r w:rsidR="00C77480" w:rsidRPr="00500470">
              <w:rPr>
                <w:rFonts w:ascii="Times New Roman" w:hAnsi="Times New Roman" w:cs="Times New Roman"/>
                <w:sz w:val="20"/>
                <w:szCs w:val="20"/>
                <w:lang w:val="tr-TR"/>
              </w:rPr>
              <w:t>ve Wofford (1989)</w:t>
            </w:r>
          </w:p>
        </w:tc>
        <w:tc>
          <w:tcPr>
            <w:tcW w:w="2551" w:type="dxa"/>
          </w:tcPr>
          <w:p w14:paraId="45EA6000" w14:textId="0E385F30"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95 az gelişmiş ülke</w:t>
            </w:r>
          </w:p>
        </w:tc>
        <w:tc>
          <w:tcPr>
            <w:tcW w:w="2127" w:type="dxa"/>
          </w:tcPr>
          <w:p w14:paraId="4B71BFC2" w14:textId="7CA4B210"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Çoklu regresyon analizi</w:t>
            </w:r>
          </w:p>
        </w:tc>
        <w:tc>
          <w:tcPr>
            <w:tcW w:w="8363" w:type="dxa"/>
          </w:tcPr>
          <w:p w14:paraId="65D6548F" w14:textId="2BA3E9B8" w:rsidR="00C77480" w:rsidRPr="00500470" w:rsidRDefault="00C77480" w:rsidP="00C77480">
            <w:pPr>
              <w:rPr>
                <w:rFonts w:ascii="Times New Roman" w:hAnsi="Times New Roman" w:cs="Times New Roman"/>
                <w:sz w:val="20"/>
                <w:szCs w:val="20"/>
                <w:lang w:val="tr-TR"/>
              </w:rPr>
            </w:pPr>
            <w:r w:rsidRPr="00E86828">
              <w:rPr>
                <w:rFonts w:ascii="Times New Roman" w:hAnsi="Times New Roman" w:cs="Times New Roman"/>
                <w:sz w:val="20"/>
                <w:szCs w:val="20"/>
                <w:lang w:val="tr-TR"/>
              </w:rPr>
              <w:t>Şehirleşme, sanayileşme, eğitim, güvenli suya erişim, doktor sayısı ve yeterli beslenmenin yaşam beklentisi üzerinde etkili olduğu sonucuna varılmıştır.</w:t>
            </w:r>
          </w:p>
        </w:tc>
      </w:tr>
      <w:tr w:rsidR="00C77480" w:rsidRPr="00500470" w14:paraId="26506181" w14:textId="77777777" w:rsidTr="00EF7C9A">
        <w:tc>
          <w:tcPr>
            <w:tcW w:w="1980" w:type="dxa"/>
          </w:tcPr>
          <w:p w14:paraId="21F124E3" w14:textId="6A38DA00"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Auster </w:t>
            </w:r>
            <w:r w:rsidR="005D0FBD" w:rsidRPr="005D0FBD">
              <w:rPr>
                <w:rFonts w:ascii="Times New Roman" w:hAnsi="Times New Roman" w:cs="Times New Roman"/>
                <w:sz w:val="20"/>
                <w:szCs w:val="20"/>
                <w:lang w:val="tr-TR"/>
              </w:rPr>
              <w:t xml:space="preserve">ve diğ. </w:t>
            </w:r>
            <w:r w:rsidRPr="00500470">
              <w:rPr>
                <w:rFonts w:ascii="Times New Roman" w:hAnsi="Times New Roman" w:cs="Times New Roman"/>
                <w:sz w:val="20"/>
                <w:szCs w:val="20"/>
                <w:lang w:val="tr-TR"/>
              </w:rPr>
              <w:t>(1969)</w:t>
            </w:r>
          </w:p>
        </w:tc>
        <w:tc>
          <w:tcPr>
            <w:tcW w:w="2551" w:type="dxa"/>
          </w:tcPr>
          <w:p w14:paraId="1B66BFFB" w14:textId="77777777"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ABD</w:t>
            </w:r>
          </w:p>
          <w:p w14:paraId="3B20D29C" w14:textId="72217273"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1960</w:t>
            </w:r>
          </w:p>
        </w:tc>
        <w:tc>
          <w:tcPr>
            <w:tcW w:w="2127" w:type="dxa"/>
          </w:tcPr>
          <w:p w14:paraId="753C82B6" w14:textId="6B87DC08"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 xml:space="preserve">İki aşamalı </w:t>
            </w:r>
            <w:r w:rsidR="00DD162B">
              <w:rPr>
                <w:rFonts w:ascii="Times New Roman" w:hAnsi="Times New Roman" w:cs="Times New Roman"/>
                <w:sz w:val="20"/>
                <w:szCs w:val="20"/>
                <w:lang w:val="tr-TR"/>
              </w:rPr>
              <w:t>en küçük kareler (</w:t>
            </w:r>
            <w:r w:rsidRPr="00500470">
              <w:rPr>
                <w:rFonts w:ascii="Times New Roman" w:hAnsi="Times New Roman" w:cs="Times New Roman"/>
                <w:sz w:val="20"/>
                <w:szCs w:val="20"/>
                <w:lang w:val="tr-TR"/>
              </w:rPr>
              <w:t>EKK</w:t>
            </w:r>
            <w:r w:rsidR="00DD162B">
              <w:rPr>
                <w:rFonts w:ascii="Times New Roman" w:hAnsi="Times New Roman" w:cs="Times New Roman"/>
                <w:sz w:val="20"/>
                <w:szCs w:val="20"/>
                <w:lang w:val="tr-TR"/>
              </w:rPr>
              <w:t xml:space="preserve">) </w:t>
            </w:r>
            <w:r w:rsidRPr="00500470">
              <w:rPr>
                <w:rFonts w:ascii="Times New Roman" w:hAnsi="Times New Roman" w:cs="Times New Roman"/>
                <w:sz w:val="20"/>
                <w:szCs w:val="20"/>
                <w:lang w:val="tr-TR"/>
              </w:rPr>
              <w:t xml:space="preserve"> ve EKK yöntemi</w:t>
            </w:r>
          </w:p>
        </w:tc>
        <w:tc>
          <w:tcPr>
            <w:tcW w:w="8363" w:type="dxa"/>
          </w:tcPr>
          <w:p w14:paraId="2D6F6A5E" w14:textId="46F73FE1" w:rsidR="00C77480" w:rsidRPr="00500470" w:rsidRDefault="00C77480" w:rsidP="00C77480">
            <w:pPr>
              <w:rPr>
                <w:rFonts w:ascii="Times New Roman" w:hAnsi="Times New Roman" w:cs="Times New Roman"/>
                <w:sz w:val="20"/>
                <w:szCs w:val="20"/>
                <w:lang w:val="tr-TR"/>
              </w:rPr>
            </w:pPr>
            <w:r w:rsidRPr="00500470">
              <w:rPr>
                <w:rFonts w:ascii="Times New Roman" w:hAnsi="Times New Roman" w:cs="Times New Roman"/>
                <w:sz w:val="20"/>
                <w:szCs w:val="20"/>
                <w:lang w:val="tr-TR"/>
              </w:rPr>
              <w:t>Çevresel değişkenlerin etkisinin sağlık hizmetlerine göre daha yüksek olduğu sonucu ortaya konulmuştur. Eğitimin ölüm oranını düşürdüğü vurgulanmıştır.</w:t>
            </w:r>
          </w:p>
        </w:tc>
      </w:tr>
    </w:tbl>
    <w:p w14:paraId="1D7DF153" w14:textId="77777777" w:rsidR="00944FCF" w:rsidRPr="00500470" w:rsidRDefault="00944FCF" w:rsidP="00C27DE2">
      <w:pPr>
        <w:rPr>
          <w:rFonts w:ascii="Times New Roman" w:hAnsi="Times New Roman" w:cs="Times New Roman"/>
          <w:sz w:val="24"/>
          <w:szCs w:val="24"/>
          <w:lang w:val="tr-TR"/>
        </w:rPr>
        <w:sectPr w:rsidR="00944FCF" w:rsidRPr="00500470" w:rsidSect="003723BD">
          <w:pgSz w:w="16838" w:h="11906" w:orient="landscape"/>
          <w:pgMar w:top="1418" w:right="1418" w:bottom="1418" w:left="1418" w:header="709" w:footer="709" w:gutter="0"/>
          <w:cols w:space="708"/>
          <w:docGrid w:linePitch="360"/>
        </w:sectPr>
      </w:pPr>
    </w:p>
    <w:p w14:paraId="70B81FD1" w14:textId="73D0923F" w:rsidR="003860BA" w:rsidRPr="004A47CE" w:rsidRDefault="003860BA" w:rsidP="004A47CE">
      <w:pPr>
        <w:spacing w:after="120" w:line="240" w:lineRule="auto"/>
        <w:ind w:firstLine="709"/>
        <w:jc w:val="both"/>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lastRenderedPageBreak/>
        <w:t xml:space="preserve">Literatürde araştırmacıların daha çok </w:t>
      </w:r>
      <w:r w:rsidR="0084153F" w:rsidRPr="004A47CE">
        <w:rPr>
          <w:rFonts w:ascii="Times New Roman" w:hAnsi="Times New Roman" w:cs="Times New Roman"/>
          <w:color w:val="000000" w:themeColor="text1"/>
          <w:sz w:val="24"/>
          <w:szCs w:val="24"/>
          <w:lang w:val="tr-TR"/>
        </w:rPr>
        <w:t>yaşam tarzı</w:t>
      </w:r>
      <w:r w:rsidR="005133EB" w:rsidRPr="004A47CE">
        <w:rPr>
          <w:rFonts w:ascii="Times New Roman" w:hAnsi="Times New Roman" w:cs="Times New Roman"/>
          <w:color w:val="000000" w:themeColor="text1"/>
          <w:sz w:val="24"/>
          <w:szCs w:val="24"/>
          <w:lang w:val="tr-TR"/>
        </w:rPr>
        <w:t xml:space="preserve"> (Shaw vd. (2005)</w:t>
      </w:r>
      <w:r w:rsidR="0084153F" w:rsidRPr="004A47CE">
        <w:rPr>
          <w:rFonts w:ascii="Times New Roman" w:hAnsi="Times New Roman" w:cs="Times New Roman"/>
          <w:color w:val="000000" w:themeColor="text1"/>
          <w:sz w:val="24"/>
          <w:szCs w:val="24"/>
          <w:lang w:val="tr-TR"/>
        </w:rPr>
        <w:t xml:space="preserve">, </w:t>
      </w:r>
      <w:r w:rsidRPr="004A47CE">
        <w:rPr>
          <w:rFonts w:ascii="Times New Roman" w:hAnsi="Times New Roman" w:cs="Times New Roman"/>
          <w:color w:val="000000" w:themeColor="text1"/>
          <w:sz w:val="24"/>
          <w:szCs w:val="24"/>
          <w:lang w:val="tr-TR"/>
        </w:rPr>
        <w:t>çevresel</w:t>
      </w:r>
      <w:r w:rsidR="0084153F" w:rsidRPr="004A47CE">
        <w:rPr>
          <w:rFonts w:ascii="Times New Roman" w:hAnsi="Times New Roman" w:cs="Times New Roman"/>
          <w:color w:val="000000" w:themeColor="text1"/>
          <w:sz w:val="24"/>
          <w:szCs w:val="24"/>
          <w:lang w:val="tr-TR"/>
        </w:rPr>
        <w:t xml:space="preserve"> (Auster vd. (1969)</w:t>
      </w:r>
      <w:r w:rsidRPr="004A47CE">
        <w:rPr>
          <w:rFonts w:ascii="Times New Roman" w:hAnsi="Times New Roman" w:cs="Times New Roman"/>
          <w:color w:val="000000" w:themeColor="text1"/>
          <w:sz w:val="24"/>
          <w:szCs w:val="24"/>
          <w:lang w:val="tr-TR"/>
        </w:rPr>
        <w:t xml:space="preserve">, ekonomik </w:t>
      </w:r>
      <w:r w:rsidR="005133EB" w:rsidRPr="004A47CE">
        <w:rPr>
          <w:rFonts w:ascii="Times New Roman" w:hAnsi="Times New Roman" w:cs="Times New Roman"/>
          <w:color w:val="000000" w:themeColor="text1"/>
          <w:sz w:val="24"/>
          <w:szCs w:val="24"/>
          <w:lang w:val="tr-TR"/>
        </w:rPr>
        <w:t xml:space="preserve">(Salahuddin </w:t>
      </w:r>
      <w:r w:rsidR="00E071F1">
        <w:rPr>
          <w:rFonts w:ascii="Times New Roman" w:hAnsi="Times New Roman" w:cs="Times New Roman"/>
          <w:color w:val="000000" w:themeColor="text1"/>
          <w:sz w:val="24"/>
          <w:szCs w:val="24"/>
          <w:lang w:val="tr-TR"/>
        </w:rPr>
        <w:t>ve diğ.</w:t>
      </w:r>
      <w:r w:rsidR="005133EB" w:rsidRPr="004A47CE">
        <w:rPr>
          <w:rFonts w:ascii="Times New Roman" w:hAnsi="Times New Roman" w:cs="Times New Roman"/>
          <w:color w:val="000000" w:themeColor="text1"/>
          <w:sz w:val="24"/>
          <w:szCs w:val="24"/>
          <w:lang w:val="tr-TR"/>
        </w:rPr>
        <w:t xml:space="preserve"> 2020; Blazquez-Fernández </w:t>
      </w:r>
      <w:r w:rsidR="00E071F1">
        <w:rPr>
          <w:rFonts w:ascii="Times New Roman" w:hAnsi="Times New Roman" w:cs="Times New Roman"/>
          <w:color w:val="000000" w:themeColor="text1"/>
          <w:sz w:val="24"/>
          <w:szCs w:val="24"/>
          <w:lang w:val="tr-TR"/>
        </w:rPr>
        <w:t>ve diğ.</w:t>
      </w:r>
      <w:r w:rsidR="005133EB" w:rsidRPr="004A47CE">
        <w:rPr>
          <w:rFonts w:ascii="Times New Roman" w:hAnsi="Times New Roman" w:cs="Times New Roman"/>
          <w:color w:val="000000" w:themeColor="text1"/>
          <w:sz w:val="24"/>
          <w:szCs w:val="24"/>
          <w:lang w:val="tr-TR"/>
        </w:rPr>
        <w:t xml:space="preserve"> 2017) </w:t>
      </w:r>
      <w:r w:rsidRPr="004A47CE">
        <w:rPr>
          <w:rFonts w:ascii="Times New Roman" w:hAnsi="Times New Roman" w:cs="Times New Roman"/>
          <w:color w:val="000000" w:themeColor="text1"/>
          <w:sz w:val="24"/>
          <w:szCs w:val="24"/>
          <w:lang w:val="tr-TR"/>
        </w:rPr>
        <w:t xml:space="preserve">ve sosyo-demografik </w:t>
      </w:r>
      <w:r w:rsidR="00A56A50" w:rsidRPr="004A47CE">
        <w:rPr>
          <w:rFonts w:ascii="Times New Roman" w:hAnsi="Times New Roman" w:cs="Times New Roman"/>
          <w:color w:val="000000" w:themeColor="text1"/>
          <w:sz w:val="24"/>
          <w:szCs w:val="24"/>
          <w:lang w:val="tr-TR"/>
        </w:rPr>
        <w:t>(Rogers  ve Wofford, 1989</w:t>
      </w:r>
      <w:r w:rsidR="0084153F" w:rsidRPr="004A47CE">
        <w:rPr>
          <w:rFonts w:ascii="Times New Roman" w:hAnsi="Times New Roman" w:cs="Times New Roman"/>
          <w:color w:val="000000" w:themeColor="text1"/>
          <w:sz w:val="24"/>
          <w:szCs w:val="24"/>
          <w:lang w:val="tr-TR"/>
        </w:rPr>
        <w:t xml:space="preserve">; Gulis, 2000; Luy </w:t>
      </w:r>
      <w:r w:rsidR="00E071F1">
        <w:rPr>
          <w:rFonts w:ascii="Times New Roman" w:hAnsi="Times New Roman" w:cs="Times New Roman"/>
          <w:color w:val="000000" w:themeColor="text1"/>
          <w:sz w:val="24"/>
          <w:szCs w:val="24"/>
          <w:lang w:val="tr-TR"/>
        </w:rPr>
        <w:t>ve diğ.</w:t>
      </w:r>
      <w:r w:rsidR="0084153F" w:rsidRPr="004A47CE">
        <w:rPr>
          <w:rFonts w:ascii="Times New Roman" w:hAnsi="Times New Roman" w:cs="Times New Roman"/>
          <w:color w:val="000000" w:themeColor="text1"/>
          <w:sz w:val="24"/>
          <w:szCs w:val="24"/>
          <w:lang w:val="tr-TR"/>
        </w:rPr>
        <w:t xml:space="preserve"> 2019; Fayissa ve Gutema, 2005) </w:t>
      </w:r>
      <w:r w:rsidRPr="004A47CE">
        <w:rPr>
          <w:rFonts w:ascii="Times New Roman" w:hAnsi="Times New Roman" w:cs="Times New Roman"/>
          <w:color w:val="000000" w:themeColor="text1"/>
          <w:sz w:val="24"/>
          <w:szCs w:val="24"/>
          <w:lang w:val="tr-TR"/>
        </w:rPr>
        <w:t xml:space="preserve">faktörlerin sağlık çıktıları üzerindeki </w:t>
      </w:r>
      <w:r w:rsidR="000226F7" w:rsidRPr="004A47CE">
        <w:rPr>
          <w:rFonts w:ascii="Times New Roman" w:hAnsi="Times New Roman" w:cs="Times New Roman"/>
          <w:color w:val="000000" w:themeColor="text1"/>
          <w:sz w:val="24"/>
          <w:szCs w:val="24"/>
          <w:lang w:val="tr-TR"/>
        </w:rPr>
        <w:t>etkilerine odaklandıkları göze çarpmaktadır.</w:t>
      </w:r>
      <w:r w:rsidR="0084153F" w:rsidRPr="004A47CE">
        <w:rPr>
          <w:rFonts w:ascii="Times New Roman" w:hAnsi="Times New Roman" w:cs="Times New Roman"/>
          <w:color w:val="000000" w:themeColor="text1"/>
          <w:sz w:val="24"/>
          <w:szCs w:val="24"/>
          <w:lang w:val="tr-TR"/>
        </w:rPr>
        <w:t xml:space="preserve"> </w:t>
      </w:r>
    </w:p>
    <w:p w14:paraId="70113916" w14:textId="19BD4566" w:rsidR="006468A3" w:rsidRPr="004A47CE" w:rsidRDefault="002E1360" w:rsidP="004A47CE">
      <w:pPr>
        <w:spacing w:after="120" w:line="240" w:lineRule="auto"/>
        <w:ind w:firstLine="709"/>
        <w:jc w:val="both"/>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 xml:space="preserve">Kobza ve Geremek (2015) Polonya için sağlık çıktılarını yaşam tarzı ve sağlık sistemi </w:t>
      </w:r>
      <w:r w:rsidR="006468A3" w:rsidRPr="004A47CE">
        <w:rPr>
          <w:rFonts w:ascii="Times New Roman" w:hAnsi="Times New Roman" w:cs="Times New Roman"/>
          <w:color w:val="000000" w:themeColor="text1"/>
          <w:sz w:val="24"/>
          <w:szCs w:val="24"/>
          <w:lang w:val="tr-TR"/>
        </w:rPr>
        <w:t>ile i</w:t>
      </w:r>
      <w:r w:rsidR="00E071F1">
        <w:rPr>
          <w:rFonts w:ascii="Times New Roman" w:hAnsi="Times New Roman" w:cs="Times New Roman"/>
          <w:color w:val="000000" w:themeColor="text1"/>
          <w:sz w:val="24"/>
          <w:szCs w:val="24"/>
          <w:lang w:val="tr-TR"/>
        </w:rPr>
        <w:t>lişkilendirirken, Korbelius ve diğ.</w:t>
      </w:r>
      <w:r w:rsidR="006468A3" w:rsidRPr="004A47CE">
        <w:rPr>
          <w:rFonts w:ascii="Times New Roman" w:hAnsi="Times New Roman" w:cs="Times New Roman"/>
          <w:color w:val="000000" w:themeColor="text1"/>
          <w:sz w:val="24"/>
          <w:szCs w:val="24"/>
          <w:lang w:val="tr-TR"/>
        </w:rPr>
        <w:t xml:space="preserve"> (2016)</w:t>
      </w:r>
      <w:r w:rsidRPr="004A47CE">
        <w:rPr>
          <w:rFonts w:ascii="Times New Roman" w:hAnsi="Times New Roman" w:cs="Times New Roman"/>
          <w:color w:val="000000" w:themeColor="text1"/>
          <w:sz w:val="24"/>
          <w:szCs w:val="24"/>
          <w:lang w:val="tr-TR"/>
        </w:rPr>
        <w:t xml:space="preserve"> </w:t>
      </w:r>
      <w:r w:rsidR="006468A3" w:rsidRPr="004A47CE">
        <w:rPr>
          <w:rFonts w:ascii="Times New Roman" w:hAnsi="Times New Roman" w:cs="Times New Roman"/>
          <w:color w:val="000000" w:themeColor="text1"/>
          <w:sz w:val="24"/>
          <w:szCs w:val="24"/>
          <w:lang w:val="tr-TR"/>
        </w:rPr>
        <w:t>Çek Cumhuriyeti için sosyo-ekonomik, sağlık</w:t>
      </w:r>
      <w:r w:rsidR="00132E4D" w:rsidRPr="004A47CE">
        <w:rPr>
          <w:rFonts w:ascii="Times New Roman" w:hAnsi="Times New Roman" w:cs="Times New Roman"/>
          <w:color w:val="000000" w:themeColor="text1"/>
          <w:sz w:val="24"/>
          <w:szCs w:val="24"/>
          <w:lang w:val="tr-TR"/>
        </w:rPr>
        <w:t xml:space="preserve"> harcamaları</w:t>
      </w:r>
      <w:r w:rsidR="002C5A55" w:rsidRPr="004A47CE">
        <w:rPr>
          <w:rFonts w:ascii="Times New Roman" w:hAnsi="Times New Roman" w:cs="Times New Roman"/>
          <w:color w:val="000000" w:themeColor="text1"/>
          <w:sz w:val="24"/>
          <w:szCs w:val="24"/>
          <w:lang w:val="tr-TR"/>
        </w:rPr>
        <w:t xml:space="preserve"> ve çevresel faktörlerin, Medas (2015)</w:t>
      </w:r>
      <w:r w:rsidR="008D6D1E" w:rsidRPr="004A47CE">
        <w:rPr>
          <w:rFonts w:ascii="Times New Roman" w:hAnsi="Times New Roman" w:cs="Times New Roman"/>
          <w:color w:val="000000" w:themeColor="text1"/>
          <w:sz w:val="24"/>
          <w:szCs w:val="24"/>
          <w:lang w:val="tr-TR"/>
        </w:rPr>
        <w:t xml:space="preserve"> ise</w:t>
      </w:r>
      <w:r w:rsidR="002C5A55" w:rsidRPr="004A47CE">
        <w:rPr>
          <w:rFonts w:ascii="Times New Roman" w:hAnsi="Times New Roman" w:cs="Times New Roman"/>
          <w:color w:val="000000" w:themeColor="text1"/>
          <w:sz w:val="24"/>
          <w:szCs w:val="24"/>
          <w:lang w:val="tr-TR"/>
        </w:rPr>
        <w:t xml:space="preserve"> Macaristan</w:t>
      </w:r>
      <w:r w:rsidR="006468A3" w:rsidRPr="004A47CE">
        <w:rPr>
          <w:rFonts w:ascii="Times New Roman" w:hAnsi="Times New Roman" w:cs="Times New Roman"/>
          <w:color w:val="000000" w:themeColor="text1"/>
          <w:sz w:val="24"/>
          <w:szCs w:val="24"/>
          <w:lang w:val="tr-TR"/>
        </w:rPr>
        <w:t xml:space="preserve"> </w:t>
      </w:r>
      <w:r w:rsidR="002C5A55" w:rsidRPr="004A47CE">
        <w:rPr>
          <w:rFonts w:ascii="Times New Roman" w:hAnsi="Times New Roman" w:cs="Times New Roman"/>
          <w:color w:val="000000" w:themeColor="text1"/>
          <w:sz w:val="24"/>
          <w:szCs w:val="24"/>
          <w:lang w:val="tr-TR"/>
        </w:rPr>
        <w:t>için so</w:t>
      </w:r>
      <w:r w:rsidR="008D6D1E" w:rsidRPr="004A47CE">
        <w:rPr>
          <w:rFonts w:ascii="Times New Roman" w:hAnsi="Times New Roman" w:cs="Times New Roman"/>
          <w:color w:val="000000" w:themeColor="text1"/>
          <w:sz w:val="24"/>
          <w:szCs w:val="24"/>
          <w:lang w:val="tr-TR"/>
        </w:rPr>
        <w:t>s</w:t>
      </w:r>
      <w:r w:rsidR="002C5A55" w:rsidRPr="004A47CE">
        <w:rPr>
          <w:rFonts w:ascii="Times New Roman" w:hAnsi="Times New Roman" w:cs="Times New Roman"/>
          <w:color w:val="000000" w:themeColor="text1"/>
          <w:sz w:val="24"/>
          <w:szCs w:val="24"/>
          <w:lang w:val="tr-TR"/>
        </w:rPr>
        <w:t>yo-ekonomik faktörlerin yaşa</w:t>
      </w:r>
      <w:r w:rsidR="00861D5B" w:rsidRPr="004A47CE">
        <w:rPr>
          <w:rFonts w:ascii="Times New Roman" w:hAnsi="Times New Roman" w:cs="Times New Roman"/>
          <w:color w:val="000000" w:themeColor="text1"/>
          <w:sz w:val="24"/>
          <w:szCs w:val="24"/>
          <w:lang w:val="tr-TR"/>
        </w:rPr>
        <w:t xml:space="preserve">m beklentileri </w:t>
      </w:r>
      <w:r w:rsidR="00132E4D" w:rsidRPr="004A47CE">
        <w:rPr>
          <w:rFonts w:ascii="Times New Roman" w:hAnsi="Times New Roman" w:cs="Times New Roman"/>
          <w:color w:val="000000" w:themeColor="text1"/>
          <w:sz w:val="24"/>
          <w:szCs w:val="24"/>
          <w:lang w:val="tr-TR"/>
        </w:rPr>
        <w:t>üz</w:t>
      </w:r>
      <w:r w:rsidR="000F74B5" w:rsidRPr="004A47CE">
        <w:rPr>
          <w:rFonts w:ascii="Times New Roman" w:hAnsi="Times New Roman" w:cs="Times New Roman"/>
          <w:color w:val="000000" w:themeColor="text1"/>
          <w:sz w:val="24"/>
          <w:szCs w:val="24"/>
          <w:lang w:val="tr-TR"/>
        </w:rPr>
        <w:t>erindeki etki</w:t>
      </w:r>
      <w:r w:rsidR="00132E4D" w:rsidRPr="004A47CE">
        <w:rPr>
          <w:rFonts w:ascii="Times New Roman" w:hAnsi="Times New Roman" w:cs="Times New Roman"/>
          <w:color w:val="000000" w:themeColor="text1"/>
          <w:sz w:val="24"/>
          <w:szCs w:val="24"/>
          <w:lang w:val="tr-TR"/>
        </w:rPr>
        <w:t>lerini</w:t>
      </w:r>
      <w:r w:rsidR="002C5A55" w:rsidRPr="004A47CE">
        <w:rPr>
          <w:rFonts w:ascii="Times New Roman" w:hAnsi="Times New Roman" w:cs="Times New Roman"/>
          <w:color w:val="000000" w:themeColor="text1"/>
          <w:sz w:val="24"/>
          <w:szCs w:val="24"/>
          <w:lang w:val="tr-TR"/>
        </w:rPr>
        <w:t xml:space="preserve"> incelemişlerdir.</w:t>
      </w:r>
    </w:p>
    <w:p w14:paraId="1DFDAA17" w14:textId="78695004" w:rsidR="00982AE4" w:rsidRPr="00982AE4" w:rsidRDefault="001D74F3" w:rsidP="00965938">
      <w:pPr>
        <w:spacing w:after="120" w:line="240" w:lineRule="auto"/>
        <w:ind w:firstLine="709"/>
        <w:jc w:val="both"/>
        <w:rPr>
          <w:rFonts w:ascii="Times New Roman" w:hAnsi="Times New Roman" w:cs="Times New Roman"/>
          <w:sz w:val="24"/>
          <w:szCs w:val="24"/>
          <w:highlight w:val="green"/>
          <w:lang w:val="tr-TR"/>
        </w:rPr>
      </w:pPr>
      <w:r w:rsidRPr="004A47CE">
        <w:rPr>
          <w:rFonts w:ascii="Times New Roman" w:hAnsi="Times New Roman" w:cs="Times New Roman"/>
          <w:color w:val="000000" w:themeColor="text1"/>
          <w:sz w:val="24"/>
          <w:szCs w:val="24"/>
          <w:lang w:val="tr-TR"/>
        </w:rPr>
        <w:t>Literatür</w:t>
      </w:r>
      <w:r w:rsidR="00132E4D" w:rsidRPr="004A47CE">
        <w:rPr>
          <w:rFonts w:ascii="Times New Roman" w:hAnsi="Times New Roman" w:cs="Times New Roman"/>
          <w:color w:val="000000" w:themeColor="text1"/>
          <w:sz w:val="24"/>
          <w:szCs w:val="24"/>
          <w:lang w:val="tr-TR"/>
        </w:rPr>
        <w:t xml:space="preserve">e bakıldığında geçiş ülkelerinin toplu olarak ele alınarak hem ekonomik hem </w:t>
      </w:r>
      <w:r w:rsidR="004719BB" w:rsidRPr="004A47CE">
        <w:rPr>
          <w:rFonts w:ascii="Times New Roman" w:hAnsi="Times New Roman" w:cs="Times New Roman"/>
          <w:color w:val="000000" w:themeColor="text1"/>
          <w:sz w:val="24"/>
          <w:szCs w:val="24"/>
          <w:lang w:val="tr-TR"/>
        </w:rPr>
        <w:t xml:space="preserve">de sosyo-demografik faktörler </w:t>
      </w:r>
      <w:r w:rsidR="00132E4D" w:rsidRPr="004A47CE">
        <w:rPr>
          <w:rFonts w:ascii="Times New Roman" w:hAnsi="Times New Roman" w:cs="Times New Roman"/>
          <w:color w:val="000000" w:themeColor="text1"/>
          <w:sz w:val="24"/>
          <w:szCs w:val="24"/>
          <w:lang w:val="tr-TR"/>
        </w:rPr>
        <w:t xml:space="preserve">bağlamında incelendiği görülmemiştir. Dolayısıyla bu çalışmanın diğer çalışmalardan iki temel farklılığı bulunmaktadır.  Bunlardan ilki </w:t>
      </w:r>
      <w:r w:rsidR="00AD7AEA" w:rsidRPr="004A47CE">
        <w:rPr>
          <w:rFonts w:ascii="Times New Roman" w:hAnsi="Times New Roman" w:cs="Times New Roman"/>
          <w:color w:val="000000" w:themeColor="text1"/>
          <w:sz w:val="24"/>
          <w:szCs w:val="24"/>
          <w:lang w:val="tr-TR"/>
        </w:rPr>
        <w:t xml:space="preserve">bu çalışmada </w:t>
      </w:r>
      <w:r w:rsidR="002D4EDB" w:rsidRPr="004A47CE">
        <w:rPr>
          <w:rFonts w:ascii="Times New Roman" w:hAnsi="Times New Roman" w:cs="Times New Roman"/>
          <w:color w:val="000000" w:themeColor="text1"/>
          <w:sz w:val="24"/>
          <w:szCs w:val="24"/>
          <w:lang w:val="tr-TR"/>
        </w:rPr>
        <w:t xml:space="preserve">Geçiş Ülkeleri için </w:t>
      </w:r>
      <w:r w:rsidR="00AD7AEA" w:rsidRPr="004A47CE">
        <w:rPr>
          <w:rFonts w:ascii="Times New Roman" w:hAnsi="Times New Roman" w:cs="Times New Roman"/>
          <w:color w:val="000000" w:themeColor="text1"/>
          <w:sz w:val="24"/>
          <w:szCs w:val="24"/>
          <w:lang w:val="tr-TR"/>
        </w:rPr>
        <w:t>ekonomik ve sosyo-demografik faktörlerin kadın ve erkeklerin sağlık çıktıları üzerindeki etkisine odaklanılmaktadır. İkinci olarak</w:t>
      </w:r>
      <w:r w:rsidR="000F74B5" w:rsidRPr="004A47CE">
        <w:rPr>
          <w:rFonts w:ascii="Times New Roman" w:hAnsi="Times New Roman" w:cs="Times New Roman"/>
          <w:color w:val="000000" w:themeColor="text1"/>
          <w:sz w:val="24"/>
          <w:szCs w:val="24"/>
          <w:lang w:val="tr-TR"/>
        </w:rPr>
        <w:t xml:space="preserve"> çalışmamızda kullanılan </w:t>
      </w:r>
      <w:r w:rsidR="00E86828" w:rsidRPr="004A47CE">
        <w:rPr>
          <w:rFonts w:ascii="Times New Roman" w:hAnsi="Times New Roman" w:cs="Times New Roman"/>
          <w:color w:val="000000" w:themeColor="text1"/>
          <w:sz w:val="24"/>
          <w:szCs w:val="24"/>
          <w:lang w:val="tr-TR"/>
        </w:rPr>
        <w:t xml:space="preserve">tahmin </w:t>
      </w:r>
      <w:r w:rsidR="000F74B5" w:rsidRPr="004A47CE">
        <w:rPr>
          <w:rFonts w:ascii="Times New Roman" w:hAnsi="Times New Roman" w:cs="Times New Roman"/>
          <w:color w:val="000000" w:themeColor="text1"/>
          <w:sz w:val="24"/>
          <w:szCs w:val="24"/>
          <w:lang w:val="tr-TR"/>
        </w:rPr>
        <w:t>yöntemin</w:t>
      </w:r>
      <w:r w:rsidR="00E86828" w:rsidRPr="004A47CE">
        <w:rPr>
          <w:rFonts w:ascii="Times New Roman" w:hAnsi="Times New Roman" w:cs="Times New Roman"/>
          <w:color w:val="000000" w:themeColor="text1"/>
          <w:sz w:val="24"/>
          <w:szCs w:val="24"/>
          <w:lang w:val="tr-TR"/>
        </w:rPr>
        <w:t>in</w:t>
      </w:r>
      <w:r w:rsidR="000F74B5" w:rsidRPr="004A47CE">
        <w:rPr>
          <w:rFonts w:ascii="Times New Roman" w:hAnsi="Times New Roman" w:cs="Times New Roman"/>
          <w:color w:val="000000" w:themeColor="text1"/>
          <w:sz w:val="24"/>
          <w:szCs w:val="24"/>
          <w:lang w:val="tr-TR"/>
        </w:rPr>
        <w:t xml:space="preserve"> </w:t>
      </w:r>
      <w:r w:rsidR="00AD7AEA" w:rsidRPr="004A47CE">
        <w:rPr>
          <w:rFonts w:ascii="Times New Roman" w:hAnsi="Times New Roman" w:cs="Times New Roman"/>
          <w:color w:val="000000" w:themeColor="text1"/>
          <w:sz w:val="24"/>
          <w:szCs w:val="24"/>
          <w:lang w:val="tr-TR"/>
        </w:rPr>
        <w:t>önceki</w:t>
      </w:r>
      <w:r w:rsidR="000F74B5" w:rsidRPr="004A47CE">
        <w:rPr>
          <w:rFonts w:ascii="Times New Roman" w:hAnsi="Times New Roman" w:cs="Times New Roman"/>
          <w:color w:val="000000" w:themeColor="text1"/>
          <w:sz w:val="24"/>
          <w:szCs w:val="24"/>
          <w:lang w:val="tr-TR"/>
        </w:rPr>
        <w:t xml:space="preserve"> çalışmalarda kullanılmam</w:t>
      </w:r>
      <w:r w:rsidR="00E86828" w:rsidRPr="004A47CE">
        <w:rPr>
          <w:rFonts w:ascii="Times New Roman" w:hAnsi="Times New Roman" w:cs="Times New Roman"/>
          <w:color w:val="000000" w:themeColor="text1"/>
          <w:sz w:val="24"/>
          <w:szCs w:val="24"/>
          <w:lang w:val="tr-TR"/>
        </w:rPr>
        <w:t>ı</w:t>
      </w:r>
      <w:r w:rsidR="000F74B5" w:rsidRPr="004A47CE">
        <w:rPr>
          <w:rFonts w:ascii="Times New Roman" w:hAnsi="Times New Roman" w:cs="Times New Roman"/>
          <w:color w:val="000000" w:themeColor="text1"/>
          <w:sz w:val="24"/>
          <w:szCs w:val="24"/>
          <w:lang w:val="tr-TR"/>
        </w:rPr>
        <w:t>ş</w:t>
      </w:r>
      <w:r w:rsidR="00547861" w:rsidRPr="004A47CE">
        <w:rPr>
          <w:rFonts w:ascii="Times New Roman" w:hAnsi="Times New Roman" w:cs="Times New Roman"/>
          <w:color w:val="000000" w:themeColor="text1"/>
          <w:sz w:val="24"/>
          <w:szCs w:val="24"/>
          <w:lang w:val="tr-TR"/>
        </w:rPr>
        <w:t xml:space="preserve"> olması</w:t>
      </w:r>
      <w:r w:rsidR="00E86828" w:rsidRPr="004A47CE">
        <w:rPr>
          <w:rFonts w:ascii="Times New Roman" w:hAnsi="Times New Roman" w:cs="Times New Roman"/>
          <w:color w:val="000000" w:themeColor="text1"/>
          <w:sz w:val="24"/>
          <w:szCs w:val="24"/>
          <w:lang w:val="tr-TR"/>
        </w:rPr>
        <w:t xml:space="preserve">dır. </w:t>
      </w:r>
      <w:r w:rsidR="00547861" w:rsidRPr="004A47CE">
        <w:rPr>
          <w:rFonts w:ascii="Times New Roman" w:hAnsi="Times New Roman" w:cs="Times New Roman"/>
          <w:color w:val="000000" w:themeColor="text1"/>
          <w:sz w:val="24"/>
          <w:szCs w:val="24"/>
          <w:lang w:val="tr-TR"/>
        </w:rPr>
        <w:t xml:space="preserve"> </w:t>
      </w:r>
      <w:r w:rsidR="000F74B5" w:rsidRPr="004A47CE">
        <w:rPr>
          <w:rFonts w:ascii="Times New Roman" w:hAnsi="Times New Roman" w:cs="Times New Roman"/>
          <w:color w:val="FF0000"/>
          <w:sz w:val="24"/>
          <w:szCs w:val="24"/>
          <w:lang w:val="tr-TR"/>
        </w:rPr>
        <w:t xml:space="preserve"> </w:t>
      </w:r>
    </w:p>
    <w:p w14:paraId="47008921" w14:textId="7E3D3144" w:rsidR="00C27DE2" w:rsidRPr="00965FBD" w:rsidRDefault="007B1D65" w:rsidP="00982AE4">
      <w:pPr>
        <w:pStyle w:val="1"/>
        <w:spacing w:before="0" w:after="120" w:line="240" w:lineRule="auto"/>
        <w:rPr>
          <w:rFonts w:ascii="Times New Roman" w:hAnsi="Times New Roman" w:cs="Times New Roman"/>
          <w:b/>
          <w:color w:val="auto"/>
          <w:sz w:val="24"/>
          <w:szCs w:val="24"/>
          <w:lang w:val="tr-TR"/>
        </w:rPr>
      </w:pPr>
      <w:r w:rsidRPr="00965FBD">
        <w:rPr>
          <w:rFonts w:ascii="Times New Roman" w:hAnsi="Times New Roman" w:cs="Times New Roman"/>
          <w:b/>
          <w:color w:val="auto"/>
          <w:sz w:val="24"/>
          <w:szCs w:val="24"/>
          <w:lang w:val="tr-TR"/>
        </w:rPr>
        <w:t>3.VERİ VE DEĞİŞKENLER</w:t>
      </w:r>
    </w:p>
    <w:p w14:paraId="22F092D0" w14:textId="273BF9E5" w:rsidR="006A5666" w:rsidRPr="004A47CE" w:rsidRDefault="006A5666" w:rsidP="004A47CE">
      <w:pPr>
        <w:tabs>
          <w:tab w:val="left" w:pos="1200"/>
        </w:tabs>
        <w:spacing w:after="120" w:line="240" w:lineRule="auto"/>
        <w:ind w:firstLine="709"/>
        <w:jc w:val="both"/>
        <w:rPr>
          <w:rFonts w:ascii="Times New Roman" w:hAnsi="Times New Roman" w:cs="Times New Roman"/>
          <w:sz w:val="24"/>
          <w:szCs w:val="24"/>
          <w:lang w:val="tr-TR"/>
        </w:rPr>
      </w:pPr>
      <w:r w:rsidRPr="004A47CE">
        <w:rPr>
          <w:rFonts w:ascii="Times New Roman" w:hAnsi="Times New Roman" w:cs="Times New Roman"/>
          <w:sz w:val="24"/>
          <w:szCs w:val="24"/>
          <w:lang w:val="tr-TR"/>
        </w:rPr>
        <w:t>Bu çalışmada seçilmiş 16 (</w:t>
      </w:r>
      <w:r w:rsidR="001F065F" w:rsidRPr="004A47CE">
        <w:rPr>
          <w:rFonts w:ascii="Times New Roman" w:hAnsi="Times New Roman" w:cs="Times New Roman"/>
          <w:sz w:val="24"/>
          <w:szCs w:val="24"/>
          <w:lang w:val="tr-TR"/>
        </w:rPr>
        <w:t>Ermenistan, Beyaz Rusya, Bulgaristan,</w:t>
      </w:r>
      <w:r w:rsidRPr="004A47CE">
        <w:rPr>
          <w:rFonts w:ascii="Times New Roman" w:hAnsi="Times New Roman" w:cs="Times New Roman"/>
          <w:sz w:val="24"/>
          <w:szCs w:val="24"/>
          <w:lang w:val="tr-TR"/>
        </w:rPr>
        <w:t xml:space="preserve"> </w:t>
      </w:r>
      <w:r w:rsidR="001F065F" w:rsidRPr="004A47CE">
        <w:rPr>
          <w:rFonts w:ascii="Times New Roman" w:hAnsi="Times New Roman" w:cs="Times New Roman"/>
          <w:sz w:val="24"/>
          <w:szCs w:val="24"/>
          <w:lang w:val="tr-TR"/>
        </w:rPr>
        <w:t>Gürcistan</w:t>
      </w:r>
      <w:r w:rsidRPr="004A47CE">
        <w:rPr>
          <w:rFonts w:ascii="Times New Roman" w:hAnsi="Times New Roman" w:cs="Times New Roman"/>
          <w:sz w:val="24"/>
          <w:szCs w:val="24"/>
          <w:lang w:val="tr-TR"/>
        </w:rPr>
        <w:t>, Estonya, Macaristan, Kazakistan, Kırgız Cumhuriyeti, Letonya, Litva</w:t>
      </w:r>
      <w:r w:rsidR="001F065F" w:rsidRPr="004A47CE">
        <w:rPr>
          <w:rFonts w:ascii="Times New Roman" w:hAnsi="Times New Roman" w:cs="Times New Roman"/>
          <w:sz w:val="24"/>
          <w:szCs w:val="24"/>
          <w:lang w:val="tr-TR"/>
        </w:rPr>
        <w:t xml:space="preserve">nya, Moldova, </w:t>
      </w:r>
      <w:r w:rsidRPr="004A47CE">
        <w:rPr>
          <w:rFonts w:ascii="Times New Roman" w:hAnsi="Times New Roman" w:cs="Times New Roman"/>
          <w:sz w:val="24"/>
          <w:szCs w:val="24"/>
          <w:lang w:val="tr-TR"/>
        </w:rPr>
        <w:t xml:space="preserve"> Rusya Federas</w:t>
      </w:r>
      <w:r w:rsidR="001F065F" w:rsidRPr="004A47CE">
        <w:rPr>
          <w:rFonts w:ascii="Times New Roman" w:hAnsi="Times New Roman" w:cs="Times New Roman"/>
          <w:sz w:val="24"/>
          <w:szCs w:val="24"/>
          <w:lang w:val="tr-TR"/>
        </w:rPr>
        <w:t>yonu, Slovak,  Slovenya, Tacikistan, Özbekistan</w:t>
      </w:r>
      <w:r w:rsidR="00A968BD" w:rsidRPr="004A47CE">
        <w:rPr>
          <w:rFonts w:ascii="Times New Roman" w:hAnsi="Times New Roman" w:cs="Times New Roman"/>
          <w:sz w:val="24"/>
          <w:szCs w:val="24"/>
          <w:lang w:val="tr-TR"/>
        </w:rPr>
        <w:t>) geçiş ülkelerinin</w:t>
      </w:r>
      <w:r w:rsidRPr="004A47CE">
        <w:rPr>
          <w:rFonts w:ascii="Times New Roman" w:hAnsi="Times New Roman" w:cs="Times New Roman"/>
          <w:sz w:val="24"/>
          <w:szCs w:val="24"/>
          <w:lang w:val="tr-TR"/>
        </w:rPr>
        <w:t xml:space="preserve"> 2000-2016 dönemine ait yıllık verileri kullanılmıştır.</w:t>
      </w:r>
    </w:p>
    <w:p w14:paraId="32A017D7" w14:textId="20595FD3" w:rsidR="00EA01F0" w:rsidRPr="004A47CE" w:rsidRDefault="00EA01F0" w:rsidP="004A47CE">
      <w:pPr>
        <w:tabs>
          <w:tab w:val="left" w:pos="1200"/>
        </w:tabs>
        <w:spacing w:after="120" w:line="240" w:lineRule="auto"/>
        <w:ind w:firstLine="709"/>
        <w:jc w:val="both"/>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Çalışmada sağlığın göst</w:t>
      </w:r>
      <w:r w:rsidR="00A968BD" w:rsidRPr="004A47CE">
        <w:rPr>
          <w:rFonts w:ascii="Times New Roman" w:hAnsi="Times New Roman" w:cs="Times New Roman"/>
          <w:color w:val="000000" w:themeColor="text1"/>
          <w:sz w:val="24"/>
          <w:szCs w:val="24"/>
          <w:lang w:val="tr-TR"/>
        </w:rPr>
        <w:t xml:space="preserve">ergesi olarak doğuşta beklenen </w:t>
      </w:r>
      <w:r w:rsidRPr="004A47CE">
        <w:rPr>
          <w:rFonts w:ascii="Times New Roman" w:hAnsi="Times New Roman" w:cs="Times New Roman"/>
          <w:color w:val="000000" w:themeColor="text1"/>
          <w:sz w:val="24"/>
          <w:szCs w:val="24"/>
          <w:lang w:val="tr-TR"/>
        </w:rPr>
        <w:t>yaşam süresi değişkeni kul</w:t>
      </w:r>
      <w:r w:rsidR="00A968BD" w:rsidRPr="004A47CE">
        <w:rPr>
          <w:rFonts w:ascii="Times New Roman" w:hAnsi="Times New Roman" w:cs="Times New Roman"/>
          <w:color w:val="000000" w:themeColor="text1"/>
          <w:sz w:val="24"/>
          <w:szCs w:val="24"/>
          <w:lang w:val="tr-TR"/>
        </w:rPr>
        <w:t>lanılmıştır.</w:t>
      </w:r>
      <w:r w:rsidR="00177931" w:rsidRPr="004A47CE">
        <w:rPr>
          <w:rFonts w:ascii="Times New Roman" w:hAnsi="Times New Roman" w:cs="Times New Roman"/>
          <w:color w:val="000000" w:themeColor="text1"/>
          <w:sz w:val="24"/>
          <w:szCs w:val="24"/>
          <w:lang w:val="tr-TR"/>
        </w:rPr>
        <w:t xml:space="preserve"> </w:t>
      </w:r>
      <w:r w:rsidR="00E612AB" w:rsidRPr="004A47CE">
        <w:rPr>
          <w:rFonts w:ascii="Times New Roman" w:hAnsi="Times New Roman" w:cs="Times New Roman"/>
          <w:color w:val="000000" w:themeColor="text1"/>
          <w:sz w:val="24"/>
          <w:szCs w:val="24"/>
          <w:lang w:val="tr-TR"/>
        </w:rPr>
        <w:t>Kadın ve erkeklerin yaşam sürelerin</w:t>
      </w:r>
      <w:r w:rsidR="009D4FE7" w:rsidRPr="004A47CE">
        <w:rPr>
          <w:rFonts w:ascii="Times New Roman" w:hAnsi="Times New Roman" w:cs="Times New Roman"/>
          <w:color w:val="000000" w:themeColor="text1"/>
          <w:sz w:val="24"/>
          <w:szCs w:val="24"/>
          <w:lang w:val="tr-TR"/>
        </w:rPr>
        <w:t xml:space="preserve">i etkileyen faktörlerin cinsiyete göre farklılık </w:t>
      </w:r>
      <w:r w:rsidR="002D4EDB" w:rsidRPr="004A47CE">
        <w:rPr>
          <w:rFonts w:ascii="Times New Roman" w:hAnsi="Times New Roman" w:cs="Times New Roman"/>
          <w:color w:val="000000" w:themeColor="text1"/>
          <w:sz w:val="24"/>
          <w:szCs w:val="24"/>
          <w:lang w:val="tr-TR"/>
        </w:rPr>
        <w:t>gösterdiği</w:t>
      </w:r>
      <w:r w:rsidR="009D4FE7" w:rsidRPr="004A47CE">
        <w:rPr>
          <w:rFonts w:ascii="Times New Roman" w:hAnsi="Times New Roman" w:cs="Times New Roman"/>
          <w:color w:val="000000" w:themeColor="text1"/>
          <w:sz w:val="24"/>
          <w:szCs w:val="24"/>
          <w:lang w:val="tr-TR"/>
        </w:rPr>
        <w:t xml:space="preserve"> önceki çalışmalarda vurgulanmıştır. </w:t>
      </w:r>
      <w:r w:rsidR="002E62DF" w:rsidRPr="004A47CE">
        <w:rPr>
          <w:rFonts w:ascii="Times New Roman" w:hAnsi="Times New Roman" w:cs="Times New Roman"/>
          <w:color w:val="000000" w:themeColor="text1"/>
          <w:sz w:val="24"/>
          <w:szCs w:val="24"/>
          <w:lang w:val="tr-TR"/>
        </w:rPr>
        <w:t>S</w:t>
      </w:r>
      <w:r w:rsidR="009D4FE7" w:rsidRPr="004A47CE">
        <w:rPr>
          <w:rFonts w:ascii="Times New Roman" w:hAnsi="Times New Roman" w:cs="Times New Roman"/>
          <w:color w:val="000000" w:themeColor="text1"/>
          <w:sz w:val="24"/>
          <w:szCs w:val="24"/>
          <w:lang w:val="tr-TR"/>
        </w:rPr>
        <w:t>ağlık harcamalarının kadınların sağlık çıktıla</w:t>
      </w:r>
      <w:r w:rsidR="002E62DF" w:rsidRPr="004A47CE">
        <w:rPr>
          <w:rFonts w:ascii="Times New Roman" w:hAnsi="Times New Roman" w:cs="Times New Roman"/>
          <w:color w:val="000000" w:themeColor="text1"/>
          <w:sz w:val="24"/>
          <w:szCs w:val="24"/>
          <w:lang w:val="tr-TR"/>
        </w:rPr>
        <w:t>rı üzerinde daha etkili olduğu</w:t>
      </w:r>
      <w:r w:rsidR="009D4FE7" w:rsidRPr="004A47CE">
        <w:rPr>
          <w:rFonts w:ascii="Times New Roman" w:hAnsi="Times New Roman" w:cs="Times New Roman"/>
          <w:color w:val="000000" w:themeColor="text1"/>
          <w:sz w:val="24"/>
          <w:szCs w:val="24"/>
          <w:lang w:val="tr-TR"/>
        </w:rPr>
        <w:t xml:space="preserve"> ileri sür</w:t>
      </w:r>
      <w:r w:rsidR="002E62DF" w:rsidRPr="004A47CE">
        <w:rPr>
          <w:rFonts w:ascii="Times New Roman" w:hAnsi="Times New Roman" w:cs="Times New Roman"/>
          <w:color w:val="000000" w:themeColor="text1"/>
          <w:sz w:val="24"/>
          <w:szCs w:val="24"/>
          <w:lang w:val="tr-TR"/>
        </w:rPr>
        <w:t>ül</w:t>
      </w:r>
      <w:r w:rsidR="009D4FE7" w:rsidRPr="004A47CE">
        <w:rPr>
          <w:rFonts w:ascii="Times New Roman" w:hAnsi="Times New Roman" w:cs="Times New Roman"/>
          <w:color w:val="000000" w:themeColor="text1"/>
          <w:sz w:val="24"/>
          <w:szCs w:val="24"/>
          <w:lang w:val="tr-TR"/>
        </w:rPr>
        <w:t>mektedir</w:t>
      </w:r>
      <w:r w:rsidR="002E62DF" w:rsidRPr="004A47CE">
        <w:rPr>
          <w:rFonts w:ascii="Times New Roman" w:hAnsi="Times New Roman" w:cs="Times New Roman"/>
          <w:color w:val="000000" w:themeColor="text1"/>
          <w:sz w:val="24"/>
          <w:szCs w:val="24"/>
          <w:lang w:val="tr-TR"/>
        </w:rPr>
        <w:t xml:space="preserve"> (Ivaschenko, 2005).</w:t>
      </w:r>
      <w:r w:rsidR="009D4FE7" w:rsidRPr="004A47CE">
        <w:rPr>
          <w:rFonts w:ascii="Times New Roman" w:hAnsi="Times New Roman" w:cs="Times New Roman"/>
          <w:color w:val="000000" w:themeColor="text1"/>
          <w:sz w:val="24"/>
          <w:szCs w:val="24"/>
          <w:lang w:val="tr-TR"/>
        </w:rPr>
        <w:t xml:space="preserve"> </w:t>
      </w:r>
      <w:r w:rsidR="002E62DF" w:rsidRPr="004A47CE">
        <w:rPr>
          <w:rFonts w:ascii="Times New Roman" w:hAnsi="Times New Roman" w:cs="Times New Roman"/>
          <w:color w:val="000000" w:themeColor="text1"/>
          <w:sz w:val="24"/>
          <w:szCs w:val="24"/>
          <w:lang w:val="tr-TR"/>
        </w:rPr>
        <w:t xml:space="preserve">Cinsiyete göre eğitimin </w:t>
      </w:r>
      <w:r w:rsidR="00FF57B2" w:rsidRPr="004A47CE">
        <w:rPr>
          <w:rFonts w:ascii="Times New Roman" w:hAnsi="Times New Roman" w:cs="Times New Roman"/>
          <w:color w:val="000000" w:themeColor="text1"/>
          <w:sz w:val="24"/>
          <w:szCs w:val="24"/>
          <w:lang w:val="tr-TR"/>
        </w:rPr>
        <w:t xml:space="preserve">yaşam beklentisi </w:t>
      </w:r>
      <w:r w:rsidR="00D407D1" w:rsidRPr="004A47CE">
        <w:rPr>
          <w:rFonts w:ascii="Times New Roman" w:hAnsi="Times New Roman" w:cs="Times New Roman"/>
          <w:color w:val="000000" w:themeColor="text1"/>
          <w:sz w:val="24"/>
          <w:szCs w:val="24"/>
          <w:lang w:val="tr-TR"/>
        </w:rPr>
        <w:t>ü</w:t>
      </w:r>
      <w:r w:rsidR="00FF57B2" w:rsidRPr="004A47CE">
        <w:rPr>
          <w:rFonts w:ascii="Times New Roman" w:hAnsi="Times New Roman" w:cs="Times New Roman"/>
          <w:color w:val="000000" w:themeColor="text1"/>
          <w:sz w:val="24"/>
          <w:szCs w:val="24"/>
          <w:lang w:val="tr-TR"/>
        </w:rPr>
        <w:t xml:space="preserve">zerinde </w:t>
      </w:r>
      <w:r w:rsidR="002E62DF" w:rsidRPr="004A47CE">
        <w:rPr>
          <w:rFonts w:ascii="Times New Roman" w:hAnsi="Times New Roman" w:cs="Times New Roman"/>
          <w:color w:val="000000" w:themeColor="text1"/>
          <w:sz w:val="24"/>
          <w:szCs w:val="24"/>
          <w:lang w:val="tr-TR"/>
        </w:rPr>
        <w:t xml:space="preserve">etkisi farklılık </w:t>
      </w:r>
      <w:r w:rsidR="002D4EDB" w:rsidRPr="004A47CE">
        <w:rPr>
          <w:rFonts w:ascii="Times New Roman" w:hAnsi="Times New Roman" w:cs="Times New Roman"/>
          <w:color w:val="000000" w:themeColor="text1"/>
          <w:sz w:val="24"/>
          <w:szCs w:val="24"/>
          <w:lang w:val="tr-TR"/>
        </w:rPr>
        <w:t>göstermektedir</w:t>
      </w:r>
      <w:r w:rsidR="002E62DF" w:rsidRPr="004A47CE">
        <w:rPr>
          <w:rFonts w:ascii="Times New Roman" w:hAnsi="Times New Roman" w:cs="Times New Roman"/>
          <w:color w:val="000000" w:themeColor="text1"/>
          <w:sz w:val="24"/>
          <w:szCs w:val="24"/>
          <w:lang w:val="tr-TR"/>
        </w:rPr>
        <w:t>. Bazı</w:t>
      </w:r>
      <w:r w:rsidR="002D4EDB" w:rsidRPr="004A47CE">
        <w:rPr>
          <w:rFonts w:ascii="Times New Roman" w:hAnsi="Times New Roman" w:cs="Times New Roman"/>
          <w:color w:val="000000" w:themeColor="text1"/>
          <w:sz w:val="24"/>
          <w:szCs w:val="24"/>
          <w:lang w:val="tr-TR"/>
        </w:rPr>
        <w:t xml:space="preserve"> çalışmalarda </w:t>
      </w:r>
      <w:r w:rsidR="002E62DF" w:rsidRPr="004A47CE">
        <w:rPr>
          <w:rFonts w:ascii="Times New Roman" w:hAnsi="Times New Roman" w:cs="Times New Roman"/>
          <w:color w:val="000000" w:themeColor="text1"/>
          <w:sz w:val="24"/>
          <w:szCs w:val="24"/>
          <w:lang w:val="tr-TR"/>
        </w:rPr>
        <w:t xml:space="preserve">kadın üzerinde daha etkili olduğu vurgulanırken </w:t>
      </w:r>
      <w:r w:rsidR="002D4EDB" w:rsidRPr="004A47CE">
        <w:rPr>
          <w:rFonts w:ascii="Times New Roman" w:hAnsi="Times New Roman" w:cs="Times New Roman"/>
          <w:color w:val="000000" w:themeColor="text1"/>
          <w:sz w:val="24"/>
          <w:szCs w:val="24"/>
          <w:lang w:val="tr-TR"/>
        </w:rPr>
        <w:t>bazılarının da</w:t>
      </w:r>
      <w:r w:rsidR="002E62DF" w:rsidRPr="004A47CE">
        <w:rPr>
          <w:rFonts w:ascii="Times New Roman" w:hAnsi="Times New Roman" w:cs="Times New Roman"/>
          <w:color w:val="000000" w:themeColor="text1"/>
          <w:sz w:val="24"/>
          <w:szCs w:val="24"/>
          <w:lang w:val="tr-TR"/>
        </w:rPr>
        <w:t xml:space="preserve"> erkeklerin yaşam beklentisini daha fazla etkilediği sonucuna ulaşılmıştır. Dolayısıyla çalışmamızda </w:t>
      </w:r>
      <w:r w:rsidR="00FF57B2" w:rsidRPr="004A47CE">
        <w:rPr>
          <w:rFonts w:ascii="Times New Roman" w:hAnsi="Times New Roman" w:cs="Times New Roman"/>
          <w:color w:val="000000" w:themeColor="text1"/>
          <w:sz w:val="24"/>
          <w:szCs w:val="24"/>
          <w:lang w:val="tr-TR"/>
        </w:rPr>
        <w:t xml:space="preserve">yaşam beklentisi üzerinde cinsiyetin önemli farklılıklar ortaya koyabileceği düşünüldüğünden erkek ve kadınlar için </w:t>
      </w:r>
      <w:r w:rsidR="002E62DF" w:rsidRPr="004A47CE">
        <w:rPr>
          <w:rFonts w:ascii="Times New Roman" w:hAnsi="Times New Roman" w:cs="Times New Roman"/>
          <w:color w:val="000000" w:themeColor="text1"/>
          <w:sz w:val="24"/>
          <w:szCs w:val="24"/>
          <w:lang w:val="tr-TR"/>
        </w:rPr>
        <w:t>ayrı ayrı model tahmini yapıl</w:t>
      </w:r>
      <w:r w:rsidR="00177931" w:rsidRPr="004A47CE">
        <w:rPr>
          <w:rFonts w:ascii="Times New Roman" w:hAnsi="Times New Roman" w:cs="Times New Roman"/>
          <w:color w:val="000000" w:themeColor="text1"/>
          <w:sz w:val="24"/>
          <w:szCs w:val="24"/>
          <w:lang w:val="tr-TR"/>
        </w:rPr>
        <w:t>a</w:t>
      </w:r>
      <w:r w:rsidR="002E62DF" w:rsidRPr="004A47CE">
        <w:rPr>
          <w:rFonts w:ascii="Times New Roman" w:hAnsi="Times New Roman" w:cs="Times New Roman"/>
          <w:color w:val="000000" w:themeColor="text1"/>
          <w:sz w:val="24"/>
          <w:szCs w:val="24"/>
          <w:lang w:val="tr-TR"/>
        </w:rPr>
        <w:t xml:space="preserve">caktır. </w:t>
      </w:r>
      <w:r w:rsidR="009D4FE7" w:rsidRPr="004A47CE">
        <w:rPr>
          <w:rFonts w:ascii="Times New Roman" w:hAnsi="Times New Roman" w:cs="Times New Roman"/>
          <w:color w:val="000000" w:themeColor="text1"/>
          <w:sz w:val="24"/>
          <w:szCs w:val="24"/>
          <w:lang w:val="tr-TR"/>
        </w:rPr>
        <w:t xml:space="preserve"> </w:t>
      </w:r>
      <w:r w:rsidR="00A968BD" w:rsidRPr="004A47CE">
        <w:rPr>
          <w:rFonts w:ascii="Times New Roman" w:hAnsi="Times New Roman" w:cs="Times New Roman"/>
          <w:color w:val="000000" w:themeColor="text1"/>
          <w:sz w:val="24"/>
          <w:szCs w:val="24"/>
          <w:lang w:val="tr-TR"/>
        </w:rPr>
        <w:t xml:space="preserve"> Doğuşta bek</w:t>
      </w:r>
      <w:r w:rsidRPr="004A47CE">
        <w:rPr>
          <w:rFonts w:ascii="Times New Roman" w:hAnsi="Times New Roman" w:cs="Times New Roman"/>
          <w:color w:val="000000" w:themeColor="text1"/>
          <w:sz w:val="24"/>
          <w:szCs w:val="24"/>
          <w:lang w:val="tr-TR"/>
        </w:rPr>
        <w:t>lenen yaşam süresine etki eden faktörler olarak kişi başına GSYİH</w:t>
      </w:r>
      <w:r w:rsidR="001763DD" w:rsidRPr="004A47CE">
        <w:rPr>
          <w:rFonts w:ascii="Times New Roman" w:hAnsi="Times New Roman" w:cs="Times New Roman"/>
          <w:color w:val="000000" w:themeColor="text1"/>
          <w:sz w:val="24"/>
          <w:szCs w:val="24"/>
          <w:lang w:val="tr-TR"/>
        </w:rPr>
        <w:t xml:space="preserve"> (</w:t>
      </w:r>
      <w:r w:rsidR="00547861" w:rsidRPr="004A47CE">
        <w:rPr>
          <w:rFonts w:ascii="Times New Roman" w:hAnsi="Times New Roman" w:cs="Times New Roman"/>
          <w:color w:val="000000" w:themeColor="text1"/>
          <w:sz w:val="24"/>
          <w:szCs w:val="24"/>
          <w:lang w:val="tr-TR"/>
        </w:rPr>
        <w:t>Afonso ve St. Aubyn</w:t>
      </w:r>
      <w:r w:rsidR="00E071F1">
        <w:rPr>
          <w:rFonts w:ascii="Times New Roman" w:hAnsi="Times New Roman" w:cs="Times New Roman"/>
          <w:color w:val="000000" w:themeColor="text1"/>
          <w:sz w:val="24"/>
          <w:szCs w:val="24"/>
          <w:lang w:val="tr-TR"/>
        </w:rPr>
        <w:t>,</w:t>
      </w:r>
      <w:r w:rsidR="00547861" w:rsidRPr="004A47CE">
        <w:rPr>
          <w:rFonts w:ascii="Times New Roman" w:hAnsi="Times New Roman" w:cs="Times New Roman"/>
          <w:color w:val="000000" w:themeColor="text1"/>
          <w:sz w:val="24"/>
          <w:szCs w:val="24"/>
          <w:lang w:val="tr-TR"/>
        </w:rPr>
        <w:t xml:space="preserve"> 2006; Mıladinov, 2020; Salahuddin </w:t>
      </w:r>
      <w:r w:rsidR="00E071F1">
        <w:rPr>
          <w:rFonts w:ascii="Times New Roman" w:hAnsi="Times New Roman" w:cs="Times New Roman"/>
          <w:color w:val="000000" w:themeColor="text1"/>
          <w:sz w:val="24"/>
          <w:szCs w:val="24"/>
          <w:lang w:val="tr-TR"/>
        </w:rPr>
        <w:t>ve diğ.</w:t>
      </w:r>
      <w:r w:rsidR="00547861" w:rsidRPr="004A47CE">
        <w:rPr>
          <w:rFonts w:ascii="Times New Roman" w:hAnsi="Times New Roman" w:cs="Times New Roman"/>
          <w:color w:val="000000" w:themeColor="text1"/>
          <w:sz w:val="24"/>
          <w:szCs w:val="24"/>
          <w:lang w:val="tr-TR"/>
        </w:rPr>
        <w:t xml:space="preserve"> 2020)</w:t>
      </w:r>
      <w:r w:rsidRPr="004A47CE">
        <w:rPr>
          <w:rFonts w:ascii="Times New Roman" w:hAnsi="Times New Roman" w:cs="Times New Roman"/>
          <w:color w:val="000000" w:themeColor="text1"/>
          <w:sz w:val="24"/>
          <w:szCs w:val="24"/>
          <w:lang w:val="tr-TR"/>
        </w:rPr>
        <w:t>, sağlık harcamaları</w:t>
      </w:r>
      <w:r w:rsidR="00A56A50" w:rsidRPr="004A47CE">
        <w:rPr>
          <w:rFonts w:ascii="Times New Roman" w:hAnsi="Times New Roman" w:cs="Times New Roman"/>
          <w:color w:val="000000" w:themeColor="text1"/>
          <w:sz w:val="24"/>
          <w:szCs w:val="24"/>
          <w:lang w:val="tr-TR"/>
        </w:rPr>
        <w:t xml:space="preserve"> (Lichtenberg, 2002; Nixon ve Ullman, 2006), </w:t>
      </w:r>
      <w:r w:rsidRPr="004A47CE">
        <w:rPr>
          <w:rFonts w:ascii="Times New Roman" w:hAnsi="Times New Roman" w:cs="Times New Roman"/>
          <w:color w:val="000000" w:themeColor="text1"/>
          <w:sz w:val="24"/>
          <w:szCs w:val="24"/>
          <w:lang w:val="tr-TR"/>
        </w:rPr>
        <w:t xml:space="preserve"> </w:t>
      </w:r>
      <w:r w:rsidR="00A56A50" w:rsidRPr="004A47CE">
        <w:rPr>
          <w:rFonts w:ascii="Times New Roman" w:hAnsi="Times New Roman" w:cs="Times New Roman"/>
          <w:color w:val="000000" w:themeColor="text1"/>
          <w:sz w:val="24"/>
          <w:szCs w:val="24"/>
          <w:lang w:val="tr-TR"/>
        </w:rPr>
        <w:t xml:space="preserve">eğitim (Luy </w:t>
      </w:r>
      <w:r w:rsidR="00E071F1">
        <w:rPr>
          <w:rFonts w:ascii="Times New Roman" w:hAnsi="Times New Roman" w:cs="Times New Roman"/>
          <w:color w:val="000000" w:themeColor="text1"/>
          <w:sz w:val="24"/>
          <w:szCs w:val="24"/>
          <w:lang w:val="tr-TR"/>
        </w:rPr>
        <w:t>ve diğ.</w:t>
      </w:r>
      <w:r w:rsidR="00A56A50" w:rsidRPr="004A47CE">
        <w:rPr>
          <w:rFonts w:ascii="Times New Roman" w:hAnsi="Times New Roman" w:cs="Times New Roman"/>
          <w:color w:val="000000" w:themeColor="text1"/>
          <w:sz w:val="24"/>
          <w:szCs w:val="24"/>
          <w:lang w:val="tr-TR"/>
        </w:rPr>
        <w:t xml:space="preserve"> 2019; Gulis, 2000; Fayissa ve Gutema,</w:t>
      </w:r>
      <w:r w:rsidR="00E071F1">
        <w:rPr>
          <w:rFonts w:ascii="Times New Roman" w:hAnsi="Times New Roman" w:cs="Times New Roman"/>
          <w:color w:val="000000" w:themeColor="text1"/>
          <w:sz w:val="24"/>
          <w:szCs w:val="24"/>
          <w:lang w:val="tr-TR"/>
        </w:rPr>
        <w:t xml:space="preserve"> 2005; Barlow ve </w:t>
      </w:r>
      <w:r w:rsidR="00A56A50" w:rsidRPr="004A47CE">
        <w:rPr>
          <w:rFonts w:ascii="Times New Roman" w:hAnsi="Times New Roman" w:cs="Times New Roman"/>
          <w:color w:val="000000" w:themeColor="text1"/>
          <w:sz w:val="24"/>
          <w:szCs w:val="24"/>
          <w:lang w:val="tr-TR"/>
        </w:rPr>
        <w:t xml:space="preserve">Vissandjie, 1999), </w:t>
      </w:r>
      <w:r w:rsidRPr="004A47CE">
        <w:rPr>
          <w:rFonts w:ascii="Times New Roman" w:hAnsi="Times New Roman" w:cs="Times New Roman"/>
          <w:color w:val="000000" w:themeColor="text1"/>
          <w:sz w:val="24"/>
          <w:szCs w:val="24"/>
          <w:lang w:val="tr-TR"/>
        </w:rPr>
        <w:t xml:space="preserve">güvenli suya erişim </w:t>
      </w:r>
      <w:r w:rsidR="00A56A50" w:rsidRPr="004A47CE">
        <w:rPr>
          <w:rFonts w:ascii="Times New Roman" w:hAnsi="Times New Roman" w:cs="Times New Roman"/>
          <w:color w:val="000000" w:themeColor="text1"/>
          <w:sz w:val="24"/>
          <w:szCs w:val="24"/>
          <w:lang w:val="tr-TR"/>
        </w:rPr>
        <w:t xml:space="preserve">(Gulis, 2000; Barlow ve Vissandjie, 1999) </w:t>
      </w:r>
      <w:r w:rsidRPr="004A47CE">
        <w:rPr>
          <w:rFonts w:ascii="Times New Roman" w:hAnsi="Times New Roman" w:cs="Times New Roman"/>
          <w:color w:val="000000" w:themeColor="text1"/>
          <w:sz w:val="24"/>
          <w:szCs w:val="24"/>
          <w:lang w:val="tr-TR"/>
        </w:rPr>
        <w:t xml:space="preserve">ve nüfus </w:t>
      </w:r>
      <w:r w:rsidR="00A56A50" w:rsidRPr="004A47CE">
        <w:rPr>
          <w:rFonts w:ascii="Times New Roman" w:hAnsi="Times New Roman" w:cs="Times New Roman"/>
          <w:color w:val="000000" w:themeColor="text1"/>
          <w:sz w:val="24"/>
          <w:szCs w:val="24"/>
          <w:lang w:val="tr-TR"/>
        </w:rPr>
        <w:t>(Fabella, 2008)</w:t>
      </w:r>
      <w:r w:rsidRPr="004A47CE">
        <w:rPr>
          <w:rFonts w:ascii="Times New Roman" w:hAnsi="Times New Roman" w:cs="Times New Roman"/>
          <w:color w:val="000000" w:themeColor="text1"/>
          <w:sz w:val="24"/>
          <w:szCs w:val="24"/>
          <w:lang w:val="tr-TR"/>
        </w:rPr>
        <w:t xml:space="preserve"> gibi ekonomik ve sosyo-demografik değişkenler ele alınmıştır. Verilerin tümü Dünya Bankası veri tabanından elde edilmiştir. Değişkenler</w:t>
      </w:r>
      <w:r w:rsidR="005C6307" w:rsidRPr="004A47CE">
        <w:rPr>
          <w:rFonts w:ascii="Times New Roman" w:hAnsi="Times New Roman" w:cs="Times New Roman"/>
          <w:color w:val="000000" w:themeColor="text1"/>
          <w:sz w:val="24"/>
          <w:szCs w:val="24"/>
          <w:lang w:val="tr-TR"/>
        </w:rPr>
        <w:t xml:space="preserve"> hakkında detaylı bilgiler </w:t>
      </w:r>
      <w:r w:rsidRPr="004A47CE">
        <w:rPr>
          <w:rFonts w:ascii="Times New Roman" w:hAnsi="Times New Roman" w:cs="Times New Roman"/>
          <w:color w:val="000000" w:themeColor="text1"/>
          <w:sz w:val="24"/>
          <w:szCs w:val="24"/>
          <w:lang w:val="tr-TR"/>
        </w:rPr>
        <w:t xml:space="preserve">Tablo 2’de yer almıştır. Değişkenler </w:t>
      </w:r>
      <w:r w:rsidR="008E0A98" w:rsidRPr="004A47CE">
        <w:rPr>
          <w:rFonts w:ascii="Times New Roman" w:hAnsi="Times New Roman" w:cs="Times New Roman"/>
          <w:color w:val="000000" w:themeColor="text1"/>
          <w:sz w:val="24"/>
          <w:szCs w:val="24"/>
          <w:lang w:val="tr-TR"/>
        </w:rPr>
        <w:t>logaritma</w:t>
      </w:r>
      <w:r w:rsidR="00547861" w:rsidRPr="004A47CE">
        <w:rPr>
          <w:rFonts w:ascii="Times New Roman" w:hAnsi="Times New Roman" w:cs="Times New Roman"/>
          <w:color w:val="000000" w:themeColor="text1"/>
          <w:sz w:val="24"/>
          <w:szCs w:val="24"/>
          <w:lang w:val="tr-TR"/>
        </w:rPr>
        <w:t>ları</w:t>
      </w:r>
      <w:r w:rsidR="008E0A98" w:rsidRPr="004A47CE">
        <w:rPr>
          <w:rFonts w:ascii="Times New Roman" w:hAnsi="Times New Roman" w:cs="Times New Roman"/>
          <w:color w:val="000000" w:themeColor="text1"/>
          <w:sz w:val="24"/>
          <w:szCs w:val="24"/>
          <w:lang w:val="tr-TR"/>
        </w:rPr>
        <w:t xml:space="preserve"> alınarak </w:t>
      </w:r>
      <w:r w:rsidR="00E67326" w:rsidRPr="004A47CE">
        <w:rPr>
          <w:rFonts w:ascii="Times New Roman" w:hAnsi="Times New Roman" w:cs="Times New Roman"/>
          <w:color w:val="000000" w:themeColor="text1"/>
          <w:sz w:val="24"/>
          <w:szCs w:val="24"/>
          <w:lang w:val="tr-TR"/>
        </w:rPr>
        <w:t>modele dahil edilmiştir.</w:t>
      </w:r>
    </w:p>
    <w:p w14:paraId="2B6ACC7D" w14:textId="17DF7FF4" w:rsidR="006A5666" w:rsidRPr="004A47CE" w:rsidRDefault="006A5666" w:rsidP="003723BD">
      <w:pPr>
        <w:tabs>
          <w:tab w:val="left" w:pos="1200"/>
        </w:tabs>
        <w:spacing w:after="120" w:line="240" w:lineRule="auto"/>
        <w:ind w:firstLine="709"/>
        <w:jc w:val="center"/>
        <w:rPr>
          <w:rFonts w:ascii="Times New Roman" w:hAnsi="Times New Roman" w:cs="Times New Roman"/>
          <w:b/>
          <w:color w:val="000000" w:themeColor="text1"/>
          <w:sz w:val="24"/>
          <w:szCs w:val="24"/>
          <w:lang w:val="tr-TR"/>
        </w:rPr>
      </w:pPr>
      <w:r w:rsidRPr="004A47CE">
        <w:rPr>
          <w:rFonts w:ascii="Times New Roman" w:hAnsi="Times New Roman" w:cs="Times New Roman"/>
          <w:b/>
          <w:color w:val="000000" w:themeColor="text1"/>
          <w:sz w:val="24"/>
          <w:szCs w:val="24"/>
          <w:lang w:val="tr-TR"/>
        </w:rPr>
        <w:t>Tablo 2.</w:t>
      </w:r>
      <w:r w:rsidR="00DE68EE" w:rsidRPr="004A47CE">
        <w:rPr>
          <w:rFonts w:ascii="Times New Roman" w:hAnsi="Times New Roman" w:cs="Times New Roman"/>
          <w:b/>
          <w:color w:val="000000" w:themeColor="text1"/>
          <w:sz w:val="24"/>
          <w:szCs w:val="24"/>
          <w:lang w:val="tr-TR"/>
        </w:rPr>
        <w:t xml:space="preserve"> </w:t>
      </w:r>
      <w:r w:rsidRPr="004A47CE">
        <w:rPr>
          <w:rFonts w:ascii="Times New Roman" w:hAnsi="Times New Roman" w:cs="Times New Roman"/>
          <w:b/>
          <w:color w:val="000000" w:themeColor="text1"/>
          <w:sz w:val="24"/>
          <w:szCs w:val="24"/>
          <w:lang w:val="tr-TR"/>
        </w:rPr>
        <w:t>Değişkenler</w:t>
      </w:r>
    </w:p>
    <w:tbl>
      <w:tblPr>
        <w:tblStyle w:val="aa"/>
        <w:tblW w:w="9072" w:type="dxa"/>
        <w:tblBorders>
          <w:left w:val="none" w:sz="0" w:space="0" w:color="auto"/>
          <w:right w:val="none" w:sz="0" w:space="0" w:color="auto"/>
          <w:insideV w:val="none" w:sz="0" w:space="0" w:color="auto"/>
        </w:tblBorders>
        <w:tblLook w:val="04A0" w:firstRow="1" w:lastRow="0" w:firstColumn="1" w:lastColumn="0" w:noHBand="0" w:noVBand="1"/>
      </w:tblPr>
      <w:tblGrid>
        <w:gridCol w:w="2509"/>
        <w:gridCol w:w="1460"/>
        <w:gridCol w:w="5103"/>
      </w:tblGrid>
      <w:tr w:rsidR="006A5666" w:rsidRPr="004A47CE" w14:paraId="57BADCAE" w14:textId="77777777" w:rsidTr="003723BD">
        <w:tc>
          <w:tcPr>
            <w:tcW w:w="2509" w:type="dxa"/>
            <w:tcBorders>
              <w:bottom w:val="single" w:sz="4" w:space="0" w:color="auto"/>
            </w:tcBorders>
          </w:tcPr>
          <w:p w14:paraId="0A6FB607" w14:textId="3D3514D6" w:rsidR="006A5666" w:rsidRPr="004A47CE" w:rsidRDefault="000F74B5" w:rsidP="004A47CE">
            <w:pPr>
              <w:tabs>
                <w:tab w:val="left" w:pos="1200"/>
              </w:tabs>
              <w:spacing w:after="120"/>
              <w:ind w:firstLine="709"/>
              <w:rPr>
                <w:rFonts w:ascii="Times New Roman" w:hAnsi="Times New Roman" w:cs="Times New Roman"/>
                <w:b/>
                <w:color w:val="000000" w:themeColor="text1"/>
                <w:sz w:val="24"/>
                <w:szCs w:val="24"/>
                <w:lang w:val="tr-TR"/>
              </w:rPr>
            </w:pPr>
            <w:r w:rsidRPr="004A47CE">
              <w:rPr>
                <w:rFonts w:ascii="Times New Roman" w:hAnsi="Times New Roman" w:cs="Times New Roman"/>
                <w:b/>
                <w:color w:val="000000" w:themeColor="text1"/>
                <w:sz w:val="24"/>
                <w:szCs w:val="24"/>
                <w:lang w:val="tr-TR"/>
              </w:rPr>
              <w:t>Değişkenler</w:t>
            </w:r>
          </w:p>
        </w:tc>
        <w:tc>
          <w:tcPr>
            <w:tcW w:w="1460" w:type="dxa"/>
            <w:tcBorders>
              <w:bottom w:val="single" w:sz="4" w:space="0" w:color="auto"/>
            </w:tcBorders>
          </w:tcPr>
          <w:p w14:paraId="169D42CD" w14:textId="00EEE4CF" w:rsidR="006A5666" w:rsidRPr="004A47CE" w:rsidRDefault="006A5666" w:rsidP="003723BD">
            <w:pPr>
              <w:tabs>
                <w:tab w:val="left" w:pos="1200"/>
              </w:tabs>
              <w:spacing w:after="120"/>
              <w:rPr>
                <w:rFonts w:ascii="Times New Roman" w:hAnsi="Times New Roman" w:cs="Times New Roman"/>
                <w:b/>
                <w:color w:val="000000" w:themeColor="text1"/>
                <w:sz w:val="24"/>
                <w:szCs w:val="24"/>
                <w:lang w:val="tr-TR"/>
              </w:rPr>
            </w:pPr>
            <w:r w:rsidRPr="004A47CE">
              <w:rPr>
                <w:rFonts w:ascii="Times New Roman" w:hAnsi="Times New Roman" w:cs="Times New Roman"/>
                <w:b/>
                <w:color w:val="000000" w:themeColor="text1"/>
                <w:sz w:val="24"/>
                <w:szCs w:val="24"/>
                <w:lang w:val="tr-TR"/>
              </w:rPr>
              <w:t>Kısaltma</w:t>
            </w:r>
          </w:p>
        </w:tc>
        <w:tc>
          <w:tcPr>
            <w:tcW w:w="5103" w:type="dxa"/>
            <w:tcBorders>
              <w:bottom w:val="single" w:sz="4" w:space="0" w:color="auto"/>
            </w:tcBorders>
          </w:tcPr>
          <w:p w14:paraId="2A18643A" w14:textId="1D4F953E" w:rsidR="006A5666" w:rsidRPr="004A47CE" w:rsidRDefault="006A5666" w:rsidP="004A47CE">
            <w:pPr>
              <w:tabs>
                <w:tab w:val="left" w:pos="1200"/>
              </w:tabs>
              <w:spacing w:after="120"/>
              <w:ind w:firstLine="709"/>
              <w:rPr>
                <w:rFonts w:ascii="Times New Roman" w:hAnsi="Times New Roman" w:cs="Times New Roman"/>
                <w:b/>
                <w:color w:val="000000" w:themeColor="text1"/>
                <w:sz w:val="24"/>
                <w:szCs w:val="24"/>
                <w:lang w:val="tr-TR"/>
              </w:rPr>
            </w:pPr>
            <w:r w:rsidRPr="004A47CE">
              <w:rPr>
                <w:rFonts w:ascii="Times New Roman" w:hAnsi="Times New Roman" w:cs="Times New Roman"/>
                <w:b/>
                <w:color w:val="000000" w:themeColor="text1"/>
                <w:sz w:val="24"/>
                <w:szCs w:val="24"/>
                <w:lang w:val="tr-TR"/>
              </w:rPr>
              <w:t>Tanımlama</w:t>
            </w:r>
          </w:p>
        </w:tc>
      </w:tr>
      <w:tr w:rsidR="006A5666" w:rsidRPr="00940E86" w14:paraId="01F12DFC" w14:textId="77777777" w:rsidTr="003723BD">
        <w:tc>
          <w:tcPr>
            <w:tcW w:w="2509" w:type="dxa"/>
            <w:tcBorders>
              <w:bottom w:val="nil"/>
            </w:tcBorders>
          </w:tcPr>
          <w:p w14:paraId="6DC2E172" w14:textId="3D9CF28D" w:rsidR="006A5666" w:rsidRPr="004A47CE" w:rsidRDefault="006A5666"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Yaşam süresi (kadın)</w:t>
            </w:r>
          </w:p>
        </w:tc>
        <w:tc>
          <w:tcPr>
            <w:tcW w:w="1460" w:type="dxa"/>
            <w:tcBorders>
              <w:bottom w:val="nil"/>
            </w:tcBorders>
          </w:tcPr>
          <w:p w14:paraId="7F259434" w14:textId="62ED1DCB" w:rsidR="006A5666" w:rsidRPr="004A47CE" w:rsidRDefault="00D67374"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LEX</w:t>
            </w:r>
            <w:r w:rsidRPr="004A47CE">
              <w:rPr>
                <w:rFonts w:ascii="Times New Roman" w:hAnsi="Times New Roman" w:cs="Times New Roman"/>
                <w:color w:val="000000" w:themeColor="text1"/>
                <w:sz w:val="24"/>
                <w:szCs w:val="24"/>
                <w:vertAlign w:val="subscript"/>
                <w:lang w:val="tr-TR"/>
              </w:rPr>
              <w:t>f</w:t>
            </w:r>
          </w:p>
        </w:tc>
        <w:tc>
          <w:tcPr>
            <w:tcW w:w="5103" w:type="dxa"/>
            <w:tcBorders>
              <w:bottom w:val="nil"/>
            </w:tcBorders>
          </w:tcPr>
          <w:p w14:paraId="5FB3978F" w14:textId="213E025B" w:rsidR="006A5666" w:rsidRPr="004A47CE" w:rsidRDefault="006A5666"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Doğumda beklenen yaşam süresi, kadın (yıl)</w:t>
            </w:r>
          </w:p>
        </w:tc>
      </w:tr>
      <w:tr w:rsidR="006A5666" w:rsidRPr="00940E86" w14:paraId="3AA710C6" w14:textId="77777777" w:rsidTr="003723BD">
        <w:tc>
          <w:tcPr>
            <w:tcW w:w="2509" w:type="dxa"/>
            <w:tcBorders>
              <w:top w:val="nil"/>
              <w:bottom w:val="nil"/>
            </w:tcBorders>
          </w:tcPr>
          <w:p w14:paraId="55113A08" w14:textId="37064D47" w:rsidR="006A5666" w:rsidRPr="004A47CE" w:rsidRDefault="006A5666"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Yaşam süresi (erkek)</w:t>
            </w:r>
          </w:p>
        </w:tc>
        <w:tc>
          <w:tcPr>
            <w:tcW w:w="1460" w:type="dxa"/>
            <w:tcBorders>
              <w:top w:val="nil"/>
              <w:bottom w:val="nil"/>
            </w:tcBorders>
          </w:tcPr>
          <w:p w14:paraId="05628663" w14:textId="0E123F20" w:rsidR="006A5666" w:rsidRPr="004A47CE" w:rsidRDefault="006A5666"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L</w:t>
            </w:r>
            <w:r w:rsidR="00D67374" w:rsidRPr="004A47CE">
              <w:rPr>
                <w:rFonts w:ascii="Times New Roman" w:hAnsi="Times New Roman" w:cs="Times New Roman"/>
                <w:color w:val="000000" w:themeColor="text1"/>
                <w:sz w:val="24"/>
                <w:szCs w:val="24"/>
                <w:lang w:val="tr-TR"/>
              </w:rPr>
              <w:t>EX</w:t>
            </w:r>
            <w:r w:rsidR="00D67374" w:rsidRPr="004A47CE">
              <w:rPr>
                <w:rFonts w:ascii="Times New Roman" w:hAnsi="Times New Roman" w:cs="Times New Roman"/>
                <w:color w:val="000000" w:themeColor="text1"/>
                <w:sz w:val="24"/>
                <w:szCs w:val="24"/>
                <w:vertAlign w:val="subscript"/>
                <w:lang w:val="tr-TR"/>
              </w:rPr>
              <w:t>m</w:t>
            </w:r>
          </w:p>
        </w:tc>
        <w:tc>
          <w:tcPr>
            <w:tcW w:w="5103" w:type="dxa"/>
            <w:tcBorders>
              <w:top w:val="nil"/>
              <w:bottom w:val="nil"/>
            </w:tcBorders>
          </w:tcPr>
          <w:p w14:paraId="2FCA3472" w14:textId="2C46EBEA" w:rsidR="006A5666" w:rsidRPr="004A47CE" w:rsidRDefault="006A5666"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Doğumda beklenen yaşam süresi, erkek (yıl)</w:t>
            </w:r>
          </w:p>
        </w:tc>
      </w:tr>
      <w:tr w:rsidR="000F74B5" w:rsidRPr="004A47CE" w14:paraId="53594DC2" w14:textId="77777777" w:rsidTr="003723BD">
        <w:tc>
          <w:tcPr>
            <w:tcW w:w="2509" w:type="dxa"/>
            <w:tcBorders>
              <w:top w:val="nil"/>
              <w:bottom w:val="nil"/>
            </w:tcBorders>
          </w:tcPr>
          <w:p w14:paraId="6F952273" w14:textId="7D4C6C09" w:rsidR="000F74B5" w:rsidRPr="004A47CE" w:rsidRDefault="000F74B5" w:rsidP="003723BD">
            <w:pPr>
              <w:tabs>
                <w:tab w:val="left" w:pos="1200"/>
              </w:tabs>
              <w:spacing w:after="120"/>
              <w:rPr>
                <w:rFonts w:ascii="Times New Roman" w:hAnsi="Times New Roman" w:cs="Times New Roman"/>
                <w:b/>
                <w:color w:val="000000" w:themeColor="text1"/>
                <w:sz w:val="24"/>
                <w:szCs w:val="24"/>
                <w:lang w:val="tr-TR"/>
              </w:rPr>
            </w:pPr>
            <w:r w:rsidRPr="004A47CE">
              <w:rPr>
                <w:rFonts w:ascii="Times New Roman" w:hAnsi="Times New Roman" w:cs="Times New Roman"/>
                <w:b/>
                <w:color w:val="000000" w:themeColor="text1"/>
                <w:sz w:val="24"/>
                <w:szCs w:val="24"/>
                <w:lang w:val="tr-TR"/>
              </w:rPr>
              <w:t>İktisadi değişkenler</w:t>
            </w:r>
          </w:p>
        </w:tc>
        <w:tc>
          <w:tcPr>
            <w:tcW w:w="1460" w:type="dxa"/>
            <w:tcBorders>
              <w:top w:val="nil"/>
              <w:bottom w:val="nil"/>
            </w:tcBorders>
          </w:tcPr>
          <w:p w14:paraId="47577696" w14:textId="77777777" w:rsidR="000F74B5" w:rsidRPr="004A47CE" w:rsidRDefault="000F74B5" w:rsidP="004A47CE">
            <w:pPr>
              <w:tabs>
                <w:tab w:val="left" w:pos="1200"/>
              </w:tabs>
              <w:spacing w:after="120"/>
              <w:ind w:firstLine="709"/>
              <w:rPr>
                <w:rFonts w:ascii="Times New Roman" w:hAnsi="Times New Roman" w:cs="Times New Roman"/>
                <w:color w:val="000000" w:themeColor="text1"/>
                <w:sz w:val="24"/>
                <w:szCs w:val="24"/>
                <w:lang w:val="tr-TR"/>
              </w:rPr>
            </w:pPr>
          </w:p>
        </w:tc>
        <w:tc>
          <w:tcPr>
            <w:tcW w:w="5103" w:type="dxa"/>
            <w:tcBorders>
              <w:top w:val="nil"/>
              <w:bottom w:val="nil"/>
            </w:tcBorders>
          </w:tcPr>
          <w:p w14:paraId="016D260C" w14:textId="77777777" w:rsidR="000F74B5" w:rsidRPr="004A47CE" w:rsidRDefault="000F74B5" w:rsidP="004A47CE">
            <w:pPr>
              <w:tabs>
                <w:tab w:val="left" w:pos="1200"/>
              </w:tabs>
              <w:spacing w:after="120"/>
              <w:ind w:firstLine="709"/>
              <w:rPr>
                <w:rFonts w:ascii="Times New Roman" w:hAnsi="Times New Roman" w:cs="Times New Roman"/>
                <w:color w:val="000000" w:themeColor="text1"/>
                <w:sz w:val="24"/>
                <w:szCs w:val="24"/>
                <w:lang w:val="tr-TR"/>
              </w:rPr>
            </w:pPr>
          </w:p>
        </w:tc>
      </w:tr>
      <w:tr w:rsidR="006A5666" w:rsidRPr="00940E86" w14:paraId="4C1F457A" w14:textId="77777777" w:rsidTr="003723BD">
        <w:tc>
          <w:tcPr>
            <w:tcW w:w="2509" w:type="dxa"/>
            <w:tcBorders>
              <w:top w:val="nil"/>
              <w:bottom w:val="nil"/>
            </w:tcBorders>
          </w:tcPr>
          <w:p w14:paraId="4C19C5EE" w14:textId="5F5618DC" w:rsidR="006A5666" w:rsidRPr="004A47CE" w:rsidRDefault="006A5666"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İktisadi büyüme</w:t>
            </w:r>
          </w:p>
        </w:tc>
        <w:tc>
          <w:tcPr>
            <w:tcW w:w="1460" w:type="dxa"/>
            <w:tcBorders>
              <w:top w:val="nil"/>
              <w:bottom w:val="nil"/>
            </w:tcBorders>
          </w:tcPr>
          <w:p w14:paraId="1C7DDA11" w14:textId="10EC1622" w:rsidR="006A5666" w:rsidRPr="004A47CE" w:rsidRDefault="006A5666"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LGDP</w:t>
            </w:r>
          </w:p>
        </w:tc>
        <w:tc>
          <w:tcPr>
            <w:tcW w:w="5103" w:type="dxa"/>
            <w:tcBorders>
              <w:top w:val="nil"/>
              <w:bottom w:val="nil"/>
            </w:tcBorders>
          </w:tcPr>
          <w:p w14:paraId="23237687" w14:textId="4EDA611C" w:rsidR="006A5666" w:rsidRPr="004A47CE" w:rsidRDefault="006A5666"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Satınalma gücü paritesi değerine göre kişi başına GSYH (sabit 2017)</w:t>
            </w:r>
          </w:p>
        </w:tc>
      </w:tr>
      <w:tr w:rsidR="008E0A98" w:rsidRPr="00940E86" w14:paraId="25A18E8C" w14:textId="77777777" w:rsidTr="003723BD">
        <w:tc>
          <w:tcPr>
            <w:tcW w:w="2509" w:type="dxa"/>
            <w:tcBorders>
              <w:top w:val="nil"/>
              <w:bottom w:val="nil"/>
            </w:tcBorders>
          </w:tcPr>
          <w:p w14:paraId="087AC3A3" w14:textId="14D0992F" w:rsidR="008E0A98" w:rsidRPr="004A47CE" w:rsidRDefault="008E0A98"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Sağlık harcamaları</w:t>
            </w:r>
          </w:p>
        </w:tc>
        <w:tc>
          <w:tcPr>
            <w:tcW w:w="1460" w:type="dxa"/>
            <w:tcBorders>
              <w:top w:val="nil"/>
              <w:bottom w:val="nil"/>
            </w:tcBorders>
          </w:tcPr>
          <w:p w14:paraId="68B00BC5" w14:textId="0589C3A5" w:rsidR="008E0A98" w:rsidRPr="004A47CE" w:rsidRDefault="008E0A98"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LHE</w:t>
            </w:r>
          </w:p>
        </w:tc>
        <w:tc>
          <w:tcPr>
            <w:tcW w:w="5103" w:type="dxa"/>
            <w:tcBorders>
              <w:top w:val="nil"/>
              <w:bottom w:val="nil"/>
            </w:tcBorders>
          </w:tcPr>
          <w:p w14:paraId="44C07050" w14:textId="11235428" w:rsidR="008E0A98" w:rsidRPr="004A47CE" w:rsidRDefault="008E0A98"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Cari sağlık harcamaları (GSYİH'nin yüzdesi)</w:t>
            </w:r>
          </w:p>
        </w:tc>
      </w:tr>
      <w:tr w:rsidR="000F74B5" w:rsidRPr="004A47CE" w14:paraId="41015E03" w14:textId="77777777" w:rsidTr="00F5658C">
        <w:trPr>
          <w:trHeight w:val="315"/>
        </w:trPr>
        <w:tc>
          <w:tcPr>
            <w:tcW w:w="9072" w:type="dxa"/>
            <w:gridSpan w:val="3"/>
            <w:tcBorders>
              <w:top w:val="nil"/>
              <w:bottom w:val="nil"/>
            </w:tcBorders>
          </w:tcPr>
          <w:p w14:paraId="6B65F1FD" w14:textId="5092799D" w:rsidR="000F74B5" w:rsidRPr="004A47CE" w:rsidRDefault="000F74B5" w:rsidP="003723BD">
            <w:pPr>
              <w:tabs>
                <w:tab w:val="left" w:pos="1200"/>
              </w:tabs>
              <w:spacing w:after="120"/>
              <w:rPr>
                <w:rFonts w:ascii="Times New Roman" w:hAnsi="Times New Roman" w:cs="Times New Roman"/>
                <w:b/>
                <w:color w:val="000000" w:themeColor="text1"/>
                <w:sz w:val="24"/>
                <w:szCs w:val="24"/>
                <w:lang w:val="tr-TR"/>
              </w:rPr>
            </w:pPr>
            <w:r w:rsidRPr="004A47CE">
              <w:rPr>
                <w:rFonts w:ascii="Times New Roman" w:hAnsi="Times New Roman" w:cs="Times New Roman"/>
                <w:b/>
                <w:color w:val="000000" w:themeColor="text1"/>
                <w:sz w:val="24"/>
                <w:szCs w:val="24"/>
                <w:lang w:val="tr-TR"/>
              </w:rPr>
              <w:t>Sosyo-demografik değişkenler</w:t>
            </w:r>
          </w:p>
        </w:tc>
      </w:tr>
      <w:tr w:rsidR="008E0A98" w:rsidRPr="004A47CE" w14:paraId="5EABDEB4" w14:textId="77777777" w:rsidTr="003723BD">
        <w:trPr>
          <w:trHeight w:val="315"/>
        </w:trPr>
        <w:tc>
          <w:tcPr>
            <w:tcW w:w="2509" w:type="dxa"/>
            <w:tcBorders>
              <w:top w:val="nil"/>
              <w:bottom w:val="nil"/>
            </w:tcBorders>
          </w:tcPr>
          <w:p w14:paraId="72F40602" w14:textId="09C8CB27" w:rsidR="008E0A98" w:rsidRPr="004A47CE" w:rsidRDefault="008E0A98"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lastRenderedPageBreak/>
              <w:t xml:space="preserve">Nüfus </w:t>
            </w:r>
          </w:p>
        </w:tc>
        <w:tc>
          <w:tcPr>
            <w:tcW w:w="1460" w:type="dxa"/>
            <w:tcBorders>
              <w:top w:val="nil"/>
              <w:bottom w:val="nil"/>
            </w:tcBorders>
          </w:tcPr>
          <w:p w14:paraId="66B92645" w14:textId="6A3E1507" w:rsidR="008E0A98" w:rsidRPr="004A47CE" w:rsidRDefault="008E0A98"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LPOP</w:t>
            </w:r>
          </w:p>
        </w:tc>
        <w:tc>
          <w:tcPr>
            <w:tcW w:w="5103" w:type="dxa"/>
            <w:tcBorders>
              <w:top w:val="nil"/>
              <w:bottom w:val="nil"/>
            </w:tcBorders>
          </w:tcPr>
          <w:p w14:paraId="67FE13CF" w14:textId="552F4981" w:rsidR="008E0A98" w:rsidRPr="004A47CE" w:rsidRDefault="008E0A98"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 xml:space="preserve">Toplam nüfus </w:t>
            </w:r>
          </w:p>
        </w:tc>
      </w:tr>
      <w:tr w:rsidR="008E0A98" w:rsidRPr="004A47CE" w14:paraId="6B34BE38" w14:textId="77777777" w:rsidTr="003723BD">
        <w:tc>
          <w:tcPr>
            <w:tcW w:w="2509" w:type="dxa"/>
            <w:tcBorders>
              <w:top w:val="nil"/>
              <w:bottom w:val="nil"/>
            </w:tcBorders>
          </w:tcPr>
          <w:p w14:paraId="4D6AA196" w14:textId="4EB89F12" w:rsidR="008E0A98" w:rsidRPr="004A47CE" w:rsidRDefault="000558B8"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Eği</w:t>
            </w:r>
            <w:r w:rsidR="008E0A98" w:rsidRPr="004A47CE">
              <w:rPr>
                <w:rFonts w:ascii="Times New Roman" w:hAnsi="Times New Roman" w:cs="Times New Roman"/>
                <w:color w:val="000000" w:themeColor="text1"/>
                <w:sz w:val="24"/>
                <w:szCs w:val="24"/>
                <w:lang w:val="tr-TR"/>
              </w:rPr>
              <w:t>tim</w:t>
            </w:r>
          </w:p>
        </w:tc>
        <w:tc>
          <w:tcPr>
            <w:tcW w:w="1460" w:type="dxa"/>
            <w:tcBorders>
              <w:top w:val="nil"/>
              <w:bottom w:val="nil"/>
            </w:tcBorders>
          </w:tcPr>
          <w:p w14:paraId="028B7A0F" w14:textId="7A803331" w:rsidR="008E0A98" w:rsidRPr="004A47CE" w:rsidRDefault="008E0A98"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LEDU</w:t>
            </w:r>
          </w:p>
        </w:tc>
        <w:tc>
          <w:tcPr>
            <w:tcW w:w="5103" w:type="dxa"/>
            <w:tcBorders>
              <w:top w:val="nil"/>
              <w:bottom w:val="nil"/>
            </w:tcBorders>
          </w:tcPr>
          <w:p w14:paraId="3BD63CAF" w14:textId="71B26CC1" w:rsidR="008E0A98" w:rsidRPr="004A47CE" w:rsidRDefault="008E0A98"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Brüt okullaşma oranı</w:t>
            </w:r>
          </w:p>
        </w:tc>
      </w:tr>
      <w:tr w:rsidR="008E0A98" w:rsidRPr="00940E86" w14:paraId="255686E0" w14:textId="77777777" w:rsidTr="003723BD">
        <w:tc>
          <w:tcPr>
            <w:tcW w:w="2509" w:type="dxa"/>
            <w:tcBorders>
              <w:top w:val="nil"/>
              <w:bottom w:val="single" w:sz="4" w:space="0" w:color="auto"/>
            </w:tcBorders>
          </w:tcPr>
          <w:p w14:paraId="5940F5EA" w14:textId="2E4A5F30" w:rsidR="008E0A98" w:rsidRPr="004A47CE" w:rsidRDefault="008E0A98"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Güvenli içme suyu</w:t>
            </w:r>
          </w:p>
        </w:tc>
        <w:tc>
          <w:tcPr>
            <w:tcW w:w="1460" w:type="dxa"/>
            <w:tcBorders>
              <w:top w:val="nil"/>
              <w:bottom w:val="single" w:sz="4" w:space="0" w:color="auto"/>
            </w:tcBorders>
          </w:tcPr>
          <w:p w14:paraId="61726107" w14:textId="119875DB" w:rsidR="008E0A98" w:rsidRPr="004A47CE" w:rsidRDefault="008E0A98"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LWATER</w:t>
            </w:r>
          </w:p>
        </w:tc>
        <w:tc>
          <w:tcPr>
            <w:tcW w:w="5103" w:type="dxa"/>
            <w:tcBorders>
              <w:top w:val="nil"/>
              <w:bottom w:val="single" w:sz="4" w:space="0" w:color="auto"/>
            </w:tcBorders>
          </w:tcPr>
          <w:p w14:paraId="7C013EF4" w14:textId="04655913" w:rsidR="008E0A98" w:rsidRPr="004A47CE" w:rsidRDefault="008E0A98" w:rsidP="003723BD">
            <w:pPr>
              <w:tabs>
                <w:tab w:val="left" w:pos="1200"/>
              </w:tabs>
              <w:spacing w:after="120"/>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 xml:space="preserve">Güvenli </w:t>
            </w:r>
            <w:r w:rsidR="003723BD">
              <w:rPr>
                <w:rFonts w:ascii="Times New Roman" w:hAnsi="Times New Roman" w:cs="Times New Roman"/>
                <w:color w:val="000000" w:themeColor="text1"/>
                <w:sz w:val="24"/>
                <w:szCs w:val="24"/>
                <w:lang w:val="tr-TR"/>
              </w:rPr>
              <w:t xml:space="preserve">bir şekilde yönetilen içme suyu </w:t>
            </w:r>
            <w:r w:rsidRPr="004A47CE">
              <w:rPr>
                <w:rFonts w:ascii="Times New Roman" w:hAnsi="Times New Roman" w:cs="Times New Roman"/>
                <w:color w:val="000000" w:themeColor="text1"/>
                <w:sz w:val="24"/>
                <w:szCs w:val="24"/>
                <w:lang w:val="tr-TR"/>
              </w:rPr>
              <w:t>hizmetlerini kullanan kişiler (nüfusun yüzdesi)</w:t>
            </w:r>
          </w:p>
        </w:tc>
      </w:tr>
    </w:tbl>
    <w:p w14:paraId="4328B199" w14:textId="5117BF00" w:rsidR="00EA01F0" w:rsidRPr="004A47CE" w:rsidRDefault="00EA01F0" w:rsidP="004A47CE">
      <w:pPr>
        <w:tabs>
          <w:tab w:val="left" w:pos="1200"/>
        </w:tabs>
        <w:spacing w:after="120" w:line="240" w:lineRule="auto"/>
        <w:ind w:firstLine="709"/>
        <w:rPr>
          <w:rFonts w:ascii="Times New Roman" w:hAnsi="Times New Roman" w:cs="Times New Roman"/>
          <w:sz w:val="24"/>
          <w:szCs w:val="24"/>
          <w:lang w:val="tr-TR"/>
        </w:rPr>
      </w:pPr>
    </w:p>
    <w:p w14:paraId="25543DC6" w14:textId="7941F91D" w:rsidR="00D67374" w:rsidRPr="004A47CE" w:rsidRDefault="005C6307" w:rsidP="004A47CE">
      <w:pPr>
        <w:spacing w:after="120" w:line="240" w:lineRule="auto"/>
        <w:ind w:firstLine="709"/>
        <w:jc w:val="both"/>
        <w:rPr>
          <w:rFonts w:ascii="Times New Roman" w:eastAsia="DejaVu Sans" w:hAnsi="Times New Roman" w:cs="Times New Roman"/>
          <w:kern w:val="1"/>
          <w:sz w:val="24"/>
          <w:szCs w:val="24"/>
          <w:lang w:val="tr-TR"/>
        </w:rPr>
      </w:pPr>
      <w:r w:rsidRPr="004A47CE">
        <w:rPr>
          <w:rFonts w:ascii="Times New Roman" w:eastAsia="DejaVu Sans" w:hAnsi="Times New Roman" w:cs="Times New Roman"/>
          <w:kern w:val="1"/>
          <w:sz w:val="24"/>
          <w:szCs w:val="24"/>
          <w:lang w:val="tr-TR"/>
        </w:rPr>
        <w:t xml:space="preserve">Kadın ve erkek için tahmin edeceğimiz modeller </w:t>
      </w:r>
      <w:r w:rsidR="006A5666" w:rsidRPr="004A47CE">
        <w:rPr>
          <w:rFonts w:ascii="Times New Roman" w:eastAsia="DejaVu Sans" w:hAnsi="Times New Roman" w:cs="Times New Roman"/>
          <w:kern w:val="1"/>
          <w:sz w:val="24"/>
          <w:szCs w:val="24"/>
          <w:lang w:val="tr-TR"/>
        </w:rPr>
        <w:t>aşağıdaki gibidir:</w:t>
      </w:r>
    </w:p>
    <w:p w14:paraId="1C8D44EF" w14:textId="3A53DD3B" w:rsidR="00D67374" w:rsidRPr="004A47CE" w:rsidRDefault="00D67374" w:rsidP="004A47CE">
      <w:pPr>
        <w:spacing w:after="120" w:line="240" w:lineRule="auto"/>
        <w:ind w:firstLine="709"/>
        <w:jc w:val="both"/>
        <w:rPr>
          <w:rFonts w:ascii="Times New Roman" w:eastAsia="DejaVu Sans" w:hAnsi="Times New Roman" w:cs="Times New Roman"/>
          <w:kern w:val="1"/>
          <w:sz w:val="24"/>
          <w:szCs w:val="24"/>
          <w:lang w:val="tr-TR"/>
        </w:rPr>
      </w:pPr>
      <w:r w:rsidRPr="004A47CE">
        <w:rPr>
          <w:rFonts w:ascii="Times New Roman" w:eastAsia="DejaVu Sans" w:hAnsi="Times New Roman" w:cs="Times New Roman"/>
          <w:kern w:val="1"/>
          <w:sz w:val="24"/>
          <w:szCs w:val="24"/>
          <w:lang w:val="tr-TR"/>
        </w:rPr>
        <w:t>Kadın yaşam süresi</w:t>
      </w:r>
      <w:r w:rsidR="000262B0" w:rsidRPr="004A47CE">
        <w:rPr>
          <w:rFonts w:ascii="Times New Roman" w:eastAsia="DejaVu Sans" w:hAnsi="Times New Roman" w:cs="Times New Roman"/>
          <w:kern w:val="1"/>
          <w:sz w:val="24"/>
          <w:szCs w:val="24"/>
          <w:lang w:val="tr-TR"/>
        </w:rPr>
        <w:t>:</w:t>
      </w:r>
    </w:p>
    <w:p w14:paraId="608F8FD2" w14:textId="7CBBD18D" w:rsidR="006A5666" w:rsidRPr="004A47CE" w:rsidRDefault="003946CC" w:rsidP="004A47CE">
      <w:pPr>
        <w:spacing w:after="120" w:line="240" w:lineRule="auto"/>
        <w:ind w:firstLine="709"/>
        <w:jc w:val="both"/>
        <w:rPr>
          <w:rFonts w:ascii="Times New Roman" w:eastAsia="Times New Roman" w:hAnsi="Times New Roman" w:cs="Times New Roman"/>
          <w:kern w:val="1"/>
          <w:sz w:val="24"/>
          <w:szCs w:val="24"/>
          <w:lang w:val="tr-TR"/>
        </w:rPr>
      </w:pPr>
      <m:oMath>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LEX</m:t>
            </m:r>
          </m:e>
          <m:sub>
            <m:r>
              <w:rPr>
                <w:rFonts w:ascii="Cambria Math" w:eastAsia="DejaVu Sans" w:hAnsi="Cambria Math" w:cs="Times New Roman"/>
                <w:kern w:val="1"/>
                <w:sz w:val="24"/>
                <w:szCs w:val="24"/>
                <w:lang w:val="tr-TR"/>
              </w:rPr>
              <m:t>fit</m:t>
            </m:r>
          </m:sub>
        </m:sSub>
        <m:r>
          <w:rPr>
            <w:rFonts w:ascii="Cambria Math" w:eastAsia="DejaVu Sans" w:hAnsi="Cambria Math" w:cs="Times New Roman"/>
            <w:kern w:val="1"/>
            <w:sz w:val="24"/>
            <w:szCs w:val="24"/>
            <w:lang w:val="tr-TR"/>
          </w:rPr>
          <m:t>=</m:t>
        </m:r>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α</m:t>
            </m:r>
          </m:e>
          <m:sub>
            <m:r>
              <w:rPr>
                <w:rFonts w:ascii="Cambria Math" w:eastAsia="DejaVu Sans" w:hAnsi="Cambria Math" w:cs="Times New Roman"/>
                <w:kern w:val="1"/>
                <w:sz w:val="24"/>
                <w:szCs w:val="24"/>
                <w:lang w:val="tr-TR"/>
              </w:rPr>
              <m:t>0</m:t>
            </m:r>
          </m:sub>
        </m:sSub>
        <m:sSub>
          <m:sSubPr>
            <m:ctrlPr>
              <w:rPr>
                <w:rFonts w:ascii="Cambria Math" w:eastAsia="DejaVu Sans" w:hAnsi="Cambria Math" w:cs="Times New Roman"/>
                <w:i/>
                <w:kern w:val="1"/>
                <w:sz w:val="24"/>
                <w:szCs w:val="24"/>
                <w:lang w:val="tr-TR"/>
              </w:rPr>
            </m:ctrlPr>
          </m:sSubPr>
          <m:e>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+α</m:t>
                </m:r>
              </m:e>
              <m:sub>
                <m:r>
                  <w:rPr>
                    <w:rFonts w:ascii="Cambria Math" w:eastAsia="DejaVu Sans" w:hAnsi="Cambria Math" w:cs="Times New Roman"/>
                    <w:kern w:val="1"/>
                    <w:sz w:val="24"/>
                    <w:szCs w:val="24"/>
                    <w:lang w:val="tr-TR"/>
                  </w:rPr>
                  <m:t>1</m:t>
                </m:r>
              </m:sub>
            </m:sSub>
            <m:r>
              <w:rPr>
                <w:rFonts w:ascii="Cambria Math" w:eastAsia="DejaVu Sans" w:hAnsi="Cambria Math" w:cs="Times New Roman"/>
                <w:kern w:val="1"/>
                <w:sz w:val="24"/>
                <w:szCs w:val="24"/>
                <w:lang w:val="tr-TR"/>
              </w:rPr>
              <m:t>LGDP</m:t>
            </m:r>
          </m:e>
          <m:sub>
            <m:r>
              <w:rPr>
                <w:rFonts w:ascii="Cambria Math" w:eastAsia="DejaVu Sans" w:hAnsi="Cambria Math" w:cs="Times New Roman"/>
                <w:kern w:val="1"/>
                <w:sz w:val="24"/>
                <w:szCs w:val="24"/>
                <w:lang w:val="tr-TR"/>
              </w:rPr>
              <m:t>it</m:t>
            </m:r>
          </m:sub>
        </m:sSub>
        <m:r>
          <w:rPr>
            <w:rFonts w:ascii="Cambria Math" w:eastAsia="DejaVu Sans" w:hAnsi="Cambria Math" w:cs="Times New Roman"/>
            <w:kern w:val="1"/>
            <w:sz w:val="24"/>
            <w:szCs w:val="24"/>
            <w:lang w:val="tr-TR"/>
          </w:rPr>
          <m:t>+</m:t>
        </m:r>
        <m:sSub>
          <m:sSubPr>
            <m:ctrlPr>
              <w:rPr>
                <w:rFonts w:ascii="Cambria Math" w:eastAsia="DejaVu Sans" w:hAnsi="Cambria Math" w:cs="Times New Roman"/>
                <w:i/>
                <w:kern w:val="1"/>
                <w:sz w:val="24"/>
                <w:szCs w:val="24"/>
                <w:lang w:val="tr-TR"/>
              </w:rPr>
            </m:ctrlPr>
          </m:sSubPr>
          <m:e>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α</m:t>
                </m:r>
              </m:e>
              <m:sub>
                <m:r>
                  <w:rPr>
                    <w:rFonts w:ascii="Cambria Math" w:eastAsia="DejaVu Sans" w:hAnsi="Cambria Math" w:cs="Times New Roman"/>
                    <w:kern w:val="1"/>
                    <w:sz w:val="24"/>
                    <w:szCs w:val="24"/>
                    <w:lang w:val="tr-TR"/>
                  </w:rPr>
                  <m:t>2</m:t>
                </m:r>
              </m:sub>
            </m:sSub>
            <m:r>
              <w:rPr>
                <w:rFonts w:ascii="Cambria Math" w:eastAsia="DejaVu Sans" w:hAnsi="Cambria Math" w:cs="Times New Roman"/>
                <w:kern w:val="1"/>
                <w:sz w:val="24"/>
                <w:szCs w:val="24"/>
                <w:lang w:val="tr-TR"/>
              </w:rPr>
              <m:t>LPOP</m:t>
            </m:r>
          </m:e>
          <m:sub>
            <m:r>
              <w:rPr>
                <w:rFonts w:ascii="Cambria Math" w:eastAsia="DejaVu Sans" w:hAnsi="Cambria Math" w:cs="Times New Roman"/>
                <w:kern w:val="1"/>
                <w:sz w:val="24"/>
                <w:szCs w:val="24"/>
                <w:lang w:val="tr-TR"/>
              </w:rPr>
              <m:t>it</m:t>
            </m:r>
          </m:sub>
        </m:sSub>
        <m:r>
          <w:rPr>
            <w:rFonts w:ascii="Cambria Math" w:eastAsia="DejaVu Sans" w:hAnsi="Cambria Math" w:cs="Times New Roman"/>
            <w:kern w:val="1"/>
            <w:sz w:val="24"/>
            <w:szCs w:val="24"/>
            <w:lang w:val="tr-TR"/>
          </w:rPr>
          <m:t>+</m:t>
        </m:r>
        <m:sSub>
          <m:sSubPr>
            <m:ctrlPr>
              <w:rPr>
                <w:rFonts w:ascii="Cambria Math" w:eastAsia="DejaVu Sans" w:hAnsi="Cambria Math" w:cs="Times New Roman"/>
                <w:i/>
                <w:kern w:val="1"/>
                <w:sz w:val="24"/>
                <w:szCs w:val="24"/>
                <w:lang w:val="tr-TR"/>
              </w:rPr>
            </m:ctrlPr>
          </m:sSubPr>
          <m:e>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α</m:t>
                </m:r>
              </m:e>
              <m:sub>
                <m:r>
                  <w:rPr>
                    <w:rFonts w:ascii="Cambria Math" w:eastAsia="DejaVu Sans" w:hAnsi="Cambria Math" w:cs="Times New Roman"/>
                    <w:kern w:val="1"/>
                    <w:sz w:val="24"/>
                    <w:szCs w:val="24"/>
                    <w:lang w:val="tr-TR"/>
                  </w:rPr>
                  <m:t>3</m:t>
                </m:r>
              </m:sub>
            </m:sSub>
            <m:r>
              <w:rPr>
                <w:rFonts w:ascii="Cambria Math" w:eastAsia="DejaVu Sans" w:hAnsi="Cambria Math" w:cs="Times New Roman"/>
                <w:kern w:val="1"/>
                <w:sz w:val="24"/>
                <w:szCs w:val="24"/>
                <w:lang w:val="tr-TR"/>
              </w:rPr>
              <m:t>LHE</m:t>
            </m:r>
          </m:e>
          <m:sub>
            <m:r>
              <w:rPr>
                <w:rFonts w:ascii="Cambria Math" w:eastAsia="DejaVu Sans" w:hAnsi="Cambria Math" w:cs="Times New Roman"/>
                <w:kern w:val="1"/>
                <w:sz w:val="24"/>
                <w:szCs w:val="24"/>
                <w:lang w:val="tr-TR"/>
              </w:rPr>
              <m:t>it</m:t>
            </m:r>
          </m:sub>
        </m:sSub>
        <m:r>
          <w:rPr>
            <w:rFonts w:ascii="Cambria Math" w:eastAsia="DejaVu Sans" w:hAnsi="Cambria Math" w:cs="Times New Roman"/>
            <w:kern w:val="1"/>
            <w:sz w:val="24"/>
            <w:szCs w:val="24"/>
            <w:lang w:val="tr-TR"/>
          </w:rPr>
          <m:t>+</m:t>
        </m:r>
        <m:sSub>
          <m:sSubPr>
            <m:ctrlPr>
              <w:rPr>
                <w:rFonts w:ascii="Cambria Math" w:eastAsia="DejaVu Sans" w:hAnsi="Cambria Math" w:cs="Times New Roman"/>
                <w:i/>
                <w:kern w:val="1"/>
                <w:sz w:val="24"/>
                <w:szCs w:val="24"/>
                <w:lang w:val="tr-TR"/>
              </w:rPr>
            </m:ctrlPr>
          </m:sSubPr>
          <m:e>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α</m:t>
                </m:r>
              </m:e>
              <m:sub>
                <m:r>
                  <w:rPr>
                    <w:rFonts w:ascii="Cambria Math" w:eastAsia="DejaVu Sans" w:hAnsi="Cambria Math" w:cs="Times New Roman"/>
                    <w:kern w:val="1"/>
                    <w:sz w:val="24"/>
                    <w:szCs w:val="24"/>
                    <w:lang w:val="tr-TR"/>
                  </w:rPr>
                  <m:t>4</m:t>
                </m:r>
              </m:sub>
            </m:sSub>
            <m:r>
              <w:rPr>
                <w:rFonts w:ascii="Cambria Math" w:eastAsia="DejaVu Sans" w:hAnsi="Cambria Math" w:cs="Times New Roman"/>
                <w:kern w:val="1"/>
                <w:sz w:val="24"/>
                <w:szCs w:val="24"/>
                <w:lang w:val="tr-TR"/>
              </w:rPr>
              <m:t>LWATER</m:t>
            </m:r>
          </m:e>
          <m:sub>
            <m:r>
              <w:rPr>
                <w:rFonts w:ascii="Cambria Math" w:eastAsia="DejaVu Sans" w:hAnsi="Cambria Math" w:cs="Times New Roman"/>
                <w:kern w:val="1"/>
                <w:sz w:val="24"/>
                <w:szCs w:val="24"/>
                <w:lang w:val="tr-TR"/>
              </w:rPr>
              <m:t>it</m:t>
            </m:r>
          </m:sub>
        </m:sSub>
        <m:r>
          <w:rPr>
            <w:rFonts w:ascii="Cambria Math" w:eastAsia="DejaVu Sans" w:hAnsi="Cambria Math" w:cs="Times New Roman"/>
            <w:kern w:val="1"/>
            <w:sz w:val="24"/>
            <w:szCs w:val="24"/>
            <w:lang w:val="tr-TR"/>
          </w:rPr>
          <m:t>+</m:t>
        </m:r>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ε</m:t>
            </m:r>
          </m:e>
          <m:sub>
            <m:r>
              <w:rPr>
                <w:rFonts w:ascii="Cambria Math" w:eastAsia="DejaVu Sans" w:hAnsi="Cambria Math" w:cs="Times New Roman"/>
                <w:kern w:val="1"/>
                <w:sz w:val="24"/>
                <w:szCs w:val="24"/>
                <w:lang w:val="tr-TR"/>
              </w:rPr>
              <m:t>it</m:t>
            </m:r>
          </m:sub>
        </m:sSub>
      </m:oMath>
      <w:r w:rsidR="003723BD">
        <w:rPr>
          <w:rFonts w:ascii="Times New Roman" w:eastAsia="Times New Roman" w:hAnsi="Times New Roman" w:cs="Times New Roman"/>
          <w:kern w:val="1"/>
          <w:sz w:val="24"/>
          <w:szCs w:val="24"/>
          <w:lang w:val="tr-TR"/>
        </w:rPr>
        <w:t xml:space="preserve">    </w:t>
      </w:r>
      <w:r w:rsidR="006A5666" w:rsidRPr="004A47CE">
        <w:rPr>
          <w:rFonts w:ascii="Times New Roman" w:eastAsia="Times New Roman" w:hAnsi="Times New Roman" w:cs="Times New Roman"/>
          <w:kern w:val="1"/>
          <w:sz w:val="24"/>
          <w:szCs w:val="24"/>
          <w:lang w:val="tr-TR"/>
        </w:rPr>
        <w:t xml:space="preserve">                    (1)</w:t>
      </w:r>
    </w:p>
    <w:p w14:paraId="76969088" w14:textId="77777777" w:rsidR="000262B0" w:rsidRPr="004A47CE" w:rsidRDefault="000262B0" w:rsidP="004A47CE">
      <w:pPr>
        <w:tabs>
          <w:tab w:val="left" w:pos="1200"/>
        </w:tabs>
        <w:spacing w:after="120" w:line="240" w:lineRule="auto"/>
        <w:ind w:firstLine="709"/>
        <w:rPr>
          <w:rFonts w:ascii="Times New Roman" w:hAnsi="Times New Roman" w:cs="Times New Roman"/>
          <w:sz w:val="24"/>
          <w:szCs w:val="24"/>
          <w:lang w:val="tr-TR"/>
        </w:rPr>
      </w:pPr>
      <w:r w:rsidRPr="004A47CE">
        <w:rPr>
          <w:rFonts w:ascii="Times New Roman" w:hAnsi="Times New Roman" w:cs="Times New Roman"/>
          <w:sz w:val="24"/>
          <w:szCs w:val="24"/>
          <w:lang w:val="tr-TR"/>
        </w:rPr>
        <w:t>Erkek yaşam süresi:</w:t>
      </w:r>
    </w:p>
    <w:p w14:paraId="321C6DC5" w14:textId="6C70D6B1" w:rsidR="000262B0" w:rsidRPr="004A47CE" w:rsidRDefault="003946CC" w:rsidP="004A47CE">
      <w:pPr>
        <w:tabs>
          <w:tab w:val="left" w:pos="7845"/>
        </w:tabs>
        <w:spacing w:after="120" w:line="240" w:lineRule="auto"/>
        <w:ind w:firstLine="709"/>
        <w:jc w:val="both"/>
        <w:rPr>
          <w:rFonts w:ascii="Times New Roman" w:eastAsia="Times New Roman" w:hAnsi="Times New Roman" w:cs="Times New Roman"/>
          <w:kern w:val="1"/>
          <w:sz w:val="24"/>
          <w:szCs w:val="24"/>
          <w:lang w:val="tr-TR"/>
        </w:rPr>
      </w:pPr>
      <m:oMath>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LEX</m:t>
            </m:r>
          </m:e>
          <m:sub>
            <m:r>
              <w:rPr>
                <w:rFonts w:ascii="Cambria Math" w:eastAsia="DejaVu Sans" w:hAnsi="Cambria Math" w:cs="Times New Roman"/>
                <w:kern w:val="1"/>
                <w:sz w:val="24"/>
                <w:szCs w:val="24"/>
                <w:lang w:val="tr-TR"/>
              </w:rPr>
              <m:t>mit</m:t>
            </m:r>
          </m:sub>
        </m:sSub>
        <m:r>
          <w:rPr>
            <w:rFonts w:ascii="Cambria Math" w:eastAsia="DejaVu Sans" w:hAnsi="Cambria Math" w:cs="Times New Roman"/>
            <w:kern w:val="1"/>
            <w:sz w:val="24"/>
            <w:szCs w:val="24"/>
            <w:lang w:val="tr-TR"/>
          </w:rPr>
          <m:t>=</m:t>
        </m:r>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α</m:t>
            </m:r>
          </m:e>
          <m:sub>
            <m:r>
              <w:rPr>
                <w:rFonts w:ascii="Cambria Math" w:eastAsia="DejaVu Sans" w:hAnsi="Cambria Math" w:cs="Times New Roman"/>
                <w:kern w:val="1"/>
                <w:sz w:val="24"/>
                <w:szCs w:val="24"/>
                <w:lang w:val="tr-TR"/>
              </w:rPr>
              <m:t>0</m:t>
            </m:r>
          </m:sub>
        </m:sSub>
        <m:sSub>
          <m:sSubPr>
            <m:ctrlPr>
              <w:rPr>
                <w:rFonts w:ascii="Cambria Math" w:eastAsia="DejaVu Sans" w:hAnsi="Cambria Math" w:cs="Times New Roman"/>
                <w:i/>
                <w:kern w:val="1"/>
                <w:sz w:val="24"/>
                <w:szCs w:val="24"/>
                <w:lang w:val="tr-TR"/>
              </w:rPr>
            </m:ctrlPr>
          </m:sSubPr>
          <m:e>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+α</m:t>
                </m:r>
              </m:e>
              <m:sub>
                <m:r>
                  <w:rPr>
                    <w:rFonts w:ascii="Cambria Math" w:eastAsia="DejaVu Sans" w:hAnsi="Cambria Math" w:cs="Times New Roman"/>
                    <w:kern w:val="1"/>
                    <w:sz w:val="24"/>
                    <w:szCs w:val="24"/>
                    <w:lang w:val="tr-TR"/>
                  </w:rPr>
                  <m:t>1</m:t>
                </m:r>
              </m:sub>
            </m:sSub>
            <m:r>
              <w:rPr>
                <w:rFonts w:ascii="Cambria Math" w:eastAsia="DejaVu Sans" w:hAnsi="Cambria Math" w:cs="Times New Roman"/>
                <w:kern w:val="1"/>
                <w:sz w:val="24"/>
                <w:szCs w:val="24"/>
                <w:lang w:val="tr-TR"/>
              </w:rPr>
              <m:t>LGDP</m:t>
            </m:r>
          </m:e>
          <m:sub>
            <m:r>
              <w:rPr>
                <w:rFonts w:ascii="Cambria Math" w:eastAsia="DejaVu Sans" w:hAnsi="Cambria Math" w:cs="Times New Roman"/>
                <w:kern w:val="1"/>
                <w:sz w:val="24"/>
                <w:szCs w:val="24"/>
                <w:lang w:val="tr-TR"/>
              </w:rPr>
              <m:t>it</m:t>
            </m:r>
          </m:sub>
        </m:sSub>
        <m:r>
          <w:rPr>
            <w:rFonts w:ascii="Cambria Math" w:eastAsia="DejaVu Sans" w:hAnsi="Cambria Math" w:cs="Times New Roman"/>
            <w:kern w:val="1"/>
            <w:sz w:val="24"/>
            <w:szCs w:val="24"/>
            <w:lang w:val="tr-TR"/>
          </w:rPr>
          <m:t>+</m:t>
        </m:r>
        <m:sSub>
          <m:sSubPr>
            <m:ctrlPr>
              <w:rPr>
                <w:rFonts w:ascii="Cambria Math" w:eastAsia="DejaVu Sans" w:hAnsi="Cambria Math" w:cs="Times New Roman"/>
                <w:i/>
                <w:kern w:val="1"/>
                <w:sz w:val="24"/>
                <w:szCs w:val="24"/>
                <w:lang w:val="tr-TR"/>
              </w:rPr>
            </m:ctrlPr>
          </m:sSubPr>
          <m:e>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α</m:t>
                </m:r>
              </m:e>
              <m:sub>
                <m:r>
                  <w:rPr>
                    <w:rFonts w:ascii="Cambria Math" w:eastAsia="DejaVu Sans" w:hAnsi="Cambria Math" w:cs="Times New Roman"/>
                    <w:kern w:val="1"/>
                    <w:sz w:val="24"/>
                    <w:szCs w:val="24"/>
                    <w:lang w:val="tr-TR"/>
                  </w:rPr>
                  <m:t>2</m:t>
                </m:r>
              </m:sub>
            </m:sSub>
            <m:r>
              <w:rPr>
                <w:rFonts w:ascii="Cambria Math" w:eastAsia="DejaVu Sans" w:hAnsi="Cambria Math" w:cs="Times New Roman"/>
                <w:kern w:val="1"/>
                <w:sz w:val="24"/>
                <w:szCs w:val="24"/>
                <w:lang w:val="tr-TR"/>
              </w:rPr>
              <m:t>LEDU</m:t>
            </m:r>
          </m:e>
          <m:sub>
            <m:r>
              <w:rPr>
                <w:rFonts w:ascii="Cambria Math" w:eastAsia="DejaVu Sans" w:hAnsi="Cambria Math" w:cs="Times New Roman"/>
                <w:kern w:val="1"/>
                <w:sz w:val="24"/>
                <w:szCs w:val="24"/>
                <w:lang w:val="tr-TR"/>
              </w:rPr>
              <m:t>it</m:t>
            </m:r>
          </m:sub>
        </m:sSub>
        <m:r>
          <w:rPr>
            <w:rFonts w:ascii="Cambria Math" w:eastAsia="DejaVu Sans" w:hAnsi="Cambria Math" w:cs="Times New Roman"/>
            <w:kern w:val="1"/>
            <w:sz w:val="24"/>
            <w:szCs w:val="24"/>
            <w:lang w:val="tr-TR"/>
          </w:rPr>
          <m:t>+</m:t>
        </m:r>
        <m:sSub>
          <m:sSubPr>
            <m:ctrlPr>
              <w:rPr>
                <w:rFonts w:ascii="Cambria Math" w:eastAsia="DejaVu Sans" w:hAnsi="Cambria Math" w:cs="Times New Roman"/>
                <w:i/>
                <w:kern w:val="1"/>
                <w:sz w:val="24"/>
                <w:szCs w:val="24"/>
                <w:lang w:val="tr-TR"/>
              </w:rPr>
            </m:ctrlPr>
          </m:sSubPr>
          <m:e>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α</m:t>
                </m:r>
              </m:e>
              <m:sub>
                <m:r>
                  <w:rPr>
                    <w:rFonts w:ascii="Cambria Math" w:eastAsia="DejaVu Sans" w:hAnsi="Cambria Math" w:cs="Times New Roman"/>
                    <w:kern w:val="1"/>
                    <w:sz w:val="24"/>
                    <w:szCs w:val="24"/>
                    <w:lang w:val="tr-TR"/>
                  </w:rPr>
                  <m:t>3</m:t>
                </m:r>
              </m:sub>
            </m:sSub>
            <m:r>
              <w:rPr>
                <w:rFonts w:ascii="Cambria Math" w:eastAsia="DejaVu Sans" w:hAnsi="Cambria Math" w:cs="Times New Roman"/>
                <w:kern w:val="1"/>
                <w:sz w:val="24"/>
                <w:szCs w:val="24"/>
                <w:lang w:val="tr-TR"/>
              </w:rPr>
              <m:t>LWATER</m:t>
            </m:r>
          </m:e>
          <m:sub>
            <m:r>
              <w:rPr>
                <w:rFonts w:ascii="Cambria Math" w:eastAsia="DejaVu Sans" w:hAnsi="Cambria Math" w:cs="Times New Roman"/>
                <w:kern w:val="1"/>
                <w:sz w:val="24"/>
                <w:szCs w:val="24"/>
                <w:lang w:val="tr-TR"/>
              </w:rPr>
              <m:t>it</m:t>
            </m:r>
          </m:sub>
        </m:sSub>
        <m:r>
          <w:rPr>
            <w:rFonts w:ascii="Cambria Math" w:eastAsia="DejaVu Sans" w:hAnsi="Cambria Math" w:cs="Times New Roman"/>
            <w:kern w:val="1"/>
            <w:sz w:val="24"/>
            <w:szCs w:val="24"/>
            <w:lang w:val="tr-TR"/>
          </w:rPr>
          <m:t>+</m:t>
        </m:r>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ε</m:t>
            </m:r>
          </m:e>
          <m:sub>
            <m:r>
              <w:rPr>
                <w:rFonts w:ascii="Cambria Math" w:eastAsia="DejaVu Sans" w:hAnsi="Cambria Math" w:cs="Times New Roman"/>
                <w:kern w:val="1"/>
                <w:sz w:val="24"/>
                <w:szCs w:val="24"/>
                <w:lang w:val="tr-TR"/>
              </w:rPr>
              <m:t>it</m:t>
            </m:r>
          </m:sub>
        </m:sSub>
      </m:oMath>
      <w:r w:rsidR="003723BD">
        <w:rPr>
          <w:rFonts w:ascii="Times New Roman" w:eastAsia="Times New Roman" w:hAnsi="Times New Roman" w:cs="Times New Roman"/>
          <w:kern w:val="1"/>
          <w:sz w:val="24"/>
          <w:szCs w:val="24"/>
          <w:lang w:val="tr-TR"/>
        </w:rPr>
        <w:t xml:space="preserve">   </w:t>
      </w:r>
      <w:r w:rsidR="000262B0" w:rsidRPr="004A47CE">
        <w:rPr>
          <w:rFonts w:ascii="Times New Roman" w:eastAsia="Times New Roman" w:hAnsi="Times New Roman" w:cs="Times New Roman"/>
          <w:kern w:val="1"/>
          <w:sz w:val="24"/>
          <w:szCs w:val="24"/>
          <w:lang w:val="tr-TR"/>
        </w:rPr>
        <w:t xml:space="preserve">                   </w:t>
      </w:r>
      <w:r w:rsidR="003723BD">
        <w:rPr>
          <w:rFonts w:ascii="Times New Roman" w:eastAsia="Times New Roman" w:hAnsi="Times New Roman" w:cs="Times New Roman"/>
          <w:kern w:val="1"/>
          <w:sz w:val="24"/>
          <w:szCs w:val="24"/>
          <w:lang w:val="tr-TR"/>
        </w:rPr>
        <w:t xml:space="preserve">              </w:t>
      </w:r>
      <w:r w:rsidR="000262B0" w:rsidRPr="004A47CE">
        <w:rPr>
          <w:rFonts w:ascii="Times New Roman" w:eastAsia="Times New Roman" w:hAnsi="Times New Roman" w:cs="Times New Roman"/>
          <w:kern w:val="1"/>
          <w:sz w:val="24"/>
          <w:szCs w:val="24"/>
          <w:lang w:val="tr-TR"/>
        </w:rPr>
        <w:t xml:space="preserve"> (2)</w:t>
      </w:r>
    </w:p>
    <w:p w14:paraId="6C59D475" w14:textId="77777777" w:rsidR="000262B0" w:rsidRPr="004A47CE" w:rsidRDefault="000262B0" w:rsidP="004A47CE">
      <w:pPr>
        <w:spacing w:after="120" w:line="240" w:lineRule="auto"/>
        <w:ind w:firstLine="709"/>
        <w:jc w:val="both"/>
        <w:rPr>
          <w:rFonts w:ascii="Times New Roman" w:eastAsia="DejaVu Sans" w:hAnsi="Times New Roman" w:cs="Times New Roman"/>
          <w:kern w:val="1"/>
          <w:sz w:val="24"/>
          <w:szCs w:val="24"/>
          <w:lang w:val="tr-TR"/>
        </w:rPr>
      </w:pPr>
    </w:p>
    <w:p w14:paraId="1AA3612B" w14:textId="36A5859A" w:rsidR="000262B0" w:rsidRPr="00982AE4" w:rsidRDefault="006A5666" w:rsidP="00982AE4">
      <w:pPr>
        <w:spacing w:after="120" w:line="240" w:lineRule="auto"/>
        <w:ind w:firstLine="709"/>
        <w:jc w:val="both"/>
        <w:rPr>
          <w:rFonts w:ascii="Times New Roman" w:eastAsia="DejaVu Sans" w:hAnsi="Times New Roman" w:cs="Times New Roman"/>
          <w:kern w:val="1"/>
          <w:sz w:val="24"/>
          <w:szCs w:val="24"/>
          <w:lang w:val="tr-TR"/>
        </w:rPr>
      </w:pPr>
      <w:r w:rsidRPr="004A47CE">
        <w:rPr>
          <w:rFonts w:ascii="Times New Roman" w:eastAsia="DejaVu Sans" w:hAnsi="Times New Roman" w:cs="Times New Roman"/>
          <w:kern w:val="1"/>
          <w:sz w:val="24"/>
          <w:szCs w:val="24"/>
          <w:lang w:val="tr-TR"/>
        </w:rPr>
        <w:t xml:space="preserve">Burada </w:t>
      </w:r>
      <m:oMath>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LEX</m:t>
            </m:r>
          </m:e>
          <m:sub>
            <m:r>
              <w:rPr>
                <w:rFonts w:ascii="Cambria Math" w:eastAsia="DejaVu Sans" w:hAnsi="Cambria Math" w:cs="Times New Roman"/>
                <w:kern w:val="1"/>
                <w:sz w:val="24"/>
                <w:szCs w:val="24"/>
                <w:lang w:val="tr-TR"/>
              </w:rPr>
              <m:t>fit</m:t>
            </m:r>
          </m:sub>
        </m:sSub>
      </m:oMath>
      <w:r w:rsidR="002D4EDB" w:rsidRPr="004A47CE">
        <w:rPr>
          <w:rFonts w:ascii="Times New Roman" w:eastAsia="DejaVu Sans" w:hAnsi="Times New Roman" w:cs="Times New Roman"/>
          <w:kern w:val="1"/>
          <w:sz w:val="24"/>
          <w:szCs w:val="24"/>
          <w:lang w:val="tr-TR"/>
        </w:rPr>
        <w:t xml:space="preserve"> </w:t>
      </w:r>
      <w:r w:rsidR="000262B0" w:rsidRPr="004A47CE">
        <w:rPr>
          <w:rFonts w:ascii="Times New Roman" w:eastAsia="Times New Roman" w:hAnsi="Times New Roman" w:cs="Times New Roman"/>
          <w:kern w:val="1"/>
          <w:sz w:val="24"/>
          <w:szCs w:val="24"/>
          <w:lang w:val="tr-TR"/>
        </w:rPr>
        <w:t xml:space="preserve">ve </w:t>
      </w:r>
      <m:oMath>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LEX</m:t>
            </m:r>
          </m:e>
          <m:sub>
            <m:r>
              <w:rPr>
                <w:rFonts w:ascii="Cambria Math" w:eastAsia="DejaVu Sans" w:hAnsi="Cambria Math" w:cs="Times New Roman"/>
                <w:kern w:val="1"/>
                <w:sz w:val="24"/>
                <w:szCs w:val="24"/>
                <w:lang w:val="tr-TR"/>
              </w:rPr>
              <m:t>mit</m:t>
            </m:r>
          </m:sub>
        </m:sSub>
      </m:oMath>
      <w:r w:rsidR="000262B0" w:rsidRPr="004A47CE">
        <w:rPr>
          <w:rFonts w:ascii="Times New Roman" w:eastAsia="Times New Roman" w:hAnsi="Times New Roman" w:cs="Times New Roman"/>
          <w:kern w:val="1"/>
          <w:sz w:val="24"/>
          <w:szCs w:val="24"/>
          <w:lang w:val="tr-TR"/>
        </w:rPr>
        <w:t xml:space="preserve"> </w:t>
      </w:r>
      <w:r w:rsidRPr="004A47CE">
        <w:rPr>
          <w:rFonts w:ascii="Times New Roman" w:eastAsia="Times New Roman" w:hAnsi="Times New Roman" w:cs="Times New Roman"/>
          <w:kern w:val="1"/>
          <w:sz w:val="24"/>
          <w:szCs w:val="24"/>
          <w:lang w:val="tr-TR"/>
        </w:rPr>
        <w:t>bağımlı değişken</w:t>
      </w:r>
      <w:r w:rsidR="000262B0" w:rsidRPr="004A47CE">
        <w:rPr>
          <w:rFonts w:ascii="Times New Roman" w:eastAsia="Times New Roman" w:hAnsi="Times New Roman" w:cs="Times New Roman"/>
          <w:kern w:val="1"/>
          <w:sz w:val="24"/>
          <w:szCs w:val="24"/>
          <w:lang w:val="tr-TR"/>
        </w:rPr>
        <w:t>ler</w:t>
      </w:r>
      <w:r w:rsidRPr="004A47CE">
        <w:rPr>
          <w:rFonts w:ascii="Times New Roman" w:eastAsia="Times New Roman" w:hAnsi="Times New Roman" w:cs="Times New Roman"/>
          <w:kern w:val="1"/>
          <w:sz w:val="24"/>
          <w:szCs w:val="24"/>
          <w:lang w:val="tr-TR"/>
        </w:rPr>
        <w:t xml:space="preserve">, </w:t>
      </w:r>
      <m:oMath>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LGDP</m:t>
            </m:r>
          </m:e>
          <m:sub>
            <m:r>
              <w:rPr>
                <w:rFonts w:ascii="Cambria Math" w:eastAsia="DejaVu Sans" w:hAnsi="Cambria Math" w:cs="Times New Roman"/>
                <w:kern w:val="1"/>
                <w:sz w:val="24"/>
                <w:szCs w:val="24"/>
                <w:lang w:val="tr-TR"/>
              </w:rPr>
              <m:t>it</m:t>
            </m:r>
          </m:sub>
        </m:sSub>
        <m:r>
          <w:rPr>
            <w:rFonts w:ascii="Cambria Math" w:eastAsia="DejaVu Sans" w:hAnsi="Cambria Math" w:cs="Times New Roman"/>
            <w:kern w:val="1"/>
            <w:sz w:val="24"/>
            <w:szCs w:val="24"/>
            <w:lang w:val="tr-TR"/>
          </w:rPr>
          <m:t xml:space="preserve">,  </m:t>
        </m:r>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LPOP</m:t>
            </m:r>
          </m:e>
          <m:sub>
            <m:r>
              <w:rPr>
                <w:rFonts w:ascii="Cambria Math" w:eastAsia="DejaVu Sans" w:hAnsi="Cambria Math" w:cs="Times New Roman"/>
                <w:kern w:val="1"/>
                <w:sz w:val="24"/>
                <w:szCs w:val="24"/>
                <w:lang w:val="tr-TR"/>
              </w:rPr>
              <m:t>it</m:t>
            </m:r>
          </m:sub>
        </m:sSub>
        <m:r>
          <w:rPr>
            <w:rFonts w:ascii="Cambria Math" w:eastAsia="DejaVu Sans" w:hAnsi="Cambria Math" w:cs="Times New Roman"/>
            <w:kern w:val="1"/>
            <w:sz w:val="24"/>
            <w:szCs w:val="24"/>
            <w:lang w:val="tr-TR"/>
          </w:rPr>
          <m:t xml:space="preserve">, </m:t>
        </m:r>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LHE</m:t>
            </m:r>
          </m:e>
          <m:sub>
            <m:r>
              <w:rPr>
                <w:rFonts w:ascii="Cambria Math" w:eastAsia="DejaVu Sans" w:hAnsi="Cambria Math" w:cs="Times New Roman"/>
                <w:kern w:val="1"/>
                <w:sz w:val="24"/>
                <w:szCs w:val="24"/>
                <w:lang w:val="tr-TR"/>
              </w:rPr>
              <m:t>it</m:t>
            </m:r>
          </m:sub>
        </m:sSub>
        <m:r>
          <w:rPr>
            <w:rFonts w:ascii="Cambria Math" w:eastAsia="DejaVu Sans" w:hAnsi="Cambria Math" w:cs="Times New Roman"/>
            <w:kern w:val="1"/>
            <w:sz w:val="24"/>
            <w:szCs w:val="24"/>
            <w:lang w:val="tr-TR"/>
          </w:rPr>
          <m:t xml:space="preserve">, </m:t>
        </m:r>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LWATER</m:t>
            </m:r>
          </m:e>
          <m:sub>
            <m:r>
              <w:rPr>
                <w:rFonts w:ascii="Cambria Math" w:eastAsia="DejaVu Sans" w:hAnsi="Cambria Math" w:cs="Times New Roman"/>
                <w:kern w:val="1"/>
                <w:sz w:val="24"/>
                <w:szCs w:val="24"/>
                <w:lang w:val="tr-TR"/>
              </w:rPr>
              <m:t>it</m:t>
            </m:r>
          </m:sub>
        </m:sSub>
      </m:oMath>
      <w:r w:rsidRPr="004A47CE">
        <w:rPr>
          <w:rFonts w:ascii="Times New Roman" w:eastAsia="Times New Roman" w:hAnsi="Times New Roman" w:cs="Times New Roman"/>
          <w:kern w:val="1"/>
          <w:sz w:val="24"/>
          <w:szCs w:val="24"/>
          <w:lang w:val="tr-TR"/>
        </w:rPr>
        <w:t xml:space="preserve"> </w:t>
      </w:r>
      <w:r w:rsidR="000262B0" w:rsidRPr="004A47CE">
        <w:rPr>
          <w:rFonts w:ascii="Times New Roman" w:eastAsia="Times New Roman" w:hAnsi="Times New Roman" w:cs="Times New Roman"/>
          <w:kern w:val="1"/>
          <w:sz w:val="24"/>
          <w:szCs w:val="24"/>
          <w:lang w:val="tr-TR"/>
        </w:rPr>
        <w:t>ve</w:t>
      </w:r>
      <m:oMath>
        <m:r>
          <w:rPr>
            <w:rFonts w:ascii="Cambria Math" w:eastAsia="DejaVu Sans" w:hAnsi="Cambria Math" w:cs="Times New Roman"/>
            <w:kern w:val="1"/>
            <w:sz w:val="24"/>
            <w:szCs w:val="24"/>
            <w:lang w:val="tr-TR"/>
          </w:rPr>
          <m:t xml:space="preserve"> </m:t>
        </m:r>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LEDU</m:t>
            </m:r>
          </m:e>
          <m:sub>
            <m:r>
              <w:rPr>
                <w:rFonts w:ascii="Cambria Math" w:eastAsia="DejaVu Sans" w:hAnsi="Cambria Math" w:cs="Times New Roman"/>
                <w:kern w:val="1"/>
                <w:sz w:val="24"/>
                <w:szCs w:val="24"/>
                <w:lang w:val="tr-TR"/>
              </w:rPr>
              <m:t>it</m:t>
            </m:r>
          </m:sub>
        </m:sSub>
        <m:r>
          <w:rPr>
            <w:rFonts w:ascii="Cambria Math" w:eastAsia="DejaVu Sans" w:hAnsi="Cambria Math" w:cs="Times New Roman"/>
            <w:kern w:val="1"/>
            <w:sz w:val="24"/>
            <w:szCs w:val="24"/>
            <w:lang w:val="tr-TR"/>
          </w:rPr>
          <m:t xml:space="preserve">  </m:t>
        </m:r>
      </m:oMath>
      <w:r w:rsidR="000262B0" w:rsidRPr="004A47CE">
        <w:rPr>
          <w:rFonts w:ascii="Times New Roman" w:eastAsia="Times New Roman" w:hAnsi="Times New Roman" w:cs="Times New Roman"/>
          <w:kern w:val="1"/>
          <w:sz w:val="24"/>
          <w:szCs w:val="24"/>
          <w:lang w:val="tr-TR"/>
        </w:rPr>
        <w:t xml:space="preserve"> </w:t>
      </w:r>
      <w:r w:rsidRPr="004A47CE">
        <w:rPr>
          <w:rFonts w:ascii="Times New Roman" w:eastAsia="Times New Roman" w:hAnsi="Times New Roman" w:cs="Times New Roman"/>
          <w:kern w:val="1"/>
          <w:sz w:val="24"/>
          <w:szCs w:val="24"/>
          <w:lang w:val="tr-TR"/>
        </w:rPr>
        <w:t xml:space="preserve">açıklayıcı değişkenlerdir. </w:t>
      </w:r>
      <m:oMath>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ε</m:t>
            </m:r>
          </m:e>
          <m:sub>
            <m:r>
              <w:rPr>
                <w:rFonts w:ascii="Cambria Math" w:eastAsia="DejaVu Sans" w:hAnsi="Cambria Math" w:cs="Times New Roman"/>
                <w:kern w:val="1"/>
                <w:sz w:val="24"/>
                <w:szCs w:val="24"/>
                <w:lang w:val="tr-TR"/>
              </w:rPr>
              <m:t>it</m:t>
            </m:r>
          </m:sub>
        </m:sSub>
      </m:oMath>
      <w:r w:rsidRPr="004A47CE">
        <w:rPr>
          <w:rFonts w:ascii="Times New Roman" w:eastAsia="Times New Roman" w:hAnsi="Times New Roman" w:cs="Times New Roman"/>
          <w:kern w:val="1"/>
          <w:sz w:val="24"/>
          <w:szCs w:val="24"/>
          <w:lang w:val="tr-TR"/>
        </w:rPr>
        <w:t xml:space="preserve"> hata terimi, </w:t>
      </w:r>
      <w:r w:rsidRPr="004A47CE">
        <w:rPr>
          <w:rFonts w:ascii="Times New Roman" w:eastAsia="DejaVu Sans" w:hAnsi="Times New Roman" w:cs="Times New Roman"/>
          <w:kern w:val="1"/>
          <w:sz w:val="24"/>
          <w:szCs w:val="24"/>
          <w:lang w:val="tr-TR"/>
        </w:rPr>
        <w:t>i ve t alt indisleri ise sırasıyla paneldeki ülkele</w:t>
      </w:r>
      <w:r w:rsidR="00982AE4">
        <w:rPr>
          <w:rFonts w:ascii="Times New Roman" w:eastAsia="DejaVu Sans" w:hAnsi="Times New Roman" w:cs="Times New Roman"/>
          <w:kern w:val="1"/>
          <w:sz w:val="24"/>
          <w:szCs w:val="24"/>
          <w:lang w:val="tr-TR"/>
        </w:rPr>
        <w:t>ri ve zamanı temsil etmektedir.</w:t>
      </w:r>
    </w:p>
    <w:p w14:paraId="09119B33" w14:textId="4F1904F3" w:rsidR="005928E4" w:rsidRPr="00965FBD" w:rsidRDefault="002870BE" w:rsidP="00965FBD">
      <w:pPr>
        <w:pStyle w:val="1"/>
        <w:rPr>
          <w:rFonts w:ascii="Times New Roman" w:eastAsia="DejaVu Sans" w:hAnsi="Times New Roman" w:cs="Times New Roman"/>
          <w:b/>
          <w:color w:val="auto"/>
          <w:sz w:val="24"/>
          <w:szCs w:val="24"/>
          <w:lang w:val="tr-TR" w:eastAsia="hi-IN"/>
        </w:rPr>
      </w:pPr>
      <w:r w:rsidRPr="00965FBD">
        <w:rPr>
          <w:rFonts w:ascii="Times New Roman" w:eastAsia="DejaVu Sans" w:hAnsi="Times New Roman" w:cs="Times New Roman"/>
          <w:b/>
          <w:color w:val="auto"/>
          <w:sz w:val="24"/>
          <w:szCs w:val="24"/>
          <w:lang w:val="tr-TR" w:eastAsia="hi-IN"/>
        </w:rPr>
        <w:t>4.METODOLOJİ VE BULGULAR</w:t>
      </w:r>
    </w:p>
    <w:p w14:paraId="2AF02B4A" w14:textId="05D1C4D3" w:rsidR="002E62DF" w:rsidRPr="004A47CE" w:rsidRDefault="002E62DF" w:rsidP="004A47CE">
      <w:pPr>
        <w:spacing w:after="120" w:line="240" w:lineRule="auto"/>
        <w:ind w:firstLine="709"/>
        <w:jc w:val="both"/>
        <w:rPr>
          <w:rFonts w:ascii="Times New Roman" w:eastAsia="DejaVu Sans" w:hAnsi="Times New Roman" w:cs="Times New Roman"/>
          <w:color w:val="000000" w:themeColor="text1"/>
          <w:kern w:val="1"/>
          <w:sz w:val="24"/>
          <w:szCs w:val="24"/>
          <w:lang w:val="tr-TR" w:eastAsia="hi-IN" w:bidi="hi-IN"/>
        </w:rPr>
      </w:pPr>
      <w:r w:rsidRPr="004A47CE">
        <w:rPr>
          <w:rFonts w:ascii="Times New Roman" w:eastAsia="DejaVu Sans" w:hAnsi="Times New Roman" w:cs="Times New Roman"/>
          <w:color w:val="000000" w:themeColor="text1"/>
          <w:kern w:val="1"/>
          <w:sz w:val="24"/>
          <w:szCs w:val="24"/>
          <w:lang w:val="tr-TR" w:eastAsia="hi-IN" w:bidi="hi-IN"/>
        </w:rPr>
        <w:t xml:space="preserve">Bu çalışmada </w:t>
      </w:r>
      <w:r w:rsidR="00AF7D9B" w:rsidRPr="004A47CE">
        <w:rPr>
          <w:rFonts w:ascii="Times New Roman" w:eastAsia="DejaVu Sans" w:hAnsi="Times New Roman" w:cs="Times New Roman"/>
          <w:color w:val="000000" w:themeColor="text1"/>
          <w:kern w:val="1"/>
          <w:sz w:val="24"/>
          <w:szCs w:val="24"/>
          <w:lang w:val="tr-TR" w:eastAsia="hi-IN" w:bidi="hi-IN"/>
        </w:rPr>
        <w:t>kadın ve erkekler</w:t>
      </w:r>
      <w:r w:rsidR="002D4EDB" w:rsidRPr="004A47CE">
        <w:rPr>
          <w:rFonts w:ascii="Times New Roman" w:eastAsia="DejaVu Sans" w:hAnsi="Times New Roman" w:cs="Times New Roman"/>
          <w:color w:val="000000" w:themeColor="text1"/>
          <w:kern w:val="1"/>
          <w:sz w:val="24"/>
          <w:szCs w:val="24"/>
          <w:lang w:val="tr-TR" w:eastAsia="hi-IN" w:bidi="hi-IN"/>
        </w:rPr>
        <w:t>in</w:t>
      </w:r>
      <w:r w:rsidR="00AF7D9B" w:rsidRPr="004A47CE">
        <w:rPr>
          <w:rFonts w:ascii="Times New Roman" w:eastAsia="DejaVu Sans" w:hAnsi="Times New Roman" w:cs="Times New Roman"/>
          <w:color w:val="000000" w:themeColor="text1"/>
          <w:kern w:val="1"/>
          <w:sz w:val="24"/>
          <w:szCs w:val="24"/>
          <w:lang w:val="tr-TR" w:eastAsia="hi-IN" w:bidi="hi-IN"/>
        </w:rPr>
        <w:t xml:space="preserve"> beklenen yaşam sürelerini etkilediği düşünülen değişkenler arasındaki ilişkileri belirleyebilmek amacıyla</w:t>
      </w:r>
      <w:r w:rsidR="00F674E3" w:rsidRPr="004A47CE">
        <w:rPr>
          <w:rFonts w:ascii="Times New Roman" w:eastAsia="DejaVu Sans" w:hAnsi="Times New Roman" w:cs="Times New Roman"/>
          <w:color w:val="000000" w:themeColor="text1"/>
          <w:kern w:val="1"/>
          <w:sz w:val="24"/>
          <w:szCs w:val="24"/>
          <w:lang w:val="tr-TR" w:eastAsia="hi-IN" w:bidi="hi-IN"/>
        </w:rPr>
        <w:t xml:space="preserve">, </w:t>
      </w:r>
      <w:r w:rsidR="00AF7D9B" w:rsidRPr="004A47CE">
        <w:rPr>
          <w:rFonts w:ascii="Times New Roman" w:eastAsia="DejaVu Sans" w:hAnsi="Times New Roman" w:cs="Times New Roman"/>
          <w:color w:val="000000" w:themeColor="text1"/>
          <w:kern w:val="1"/>
          <w:sz w:val="24"/>
          <w:szCs w:val="24"/>
          <w:lang w:val="tr-TR" w:eastAsia="hi-IN" w:bidi="hi-IN"/>
        </w:rPr>
        <w:t xml:space="preserve"> </w:t>
      </w:r>
      <w:r w:rsidR="00E071F1">
        <w:rPr>
          <w:rFonts w:ascii="Times New Roman" w:eastAsia="DejaVu Sans" w:hAnsi="Times New Roman" w:cs="Times New Roman"/>
          <w:color w:val="000000" w:themeColor="text1"/>
          <w:kern w:val="1"/>
          <w:sz w:val="24"/>
          <w:szCs w:val="24"/>
          <w:lang w:val="tr-TR" w:eastAsia="hi-IN" w:bidi="hi-IN"/>
        </w:rPr>
        <w:t>Pesaran ve diğ.</w:t>
      </w:r>
      <w:r w:rsidR="00F674E3" w:rsidRPr="004A47CE">
        <w:rPr>
          <w:rFonts w:ascii="Times New Roman" w:eastAsia="DejaVu Sans" w:hAnsi="Times New Roman" w:cs="Times New Roman"/>
          <w:color w:val="000000" w:themeColor="text1"/>
          <w:kern w:val="1"/>
          <w:sz w:val="24"/>
          <w:szCs w:val="24"/>
          <w:lang w:val="tr-TR" w:eastAsia="hi-IN" w:bidi="hi-IN"/>
        </w:rPr>
        <w:t xml:space="preserve"> (1999) tarafından önerilen Panel Otoregresif Gecikmesi Dağıtılmış (Autoregressive Distributed Lags, ARDL) modeli</w:t>
      </w:r>
      <w:r w:rsidR="00AF7D9B" w:rsidRPr="004A47CE">
        <w:rPr>
          <w:rFonts w:ascii="Times New Roman" w:eastAsia="DejaVu Sans" w:hAnsi="Times New Roman" w:cs="Times New Roman"/>
          <w:color w:val="000000" w:themeColor="text1"/>
          <w:kern w:val="1"/>
          <w:sz w:val="24"/>
          <w:szCs w:val="24"/>
          <w:lang w:val="tr-TR" w:eastAsia="hi-IN" w:bidi="hi-IN"/>
        </w:rPr>
        <w:t xml:space="preserve"> </w:t>
      </w:r>
      <w:r w:rsidRPr="004A47CE">
        <w:rPr>
          <w:rFonts w:ascii="Times New Roman" w:eastAsia="DejaVu Sans" w:hAnsi="Times New Roman" w:cs="Times New Roman"/>
          <w:color w:val="000000" w:themeColor="text1"/>
          <w:kern w:val="1"/>
          <w:sz w:val="24"/>
          <w:szCs w:val="24"/>
          <w:lang w:val="tr-TR" w:eastAsia="hi-IN" w:bidi="hi-IN"/>
        </w:rPr>
        <w:t>ku</w:t>
      </w:r>
      <w:r w:rsidR="00B07F37" w:rsidRPr="004A47CE">
        <w:rPr>
          <w:rFonts w:ascii="Times New Roman" w:eastAsia="DejaVu Sans" w:hAnsi="Times New Roman" w:cs="Times New Roman"/>
          <w:color w:val="000000" w:themeColor="text1"/>
          <w:kern w:val="1"/>
          <w:sz w:val="24"/>
          <w:szCs w:val="24"/>
          <w:lang w:val="tr-TR" w:eastAsia="hi-IN" w:bidi="hi-IN"/>
        </w:rPr>
        <w:t xml:space="preserve">llanılacaktır. </w:t>
      </w:r>
      <w:r w:rsidR="00F674E3" w:rsidRPr="004A47CE">
        <w:rPr>
          <w:rFonts w:ascii="Times New Roman" w:eastAsia="DejaVu Sans" w:hAnsi="Times New Roman" w:cs="Times New Roman"/>
          <w:color w:val="000000" w:themeColor="text1"/>
          <w:kern w:val="1"/>
          <w:sz w:val="24"/>
          <w:szCs w:val="24"/>
          <w:lang w:val="tr-TR" w:eastAsia="hi-IN" w:bidi="hi-IN"/>
        </w:rPr>
        <w:t>Panel ARDL modelinin tahmini için</w:t>
      </w:r>
      <w:r w:rsidR="00B07F37" w:rsidRPr="004A47CE">
        <w:rPr>
          <w:rFonts w:ascii="Times New Roman" w:eastAsia="DejaVu Sans" w:hAnsi="Times New Roman" w:cs="Times New Roman"/>
          <w:color w:val="000000" w:themeColor="text1"/>
          <w:kern w:val="1"/>
          <w:sz w:val="24"/>
          <w:szCs w:val="24"/>
          <w:lang w:val="tr-TR" w:eastAsia="hi-IN" w:bidi="hi-IN"/>
        </w:rPr>
        <w:t xml:space="preserve"> aşağıdak</w:t>
      </w:r>
      <w:r w:rsidR="00AF7D9B" w:rsidRPr="004A47CE">
        <w:rPr>
          <w:rFonts w:ascii="Times New Roman" w:eastAsia="DejaVu Sans" w:hAnsi="Times New Roman" w:cs="Times New Roman"/>
          <w:color w:val="000000" w:themeColor="text1"/>
          <w:kern w:val="1"/>
          <w:sz w:val="24"/>
          <w:szCs w:val="24"/>
          <w:lang w:val="tr-TR" w:eastAsia="hi-IN" w:bidi="hi-IN"/>
        </w:rPr>
        <w:t>i</w:t>
      </w:r>
      <w:r w:rsidR="00154E93" w:rsidRPr="004A47CE">
        <w:rPr>
          <w:rFonts w:ascii="Times New Roman" w:eastAsia="DejaVu Sans" w:hAnsi="Times New Roman" w:cs="Times New Roman"/>
          <w:color w:val="000000" w:themeColor="text1"/>
          <w:kern w:val="1"/>
          <w:sz w:val="24"/>
          <w:szCs w:val="24"/>
          <w:lang w:val="tr-TR" w:eastAsia="hi-IN" w:bidi="hi-IN"/>
        </w:rPr>
        <w:t xml:space="preserve"> gibi adımlar </w:t>
      </w:r>
      <w:r w:rsidR="00B07F37" w:rsidRPr="004A47CE">
        <w:rPr>
          <w:rFonts w:ascii="Times New Roman" w:eastAsia="DejaVu Sans" w:hAnsi="Times New Roman" w:cs="Times New Roman"/>
          <w:color w:val="000000" w:themeColor="text1"/>
          <w:kern w:val="1"/>
          <w:sz w:val="24"/>
          <w:szCs w:val="24"/>
          <w:lang w:val="tr-TR" w:eastAsia="hi-IN" w:bidi="hi-IN"/>
        </w:rPr>
        <w:t xml:space="preserve">takip edilecektir. İlk önce seriler arasında </w:t>
      </w:r>
      <w:r w:rsidR="00F674E3" w:rsidRPr="004A47CE">
        <w:rPr>
          <w:rFonts w:ascii="Times New Roman" w:eastAsia="DejaVu Sans" w:hAnsi="Times New Roman" w:cs="Times New Roman"/>
          <w:color w:val="000000" w:themeColor="text1"/>
          <w:kern w:val="1"/>
          <w:sz w:val="24"/>
          <w:szCs w:val="24"/>
          <w:lang w:val="tr-TR" w:eastAsia="hi-IN" w:bidi="hi-IN"/>
        </w:rPr>
        <w:t>y</w:t>
      </w:r>
      <w:r w:rsidR="00E55276" w:rsidRPr="004A47CE">
        <w:rPr>
          <w:rFonts w:ascii="Times New Roman" w:eastAsia="DejaVu Sans" w:hAnsi="Times New Roman" w:cs="Times New Roman"/>
          <w:color w:val="000000" w:themeColor="text1"/>
          <w:kern w:val="1"/>
          <w:sz w:val="24"/>
          <w:szCs w:val="24"/>
          <w:lang w:val="tr-TR" w:eastAsia="hi-IN" w:bidi="hi-IN"/>
        </w:rPr>
        <w:t>atay kesit bağımlılığın</w:t>
      </w:r>
      <w:r w:rsidR="00B07F37" w:rsidRPr="004A47CE">
        <w:rPr>
          <w:rFonts w:ascii="Times New Roman" w:eastAsia="DejaVu Sans" w:hAnsi="Times New Roman" w:cs="Times New Roman"/>
          <w:color w:val="000000" w:themeColor="text1"/>
          <w:kern w:val="1"/>
          <w:sz w:val="24"/>
          <w:szCs w:val="24"/>
          <w:lang w:val="tr-TR" w:eastAsia="hi-IN" w:bidi="hi-IN"/>
        </w:rPr>
        <w:t xml:space="preserve"> söz konusu olup olmadığı ele alınacaktır. Daha sonra elde edilen sonuç</w:t>
      </w:r>
      <w:r w:rsidR="00737107" w:rsidRPr="004A47CE">
        <w:rPr>
          <w:rFonts w:ascii="Times New Roman" w:eastAsia="DejaVu Sans" w:hAnsi="Times New Roman" w:cs="Times New Roman"/>
          <w:color w:val="000000" w:themeColor="text1"/>
          <w:kern w:val="1"/>
          <w:sz w:val="24"/>
          <w:szCs w:val="24"/>
          <w:lang w:val="tr-TR" w:eastAsia="hi-IN" w:bidi="hi-IN"/>
        </w:rPr>
        <w:t>lar</w:t>
      </w:r>
      <w:r w:rsidR="00B07F37" w:rsidRPr="004A47CE">
        <w:rPr>
          <w:rFonts w:ascii="Times New Roman" w:eastAsia="DejaVu Sans" w:hAnsi="Times New Roman" w:cs="Times New Roman"/>
          <w:color w:val="000000" w:themeColor="text1"/>
          <w:kern w:val="1"/>
          <w:sz w:val="24"/>
          <w:szCs w:val="24"/>
          <w:lang w:val="tr-TR" w:eastAsia="hi-IN" w:bidi="hi-IN"/>
        </w:rPr>
        <w:t xml:space="preserve"> dikkate alınarak </w:t>
      </w:r>
      <w:r w:rsidR="00F674E3" w:rsidRPr="004A47CE">
        <w:rPr>
          <w:rFonts w:ascii="Times New Roman" w:eastAsia="DejaVu Sans" w:hAnsi="Times New Roman" w:cs="Times New Roman"/>
          <w:color w:val="000000" w:themeColor="text1"/>
          <w:kern w:val="1"/>
          <w:sz w:val="24"/>
          <w:szCs w:val="24"/>
          <w:lang w:val="tr-TR" w:eastAsia="hi-IN" w:bidi="hi-IN"/>
        </w:rPr>
        <w:t xml:space="preserve">bütünleme derecelerinin belirlenmesi için </w:t>
      </w:r>
      <w:r w:rsidR="001E7744" w:rsidRPr="004A47CE">
        <w:rPr>
          <w:rFonts w:ascii="Times New Roman" w:eastAsia="DejaVu Sans" w:hAnsi="Times New Roman" w:cs="Times New Roman"/>
          <w:color w:val="000000" w:themeColor="text1"/>
          <w:kern w:val="1"/>
          <w:sz w:val="24"/>
          <w:szCs w:val="24"/>
          <w:lang w:val="tr-TR" w:eastAsia="hi-IN" w:bidi="hi-IN"/>
        </w:rPr>
        <w:t xml:space="preserve">panel </w:t>
      </w:r>
      <w:r w:rsidR="00B07F37" w:rsidRPr="004A47CE">
        <w:rPr>
          <w:rFonts w:ascii="Times New Roman" w:eastAsia="DejaVu Sans" w:hAnsi="Times New Roman" w:cs="Times New Roman"/>
          <w:color w:val="000000" w:themeColor="text1"/>
          <w:kern w:val="1"/>
          <w:sz w:val="24"/>
          <w:szCs w:val="24"/>
          <w:lang w:val="tr-TR" w:eastAsia="hi-IN" w:bidi="hi-IN"/>
        </w:rPr>
        <w:t>biri</w:t>
      </w:r>
      <w:r w:rsidR="00BE0FBA" w:rsidRPr="004A47CE">
        <w:rPr>
          <w:rFonts w:ascii="Times New Roman" w:eastAsia="DejaVu Sans" w:hAnsi="Times New Roman" w:cs="Times New Roman"/>
          <w:color w:val="000000" w:themeColor="text1"/>
          <w:kern w:val="1"/>
          <w:sz w:val="24"/>
          <w:szCs w:val="24"/>
          <w:lang w:val="tr-TR" w:eastAsia="hi-IN" w:bidi="hi-IN"/>
        </w:rPr>
        <w:t xml:space="preserve">m kök analizi yapılacaktır. </w:t>
      </w:r>
      <w:r w:rsidR="00FF57B2" w:rsidRPr="004A47CE">
        <w:rPr>
          <w:rFonts w:ascii="Times New Roman" w:eastAsia="DejaVu Sans" w:hAnsi="Times New Roman" w:cs="Times New Roman"/>
          <w:color w:val="000000" w:themeColor="text1"/>
          <w:kern w:val="1"/>
          <w:sz w:val="24"/>
          <w:szCs w:val="24"/>
          <w:lang w:val="tr-TR" w:eastAsia="hi-IN" w:bidi="hi-IN"/>
        </w:rPr>
        <w:t>Panel ARDL modeli, serilerin bütünleme dereceleri farklı I (0) ve I(1) olduğu durumlarda</w:t>
      </w:r>
      <w:r w:rsidR="00F674E3" w:rsidRPr="004A47CE">
        <w:rPr>
          <w:rFonts w:ascii="Times New Roman" w:eastAsia="DejaVu Sans" w:hAnsi="Times New Roman" w:cs="Times New Roman"/>
          <w:color w:val="000000" w:themeColor="text1"/>
          <w:kern w:val="1"/>
          <w:sz w:val="24"/>
          <w:szCs w:val="24"/>
          <w:lang w:val="tr-TR" w:eastAsia="hi-IN" w:bidi="hi-IN"/>
        </w:rPr>
        <w:t xml:space="preserve"> </w:t>
      </w:r>
      <w:r w:rsidR="00FF57B2" w:rsidRPr="004A47CE">
        <w:rPr>
          <w:rFonts w:ascii="Times New Roman" w:eastAsia="DejaVu Sans" w:hAnsi="Times New Roman" w:cs="Times New Roman"/>
          <w:color w:val="000000" w:themeColor="text1"/>
          <w:kern w:val="1"/>
          <w:sz w:val="24"/>
          <w:szCs w:val="24"/>
          <w:lang w:val="tr-TR" w:eastAsia="hi-IN" w:bidi="hi-IN"/>
        </w:rPr>
        <w:t xml:space="preserve">kullanılmaktadır. </w:t>
      </w:r>
      <w:r w:rsidR="00CE4504" w:rsidRPr="004A47CE">
        <w:rPr>
          <w:rFonts w:ascii="Times New Roman" w:eastAsia="DejaVu Sans" w:hAnsi="Times New Roman" w:cs="Times New Roman"/>
          <w:color w:val="000000" w:themeColor="text1"/>
          <w:kern w:val="1"/>
          <w:sz w:val="24"/>
          <w:szCs w:val="24"/>
          <w:lang w:val="tr-TR" w:eastAsia="hi-IN" w:bidi="hi-IN"/>
        </w:rPr>
        <w:t>Serilerin I(2) ikinci dereceden bütünlenen olmaması söz konusu yöntemin kullanılabilmesi için bir ön koşuldur</w:t>
      </w:r>
      <w:r w:rsidR="00F25ECE" w:rsidRPr="004A47CE">
        <w:rPr>
          <w:rFonts w:ascii="Times New Roman" w:eastAsia="DejaVu Sans" w:hAnsi="Times New Roman" w:cs="Times New Roman"/>
          <w:color w:val="000000" w:themeColor="text1"/>
          <w:kern w:val="1"/>
          <w:sz w:val="24"/>
          <w:szCs w:val="24"/>
          <w:lang w:val="tr-TR" w:eastAsia="hi-IN" w:bidi="hi-IN"/>
        </w:rPr>
        <w:t xml:space="preserve"> (Bhutto ve Chang, 2018)</w:t>
      </w:r>
      <w:r w:rsidR="00CE4504" w:rsidRPr="004A47CE">
        <w:rPr>
          <w:rFonts w:ascii="Times New Roman" w:eastAsia="DejaVu Sans" w:hAnsi="Times New Roman" w:cs="Times New Roman"/>
          <w:color w:val="000000" w:themeColor="text1"/>
          <w:kern w:val="1"/>
          <w:sz w:val="24"/>
          <w:szCs w:val="24"/>
          <w:lang w:val="tr-TR" w:eastAsia="hi-IN" w:bidi="hi-IN"/>
        </w:rPr>
        <w:t xml:space="preserve">. </w:t>
      </w:r>
      <w:r w:rsidR="00B43CB0" w:rsidRPr="004A47CE">
        <w:rPr>
          <w:rFonts w:ascii="Times New Roman" w:eastAsia="DejaVu Sans" w:hAnsi="Times New Roman" w:cs="Times New Roman"/>
          <w:color w:val="000000" w:themeColor="text1"/>
          <w:kern w:val="1"/>
          <w:sz w:val="24"/>
          <w:szCs w:val="24"/>
          <w:lang w:val="tr-TR" w:eastAsia="hi-IN" w:bidi="hi-IN"/>
        </w:rPr>
        <w:t>Çoğu kez seriler farklı dereceden bütünlenen oldukları için panel ARDL modelinin kullanılması uygundur</w:t>
      </w:r>
      <w:r w:rsidR="009323E4" w:rsidRPr="004A47CE">
        <w:rPr>
          <w:rFonts w:ascii="Times New Roman" w:eastAsia="DejaVu Sans" w:hAnsi="Times New Roman" w:cs="Times New Roman"/>
          <w:color w:val="000000" w:themeColor="text1"/>
          <w:kern w:val="1"/>
          <w:sz w:val="24"/>
          <w:szCs w:val="24"/>
          <w:lang w:val="tr-TR" w:eastAsia="hi-IN" w:bidi="hi-IN"/>
        </w:rPr>
        <w:t xml:space="preserve"> </w:t>
      </w:r>
      <w:r w:rsidR="009323E4" w:rsidRPr="004A47CE">
        <w:rPr>
          <w:rFonts w:ascii="Times New Roman" w:hAnsi="Times New Roman" w:cs="Times New Roman"/>
          <w:color w:val="000000" w:themeColor="text1"/>
          <w:sz w:val="24"/>
          <w:szCs w:val="24"/>
          <w:lang w:val="tr-TR"/>
        </w:rPr>
        <w:t>(</w:t>
      </w:r>
      <w:r w:rsidR="00E919C8" w:rsidRPr="004A47CE">
        <w:rPr>
          <w:rFonts w:ascii="Times New Roman" w:eastAsia="DejaVu Sans" w:hAnsi="Times New Roman" w:cs="Times New Roman"/>
          <w:color w:val="000000" w:themeColor="text1"/>
          <w:kern w:val="1"/>
          <w:sz w:val="24"/>
          <w:szCs w:val="24"/>
          <w:lang w:val="tr-TR" w:eastAsia="hi-IN" w:bidi="hi-IN"/>
        </w:rPr>
        <w:t xml:space="preserve">Anjum </w:t>
      </w:r>
      <w:r w:rsidR="00E071F1">
        <w:rPr>
          <w:rFonts w:ascii="Times New Roman" w:eastAsia="DejaVu Sans" w:hAnsi="Times New Roman" w:cs="Times New Roman"/>
          <w:color w:val="000000" w:themeColor="text1"/>
          <w:kern w:val="1"/>
          <w:sz w:val="24"/>
          <w:szCs w:val="24"/>
          <w:lang w:val="tr-TR" w:eastAsia="hi-IN" w:bidi="hi-IN"/>
        </w:rPr>
        <w:t>ve diğ.</w:t>
      </w:r>
      <w:r w:rsidR="00F25ECE" w:rsidRPr="004A47CE">
        <w:rPr>
          <w:rFonts w:ascii="Times New Roman" w:eastAsia="DejaVu Sans" w:hAnsi="Times New Roman" w:cs="Times New Roman"/>
          <w:color w:val="000000" w:themeColor="text1"/>
          <w:kern w:val="1"/>
          <w:sz w:val="24"/>
          <w:szCs w:val="24"/>
          <w:lang w:val="tr-TR" w:eastAsia="hi-IN" w:bidi="hi-IN"/>
        </w:rPr>
        <w:t xml:space="preserve"> 2017; Chang ve</w:t>
      </w:r>
      <w:r w:rsidR="007E37E6" w:rsidRPr="004A47CE">
        <w:rPr>
          <w:rFonts w:ascii="Times New Roman" w:eastAsia="DejaVu Sans" w:hAnsi="Times New Roman" w:cs="Times New Roman"/>
          <w:color w:val="000000" w:themeColor="text1"/>
          <w:kern w:val="1"/>
          <w:sz w:val="24"/>
          <w:szCs w:val="24"/>
          <w:lang w:val="tr-TR" w:eastAsia="hi-IN" w:bidi="hi-IN"/>
        </w:rPr>
        <w:t xml:space="preserve"> Rajput, 2018</w:t>
      </w:r>
      <w:r w:rsidR="009323E4" w:rsidRPr="004A47CE">
        <w:rPr>
          <w:rFonts w:ascii="Times New Roman" w:eastAsia="DejaVu Sans" w:hAnsi="Times New Roman" w:cs="Times New Roman"/>
          <w:color w:val="000000" w:themeColor="text1"/>
          <w:kern w:val="1"/>
          <w:sz w:val="24"/>
          <w:szCs w:val="24"/>
          <w:lang w:val="tr-TR" w:eastAsia="hi-IN" w:bidi="hi-IN"/>
        </w:rPr>
        <w:t xml:space="preserve">). </w:t>
      </w:r>
      <w:r w:rsidR="00B43CB0" w:rsidRPr="004A47CE">
        <w:rPr>
          <w:rFonts w:ascii="Times New Roman" w:eastAsia="DejaVu Sans" w:hAnsi="Times New Roman" w:cs="Times New Roman"/>
          <w:color w:val="000000" w:themeColor="text1"/>
          <w:kern w:val="1"/>
          <w:sz w:val="24"/>
          <w:szCs w:val="24"/>
          <w:lang w:val="tr-TR" w:eastAsia="hi-IN" w:bidi="hi-IN"/>
        </w:rPr>
        <w:t>Diğer yandan gözlem sayısının az olduğu durumlar</w:t>
      </w:r>
      <w:r w:rsidR="00CB2C7E" w:rsidRPr="004A47CE">
        <w:rPr>
          <w:rFonts w:ascii="Times New Roman" w:eastAsia="DejaVu Sans" w:hAnsi="Times New Roman" w:cs="Times New Roman"/>
          <w:color w:val="000000" w:themeColor="text1"/>
          <w:kern w:val="1"/>
          <w:sz w:val="24"/>
          <w:szCs w:val="24"/>
          <w:lang w:val="tr-TR" w:eastAsia="hi-IN" w:bidi="hi-IN"/>
        </w:rPr>
        <w:t>da da etkin</w:t>
      </w:r>
      <w:r w:rsidR="00CE4504" w:rsidRPr="004A47CE">
        <w:rPr>
          <w:rFonts w:ascii="Times New Roman" w:eastAsia="DejaVu Sans" w:hAnsi="Times New Roman" w:cs="Times New Roman"/>
          <w:color w:val="000000" w:themeColor="text1"/>
          <w:kern w:val="1"/>
          <w:sz w:val="24"/>
          <w:szCs w:val="24"/>
          <w:lang w:val="tr-TR" w:eastAsia="hi-IN" w:bidi="hi-IN"/>
        </w:rPr>
        <w:t xml:space="preserve"> ve tutarlı </w:t>
      </w:r>
      <w:r w:rsidR="00CB2C7E" w:rsidRPr="004A47CE">
        <w:rPr>
          <w:rFonts w:ascii="Times New Roman" w:eastAsia="DejaVu Sans" w:hAnsi="Times New Roman" w:cs="Times New Roman"/>
          <w:color w:val="000000" w:themeColor="text1"/>
          <w:kern w:val="1"/>
          <w:sz w:val="24"/>
          <w:szCs w:val="24"/>
          <w:lang w:val="tr-TR" w:eastAsia="hi-IN" w:bidi="hi-IN"/>
        </w:rPr>
        <w:t xml:space="preserve"> sonuçlar elde edilebilmektedir</w:t>
      </w:r>
      <w:r w:rsidR="00E919C8" w:rsidRPr="004A47CE">
        <w:rPr>
          <w:rFonts w:ascii="Times New Roman" w:eastAsia="DejaVu Sans" w:hAnsi="Times New Roman" w:cs="Times New Roman"/>
          <w:color w:val="000000" w:themeColor="text1"/>
          <w:kern w:val="1"/>
          <w:sz w:val="24"/>
          <w:szCs w:val="24"/>
          <w:lang w:val="tr-TR" w:eastAsia="hi-IN" w:bidi="hi-IN"/>
        </w:rPr>
        <w:t xml:space="preserve"> (Sahoo </w:t>
      </w:r>
      <w:r w:rsidR="00E071F1">
        <w:rPr>
          <w:rFonts w:ascii="Times New Roman" w:eastAsia="DejaVu Sans" w:hAnsi="Times New Roman" w:cs="Times New Roman"/>
          <w:color w:val="000000" w:themeColor="text1"/>
          <w:kern w:val="1"/>
          <w:sz w:val="24"/>
          <w:szCs w:val="24"/>
          <w:lang w:val="tr-TR" w:eastAsia="hi-IN" w:bidi="hi-IN"/>
        </w:rPr>
        <w:t>ve diğ.</w:t>
      </w:r>
      <w:r w:rsidR="00E919C8" w:rsidRPr="004A47CE">
        <w:rPr>
          <w:rFonts w:ascii="Times New Roman" w:eastAsia="DejaVu Sans" w:hAnsi="Times New Roman" w:cs="Times New Roman"/>
          <w:color w:val="000000" w:themeColor="text1"/>
          <w:kern w:val="1"/>
          <w:sz w:val="24"/>
          <w:szCs w:val="24"/>
          <w:lang w:val="tr-TR" w:eastAsia="hi-IN" w:bidi="hi-IN"/>
        </w:rPr>
        <w:t xml:space="preserve"> 2019)</w:t>
      </w:r>
      <w:r w:rsidR="00B43CB0" w:rsidRPr="004A47CE">
        <w:rPr>
          <w:rFonts w:ascii="Times New Roman" w:eastAsia="DejaVu Sans" w:hAnsi="Times New Roman" w:cs="Times New Roman"/>
          <w:color w:val="000000" w:themeColor="text1"/>
          <w:kern w:val="1"/>
          <w:sz w:val="24"/>
          <w:szCs w:val="24"/>
          <w:lang w:val="tr-TR" w:eastAsia="hi-IN" w:bidi="hi-IN"/>
        </w:rPr>
        <w:t xml:space="preserve">. Dolayısıyla </w:t>
      </w:r>
      <w:r w:rsidR="00E919C8" w:rsidRPr="004A47CE">
        <w:rPr>
          <w:rFonts w:ascii="Times New Roman" w:eastAsia="DejaVu Sans" w:hAnsi="Times New Roman" w:cs="Times New Roman"/>
          <w:color w:val="000000" w:themeColor="text1"/>
          <w:kern w:val="1"/>
          <w:sz w:val="24"/>
          <w:szCs w:val="24"/>
          <w:lang w:val="tr-TR" w:eastAsia="hi-IN" w:bidi="hi-IN"/>
        </w:rPr>
        <w:t xml:space="preserve">panel ARDL modeli </w:t>
      </w:r>
      <w:r w:rsidR="00B43CB0" w:rsidRPr="004A47CE">
        <w:rPr>
          <w:rFonts w:ascii="Times New Roman" w:eastAsia="DejaVu Sans" w:hAnsi="Times New Roman" w:cs="Times New Roman"/>
          <w:color w:val="000000" w:themeColor="text1"/>
          <w:kern w:val="1"/>
          <w:sz w:val="24"/>
          <w:szCs w:val="24"/>
          <w:lang w:val="tr-TR" w:eastAsia="hi-IN" w:bidi="hi-IN"/>
        </w:rPr>
        <w:t>değişkenler arasındaki uzun dönem ilişkilerin ortaya konulmasında çok sık kullanılan yaklaşım olarak karşımıza çıkmaktadır.</w:t>
      </w:r>
    </w:p>
    <w:p w14:paraId="22E930F8" w14:textId="04974AF1" w:rsidR="0024435A" w:rsidRPr="004A47CE" w:rsidRDefault="0064202A" w:rsidP="004A47CE">
      <w:pPr>
        <w:spacing w:after="120" w:line="240" w:lineRule="auto"/>
        <w:ind w:firstLine="709"/>
        <w:jc w:val="both"/>
        <w:rPr>
          <w:rFonts w:ascii="Times New Roman" w:eastAsia="DejaVu Sans" w:hAnsi="Times New Roman" w:cs="Times New Roman"/>
          <w:color w:val="000000" w:themeColor="text1"/>
          <w:kern w:val="1"/>
          <w:sz w:val="24"/>
          <w:szCs w:val="24"/>
          <w:lang w:val="tr-TR" w:eastAsia="hi-IN" w:bidi="hi-IN"/>
        </w:rPr>
      </w:pPr>
      <w:r w:rsidRPr="004A47CE">
        <w:rPr>
          <w:rFonts w:ascii="Times New Roman" w:eastAsia="DejaVu Sans" w:hAnsi="Times New Roman" w:cs="Times New Roman"/>
          <w:color w:val="000000" w:themeColor="text1"/>
          <w:kern w:val="1"/>
          <w:sz w:val="24"/>
          <w:szCs w:val="24"/>
          <w:lang w:val="tr-TR" w:eastAsia="hi-IN" w:bidi="hi-IN"/>
        </w:rPr>
        <w:t xml:space="preserve">İlk aşamada </w:t>
      </w:r>
      <w:r w:rsidR="003A7033" w:rsidRPr="004A47CE">
        <w:rPr>
          <w:rFonts w:ascii="Times New Roman" w:eastAsia="DejaVu Sans" w:hAnsi="Times New Roman" w:cs="Times New Roman"/>
          <w:color w:val="000000" w:themeColor="text1"/>
          <w:kern w:val="1"/>
          <w:sz w:val="24"/>
          <w:szCs w:val="24"/>
          <w:lang w:val="tr-TR" w:eastAsia="hi-IN" w:bidi="hi-IN"/>
        </w:rPr>
        <w:t xml:space="preserve">seriler arasında </w:t>
      </w:r>
      <w:r w:rsidR="0024435A" w:rsidRPr="004A47CE">
        <w:rPr>
          <w:rFonts w:ascii="Times New Roman" w:eastAsia="DejaVu Sans" w:hAnsi="Times New Roman" w:cs="Times New Roman"/>
          <w:color w:val="000000" w:themeColor="text1"/>
          <w:kern w:val="1"/>
          <w:sz w:val="24"/>
          <w:szCs w:val="24"/>
          <w:lang w:val="tr-TR" w:eastAsia="hi-IN" w:bidi="hi-IN"/>
        </w:rPr>
        <w:t>yatay kesit</w:t>
      </w:r>
      <w:r w:rsidR="003A7033" w:rsidRPr="004A47CE">
        <w:rPr>
          <w:rFonts w:ascii="Times New Roman" w:eastAsia="DejaVu Sans" w:hAnsi="Times New Roman" w:cs="Times New Roman"/>
          <w:color w:val="000000" w:themeColor="text1"/>
          <w:kern w:val="1"/>
          <w:sz w:val="24"/>
          <w:szCs w:val="24"/>
          <w:lang w:val="tr-TR" w:eastAsia="hi-IN" w:bidi="hi-IN"/>
        </w:rPr>
        <w:t xml:space="preserve"> bağımlılığın söz konusu olup olmadığı</w:t>
      </w:r>
      <w:r w:rsidR="00A716AD" w:rsidRPr="004A47CE">
        <w:rPr>
          <w:rFonts w:ascii="Times New Roman" w:eastAsia="DejaVu Sans" w:hAnsi="Times New Roman" w:cs="Times New Roman"/>
          <w:color w:val="000000" w:themeColor="text1"/>
          <w:kern w:val="1"/>
          <w:sz w:val="24"/>
          <w:szCs w:val="24"/>
          <w:lang w:val="tr-TR" w:eastAsia="hi-IN" w:bidi="hi-IN"/>
        </w:rPr>
        <w:t xml:space="preserve"> incelenmelidir. </w:t>
      </w:r>
      <w:r w:rsidR="00C53B32" w:rsidRPr="004A47CE">
        <w:rPr>
          <w:rFonts w:ascii="Times New Roman" w:eastAsia="DejaVu Sans" w:hAnsi="Times New Roman" w:cs="Times New Roman"/>
          <w:color w:val="000000" w:themeColor="text1"/>
          <w:kern w:val="1"/>
          <w:sz w:val="24"/>
          <w:szCs w:val="24"/>
          <w:lang w:val="tr-TR" w:eastAsia="hi-IN" w:bidi="hi-IN"/>
        </w:rPr>
        <w:t>Yatay kesit bağımsızlığı, ül</w:t>
      </w:r>
      <w:r w:rsidRPr="004A47CE">
        <w:rPr>
          <w:rFonts w:ascii="Times New Roman" w:eastAsia="DejaVu Sans" w:hAnsi="Times New Roman" w:cs="Times New Roman"/>
          <w:color w:val="000000" w:themeColor="text1"/>
          <w:kern w:val="1"/>
          <w:sz w:val="24"/>
          <w:szCs w:val="24"/>
          <w:lang w:val="tr-TR" w:eastAsia="hi-IN" w:bidi="hi-IN"/>
        </w:rPr>
        <w:t>kelerin herhangi birinde meydana gelen</w:t>
      </w:r>
      <w:r w:rsidR="00C53B32" w:rsidRPr="004A47CE">
        <w:rPr>
          <w:rFonts w:ascii="Times New Roman" w:eastAsia="DejaVu Sans" w:hAnsi="Times New Roman" w:cs="Times New Roman"/>
          <w:color w:val="000000" w:themeColor="text1"/>
          <w:kern w:val="1"/>
          <w:sz w:val="24"/>
          <w:szCs w:val="24"/>
          <w:lang w:val="tr-TR" w:eastAsia="hi-IN" w:bidi="hi-IN"/>
        </w:rPr>
        <w:t xml:space="preserve"> bir şoktan paneli oluşturan diğer ülkelerin etkile</w:t>
      </w:r>
      <w:r w:rsidRPr="004A47CE">
        <w:rPr>
          <w:rFonts w:ascii="Times New Roman" w:eastAsia="DejaVu Sans" w:hAnsi="Times New Roman" w:cs="Times New Roman"/>
          <w:color w:val="000000" w:themeColor="text1"/>
          <w:kern w:val="1"/>
          <w:sz w:val="24"/>
          <w:szCs w:val="24"/>
          <w:lang w:val="tr-TR" w:eastAsia="hi-IN" w:bidi="hi-IN"/>
        </w:rPr>
        <w:t>nmediği</w:t>
      </w:r>
      <w:r w:rsidR="00782D81" w:rsidRPr="004A47CE">
        <w:rPr>
          <w:rFonts w:ascii="Times New Roman" w:eastAsia="DejaVu Sans" w:hAnsi="Times New Roman" w:cs="Times New Roman"/>
          <w:color w:val="000000" w:themeColor="text1"/>
          <w:kern w:val="1"/>
          <w:sz w:val="24"/>
          <w:szCs w:val="24"/>
          <w:lang w:val="tr-TR" w:eastAsia="hi-IN" w:bidi="hi-IN"/>
        </w:rPr>
        <w:t>ne işaret etmektedir. Tahmin sonuçları</w:t>
      </w:r>
      <w:r w:rsidR="0024435A" w:rsidRPr="004A47CE">
        <w:rPr>
          <w:rFonts w:ascii="Times New Roman" w:eastAsia="DejaVu Sans" w:hAnsi="Times New Roman" w:cs="Times New Roman"/>
          <w:color w:val="000000" w:themeColor="text1"/>
          <w:kern w:val="1"/>
          <w:sz w:val="24"/>
          <w:szCs w:val="24"/>
          <w:lang w:val="tr-TR" w:eastAsia="hi-IN" w:bidi="hi-IN"/>
        </w:rPr>
        <w:t xml:space="preserve"> yatay kesit bağımlılığın </w:t>
      </w:r>
      <w:r w:rsidR="00782D81" w:rsidRPr="004A47CE">
        <w:rPr>
          <w:rFonts w:ascii="Times New Roman" w:eastAsia="DejaVu Sans" w:hAnsi="Times New Roman" w:cs="Times New Roman"/>
          <w:color w:val="000000" w:themeColor="text1"/>
          <w:kern w:val="1"/>
          <w:sz w:val="24"/>
          <w:szCs w:val="24"/>
          <w:lang w:val="tr-TR" w:eastAsia="hi-IN" w:bidi="hi-IN"/>
        </w:rPr>
        <w:t xml:space="preserve">dikkate alınıp alınmamasından </w:t>
      </w:r>
      <w:r w:rsidR="0024435A" w:rsidRPr="004A47CE">
        <w:rPr>
          <w:rFonts w:ascii="Times New Roman" w:eastAsia="DejaVu Sans" w:hAnsi="Times New Roman" w:cs="Times New Roman"/>
          <w:color w:val="000000" w:themeColor="text1"/>
          <w:kern w:val="1"/>
          <w:sz w:val="24"/>
          <w:szCs w:val="24"/>
          <w:lang w:val="tr-TR" w:eastAsia="hi-IN" w:bidi="hi-IN"/>
        </w:rPr>
        <w:t>büyük ölçüde etkile</w:t>
      </w:r>
      <w:r w:rsidR="00782D81" w:rsidRPr="004A47CE">
        <w:rPr>
          <w:rFonts w:ascii="Times New Roman" w:eastAsia="DejaVu Sans" w:hAnsi="Times New Roman" w:cs="Times New Roman"/>
          <w:color w:val="000000" w:themeColor="text1"/>
          <w:kern w:val="1"/>
          <w:sz w:val="24"/>
          <w:szCs w:val="24"/>
          <w:lang w:val="tr-TR" w:eastAsia="hi-IN" w:bidi="hi-IN"/>
        </w:rPr>
        <w:t>n</w:t>
      </w:r>
      <w:r w:rsidR="0024435A" w:rsidRPr="004A47CE">
        <w:rPr>
          <w:rFonts w:ascii="Times New Roman" w:eastAsia="DejaVu Sans" w:hAnsi="Times New Roman" w:cs="Times New Roman"/>
          <w:color w:val="000000" w:themeColor="text1"/>
          <w:kern w:val="1"/>
          <w:sz w:val="24"/>
          <w:szCs w:val="24"/>
          <w:lang w:val="tr-TR" w:eastAsia="hi-IN" w:bidi="hi-IN"/>
        </w:rPr>
        <w:t xml:space="preserve">mektedir (Breusch ve Pagan, 1980; Pesaran, 2004). </w:t>
      </w:r>
      <w:r w:rsidR="00782D81" w:rsidRPr="004A47CE">
        <w:rPr>
          <w:rFonts w:ascii="Times New Roman" w:eastAsia="DejaVu Sans" w:hAnsi="Times New Roman" w:cs="Times New Roman"/>
          <w:color w:val="000000" w:themeColor="text1"/>
          <w:kern w:val="1"/>
          <w:sz w:val="24"/>
          <w:szCs w:val="24"/>
          <w:lang w:val="tr-TR" w:eastAsia="hi-IN" w:bidi="hi-IN"/>
        </w:rPr>
        <w:t>Diğer bir deyişle</w:t>
      </w:r>
      <w:r w:rsidRPr="004A47CE">
        <w:rPr>
          <w:rFonts w:ascii="Times New Roman" w:eastAsia="DejaVu Sans" w:hAnsi="Times New Roman" w:cs="Times New Roman"/>
          <w:color w:val="000000" w:themeColor="text1"/>
          <w:kern w:val="1"/>
          <w:sz w:val="24"/>
          <w:szCs w:val="24"/>
          <w:lang w:val="tr-TR" w:eastAsia="hi-IN" w:bidi="hi-IN"/>
        </w:rPr>
        <w:t xml:space="preserve"> elde edilen sonuçlar sapmalı ve tutars</w:t>
      </w:r>
      <w:r w:rsidR="00C02BDB" w:rsidRPr="004A47CE">
        <w:rPr>
          <w:rFonts w:ascii="Times New Roman" w:eastAsia="DejaVu Sans" w:hAnsi="Times New Roman" w:cs="Times New Roman"/>
          <w:color w:val="000000" w:themeColor="text1"/>
          <w:kern w:val="1"/>
          <w:sz w:val="24"/>
          <w:szCs w:val="24"/>
          <w:lang w:val="tr-TR" w:eastAsia="hi-IN" w:bidi="hi-IN"/>
        </w:rPr>
        <w:t xml:space="preserve">ız olacağı için </w:t>
      </w:r>
      <w:r w:rsidRPr="004A47CE">
        <w:rPr>
          <w:rFonts w:ascii="Times New Roman" w:eastAsia="DejaVu Sans" w:hAnsi="Times New Roman" w:cs="Times New Roman"/>
          <w:color w:val="000000" w:themeColor="text1"/>
          <w:kern w:val="1"/>
          <w:sz w:val="24"/>
          <w:szCs w:val="24"/>
          <w:lang w:val="tr-TR" w:eastAsia="hi-IN" w:bidi="hi-IN"/>
        </w:rPr>
        <w:t xml:space="preserve">birimler arasında bir bağımlılık olup olmadığının test edilmesi son derece önemlidir (Mercan, 2014; Menyah </w:t>
      </w:r>
      <w:r w:rsidR="00E071F1">
        <w:rPr>
          <w:rFonts w:ascii="Times New Roman" w:eastAsia="DejaVu Sans" w:hAnsi="Times New Roman" w:cs="Times New Roman"/>
          <w:color w:val="000000" w:themeColor="text1"/>
          <w:kern w:val="1"/>
          <w:sz w:val="24"/>
          <w:szCs w:val="24"/>
          <w:lang w:val="tr-TR" w:eastAsia="hi-IN" w:bidi="hi-IN"/>
        </w:rPr>
        <w:t>ve diğ.</w:t>
      </w:r>
      <w:r w:rsidRPr="004A47CE">
        <w:rPr>
          <w:rFonts w:ascii="Times New Roman" w:eastAsia="DejaVu Sans" w:hAnsi="Times New Roman" w:cs="Times New Roman"/>
          <w:color w:val="000000" w:themeColor="text1"/>
          <w:kern w:val="1"/>
          <w:sz w:val="24"/>
          <w:szCs w:val="24"/>
          <w:lang w:val="tr-TR" w:eastAsia="hi-IN" w:bidi="hi-IN"/>
        </w:rPr>
        <w:t xml:space="preserve"> 2014). </w:t>
      </w:r>
      <w:r w:rsidR="0024435A" w:rsidRPr="004A47CE">
        <w:rPr>
          <w:rFonts w:ascii="Times New Roman" w:eastAsia="DejaVu Sans" w:hAnsi="Times New Roman" w:cs="Times New Roman"/>
          <w:color w:val="000000" w:themeColor="text1"/>
          <w:kern w:val="1"/>
          <w:sz w:val="24"/>
          <w:szCs w:val="24"/>
          <w:lang w:val="tr-TR" w:eastAsia="hi-IN" w:bidi="hi-IN"/>
        </w:rPr>
        <w:t xml:space="preserve">Bu amaç için </w:t>
      </w:r>
      <w:r w:rsidR="0024435A" w:rsidRPr="004A47CE">
        <w:rPr>
          <w:rFonts w:ascii="Times New Roman" w:eastAsia="DejaVu Sans" w:hAnsi="Times New Roman" w:cs="Times New Roman"/>
          <w:color w:val="000000" w:themeColor="text1"/>
          <w:kern w:val="1"/>
          <w:sz w:val="24"/>
          <w:szCs w:val="24"/>
          <w:lang w:val="en-US" w:eastAsia="hi-IN" w:bidi="hi-IN"/>
        </w:rPr>
        <w:t xml:space="preserve">Pesaran (2004) tarafından ortaya atılan CD (Cross-Section Dependence) testi kullanılmıştır. </w:t>
      </w:r>
      <w:r w:rsidR="008C5C85" w:rsidRPr="004A47CE">
        <w:rPr>
          <w:rFonts w:ascii="Times New Roman" w:eastAsia="DejaVu Sans" w:hAnsi="Times New Roman" w:cs="Times New Roman"/>
          <w:color w:val="000000" w:themeColor="text1"/>
          <w:kern w:val="1"/>
          <w:sz w:val="24"/>
          <w:szCs w:val="24"/>
          <w:lang w:val="tr-TR" w:eastAsia="hi-IN" w:bidi="en-US"/>
        </w:rPr>
        <w:t xml:space="preserve"> </w:t>
      </w:r>
      <w:r w:rsidR="0024435A" w:rsidRPr="004A47CE">
        <w:rPr>
          <w:rFonts w:ascii="Times New Roman" w:eastAsia="DejaVu Sans" w:hAnsi="Times New Roman" w:cs="Times New Roman"/>
          <w:color w:val="000000" w:themeColor="text1"/>
          <w:kern w:val="1"/>
          <w:sz w:val="24"/>
          <w:szCs w:val="24"/>
          <w:lang w:val="tr-TR" w:eastAsia="hi-IN" w:bidi="en-US"/>
        </w:rPr>
        <w:t>Pesaran (</w:t>
      </w:r>
      <w:r w:rsidR="00B86FDD" w:rsidRPr="004A47CE">
        <w:rPr>
          <w:rFonts w:ascii="Times New Roman" w:eastAsia="DejaVu Sans" w:hAnsi="Times New Roman" w:cs="Times New Roman"/>
          <w:color w:val="000000" w:themeColor="text1"/>
          <w:kern w:val="1"/>
          <w:sz w:val="24"/>
          <w:szCs w:val="24"/>
          <w:lang w:val="tr-TR" w:eastAsia="hi-IN" w:bidi="en-US"/>
        </w:rPr>
        <w:t>2004) CD testi sonuçları Tablo 3’t</w:t>
      </w:r>
      <w:r w:rsidR="0024435A" w:rsidRPr="004A47CE">
        <w:rPr>
          <w:rFonts w:ascii="Times New Roman" w:eastAsia="DejaVu Sans" w:hAnsi="Times New Roman" w:cs="Times New Roman"/>
          <w:color w:val="000000" w:themeColor="text1"/>
          <w:kern w:val="1"/>
          <w:sz w:val="24"/>
          <w:szCs w:val="24"/>
          <w:lang w:val="tr-TR" w:eastAsia="hi-IN" w:bidi="en-US"/>
        </w:rPr>
        <w:t>e özetlenmiştir.</w:t>
      </w:r>
    </w:p>
    <w:p w14:paraId="67084F24" w14:textId="5C66690C" w:rsidR="0024435A" w:rsidRPr="003723BD" w:rsidRDefault="000558B8" w:rsidP="004A47CE">
      <w:pPr>
        <w:suppressLineNumbers/>
        <w:spacing w:after="120" w:line="240" w:lineRule="auto"/>
        <w:ind w:firstLine="709"/>
        <w:jc w:val="center"/>
        <w:rPr>
          <w:rFonts w:ascii="Times New Roman" w:eastAsia="Times New Roman" w:hAnsi="Times New Roman" w:cs="Times New Roman"/>
          <w:b/>
          <w:iCs/>
          <w:sz w:val="24"/>
          <w:szCs w:val="24"/>
          <w:lang w:val="tr-TR" w:bidi="en-US"/>
        </w:rPr>
      </w:pPr>
      <w:r w:rsidRPr="003723BD">
        <w:rPr>
          <w:rFonts w:ascii="Times New Roman" w:eastAsia="Times New Roman" w:hAnsi="Times New Roman" w:cs="Times New Roman"/>
          <w:b/>
          <w:iCs/>
          <w:sz w:val="24"/>
          <w:szCs w:val="24"/>
          <w:lang w:val="tr-TR" w:bidi="en-US"/>
        </w:rPr>
        <w:t>Tablo 3. Yatay Kesit Bağımlılık Testi</w:t>
      </w:r>
    </w:p>
    <w:tbl>
      <w:tblPr>
        <w:tblStyle w:val="aa"/>
        <w:tblW w:w="0" w:type="auto"/>
        <w:tblBorders>
          <w:left w:val="none" w:sz="0" w:space="0" w:color="auto"/>
          <w:right w:val="none" w:sz="0" w:space="0" w:color="auto"/>
        </w:tblBorders>
        <w:tblLook w:val="04A0" w:firstRow="1" w:lastRow="0" w:firstColumn="1" w:lastColumn="0" w:noHBand="0" w:noVBand="1"/>
      </w:tblPr>
      <w:tblGrid>
        <w:gridCol w:w="2336"/>
        <w:gridCol w:w="3046"/>
        <w:gridCol w:w="3260"/>
      </w:tblGrid>
      <w:tr w:rsidR="007D33E8" w:rsidRPr="004A47CE" w14:paraId="5682BD94" w14:textId="77777777" w:rsidTr="005D3967">
        <w:tc>
          <w:tcPr>
            <w:tcW w:w="2336" w:type="dxa"/>
            <w:tcBorders>
              <w:bottom w:val="single" w:sz="4" w:space="0" w:color="auto"/>
              <w:right w:val="nil"/>
            </w:tcBorders>
          </w:tcPr>
          <w:p w14:paraId="6C2CDECE" w14:textId="504CDD42" w:rsidR="007D33E8" w:rsidRPr="003723BD" w:rsidRDefault="007D33E8" w:rsidP="004A47CE">
            <w:pPr>
              <w:suppressLineNumbers/>
              <w:spacing w:after="120"/>
              <w:ind w:firstLine="709"/>
              <w:jc w:val="center"/>
              <w:rPr>
                <w:rFonts w:ascii="Times New Roman" w:eastAsia="Times New Roman" w:hAnsi="Times New Roman" w:cs="Times New Roman"/>
                <w:b/>
                <w:iCs/>
                <w:sz w:val="20"/>
                <w:szCs w:val="20"/>
                <w:lang w:val="tr-TR" w:bidi="en-US"/>
              </w:rPr>
            </w:pPr>
            <w:r w:rsidRPr="003723BD">
              <w:rPr>
                <w:rFonts w:ascii="Times New Roman" w:eastAsia="Times New Roman" w:hAnsi="Times New Roman" w:cs="Times New Roman"/>
                <w:b/>
                <w:iCs/>
                <w:sz w:val="20"/>
                <w:szCs w:val="20"/>
                <w:lang w:val="tr-TR" w:bidi="en-US"/>
              </w:rPr>
              <w:t>Değişkenler</w:t>
            </w:r>
          </w:p>
        </w:tc>
        <w:tc>
          <w:tcPr>
            <w:tcW w:w="3046" w:type="dxa"/>
            <w:tcBorders>
              <w:left w:val="nil"/>
              <w:bottom w:val="single" w:sz="4" w:space="0" w:color="auto"/>
              <w:right w:val="nil"/>
            </w:tcBorders>
          </w:tcPr>
          <w:p w14:paraId="106C6712" w14:textId="72BCAE50" w:rsidR="007D33E8" w:rsidRPr="003723BD" w:rsidRDefault="007D33E8" w:rsidP="004A47CE">
            <w:pPr>
              <w:suppressLineNumbers/>
              <w:spacing w:after="120"/>
              <w:ind w:firstLine="709"/>
              <w:jc w:val="center"/>
              <w:rPr>
                <w:rFonts w:ascii="Times New Roman" w:eastAsia="Times New Roman" w:hAnsi="Times New Roman" w:cs="Times New Roman"/>
                <w:b/>
                <w:iCs/>
                <w:sz w:val="20"/>
                <w:szCs w:val="20"/>
                <w:lang w:val="tr-TR" w:bidi="en-US"/>
              </w:rPr>
            </w:pPr>
            <w:r w:rsidRPr="003723BD">
              <w:rPr>
                <w:rFonts w:ascii="Times New Roman" w:eastAsia="Times New Roman" w:hAnsi="Times New Roman" w:cs="Times New Roman"/>
                <w:b/>
                <w:iCs/>
                <w:sz w:val="20"/>
                <w:szCs w:val="20"/>
                <w:lang w:val="tr-TR" w:bidi="en-US"/>
              </w:rPr>
              <w:t>Test istatistiği</w:t>
            </w:r>
          </w:p>
        </w:tc>
        <w:tc>
          <w:tcPr>
            <w:tcW w:w="3260" w:type="dxa"/>
            <w:tcBorders>
              <w:left w:val="nil"/>
              <w:bottom w:val="single" w:sz="4" w:space="0" w:color="auto"/>
            </w:tcBorders>
          </w:tcPr>
          <w:p w14:paraId="29BAD61D" w14:textId="62682ECD" w:rsidR="007D33E8" w:rsidRPr="003723BD" w:rsidRDefault="007D33E8" w:rsidP="004A47CE">
            <w:pPr>
              <w:suppressLineNumbers/>
              <w:spacing w:after="120"/>
              <w:ind w:firstLine="709"/>
              <w:jc w:val="center"/>
              <w:rPr>
                <w:rFonts w:ascii="Times New Roman" w:eastAsia="Times New Roman" w:hAnsi="Times New Roman" w:cs="Times New Roman"/>
                <w:b/>
                <w:iCs/>
                <w:sz w:val="20"/>
                <w:szCs w:val="20"/>
                <w:lang w:val="tr-TR" w:bidi="en-US"/>
              </w:rPr>
            </w:pPr>
            <w:r w:rsidRPr="003723BD">
              <w:rPr>
                <w:rFonts w:ascii="Times New Roman" w:eastAsia="Times New Roman" w:hAnsi="Times New Roman" w:cs="Times New Roman"/>
                <w:b/>
                <w:iCs/>
                <w:sz w:val="20"/>
                <w:szCs w:val="20"/>
                <w:lang w:val="tr-TR" w:bidi="en-US"/>
              </w:rPr>
              <w:t>Olasılık</w:t>
            </w:r>
          </w:p>
        </w:tc>
      </w:tr>
      <w:tr w:rsidR="007D33E8" w:rsidRPr="004A47CE" w14:paraId="098E5507" w14:textId="77777777" w:rsidTr="005D3967">
        <w:tc>
          <w:tcPr>
            <w:tcW w:w="2336" w:type="dxa"/>
            <w:tcBorders>
              <w:top w:val="single" w:sz="4" w:space="0" w:color="auto"/>
              <w:bottom w:val="nil"/>
              <w:right w:val="nil"/>
            </w:tcBorders>
          </w:tcPr>
          <w:p w14:paraId="70AFBE8A" w14:textId="43F05DCB" w:rsidR="007D33E8" w:rsidRPr="003723BD" w:rsidRDefault="003723BD" w:rsidP="004A47CE">
            <w:pPr>
              <w:suppressLineNumbers/>
              <w:spacing w:after="120"/>
              <w:ind w:firstLine="709"/>
              <w:rPr>
                <w:rFonts w:ascii="Times New Roman" w:eastAsia="Times New Roman" w:hAnsi="Times New Roman" w:cs="Times New Roman"/>
                <w:iCs/>
                <w:sz w:val="20"/>
                <w:szCs w:val="20"/>
                <w:lang w:val="tr-TR" w:bidi="en-US"/>
              </w:rPr>
            </w:pPr>
            <w:r>
              <w:rPr>
                <w:rFonts w:ascii="Times New Roman" w:eastAsia="Times New Roman" w:hAnsi="Times New Roman" w:cs="Times New Roman"/>
                <w:iCs/>
                <w:sz w:val="20"/>
                <w:szCs w:val="20"/>
                <w:lang w:val="tr-TR" w:bidi="en-US"/>
              </w:rPr>
              <w:t xml:space="preserve">         </w:t>
            </w:r>
            <w:r w:rsidR="002C4B8D" w:rsidRPr="003723BD">
              <w:rPr>
                <w:rFonts w:ascii="Times New Roman" w:eastAsia="Times New Roman" w:hAnsi="Times New Roman" w:cs="Times New Roman"/>
                <w:iCs/>
                <w:sz w:val="20"/>
                <w:szCs w:val="20"/>
                <w:lang w:val="tr-TR" w:bidi="en-US"/>
              </w:rPr>
              <w:t xml:space="preserve"> </w:t>
            </w:r>
            <w:r w:rsidR="007D33E8" w:rsidRPr="003723BD">
              <w:rPr>
                <w:rFonts w:ascii="Times New Roman" w:eastAsia="Times New Roman" w:hAnsi="Times New Roman" w:cs="Times New Roman"/>
                <w:iCs/>
                <w:sz w:val="20"/>
                <w:szCs w:val="20"/>
                <w:lang w:val="tr-TR" w:bidi="en-US"/>
              </w:rPr>
              <w:t>LEXf</w:t>
            </w:r>
          </w:p>
        </w:tc>
        <w:tc>
          <w:tcPr>
            <w:tcW w:w="3046" w:type="dxa"/>
            <w:tcBorders>
              <w:top w:val="single" w:sz="4" w:space="0" w:color="auto"/>
              <w:left w:val="nil"/>
              <w:bottom w:val="nil"/>
              <w:right w:val="nil"/>
            </w:tcBorders>
          </w:tcPr>
          <w:p w14:paraId="212DA3EE" w14:textId="557737C0" w:rsidR="007D33E8" w:rsidRPr="003723BD" w:rsidRDefault="001F065F" w:rsidP="004A47CE">
            <w:pPr>
              <w:suppressLineNumbers/>
              <w:spacing w:after="120"/>
              <w:ind w:firstLine="709"/>
              <w:jc w:val="center"/>
              <w:rPr>
                <w:rFonts w:ascii="Times New Roman" w:eastAsia="Times New Roman" w:hAnsi="Times New Roman" w:cs="Times New Roman"/>
                <w:iCs/>
                <w:sz w:val="20"/>
                <w:szCs w:val="20"/>
                <w:lang w:bidi="en-US"/>
              </w:rPr>
            </w:pPr>
            <w:r w:rsidRPr="003723BD">
              <w:rPr>
                <w:rFonts w:ascii="Times New Roman" w:eastAsia="Times New Roman" w:hAnsi="Times New Roman" w:cs="Times New Roman"/>
                <w:iCs/>
                <w:sz w:val="20"/>
                <w:szCs w:val="20"/>
                <w:lang w:bidi="en-US"/>
              </w:rPr>
              <w:t>42,48</w:t>
            </w:r>
          </w:p>
        </w:tc>
        <w:tc>
          <w:tcPr>
            <w:tcW w:w="3260" w:type="dxa"/>
            <w:tcBorders>
              <w:top w:val="single" w:sz="4" w:space="0" w:color="auto"/>
              <w:left w:val="nil"/>
              <w:bottom w:val="nil"/>
            </w:tcBorders>
          </w:tcPr>
          <w:p w14:paraId="6EF6953C" w14:textId="6E045B81" w:rsidR="007D33E8" w:rsidRPr="003723BD" w:rsidRDefault="001F065F" w:rsidP="004A47CE">
            <w:pPr>
              <w:suppressLineNumbers/>
              <w:spacing w:after="120"/>
              <w:ind w:firstLine="709"/>
              <w:jc w:val="center"/>
              <w:rPr>
                <w:rFonts w:ascii="Times New Roman" w:eastAsia="Times New Roman" w:hAnsi="Times New Roman" w:cs="Times New Roman"/>
                <w:iCs/>
                <w:sz w:val="20"/>
                <w:szCs w:val="20"/>
                <w:lang w:val="en-US" w:bidi="en-US"/>
              </w:rPr>
            </w:pPr>
            <w:r w:rsidRPr="003723BD">
              <w:rPr>
                <w:rFonts w:ascii="Times New Roman" w:eastAsia="Times New Roman" w:hAnsi="Times New Roman" w:cs="Times New Roman"/>
                <w:iCs/>
                <w:sz w:val="20"/>
                <w:szCs w:val="20"/>
                <w:lang w:val="tr-TR" w:bidi="en-US"/>
              </w:rPr>
              <w:t>0</w:t>
            </w:r>
            <w:r w:rsidRPr="003723BD">
              <w:rPr>
                <w:rFonts w:ascii="Times New Roman" w:eastAsia="Times New Roman" w:hAnsi="Times New Roman" w:cs="Times New Roman"/>
                <w:iCs/>
                <w:sz w:val="20"/>
                <w:szCs w:val="20"/>
                <w:lang w:val="en-US" w:bidi="en-US"/>
              </w:rPr>
              <w:t>,000</w:t>
            </w:r>
          </w:p>
        </w:tc>
      </w:tr>
      <w:tr w:rsidR="007D33E8" w:rsidRPr="004A47CE" w14:paraId="312BAE9A" w14:textId="77777777" w:rsidTr="005D3967">
        <w:tc>
          <w:tcPr>
            <w:tcW w:w="2336" w:type="dxa"/>
            <w:tcBorders>
              <w:top w:val="nil"/>
              <w:bottom w:val="nil"/>
              <w:right w:val="nil"/>
            </w:tcBorders>
          </w:tcPr>
          <w:p w14:paraId="3460A4D7" w14:textId="4E0B4B08" w:rsidR="007D33E8" w:rsidRPr="003723BD" w:rsidRDefault="007D33E8" w:rsidP="004A47CE">
            <w:pPr>
              <w:suppressLineNumbers/>
              <w:spacing w:after="120"/>
              <w:ind w:firstLine="709"/>
              <w:jc w:val="center"/>
              <w:rPr>
                <w:rFonts w:ascii="Times New Roman" w:eastAsia="Times New Roman" w:hAnsi="Times New Roman" w:cs="Times New Roman"/>
                <w:iCs/>
                <w:sz w:val="20"/>
                <w:szCs w:val="20"/>
                <w:lang w:val="tr-TR" w:bidi="en-US"/>
              </w:rPr>
            </w:pPr>
            <w:r w:rsidRPr="003723BD">
              <w:rPr>
                <w:rFonts w:ascii="Times New Roman" w:eastAsia="Times New Roman" w:hAnsi="Times New Roman" w:cs="Times New Roman"/>
                <w:iCs/>
                <w:sz w:val="20"/>
                <w:szCs w:val="20"/>
                <w:lang w:val="tr-TR" w:bidi="en-US"/>
              </w:rPr>
              <w:t>LEXm</w:t>
            </w:r>
          </w:p>
        </w:tc>
        <w:tc>
          <w:tcPr>
            <w:tcW w:w="3046" w:type="dxa"/>
            <w:tcBorders>
              <w:top w:val="nil"/>
              <w:left w:val="nil"/>
              <w:bottom w:val="nil"/>
              <w:right w:val="nil"/>
            </w:tcBorders>
          </w:tcPr>
          <w:p w14:paraId="7AA0A7E4" w14:textId="7F08DF67" w:rsidR="007D33E8" w:rsidRPr="003723BD" w:rsidRDefault="009E4ABE" w:rsidP="004A47CE">
            <w:pPr>
              <w:suppressLineNumbers/>
              <w:spacing w:after="120"/>
              <w:ind w:firstLine="709"/>
              <w:jc w:val="center"/>
              <w:rPr>
                <w:rFonts w:ascii="Times New Roman" w:eastAsia="Times New Roman" w:hAnsi="Times New Roman" w:cs="Times New Roman"/>
                <w:iCs/>
                <w:sz w:val="20"/>
                <w:szCs w:val="20"/>
                <w:lang w:bidi="en-US"/>
              </w:rPr>
            </w:pPr>
            <w:r w:rsidRPr="003723BD">
              <w:rPr>
                <w:rFonts w:ascii="Times New Roman" w:eastAsia="Times New Roman" w:hAnsi="Times New Roman" w:cs="Times New Roman"/>
                <w:iCs/>
                <w:sz w:val="20"/>
                <w:szCs w:val="20"/>
                <w:lang w:bidi="en-US"/>
              </w:rPr>
              <w:t>41,63</w:t>
            </w:r>
          </w:p>
        </w:tc>
        <w:tc>
          <w:tcPr>
            <w:tcW w:w="3260" w:type="dxa"/>
            <w:tcBorders>
              <w:top w:val="nil"/>
              <w:left w:val="nil"/>
              <w:bottom w:val="nil"/>
            </w:tcBorders>
          </w:tcPr>
          <w:p w14:paraId="0055C33A" w14:textId="0B8ADE96" w:rsidR="007D33E8" w:rsidRPr="003723BD" w:rsidRDefault="009E4ABE" w:rsidP="004A47CE">
            <w:pPr>
              <w:suppressLineNumbers/>
              <w:spacing w:after="120"/>
              <w:ind w:firstLine="709"/>
              <w:jc w:val="center"/>
              <w:rPr>
                <w:rFonts w:ascii="Times New Roman" w:eastAsia="Times New Roman" w:hAnsi="Times New Roman" w:cs="Times New Roman"/>
                <w:iCs/>
                <w:sz w:val="20"/>
                <w:szCs w:val="20"/>
                <w:lang w:val="en-US" w:bidi="en-US"/>
              </w:rPr>
            </w:pPr>
            <w:r w:rsidRPr="003723BD">
              <w:rPr>
                <w:rFonts w:ascii="Times New Roman" w:eastAsia="Times New Roman" w:hAnsi="Times New Roman" w:cs="Times New Roman"/>
                <w:iCs/>
                <w:sz w:val="20"/>
                <w:szCs w:val="20"/>
                <w:lang w:val="en-US" w:bidi="en-US"/>
              </w:rPr>
              <w:t>0,000</w:t>
            </w:r>
          </w:p>
        </w:tc>
      </w:tr>
      <w:tr w:rsidR="007D33E8" w:rsidRPr="004A47CE" w14:paraId="0A4D0F29" w14:textId="77777777" w:rsidTr="005D3967">
        <w:tc>
          <w:tcPr>
            <w:tcW w:w="2336" w:type="dxa"/>
            <w:tcBorders>
              <w:top w:val="nil"/>
              <w:bottom w:val="nil"/>
              <w:right w:val="nil"/>
            </w:tcBorders>
          </w:tcPr>
          <w:p w14:paraId="73D6153F" w14:textId="4B25D7C8" w:rsidR="007D33E8" w:rsidRPr="003723BD" w:rsidRDefault="003723BD" w:rsidP="004A47CE">
            <w:pPr>
              <w:suppressLineNumbers/>
              <w:spacing w:after="120"/>
              <w:ind w:firstLine="709"/>
              <w:rPr>
                <w:rFonts w:ascii="Times New Roman" w:eastAsia="Times New Roman" w:hAnsi="Times New Roman" w:cs="Times New Roman"/>
                <w:iCs/>
                <w:sz w:val="20"/>
                <w:szCs w:val="20"/>
                <w:lang w:val="tr-TR" w:bidi="en-US"/>
              </w:rPr>
            </w:pPr>
            <w:r>
              <w:rPr>
                <w:rFonts w:ascii="Times New Roman" w:eastAsia="Times New Roman" w:hAnsi="Times New Roman" w:cs="Times New Roman"/>
                <w:iCs/>
                <w:sz w:val="20"/>
                <w:szCs w:val="20"/>
                <w:lang w:val="tr-TR" w:bidi="en-US"/>
              </w:rPr>
              <w:lastRenderedPageBreak/>
              <w:t xml:space="preserve">         </w:t>
            </w:r>
            <w:r w:rsidR="00B86FDD" w:rsidRPr="003723BD">
              <w:rPr>
                <w:rFonts w:ascii="Times New Roman" w:eastAsia="Times New Roman" w:hAnsi="Times New Roman" w:cs="Times New Roman"/>
                <w:iCs/>
                <w:sz w:val="20"/>
                <w:szCs w:val="20"/>
                <w:lang w:val="tr-TR" w:bidi="en-US"/>
              </w:rPr>
              <w:t>LGDP</w:t>
            </w:r>
          </w:p>
        </w:tc>
        <w:tc>
          <w:tcPr>
            <w:tcW w:w="3046" w:type="dxa"/>
            <w:tcBorders>
              <w:top w:val="nil"/>
              <w:left w:val="nil"/>
              <w:bottom w:val="nil"/>
              <w:right w:val="nil"/>
            </w:tcBorders>
          </w:tcPr>
          <w:p w14:paraId="76FA00C7" w14:textId="33AE6153" w:rsidR="007D33E8" w:rsidRPr="003723BD" w:rsidRDefault="009E4ABE" w:rsidP="004A47CE">
            <w:pPr>
              <w:suppressLineNumbers/>
              <w:spacing w:after="120"/>
              <w:ind w:firstLine="709"/>
              <w:jc w:val="center"/>
              <w:rPr>
                <w:rFonts w:ascii="Times New Roman" w:eastAsia="Times New Roman" w:hAnsi="Times New Roman" w:cs="Times New Roman"/>
                <w:iCs/>
                <w:sz w:val="20"/>
                <w:szCs w:val="20"/>
                <w:lang w:bidi="en-US"/>
              </w:rPr>
            </w:pPr>
            <w:r w:rsidRPr="003723BD">
              <w:rPr>
                <w:rFonts w:ascii="Times New Roman" w:eastAsia="Times New Roman" w:hAnsi="Times New Roman" w:cs="Times New Roman"/>
                <w:iCs/>
                <w:sz w:val="20"/>
                <w:szCs w:val="20"/>
                <w:lang w:bidi="en-US"/>
              </w:rPr>
              <w:t>42,92</w:t>
            </w:r>
          </w:p>
        </w:tc>
        <w:tc>
          <w:tcPr>
            <w:tcW w:w="3260" w:type="dxa"/>
            <w:tcBorders>
              <w:top w:val="nil"/>
              <w:left w:val="nil"/>
              <w:bottom w:val="nil"/>
            </w:tcBorders>
          </w:tcPr>
          <w:p w14:paraId="6FFCCBE6" w14:textId="58892F37" w:rsidR="007D33E8" w:rsidRPr="003723BD" w:rsidRDefault="009E4ABE" w:rsidP="004A47CE">
            <w:pPr>
              <w:suppressLineNumbers/>
              <w:spacing w:after="120"/>
              <w:ind w:firstLine="709"/>
              <w:jc w:val="center"/>
              <w:rPr>
                <w:rFonts w:ascii="Times New Roman" w:eastAsia="Times New Roman" w:hAnsi="Times New Roman" w:cs="Times New Roman"/>
                <w:iCs/>
                <w:sz w:val="20"/>
                <w:szCs w:val="20"/>
                <w:lang w:val="en-US" w:bidi="en-US"/>
              </w:rPr>
            </w:pPr>
            <w:r w:rsidRPr="003723BD">
              <w:rPr>
                <w:rFonts w:ascii="Times New Roman" w:eastAsia="Times New Roman" w:hAnsi="Times New Roman" w:cs="Times New Roman"/>
                <w:iCs/>
                <w:sz w:val="20"/>
                <w:szCs w:val="20"/>
                <w:lang w:val="en-US" w:bidi="en-US"/>
              </w:rPr>
              <w:t>0,000</w:t>
            </w:r>
          </w:p>
        </w:tc>
      </w:tr>
      <w:tr w:rsidR="007D33E8" w:rsidRPr="004A47CE" w14:paraId="1B3A34A7" w14:textId="77777777" w:rsidTr="005D3967">
        <w:tc>
          <w:tcPr>
            <w:tcW w:w="2336" w:type="dxa"/>
            <w:tcBorders>
              <w:top w:val="nil"/>
              <w:bottom w:val="nil"/>
              <w:right w:val="nil"/>
            </w:tcBorders>
          </w:tcPr>
          <w:p w14:paraId="494B4800" w14:textId="3445952C" w:rsidR="007D33E8" w:rsidRPr="003723BD" w:rsidRDefault="00B86FDD" w:rsidP="004A47CE">
            <w:pPr>
              <w:suppressLineNumbers/>
              <w:spacing w:after="120"/>
              <w:ind w:firstLine="709"/>
              <w:jc w:val="center"/>
              <w:rPr>
                <w:rFonts w:ascii="Times New Roman" w:eastAsia="Times New Roman" w:hAnsi="Times New Roman" w:cs="Times New Roman"/>
                <w:iCs/>
                <w:sz w:val="20"/>
                <w:szCs w:val="20"/>
                <w:lang w:val="tr-TR" w:bidi="en-US"/>
              </w:rPr>
            </w:pPr>
            <w:r w:rsidRPr="003723BD">
              <w:rPr>
                <w:rFonts w:ascii="Times New Roman" w:eastAsia="Times New Roman" w:hAnsi="Times New Roman" w:cs="Times New Roman"/>
                <w:iCs/>
                <w:sz w:val="20"/>
                <w:szCs w:val="20"/>
                <w:lang w:val="tr-TR" w:bidi="en-US"/>
              </w:rPr>
              <w:t>LPOP</w:t>
            </w:r>
          </w:p>
        </w:tc>
        <w:tc>
          <w:tcPr>
            <w:tcW w:w="3046" w:type="dxa"/>
            <w:tcBorders>
              <w:top w:val="nil"/>
              <w:left w:val="nil"/>
              <w:bottom w:val="nil"/>
              <w:right w:val="nil"/>
            </w:tcBorders>
          </w:tcPr>
          <w:p w14:paraId="6815F300" w14:textId="4D337F0B" w:rsidR="007D33E8" w:rsidRPr="003723BD" w:rsidRDefault="009E4ABE" w:rsidP="004A47CE">
            <w:pPr>
              <w:suppressLineNumbers/>
              <w:spacing w:after="120"/>
              <w:ind w:firstLine="709"/>
              <w:jc w:val="center"/>
              <w:rPr>
                <w:rFonts w:ascii="Times New Roman" w:eastAsia="Times New Roman" w:hAnsi="Times New Roman" w:cs="Times New Roman"/>
                <w:iCs/>
                <w:sz w:val="20"/>
                <w:szCs w:val="20"/>
                <w:lang w:bidi="en-US"/>
              </w:rPr>
            </w:pPr>
            <w:r w:rsidRPr="003723BD">
              <w:rPr>
                <w:rFonts w:ascii="Times New Roman" w:eastAsia="Times New Roman" w:hAnsi="Times New Roman" w:cs="Times New Roman"/>
                <w:iCs/>
                <w:sz w:val="20"/>
                <w:szCs w:val="20"/>
                <w:lang w:bidi="en-US"/>
              </w:rPr>
              <w:t>0,99</w:t>
            </w:r>
          </w:p>
        </w:tc>
        <w:tc>
          <w:tcPr>
            <w:tcW w:w="3260" w:type="dxa"/>
            <w:tcBorders>
              <w:top w:val="nil"/>
              <w:left w:val="nil"/>
              <w:bottom w:val="nil"/>
            </w:tcBorders>
          </w:tcPr>
          <w:p w14:paraId="2D184063" w14:textId="1592DCAE" w:rsidR="007D33E8" w:rsidRPr="003723BD" w:rsidRDefault="009E4ABE" w:rsidP="004A47CE">
            <w:pPr>
              <w:suppressLineNumbers/>
              <w:spacing w:after="120"/>
              <w:ind w:firstLine="709"/>
              <w:jc w:val="center"/>
              <w:rPr>
                <w:rFonts w:ascii="Times New Roman" w:eastAsia="Times New Roman" w:hAnsi="Times New Roman" w:cs="Times New Roman"/>
                <w:iCs/>
                <w:sz w:val="20"/>
                <w:szCs w:val="20"/>
                <w:lang w:bidi="en-US"/>
              </w:rPr>
            </w:pPr>
            <w:r w:rsidRPr="003723BD">
              <w:rPr>
                <w:rFonts w:ascii="Times New Roman" w:eastAsia="Times New Roman" w:hAnsi="Times New Roman" w:cs="Times New Roman"/>
                <w:iCs/>
                <w:sz w:val="20"/>
                <w:szCs w:val="20"/>
                <w:lang w:bidi="en-US"/>
              </w:rPr>
              <w:t>0,321</w:t>
            </w:r>
          </w:p>
        </w:tc>
      </w:tr>
      <w:tr w:rsidR="007D33E8" w:rsidRPr="004A47CE" w14:paraId="4A5498AB" w14:textId="77777777" w:rsidTr="005D3967">
        <w:tc>
          <w:tcPr>
            <w:tcW w:w="2336" w:type="dxa"/>
            <w:tcBorders>
              <w:top w:val="nil"/>
              <w:bottom w:val="nil"/>
              <w:right w:val="nil"/>
            </w:tcBorders>
          </w:tcPr>
          <w:p w14:paraId="2302BD2B" w14:textId="6D15988A" w:rsidR="007D33E8" w:rsidRPr="003723BD" w:rsidRDefault="00B86FDD" w:rsidP="004A47CE">
            <w:pPr>
              <w:suppressLineNumbers/>
              <w:spacing w:after="120"/>
              <w:ind w:firstLine="709"/>
              <w:jc w:val="center"/>
              <w:rPr>
                <w:rFonts w:ascii="Times New Roman" w:eastAsia="Times New Roman" w:hAnsi="Times New Roman" w:cs="Times New Roman"/>
                <w:iCs/>
                <w:sz w:val="20"/>
                <w:szCs w:val="20"/>
                <w:lang w:val="tr-TR" w:bidi="en-US"/>
              </w:rPr>
            </w:pPr>
            <w:r w:rsidRPr="003723BD">
              <w:rPr>
                <w:rFonts w:ascii="Times New Roman" w:eastAsia="Times New Roman" w:hAnsi="Times New Roman" w:cs="Times New Roman"/>
                <w:iCs/>
                <w:sz w:val="20"/>
                <w:szCs w:val="20"/>
                <w:lang w:val="tr-TR" w:bidi="en-US"/>
              </w:rPr>
              <w:t>LEDU</w:t>
            </w:r>
          </w:p>
        </w:tc>
        <w:tc>
          <w:tcPr>
            <w:tcW w:w="3046" w:type="dxa"/>
            <w:tcBorders>
              <w:top w:val="nil"/>
              <w:left w:val="nil"/>
              <w:bottom w:val="nil"/>
              <w:right w:val="nil"/>
            </w:tcBorders>
          </w:tcPr>
          <w:p w14:paraId="3B1FCD93" w14:textId="4A5DE08F" w:rsidR="007D33E8" w:rsidRPr="003723BD" w:rsidRDefault="009E4ABE" w:rsidP="004A47CE">
            <w:pPr>
              <w:suppressLineNumbers/>
              <w:spacing w:after="120"/>
              <w:ind w:firstLine="709"/>
              <w:jc w:val="center"/>
              <w:rPr>
                <w:rFonts w:ascii="Times New Roman" w:eastAsia="Times New Roman" w:hAnsi="Times New Roman" w:cs="Times New Roman"/>
                <w:iCs/>
                <w:sz w:val="20"/>
                <w:szCs w:val="20"/>
                <w:lang w:bidi="en-US"/>
              </w:rPr>
            </w:pPr>
            <w:r w:rsidRPr="003723BD">
              <w:rPr>
                <w:rFonts w:ascii="Times New Roman" w:eastAsia="Times New Roman" w:hAnsi="Times New Roman" w:cs="Times New Roman"/>
                <w:iCs/>
                <w:sz w:val="20"/>
                <w:szCs w:val="20"/>
                <w:lang w:bidi="en-US"/>
              </w:rPr>
              <w:t>-0,14</w:t>
            </w:r>
          </w:p>
        </w:tc>
        <w:tc>
          <w:tcPr>
            <w:tcW w:w="3260" w:type="dxa"/>
            <w:tcBorders>
              <w:top w:val="nil"/>
              <w:left w:val="nil"/>
              <w:bottom w:val="nil"/>
            </w:tcBorders>
          </w:tcPr>
          <w:p w14:paraId="4E1E47A9" w14:textId="06E97E9F" w:rsidR="007D33E8" w:rsidRPr="003723BD" w:rsidRDefault="009E4ABE" w:rsidP="004A47CE">
            <w:pPr>
              <w:suppressLineNumbers/>
              <w:spacing w:after="120"/>
              <w:ind w:firstLine="709"/>
              <w:jc w:val="center"/>
              <w:rPr>
                <w:rFonts w:ascii="Times New Roman" w:eastAsia="Times New Roman" w:hAnsi="Times New Roman" w:cs="Times New Roman"/>
                <w:iCs/>
                <w:sz w:val="20"/>
                <w:szCs w:val="20"/>
                <w:lang w:bidi="en-US"/>
              </w:rPr>
            </w:pPr>
            <w:r w:rsidRPr="003723BD">
              <w:rPr>
                <w:rFonts w:ascii="Times New Roman" w:eastAsia="Times New Roman" w:hAnsi="Times New Roman" w:cs="Times New Roman"/>
                <w:iCs/>
                <w:sz w:val="20"/>
                <w:szCs w:val="20"/>
                <w:lang w:bidi="en-US"/>
              </w:rPr>
              <w:t>0,892</w:t>
            </w:r>
          </w:p>
        </w:tc>
      </w:tr>
      <w:tr w:rsidR="00B86FDD" w:rsidRPr="004A47CE" w14:paraId="73812B1F" w14:textId="77777777" w:rsidTr="005D3967">
        <w:tc>
          <w:tcPr>
            <w:tcW w:w="2336" w:type="dxa"/>
            <w:tcBorders>
              <w:top w:val="nil"/>
              <w:bottom w:val="nil"/>
              <w:right w:val="nil"/>
            </w:tcBorders>
          </w:tcPr>
          <w:p w14:paraId="68A8233C" w14:textId="2D927185" w:rsidR="00B86FDD" w:rsidRPr="003723BD" w:rsidRDefault="002C4B8D" w:rsidP="004A47CE">
            <w:pPr>
              <w:suppressLineNumbers/>
              <w:spacing w:after="120"/>
              <w:ind w:firstLine="709"/>
              <w:jc w:val="center"/>
              <w:rPr>
                <w:rFonts w:ascii="Times New Roman" w:eastAsia="Times New Roman" w:hAnsi="Times New Roman" w:cs="Times New Roman"/>
                <w:iCs/>
                <w:sz w:val="20"/>
                <w:szCs w:val="20"/>
                <w:lang w:val="tr-TR" w:bidi="en-US"/>
              </w:rPr>
            </w:pPr>
            <w:r w:rsidRPr="003723BD">
              <w:rPr>
                <w:rFonts w:ascii="Times New Roman" w:eastAsia="Times New Roman" w:hAnsi="Times New Roman" w:cs="Times New Roman"/>
                <w:iCs/>
                <w:sz w:val="20"/>
                <w:szCs w:val="20"/>
                <w:lang w:val="tr-TR" w:bidi="en-US"/>
              </w:rPr>
              <w:t xml:space="preserve">      </w:t>
            </w:r>
            <w:r w:rsidR="00B86FDD" w:rsidRPr="003723BD">
              <w:rPr>
                <w:rFonts w:ascii="Times New Roman" w:eastAsia="Times New Roman" w:hAnsi="Times New Roman" w:cs="Times New Roman"/>
                <w:iCs/>
                <w:sz w:val="20"/>
                <w:szCs w:val="20"/>
                <w:lang w:val="tr-TR" w:bidi="en-US"/>
              </w:rPr>
              <w:t>LWATER</w:t>
            </w:r>
          </w:p>
        </w:tc>
        <w:tc>
          <w:tcPr>
            <w:tcW w:w="3046" w:type="dxa"/>
            <w:tcBorders>
              <w:top w:val="nil"/>
              <w:left w:val="nil"/>
              <w:bottom w:val="nil"/>
              <w:right w:val="nil"/>
            </w:tcBorders>
          </w:tcPr>
          <w:p w14:paraId="155C9A1A" w14:textId="4A46D23E" w:rsidR="00B86FDD" w:rsidRPr="003723BD" w:rsidRDefault="009E4ABE" w:rsidP="004A47CE">
            <w:pPr>
              <w:suppressLineNumbers/>
              <w:spacing w:after="120"/>
              <w:ind w:firstLine="709"/>
              <w:jc w:val="center"/>
              <w:rPr>
                <w:rFonts w:ascii="Times New Roman" w:eastAsia="Times New Roman" w:hAnsi="Times New Roman" w:cs="Times New Roman"/>
                <w:iCs/>
                <w:sz w:val="20"/>
                <w:szCs w:val="20"/>
                <w:lang w:bidi="en-US"/>
              </w:rPr>
            </w:pPr>
            <w:r w:rsidRPr="003723BD">
              <w:rPr>
                <w:rFonts w:ascii="Times New Roman" w:eastAsia="Times New Roman" w:hAnsi="Times New Roman" w:cs="Times New Roman"/>
                <w:iCs/>
                <w:sz w:val="20"/>
                <w:szCs w:val="20"/>
                <w:lang w:bidi="en-US"/>
              </w:rPr>
              <w:t>38,48</w:t>
            </w:r>
          </w:p>
        </w:tc>
        <w:tc>
          <w:tcPr>
            <w:tcW w:w="3260" w:type="dxa"/>
            <w:tcBorders>
              <w:top w:val="nil"/>
              <w:left w:val="nil"/>
              <w:bottom w:val="nil"/>
            </w:tcBorders>
          </w:tcPr>
          <w:p w14:paraId="1C90A11A" w14:textId="2A88794C" w:rsidR="00B86FDD" w:rsidRPr="003723BD" w:rsidRDefault="009E4ABE" w:rsidP="004A47CE">
            <w:pPr>
              <w:suppressLineNumbers/>
              <w:spacing w:after="120"/>
              <w:ind w:firstLine="709"/>
              <w:jc w:val="center"/>
              <w:rPr>
                <w:rFonts w:ascii="Times New Roman" w:eastAsia="Times New Roman" w:hAnsi="Times New Roman" w:cs="Times New Roman"/>
                <w:iCs/>
                <w:sz w:val="20"/>
                <w:szCs w:val="20"/>
                <w:lang w:val="en-US" w:bidi="en-US"/>
              </w:rPr>
            </w:pPr>
            <w:r w:rsidRPr="003723BD">
              <w:rPr>
                <w:rFonts w:ascii="Times New Roman" w:eastAsia="Times New Roman" w:hAnsi="Times New Roman" w:cs="Times New Roman"/>
                <w:iCs/>
                <w:sz w:val="20"/>
                <w:szCs w:val="20"/>
                <w:lang w:val="en-US" w:bidi="en-US"/>
              </w:rPr>
              <w:t>0,000</w:t>
            </w:r>
          </w:p>
        </w:tc>
      </w:tr>
      <w:tr w:rsidR="00B86FDD" w:rsidRPr="004A47CE" w14:paraId="721DA7AF" w14:textId="77777777" w:rsidTr="003723BD">
        <w:tc>
          <w:tcPr>
            <w:tcW w:w="2336" w:type="dxa"/>
            <w:tcBorders>
              <w:top w:val="nil"/>
              <w:bottom w:val="single" w:sz="4" w:space="0" w:color="auto"/>
              <w:right w:val="nil"/>
            </w:tcBorders>
          </w:tcPr>
          <w:p w14:paraId="3D604BCF" w14:textId="6017C1F9" w:rsidR="00B86FDD" w:rsidRPr="003723BD" w:rsidRDefault="003723BD" w:rsidP="004A47CE">
            <w:pPr>
              <w:suppressLineNumbers/>
              <w:spacing w:after="120"/>
              <w:ind w:firstLine="709"/>
              <w:rPr>
                <w:rFonts w:ascii="Times New Roman" w:eastAsia="Times New Roman" w:hAnsi="Times New Roman" w:cs="Times New Roman"/>
                <w:iCs/>
                <w:sz w:val="20"/>
                <w:szCs w:val="20"/>
                <w:lang w:val="tr-TR" w:bidi="en-US"/>
              </w:rPr>
            </w:pPr>
            <w:r>
              <w:rPr>
                <w:rFonts w:ascii="Times New Roman" w:eastAsia="Times New Roman" w:hAnsi="Times New Roman" w:cs="Times New Roman"/>
                <w:iCs/>
                <w:sz w:val="20"/>
                <w:szCs w:val="20"/>
                <w:lang w:val="tr-TR" w:bidi="en-US"/>
              </w:rPr>
              <w:t xml:space="preserve">         </w:t>
            </w:r>
            <w:r w:rsidR="00B86FDD" w:rsidRPr="003723BD">
              <w:rPr>
                <w:rFonts w:ascii="Times New Roman" w:eastAsia="Times New Roman" w:hAnsi="Times New Roman" w:cs="Times New Roman"/>
                <w:iCs/>
                <w:sz w:val="20"/>
                <w:szCs w:val="20"/>
                <w:lang w:val="tr-TR" w:bidi="en-US"/>
              </w:rPr>
              <w:t>LHE</w:t>
            </w:r>
          </w:p>
        </w:tc>
        <w:tc>
          <w:tcPr>
            <w:tcW w:w="3046" w:type="dxa"/>
            <w:tcBorders>
              <w:top w:val="nil"/>
              <w:left w:val="nil"/>
              <w:bottom w:val="single" w:sz="4" w:space="0" w:color="auto"/>
              <w:right w:val="nil"/>
            </w:tcBorders>
          </w:tcPr>
          <w:p w14:paraId="32490E4E" w14:textId="797C0EDB" w:rsidR="00B86FDD" w:rsidRPr="003723BD" w:rsidRDefault="009E4ABE" w:rsidP="004A47CE">
            <w:pPr>
              <w:suppressLineNumbers/>
              <w:spacing w:after="120"/>
              <w:ind w:firstLine="709"/>
              <w:jc w:val="center"/>
              <w:rPr>
                <w:rFonts w:ascii="Times New Roman" w:eastAsia="Times New Roman" w:hAnsi="Times New Roman" w:cs="Times New Roman"/>
                <w:iCs/>
                <w:sz w:val="20"/>
                <w:szCs w:val="20"/>
                <w:lang w:bidi="en-US"/>
              </w:rPr>
            </w:pPr>
            <w:r w:rsidRPr="003723BD">
              <w:rPr>
                <w:rFonts w:ascii="Times New Roman" w:eastAsia="Times New Roman" w:hAnsi="Times New Roman" w:cs="Times New Roman"/>
                <w:iCs/>
                <w:sz w:val="20"/>
                <w:szCs w:val="20"/>
                <w:lang w:bidi="en-US"/>
              </w:rPr>
              <w:t>10,35</w:t>
            </w:r>
          </w:p>
        </w:tc>
        <w:tc>
          <w:tcPr>
            <w:tcW w:w="3260" w:type="dxa"/>
            <w:tcBorders>
              <w:top w:val="nil"/>
              <w:left w:val="nil"/>
              <w:bottom w:val="single" w:sz="4" w:space="0" w:color="auto"/>
            </w:tcBorders>
          </w:tcPr>
          <w:p w14:paraId="37B69277" w14:textId="4B50FEB8" w:rsidR="00B86FDD" w:rsidRPr="003723BD" w:rsidRDefault="009E4ABE" w:rsidP="004A47CE">
            <w:pPr>
              <w:suppressLineNumbers/>
              <w:spacing w:after="120"/>
              <w:ind w:firstLine="709"/>
              <w:jc w:val="center"/>
              <w:rPr>
                <w:rFonts w:ascii="Times New Roman" w:eastAsia="Times New Roman" w:hAnsi="Times New Roman" w:cs="Times New Roman"/>
                <w:iCs/>
                <w:sz w:val="20"/>
                <w:szCs w:val="20"/>
                <w:lang w:val="en-US" w:bidi="en-US"/>
              </w:rPr>
            </w:pPr>
            <w:r w:rsidRPr="003723BD">
              <w:rPr>
                <w:rFonts w:ascii="Times New Roman" w:eastAsia="Times New Roman" w:hAnsi="Times New Roman" w:cs="Times New Roman"/>
                <w:iCs/>
                <w:sz w:val="20"/>
                <w:szCs w:val="20"/>
                <w:lang w:val="en-US" w:bidi="en-US"/>
              </w:rPr>
              <w:t>0,000</w:t>
            </w:r>
          </w:p>
        </w:tc>
      </w:tr>
      <w:tr w:rsidR="00BE0FBA" w:rsidRPr="00940E86" w14:paraId="60E4C5A4" w14:textId="77777777" w:rsidTr="003723BD">
        <w:trPr>
          <w:trHeight w:val="664"/>
        </w:trPr>
        <w:tc>
          <w:tcPr>
            <w:tcW w:w="8642" w:type="dxa"/>
            <w:gridSpan w:val="3"/>
            <w:tcBorders>
              <w:top w:val="single" w:sz="4" w:space="0" w:color="auto"/>
              <w:bottom w:val="single" w:sz="4" w:space="0" w:color="auto"/>
            </w:tcBorders>
          </w:tcPr>
          <w:p w14:paraId="1FDE9B3C" w14:textId="00F48D2C" w:rsidR="00BE0FBA" w:rsidRPr="003723BD" w:rsidRDefault="008C5C85" w:rsidP="003723BD">
            <w:pPr>
              <w:suppressLineNumbers/>
              <w:spacing w:after="120"/>
              <w:jc w:val="both"/>
              <w:rPr>
                <w:rFonts w:ascii="Times New Roman" w:eastAsia="DejaVu Sans" w:hAnsi="Times New Roman" w:cs="Times New Roman"/>
                <w:color w:val="000000" w:themeColor="text1"/>
                <w:kern w:val="1"/>
                <w:sz w:val="16"/>
                <w:szCs w:val="16"/>
                <w:lang w:val="tr-TR" w:eastAsia="hi-IN" w:bidi="hi-IN"/>
              </w:rPr>
            </w:pPr>
            <w:r w:rsidRPr="003723BD">
              <w:rPr>
                <w:rFonts w:ascii="Times New Roman" w:eastAsia="DejaVu Sans" w:hAnsi="Times New Roman" w:cs="Times New Roman"/>
                <w:color w:val="000000" w:themeColor="text1"/>
                <w:kern w:val="1"/>
                <w:sz w:val="16"/>
                <w:szCs w:val="16"/>
                <w:lang w:val="tr-TR" w:eastAsia="hi-IN" w:bidi="hi-IN"/>
              </w:rPr>
              <w:t>Söz konusu test hem T</w:t>
            </w:r>
            <w:r w:rsidRPr="003723BD">
              <w:rPr>
                <w:rFonts w:ascii="Times New Roman" w:eastAsia="DejaVu Sans" w:hAnsi="Times New Roman" w:cs="Times New Roman"/>
                <w:color w:val="000000" w:themeColor="text1"/>
                <w:kern w:val="1"/>
                <w:sz w:val="16"/>
                <w:szCs w:val="16"/>
                <w:lang w:val="en-US" w:eastAsia="hi-IN" w:bidi="hi-IN"/>
              </w:rPr>
              <w:t>&gt;N hem de  T&lt;N olduğu durumlarda kullanılabilmektedir.</w:t>
            </w:r>
            <w:r w:rsidRPr="003723BD">
              <w:rPr>
                <w:rFonts w:ascii="Times New Roman" w:eastAsia="DejaVu Sans" w:hAnsi="Times New Roman" w:cs="Times New Roman"/>
                <w:color w:val="000000" w:themeColor="text1"/>
                <w:kern w:val="1"/>
                <w:sz w:val="16"/>
                <w:szCs w:val="16"/>
                <w:lang w:val="tr-TR" w:eastAsia="hi-IN" w:bidi="hi-IN"/>
              </w:rPr>
              <w:t xml:space="preserve"> </w:t>
            </w:r>
            <w:r w:rsidR="00680F2E" w:rsidRPr="003723BD">
              <w:rPr>
                <w:rFonts w:ascii="Times New Roman" w:eastAsia="DejaVu Sans" w:hAnsi="Times New Roman" w:cs="Times New Roman"/>
                <w:color w:val="000000" w:themeColor="text1"/>
                <w:kern w:val="1"/>
                <w:sz w:val="16"/>
                <w:szCs w:val="16"/>
                <w:lang w:val="tr-TR" w:eastAsia="hi-IN" w:bidi="hi-IN"/>
              </w:rPr>
              <w:t xml:space="preserve">Test istatistiği </w:t>
            </w:r>
            <w:r w:rsidR="00E919C8" w:rsidRPr="003723BD">
              <w:rPr>
                <w:rFonts w:ascii="Times New Roman" w:eastAsia="DejaVu Sans" w:hAnsi="Times New Roman" w:cs="Times New Roman"/>
                <w:color w:val="000000" w:themeColor="text1"/>
                <w:kern w:val="1"/>
                <w:sz w:val="16"/>
                <w:szCs w:val="16"/>
                <w:lang w:val="tr-TR" w:eastAsia="hi-IN" w:bidi="hi-IN"/>
              </w:rPr>
              <w:t>T</w:t>
            </w:r>
            <w:r w:rsidR="00D81D70" w:rsidRPr="003723BD">
              <w:rPr>
                <w:rFonts w:ascii="Times New Roman" w:eastAsia="DejaVu Sans" w:hAnsi="Times New Roman" w:cs="Times New Roman"/>
                <w:color w:val="000000" w:themeColor="text1"/>
                <w:kern w:val="1"/>
                <w:sz w:val="16"/>
                <w:szCs w:val="16"/>
                <w:lang w:val="en-US" w:eastAsia="hi-IN" w:bidi="hi-IN"/>
              </w:rPr>
              <w:t>&gt;N olduğu</w:t>
            </w:r>
            <w:r w:rsidR="00E919C8" w:rsidRPr="003723BD">
              <w:rPr>
                <w:rFonts w:ascii="Times New Roman" w:eastAsia="DejaVu Sans" w:hAnsi="Times New Roman" w:cs="Times New Roman"/>
                <w:color w:val="000000" w:themeColor="text1"/>
                <w:kern w:val="1"/>
                <w:sz w:val="16"/>
                <w:szCs w:val="16"/>
                <w:lang w:val="tr-TR" w:eastAsia="hi-IN" w:bidi="hi-IN"/>
              </w:rPr>
              <w:t xml:space="preserve"> durumlarda </w:t>
            </w:r>
            <w:r w:rsidR="00680F2E" w:rsidRPr="003723BD">
              <w:rPr>
                <w:rFonts w:ascii="Times New Roman" w:eastAsia="DejaVu Sans" w:hAnsi="Times New Roman" w:cs="Times New Roman"/>
                <w:color w:val="000000" w:themeColor="text1"/>
                <w:kern w:val="1"/>
                <w:sz w:val="16"/>
                <w:szCs w:val="16"/>
                <w:lang w:val="tr-TR" w:eastAsia="hi-IN" w:bidi="hi-IN"/>
              </w:rPr>
              <w:t>aşağıdaki gibi hesaplanabilmektedir:</w:t>
            </w:r>
          </w:p>
          <w:p w14:paraId="6D3D39F1" w14:textId="10654B70" w:rsidR="00680F2E" w:rsidRPr="004A47CE" w:rsidRDefault="00BE0FBA" w:rsidP="003723BD">
            <w:pPr>
              <w:suppressLineNumbers/>
              <w:spacing w:after="120"/>
              <w:jc w:val="both"/>
              <w:rPr>
                <w:rFonts w:ascii="Times New Roman" w:eastAsia="DejaVu Sans" w:hAnsi="Times New Roman" w:cs="Times New Roman"/>
                <w:color w:val="000000" w:themeColor="text1"/>
                <w:kern w:val="1"/>
                <w:sz w:val="24"/>
                <w:szCs w:val="24"/>
                <w:lang w:val="tr-TR" w:eastAsia="hi-IN" w:bidi="hi-IN"/>
              </w:rPr>
            </w:pPr>
            <m:oMath>
              <m:r>
                <w:rPr>
                  <w:rFonts w:ascii="Cambria Math" w:eastAsia="DejaVu Sans" w:hAnsi="Cambria Math" w:cs="Times New Roman"/>
                  <w:color w:val="000000" w:themeColor="text1"/>
                  <w:kern w:val="1"/>
                  <w:sz w:val="16"/>
                  <w:szCs w:val="16"/>
                  <w:lang w:val="tr-TR" w:eastAsia="hi-IN" w:bidi="hi-IN"/>
                </w:rPr>
                <m:t>CD=</m:t>
              </m:r>
              <m:rad>
                <m:radPr>
                  <m:degHide m:val="1"/>
                  <m:ctrlPr>
                    <w:rPr>
                      <w:rFonts w:ascii="Cambria Math" w:eastAsia="DejaVu Sans" w:hAnsi="Cambria Math" w:cs="Times New Roman"/>
                      <w:i/>
                      <w:color w:val="000000" w:themeColor="text1"/>
                      <w:kern w:val="1"/>
                      <w:sz w:val="16"/>
                      <w:szCs w:val="16"/>
                      <w:lang w:val="en-US" w:eastAsia="hi-IN" w:bidi="hi-IN"/>
                    </w:rPr>
                  </m:ctrlPr>
                </m:radPr>
                <m:deg/>
                <m:e>
                  <m:f>
                    <m:fPr>
                      <m:ctrlPr>
                        <w:rPr>
                          <w:rFonts w:ascii="Cambria Math" w:eastAsia="DejaVu Sans" w:hAnsi="Cambria Math" w:cs="Times New Roman"/>
                          <w:i/>
                          <w:color w:val="000000" w:themeColor="text1"/>
                          <w:kern w:val="1"/>
                          <w:sz w:val="16"/>
                          <w:szCs w:val="16"/>
                          <w:lang w:val="en-US" w:eastAsia="hi-IN" w:bidi="hi-IN"/>
                        </w:rPr>
                      </m:ctrlPr>
                    </m:fPr>
                    <m:num>
                      <m:r>
                        <w:rPr>
                          <w:rFonts w:ascii="Cambria Math" w:eastAsia="DejaVu Sans" w:hAnsi="Cambria Math" w:cs="Times New Roman"/>
                          <w:color w:val="000000" w:themeColor="text1"/>
                          <w:kern w:val="1"/>
                          <w:sz w:val="16"/>
                          <w:szCs w:val="16"/>
                          <w:lang w:val="tr-TR" w:eastAsia="hi-IN" w:bidi="hi-IN"/>
                        </w:rPr>
                        <m:t>1</m:t>
                      </m:r>
                    </m:num>
                    <m:den>
                      <m:r>
                        <w:rPr>
                          <w:rFonts w:ascii="Cambria Math" w:eastAsia="DejaVu Sans" w:hAnsi="Cambria Math" w:cs="Times New Roman"/>
                          <w:color w:val="000000" w:themeColor="text1"/>
                          <w:kern w:val="1"/>
                          <w:sz w:val="16"/>
                          <w:szCs w:val="16"/>
                          <w:lang w:val="tr-TR" w:eastAsia="hi-IN" w:bidi="hi-IN"/>
                        </w:rPr>
                        <m:t>N(N-1)</m:t>
                      </m:r>
                    </m:den>
                  </m:f>
                  <m:r>
                    <w:rPr>
                      <w:rFonts w:ascii="Cambria Math" w:eastAsia="DejaVu Sans" w:hAnsi="Cambria Math" w:cs="Times New Roman"/>
                      <w:color w:val="000000" w:themeColor="text1"/>
                      <w:kern w:val="1"/>
                      <w:sz w:val="16"/>
                      <w:szCs w:val="16"/>
                      <w:lang w:val="tr-TR" w:eastAsia="hi-IN" w:bidi="hi-IN"/>
                    </w:rPr>
                    <m:t xml:space="preserve"> </m:t>
                  </m:r>
                </m:e>
              </m:rad>
              <m:r>
                <w:rPr>
                  <w:rFonts w:ascii="Cambria Math" w:eastAsia="DejaVu Sans" w:hAnsi="Cambria Math" w:cs="Times New Roman"/>
                  <w:color w:val="000000" w:themeColor="text1"/>
                  <w:kern w:val="1"/>
                  <w:sz w:val="16"/>
                  <w:szCs w:val="16"/>
                  <w:lang w:val="tr-TR" w:eastAsia="hi-IN" w:bidi="hi-IN"/>
                </w:rPr>
                <m:t xml:space="preserve">  </m:t>
              </m:r>
              <m:nary>
                <m:naryPr>
                  <m:chr m:val="∑"/>
                  <m:limLoc m:val="subSup"/>
                  <m:ctrlPr>
                    <w:rPr>
                      <w:rFonts w:ascii="Cambria Math" w:eastAsia="DejaVu Sans" w:hAnsi="Cambria Math" w:cs="Times New Roman"/>
                      <w:i/>
                      <w:color w:val="000000" w:themeColor="text1"/>
                      <w:kern w:val="1"/>
                      <w:sz w:val="16"/>
                      <w:szCs w:val="16"/>
                      <w:lang w:val="en-US" w:eastAsia="hi-IN" w:bidi="hi-IN"/>
                    </w:rPr>
                  </m:ctrlPr>
                </m:naryPr>
                <m:sub>
                  <m:r>
                    <w:rPr>
                      <w:rFonts w:ascii="Cambria Math" w:eastAsia="DejaVu Sans" w:hAnsi="Cambria Math" w:cs="Times New Roman"/>
                      <w:color w:val="000000" w:themeColor="text1"/>
                      <w:kern w:val="1"/>
                      <w:sz w:val="16"/>
                      <w:szCs w:val="16"/>
                      <w:lang w:val="tr-TR" w:eastAsia="hi-IN" w:bidi="hi-IN"/>
                    </w:rPr>
                    <m:t>i=j</m:t>
                  </m:r>
                </m:sub>
                <m:sup>
                  <m:r>
                    <w:rPr>
                      <w:rFonts w:ascii="Cambria Math" w:eastAsia="DejaVu Sans" w:hAnsi="Cambria Math" w:cs="Times New Roman"/>
                      <w:color w:val="000000" w:themeColor="text1"/>
                      <w:kern w:val="1"/>
                      <w:sz w:val="16"/>
                      <w:szCs w:val="16"/>
                      <w:lang w:val="tr-TR" w:eastAsia="hi-IN" w:bidi="hi-IN"/>
                    </w:rPr>
                    <m:t>N-1</m:t>
                  </m:r>
                </m:sup>
                <m:e>
                  <m:nary>
                    <m:naryPr>
                      <m:chr m:val="∑"/>
                      <m:limLoc m:val="subSup"/>
                      <m:ctrlPr>
                        <w:rPr>
                          <w:rFonts w:ascii="Cambria Math" w:eastAsia="DejaVu Sans" w:hAnsi="Cambria Math" w:cs="Times New Roman"/>
                          <w:i/>
                          <w:color w:val="000000" w:themeColor="text1"/>
                          <w:kern w:val="1"/>
                          <w:sz w:val="16"/>
                          <w:szCs w:val="16"/>
                          <w:lang w:val="en-US" w:eastAsia="hi-IN" w:bidi="hi-IN"/>
                        </w:rPr>
                      </m:ctrlPr>
                    </m:naryPr>
                    <m:sub>
                      <m:r>
                        <w:rPr>
                          <w:rFonts w:ascii="Cambria Math" w:eastAsia="DejaVu Sans" w:hAnsi="Cambria Math" w:cs="Times New Roman"/>
                          <w:color w:val="000000" w:themeColor="text1"/>
                          <w:kern w:val="1"/>
                          <w:sz w:val="16"/>
                          <w:szCs w:val="16"/>
                          <w:lang w:val="tr-TR" w:eastAsia="hi-IN" w:bidi="hi-IN"/>
                        </w:rPr>
                        <m:t>i=j+1</m:t>
                      </m:r>
                    </m:sub>
                    <m:sup>
                      <m:r>
                        <w:rPr>
                          <w:rFonts w:ascii="Cambria Math" w:eastAsia="DejaVu Sans" w:hAnsi="Cambria Math" w:cs="Times New Roman"/>
                          <w:color w:val="000000" w:themeColor="text1"/>
                          <w:kern w:val="1"/>
                          <w:sz w:val="16"/>
                          <w:szCs w:val="16"/>
                          <w:lang w:val="tr-TR" w:eastAsia="hi-IN" w:bidi="hi-IN"/>
                        </w:rPr>
                        <m:t>N</m:t>
                      </m:r>
                    </m:sup>
                    <m:e>
                      <m:r>
                        <w:rPr>
                          <w:rFonts w:ascii="Cambria Math" w:eastAsia="DejaVu Sans" w:hAnsi="Cambria Math" w:cs="Times New Roman"/>
                          <w:color w:val="000000" w:themeColor="text1"/>
                          <w:kern w:val="1"/>
                          <w:sz w:val="16"/>
                          <w:szCs w:val="16"/>
                          <w:lang w:val="tr-TR" w:eastAsia="hi-IN" w:bidi="hi-IN"/>
                        </w:rPr>
                        <m:t>(T</m:t>
                      </m:r>
                      <m:sSubSup>
                        <m:sSubSupPr>
                          <m:ctrlPr>
                            <w:rPr>
                              <w:rFonts w:ascii="Cambria Math" w:eastAsia="DejaVu Sans" w:hAnsi="Cambria Math" w:cs="Times New Roman"/>
                              <w:i/>
                              <w:color w:val="000000" w:themeColor="text1"/>
                              <w:kern w:val="1"/>
                              <w:sz w:val="16"/>
                              <w:szCs w:val="16"/>
                              <w:lang w:val="en-US" w:eastAsia="hi-IN" w:bidi="hi-IN"/>
                            </w:rPr>
                          </m:ctrlPr>
                        </m:sSubSupPr>
                        <m:e>
                          <m:acc>
                            <m:accPr>
                              <m:ctrlPr>
                                <w:rPr>
                                  <w:rFonts w:ascii="Cambria Math" w:eastAsia="DejaVu Sans" w:hAnsi="Cambria Math" w:cs="Times New Roman"/>
                                  <w:i/>
                                  <w:color w:val="000000" w:themeColor="text1"/>
                                  <w:kern w:val="1"/>
                                  <w:sz w:val="16"/>
                                  <w:szCs w:val="16"/>
                                  <w:lang w:val="en-US" w:eastAsia="hi-IN" w:bidi="hi-IN"/>
                                </w:rPr>
                              </m:ctrlPr>
                            </m:accPr>
                            <m:e>
                              <m:r>
                                <w:rPr>
                                  <w:rFonts w:ascii="Cambria Math" w:eastAsia="DejaVu Sans" w:hAnsi="Cambria Math" w:cs="Times New Roman"/>
                                  <w:color w:val="000000" w:themeColor="text1"/>
                                  <w:kern w:val="1"/>
                                  <w:sz w:val="16"/>
                                  <w:szCs w:val="16"/>
                                  <w:lang w:val="tr-TR" w:eastAsia="hi-IN" w:bidi="hi-IN"/>
                                </w:rPr>
                                <m:t>ρ</m:t>
                              </m:r>
                            </m:e>
                          </m:acc>
                        </m:e>
                        <m:sub>
                          <m:r>
                            <w:rPr>
                              <w:rFonts w:ascii="Cambria Math" w:eastAsia="DejaVu Sans" w:hAnsi="Cambria Math" w:cs="Times New Roman"/>
                              <w:color w:val="000000" w:themeColor="text1"/>
                              <w:kern w:val="1"/>
                              <w:sz w:val="16"/>
                              <w:szCs w:val="16"/>
                              <w:lang w:val="tr-TR" w:eastAsia="hi-IN" w:bidi="hi-IN"/>
                            </w:rPr>
                            <m:t>ij</m:t>
                          </m:r>
                        </m:sub>
                        <m:sup>
                          <m:r>
                            <w:rPr>
                              <w:rFonts w:ascii="Cambria Math" w:eastAsia="DejaVu Sans" w:hAnsi="Cambria Math" w:cs="Times New Roman"/>
                              <w:color w:val="000000" w:themeColor="text1"/>
                              <w:kern w:val="1"/>
                              <w:sz w:val="16"/>
                              <w:szCs w:val="16"/>
                              <w:lang w:val="tr-TR" w:eastAsia="hi-IN" w:bidi="hi-IN"/>
                            </w:rPr>
                            <m:t>2</m:t>
                          </m:r>
                        </m:sup>
                      </m:sSubSup>
                      <m:r>
                        <w:rPr>
                          <w:rFonts w:ascii="Cambria Math" w:eastAsia="DejaVu Sans" w:hAnsi="Cambria Math" w:cs="Times New Roman"/>
                          <w:color w:val="000000" w:themeColor="text1"/>
                          <w:kern w:val="1"/>
                          <w:sz w:val="16"/>
                          <w:szCs w:val="16"/>
                          <w:lang w:val="tr-TR" w:eastAsia="hi-IN" w:bidi="hi-IN"/>
                        </w:rPr>
                        <m:t>-1)</m:t>
                      </m:r>
                    </m:e>
                  </m:nary>
                </m:e>
              </m:nary>
              <m:r>
                <w:rPr>
                  <w:rFonts w:ascii="Cambria Math" w:eastAsia="DejaVu Sans" w:hAnsi="Cambria Math" w:cs="Times New Roman"/>
                  <w:color w:val="000000" w:themeColor="text1"/>
                  <w:kern w:val="1"/>
                  <w:sz w:val="16"/>
                  <w:szCs w:val="16"/>
                  <w:lang w:val="tr-TR" w:eastAsia="hi-IN" w:bidi="hi-IN"/>
                </w:rPr>
                <m:t>~N(0,1)</m:t>
              </m:r>
            </m:oMath>
            <w:r w:rsidR="008C5C85" w:rsidRPr="003723BD">
              <w:rPr>
                <w:rFonts w:ascii="Times New Roman" w:eastAsia="DejaVu Sans" w:hAnsi="Times New Roman" w:cs="Times New Roman"/>
                <w:color w:val="000000" w:themeColor="text1"/>
                <w:kern w:val="1"/>
                <w:sz w:val="16"/>
                <w:szCs w:val="16"/>
                <w:lang w:val="tr-TR" w:eastAsia="hi-IN" w:bidi="hi-IN"/>
              </w:rPr>
              <w:t xml:space="preserve">. </w:t>
            </w:r>
            <w:r w:rsidR="00680F2E" w:rsidRPr="003723BD">
              <w:rPr>
                <w:rFonts w:ascii="Times New Roman" w:eastAsia="DejaVu Sans" w:hAnsi="Times New Roman" w:cs="Times New Roman"/>
                <w:color w:val="000000" w:themeColor="text1"/>
                <w:kern w:val="1"/>
                <w:sz w:val="16"/>
                <w:szCs w:val="16"/>
                <w:lang w:val="tr-TR" w:eastAsia="hi-IN" w:bidi="hi-IN"/>
              </w:rPr>
              <w:t xml:space="preserve">Burada </w:t>
            </w:r>
            <m:oMath>
              <m:sSub>
                <m:sSubPr>
                  <m:ctrlPr>
                    <w:rPr>
                      <w:rFonts w:ascii="Cambria Math" w:eastAsia="DejaVu Sans" w:hAnsi="Cambria Math" w:cs="Times New Roman"/>
                      <w:i/>
                      <w:color w:val="000000" w:themeColor="text1"/>
                      <w:kern w:val="1"/>
                      <w:sz w:val="16"/>
                      <w:szCs w:val="16"/>
                      <w:lang w:val="tr-TR" w:eastAsia="hi-IN" w:bidi="en-US"/>
                    </w:rPr>
                  </m:ctrlPr>
                </m:sSubPr>
                <m:e>
                  <m:r>
                    <w:rPr>
                      <w:rFonts w:ascii="Cambria Math" w:eastAsia="DejaVu Sans" w:hAnsi="Cambria Math" w:cs="Times New Roman"/>
                      <w:color w:val="000000" w:themeColor="text1"/>
                      <w:kern w:val="1"/>
                      <w:sz w:val="16"/>
                      <w:szCs w:val="16"/>
                      <w:lang w:val="tr-TR" w:eastAsia="hi-IN" w:bidi="en-US"/>
                    </w:rPr>
                    <m:t>ρ</m:t>
                  </m:r>
                </m:e>
                <m:sub>
                  <m:r>
                    <w:rPr>
                      <w:rFonts w:ascii="Cambria Math" w:eastAsia="DejaVu Sans" w:hAnsi="Cambria Math" w:cs="Times New Roman"/>
                      <w:color w:val="000000" w:themeColor="text1"/>
                      <w:kern w:val="1"/>
                      <w:sz w:val="16"/>
                      <w:szCs w:val="16"/>
                      <w:lang w:val="tr-TR" w:eastAsia="hi-IN" w:bidi="en-US"/>
                    </w:rPr>
                    <m:t>ij</m:t>
                  </m:r>
                </m:sub>
              </m:sSub>
            </m:oMath>
            <w:r w:rsidR="00680F2E" w:rsidRPr="003723BD">
              <w:rPr>
                <w:rFonts w:ascii="Times New Roman" w:eastAsia="DejaVu Sans" w:hAnsi="Times New Roman" w:cs="Times New Roman"/>
                <w:color w:val="000000" w:themeColor="text1"/>
                <w:kern w:val="1"/>
                <w:sz w:val="16"/>
                <w:szCs w:val="16"/>
                <w:lang w:val="tr-TR" w:eastAsia="hi-IN" w:bidi="en-US"/>
              </w:rPr>
              <w:t xml:space="preserve"> </w:t>
            </w:r>
            <w:r w:rsidR="00680F2E" w:rsidRPr="003723BD">
              <w:rPr>
                <w:rFonts w:ascii="Times New Roman" w:eastAsia="DejaVu Sans" w:hAnsi="Times New Roman" w:cs="Times New Roman"/>
                <w:color w:val="000000" w:themeColor="text1"/>
                <w:kern w:val="1"/>
                <w:sz w:val="16"/>
                <w:szCs w:val="16"/>
                <w:lang w:val="tr-TR" w:eastAsia="hi-IN" w:bidi="hi-IN"/>
              </w:rPr>
              <w:t>herbir denklemin en küçük kareler yöntemi ile tahmininden elde edilen artıklar arasındaki basit korelasyon katsayısını göstermektedir.</w:t>
            </w:r>
            <w:r w:rsidR="00680F2E" w:rsidRPr="003723BD">
              <w:rPr>
                <w:rFonts w:ascii="Times New Roman" w:hAnsi="Times New Roman" w:cs="Times New Roman"/>
                <w:color w:val="000000" w:themeColor="text1"/>
                <w:sz w:val="16"/>
                <w:szCs w:val="16"/>
                <w:lang w:val="tr-TR"/>
              </w:rPr>
              <w:t xml:space="preserve"> </w:t>
            </w:r>
            <w:r w:rsidR="00680F2E" w:rsidRPr="003723BD">
              <w:rPr>
                <w:rFonts w:ascii="Times New Roman" w:eastAsia="DejaVu Sans" w:hAnsi="Times New Roman" w:cs="Times New Roman"/>
                <w:color w:val="000000" w:themeColor="text1"/>
                <w:kern w:val="1"/>
                <w:sz w:val="16"/>
                <w:szCs w:val="16"/>
                <w:lang w:val="tr-TR" w:eastAsia="hi-IN" w:bidi="hi-IN"/>
              </w:rPr>
              <w:t xml:space="preserve">Temel hipotez, </w:t>
            </w:r>
            <w:r w:rsidR="00680F2E" w:rsidRPr="003723BD">
              <w:rPr>
                <w:rFonts w:ascii="Cambria Math" w:eastAsia="DejaVu Sans" w:hAnsi="Cambria Math" w:cs="Cambria Math"/>
                <w:color w:val="000000" w:themeColor="text1"/>
                <w:kern w:val="1"/>
                <w:sz w:val="16"/>
                <w:szCs w:val="16"/>
                <w:lang w:val="tr-TR" w:eastAsia="hi-IN" w:bidi="hi-IN"/>
              </w:rPr>
              <w:t>𝐻</w:t>
            </w:r>
            <w:r w:rsidR="00680F2E" w:rsidRPr="003723BD">
              <w:rPr>
                <w:rFonts w:ascii="Times New Roman" w:eastAsia="DejaVu Sans" w:hAnsi="Times New Roman" w:cs="Times New Roman"/>
                <w:color w:val="000000" w:themeColor="text1"/>
                <w:kern w:val="1"/>
                <w:sz w:val="16"/>
                <w:szCs w:val="16"/>
                <w:lang w:val="tr-TR" w:eastAsia="hi-IN" w:bidi="hi-IN"/>
              </w:rPr>
              <w:t xml:space="preserve">0: </w:t>
            </w:r>
            <w:r w:rsidR="00680F2E" w:rsidRPr="003723BD">
              <w:rPr>
                <w:rFonts w:ascii="Cambria Math" w:eastAsia="DejaVu Sans" w:hAnsi="Cambria Math" w:cs="Cambria Math"/>
                <w:color w:val="000000" w:themeColor="text1"/>
                <w:kern w:val="1"/>
                <w:sz w:val="16"/>
                <w:szCs w:val="16"/>
                <w:lang w:val="tr-TR" w:eastAsia="hi-IN" w:bidi="hi-IN"/>
              </w:rPr>
              <w:t>𝜌𝑖𝑗</w:t>
            </w:r>
            <w:r w:rsidR="00680F2E" w:rsidRPr="003723BD">
              <w:rPr>
                <w:rFonts w:ascii="Times New Roman" w:eastAsia="DejaVu Sans" w:hAnsi="Times New Roman" w:cs="Times New Roman"/>
                <w:color w:val="000000" w:themeColor="text1"/>
                <w:kern w:val="1"/>
                <w:sz w:val="16"/>
                <w:szCs w:val="16"/>
                <w:lang w:val="tr-TR" w:eastAsia="hi-IN" w:bidi="hi-IN"/>
              </w:rPr>
              <w:t xml:space="preserve"> = </w:t>
            </w:r>
            <w:r w:rsidR="00680F2E" w:rsidRPr="003723BD">
              <w:rPr>
                <w:rFonts w:ascii="Cambria Math" w:eastAsia="DejaVu Sans" w:hAnsi="Cambria Math" w:cs="Cambria Math"/>
                <w:color w:val="000000" w:themeColor="text1"/>
                <w:kern w:val="1"/>
                <w:sz w:val="16"/>
                <w:szCs w:val="16"/>
                <w:lang w:val="tr-TR" w:eastAsia="hi-IN" w:bidi="hi-IN"/>
              </w:rPr>
              <w:t>𝑐𝑜𝑟</w:t>
            </w:r>
            <w:r w:rsidR="00680F2E" w:rsidRPr="003723BD">
              <w:rPr>
                <w:rFonts w:ascii="Times New Roman" w:eastAsia="DejaVu Sans" w:hAnsi="Times New Roman" w:cs="Times New Roman"/>
                <w:color w:val="000000" w:themeColor="text1"/>
                <w:kern w:val="1"/>
                <w:sz w:val="16"/>
                <w:szCs w:val="16"/>
                <w:lang w:val="tr-TR" w:eastAsia="hi-IN" w:bidi="hi-IN"/>
              </w:rPr>
              <w:t>(</w:t>
            </w:r>
            <w:r w:rsidR="00680F2E" w:rsidRPr="003723BD">
              <w:rPr>
                <w:rFonts w:ascii="Cambria Math" w:eastAsia="DejaVu Sans" w:hAnsi="Cambria Math" w:cs="Cambria Math"/>
                <w:color w:val="000000" w:themeColor="text1"/>
                <w:kern w:val="1"/>
                <w:sz w:val="16"/>
                <w:szCs w:val="16"/>
                <w:lang w:val="tr-TR" w:eastAsia="hi-IN" w:bidi="hi-IN"/>
              </w:rPr>
              <w:t>𝑢𝑖𝑡</w:t>
            </w:r>
            <w:r w:rsidR="00680F2E" w:rsidRPr="003723BD">
              <w:rPr>
                <w:rFonts w:ascii="Times New Roman" w:eastAsia="DejaVu Sans" w:hAnsi="Times New Roman" w:cs="Times New Roman"/>
                <w:color w:val="000000" w:themeColor="text1"/>
                <w:kern w:val="1"/>
                <w:sz w:val="16"/>
                <w:szCs w:val="16"/>
                <w:lang w:val="tr-TR" w:eastAsia="hi-IN" w:bidi="hi-IN"/>
              </w:rPr>
              <w:t xml:space="preserve">, </w:t>
            </w:r>
            <w:r w:rsidR="00680F2E" w:rsidRPr="003723BD">
              <w:rPr>
                <w:rFonts w:ascii="Cambria Math" w:eastAsia="DejaVu Sans" w:hAnsi="Cambria Math" w:cs="Cambria Math"/>
                <w:color w:val="000000" w:themeColor="text1"/>
                <w:kern w:val="1"/>
                <w:sz w:val="16"/>
                <w:szCs w:val="16"/>
                <w:lang w:val="tr-TR" w:eastAsia="hi-IN" w:bidi="hi-IN"/>
              </w:rPr>
              <w:t>𝑢𝑗𝑡</w:t>
            </w:r>
            <w:r w:rsidR="00680F2E" w:rsidRPr="003723BD">
              <w:rPr>
                <w:rFonts w:ascii="Times New Roman" w:eastAsia="DejaVu Sans" w:hAnsi="Times New Roman" w:cs="Times New Roman"/>
                <w:color w:val="000000" w:themeColor="text1"/>
                <w:kern w:val="1"/>
                <w:sz w:val="16"/>
                <w:szCs w:val="16"/>
                <w:lang w:val="tr-TR" w:eastAsia="hi-IN" w:bidi="hi-IN"/>
              </w:rPr>
              <w:t xml:space="preserve">) = 0 </w:t>
            </w:r>
            <w:r w:rsidR="00680F2E" w:rsidRPr="003723BD">
              <w:rPr>
                <w:rFonts w:ascii="Cambria Math" w:eastAsia="DejaVu Sans" w:hAnsi="Cambria Math" w:cs="Cambria Math"/>
                <w:color w:val="000000" w:themeColor="text1"/>
                <w:kern w:val="1"/>
                <w:sz w:val="16"/>
                <w:szCs w:val="16"/>
                <w:lang w:val="tr-TR" w:eastAsia="hi-IN" w:bidi="hi-IN"/>
              </w:rPr>
              <w:t>𝑖</w:t>
            </w:r>
            <w:r w:rsidR="00680F2E" w:rsidRPr="003723BD">
              <w:rPr>
                <w:rFonts w:ascii="Times New Roman" w:eastAsia="DejaVu Sans" w:hAnsi="Times New Roman" w:cs="Times New Roman"/>
                <w:color w:val="000000" w:themeColor="text1"/>
                <w:kern w:val="1"/>
                <w:sz w:val="16"/>
                <w:szCs w:val="16"/>
                <w:lang w:val="tr-TR" w:eastAsia="hi-IN" w:bidi="hi-IN"/>
              </w:rPr>
              <w:t xml:space="preserve"> ≠ </w:t>
            </w:r>
            <w:r w:rsidR="00680F2E" w:rsidRPr="003723BD">
              <w:rPr>
                <w:rFonts w:ascii="Cambria Math" w:eastAsia="DejaVu Sans" w:hAnsi="Cambria Math" w:cs="Cambria Math"/>
                <w:color w:val="000000" w:themeColor="text1"/>
                <w:kern w:val="1"/>
                <w:sz w:val="16"/>
                <w:szCs w:val="16"/>
                <w:lang w:val="tr-TR" w:eastAsia="hi-IN" w:bidi="hi-IN"/>
              </w:rPr>
              <w:t>𝑗</w:t>
            </w:r>
            <w:r w:rsidR="00680F2E" w:rsidRPr="003723BD">
              <w:rPr>
                <w:rFonts w:ascii="Times New Roman" w:eastAsia="DejaVu Sans" w:hAnsi="Times New Roman" w:cs="Times New Roman"/>
                <w:color w:val="000000" w:themeColor="text1"/>
                <w:kern w:val="1"/>
                <w:sz w:val="16"/>
                <w:szCs w:val="16"/>
                <w:lang w:val="tr-TR" w:eastAsia="hi-IN" w:bidi="hi-IN"/>
              </w:rPr>
              <w:t xml:space="preserve"> şeklindedir ve yatay kesit bağımlılık olmadığını ifade etmektedir.</w:t>
            </w:r>
          </w:p>
        </w:tc>
      </w:tr>
    </w:tbl>
    <w:p w14:paraId="4A61D0B0" w14:textId="5CF3D981" w:rsidR="007D33E8" w:rsidRPr="004A47CE" w:rsidRDefault="007D33E8" w:rsidP="003723BD">
      <w:pPr>
        <w:suppressLineNumbers/>
        <w:spacing w:after="120" w:line="240" w:lineRule="auto"/>
        <w:rPr>
          <w:rFonts w:ascii="Times New Roman" w:eastAsia="Times New Roman" w:hAnsi="Times New Roman" w:cs="Times New Roman"/>
          <w:b/>
          <w:i/>
          <w:iCs/>
          <w:sz w:val="24"/>
          <w:szCs w:val="24"/>
          <w:lang w:val="tr-TR" w:bidi="en-US"/>
        </w:rPr>
      </w:pPr>
    </w:p>
    <w:p w14:paraId="63CA53B8" w14:textId="065F6FAB" w:rsidR="0024435A" w:rsidRPr="004A47CE" w:rsidRDefault="0024435A" w:rsidP="004A47CE">
      <w:pPr>
        <w:spacing w:after="120" w:line="240" w:lineRule="auto"/>
        <w:ind w:firstLine="709"/>
        <w:jc w:val="both"/>
        <w:rPr>
          <w:rFonts w:ascii="Times New Roman" w:eastAsia="DejaVu Sans" w:hAnsi="Times New Roman" w:cs="Times New Roman"/>
          <w:color w:val="000000" w:themeColor="text1"/>
          <w:kern w:val="1"/>
          <w:sz w:val="24"/>
          <w:szCs w:val="24"/>
          <w:lang w:val="en-US" w:bidi="en-US"/>
        </w:rPr>
      </w:pPr>
      <w:r w:rsidRPr="004A47CE">
        <w:rPr>
          <w:rFonts w:ascii="Times New Roman" w:eastAsia="DejaVu Sans" w:hAnsi="Times New Roman" w:cs="Times New Roman"/>
          <w:color w:val="000000" w:themeColor="text1"/>
          <w:kern w:val="1"/>
          <w:sz w:val="24"/>
          <w:szCs w:val="24"/>
          <w:lang w:val="tr-TR" w:bidi="en-US"/>
        </w:rPr>
        <w:t>Tablo</w:t>
      </w:r>
      <w:r w:rsidR="001F065F" w:rsidRPr="004A47CE">
        <w:rPr>
          <w:rFonts w:ascii="Times New Roman" w:eastAsia="DejaVu Sans" w:hAnsi="Times New Roman" w:cs="Times New Roman"/>
          <w:color w:val="000000" w:themeColor="text1"/>
          <w:kern w:val="1"/>
          <w:sz w:val="24"/>
          <w:szCs w:val="24"/>
          <w:lang w:val="tr-TR" w:bidi="en-US"/>
        </w:rPr>
        <w:t xml:space="preserve"> 3</w:t>
      </w:r>
      <w:r w:rsidRPr="004A47CE">
        <w:rPr>
          <w:rFonts w:ascii="Times New Roman" w:eastAsia="DejaVu Sans" w:hAnsi="Times New Roman" w:cs="Times New Roman"/>
          <w:color w:val="000000" w:themeColor="text1"/>
          <w:kern w:val="1"/>
          <w:sz w:val="24"/>
          <w:szCs w:val="24"/>
          <w:lang w:val="tr-TR" w:bidi="en-US"/>
        </w:rPr>
        <w:t>’</w:t>
      </w:r>
      <w:r w:rsidR="001F065F" w:rsidRPr="004A47CE">
        <w:rPr>
          <w:rFonts w:ascii="Times New Roman" w:eastAsia="DejaVu Sans" w:hAnsi="Times New Roman" w:cs="Times New Roman"/>
          <w:color w:val="000000" w:themeColor="text1"/>
          <w:kern w:val="1"/>
          <w:sz w:val="24"/>
          <w:szCs w:val="24"/>
          <w:lang w:val="tr-TR" w:bidi="en-US"/>
        </w:rPr>
        <w:t>t</w:t>
      </w:r>
      <w:r w:rsidRPr="004A47CE">
        <w:rPr>
          <w:rFonts w:ascii="Times New Roman" w:eastAsia="DejaVu Sans" w:hAnsi="Times New Roman" w:cs="Times New Roman"/>
          <w:color w:val="000000" w:themeColor="text1"/>
          <w:kern w:val="1"/>
          <w:sz w:val="24"/>
          <w:szCs w:val="24"/>
          <w:lang w:val="tr-TR" w:bidi="en-US"/>
        </w:rPr>
        <w:t>e özetlenen sonuçlara göre</w:t>
      </w:r>
      <w:r w:rsidR="00C53B32" w:rsidRPr="004A47CE">
        <w:rPr>
          <w:rFonts w:ascii="Times New Roman" w:hAnsi="Times New Roman" w:cs="Times New Roman"/>
          <w:color w:val="000000" w:themeColor="text1"/>
          <w:sz w:val="24"/>
          <w:szCs w:val="24"/>
          <w:lang w:val="tr-TR"/>
        </w:rPr>
        <w:t xml:space="preserve"> </w:t>
      </w:r>
      <w:r w:rsidR="00C53B32" w:rsidRPr="004A47CE">
        <w:rPr>
          <w:rFonts w:ascii="Times New Roman" w:eastAsia="DejaVu Sans" w:hAnsi="Times New Roman" w:cs="Times New Roman"/>
          <w:color w:val="000000" w:themeColor="text1"/>
          <w:kern w:val="1"/>
          <w:sz w:val="24"/>
          <w:szCs w:val="24"/>
          <w:lang w:val="tr-TR" w:bidi="en-US"/>
        </w:rPr>
        <w:t>olasılık değerleri 0,01'den küçük olduğu için H</w:t>
      </w:r>
      <w:r w:rsidR="00C53B32" w:rsidRPr="004A47CE">
        <w:rPr>
          <w:rFonts w:ascii="Times New Roman" w:eastAsia="DejaVu Sans" w:hAnsi="Times New Roman" w:cs="Times New Roman"/>
          <w:color w:val="000000" w:themeColor="text1"/>
          <w:kern w:val="1"/>
          <w:sz w:val="24"/>
          <w:szCs w:val="24"/>
          <w:vertAlign w:val="subscript"/>
          <w:lang w:val="tr-TR" w:bidi="en-US"/>
        </w:rPr>
        <w:t xml:space="preserve">0 </w:t>
      </w:r>
      <w:r w:rsidR="00C53B32" w:rsidRPr="004A47CE">
        <w:rPr>
          <w:rFonts w:ascii="Times New Roman" w:eastAsia="DejaVu Sans" w:hAnsi="Times New Roman" w:cs="Times New Roman"/>
          <w:color w:val="000000" w:themeColor="text1"/>
          <w:kern w:val="1"/>
          <w:sz w:val="24"/>
          <w:szCs w:val="24"/>
          <w:lang w:val="tr-TR" w:bidi="en-US"/>
        </w:rPr>
        <w:t>hipotezi reddedilerek nüfus ve eğitim değişkenleri hariç diğer serilerde yatay kesit bağımlılığının olduğu tespit edilmişti</w:t>
      </w:r>
      <w:r w:rsidRPr="004A47CE">
        <w:rPr>
          <w:rFonts w:ascii="Times New Roman" w:eastAsia="DejaVu Sans" w:hAnsi="Times New Roman" w:cs="Times New Roman"/>
          <w:color w:val="000000" w:themeColor="text1"/>
          <w:kern w:val="1"/>
          <w:sz w:val="24"/>
          <w:szCs w:val="24"/>
          <w:lang w:val="tr-TR" w:bidi="en-US"/>
        </w:rPr>
        <w:t>r</w:t>
      </w:r>
      <w:r w:rsidR="009E4ABE" w:rsidRPr="004A47CE">
        <w:rPr>
          <w:rFonts w:ascii="Times New Roman" w:eastAsia="DejaVu Sans" w:hAnsi="Times New Roman" w:cs="Times New Roman"/>
          <w:color w:val="000000" w:themeColor="text1"/>
          <w:kern w:val="1"/>
          <w:sz w:val="24"/>
          <w:szCs w:val="24"/>
          <w:lang w:val="tr-TR" w:bidi="en-US"/>
        </w:rPr>
        <w:t xml:space="preserve">. Yatay kesit bağımlılık söz konusu olduğu durumlarda </w:t>
      </w:r>
      <w:r w:rsidRPr="004A47CE">
        <w:rPr>
          <w:rFonts w:ascii="Times New Roman" w:eastAsia="DejaVu Sans" w:hAnsi="Times New Roman" w:cs="Times New Roman"/>
          <w:color w:val="000000" w:themeColor="text1"/>
          <w:kern w:val="1"/>
          <w:sz w:val="24"/>
          <w:szCs w:val="24"/>
          <w:lang w:val="tr-TR" w:bidi="en-US"/>
        </w:rPr>
        <w:t xml:space="preserve">ikinci nesil birim kök testlerinin uygulanması önerilmektedir. </w:t>
      </w:r>
      <w:r w:rsidRPr="004A47CE">
        <w:rPr>
          <w:rFonts w:ascii="Times New Roman" w:eastAsia="DejaVu Sans" w:hAnsi="Times New Roman" w:cs="Times New Roman"/>
          <w:color w:val="000000" w:themeColor="text1"/>
          <w:kern w:val="1"/>
          <w:sz w:val="24"/>
          <w:szCs w:val="24"/>
          <w:lang w:val="en-US" w:bidi="en-US"/>
        </w:rPr>
        <w:t xml:space="preserve">Buna göre serilerin birim kök içerip içermedikleri Pesaran (2007) tarafından önerilen CADF (Cross-Sectionally Augmented Dickey Fuller) testi ile incelenmiştir. </w:t>
      </w:r>
      <w:r w:rsidRPr="004A47CE">
        <w:rPr>
          <w:rFonts w:ascii="Times New Roman" w:eastAsia="Calibri" w:hAnsi="Times New Roman" w:cs="Times New Roman"/>
          <w:color w:val="000000" w:themeColor="text1"/>
          <w:kern w:val="1"/>
          <w:sz w:val="24"/>
          <w:szCs w:val="24"/>
          <w:lang w:val="en-US"/>
        </w:rPr>
        <w:t xml:space="preserve">Pesaran (2007) CADF testinin hem T&gt;N hem de N&gt;T durumlarında etkin bir şekilde kullanılabileceğini </w:t>
      </w:r>
      <w:r w:rsidRPr="004A47CE">
        <w:rPr>
          <w:rFonts w:ascii="Times New Roman" w:eastAsia="Calibri" w:hAnsi="Times New Roman" w:cs="Times New Roman"/>
          <w:color w:val="000000" w:themeColor="text1"/>
          <w:kern w:val="1"/>
          <w:sz w:val="24"/>
          <w:szCs w:val="24"/>
          <w:lang w:val="tr-TR"/>
        </w:rPr>
        <w:t>i</w:t>
      </w:r>
      <w:r w:rsidRPr="004A47CE">
        <w:rPr>
          <w:rFonts w:ascii="Times New Roman" w:eastAsia="Calibri" w:hAnsi="Times New Roman" w:cs="Times New Roman"/>
          <w:color w:val="000000" w:themeColor="text1"/>
          <w:kern w:val="1"/>
          <w:sz w:val="24"/>
          <w:szCs w:val="24"/>
          <w:lang w:val="en-US"/>
        </w:rPr>
        <w:t xml:space="preserve">leri sürmüştür. </w:t>
      </w:r>
      <w:r w:rsidRPr="004A47CE">
        <w:rPr>
          <w:rFonts w:ascii="Times New Roman" w:eastAsia="Calibri" w:hAnsi="Times New Roman" w:cs="Times New Roman"/>
          <w:color w:val="000000" w:themeColor="text1"/>
          <w:kern w:val="1"/>
          <w:sz w:val="24"/>
          <w:szCs w:val="24"/>
          <w:lang w:val="tr-TR"/>
        </w:rPr>
        <w:t>CADF regresyon denklemi</w:t>
      </w:r>
    </w:p>
    <w:p w14:paraId="63FAA60A" w14:textId="0BED51C4" w:rsidR="0024435A" w:rsidRPr="004A47CE" w:rsidRDefault="0024435A" w:rsidP="004A47CE">
      <w:pPr>
        <w:spacing w:after="120" w:line="240" w:lineRule="auto"/>
        <w:ind w:firstLine="709"/>
        <w:jc w:val="both"/>
        <w:rPr>
          <w:rFonts w:ascii="Times New Roman" w:eastAsia="DejaVu Sans" w:hAnsi="Times New Roman" w:cs="Times New Roman"/>
          <w:kern w:val="1"/>
          <w:sz w:val="24"/>
          <w:szCs w:val="24"/>
          <w:lang w:val="tr-TR"/>
        </w:rPr>
      </w:pPr>
      <w:r w:rsidRPr="004A47CE">
        <w:rPr>
          <w:rFonts w:ascii="Times New Roman" w:eastAsia="Calibri" w:hAnsi="Times New Roman" w:cs="Times New Roman"/>
          <w:kern w:val="1"/>
          <w:sz w:val="24"/>
          <w:szCs w:val="24"/>
          <w:lang w:val="tr-TR"/>
        </w:rPr>
        <w:t xml:space="preserve"> </w:t>
      </w:r>
      <m:oMath>
        <m:r>
          <w:rPr>
            <w:rFonts w:ascii="Cambria Math" w:eastAsia="Calibri" w:hAnsi="Cambria Math" w:cs="Times New Roman"/>
            <w:kern w:val="1"/>
            <w:sz w:val="24"/>
            <w:szCs w:val="24"/>
            <w:lang w:val="tr-TR"/>
          </w:rPr>
          <m:t>∆</m:t>
        </m:r>
        <m:sSub>
          <m:sSubPr>
            <m:ctrlPr>
              <w:rPr>
                <w:rFonts w:ascii="Cambria Math" w:eastAsia="Calibri" w:hAnsi="Cambria Math" w:cs="Times New Roman"/>
                <w:i/>
                <w:kern w:val="1"/>
                <w:sz w:val="24"/>
                <w:szCs w:val="24"/>
                <w:lang w:val="tr-TR"/>
              </w:rPr>
            </m:ctrlPr>
          </m:sSubPr>
          <m:e>
            <m:r>
              <w:rPr>
                <w:rFonts w:ascii="Cambria Math" w:eastAsia="Calibri" w:hAnsi="Cambria Math" w:cs="Times New Roman"/>
                <w:kern w:val="1"/>
                <w:sz w:val="24"/>
                <w:szCs w:val="24"/>
                <w:lang w:val="tr-TR"/>
              </w:rPr>
              <m:t>Y</m:t>
            </m:r>
          </m:e>
          <m:sub>
            <m:r>
              <w:rPr>
                <w:rFonts w:ascii="Cambria Math" w:eastAsia="Calibri" w:hAnsi="Cambria Math" w:cs="Times New Roman"/>
                <w:kern w:val="1"/>
                <w:sz w:val="24"/>
                <w:szCs w:val="24"/>
                <w:lang w:val="tr-TR"/>
              </w:rPr>
              <m:t>it</m:t>
            </m:r>
          </m:sub>
        </m:sSub>
        <m:r>
          <w:rPr>
            <w:rFonts w:ascii="Cambria Math" w:eastAsia="Calibri" w:hAnsi="Cambria Math" w:cs="Times New Roman"/>
            <w:kern w:val="1"/>
            <w:sz w:val="24"/>
            <w:szCs w:val="24"/>
            <w:lang w:val="tr-TR"/>
          </w:rPr>
          <m:t>=</m:t>
        </m:r>
        <m:sSub>
          <m:sSubPr>
            <m:ctrlPr>
              <w:rPr>
                <w:rFonts w:ascii="Cambria Math" w:eastAsia="Calibri" w:hAnsi="Cambria Math" w:cs="Times New Roman"/>
                <w:i/>
                <w:kern w:val="1"/>
                <w:sz w:val="24"/>
                <w:szCs w:val="24"/>
                <w:lang w:val="tr-TR"/>
              </w:rPr>
            </m:ctrlPr>
          </m:sSubPr>
          <m:e>
            <m:r>
              <w:rPr>
                <w:rFonts w:ascii="Cambria Math" w:eastAsia="Calibri" w:hAnsi="Cambria Math" w:cs="Times New Roman"/>
                <w:kern w:val="1"/>
                <w:sz w:val="24"/>
                <w:szCs w:val="24"/>
                <w:lang w:val="tr-TR"/>
              </w:rPr>
              <m:t>α</m:t>
            </m:r>
          </m:e>
          <m:sub>
            <m:r>
              <w:rPr>
                <w:rFonts w:ascii="Cambria Math" w:eastAsia="Calibri" w:hAnsi="Cambria Math" w:cs="Times New Roman"/>
                <w:kern w:val="1"/>
                <w:sz w:val="24"/>
                <w:szCs w:val="24"/>
                <w:lang w:val="tr-TR"/>
              </w:rPr>
              <m:t>i</m:t>
            </m:r>
          </m:sub>
        </m:sSub>
        <m:r>
          <w:rPr>
            <w:rFonts w:ascii="Cambria Math" w:eastAsia="Calibri" w:hAnsi="Cambria Math" w:cs="Times New Roman"/>
            <w:kern w:val="1"/>
            <w:sz w:val="24"/>
            <w:szCs w:val="24"/>
            <w:lang w:val="tr-TR"/>
          </w:rPr>
          <m:t>+</m:t>
        </m:r>
        <m:sSub>
          <m:sSubPr>
            <m:ctrlPr>
              <w:rPr>
                <w:rFonts w:ascii="Cambria Math" w:eastAsia="Calibri" w:hAnsi="Cambria Math" w:cs="Times New Roman"/>
                <w:i/>
                <w:kern w:val="1"/>
                <w:sz w:val="24"/>
                <w:szCs w:val="24"/>
                <w:lang w:val="tr-TR"/>
              </w:rPr>
            </m:ctrlPr>
          </m:sSubPr>
          <m:e>
            <m:r>
              <w:rPr>
                <w:rFonts w:ascii="Cambria Math" w:eastAsia="Calibri" w:hAnsi="Cambria Math" w:cs="Times New Roman"/>
                <w:kern w:val="1"/>
                <w:sz w:val="24"/>
                <w:szCs w:val="24"/>
                <w:lang w:val="tr-TR"/>
              </w:rPr>
              <m:t>b</m:t>
            </m:r>
          </m:e>
          <m:sub>
            <m:r>
              <w:rPr>
                <w:rFonts w:ascii="Cambria Math" w:eastAsia="Calibri" w:hAnsi="Cambria Math" w:cs="Times New Roman"/>
                <w:kern w:val="1"/>
                <w:sz w:val="24"/>
                <w:szCs w:val="24"/>
                <w:lang w:val="tr-TR"/>
              </w:rPr>
              <m:t>i</m:t>
            </m:r>
          </m:sub>
        </m:sSub>
        <m:sSub>
          <m:sSubPr>
            <m:ctrlPr>
              <w:rPr>
                <w:rFonts w:ascii="Cambria Math" w:eastAsia="Calibri" w:hAnsi="Cambria Math" w:cs="Times New Roman"/>
                <w:i/>
                <w:kern w:val="1"/>
                <w:sz w:val="24"/>
                <w:szCs w:val="24"/>
                <w:lang w:val="tr-TR"/>
              </w:rPr>
            </m:ctrlPr>
          </m:sSubPr>
          <m:e>
            <m:r>
              <w:rPr>
                <w:rFonts w:ascii="Cambria Math" w:eastAsia="Calibri" w:hAnsi="Cambria Math" w:cs="Times New Roman"/>
                <w:kern w:val="1"/>
                <w:sz w:val="24"/>
                <w:szCs w:val="24"/>
                <w:lang w:val="tr-TR"/>
              </w:rPr>
              <m:t>Y</m:t>
            </m:r>
          </m:e>
          <m:sub>
            <m:r>
              <w:rPr>
                <w:rFonts w:ascii="Cambria Math" w:eastAsia="Calibri" w:hAnsi="Cambria Math" w:cs="Times New Roman"/>
                <w:kern w:val="1"/>
                <w:sz w:val="24"/>
                <w:szCs w:val="24"/>
                <w:lang w:val="tr-TR"/>
              </w:rPr>
              <m:t>i,t-1</m:t>
            </m:r>
          </m:sub>
        </m:sSub>
        <m:sSub>
          <m:sSubPr>
            <m:ctrlPr>
              <w:rPr>
                <w:rFonts w:ascii="Cambria Math" w:eastAsia="Calibri" w:hAnsi="Cambria Math" w:cs="Times New Roman"/>
                <w:i/>
                <w:kern w:val="1"/>
                <w:sz w:val="24"/>
                <w:szCs w:val="24"/>
                <w:lang w:val="tr-TR"/>
              </w:rPr>
            </m:ctrlPr>
          </m:sSubPr>
          <m:e>
            <m:r>
              <w:rPr>
                <w:rFonts w:ascii="Cambria Math" w:eastAsia="Calibri" w:hAnsi="Cambria Math" w:cs="Times New Roman"/>
                <w:kern w:val="1"/>
                <w:sz w:val="24"/>
                <w:szCs w:val="24"/>
                <w:lang w:val="tr-TR"/>
              </w:rPr>
              <m:t>c</m:t>
            </m:r>
          </m:e>
          <m:sub>
            <m:r>
              <w:rPr>
                <w:rFonts w:ascii="Cambria Math" w:eastAsia="Calibri" w:hAnsi="Cambria Math" w:cs="Times New Roman"/>
                <w:kern w:val="1"/>
                <w:sz w:val="24"/>
                <w:szCs w:val="24"/>
                <w:lang w:val="tr-TR"/>
              </w:rPr>
              <m:t>i</m:t>
            </m:r>
          </m:sub>
        </m:sSub>
        <m:sSub>
          <m:sSubPr>
            <m:ctrlPr>
              <w:rPr>
                <w:rFonts w:ascii="Cambria Math" w:eastAsia="Calibri" w:hAnsi="Cambria Math" w:cs="Times New Roman"/>
                <w:i/>
                <w:kern w:val="1"/>
                <w:sz w:val="24"/>
                <w:szCs w:val="24"/>
                <w:lang w:val="tr-TR"/>
              </w:rPr>
            </m:ctrlPr>
          </m:sSubPr>
          <m:e>
            <m:acc>
              <m:accPr>
                <m:chr m:val="̅"/>
                <m:ctrlPr>
                  <w:rPr>
                    <w:rFonts w:ascii="Cambria Math" w:eastAsia="Calibri" w:hAnsi="Cambria Math" w:cs="Times New Roman"/>
                    <w:i/>
                    <w:kern w:val="1"/>
                    <w:sz w:val="24"/>
                    <w:szCs w:val="24"/>
                    <w:lang w:val="tr-TR"/>
                  </w:rPr>
                </m:ctrlPr>
              </m:accPr>
              <m:e>
                <m:r>
                  <w:rPr>
                    <w:rFonts w:ascii="Cambria Math" w:eastAsia="Calibri" w:hAnsi="Cambria Math" w:cs="Times New Roman"/>
                    <w:kern w:val="1"/>
                    <w:sz w:val="24"/>
                    <w:szCs w:val="24"/>
                    <w:lang w:val="tr-TR"/>
                  </w:rPr>
                  <m:t>Y</m:t>
                </m:r>
              </m:e>
            </m:acc>
          </m:e>
          <m:sub>
            <m:r>
              <w:rPr>
                <w:rFonts w:ascii="Cambria Math" w:eastAsia="Calibri" w:hAnsi="Cambria Math" w:cs="Times New Roman"/>
                <w:kern w:val="1"/>
                <w:sz w:val="24"/>
                <w:szCs w:val="24"/>
                <w:lang w:val="tr-TR"/>
              </w:rPr>
              <m:t>t-1</m:t>
            </m:r>
          </m:sub>
        </m:sSub>
        <m:r>
          <w:rPr>
            <w:rFonts w:ascii="Cambria Math" w:eastAsia="Calibri" w:hAnsi="Cambria Math" w:cs="Times New Roman"/>
            <w:kern w:val="1"/>
            <w:sz w:val="24"/>
            <w:szCs w:val="24"/>
            <w:lang w:val="tr-TR"/>
          </w:rPr>
          <m:t>+</m:t>
        </m:r>
        <m:sSub>
          <m:sSubPr>
            <m:ctrlPr>
              <w:rPr>
                <w:rFonts w:ascii="Cambria Math" w:eastAsia="Calibri" w:hAnsi="Cambria Math" w:cs="Times New Roman"/>
                <w:i/>
                <w:kern w:val="1"/>
                <w:sz w:val="24"/>
                <w:szCs w:val="24"/>
                <w:lang w:val="tr-TR"/>
              </w:rPr>
            </m:ctrlPr>
          </m:sSubPr>
          <m:e>
            <m:r>
              <w:rPr>
                <w:rFonts w:ascii="Cambria Math" w:eastAsia="Calibri" w:hAnsi="Cambria Math" w:cs="Times New Roman"/>
                <w:kern w:val="1"/>
                <w:sz w:val="24"/>
                <w:szCs w:val="24"/>
                <w:lang w:val="tr-TR"/>
              </w:rPr>
              <m:t>d</m:t>
            </m:r>
          </m:e>
          <m:sub>
            <m:r>
              <w:rPr>
                <w:rFonts w:ascii="Cambria Math" w:eastAsia="Calibri" w:hAnsi="Cambria Math" w:cs="Times New Roman"/>
                <w:kern w:val="1"/>
                <w:sz w:val="24"/>
                <w:szCs w:val="24"/>
                <w:lang w:val="tr-TR"/>
              </w:rPr>
              <m:t>i</m:t>
            </m:r>
          </m:sub>
        </m:sSub>
        <m:r>
          <w:rPr>
            <w:rFonts w:ascii="Cambria Math" w:eastAsia="Calibri" w:hAnsi="Cambria Math" w:cs="Times New Roman"/>
            <w:kern w:val="1"/>
            <w:sz w:val="24"/>
            <w:szCs w:val="24"/>
            <w:lang w:val="tr-TR"/>
          </w:rPr>
          <m:t>∆</m:t>
        </m:r>
        <m:sSub>
          <m:sSubPr>
            <m:ctrlPr>
              <w:rPr>
                <w:rFonts w:ascii="Cambria Math" w:eastAsia="Calibri" w:hAnsi="Cambria Math" w:cs="Times New Roman"/>
                <w:i/>
                <w:kern w:val="1"/>
                <w:sz w:val="24"/>
                <w:szCs w:val="24"/>
                <w:lang w:val="tr-TR"/>
              </w:rPr>
            </m:ctrlPr>
          </m:sSubPr>
          <m:e>
            <m:acc>
              <m:accPr>
                <m:chr m:val="̅"/>
                <m:ctrlPr>
                  <w:rPr>
                    <w:rFonts w:ascii="Cambria Math" w:eastAsia="Calibri" w:hAnsi="Cambria Math" w:cs="Times New Roman"/>
                    <w:i/>
                    <w:kern w:val="1"/>
                    <w:sz w:val="24"/>
                    <w:szCs w:val="24"/>
                    <w:lang w:val="tr-TR"/>
                  </w:rPr>
                </m:ctrlPr>
              </m:accPr>
              <m:e>
                <m:r>
                  <w:rPr>
                    <w:rFonts w:ascii="Cambria Math" w:eastAsia="Calibri" w:hAnsi="Cambria Math" w:cs="Times New Roman"/>
                    <w:kern w:val="1"/>
                    <w:sz w:val="24"/>
                    <w:szCs w:val="24"/>
                    <w:lang w:val="tr-TR"/>
                  </w:rPr>
                  <m:t>Y</m:t>
                </m:r>
              </m:e>
            </m:acc>
          </m:e>
          <m:sub>
            <m:r>
              <w:rPr>
                <w:rFonts w:ascii="Cambria Math" w:eastAsia="Calibri" w:hAnsi="Cambria Math" w:cs="Times New Roman"/>
                <w:kern w:val="1"/>
                <w:sz w:val="24"/>
                <w:szCs w:val="24"/>
                <w:lang w:val="tr-TR"/>
              </w:rPr>
              <m:t>t</m:t>
            </m:r>
          </m:sub>
        </m:sSub>
        <m:r>
          <w:rPr>
            <w:rFonts w:ascii="Cambria Math" w:eastAsia="Calibri" w:hAnsi="Cambria Math" w:cs="Times New Roman"/>
            <w:kern w:val="1"/>
            <w:sz w:val="24"/>
            <w:szCs w:val="24"/>
            <w:lang w:val="tr-TR"/>
          </w:rPr>
          <m:t>+</m:t>
        </m:r>
        <m:sSub>
          <m:sSubPr>
            <m:ctrlPr>
              <w:rPr>
                <w:rFonts w:ascii="Cambria Math" w:eastAsia="Calibri" w:hAnsi="Cambria Math" w:cs="Times New Roman"/>
                <w:i/>
                <w:kern w:val="1"/>
                <w:sz w:val="24"/>
                <w:szCs w:val="24"/>
                <w:lang w:val="tr-TR"/>
              </w:rPr>
            </m:ctrlPr>
          </m:sSubPr>
          <m:e>
            <m:r>
              <w:rPr>
                <w:rFonts w:ascii="Cambria Math" w:eastAsia="Calibri" w:hAnsi="Cambria Math" w:cs="Times New Roman"/>
                <w:kern w:val="1"/>
                <w:sz w:val="24"/>
                <w:szCs w:val="24"/>
                <w:lang w:val="tr-TR"/>
              </w:rPr>
              <m:t>ε</m:t>
            </m:r>
          </m:e>
          <m:sub>
            <m:r>
              <w:rPr>
                <w:rFonts w:ascii="Cambria Math" w:eastAsia="Calibri" w:hAnsi="Cambria Math" w:cs="Times New Roman"/>
                <w:kern w:val="1"/>
                <w:sz w:val="24"/>
                <w:szCs w:val="24"/>
                <w:lang w:val="tr-TR"/>
              </w:rPr>
              <m:t>it</m:t>
            </m:r>
          </m:sub>
        </m:sSub>
      </m:oMath>
      <w:r w:rsidR="00D81D70" w:rsidRPr="004A47CE">
        <w:rPr>
          <w:rFonts w:ascii="Times New Roman" w:eastAsia="DejaVu Sans" w:hAnsi="Times New Roman" w:cs="Times New Roman"/>
          <w:kern w:val="1"/>
          <w:sz w:val="24"/>
          <w:szCs w:val="24"/>
          <w:lang w:val="tr-TR"/>
        </w:rPr>
        <w:t xml:space="preserve">                         </w:t>
      </w:r>
      <w:r w:rsidRPr="004A47CE">
        <w:rPr>
          <w:rFonts w:ascii="Times New Roman" w:eastAsia="DejaVu Sans" w:hAnsi="Times New Roman" w:cs="Times New Roman"/>
          <w:kern w:val="1"/>
          <w:sz w:val="24"/>
          <w:szCs w:val="24"/>
          <w:lang w:val="tr-TR"/>
        </w:rPr>
        <w:t xml:space="preserve">     </w:t>
      </w:r>
      <w:r w:rsidR="003723BD">
        <w:rPr>
          <w:rFonts w:ascii="Times New Roman" w:eastAsia="DejaVu Sans" w:hAnsi="Times New Roman" w:cs="Times New Roman"/>
          <w:kern w:val="1"/>
          <w:sz w:val="24"/>
          <w:szCs w:val="24"/>
          <w:lang w:val="tr-TR"/>
        </w:rPr>
        <w:t xml:space="preserve">               </w:t>
      </w:r>
      <w:r w:rsidRPr="004A47CE">
        <w:rPr>
          <w:rFonts w:ascii="Times New Roman" w:eastAsia="DejaVu Sans" w:hAnsi="Times New Roman" w:cs="Times New Roman"/>
          <w:kern w:val="1"/>
          <w:sz w:val="24"/>
          <w:szCs w:val="24"/>
          <w:lang w:val="tr-TR"/>
        </w:rPr>
        <w:t xml:space="preserve">                                       </w:t>
      </w:r>
      <w:r w:rsidR="009E4ABE" w:rsidRPr="004A47CE">
        <w:rPr>
          <w:rFonts w:ascii="Times New Roman" w:eastAsia="DejaVu Sans" w:hAnsi="Times New Roman" w:cs="Times New Roman"/>
          <w:kern w:val="1"/>
          <w:sz w:val="24"/>
          <w:szCs w:val="24"/>
          <w:lang w:val="tr-TR"/>
        </w:rPr>
        <w:t xml:space="preserve">   </w:t>
      </w:r>
      <w:r w:rsidRPr="004A47CE">
        <w:rPr>
          <w:rFonts w:ascii="Times New Roman" w:eastAsia="DejaVu Sans" w:hAnsi="Times New Roman" w:cs="Times New Roman"/>
          <w:kern w:val="1"/>
          <w:sz w:val="24"/>
          <w:szCs w:val="24"/>
          <w:lang w:val="tr-TR"/>
        </w:rPr>
        <w:t xml:space="preserve">  (3)</w:t>
      </w:r>
    </w:p>
    <w:p w14:paraId="21C0B290" w14:textId="77777777" w:rsidR="0024435A" w:rsidRPr="004A47CE" w:rsidRDefault="0024435A" w:rsidP="004A47CE">
      <w:pPr>
        <w:spacing w:after="120" w:line="240" w:lineRule="auto"/>
        <w:ind w:firstLine="709"/>
        <w:jc w:val="both"/>
        <w:rPr>
          <w:rFonts w:ascii="Times New Roman" w:eastAsia="DejaVu Sans" w:hAnsi="Times New Roman" w:cs="Times New Roman"/>
          <w:kern w:val="1"/>
          <w:sz w:val="24"/>
          <w:szCs w:val="24"/>
          <w:lang w:val="tr-TR"/>
        </w:rPr>
      </w:pPr>
      <w:r w:rsidRPr="004A47CE">
        <w:rPr>
          <w:rFonts w:ascii="Times New Roman" w:eastAsia="DejaVu Sans" w:hAnsi="Times New Roman" w:cs="Times New Roman"/>
          <w:kern w:val="1"/>
          <w:sz w:val="24"/>
          <w:szCs w:val="24"/>
          <w:lang w:val="tr-TR"/>
        </w:rPr>
        <w:t xml:space="preserve">olarak gösterilebilmektedir. Burada </w:t>
      </w:r>
      <m:oMath>
        <m:sSub>
          <m:sSubPr>
            <m:ctrlPr>
              <w:rPr>
                <w:rFonts w:ascii="Cambria Math" w:eastAsia="Calibri" w:hAnsi="Cambria Math" w:cs="Times New Roman"/>
                <w:i/>
                <w:kern w:val="1"/>
                <w:sz w:val="24"/>
                <w:szCs w:val="24"/>
                <w:lang w:val="tr-TR"/>
              </w:rPr>
            </m:ctrlPr>
          </m:sSubPr>
          <m:e>
            <m:acc>
              <m:accPr>
                <m:chr m:val="̅"/>
                <m:ctrlPr>
                  <w:rPr>
                    <w:rFonts w:ascii="Cambria Math" w:eastAsia="Calibri" w:hAnsi="Cambria Math" w:cs="Times New Roman"/>
                    <w:i/>
                    <w:kern w:val="1"/>
                    <w:sz w:val="24"/>
                    <w:szCs w:val="24"/>
                    <w:lang w:val="tr-TR"/>
                  </w:rPr>
                </m:ctrlPr>
              </m:accPr>
              <m:e>
                <m:r>
                  <w:rPr>
                    <w:rFonts w:ascii="Cambria Math" w:eastAsia="Calibri" w:hAnsi="Cambria Math" w:cs="Times New Roman"/>
                    <w:kern w:val="1"/>
                    <w:sz w:val="24"/>
                    <w:szCs w:val="24"/>
                    <w:lang w:val="tr-TR"/>
                  </w:rPr>
                  <m:t>Y</m:t>
                </m:r>
              </m:e>
            </m:acc>
          </m:e>
          <m:sub>
            <m:r>
              <w:rPr>
                <w:rFonts w:ascii="Cambria Math" w:eastAsia="Calibri" w:hAnsi="Cambria Math" w:cs="Times New Roman"/>
                <w:kern w:val="1"/>
                <w:sz w:val="24"/>
                <w:szCs w:val="24"/>
                <w:lang w:val="tr-TR"/>
              </w:rPr>
              <m:t>t</m:t>
            </m:r>
          </m:sub>
        </m:sSub>
      </m:oMath>
      <w:r w:rsidRPr="004A47CE">
        <w:rPr>
          <w:rFonts w:ascii="Times New Roman" w:eastAsia="DejaVu Sans" w:hAnsi="Times New Roman" w:cs="Times New Roman"/>
          <w:kern w:val="1"/>
          <w:sz w:val="24"/>
          <w:szCs w:val="24"/>
          <w:lang w:val="tr-TR"/>
        </w:rPr>
        <w:t>, tüm yatay kesit gözlemlerin zamana göre ortalamasını ifade etmektedir. Otokorelasyon söz konusu olduğunda yukarıdaki denklem aşağıdaki gibi genişletilebilmektedir:</w:t>
      </w:r>
    </w:p>
    <w:p w14:paraId="788F0B7C" w14:textId="13BAC0B6" w:rsidR="0024435A" w:rsidRPr="004A47CE" w:rsidRDefault="0024435A" w:rsidP="004A47CE">
      <w:pPr>
        <w:spacing w:after="120" w:line="240" w:lineRule="auto"/>
        <w:ind w:firstLine="709"/>
        <w:jc w:val="both"/>
        <w:rPr>
          <w:rFonts w:ascii="Times New Roman" w:eastAsia="DejaVu Sans" w:hAnsi="Times New Roman" w:cs="Times New Roman"/>
          <w:kern w:val="1"/>
          <w:sz w:val="24"/>
          <w:szCs w:val="24"/>
          <w:lang w:val="tr-TR"/>
        </w:rPr>
      </w:pPr>
      <m:oMath>
        <m:r>
          <w:rPr>
            <w:rFonts w:ascii="Cambria Math" w:eastAsia="Calibri" w:hAnsi="Cambria Math" w:cs="Times New Roman"/>
            <w:kern w:val="1"/>
            <w:sz w:val="24"/>
            <w:szCs w:val="24"/>
            <w:lang w:val="tr-TR"/>
          </w:rPr>
          <m:t>∆</m:t>
        </m:r>
        <m:sSub>
          <m:sSubPr>
            <m:ctrlPr>
              <w:rPr>
                <w:rFonts w:ascii="Cambria Math" w:eastAsia="Calibri" w:hAnsi="Cambria Math" w:cs="Times New Roman"/>
                <w:i/>
                <w:kern w:val="1"/>
                <w:sz w:val="24"/>
                <w:szCs w:val="24"/>
                <w:lang w:val="tr-TR"/>
              </w:rPr>
            </m:ctrlPr>
          </m:sSubPr>
          <m:e>
            <m:r>
              <w:rPr>
                <w:rFonts w:ascii="Cambria Math" w:eastAsia="Calibri" w:hAnsi="Cambria Math" w:cs="Times New Roman"/>
                <w:kern w:val="1"/>
                <w:sz w:val="24"/>
                <w:szCs w:val="24"/>
                <w:lang w:val="tr-TR"/>
              </w:rPr>
              <m:t>Y</m:t>
            </m:r>
          </m:e>
          <m:sub>
            <m:r>
              <w:rPr>
                <w:rFonts w:ascii="Cambria Math" w:eastAsia="Calibri" w:hAnsi="Cambria Math" w:cs="Times New Roman"/>
                <w:kern w:val="1"/>
                <w:sz w:val="24"/>
                <w:szCs w:val="24"/>
                <w:lang w:val="tr-TR"/>
              </w:rPr>
              <m:t>it</m:t>
            </m:r>
          </m:sub>
        </m:sSub>
        <m:r>
          <w:rPr>
            <w:rFonts w:ascii="Cambria Math" w:eastAsia="Calibri" w:hAnsi="Cambria Math" w:cs="Times New Roman"/>
            <w:kern w:val="1"/>
            <w:sz w:val="24"/>
            <w:szCs w:val="24"/>
            <w:lang w:val="tr-TR"/>
          </w:rPr>
          <m:t>=</m:t>
        </m:r>
        <m:sSub>
          <m:sSubPr>
            <m:ctrlPr>
              <w:rPr>
                <w:rFonts w:ascii="Cambria Math" w:eastAsia="Calibri" w:hAnsi="Cambria Math" w:cs="Times New Roman"/>
                <w:i/>
                <w:kern w:val="1"/>
                <w:sz w:val="24"/>
                <w:szCs w:val="24"/>
                <w:lang w:val="tr-TR"/>
              </w:rPr>
            </m:ctrlPr>
          </m:sSubPr>
          <m:e>
            <m:r>
              <w:rPr>
                <w:rFonts w:ascii="Cambria Math" w:eastAsia="Calibri" w:hAnsi="Cambria Math" w:cs="Times New Roman"/>
                <w:kern w:val="1"/>
                <w:sz w:val="24"/>
                <w:szCs w:val="24"/>
                <w:lang w:val="tr-TR"/>
              </w:rPr>
              <m:t>α</m:t>
            </m:r>
          </m:e>
          <m:sub>
            <m:r>
              <w:rPr>
                <w:rFonts w:ascii="Cambria Math" w:eastAsia="Calibri" w:hAnsi="Cambria Math" w:cs="Times New Roman"/>
                <w:kern w:val="1"/>
                <w:sz w:val="24"/>
                <w:szCs w:val="24"/>
                <w:lang w:val="tr-TR"/>
              </w:rPr>
              <m:t>i</m:t>
            </m:r>
          </m:sub>
        </m:sSub>
        <m:r>
          <w:rPr>
            <w:rFonts w:ascii="Cambria Math" w:eastAsia="Calibri" w:hAnsi="Cambria Math" w:cs="Times New Roman"/>
            <w:kern w:val="1"/>
            <w:sz w:val="24"/>
            <w:szCs w:val="24"/>
            <w:lang w:val="tr-TR"/>
          </w:rPr>
          <m:t>+</m:t>
        </m:r>
        <m:sSubSup>
          <m:sSubSupPr>
            <m:ctrlPr>
              <w:rPr>
                <w:rFonts w:ascii="Cambria Math" w:eastAsia="Calibri" w:hAnsi="Cambria Math" w:cs="Times New Roman"/>
                <w:i/>
                <w:kern w:val="1"/>
                <w:sz w:val="24"/>
                <w:szCs w:val="24"/>
                <w:lang w:val="tr-TR"/>
              </w:rPr>
            </m:ctrlPr>
          </m:sSubSupPr>
          <m:e>
            <m:r>
              <w:rPr>
                <w:rFonts w:ascii="Cambria Math" w:eastAsia="Calibri" w:hAnsi="Cambria Math" w:cs="Times New Roman"/>
                <w:kern w:val="1"/>
                <w:sz w:val="24"/>
                <w:szCs w:val="24"/>
                <w:lang w:val="tr-TR"/>
              </w:rPr>
              <m:t>ρ</m:t>
            </m:r>
          </m:e>
          <m:sub>
            <m:r>
              <w:rPr>
                <w:rFonts w:ascii="Cambria Math" w:eastAsia="Calibri" w:hAnsi="Cambria Math" w:cs="Times New Roman"/>
                <w:kern w:val="1"/>
                <w:sz w:val="24"/>
                <w:szCs w:val="24"/>
                <w:lang w:val="tr-TR"/>
              </w:rPr>
              <m:t>i</m:t>
            </m:r>
          </m:sub>
          <m:sup>
            <m:r>
              <w:rPr>
                <w:rFonts w:ascii="Cambria Math" w:eastAsia="Calibri" w:hAnsi="Cambria Math" w:cs="Times New Roman"/>
                <w:kern w:val="1"/>
                <w:sz w:val="24"/>
                <w:szCs w:val="24"/>
                <w:lang w:val="tr-TR"/>
              </w:rPr>
              <m:t>*</m:t>
            </m:r>
          </m:sup>
        </m:sSubSup>
        <m:sSub>
          <m:sSubPr>
            <m:ctrlPr>
              <w:rPr>
                <w:rFonts w:ascii="Cambria Math" w:eastAsia="Calibri" w:hAnsi="Cambria Math" w:cs="Times New Roman"/>
                <w:i/>
                <w:kern w:val="1"/>
                <w:sz w:val="24"/>
                <w:szCs w:val="24"/>
                <w:lang w:val="tr-TR"/>
              </w:rPr>
            </m:ctrlPr>
          </m:sSubPr>
          <m:e>
            <m:r>
              <w:rPr>
                <w:rFonts w:ascii="Cambria Math" w:eastAsia="Calibri" w:hAnsi="Cambria Math" w:cs="Times New Roman"/>
                <w:kern w:val="1"/>
                <w:sz w:val="24"/>
                <w:szCs w:val="24"/>
                <w:lang w:val="tr-TR"/>
              </w:rPr>
              <m:t>Y</m:t>
            </m:r>
          </m:e>
          <m:sub>
            <m:r>
              <w:rPr>
                <w:rFonts w:ascii="Cambria Math" w:eastAsia="Calibri" w:hAnsi="Cambria Math" w:cs="Times New Roman"/>
                <w:kern w:val="1"/>
                <w:sz w:val="24"/>
                <w:szCs w:val="24"/>
                <w:lang w:val="tr-TR"/>
              </w:rPr>
              <m:t>it-1</m:t>
            </m:r>
          </m:sub>
        </m:sSub>
        <m:r>
          <w:rPr>
            <w:rFonts w:ascii="Cambria Math" w:eastAsia="Calibri" w:hAnsi="Cambria Math" w:cs="Times New Roman"/>
            <w:kern w:val="1"/>
            <w:sz w:val="24"/>
            <w:szCs w:val="24"/>
            <w:lang w:val="tr-TR"/>
          </w:rPr>
          <m:t>+</m:t>
        </m:r>
        <m:sSub>
          <m:sSubPr>
            <m:ctrlPr>
              <w:rPr>
                <w:rFonts w:ascii="Cambria Math" w:eastAsia="Calibri" w:hAnsi="Cambria Math" w:cs="Times New Roman"/>
                <w:i/>
                <w:kern w:val="1"/>
                <w:sz w:val="24"/>
                <w:szCs w:val="24"/>
                <w:lang w:val="tr-TR"/>
              </w:rPr>
            </m:ctrlPr>
          </m:sSubPr>
          <m:e>
            <m:r>
              <w:rPr>
                <w:rFonts w:ascii="Cambria Math" w:eastAsia="Calibri" w:hAnsi="Cambria Math" w:cs="Times New Roman"/>
                <w:kern w:val="1"/>
                <w:sz w:val="24"/>
                <w:szCs w:val="24"/>
                <w:lang w:val="tr-TR"/>
              </w:rPr>
              <m:t>d</m:t>
            </m:r>
          </m:e>
          <m:sub>
            <m:r>
              <w:rPr>
                <w:rFonts w:ascii="Cambria Math" w:eastAsia="Calibri" w:hAnsi="Cambria Math" w:cs="Times New Roman"/>
                <w:kern w:val="1"/>
                <w:sz w:val="24"/>
                <w:szCs w:val="24"/>
                <w:lang w:val="tr-TR"/>
              </w:rPr>
              <m:t>0</m:t>
            </m:r>
          </m:sub>
        </m:sSub>
        <m:sSub>
          <m:sSubPr>
            <m:ctrlPr>
              <w:rPr>
                <w:rFonts w:ascii="Cambria Math" w:eastAsia="Calibri" w:hAnsi="Cambria Math" w:cs="Times New Roman"/>
                <w:i/>
                <w:kern w:val="1"/>
                <w:sz w:val="24"/>
                <w:szCs w:val="24"/>
                <w:lang w:val="tr-TR"/>
              </w:rPr>
            </m:ctrlPr>
          </m:sSubPr>
          <m:e>
            <m:acc>
              <m:accPr>
                <m:chr m:val="̅"/>
                <m:ctrlPr>
                  <w:rPr>
                    <w:rFonts w:ascii="Cambria Math" w:eastAsia="Calibri" w:hAnsi="Cambria Math" w:cs="Times New Roman"/>
                    <w:i/>
                    <w:kern w:val="1"/>
                    <w:sz w:val="24"/>
                    <w:szCs w:val="24"/>
                    <w:lang w:val="tr-TR"/>
                  </w:rPr>
                </m:ctrlPr>
              </m:accPr>
              <m:e>
                <m:r>
                  <w:rPr>
                    <w:rFonts w:ascii="Cambria Math" w:eastAsia="Calibri" w:hAnsi="Cambria Math" w:cs="Times New Roman"/>
                    <w:kern w:val="1"/>
                    <w:sz w:val="24"/>
                    <w:szCs w:val="24"/>
                    <w:lang w:val="tr-TR"/>
                  </w:rPr>
                  <m:t>Y</m:t>
                </m:r>
              </m:e>
            </m:acc>
          </m:e>
          <m:sub>
            <m:r>
              <w:rPr>
                <w:rFonts w:ascii="Cambria Math" w:eastAsia="Calibri" w:hAnsi="Cambria Math" w:cs="Times New Roman"/>
                <w:kern w:val="1"/>
                <w:sz w:val="24"/>
                <w:szCs w:val="24"/>
                <w:lang w:val="tr-TR"/>
              </w:rPr>
              <m:t>t-1</m:t>
            </m:r>
          </m:sub>
        </m:sSub>
        <m:r>
          <w:rPr>
            <w:rFonts w:ascii="Cambria Math" w:eastAsia="Calibri" w:hAnsi="Cambria Math" w:cs="Times New Roman"/>
            <w:kern w:val="1"/>
            <w:sz w:val="24"/>
            <w:szCs w:val="24"/>
            <w:lang w:val="tr-TR"/>
          </w:rPr>
          <m:t>+</m:t>
        </m:r>
        <m:nary>
          <m:naryPr>
            <m:chr m:val="∑"/>
            <m:limLoc m:val="undOvr"/>
            <m:ctrlPr>
              <w:rPr>
                <w:rFonts w:ascii="Cambria Math" w:eastAsia="Calibri" w:hAnsi="Cambria Math" w:cs="Times New Roman"/>
                <w:i/>
                <w:kern w:val="1"/>
                <w:sz w:val="24"/>
                <w:szCs w:val="24"/>
                <w:lang w:val="tr-TR"/>
              </w:rPr>
            </m:ctrlPr>
          </m:naryPr>
          <m:sub>
            <m:r>
              <w:rPr>
                <w:rFonts w:ascii="Cambria Math" w:eastAsia="Calibri" w:hAnsi="Cambria Math" w:cs="Times New Roman"/>
                <w:kern w:val="1"/>
                <w:sz w:val="24"/>
                <w:szCs w:val="24"/>
                <w:lang w:val="tr-TR"/>
              </w:rPr>
              <m:t>j=0</m:t>
            </m:r>
          </m:sub>
          <m:sup>
            <m:r>
              <w:rPr>
                <w:rFonts w:ascii="Cambria Math" w:eastAsia="Calibri" w:hAnsi="Cambria Math" w:cs="Times New Roman"/>
                <w:kern w:val="1"/>
                <w:sz w:val="24"/>
                <w:szCs w:val="24"/>
                <w:lang w:val="tr-TR"/>
              </w:rPr>
              <m:t>p</m:t>
            </m:r>
          </m:sup>
          <m:e>
            <m:sSub>
              <m:sSubPr>
                <m:ctrlPr>
                  <w:rPr>
                    <w:rFonts w:ascii="Cambria Math" w:eastAsia="Calibri" w:hAnsi="Cambria Math" w:cs="Times New Roman"/>
                    <w:i/>
                    <w:kern w:val="1"/>
                    <w:sz w:val="24"/>
                    <w:szCs w:val="24"/>
                    <w:lang w:val="tr-TR"/>
                  </w:rPr>
                </m:ctrlPr>
              </m:sSubPr>
              <m:e>
                <m:r>
                  <w:rPr>
                    <w:rFonts w:ascii="Cambria Math" w:eastAsia="Calibri" w:hAnsi="Cambria Math" w:cs="Times New Roman"/>
                    <w:kern w:val="1"/>
                    <w:sz w:val="24"/>
                    <w:szCs w:val="24"/>
                    <w:lang w:val="tr-TR"/>
                  </w:rPr>
                  <m:t xml:space="preserve">  d</m:t>
                </m:r>
              </m:e>
              <m:sub>
                <m:r>
                  <w:rPr>
                    <w:rFonts w:ascii="Cambria Math" w:eastAsia="Calibri" w:hAnsi="Cambria Math" w:cs="Times New Roman"/>
                    <w:kern w:val="1"/>
                    <w:sz w:val="24"/>
                    <w:szCs w:val="24"/>
                    <w:lang w:val="tr-TR"/>
                  </w:rPr>
                  <m:t>j+1</m:t>
                </m:r>
              </m:sub>
            </m:sSub>
            <m:r>
              <w:rPr>
                <w:rFonts w:ascii="Cambria Math" w:eastAsia="Calibri" w:hAnsi="Cambria Math" w:cs="Times New Roman"/>
                <w:kern w:val="1"/>
                <w:sz w:val="24"/>
                <w:szCs w:val="24"/>
                <w:lang w:val="tr-TR"/>
              </w:rPr>
              <m:t>∆</m:t>
            </m:r>
            <m:sSub>
              <m:sSubPr>
                <m:ctrlPr>
                  <w:rPr>
                    <w:rFonts w:ascii="Cambria Math" w:eastAsia="Calibri" w:hAnsi="Cambria Math" w:cs="Times New Roman"/>
                    <w:i/>
                    <w:kern w:val="1"/>
                    <w:sz w:val="24"/>
                    <w:szCs w:val="24"/>
                    <w:lang w:val="tr-TR"/>
                  </w:rPr>
                </m:ctrlPr>
              </m:sSubPr>
              <m:e>
                <m:acc>
                  <m:accPr>
                    <m:chr m:val="̅"/>
                    <m:ctrlPr>
                      <w:rPr>
                        <w:rFonts w:ascii="Cambria Math" w:eastAsia="Calibri" w:hAnsi="Cambria Math" w:cs="Times New Roman"/>
                        <w:i/>
                        <w:kern w:val="1"/>
                        <w:sz w:val="24"/>
                        <w:szCs w:val="24"/>
                        <w:lang w:val="tr-TR"/>
                      </w:rPr>
                    </m:ctrlPr>
                  </m:accPr>
                  <m:e>
                    <m:r>
                      <w:rPr>
                        <w:rFonts w:ascii="Cambria Math" w:eastAsia="Calibri" w:hAnsi="Cambria Math" w:cs="Times New Roman"/>
                        <w:kern w:val="1"/>
                        <w:sz w:val="24"/>
                        <w:szCs w:val="24"/>
                        <w:lang w:val="tr-TR"/>
                      </w:rPr>
                      <m:t>Y</m:t>
                    </m:r>
                  </m:e>
                </m:acc>
              </m:e>
              <m:sub>
                <m:r>
                  <w:rPr>
                    <w:rFonts w:ascii="Cambria Math" w:eastAsia="Calibri" w:hAnsi="Cambria Math" w:cs="Times New Roman"/>
                    <w:kern w:val="1"/>
                    <w:sz w:val="24"/>
                    <w:szCs w:val="24"/>
                    <w:lang w:val="tr-TR"/>
                  </w:rPr>
                  <m:t>t-j</m:t>
                </m:r>
              </m:sub>
            </m:sSub>
          </m:e>
        </m:nary>
        <m:r>
          <w:rPr>
            <w:rFonts w:ascii="Cambria Math" w:eastAsia="Calibri" w:hAnsi="Cambria Math" w:cs="Times New Roman"/>
            <w:kern w:val="1"/>
            <w:sz w:val="24"/>
            <w:szCs w:val="24"/>
            <w:lang w:val="tr-TR"/>
          </w:rPr>
          <m:t>+</m:t>
        </m:r>
        <m:nary>
          <m:naryPr>
            <m:chr m:val="∑"/>
            <m:limLoc m:val="undOvr"/>
            <m:ctrlPr>
              <w:rPr>
                <w:rFonts w:ascii="Cambria Math" w:eastAsia="Calibri" w:hAnsi="Cambria Math" w:cs="Times New Roman"/>
                <w:i/>
                <w:kern w:val="1"/>
                <w:sz w:val="24"/>
                <w:szCs w:val="24"/>
                <w:lang w:val="tr-TR"/>
              </w:rPr>
            </m:ctrlPr>
          </m:naryPr>
          <m:sub>
            <m:r>
              <w:rPr>
                <w:rFonts w:ascii="Cambria Math" w:eastAsia="Calibri" w:hAnsi="Cambria Math" w:cs="Times New Roman"/>
                <w:kern w:val="1"/>
                <w:sz w:val="24"/>
                <w:szCs w:val="24"/>
                <w:lang w:val="tr-TR"/>
              </w:rPr>
              <m:t>k=1</m:t>
            </m:r>
          </m:sub>
          <m:sup>
            <m:r>
              <w:rPr>
                <w:rFonts w:ascii="Cambria Math" w:eastAsia="Calibri" w:hAnsi="Cambria Math" w:cs="Times New Roman"/>
                <w:kern w:val="1"/>
                <w:sz w:val="24"/>
                <w:szCs w:val="24"/>
                <w:lang w:val="tr-TR"/>
              </w:rPr>
              <m:t>p</m:t>
            </m:r>
          </m:sup>
          <m:e>
            <m:sSub>
              <m:sSubPr>
                <m:ctrlPr>
                  <w:rPr>
                    <w:rFonts w:ascii="Cambria Math" w:eastAsia="Calibri" w:hAnsi="Cambria Math" w:cs="Times New Roman"/>
                    <w:i/>
                    <w:kern w:val="1"/>
                    <w:sz w:val="24"/>
                    <w:szCs w:val="24"/>
                    <w:lang w:val="tr-TR"/>
                  </w:rPr>
                </m:ctrlPr>
              </m:sSubPr>
              <m:e>
                <m:r>
                  <w:rPr>
                    <w:rFonts w:ascii="Cambria Math" w:eastAsia="Calibri" w:hAnsi="Cambria Math" w:cs="Times New Roman"/>
                    <w:kern w:val="1"/>
                    <w:sz w:val="24"/>
                    <w:szCs w:val="24"/>
                    <w:lang w:val="tr-TR"/>
                  </w:rPr>
                  <m:t xml:space="preserve">  c</m:t>
                </m:r>
              </m:e>
              <m:sub>
                <m:r>
                  <w:rPr>
                    <w:rFonts w:ascii="Cambria Math" w:eastAsia="Calibri" w:hAnsi="Cambria Math" w:cs="Times New Roman"/>
                    <w:kern w:val="1"/>
                    <w:sz w:val="24"/>
                    <w:szCs w:val="24"/>
                    <w:lang w:val="tr-TR"/>
                  </w:rPr>
                  <m:t>k</m:t>
                </m:r>
              </m:sub>
            </m:sSub>
            <m:r>
              <w:rPr>
                <w:rFonts w:ascii="Cambria Math" w:eastAsia="Calibri" w:hAnsi="Cambria Math" w:cs="Times New Roman"/>
                <w:kern w:val="1"/>
                <w:sz w:val="24"/>
                <w:szCs w:val="24"/>
                <w:lang w:val="tr-TR"/>
              </w:rPr>
              <m:t>∆</m:t>
            </m:r>
            <m:sSub>
              <m:sSubPr>
                <m:ctrlPr>
                  <w:rPr>
                    <w:rFonts w:ascii="Cambria Math" w:eastAsia="Calibri" w:hAnsi="Cambria Math" w:cs="Times New Roman"/>
                    <w:i/>
                    <w:kern w:val="1"/>
                    <w:sz w:val="24"/>
                    <w:szCs w:val="24"/>
                    <w:lang w:val="tr-TR"/>
                  </w:rPr>
                </m:ctrlPr>
              </m:sSubPr>
              <m:e>
                <m:r>
                  <w:rPr>
                    <w:rFonts w:ascii="Cambria Math" w:eastAsia="Calibri" w:hAnsi="Cambria Math" w:cs="Times New Roman"/>
                    <w:kern w:val="1"/>
                    <w:sz w:val="24"/>
                    <w:szCs w:val="24"/>
                    <w:lang w:val="tr-TR"/>
                  </w:rPr>
                  <m:t>Y</m:t>
                </m:r>
              </m:e>
              <m:sub>
                <m:r>
                  <w:rPr>
                    <w:rFonts w:ascii="Cambria Math" w:eastAsia="Calibri" w:hAnsi="Cambria Math" w:cs="Times New Roman"/>
                    <w:kern w:val="1"/>
                    <w:sz w:val="24"/>
                    <w:szCs w:val="24"/>
                    <w:lang w:val="tr-TR"/>
                  </w:rPr>
                  <m:t>i,t-k</m:t>
                </m:r>
              </m:sub>
            </m:sSub>
          </m:e>
        </m:nary>
        <m:r>
          <w:rPr>
            <w:rFonts w:ascii="Cambria Math" w:eastAsia="Calibri" w:hAnsi="Cambria Math" w:cs="Times New Roman"/>
            <w:kern w:val="1"/>
            <w:sz w:val="24"/>
            <w:szCs w:val="24"/>
            <w:lang w:val="tr-TR"/>
          </w:rPr>
          <m:t>+</m:t>
        </m:r>
        <m:sSub>
          <m:sSubPr>
            <m:ctrlPr>
              <w:rPr>
                <w:rFonts w:ascii="Cambria Math" w:eastAsia="Calibri" w:hAnsi="Cambria Math" w:cs="Times New Roman"/>
                <w:i/>
                <w:kern w:val="1"/>
                <w:sz w:val="24"/>
                <w:szCs w:val="24"/>
                <w:lang w:val="tr-TR"/>
              </w:rPr>
            </m:ctrlPr>
          </m:sSubPr>
          <m:e>
            <m:r>
              <w:rPr>
                <w:rFonts w:ascii="Cambria Math" w:eastAsia="Calibri" w:hAnsi="Cambria Math" w:cs="Times New Roman"/>
                <w:kern w:val="1"/>
                <w:sz w:val="24"/>
                <w:szCs w:val="24"/>
                <w:lang w:val="tr-TR"/>
              </w:rPr>
              <m:t>ε</m:t>
            </m:r>
          </m:e>
          <m:sub>
            <m:r>
              <w:rPr>
                <w:rFonts w:ascii="Cambria Math" w:eastAsia="Calibri" w:hAnsi="Cambria Math" w:cs="Times New Roman"/>
                <w:kern w:val="1"/>
                <w:sz w:val="24"/>
                <w:szCs w:val="24"/>
                <w:lang w:val="tr-TR"/>
              </w:rPr>
              <m:t>it</m:t>
            </m:r>
          </m:sub>
        </m:sSub>
      </m:oMath>
      <w:r w:rsidR="009E4ABE" w:rsidRPr="004A47CE">
        <w:rPr>
          <w:rFonts w:ascii="Times New Roman" w:eastAsia="DejaVu Sans" w:hAnsi="Times New Roman" w:cs="Times New Roman"/>
          <w:kern w:val="1"/>
          <w:sz w:val="24"/>
          <w:szCs w:val="24"/>
          <w:lang w:val="tr-TR"/>
        </w:rPr>
        <w:t xml:space="preserve">     </w:t>
      </w:r>
      <w:r w:rsidR="003723BD">
        <w:rPr>
          <w:rFonts w:ascii="Times New Roman" w:eastAsia="DejaVu Sans" w:hAnsi="Times New Roman" w:cs="Times New Roman"/>
          <w:kern w:val="1"/>
          <w:sz w:val="24"/>
          <w:szCs w:val="24"/>
          <w:lang w:val="tr-TR"/>
        </w:rPr>
        <w:t xml:space="preserve">   </w:t>
      </w:r>
      <w:r w:rsidR="009E4ABE" w:rsidRPr="004A47CE">
        <w:rPr>
          <w:rFonts w:ascii="Times New Roman" w:eastAsia="DejaVu Sans" w:hAnsi="Times New Roman" w:cs="Times New Roman"/>
          <w:kern w:val="1"/>
          <w:sz w:val="24"/>
          <w:szCs w:val="24"/>
          <w:lang w:val="tr-TR"/>
        </w:rPr>
        <w:t xml:space="preserve">       </w:t>
      </w:r>
      <w:r w:rsidRPr="004A47CE">
        <w:rPr>
          <w:rFonts w:ascii="Times New Roman" w:eastAsia="DejaVu Sans" w:hAnsi="Times New Roman" w:cs="Times New Roman"/>
          <w:kern w:val="1"/>
          <w:sz w:val="24"/>
          <w:szCs w:val="24"/>
          <w:lang w:val="tr-TR"/>
        </w:rPr>
        <w:t xml:space="preserve">     (4)</w:t>
      </w:r>
    </w:p>
    <w:p w14:paraId="22B897B3" w14:textId="19246132" w:rsidR="0024435A" w:rsidRPr="004A47CE" w:rsidRDefault="0024435A" w:rsidP="004A47CE">
      <w:pPr>
        <w:spacing w:after="120" w:line="240" w:lineRule="auto"/>
        <w:ind w:firstLine="709"/>
        <w:jc w:val="both"/>
        <w:rPr>
          <w:rFonts w:ascii="Times New Roman" w:eastAsia="DejaVu Sans" w:hAnsi="Times New Roman" w:cs="Times New Roman"/>
          <w:kern w:val="1"/>
          <w:sz w:val="24"/>
          <w:szCs w:val="24"/>
          <w:lang w:val="tr-TR"/>
        </w:rPr>
      </w:pPr>
      <w:r w:rsidRPr="004A47CE">
        <w:rPr>
          <w:rFonts w:ascii="Times New Roman" w:eastAsia="DejaVu Sans" w:hAnsi="Times New Roman" w:cs="Times New Roman"/>
          <w:kern w:val="1"/>
          <w:sz w:val="24"/>
          <w:szCs w:val="24"/>
          <w:lang w:val="tr-TR"/>
        </w:rPr>
        <w:t xml:space="preserve">CADF regresyonu tahmin edildikten sonra </w:t>
      </w:r>
      <w:r w:rsidR="00F674E3" w:rsidRPr="004A47CE">
        <w:rPr>
          <w:rFonts w:ascii="Times New Roman" w:eastAsia="DejaVu Sans" w:hAnsi="Times New Roman" w:cs="Times New Roman"/>
          <w:kern w:val="1"/>
          <w:sz w:val="24"/>
          <w:szCs w:val="24"/>
          <w:lang w:val="tr-TR"/>
        </w:rPr>
        <w:t>CIPS (</w:t>
      </w:r>
      <w:r w:rsidR="00F674E3" w:rsidRPr="004A47CE">
        <w:rPr>
          <w:rFonts w:ascii="Times New Roman" w:eastAsia="DejaVu Sans" w:hAnsi="Times New Roman" w:cs="Times New Roman"/>
          <w:color w:val="000000" w:themeColor="text1"/>
          <w:kern w:val="1"/>
          <w:sz w:val="24"/>
          <w:szCs w:val="24"/>
          <w:lang w:val="tr-TR"/>
        </w:rPr>
        <w:t>Cross-Sectional A</w:t>
      </w:r>
      <w:r w:rsidR="003D0A9E" w:rsidRPr="004A47CE">
        <w:rPr>
          <w:rFonts w:ascii="Times New Roman" w:eastAsia="DejaVu Sans" w:hAnsi="Times New Roman" w:cs="Times New Roman"/>
          <w:color w:val="000000" w:themeColor="text1"/>
          <w:kern w:val="1"/>
          <w:sz w:val="24"/>
          <w:szCs w:val="24"/>
          <w:lang w:val="tr-TR"/>
        </w:rPr>
        <w:t xml:space="preserve">ugmented </w:t>
      </w:r>
      <w:r w:rsidR="00D81D70" w:rsidRPr="004A47CE">
        <w:rPr>
          <w:rFonts w:ascii="Times New Roman" w:eastAsia="DejaVu Sans" w:hAnsi="Times New Roman" w:cs="Times New Roman"/>
          <w:color w:val="000000" w:themeColor="text1"/>
          <w:kern w:val="1"/>
          <w:sz w:val="24"/>
          <w:szCs w:val="24"/>
          <w:lang w:val="tr-TR"/>
        </w:rPr>
        <w:t>Im–Pesaran–Shin</w:t>
      </w:r>
      <w:r w:rsidR="003D0A9E" w:rsidRPr="004A47CE">
        <w:rPr>
          <w:rFonts w:ascii="Times New Roman" w:eastAsia="DejaVu Sans" w:hAnsi="Times New Roman" w:cs="Times New Roman"/>
          <w:color w:val="000000" w:themeColor="text1"/>
          <w:kern w:val="1"/>
          <w:sz w:val="24"/>
          <w:szCs w:val="24"/>
          <w:lang w:val="tr-TR"/>
        </w:rPr>
        <w:t xml:space="preserve">) </w:t>
      </w:r>
      <w:r w:rsidRPr="004A47CE">
        <w:rPr>
          <w:rFonts w:ascii="Times New Roman" w:eastAsia="DejaVu Sans" w:hAnsi="Times New Roman" w:cs="Times New Roman"/>
          <w:kern w:val="1"/>
          <w:sz w:val="24"/>
          <w:szCs w:val="24"/>
          <w:lang w:val="tr-TR"/>
        </w:rPr>
        <w:t>istatistiği,</w:t>
      </w:r>
    </w:p>
    <w:p w14:paraId="1EA0670D" w14:textId="28D44784" w:rsidR="0024435A" w:rsidRPr="004A47CE" w:rsidRDefault="0024435A" w:rsidP="004A47CE">
      <w:pPr>
        <w:spacing w:after="120" w:line="240" w:lineRule="auto"/>
        <w:ind w:firstLine="709"/>
        <w:jc w:val="both"/>
        <w:rPr>
          <w:rFonts w:ascii="Times New Roman" w:eastAsia="DejaVu Sans" w:hAnsi="Times New Roman" w:cs="Times New Roman"/>
          <w:kern w:val="1"/>
          <w:sz w:val="24"/>
          <w:szCs w:val="24"/>
          <w:lang w:val="tr-TR"/>
        </w:rPr>
      </w:pPr>
      <m:oMath>
        <m:r>
          <w:rPr>
            <w:rFonts w:ascii="Cambria Math" w:eastAsia="DejaVu Sans" w:hAnsi="Cambria Math" w:cs="Times New Roman"/>
            <w:kern w:val="1"/>
            <w:sz w:val="24"/>
            <w:szCs w:val="24"/>
            <w:lang w:val="tr-TR"/>
          </w:rPr>
          <m:t>CIPS=</m:t>
        </m:r>
        <m:f>
          <m:fPr>
            <m:ctrlPr>
              <w:rPr>
                <w:rFonts w:ascii="Cambria Math" w:eastAsia="DejaVu Sans" w:hAnsi="Cambria Math" w:cs="Times New Roman"/>
                <w:i/>
                <w:kern w:val="1"/>
                <w:sz w:val="24"/>
                <w:szCs w:val="24"/>
                <w:lang w:val="tr-TR"/>
              </w:rPr>
            </m:ctrlPr>
          </m:fPr>
          <m:num>
            <m:r>
              <w:rPr>
                <w:rFonts w:ascii="Cambria Math" w:eastAsia="DejaVu Sans" w:hAnsi="Cambria Math" w:cs="Times New Roman"/>
                <w:kern w:val="1"/>
                <w:sz w:val="24"/>
                <w:szCs w:val="24"/>
                <w:lang w:val="tr-TR"/>
              </w:rPr>
              <m:t>1</m:t>
            </m:r>
          </m:num>
          <m:den>
            <m:r>
              <w:rPr>
                <w:rFonts w:ascii="Cambria Math" w:eastAsia="DejaVu Sans" w:hAnsi="Cambria Math" w:cs="Times New Roman"/>
                <w:kern w:val="1"/>
                <w:sz w:val="24"/>
                <w:szCs w:val="24"/>
                <w:lang w:val="tr-TR"/>
              </w:rPr>
              <m:t>N</m:t>
            </m:r>
          </m:den>
        </m:f>
        <m:nary>
          <m:naryPr>
            <m:chr m:val="∑"/>
            <m:limLoc m:val="undOvr"/>
            <m:ctrlPr>
              <w:rPr>
                <w:rFonts w:ascii="Cambria Math" w:eastAsia="DejaVu Sans" w:hAnsi="Cambria Math" w:cs="Times New Roman"/>
                <w:i/>
                <w:kern w:val="1"/>
                <w:sz w:val="24"/>
                <w:szCs w:val="24"/>
                <w:lang w:val="tr-TR"/>
              </w:rPr>
            </m:ctrlPr>
          </m:naryPr>
          <m:sub>
            <m:r>
              <w:rPr>
                <w:rFonts w:ascii="Cambria Math" w:eastAsia="DejaVu Sans" w:hAnsi="Cambria Math" w:cs="Times New Roman"/>
                <w:kern w:val="1"/>
                <w:sz w:val="24"/>
                <w:szCs w:val="24"/>
                <w:lang w:val="tr-TR"/>
              </w:rPr>
              <m:t>i=1</m:t>
            </m:r>
          </m:sub>
          <m:sup>
            <m:r>
              <w:rPr>
                <w:rFonts w:ascii="Cambria Math" w:eastAsia="DejaVu Sans" w:hAnsi="Cambria Math" w:cs="Times New Roman"/>
                <w:kern w:val="1"/>
                <w:sz w:val="24"/>
                <w:szCs w:val="24"/>
                <w:lang w:val="tr-TR"/>
              </w:rPr>
              <m:t>N</m:t>
            </m:r>
          </m:sup>
          <m:e>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CADF</m:t>
                </m:r>
              </m:e>
              <m:sub>
                <m:r>
                  <w:rPr>
                    <w:rFonts w:ascii="Cambria Math" w:eastAsia="DejaVu Sans" w:hAnsi="Cambria Math" w:cs="Times New Roman"/>
                    <w:kern w:val="1"/>
                    <w:sz w:val="24"/>
                    <w:szCs w:val="24"/>
                    <w:lang w:val="tr-TR"/>
                  </w:rPr>
                  <m:t>i</m:t>
                </m:r>
              </m:sub>
            </m:sSub>
          </m:e>
        </m:nary>
      </m:oMath>
      <w:r w:rsidRPr="004A47CE">
        <w:rPr>
          <w:rFonts w:ascii="Times New Roman" w:eastAsia="DejaVu Sans" w:hAnsi="Times New Roman" w:cs="Times New Roman"/>
          <w:kern w:val="1"/>
          <w:sz w:val="24"/>
          <w:szCs w:val="24"/>
          <w:lang w:val="tr-TR"/>
        </w:rPr>
        <w:t xml:space="preserve"> </w:t>
      </w:r>
      <w:r w:rsidRPr="004A47CE">
        <w:rPr>
          <w:rFonts w:ascii="Times New Roman" w:eastAsia="DejaVu Sans" w:hAnsi="Times New Roman" w:cs="Times New Roman"/>
          <w:kern w:val="1"/>
          <w:sz w:val="24"/>
          <w:szCs w:val="24"/>
          <w:lang w:val="tr-TR"/>
        </w:rPr>
        <w:tab/>
        <w:t xml:space="preserve">                                      </w:t>
      </w:r>
      <w:r w:rsidR="003723BD">
        <w:rPr>
          <w:rFonts w:ascii="Times New Roman" w:eastAsia="DejaVu Sans" w:hAnsi="Times New Roman" w:cs="Times New Roman"/>
          <w:kern w:val="1"/>
          <w:sz w:val="24"/>
          <w:szCs w:val="24"/>
          <w:lang w:val="tr-TR"/>
        </w:rPr>
        <w:t xml:space="preserve">                       </w:t>
      </w:r>
      <w:r w:rsidR="004A47CE">
        <w:rPr>
          <w:rFonts w:ascii="Times New Roman" w:eastAsia="DejaVu Sans" w:hAnsi="Times New Roman" w:cs="Times New Roman"/>
          <w:kern w:val="1"/>
          <w:sz w:val="24"/>
          <w:szCs w:val="24"/>
          <w:lang w:val="tr-TR"/>
        </w:rPr>
        <w:t xml:space="preserve">                       </w:t>
      </w:r>
      <w:r w:rsidR="003723BD">
        <w:rPr>
          <w:rFonts w:ascii="Times New Roman" w:eastAsia="DejaVu Sans" w:hAnsi="Times New Roman" w:cs="Times New Roman"/>
          <w:kern w:val="1"/>
          <w:sz w:val="24"/>
          <w:szCs w:val="24"/>
          <w:lang w:val="tr-TR"/>
        </w:rPr>
        <w:t xml:space="preserve"> </w:t>
      </w:r>
      <w:r w:rsidR="004A47CE">
        <w:rPr>
          <w:rFonts w:ascii="Times New Roman" w:eastAsia="DejaVu Sans" w:hAnsi="Times New Roman" w:cs="Times New Roman"/>
          <w:kern w:val="1"/>
          <w:sz w:val="24"/>
          <w:szCs w:val="24"/>
          <w:lang w:val="tr-TR"/>
        </w:rPr>
        <w:t xml:space="preserve">  (5)</w:t>
      </w:r>
    </w:p>
    <w:p w14:paraId="4F4247E2" w14:textId="000C00FA" w:rsidR="009E4ABE" w:rsidRPr="004A47CE" w:rsidRDefault="0024435A" w:rsidP="004A47CE">
      <w:pPr>
        <w:spacing w:after="120" w:line="240" w:lineRule="auto"/>
        <w:ind w:firstLine="709"/>
        <w:jc w:val="both"/>
        <w:rPr>
          <w:rFonts w:ascii="Times New Roman" w:eastAsia="DejaVu Sans" w:hAnsi="Times New Roman" w:cs="Times New Roman"/>
          <w:kern w:val="1"/>
          <w:sz w:val="24"/>
          <w:szCs w:val="24"/>
          <w:lang w:val="tr-TR"/>
        </w:rPr>
      </w:pPr>
      <w:r w:rsidRPr="004A47CE">
        <w:rPr>
          <w:rFonts w:ascii="Times New Roman" w:eastAsia="DejaVu Sans" w:hAnsi="Times New Roman" w:cs="Times New Roman"/>
          <w:kern w:val="1"/>
          <w:sz w:val="24"/>
          <w:szCs w:val="24"/>
          <w:lang w:val="tr-TR"/>
        </w:rPr>
        <w:t xml:space="preserve">olarak elde edilecektir. Burada </w:t>
      </w:r>
      <m:oMath>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CADF</m:t>
            </m:r>
          </m:e>
          <m:sub>
            <m:r>
              <w:rPr>
                <w:rFonts w:ascii="Cambria Math" w:eastAsia="DejaVu Sans" w:hAnsi="Cambria Math" w:cs="Times New Roman"/>
                <w:kern w:val="1"/>
                <w:sz w:val="24"/>
                <w:szCs w:val="24"/>
                <w:lang w:val="tr-TR"/>
              </w:rPr>
              <m:t>i</m:t>
            </m:r>
          </m:sub>
        </m:sSub>
      </m:oMath>
      <w:r w:rsidRPr="004A47CE">
        <w:rPr>
          <w:rFonts w:ascii="Times New Roman" w:eastAsia="DejaVu Sans" w:hAnsi="Times New Roman" w:cs="Times New Roman"/>
          <w:kern w:val="1"/>
          <w:sz w:val="24"/>
          <w:szCs w:val="24"/>
          <w:lang w:val="tr-TR"/>
        </w:rPr>
        <w:t xml:space="preserve"> gecikmeli değişkenlerin t-istatistiklerinin ortalamalarını ifade etmektedir. </w:t>
      </w:r>
      <w:r w:rsidR="009E4ABE" w:rsidRPr="004A47CE">
        <w:rPr>
          <w:rFonts w:ascii="Times New Roman" w:eastAsia="DejaVu Sans" w:hAnsi="Times New Roman" w:cs="Times New Roman"/>
          <w:kern w:val="1"/>
          <w:sz w:val="24"/>
          <w:szCs w:val="24"/>
          <w:lang w:val="tr-TR"/>
        </w:rPr>
        <w:t>Nüfus ve eğitim değişkenlerine ise birinci nesil birim kök testleri</w:t>
      </w:r>
      <w:r w:rsidR="006A032E" w:rsidRPr="004A47CE">
        <w:rPr>
          <w:rFonts w:ascii="Times New Roman" w:eastAsia="DejaVu Sans" w:hAnsi="Times New Roman" w:cs="Times New Roman"/>
          <w:kern w:val="1"/>
          <w:sz w:val="24"/>
          <w:szCs w:val="24"/>
          <w:lang w:val="tr-TR"/>
        </w:rPr>
        <w:t>nden Levin-Lin Chu</w:t>
      </w:r>
      <w:r w:rsidR="001A4289" w:rsidRPr="004A47CE">
        <w:rPr>
          <w:rFonts w:ascii="Times New Roman" w:eastAsia="DejaVu Sans" w:hAnsi="Times New Roman" w:cs="Times New Roman"/>
          <w:kern w:val="1"/>
          <w:sz w:val="24"/>
          <w:szCs w:val="24"/>
          <w:lang w:val="tr-TR"/>
        </w:rPr>
        <w:t xml:space="preserve"> (</w:t>
      </w:r>
      <w:r w:rsidR="00157FEE" w:rsidRPr="004A47CE">
        <w:rPr>
          <w:rFonts w:ascii="Times New Roman" w:eastAsia="DejaVu Sans" w:hAnsi="Times New Roman" w:cs="Times New Roman"/>
          <w:kern w:val="1"/>
          <w:sz w:val="24"/>
          <w:szCs w:val="24"/>
          <w:lang w:val="tr-TR"/>
        </w:rPr>
        <w:t xml:space="preserve">LLC, </w:t>
      </w:r>
      <w:r w:rsidR="001A4289" w:rsidRPr="004A47CE">
        <w:rPr>
          <w:rFonts w:ascii="Times New Roman" w:eastAsia="DejaVu Sans" w:hAnsi="Times New Roman" w:cs="Times New Roman"/>
          <w:kern w:val="1"/>
          <w:sz w:val="24"/>
          <w:szCs w:val="24"/>
          <w:lang w:val="tr-TR"/>
        </w:rPr>
        <w:t xml:space="preserve">2002) </w:t>
      </w:r>
      <w:r w:rsidR="006A032E" w:rsidRPr="004A47CE">
        <w:rPr>
          <w:rFonts w:ascii="Times New Roman" w:eastAsia="DejaVu Sans" w:hAnsi="Times New Roman" w:cs="Times New Roman"/>
          <w:kern w:val="1"/>
          <w:sz w:val="24"/>
          <w:szCs w:val="24"/>
          <w:lang w:val="tr-TR"/>
        </w:rPr>
        <w:t xml:space="preserve">birim kök testi </w:t>
      </w:r>
      <w:r w:rsidR="009E4ABE" w:rsidRPr="004A47CE">
        <w:rPr>
          <w:rFonts w:ascii="Times New Roman" w:eastAsia="DejaVu Sans" w:hAnsi="Times New Roman" w:cs="Times New Roman"/>
          <w:kern w:val="1"/>
          <w:sz w:val="24"/>
          <w:szCs w:val="24"/>
          <w:lang w:val="tr-TR"/>
        </w:rPr>
        <w:t xml:space="preserve">uygulanmıştır. </w:t>
      </w:r>
      <w:r w:rsidR="001A4289" w:rsidRPr="004A47CE">
        <w:rPr>
          <w:rFonts w:ascii="Times New Roman" w:eastAsia="DejaVu Sans" w:hAnsi="Times New Roman" w:cs="Times New Roman"/>
          <w:kern w:val="1"/>
          <w:sz w:val="24"/>
          <w:szCs w:val="24"/>
          <w:lang w:val="tr-TR"/>
        </w:rPr>
        <w:t>LLC  (2002)  t test istatistiği</w:t>
      </w:r>
      <w:r w:rsidR="00DE68EE" w:rsidRPr="004A47CE">
        <w:rPr>
          <w:rFonts w:ascii="Times New Roman" w:eastAsia="DejaVu Sans" w:hAnsi="Times New Roman" w:cs="Times New Roman"/>
          <w:kern w:val="1"/>
          <w:sz w:val="24"/>
          <w:szCs w:val="24"/>
          <w:lang w:val="tr-TR"/>
        </w:rPr>
        <w:t>,</w:t>
      </w:r>
      <w:r w:rsidR="001A4289" w:rsidRPr="004A47CE">
        <w:rPr>
          <w:rFonts w:ascii="Times New Roman" w:eastAsia="DejaVu Sans" w:hAnsi="Times New Roman" w:cs="Times New Roman"/>
          <w:kern w:val="1"/>
          <w:sz w:val="24"/>
          <w:szCs w:val="24"/>
          <w:lang w:val="tr-TR"/>
        </w:rPr>
        <w:t xml:space="preserve"> </w:t>
      </w:r>
    </w:p>
    <w:p w14:paraId="599AC7C3" w14:textId="0BEB9EBC" w:rsidR="009E4ABE" w:rsidRPr="004A47CE" w:rsidRDefault="003946CC" w:rsidP="004A47CE">
      <w:pPr>
        <w:spacing w:after="120" w:line="240" w:lineRule="auto"/>
        <w:ind w:firstLine="709"/>
        <w:jc w:val="both"/>
        <w:rPr>
          <w:rFonts w:ascii="Times New Roman" w:eastAsia="DejaVu Sans" w:hAnsi="Times New Roman" w:cs="Times New Roman"/>
          <w:i/>
          <w:kern w:val="1"/>
          <w:sz w:val="24"/>
          <w:szCs w:val="24"/>
          <w:lang w:val="tr-TR"/>
        </w:rPr>
      </w:pPr>
      <m:oMath>
        <m:sSub>
          <m:sSubPr>
            <m:ctrlPr>
              <w:rPr>
                <w:rFonts w:ascii="Cambria Math" w:eastAsia="DejaVu Sans" w:hAnsi="Cambria Math" w:cs="Times New Roman"/>
                <w:i/>
                <w:kern w:val="1"/>
                <w:sz w:val="24"/>
                <w:szCs w:val="24"/>
                <w:lang w:val="en-US"/>
              </w:rPr>
            </m:ctrlPr>
          </m:sSubPr>
          <m:e>
            <m:r>
              <w:rPr>
                <w:rFonts w:ascii="Cambria Math" w:eastAsia="DejaVu Sans" w:hAnsi="Cambria Math" w:cs="Times New Roman"/>
                <w:kern w:val="1"/>
                <w:sz w:val="24"/>
                <w:szCs w:val="24"/>
                <w:lang w:val="tr-TR"/>
              </w:rPr>
              <m:t>t</m:t>
            </m:r>
          </m:e>
          <m:sub>
            <m:r>
              <w:rPr>
                <w:rFonts w:ascii="Cambria Math" w:eastAsia="DejaVu Sans" w:hAnsi="Cambria Math" w:cs="Times New Roman"/>
                <w:kern w:val="1"/>
                <w:sz w:val="24"/>
                <w:szCs w:val="24"/>
                <w:lang w:val="tr-TR"/>
              </w:rPr>
              <m:t>δ</m:t>
            </m:r>
          </m:sub>
        </m:sSub>
        <m:r>
          <w:rPr>
            <w:rFonts w:ascii="Cambria Math" w:eastAsia="DejaVu Sans" w:hAnsi="Cambria Math" w:cs="Times New Roman"/>
            <w:kern w:val="1"/>
            <w:sz w:val="24"/>
            <w:szCs w:val="24"/>
            <w:lang w:val="tr-TR"/>
          </w:rPr>
          <m:t>=</m:t>
        </m:r>
        <m:f>
          <m:fPr>
            <m:ctrlPr>
              <w:rPr>
                <w:rFonts w:ascii="Cambria Math" w:eastAsia="DejaVu Sans" w:hAnsi="Cambria Math" w:cs="Times New Roman"/>
                <w:i/>
                <w:kern w:val="1"/>
                <w:sz w:val="24"/>
                <w:szCs w:val="24"/>
                <w:lang w:val="en-US"/>
              </w:rPr>
            </m:ctrlPr>
          </m:fPr>
          <m:num>
            <m:acc>
              <m:accPr>
                <m:ctrlPr>
                  <w:rPr>
                    <w:rFonts w:ascii="Cambria Math" w:eastAsia="DejaVu Sans" w:hAnsi="Cambria Math" w:cs="Times New Roman"/>
                    <w:i/>
                    <w:kern w:val="1"/>
                    <w:sz w:val="24"/>
                    <w:szCs w:val="24"/>
                    <w:lang w:val="en-US"/>
                  </w:rPr>
                </m:ctrlPr>
              </m:accPr>
              <m:e>
                <m:r>
                  <w:rPr>
                    <w:rFonts w:ascii="Cambria Math" w:eastAsia="DejaVu Sans" w:hAnsi="Cambria Math" w:cs="Times New Roman"/>
                    <w:kern w:val="1"/>
                    <w:sz w:val="24"/>
                    <w:szCs w:val="24"/>
                    <w:lang w:val="tr-TR"/>
                  </w:rPr>
                  <m:t>δ</m:t>
                </m:r>
              </m:e>
            </m:acc>
          </m:num>
          <m:den>
            <m:r>
              <w:rPr>
                <w:rFonts w:ascii="Cambria Math" w:eastAsia="DejaVu Sans" w:hAnsi="Cambria Math" w:cs="Times New Roman"/>
                <w:kern w:val="1"/>
                <w:sz w:val="24"/>
                <w:szCs w:val="24"/>
                <w:lang w:val="tr-TR"/>
              </w:rPr>
              <m:t>std</m:t>
            </m:r>
            <m:acc>
              <m:accPr>
                <m:ctrlPr>
                  <w:rPr>
                    <w:rFonts w:ascii="Cambria Math" w:eastAsia="DejaVu Sans" w:hAnsi="Cambria Math" w:cs="Times New Roman"/>
                    <w:i/>
                    <w:kern w:val="1"/>
                    <w:sz w:val="24"/>
                    <w:szCs w:val="24"/>
                    <w:lang w:val="en-US"/>
                  </w:rPr>
                </m:ctrlPr>
              </m:accPr>
              <m:e>
                <m:r>
                  <w:rPr>
                    <w:rFonts w:ascii="Cambria Math" w:eastAsia="DejaVu Sans" w:hAnsi="Cambria Math" w:cs="Times New Roman"/>
                    <w:kern w:val="1"/>
                    <w:sz w:val="24"/>
                    <w:szCs w:val="24"/>
                    <w:lang w:val="tr-TR"/>
                  </w:rPr>
                  <m:t>(δ)</m:t>
                </m:r>
              </m:e>
            </m:acc>
          </m:den>
        </m:f>
      </m:oMath>
      <w:r w:rsidR="004A47CE" w:rsidRPr="004A47CE">
        <w:rPr>
          <w:rFonts w:ascii="Times New Roman" w:eastAsia="DejaVu Sans" w:hAnsi="Times New Roman" w:cs="Times New Roman"/>
          <w:i/>
          <w:kern w:val="1"/>
          <w:sz w:val="24"/>
          <w:szCs w:val="24"/>
          <w:lang w:val="tr-TR"/>
        </w:rPr>
        <w:t xml:space="preserve">                                                                                                                 </w:t>
      </w:r>
      <w:r w:rsidR="004A47CE">
        <w:rPr>
          <w:rFonts w:ascii="Times New Roman" w:eastAsia="DejaVu Sans" w:hAnsi="Times New Roman" w:cs="Times New Roman"/>
          <w:i/>
          <w:kern w:val="1"/>
          <w:sz w:val="24"/>
          <w:szCs w:val="24"/>
          <w:lang w:val="tr-TR"/>
        </w:rPr>
        <w:t xml:space="preserve">      </w:t>
      </w:r>
      <w:r w:rsidR="004A47CE" w:rsidRPr="004A47CE">
        <w:rPr>
          <w:rFonts w:ascii="Times New Roman" w:eastAsia="DejaVu Sans" w:hAnsi="Times New Roman" w:cs="Times New Roman"/>
          <w:kern w:val="1"/>
          <w:sz w:val="24"/>
          <w:szCs w:val="24"/>
          <w:lang w:val="tr-TR"/>
        </w:rPr>
        <w:t>(6)</w:t>
      </w:r>
    </w:p>
    <w:p w14:paraId="27A5C15B" w14:textId="77777777" w:rsidR="00DE68EE" w:rsidRPr="004A47CE" w:rsidRDefault="00DE68EE" w:rsidP="004A47CE">
      <w:pPr>
        <w:spacing w:after="120" w:line="240" w:lineRule="auto"/>
        <w:ind w:firstLine="709"/>
        <w:jc w:val="both"/>
        <w:rPr>
          <w:rFonts w:ascii="Times New Roman" w:eastAsia="DejaVu Sans" w:hAnsi="Times New Roman" w:cs="Times New Roman"/>
          <w:kern w:val="1"/>
          <w:sz w:val="24"/>
          <w:szCs w:val="24"/>
          <w:lang w:val="tr-TR"/>
        </w:rPr>
      </w:pPr>
    </w:p>
    <w:p w14:paraId="0A9E19F8" w14:textId="55955B3F" w:rsidR="0024435A" w:rsidRPr="004A47CE" w:rsidRDefault="00DE68EE" w:rsidP="00F9226F">
      <w:pPr>
        <w:spacing w:after="120" w:line="240" w:lineRule="auto"/>
        <w:jc w:val="both"/>
        <w:rPr>
          <w:rFonts w:ascii="Times New Roman" w:eastAsia="DejaVu Sans" w:hAnsi="Times New Roman" w:cs="Times New Roman"/>
          <w:kern w:val="1"/>
          <w:sz w:val="24"/>
          <w:szCs w:val="24"/>
          <w:lang w:val="tr-TR"/>
        </w:rPr>
      </w:pPr>
      <w:r w:rsidRPr="00F9226F">
        <w:rPr>
          <w:rFonts w:ascii="Times New Roman" w:eastAsia="DejaVu Sans" w:hAnsi="Times New Roman" w:cs="Times New Roman"/>
          <w:kern w:val="1"/>
          <w:sz w:val="24"/>
          <w:szCs w:val="24"/>
          <w:lang w:val="tr-TR"/>
        </w:rPr>
        <w:t xml:space="preserve">olarak </w:t>
      </w:r>
      <m:oMath>
        <m:r>
          <w:rPr>
            <w:rFonts w:ascii="Cambria Math" w:eastAsia="DejaVu Sans" w:hAnsi="Cambria Math" w:cs="Times New Roman"/>
            <w:kern w:val="1"/>
            <w:sz w:val="24"/>
            <w:szCs w:val="24"/>
            <w:lang w:val="tr-TR"/>
          </w:rPr>
          <m:t>δ=0</m:t>
        </m:r>
      </m:oMath>
      <w:r w:rsidRPr="00F9226F">
        <w:rPr>
          <w:rFonts w:ascii="Times New Roman" w:eastAsia="DejaVu Sans" w:hAnsi="Times New Roman" w:cs="Times New Roman"/>
          <w:kern w:val="1"/>
          <w:sz w:val="24"/>
          <w:szCs w:val="24"/>
          <w:lang w:val="tr-TR"/>
        </w:rPr>
        <w:t xml:space="preserve"> olduğu temel hipotezi altında hesaplanmaktadır. </w:t>
      </w:r>
      <w:r w:rsidR="000164D3" w:rsidRPr="00F9226F">
        <w:rPr>
          <w:rFonts w:ascii="Times New Roman" w:eastAsia="DejaVu Sans" w:hAnsi="Times New Roman" w:cs="Times New Roman"/>
          <w:kern w:val="1"/>
          <w:sz w:val="24"/>
          <w:szCs w:val="24"/>
          <w:lang w:val="tr-TR"/>
        </w:rPr>
        <w:t>Pesaran (2007) ve LLC</w:t>
      </w:r>
      <w:r w:rsidRPr="00F9226F">
        <w:rPr>
          <w:rFonts w:ascii="Times New Roman" w:eastAsia="DejaVu Sans" w:hAnsi="Times New Roman" w:cs="Times New Roman"/>
          <w:kern w:val="1"/>
          <w:sz w:val="24"/>
          <w:szCs w:val="24"/>
          <w:lang w:val="tr-TR"/>
        </w:rPr>
        <w:t xml:space="preserve"> </w:t>
      </w:r>
      <w:r w:rsidR="000164D3" w:rsidRPr="00F9226F">
        <w:rPr>
          <w:rFonts w:ascii="Times New Roman" w:eastAsia="DejaVu Sans" w:hAnsi="Times New Roman" w:cs="Times New Roman"/>
          <w:kern w:val="1"/>
          <w:sz w:val="24"/>
          <w:szCs w:val="24"/>
          <w:lang w:val="tr-TR"/>
        </w:rPr>
        <w:t>(2002) birim kök test</w:t>
      </w:r>
      <w:r w:rsidR="00A968BD" w:rsidRPr="00F9226F">
        <w:rPr>
          <w:rFonts w:ascii="Times New Roman" w:eastAsia="DejaVu Sans" w:hAnsi="Times New Roman" w:cs="Times New Roman"/>
          <w:kern w:val="1"/>
          <w:sz w:val="24"/>
          <w:szCs w:val="24"/>
          <w:lang w:val="tr-TR"/>
        </w:rPr>
        <w:t>i</w:t>
      </w:r>
      <w:r w:rsidR="0024435A" w:rsidRPr="00F9226F">
        <w:rPr>
          <w:rFonts w:ascii="Times New Roman" w:eastAsia="DejaVu Sans" w:hAnsi="Times New Roman" w:cs="Times New Roman"/>
          <w:kern w:val="1"/>
          <w:sz w:val="24"/>
          <w:szCs w:val="24"/>
          <w:lang w:val="tr-TR"/>
        </w:rPr>
        <w:t xml:space="preserve"> sonuçları </w:t>
      </w:r>
      <w:r w:rsidRPr="00F9226F">
        <w:rPr>
          <w:rFonts w:ascii="Times New Roman" w:eastAsia="DejaVu Sans" w:hAnsi="Times New Roman" w:cs="Times New Roman"/>
          <w:kern w:val="1"/>
          <w:sz w:val="24"/>
          <w:szCs w:val="24"/>
          <w:lang w:val="tr-TR"/>
        </w:rPr>
        <w:t xml:space="preserve">Tablo 4’te </w:t>
      </w:r>
      <w:r w:rsidR="0024435A" w:rsidRPr="00F9226F">
        <w:rPr>
          <w:rFonts w:ascii="Times New Roman" w:eastAsia="DejaVu Sans" w:hAnsi="Times New Roman" w:cs="Times New Roman"/>
          <w:kern w:val="1"/>
          <w:sz w:val="24"/>
          <w:szCs w:val="24"/>
          <w:lang w:val="tr-TR"/>
        </w:rPr>
        <w:t>özetlenmiştir.</w:t>
      </w:r>
    </w:p>
    <w:p w14:paraId="44E5F7BD" w14:textId="77777777" w:rsidR="00C01713" w:rsidRPr="004A47CE" w:rsidRDefault="00C01713" w:rsidP="004A47CE">
      <w:pPr>
        <w:spacing w:after="120" w:line="240" w:lineRule="auto"/>
        <w:ind w:firstLine="709"/>
        <w:jc w:val="both"/>
        <w:rPr>
          <w:rFonts w:ascii="Times New Roman" w:eastAsia="Times New Roman" w:hAnsi="Times New Roman" w:cs="Times New Roman"/>
          <w:b/>
          <w:iCs/>
          <w:sz w:val="24"/>
          <w:szCs w:val="24"/>
          <w:lang w:val="tr-TR"/>
        </w:rPr>
      </w:pPr>
    </w:p>
    <w:p w14:paraId="6E56F411" w14:textId="7208565C" w:rsidR="0024435A" w:rsidRPr="003723BD" w:rsidRDefault="00CA6454" w:rsidP="003723BD">
      <w:pPr>
        <w:spacing w:after="60" w:line="360" w:lineRule="auto"/>
        <w:jc w:val="center"/>
        <w:rPr>
          <w:rFonts w:ascii="Times New Roman" w:eastAsia="DejaVu Sans" w:hAnsi="Times New Roman" w:cs="Times New Roman"/>
          <w:b/>
          <w:color w:val="000000" w:themeColor="text1"/>
          <w:kern w:val="1"/>
          <w:sz w:val="24"/>
          <w:szCs w:val="24"/>
          <w:lang w:val="tr-TR"/>
        </w:rPr>
      </w:pPr>
      <w:r w:rsidRPr="003723BD">
        <w:rPr>
          <w:rFonts w:ascii="Times New Roman" w:eastAsia="Times New Roman" w:hAnsi="Times New Roman" w:cs="Times New Roman"/>
          <w:b/>
          <w:iCs/>
          <w:color w:val="000000" w:themeColor="text1"/>
          <w:sz w:val="24"/>
          <w:szCs w:val="24"/>
          <w:lang w:val="tr-TR"/>
        </w:rPr>
        <w:t xml:space="preserve">Tablo </w:t>
      </w:r>
      <w:r w:rsidRPr="003723BD">
        <w:rPr>
          <w:rFonts w:ascii="Times New Roman" w:eastAsia="DejaVu Sans" w:hAnsi="Times New Roman" w:cs="Times New Roman"/>
          <w:b/>
          <w:color w:val="000000" w:themeColor="text1"/>
          <w:kern w:val="1"/>
          <w:sz w:val="24"/>
          <w:szCs w:val="24"/>
          <w:lang w:val="tr-TR"/>
        </w:rPr>
        <w:t>4.  Birim Kök Testi Sonuçları</w:t>
      </w:r>
    </w:p>
    <w:tbl>
      <w:tblPr>
        <w:tblStyle w:val="11"/>
        <w:tblpPr w:leftFromText="180" w:rightFromText="180" w:vertAnchor="text" w:tblpY="1"/>
        <w:tblOverlap w:val="never"/>
        <w:tblW w:w="0" w:type="auto"/>
        <w:tblLook w:val="04A0" w:firstRow="1" w:lastRow="0" w:firstColumn="1" w:lastColumn="0" w:noHBand="0" w:noVBand="1"/>
      </w:tblPr>
      <w:tblGrid>
        <w:gridCol w:w="717"/>
        <w:gridCol w:w="1693"/>
        <w:gridCol w:w="1843"/>
        <w:gridCol w:w="1701"/>
        <w:gridCol w:w="1559"/>
        <w:gridCol w:w="1134"/>
      </w:tblGrid>
      <w:tr w:rsidR="00FF0578" w:rsidRPr="00500470" w14:paraId="7DCF98C6" w14:textId="77777777" w:rsidTr="00DF4201">
        <w:trPr>
          <w:trHeight w:val="247"/>
        </w:trPr>
        <w:tc>
          <w:tcPr>
            <w:tcW w:w="717" w:type="dxa"/>
            <w:tcBorders>
              <w:left w:val="nil"/>
              <w:right w:val="nil"/>
            </w:tcBorders>
          </w:tcPr>
          <w:p w14:paraId="3C0E3704" w14:textId="77777777" w:rsidR="00FF0578" w:rsidRPr="00500470" w:rsidRDefault="00FF0578" w:rsidP="00FF0578">
            <w:pPr>
              <w:suppressLineNumbers/>
              <w:rPr>
                <w:rFonts w:ascii="Times New Roman" w:eastAsia="DejaVu Sans" w:hAnsi="Times New Roman"/>
                <w:iCs/>
                <w:kern w:val="1"/>
                <w:sz w:val="20"/>
                <w:szCs w:val="20"/>
              </w:rPr>
            </w:pPr>
          </w:p>
        </w:tc>
        <w:tc>
          <w:tcPr>
            <w:tcW w:w="1693" w:type="dxa"/>
            <w:tcBorders>
              <w:left w:val="nil"/>
              <w:right w:val="nil"/>
            </w:tcBorders>
          </w:tcPr>
          <w:p w14:paraId="086177D0" w14:textId="77777777" w:rsidR="00FF0578" w:rsidRPr="00500470" w:rsidRDefault="00FF0578" w:rsidP="00FF0578">
            <w:pPr>
              <w:suppressLineNumbers/>
              <w:rPr>
                <w:rFonts w:ascii="Times New Roman" w:eastAsia="DejaVu Sans" w:hAnsi="Times New Roman"/>
                <w:iCs/>
                <w:kern w:val="1"/>
                <w:sz w:val="20"/>
                <w:szCs w:val="20"/>
              </w:rPr>
            </w:pPr>
          </w:p>
        </w:tc>
        <w:tc>
          <w:tcPr>
            <w:tcW w:w="1843" w:type="dxa"/>
            <w:tcBorders>
              <w:left w:val="nil"/>
              <w:right w:val="nil"/>
            </w:tcBorders>
          </w:tcPr>
          <w:p w14:paraId="18DE1A21" w14:textId="29F52160" w:rsidR="00FF0578" w:rsidRPr="00500470" w:rsidRDefault="00FF0578" w:rsidP="00FF0578">
            <w:pPr>
              <w:suppressLineNumbers/>
              <w:rPr>
                <w:rFonts w:ascii="Times New Roman" w:eastAsia="DejaVu Sans" w:hAnsi="Times New Roman"/>
                <w:iCs/>
                <w:kern w:val="1"/>
                <w:sz w:val="20"/>
                <w:szCs w:val="20"/>
              </w:rPr>
            </w:pPr>
          </w:p>
        </w:tc>
        <w:tc>
          <w:tcPr>
            <w:tcW w:w="1701" w:type="dxa"/>
            <w:tcBorders>
              <w:left w:val="nil"/>
              <w:right w:val="nil"/>
            </w:tcBorders>
          </w:tcPr>
          <w:p w14:paraId="1B9D1179" w14:textId="77777777" w:rsidR="00FF0578" w:rsidRPr="00500470" w:rsidRDefault="00FF0578" w:rsidP="00FF0578">
            <w:pPr>
              <w:suppressLineNumbers/>
              <w:rPr>
                <w:rFonts w:ascii="Times New Roman" w:eastAsia="DejaVu Sans" w:hAnsi="Times New Roman"/>
                <w:b/>
                <w:iCs/>
                <w:kern w:val="1"/>
                <w:sz w:val="20"/>
                <w:szCs w:val="20"/>
              </w:rPr>
            </w:pPr>
            <w:r w:rsidRPr="00500470">
              <w:rPr>
                <w:rFonts w:ascii="Times New Roman" w:eastAsia="DejaVu Sans" w:hAnsi="Times New Roman"/>
                <w:b/>
                <w:iCs/>
                <w:kern w:val="1"/>
                <w:sz w:val="20"/>
                <w:szCs w:val="20"/>
              </w:rPr>
              <w:t xml:space="preserve"> t bar istatistiği</w:t>
            </w:r>
          </w:p>
        </w:tc>
        <w:tc>
          <w:tcPr>
            <w:tcW w:w="1559" w:type="dxa"/>
            <w:tcBorders>
              <w:left w:val="nil"/>
              <w:right w:val="nil"/>
            </w:tcBorders>
          </w:tcPr>
          <w:p w14:paraId="73B40C3F" w14:textId="77777777" w:rsidR="00FF0578" w:rsidRPr="00500470" w:rsidRDefault="00FF0578" w:rsidP="00FF0578">
            <w:pPr>
              <w:suppressLineNumbers/>
              <w:rPr>
                <w:rFonts w:ascii="Times New Roman" w:eastAsia="DejaVu Sans" w:hAnsi="Times New Roman"/>
                <w:b/>
                <w:iCs/>
                <w:kern w:val="1"/>
                <w:sz w:val="20"/>
                <w:szCs w:val="20"/>
              </w:rPr>
            </w:pPr>
            <w:r w:rsidRPr="00500470">
              <w:rPr>
                <w:rFonts w:ascii="Times New Roman" w:eastAsia="DejaVu Sans" w:hAnsi="Times New Roman"/>
                <w:b/>
                <w:iCs/>
                <w:kern w:val="1"/>
                <w:sz w:val="20"/>
                <w:szCs w:val="20"/>
              </w:rPr>
              <w:t>z bar istatistiği</w:t>
            </w:r>
          </w:p>
        </w:tc>
        <w:tc>
          <w:tcPr>
            <w:tcW w:w="1134" w:type="dxa"/>
            <w:tcBorders>
              <w:left w:val="nil"/>
              <w:right w:val="nil"/>
            </w:tcBorders>
          </w:tcPr>
          <w:p w14:paraId="5D46BD0E" w14:textId="77777777" w:rsidR="00FF0578" w:rsidRPr="00500470" w:rsidRDefault="00FF0578" w:rsidP="00FF0578">
            <w:pPr>
              <w:suppressLineNumbers/>
              <w:rPr>
                <w:rFonts w:ascii="Times New Roman" w:eastAsia="DejaVu Sans" w:hAnsi="Times New Roman"/>
                <w:b/>
                <w:iCs/>
                <w:kern w:val="1"/>
                <w:sz w:val="20"/>
                <w:szCs w:val="20"/>
              </w:rPr>
            </w:pPr>
            <w:r w:rsidRPr="00500470">
              <w:rPr>
                <w:rFonts w:ascii="Times New Roman" w:eastAsia="DejaVu Sans" w:hAnsi="Times New Roman"/>
                <w:b/>
                <w:iCs/>
                <w:kern w:val="1"/>
                <w:sz w:val="20"/>
                <w:szCs w:val="20"/>
              </w:rPr>
              <w:t xml:space="preserve">Olasılık          </w:t>
            </w:r>
          </w:p>
        </w:tc>
      </w:tr>
      <w:tr w:rsidR="00FF0578" w:rsidRPr="00500470" w14:paraId="12DE46B7" w14:textId="77777777" w:rsidTr="00DF4201">
        <w:trPr>
          <w:trHeight w:val="264"/>
        </w:trPr>
        <w:tc>
          <w:tcPr>
            <w:tcW w:w="2410" w:type="dxa"/>
            <w:gridSpan w:val="2"/>
            <w:tcBorders>
              <w:left w:val="nil"/>
              <w:right w:val="nil"/>
            </w:tcBorders>
          </w:tcPr>
          <w:p w14:paraId="47361143" w14:textId="137048F8" w:rsidR="00FF0578" w:rsidRPr="00500470" w:rsidRDefault="00FF0578"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 xml:space="preserve"> </w:t>
            </w:r>
          </w:p>
        </w:tc>
        <w:tc>
          <w:tcPr>
            <w:tcW w:w="1843" w:type="dxa"/>
            <w:tcBorders>
              <w:left w:val="nil"/>
              <w:bottom w:val="single" w:sz="4" w:space="0" w:color="auto"/>
              <w:right w:val="nil"/>
            </w:tcBorders>
          </w:tcPr>
          <w:p w14:paraId="2024EA34" w14:textId="6BEA5ECA" w:rsidR="00FF0578" w:rsidRPr="00500470" w:rsidRDefault="00FF0578" w:rsidP="00FF0578">
            <w:pPr>
              <w:suppressLineNumbers/>
              <w:rPr>
                <w:rFonts w:ascii="Times New Roman" w:eastAsia="DejaVu Sans" w:hAnsi="Times New Roman"/>
                <w:iCs/>
                <w:kern w:val="1"/>
                <w:sz w:val="20"/>
                <w:szCs w:val="20"/>
              </w:rPr>
            </w:pPr>
          </w:p>
        </w:tc>
        <w:tc>
          <w:tcPr>
            <w:tcW w:w="4394" w:type="dxa"/>
            <w:gridSpan w:val="3"/>
            <w:tcBorders>
              <w:left w:val="nil"/>
              <w:bottom w:val="single" w:sz="4" w:space="0" w:color="auto"/>
              <w:right w:val="nil"/>
            </w:tcBorders>
          </w:tcPr>
          <w:p w14:paraId="4339938C" w14:textId="77777777" w:rsidR="00FF0578" w:rsidRPr="00500470" w:rsidRDefault="00FF0578" w:rsidP="00FF0578">
            <w:pPr>
              <w:suppressLineNumbers/>
              <w:rPr>
                <w:rFonts w:ascii="Times New Roman" w:eastAsia="DejaVu Sans" w:hAnsi="Times New Roman"/>
                <w:iCs/>
                <w:kern w:val="1"/>
                <w:sz w:val="20"/>
                <w:szCs w:val="20"/>
              </w:rPr>
            </w:pPr>
            <w:r w:rsidRPr="00500470">
              <w:rPr>
                <w:rFonts w:ascii="Times New Roman" w:eastAsia="DejaVu Sans" w:hAnsi="Times New Roman"/>
                <w:b/>
                <w:iCs/>
                <w:kern w:val="1"/>
                <w:sz w:val="20"/>
                <w:szCs w:val="20"/>
              </w:rPr>
              <w:t>Düzey Seviyeleri (sabit+trend)</w:t>
            </w:r>
          </w:p>
        </w:tc>
      </w:tr>
      <w:tr w:rsidR="006A032E" w:rsidRPr="00500470" w14:paraId="225318F8" w14:textId="77777777" w:rsidTr="00DF4201">
        <w:trPr>
          <w:trHeight w:val="247"/>
        </w:trPr>
        <w:tc>
          <w:tcPr>
            <w:tcW w:w="2410" w:type="dxa"/>
            <w:gridSpan w:val="2"/>
            <w:vMerge w:val="restart"/>
            <w:tcBorders>
              <w:left w:val="nil"/>
              <w:right w:val="nil"/>
            </w:tcBorders>
          </w:tcPr>
          <w:p w14:paraId="0393B450" w14:textId="77777777" w:rsidR="006A032E" w:rsidRPr="00500470" w:rsidRDefault="006A032E" w:rsidP="00FF0578">
            <w:pPr>
              <w:suppressLineNumbers/>
              <w:rPr>
                <w:rFonts w:ascii="Times New Roman" w:eastAsia="DejaVu Sans" w:hAnsi="Times New Roman"/>
                <w:iCs/>
                <w:kern w:val="1"/>
                <w:sz w:val="20"/>
                <w:szCs w:val="20"/>
              </w:rPr>
            </w:pPr>
          </w:p>
          <w:p w14:paraId="450FD88E" w14:textId="77777777" w:rsidR="006A032E" w:rsidRPr="00500470" w:rsidRDefault="006A032E" w:rsidP="00FF0578">
            <w:pPr>
              <w:suppressLineNumbers/>
              <w:rPr>
                <w:rFonts w:ascii="Times New Roman" w:eastAsia="DejaVu Sans" w:hAnsi="Times New Roman"/>
                <w:iCs/>
                <w:kern w:val="1"/>
                <w:sz w:val="20"/>
                <w:szCs w:val="20"/>
              </w:rPr>
            </w:pPr>
          </w:p>
          <w:p w14:paraId="1943B3F0" w14:textId="77777777" w:rsidR="006A032E" w:rsidRPr="00500470" w:rsidRDefault="006A032E" w:rsidP="00FF0578">
            <w:pPr>
              <w:suppressLineNumbers/>
              <w:rPr>
                <w:rFonts w:ascii="Times New Roman" w:eastAsia="DejaVu Sans" w:hAnsi="Times New Roman"/>
                <w:iCs/>
                <w:kern w:val="1"/>
                <w:sz w:val="20"/>
                <w:szCs w:val="20"/>
              </w:rPr>
            </w:pPr>
          </w:p>
          <w:p w14:paraId="17160DA0" w14:textId="77777777" w:rsidR="006A032E" w:rsidRPr="00500470" w:rsidRDefault="006A032E" w:rsidP="00FF0578">
            <w:pPr>
              <w:suppressLineNumbers/>
              <w:rPr>
                <w:rFonts w:ascii="Times New Roman" w:eastAsia="DejaVu Sans" w:hAnsi="Times New Roman"/>
                <w:iCs/>
                <w:kern w:val="1"/>
                <w:sz w:val="20"/>
                <w:szCs w:val="20"/>
              </w:rPr>
            </w:pPr>
          </w:p>
          <w:p w14:paraId="3D4F4E05" w14:textId="77777777" w:rsidR="006A032E" w:rsidRPr="00500470" w:rsidRDefault="006A032E" w:rsidP="00FF0578">
            <w:pPr>
              <w:suppressLineNumbers/>
              <w:rPr>
                <w:rFonts w:ascii="Times New Roman" w:eastAsia="DejaVu Sans" w:hAnsi="Times New Roman"/>
                <w:iCs/>
                <w:kern w:val="1"/>
                <w:sz w:val="20"/>
                <w:szCs w:val="20"/>
              </w:rPr>
            </w:pPr>
          </w:p>
          <w:p w14:paraId="571C97E5" w14:textId="77777777" w:rsidR="006A032E" w:rsidRPr="00500470" w:rsidRDefault="006A032E" w:rsidP="00FF0578">
            <w:pPr>
              <w:suppressLineNumbers/>
              <w:rPr>
                <w:rFonts w:ascii="Times New Roman" w:eastAsia="DejaVu Sans" w:hAnsi="Times New Roman"/>
                <w:iCs/>
                <w:kern w:val="1"/>
                <w:sz w:val="20"/>
                <w:szCs w:val="20"/>
              </w:rPr>
            </w:pPr>
          </w:p>
          <w:p w14:paraId="078EDE7C" w14:textId="2670F966" w:rsidR="006A032E" w:rsidRPr="00500470" w:rsidRDefault="006A032E" w:rsidP="00FF0578">
            <w:pPr>
              <w:suppressLineNumbers/>
              <w:rPr>
                <w:rFonts w:ascii="Times New Roman" w:eastAsia="DejaVu Sans" w:hAnsi="Times New Roman"/>
                <w:b/>
                <w:iCs/>
                <w:kern w:val="1"/>
                <w:sz w:val="20"/>
                <w:szCs w:val="20"/>
              </w:rPr>
            </w:pPr>
            <w:r w:rsidRPr="00500470">
              <w:rPr>
                <w:rFonts w:ascii="Times New Roman" w:eastAsia="DejaVu Sans" w:hAnsi="Times New Roman"/>
                <w:b/>
                <w:iCs/>
                <w:kern w:val="1"/>
                <w:sz w:val="20"/>
                <w:szCs w:val="20"/>
              </w:rPr>
              <w:t>Pesaran birim kök testi</w:t>
            </w:r>
          </w:p>
        </w:tc>
        <w:tc>
          <w:tcPr>
            <w:tcW w:w="1843" w:type="dxa"/>
            <w:tcBorders>
              <w:left w:val="nil"/>
              <w:bottom w:val="nil"/>
              <w:right w:val="nil"/>
            </w:tcBorders>
          </w:tcPr>
          <w:p w14:paraId="744BA0AF" w14:textId="2341DB2C" w:rsidR="006A032E" w:rsidRPr="00500470" w:rsidRDefault="006A032E"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lastRenderedPageBreak/>
              <w:t>LEX</w:t>
            </w:r>
            <w:r w:rsidRPr="00500470">
              <w:rPr>
                <w:rFonts w:ascii="Times New Roman" w:eastAsia="DejaVu Sans" w:hAnsi="Times New Roman"/>
                <w:iCs/>
                <w:kern w:val="1"/>
                <w:sz w:val="20"/>
                <w:szCs w:val="20"/>
                <w:vertAlign w:val="subscript"/>
              </w:rPr>
              <w:t>f</w:t>
            </w:r>
          </w:p>
        </w:tc>
        <w:tc>
          <w:tcPr>
            <w:tcW w:w="1701" w:type="dxa"/>
            <w:tcBorders>
              <w:left w:val="nil"/>
              <w:bottom w:val="nil"/>
              <w:right w:val="nil"/>
            </w:tcBorders>
          </w:tcPr>
          <w:p w14:paraId="14606159" w14:textId="757DE50F" w:rsidR="006A032E" w:rsidRPr="00500470" w:rsidRDefault="006A032E"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- 2,613</w:t>
            </w:r>
          </w:p>
        </w:tc>
        <w:tc>
          <w:tcPr>
            <w:tcW w:w="1559" w:type="dxa"/>
            <w:tcBorders>
              <w:left w:val="nil"/>
              <w:bottom w:val="nil"/>
              <w:right w:val="nil"/>
            </w:tcBorders>
          </w:tcPr>
          <w:p w14:paraId="50834BE7" w14:textId="041CCE40" w:rsidR="006A032E" w:rsidRPr="00500470" w:rsidRDefault="00EC534C"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-1,</w:t>
            </w:r>
            <w:r w:rsidR="006A032E" w:rsidRPr="00500470">
              <w:rPr>
                <w:rFonts w:ascii="Times New Roman" w:eastAsia="DejaVu Sans" w:hAnsi="Times New Roman"/>
                <w:iCs/>
                <w:kern w:val="1"/>
                <w:sz w:val="20"/>
                <w:szCs w:val="20"/>
              </w:rPr>
              <w:t>318</w:t>
            </w:r>
          </w:p>
        </w:tc>
        <w:tc>
          <w:tcPr>
            <w:tcW w:w="1134" w:type="dxa"/>
            <w:tcBorders>
              <w:left w:val="nil"/>
              <w:bottom w:val="nil"/>
              <w:right w:val="nil"/>
            </w:tcBorders>
          </w:tcPr>
          <w:p w14:paraId="5803BC13" w14:textId="4EA67B31" w:rsidR="006A032E" w:rsidRPr="00500470" w:rsidRDefault="00EC534C"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0,</w:t>
            </w:r>
            <w:r w:rsidR="006A032E" w:rsidRPr="00500470">
              <w:rPr>
                <w:rFonts w:ascii="Times New Roman" w:eastAsia="DejaVu Sans" w:hAnsi="Times New Roman"/>
                <w:iCs/>
                <w:kern w:val="1"/>
                <w:sz w:val="20"/>
                <w:szCs w:val="20"/>
              </w:rPr>
              <w:t>094</w:t>
            </w:r>
          </w:p>
        </w:tc>
      </w:tr>
      <w:tr w:rsidR="006A032E" w:rsidRPr="00500470" w14:paraId="7638CC28" w14:textId="77777777" w:rsidTr="00DF4201">
        <w:trPr>
          <w:trHeight w:val="247"/>
        </w:trPr>
        <w:tc>
          <w:tcPr>
            <w:tcW w:w="2410" w:type="dxa"/>
            <w:gridSpan w:val="2"/>
            <w:vMerge/>
            <w:tcBorders>
              <w:top w:val="nil"/>
              <w:left w:val="nil"/>
              <w:right w:val="nil"/>
            </w:tcBorders>
          </w:tcPr>
          <w:p w14:paraId="45D31AE4" w14:textId="45294891" w:rsidR="006A032E" w:rsidRPr="00500470" w:rsidRDefault="006A032E" w:rsidP="00FF0578">
            <w:pPr>
              <w:suppressLineNumbers/>
              <w:rPr>
                <w:rFonts w:ascii="Times New Roman" w:eastAsia="DejaVu Sans" w:hAnsi="Times New Roman"/>
                <w:iCs/>
                <w:kern w:val="1"/>
                <w:sz w:val="20"/>
                <w:szCs w:val="20"/>
              </w:rPr>
            </w:pPr>
          </w:p>
        </w:tc>
        <w:tc>
          <w:tcPr>
            <w:tcW w:w="1843" w:type="dxa"/>
            <w:tcBorders>
              <w:top w:val="nil"/>
              <w:left w:val="nil"/>
              <w:bottom w:val="nil"/>
              <w:right w:val="nil"/>
            </w:tcBorders>
          </w:tcPr>
          <w:p w14:paraId="68F1A36E" w14:textId="28A1DF2E" w:rsidR="006A032E" w:rsidRPr="00500470" w:rsidRDefault="006A032E"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LEX</w:t>
            </w:r>
            <w:r w:rsidRPr="00500470">
              <w:rPr>
                <w:rFonts w:ascii="Times New Roman" w:eastAsia="DejaVu Sans" w:hAnsi="Times New Roman"/>
                <w:iCs/>
                <w:kern w:val="1"/>
                <w:sz w:val="20"/>
                <w:szCs w:val="20"/>
                <w:vertAlign w:val="subscript"/>
              </w:rPr>
              <w:t>m</w:t>
            </w:r>
          </w:p>
        </w:tc>
        <w:tc>
          <w:tcPr>
            <w:tcW w:w="1701" w:type="dxa"/>
            <w:tcBorders>
              <w:top w:val="nil"/>
              <w:left w:val="nil"/>
              <w:bottom w:val="nil"/>
              <w:right w:val="nil"/>
            </w:tcBorders>
          </w:tcPr>
          <w:p w14:paraId="19179BCA" w14:textId="569BF1F5" w:rsidR="006A032E" w:rsidRPr="00500470" w:rsidRDefault="00EC534C"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-2,</w:t>
            </w:r>
            <w:r w:rsidR="006A032E" w:rsidRPr="00500470">
              <w:rPr>
                <w:rFonts w:ascii="Times New Roman" w:eastAsia="DejaVu Sans" w:hAnsi="Times New Roman"/>
                <w:iCs/>
                <w:kern w:val="1"/>
                <w:sz w:val="20"/>
                <w:szCs w:val="20"/>
              </w:rPr>
              <w:t>038</w:t>
            </w:r>
          </w:p>
        </w:tc>
        <w:tc>
          <w:tcPr>
            <w:tcW w:w="1559" w:type="dxa"/>
            <w:tcBorders>
              <w:top w:val="nil"/>
              <w:left w:val="nil"/>
              <w:bottom w:val="nil"/>
              <w:right w:val="nil"/>
            </w:tcBorders>
          </w:tcPr>
          <w:p w14:paraId="39C04C48" w14:textId="20F8AF2E" w:rsidR="006A032E" w:rsidRPr="00500470" w:rsidRDefault="00EC534C"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0,</w:t>
            </w:r>
            <w:r w:rsidR="006A032E" w:rsidRPr="00500470">
              <w:rPr>
                <w:rFonts w:ascii="Times New Roman" w:eastAsia="DejaVu Sans" w:hAnsi="Times New Roman"/>
                <w:iCs/>
                <w:kern w:val="1"/>
                <w:sz w:val="20"/>
                <w:szCs w:val="20"/>
              </w:rPr>
              <w:t>958</w:t>
            </w:r>
          </w:p>
        </w:tc>
        <w:tc>
          <w:tcPr>
            <w:tcW w:w="1134" w:type="dxa"/>
            <w:tcBorders>
              <w:top w:val="nil"/>
              <w:left w:val="nil"/>
              <w:bottom w:val="nil"/>
              <w:right w:val="nil"/>
            </w:tcBorders>
          </w:tcPr>
          <w:p w14:paraId="213B2CF7" w14:textId="4BEAE72D" w:rsidR="006A032E" w:rsidRPr="00500470" w:rsidRDefault="00EC534C"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0,</w:t>
            </w:r>
            <w:r w:rsidR="006A032E" w:rsidRPr="00500470">
              <w:rPr>
                <w:rFonts w:ascii="Times New Roman" w:eastAsia="DejaVu Sans" w:hAnsi="Times New Roman"/>
                <w:iCs/>
                <w:kern w:val="1"/>
                <w:sz w:val="20"/>
                <w:szCs w:val="20"/>
              </w:rPr>
              <w:t>831</w:t>
            </w:r>
          </w:p>
        </w:tc>
      </w:tr>
      <w:tr w:rsidR="006A032E" w:rsidRPr="00500470" w14:paraId="55128B28" w14:textId="77777777" w:rsidTr="00DF4201">
        <w:trPr>
          <w:trHeight w:val="264"/>
        </w:trPr>
        <w:tc>
          <w:tcPr>
            <w:tcW w:w="2410" w:type="dxa"/>
            <w:gridSpan w:val="2"/>
            <w:vMerge/>
            <w:tcBorders>
              <w:top w:val="nil"/>
              <w:left w:val="nil"/>
              <w:right w:val="nil"/>
            </w:tcBorders>
          </w:tcPr>
          <w:p w14:paraId="59664E6D" w14:textId="67CDF95F" w:rsidR="006A032E" w:rsidRPr="00500470" w:rsidRDefault="006A032E" w:rsidP="00FF0578">
            <w:pPr>
              <w:suppressLineNumbers/>
              <w:rPr>
                <w:rFonts w:ascii="Times New Roman" w:eastAsia="DejaVu Sans" w:hAnsi="Times New Roman"/>
                <w:iCs/>
                <w:kern w:val="1"/>
                <w:sz w:val="20"/>
                <w:szCs w:val="20"/>
              </w:rPr>
            </w:pPr>
          </w:p>
        </w:tc>
        <w:tc>
          <w:tcPr>
            <w:tcW w:w="1843" w:type="dxa"/>
            <w:tcBorders>
              <w:top w:val="nil"/>
              <w:left w:val="nil"/>
              <w:bottom w:val="nil"/>
              <w:right w:val="nil"/>
            </w:tcBorders>
          </w:tcPr>
          <w:p w14:paraId="7BFCFEDB" w14:textId="4DDFE06F" w:rsidR="006A032E" w:rsidRPr="00500470" w:rsidRDefault="006A032E" w:rsidP="00FF0578">
            <w:pPr>
              <w:suppressLineNumbers/>
              <w:rPr>
                <w:rFonts w:ascii="Times New Roman" w:eastAsia="DejaVu Sans" w:hAnsi="Times New Roman"/>
                <w:iCs/>
                <w:kern w:val="1"/>
                <w:sz w:val="20"/>
                <w:szCs w:val="20"/>
                <w:vertAlign w:val="subscript"/>
              </w:rPr>
            </w:pPr>
            <w:r w:rsidRPr="00500470">
              <w:rPr>
                <w:rFonts w:ascii="Times New Roman" w:eastAsia="DejaVu Sans" w:hAnsi="Times New Roman"/>
                <w:iCs/>
                <w:kern w:val="1"/>
                <w:sz w:val="20"/>
                <w:szCs w:val="20"/>
              </w:rPr>
              <w:t>LGDP</w:t>
            </w:r>
          </w:p>
        </w:tc>
        <w:tc>
          <w:tcPr>
            <w:tcW w:w="1701" w:type="dxa"/>
            <w:tcBorders>
              <w:top w:val="nil"/>
              <w:left w:val="nil"/>
              <w:bottom w:val="nil"/>
              <w:right w:val="nil"/>
            </w:tcBorders>
          </w:tcPr>
          <w:p w14:paraId="33CA2027" w14:textId="1894E24E" w:rsidR="006A032E" w:rsidRPr="00500470" w:rsidRDefault="00EC534C"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-1,</w:t>
            </w:r>
            <w:r w:rsidR="006A032E" w:rsidRPr="00500470">
              <w:rPr>
                <w:rFonts w:ascii="Times New Roman" w:eastAsia="DejaVu Sans" w:hAnsi="Times New Roman"/>
                <w:iCs/>
                <w:kern w:val="1"/>
                <w:sz w:val="20"/>
                <w:szCs w:val="20"/>
              </w:rPr>
              <w:t>977</w:t>
            </w:r>
          </w:p>
        </w:tc>
        <w:tc>
          <w:tcPr>
            <w:tcW w:w="1559" w:type="dxa"/>
            <w:tcBorders>
              <w:top w:val="nil"/>
              <w:left w:val="nil"/>
              <w:bottom w:val="nil"/>
              <w:right w:val="nil"/>
            </w:tcBorders>
          </w:tcPr>
          <w:p w14:paraId="6C40571A" w14:textId="4B17A1AB" w:rsidR="006A032E" w:rsidRPr="00500470" w:rsidRDefault="00EC534C"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1,</w:t>
            </w:r>
            <w:r w:rsidR="006A032E" w:rsidRPr="00500470">
              <w:rPr>
                <w:rFonts w:ascii="Times New Roman" w:eastAsia="DejaVu Sans" w:hAnsi="Times New Roman"/>
                <w:iCs/>
                <w:kern w:val="1"/>
                <w:sz w:val="20"/>
                <w:szCs w:val="20"/>
              </w:rPr>
              <w:t>199</w:t>
            </w:r>
          </w:p>
        </w:tc>
        <w:tc>
          <w:tcPr>
            <w:tcW w:w="1134" w:type="dxa"/>
            <w:tcBorders>
              <w:top w:val="nil"/>
              <w:left w:val="nil"/>
              <w:bottom w:val="nil"/>
              <w:right w:val="nil"/>
            </w:tcBorders>
          </w:tcPr>
          <w:p w14:paraId="7B5A5F9A" w14:textId="03B7AB8E" w:rsidR="006A032E" w:rsidRPr="00500470" w:rsidRDefault="00EC534C"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0,</w:t>
            </w:r>
            <w:r w:rsidR="006A032E" w:rsidRPr="00500470">
              <w:rPr>
                <w:rFonts w:ascii="Times New Roman" w:eastAsia="DejaVu Sans" w:hAnsi="Times New Roman"/>
                <w:iCs/>
                <w:kern w:val="1"/>
                <w:sz w:val="20"/>
                <w:szCs w:val="20"/>
              </w:rPr>
              <w:t>885</w:t>
            </w:r>
          </w:p>
        </w:tc>
      </w:tr>
      <w:tr w:rsidR="006A032E" w:rsidRPr="00500470" w14:paraId="6F1FB164" w14:textId="77777777" w:rsidTr="00DF4201">
        <w:trPr>
          <w:trHeight w:val="247"/>
        </w:trPr>
        <w:tc>
          <w:tcPr>
            <w:tcW w:w="2410" w:type="dxa"/>
            <w:gridSpan w:val="2"/>
            <w:vMerge/>
            <w:tcBorders>
              <w:top w:val="nil"/>
              <w:left w:val="nil"/>
              <w:right w:val="nil"/>
            </w:tcBorders>
          </w:tcPr>
          <w:p w14:paraId="4626F71F" w14:textId="77777777" w:rsidR="006A032E" w:rsidRPr="00500470" w:rsidRDefault="006A032E" w:rsidP="00FF0578">
            <w:pPr>
              <w:suppressLineNumbers/>
              <w:rPr>
                <w:rFonts w:ascii="Times New Roman" w:eastAsia="DejaVu Sans" w:hAnsi="Times New Roman"/>
                <w:iCs/>
                <w:kern w:val="1"/>
                <w:sz w:val="20"/>
                <w:szCs w:val="20"/>
              </w:rPr>
            </w:pPr>
          </w:p>
        </w:tc>
        <w:tc>
          <w:tcPr>
            <w:tcW w:w="1843" w:type="dxa"/>
            <w:tcBorders>
              <w:top w:val="nil"/>
              <w:left w:val="nil"/>
              <w:bottom w:val="nil"/>
              <w:right w:val="nil"/>
            </w:tcBorders>
          </w:tcPr>
          <w:p w14:paraId="4371733E" w14:textId="2FE59E72" w:rsidR="006A032E" w:rsidRPr="00500470" w:rsidRDefault="006A032E"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LWATER</w:t>
            </w:r>
          </w:p>
        </w:tc>
        <w:tc>
          <w:tcPr>
            <w:tcW w:w="1701" w:type="dxa"/>
            <w:tcBorders>
              <w:top w:val="nil"/>
              <w:left w:val="nil"/>
              <w:bottom w:val="nil"/>
              <w:right w:val="nil"/>
            </w:tcBorders>
          </w:tcPr>
          <w:p w14:paraId="725EF912" w14:textId="74F4BC37" w:rsidR="006A032E" w:rsidRPr="00500470" w:rsidRDefault="00EC534C"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-1,</w:t>
            </w:r>
            <w:r w:rsidR="006A032E" w:rsidRPr="00500470">
              <w:rPr>
                <w:rFonts w:ascii="Times New Roman" w:eastAsia="DejaVu Sans" w:hAnsi="Times New Roman"/>
                <w:iCs/>
                <w:kern w:val="1"/>
                <w:sz w:val="20"/>
                <w:szCs w:val="20"/>
              </w:rPr>
              <w:t>951</w:t>
            </w:r>
          </w:p>
        </w:tc>
        <w:tc>
          <w:tcPr>
            <w:tcW w:w="1559" w:type="dxa"/>
            <w:tcBorders>
              <w:top w:val="nil"/>
              <w:left w:val="nil"/>
              <w:bottom w:val="nil"/>
              <w:right w:val="nil"/>
            </w:tcBorders>
          </w:tcPr>
          <w:p w14:paraId="408628CA" w14:textId="3C9249D7" w:rsidR="006A032E" w:rsidRPr="00500470" w:rsidRDefault="00EC534C"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1,</w:t>
            </w:r>
            <w:r w:rsidR="006A032E" w:rsidRPr="00500470">
              <w:rPr>
                <w:rFonts w:ascii="Times New Roman" w:eastAsia="DejaVu Sans" w:hAnsi="Times New Roman"/>
                <w:iCs/>
                <w:kern w:val="1"/>
                <w:sz w:val="20"/>
                <w:szCs w:val="20"/>
              </w:rPr>
              <w:t xml:space="preserve">303  </w:t>
            </w:r>
          </w:p>
        </w:tc>
        <w:tc>
          <w:tcPr>
            <w:tcW w:w="1134" w:type="dxa"/>
            <w:tcBorders>
              <w:top w:val="nil"/>
              <w:left w:val="nil"/>
              <w:bottom w:val="nil"/>
              <w:right w:val="nil"/>
            </w:tcBorders>
          </w:tcPr>
          <w:p w14:paraId="75D7B3F5" w14:textId="577C4B8B" w:rsidR="006A032E" w:rsidRPr="00500470" w:rsidRDefault="00EC534C"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0,</w:t>
            </w:r>
            <w:r w:rsidR="006A032E" w:rsidRPr="00500470">
              <w:rPr>
                <w:rFonts w:ascii="Times New Roman" w:eastAsia="DejaVu Sans" w:hAnsi="Times New Roman"/>
                <w:iCs/>
                <w:kern w:val="1"/>
                <w:sz w:val="20"/>
                <w:szCs w:val="20"/>
              </w:rPr>
              <w:t>904</w:t>
            </w:r>
          </w:p>
        </w:tc>
      </w:tr>
      <w:tr w:rsidR="006A032E" w:rsidRPr="00500470" w14:paraId="71719745" w14:textId="77777777" w:rsidTr="00DF4201">
        <w:trPr>
          <w:trHeight w:val="264"/>
        </w:trPr>
        <w:tc>
          <w:tcPr>
            <w:tcW w:w="2410" w:type="dxa"/>
            <w:gridSpan w:val="2"/>
            <w:vMerge/>
            <w:tcBorders>
              <w:top w:val="nil"/>
              <w:left w:val="nil"/>
              <w:right w:val="nil"/>
            </w:tcBorders>
          </w:tcPr>
          <w:p w14:paraId="73786262" w14:textId="77777777" w:rsidR="006A032E" w:rsidRPr="00500470" w:rsidRDefault="006A032E" w:rsidP="00FF0578">
            <w:pPr>
              <w:suppressLineNumbers/>
              <w:rPr>
                <w:rFonts w:ascii="Times New Roman" w:eastAsia="DejaVu Sans" w:hAnsi="Times New Roman"/>
                <w:iCs/>
                <w:kern w:val="1"/>
                <w:sz w:val="20"/>
                <w:szCs w:val="20"/>
              </w:rPr>
            </w:pPr>
          </w:p>
        </w:tc>
        <w:tc>
          <w:tcPr>
            <w:tcW w:w="1843" w:type="dxa"/>
            <w:tcBorders>
              <w:top w:val="nil"/>
              <w:left w:val="nil"/>
              <w:bottom w:val="single" w:sz="4" w:space="0" w:color="auto"/>
              <w:right w:val="nil"/>
            </w:tcBorders>
          </w:tcPr>
          <w:p w14:paraId="2DE53F0B" w14:textId="05A14183" w:rsidR="006A032E" w:rsidRPr="00500470" w:rsidRDefault="006A032E"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LHE</w:t>
            </w:r>
          </w:p>
        </w:tc>
        <w:tc>
          <w:tcPr>
            <w:tcW w:w="1701" w:type="dxa"/>
            <w:tcBorders>
              <w:top w:val="nil"/>
              <w:left w:val="nil"/>
              <w:bottom w:val="single" w:sz="4" w:space="0" w:color="auto"/>
              <w:right w:val="nil"/>
            </w:tcBorders>
          </w:tcPr>
          <w:p w14:paraId="4EB04A42" w14:textId="3C7E9CA4" w:rsidR="006A032E" w:rsidRPr="00500470" w:rsidRDefault="00EC534C"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-1,</w:t>
            </w:r>
            <w:r w:rsidR="006A032E" w:rsidRPr="00500470">
              <w:rPr>
                <w:rFonts w:ascii="Times New Roman" w:eastAsia="DejaVu Sans" w:hAnsi="Times New Roman"/>
                <w:iCs/>
                <w:kern w:val="1"/>
                <w:sz w:val="20"/>
                <w:szCs w:val="20"/>
              </w:rPr>
              <w:t>717</w:t>
            </w:r>
          </w:p>
        </w:tc>
        <w:tc>
          <w:tcPr>
            <w:tcW w:w="1559" w:type="dxa"/>
            <w:tcBorders>
              <w:top w:val="nil"/>
              <w:left w:val="nil"/>
              <w:bottom w:val="single" w:sz="4" w:space="0" w:color="auto"/>
              <w:right w:val="nil"/>
            </w:tcBorders>
          </w:tcPr>
          <w:p w14:paraId="5C1DA7D5" w14:textId="5C7F5234" w:rsidR="006A032E" w:rsidRPr="00500470" w:rsidRDefault="00EC534C"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2,</w:t>
            </w:r>
            <w:r w:rsidR="006A032E" w:rsidRPr="00500470">
              <w:rPr>
                <w:rFonts w:ascii="Times New Roman" w:eastAsia="DejaVu Sans" w:hAnsi="Times New Roman"/>
                <w:iCs/>
                <w:kern w:val="1"/>
                <w:sz w:val="20"/>
                <w:szCs w:val="20"/>
              </w:rPr>
              <w:t>229</w:t>
            </w:r>
          </w:p>
        </w:tc>
        <w:tc>
          <w:tcPr>
            <w:tcW w:w="1134" w:type="dxa"/>
            <w:tcBorders>
              <w:top w:val="nil"/>
              <w:left w:val="nil"/>
              <w:bottom w:val="single" w:sz="4" w:space="0" w:color="auto"/>
              <w:right w:val="nil"/>
            </w:tcBorders>
          </w:tcPr>
          <w:p w14:paraId="78BC78C2" w14:textId="063C8CA6" w:rsidR="006A032E" w:rsidRPr="00500470" w:rsidRDefault="00EC534C" w:rsidP="00FF0578">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0,</w:t>
            </w:r>
            <w:r w:rsidR="006A032E" w:rsidRPr="00500470">
              <w:rPr>
                <w:rFonts w:ascii="Times New Roman" w:eastAsia="DejaVu Sans" w:hAnsi="Times New Roman"/>
                <w:iCs/>
                <w:kern w:val="1"/>
                <w:sz w:val="20"/>
                <w:szCs w:val="20"/>
              </w:rPr>
              <w:t>987</w:t>
            </w:r>
          </w:p>
        </w:tc>
      </w:tr>
      <w:tr w:rsidR="006A032E" w:rsidRPr="00500470" w14:paraId="59F53C5A" w14:textId="77777777" w:rsidTr="00DF4201">
        <w:trPr>
          <w:trHeight w:val="247"/>
        </w:trPr>
        <w:tc>
          <w:tcPr>
            <w:tcW w:w="2410" w:type="dxa"/>
            <w:gridSpan w:val="2"/>
            <w:vMerge/>
            <w:tcBorders>
              <w:top w:val="nil"/>
              <w:left w:val="nil"/>
              <w:right w:val="nil"/>
            </w:tcBorders>
          </w:tcPr>
          <w:p w14:paraId="55A1CAC6" w14:textId="77777777" w:rsidR="006A032E" w:rsidRPr="00500470" w:rsidRDefault="006A032E" w:rsidP="00FF0578">
            <w:pPr>
              <w:suppressLineNumbers/>
              <w:rPr>
                <w:rFonts w:ascii="Times New Roman" w:eastAsia="DejaVu Sans" w:hAnsi="Times New Roman"/>
                <w:iCs/>
                <w:kern w:val="1"/>
                <w:sz w:val="20"/>
                <w:szCs w:val="20"/>
              </w:rPr>
            </w:pPr>
          </w:p>
        </w:tc>
        <w:tc>
          <w:tcPr>
            <w:tcW w:w="1843" w:type="dxa"/>
            <w:tcBorders>
              <w:left w:val="nil"/>
              <w:bottom w:val="single" w:sz="4" w:space="0" w:color="auto"/>
              <w:right w:val="nil"/>
            </w:tcBorders>
          </w:tcPr>
          <w:p w14:paraId="2DC52861" w14:textId="6A97B74E" w:rsidR="006A032E" w:rsidRPr="00500470" w:rsidRDefault="006A032E" w:rsidP="00FF0578">
            <w:pPr>
              <w:suppressLineNumbers/>
              <w:rPr>
                <w:rFonts w:ascii="Times New Roman" w:eastAsia="DejaVu Sans" w:hAnsi="Times New Roman"/>
                <w:iCs/>
                <w:kern w:val="1"/>
                <w:sz w:val="20"/>
                <w:szCs w:val="20"/>
              </w:rPr>
            </w:pPr>
          </w:p>
        </w:tc>
        <w:tc>
          <w:tcPr>
            <w:tcW w:w="4394" w:type="dxa"/>
            <w:gridSpan w:val="3"/>
            <w:tcBorders>
              <w:left w:val="nil"/>
              <w:bottom w:val="single" w:sz="4" w:space="0" w:color="auto"/>
              <w:right w:val="nil"/>
            </w:tcBorders>
          </w:tcPr>
          <w:p w14:paraId="7FAAE3E1" w14:textId="77777777" w:rsidR="006A032E" w:rsidRPr="00500470" w:rsidRDefault="006A032E" w:rsidP="00FF0578">
            <w:pPr>
              <w:suppressLineNumbers/>
              <w:rPr>
                <w:rFonts w:ascii="Times New Roman" w:eastAsia="DejaVu Sans" w:hAnsi="Times New Roman"/>
                <w:iCs/>
                <w:kern w:val="1"/>
                <w:sz w:val="20"/>
                <w:szCs w:val="20"/>
              </w:rPr>
            </w:pPr>
            <w:r w:rsidRPr="00500470">
              <w:rPr>
                <w:rFonts w:ascii="Times New Roman" w:eastAsia="DejaVu Sans" w:hAnsi="Times New Roman"/>
                <w:b/>
                <w:iCs/>
                <w:kern w:val="1"/>
                <w:sz w:val="20"/>
                <w:szCs w:val="20"/>
              </w:rPr>
              <w:t>İlk Farklar  (sabit+trend)</w:t>
            </w:r>
          </w:p>
        </w:tc>
      </w:tr>
      <w:tr w:rsidR="006A032E" w:rsidRPr="00500470" w14:paraId="7961DD1B" w14:textId="77777777" w:rsidTr="00DF4201">
        <w:trPr>
          <w:trHeight w:val="264"/>
        </w:trPr>
        <w:tc>
          <w:tcPr>
            <w:tcW w:w="2410" w:type="dxa"/>
            <w:gridSpan w:val="2"/>
            <w:vMerge/>
            <w:tcBorders>
              <w:top w:val="nil"/>
              <w:left w:val="nil"/>
              <w:right w:val="nil"/>
            </w:tcBorders>
          </w:tcPr>
          <w:p w14:paraId="0A71ABE0" w14:textId="77777777" w:rsidR="006A032E" w:rsidRPr="00500470" w:rsidRDefault="006A032E" w:rsidP="00E545BB">
            <w:pPr>
              <w:suppressLineNumbers/>
              <w:rPr>
                <w:rFonts w:ascii="Times New Roman" w:eastAsia="DejaVu Sans" w:hAnsi="Times New Roman"/>
                <w:iCs/>
                <w:kern w:val="1"/>
                <w:sz w:val="20"/>
                <w:szCs w:val="20"/>
              </w:rPr>
            </w:pPr>
          </w:p>
        </w:tc>
        <w:tc>
          <w:tcPr>
            <w:tcW w:w="1843" w:type="dxa"/>
            <w:tcBorders>
              <w:left w:val="nil"/>
              <w:bottom w:val="nil"/>
              <w:right w:val="nil"/>
            </w:tcBorders>
          </w:tcPr>
          <w:p w14:paraId="30192E39" w14:textId="56B8FDCE" w:rsidR="006A032E" w:rsidRPr="00500470" w:rsidRDefault="006A032E"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∆LEX</w:t>
            </w:r>
            <w:r w:rsidRPr="00500470">
              <w:rPr>
                <w:rFonts w:ascii="Times New Roman" w:eastAsia="DejaVu Sans" w:hAnsi="Times New Roman"/>
                <w:iCs/>
                <w:kern w:val="1"/>
                <w:sz w:val="20"/>
                <w:szCs w:val="20"/>
                <w:vertAlign w:val="subscript"/>
              </w:rPr>
              <w:t>f</w:t>
            </w:r>
          </w:p>
        </w:tc>
        <w:tc>
          <w:tcPr>
            <w:tcW w:w="1701" w:type="dxa"/>
            <w:tcBorders>
              <w:left w:val="nil"/>
              <w:bottom w:val="nil"/>
              <w:right w:val="nil"/>
            </w:tcBorders>
          </w:tcPr>
          <w:p w14:paraId="510F1F44" w14:textId="430709AC" w:rsidR="006A032E" w:rsidRPr="00500470" w:rsidRDefault="00EC534C"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-3,</w:t>
            </w:r>
            <w:r w:rsidR="006A032E" w:rsidRPr="00500470">
              <w:rPr>
                <w:rFonts w:ascii="Times New Roman" w:eastAsia="DejaVu Sans" w:hAnsi="Times New Roman"/>
                <w:iCs/>
                <w:kern w:val="1"/>
                <w:sz w:val="20"/>
                <w:szCs w:val="20"/>
              </w:rPr>
              <w:t>438 *</w:t>
            </w:r>
          </w:p>
        </w:tc>
        <w:tc>
          <w:tcPr>
            <w:tcW w:w="1559" w:type="dxa"/>
            <w:tcBorders>
              <w:left w:val="nil"/>
              <w:bottom w:val="nil"/>
              <w:right w:val="nil"/>
            </w:tcBorders>
          </w:tcPr>
          <w:p w14:paraId="4C2F5662" w14:textId="2C70935A" w:rsidR="006A032E" w:rsidRPr="00500470" w:rsidRDefault="00EC534C"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-4,</w:t>
            </w:r>
            <w:r w:rsidR="006A032E" w:rsidRPr="00500470">
              <w:rPr>
                <w:rFonts w:ascii="Times New Roman" w:eastAsia="DejaVu Sans" w:hAnsi="Times New Roman"/>
                <w:iCs/>
                <w:kern w:val="1"/>
                <w:sz w:val="20"/>
                <w:szCs w:val="20"/>
              </w:rPr>
              <w:t xml:space="preserve">585*     </w:t>
            </w:r>
          </w:p>
        </w:tc>
        <w:tc>
          <w:tcPr>
            <w:tcW w:w="1134" w:type="dxa"/>
            <w:tcBorders>
              <w:left w:val="nil"/>
              <w:bottom w:val="nil"/>
              <w:right w:val="nil"/>
            </w:tcBorders>
          </w:tcPr>
          <w:p w14:paraId="4F11CFE8" w14:textId="77777777" w:rsidR="006A032E" w:rsidRPr="00500470" w:rsidRDefault="006A032E"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0,000</w:t>
            </w:r>
          </w:p>
        </w:tc>
      </w:tr>
      <w:tr w:rsidR="006A032E" w:rsidRPr="00500470" w14:paraId="5B11C424" w14:textId="77777777" w:rsidTr="00DF4201">
        <w:trPr>
          <w:trHeight w:val="247"/>
        </w:trPr>
        <w:tc>
          <w:tcPr>
            <w:tcW w:w="2410" w:type="dxa"/>
            <w:gridSpan w:val="2"/>
            <w:vMerge/>
            <w:tcBorders>
              <w:top w:val="nil"/>
              <w:left w:val="nil"/>
              <w:right w:val="nil"/>
            </w:tcBorders>
          </w:tcPr>
          <w:p w14:paraId="7A2C5B05" w14:textId="77777777" w:rsidR="006A032E" w:rsidRPr="00500470" w:rsidRDefault="006A032E" w:rsidP="00E545BB">
            <w:pPr>
              <w:suppressLineNumbers/>
              <w:rPr>
                <w:rFonts w:ascii="Times New Roman" w:eastAsia="DejaVu Sans" w:hAnsi="Times New Roman"/>
                <w:iCs/>
                <w:kern w:val="1"/>
                <w:sz w:val="20"/>
                <w:szCs w:val="20"/>
              </w:rPr>
            </w:pPr>
          </w:p>
        </w:tc>
        <w:tc>
          <w:tcPr>
            <w:tcW w:w="1843" w:type="dxa"/>
            <w:tcBorders>
              <w:top w:val="nil"/>
              <w:left w:val="nil"/>
              <w:bottom w:val="nil"/>
              <w:right w:val="nil"/>
            </w:tcBorders>
          </w:tcPr>
          <w:p w14:paraId="3A6C4F3E" w14:textId="11EDA892" w:rsidR="006A032E" w:rsidRPr="00500470" w:rsidRDefault="006A032E"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∆LEX</w:t>
            </w:r>
            <w:r w:rsidRPr="00500470">
              <w:rPr>
                <w:rFonts w:ascii="Times New Roman" w:eastAsia="DejaVu Sans" w:hAnsi="Times New Roman"/>
                <w:iCs/>
                <w:kern w:val="1"/>
                <w:sz w:val="20"/>
                <w:szCs w:val="20"/>
                <w:vertAlign w:val="subscript"/>
              </w:rPr>
              <w:t>m</w:t>
            </w:r>
          </w:p>
        </w:tc>
        <w:tc>
          <w:tcPr>
            <w:tcW w:w="1701" w:type="dxa"/>
            <w:tcBorders>
              <w:top w:val="nil"/>
              <w:left w:val="nil"/>
              <w:bottom w:val="nil"/>
              <w:right w:val="nil"/>
            </w:tcBorders>
          </w:tcPr>
          <w:p w14:paraId="6828CFDE" w14:textId="5429B14E" w:rsidR="006A032E" w:rsidRPr="00500470" w:rsidRDefault="00EC534C"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-3,</w:t>
            </w:r>
            <w:r w:rsidR="006A032E" w:rsidRPr="00500470">
              <w:rPr>
                <w:rFonts w:ascii="Times New Roman" w:eastAsia="DejaVu Sans" w:hAnsi="Times New Roman"/>
                <w:iCs/>
                <w:kern w:val="1"/>
                <w:sz w:val="20"/>
                <w:szCs w:val="20"/>
              </w:rPr>
              <w:t>620 *</w:t>
            </w:r>
          </w:p>
        </w:tc>
        <w:tc>
          <w:tcPr>
            <w:tcW w:w="1559" w:type="dxa"/>
            <w:tcBorders>
              <w:top w:val="nil"/>
              <w:left w:val="nil"/>
              <w:bottom w:val="nil"/>
              <w:right w:val="nil"/>
            </w:tcBorders>
          </w:tcPr>
          <w:p w14:paraId="00BB6965" w14:textId="6BA3DF38" w:rsidR="006A032E" w:rsidRPr="00500470" w:rsidRDefault="00EC534C"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-5,</w:t>
            </w:r>
            <w:r w:rsidR="006A032E" w:rsidRPr="00500470">
              <w:rPr>
                <w:rFonts w:ascii="Times New Roman" w:eastAsia="DejaVu Sans" w:hAnsi="Times New Roman"/>
                <w:iCs/>
                <w:kern w:val="1"/>
                <w:sz w:val="20"/>
                <w:szCs w:val="20"/>
              </w:rPr>
              <w:t xml:space="preserve">307 *     </w:t>
            </w:r>
          </w:p>
        </w:tc>
        <w:tc>
          <w:tcPr>
            <w:tcW w:w="1134" w:type="dxa"/>
            <w:tcBorders>
              <w:top w:val="nil"/>
              <w:left w:val="nil"/>
              <w:bottom w:val="nil"/>
              <w:right w:val="nil"/>
            </w:tcBorders>
          </w:tcPr>
          <w:p w14:paraId="30C6F0D4" w14:textId="77777777" w:rsidR="006A032E" w:rsidRPr="00500470" w:rsidRDefault="006A032E"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0,000</w:t>
            </w:r>
          </w:p>
        </w:tc>
      </w:tr>
      <w:tr w:rsidR="006A032E" w:rsidRPr="00500470" w14:paraId="3203CC36" w14:textId="77777777" w:rsidTr="00DF4201">
        <w:trPr>
          <w:trHeight w:val="247"/>
        </w:trPr>
        <w:tc>
          <w:tcPr>
            <w:tcW w:w="2410" w:type="dxa"/>
            <w:gridSpan w:val="2"/>
            <w:vMerge/>
            <w:tcBorders>
              <w:top w:val="nil"/>
              <w:left w:val="nil"/>
              <w:right w:val="nil"/>
            </w:tcBorders>
          </w:tcPr>
          <w:p w14:paraId="256A12AF" w14:textId="77777777" w:rsidR="006A032E" w:rsidRPr="00500470" w:rsidRDefault="006A032E" w:rsidP="00E545BB">
            <w:pPr>
              <w:suppressLineNumbers/>
              <w:rPr>
                <w:rFonts w:ascii="Times New Roman" w:eastAsia="DejaVu Sans" w:hAnsi="Times New Roman"/>
                <w:iCs/>
                <w:kern w:val="1"/>
                <w:sz w:val="20"/>
                <w:szCs w:val="20"/>
              </w:rPr>
            </w:pPr>
          </w:p>
        </w:tc>
        <w:tc>
          <w:tcPr>
            <w:tcW w:w="1843" w:type="dxa"/>
            <w:tcBorders>
              <w:top w:val="nil"/>
              <w:left w:val="nil"/>
              <w:bottom w:val="nil"/>
              <w:right w:val="nil"/>
            </w:tcBorders>
          </w:tcPr>
          <w:p w14:paraId="715B7EC4" w14:textId="15BA705A" w:rsidR="006A032E" w:rsidRPr="00500470" w:rsidRDefault="006A032E"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∆LGDP</w:t>
            </w:r>
          </w:p>
        </w:tc>
        <w:tc>
          <w:tcPr>
            <w:tcW w:w="1701" w:type="dxa"/>
            <w:tcBorders>
              <w:top w:val="nil"/>
              <w:left w:val="nil"/>
              <w:bottom w:val="nil"/>
              <w:right w:val="nil"/>
            </w:tcBorders>
          </w:tcPr>
          <w:p w14:paraId="5E1B1213" w14:textId="2259CB30" w:rsidR="006A032E" w:rsidRPr="00500470" w:rsidRDefault="00EC534C"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-2,</w:t>
            </w:r>
            <w:r w:rsidR="006A032E" w:rsidRPr="00500470">
              <w:rPr>
                <w:rFonts w:ascii="Times New Roman" w:eastAsia="DejaVu Sans" w:hAnsi="Times New Roman"/>
                <w:iCs/>
                <w:kern w:val="1"/>
                <w:sz w:val="20"/>
                <w:szCs w:val="20"/>
              </w:rPr>
              <w:t>497*</w:t>
            </w:r>
          </w:p>
        </w:tc>
        <w:tc>
          <w:tcPr>
            <w:tcW w:w="1559" w:type="dxa"/>
            <w:tcBorders>
              <w:top w:val="nil"/>
              <w:left w:val="nil"/>
              <w:bottom w:val="nil"/>
              <w:right w:val="nil"/>
            </w:tcBorders>
          </w:tcPr>
          <w:p w14:paraId="4F9139E5" w14:textId="77FD49A9" w:rsidR="006A032E" w:rsidRPr="00500470" w:rsidRDefault="00EC534C"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-3,</w:t>
            </w:r>
            <w:r w:rsidR="006A032E" w:rsidRPr="00500470">
              <w:rPr>
                <w:rFonts w:ascii="Times New Roman" w:eastAsia="DejaVu Sans" w:hAnsi="Times New Roman"/>
                <w:iCs/>
                <w:kern w:val="1"/>
                <w:sz w:val="20"/>
                <w:szCs w:val="20"/>
              </w:rPr>
              <w:t>007*</w:t>
            </w:r>
          </w:p>
        </w:tc>
        <w:tc>
          <w:tcPr>
            <w:tcW w:w="1134" w:type="dxa"/>
            <w:tcBorders>
              <w:top w:val="nil"/>
              <w:left w:val="nil"/>
              <w:bottom w:val="nil"/>
              <w:right w:val="nil"/>
            </w:tcBorders>
          </w:tcPr>
          <w:p w14:paraId="1166DB9D" w14:textId="1D7CAD33" w:rsidR="006A032E" w:rsidRPr="00500470" w:rsidRDefault="006A032E"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0,001</w:t>
            </w:r>
          </w:p>
        </w:tc>
      </w:tr>
      <w:tr w:rsidR="006A032E" w:rsidRPr="00500470" w14:paraId="05E90B79" w14:textId="77777777" w:rsidTr="00DF4201">
        <w:trPr>
          <w:trHeight w:val="247"/>
        </w:trPr>
        <w:tc>
          <w:tcPr>
            <w:tcW w:w="2410" w:type="dxa"/>
            <w:gridSpan w:val="2"/>
            <w:vMerge/>
            <w:tcBorders>
              <w:top w:val="nil"/>
              <w:left w:val="nil"/>
              <w:right w:val="nil"/>
            </w:tcBorders>
          </w:tcPr>
          <w:p w14:paraId="56BDF39B" w14:textId="77777777" w:rsidR="006A032E" w:rsidRPr="00500470" w:rsidRDefault="006A032E" w:rsidP="00E545BB">
            <w:pPr>
              <w:suppressLineNumbers/>
              <w:rPr>
                <w:rFonts w:ascii="Times New Roman" w:eastAsia="DejaVu Sans" w:hAnsi="Times New Roman"/>
                <w:iCs/>
                <w:kern w:val="1"/>
                <w:sz w:val="20"/>
                <w:szCs w:val="20"/>
              </w:rPr>
            </w:pPr>
          </w:p>
        </w:tc>
        <w:tc>
          <w:tcPr>
            <w:tcW w:w="1843" w:type="dxa"/>
            <w:tcBorders>
              <w:top w:val="nil"/>
              <w:left w:val="nil"/>
              <w:bottom w:val="nil"/>
              <w:right w:val="nil"/>
            </w:tcBorders>
          </w:tcPr>
          <w:p w14:paraId="50375FCB" w14:textId="2C74F886" w:rsidR="006A032E" w:rsidRPr="00500470" w:rsidRDefault="006A032E"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∆LWATER</w:t>
            </w:r>
          </w:p>
        </w:tc>
        <w:tc>
          <w:tcPr>
            <w:tcW w:w="1701" w:type="dxa"/>
            <w:tcBorders>
              <w:top w:val="nil"/>
              <w:left w:val="nil"/>
              <w:bottom w:val="nil"/>
              <w:right w:val="nil"/>
            </w:tcBorders>
          </w:tcPr>
          <w:p w14:paraId="7762CA75" w14:textId="0C032921" w:rsidR="006A032E" w:rsidRPr="00500470" w:rsidRDefault="00EC534C"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-3,</w:t>
            </w:r>
            <w:r w:rsidR="006A032E" w:rsidRPr="00500470">
              <w:rPr>
                <w:rFonts w:ascii="Times New Roman" w:eastAsia="DejaVu Sans" w:hAnsi="Times New Roman"/>
                <w:iCs/>
                <w:kern w:val="1"/>
                <w:sz w:val="20"/>
                <w:szCs w:val="20"/>
              </w:rPr>
              <w:t>441*</w:t>
            </w:r>
          </w:p>
        </w:tc>
        <w:tc>
          <w:tcPr>
            <w:tcW w:w="1559" w:type="dxa"/>
            <w:tcBorders>
              <w:top w:val="nil"/>
              <w:left w:val="nil"/>
              <w:bottom w:val="nil"/>
              <w:right w:val="nil"/>
            </w:tcBorders>
          </w:tcPr>
          <w:p w14:paraId="23FDD0EF" w14:textId="1806BEB3" w:rsidR="006A032E" w:rsidRPr="00500470" w:rsidRDefault="00EC534C"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-4,</w:t>
            </w:r>
            <w:r w:rsidR="006A032E" w:rsidRPr="00500470">
              <w:rPr>
                <w:rFonts w:ascii="Times New Roman" w:eastAsia="DejaVu Sans" w:hAnsi="Times New Roman"/>
                <w:iCs/>
                <w:kern w:val="1"/>
                <w:sz w:val="20"/>
                <w:szCs w:val="20"/>
              </w:rPr>
              <w:t>599*</w:t>
            </w:r>
          </w:p>
        </w:tc>
        <w:tc>
          <w:tcPr>
            <w:tcW w:w="1134" w:type="dxa"/>
            <w:tcBorders>
              <w:top w:val="nil"/>
              <w:left w:val="nil"/>
              <w:bottom w:val="nil"/>
              <w:right w:val="nil"/>
            </w:tcBorders>
          </w:tcPr>
          <w:p w14:paraId="5B451FFD" w14:textId="7730FAEB" w:rsidR="006A032E" w:rsidRPr="00500470" w:rsidRDefault="006A032E"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0,000</w:t>
            </w:r>
          </w:p>
        </w:tc>
      </w:tr>
      <w:tr w:rsidR="006A032E" w:rsidRPr="00500470" w14:paraId="6C537D02" w14:textId="77777777" w:rsidTr="00DF4201">
        <w:trPr>
          <w:trHeight w:val="247"/>
        </w:trPr>
        <w:tc>
          <w:tcPr>
            <w:tcW w:w="2410" w:type="dxa"/>
            <w:gridSpan w:val="2"/>
            <w:vMerge/>
            <w:tcBorders>
              <w:top w:val="nil"/>
              <w:left w:val="nil"/>
              <w:right w:val="nil"/>
            </w:tcBorders>
          </w:tcPr>
          <w:p w14:paraId="4F32649E" w14:textId="77777777" w:rsidR="006A032E" w:rsidRPr="00500470" w:rsidRDefault="006A032E" w:rsidP="00E545BB">
            <w:pPr>
              <w:suppressLineNumbers/>
              <w:rPr>
                <w:rFonts w:ascii="Times New Roman" w:eastAsia="DejaVu Sans" w:hAnsi="Times New Roman"/>
                <w:iCs/>
                <w:kern w:val="1"/>
                <w:sz w:val="20"/>
                <w:szCs w:val="20"/>
              </w:rPr>
            </w:pPr>
          </w:p>
        </w:tc>
        <w:tc>
          <w:tcPr>
            <w:tcW w:w="1843" w:type="dxa"/>
            <w:tcBorders>
              <w:top w:val="nil"/>
              <w:left w:val="nil"/>
              <w:bottom w:val="single" w:sz="4" w:space="0" w:color="auto"/>
              <w:right w:val="nil"/>
            </w:tcBorders>
          </w:tcPr>
          <w:p w14:paraId="5B4AD983" w14:textId="1E6EFFA1" w:rsidR="006A032E" w:rsidRPr="00500470" w:rsidRDefault="006A032E"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∆LHE</w:t>
            </w:r>
          </w:p>
        </w:tc>
        <w:tc>
          <w:tcPr>
            <w:tcW w:w="1701" w:type="dxa"/>
            <w:tcBorders>
              <w:top w:val="nil"/>
              <w:left w:val="nil"/>
              <w:bottom w:val="single" w:sz="4" w:space="0" w:color="auto"/>
              <w:right w:val="nil"/>
            </w:tcBorders>
          </w:tcPr>
          <w:p w14:paraId="618767CE" w14:textId="3AC1B5C8" w:rsidR="006A032E" w:rsidRPr="00500470" w:rsidRDefault="00EC534C"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-3,</w:t>
            </w:r>
            <w:r w:rsidR="006A032E" w:rsidRPr="00500470">
              <w:rPr>
                <w:rFonts w:ascii="Times New Roman" w:eastAsia="DejaVu Sans" w:hAnsi="Times New Roman"/>
                <w:iCs/>
                <w:kern w:val="1"/>
                <w:sz w:val="20"/>
                <w:szCs w:val="20"/>
              </w:rPr>
              <w:t>704*</w:t>
            </w:r>
          </w:p>
        </w:tc>
        <w:tc>
          <w:tcPr>
            <w:tcW w:w="1559" w:type="dxa"/>
            <w:tcBorders>
              <w:top w:val="nil"/>
              <w:left w:val="nil"/>
              <w:bottom w:val="single" w:sz="4" w:space="0" w:color="auto"/>
              <w:right w:val="nil"/>
            </w:tcBorders>
          </w:tcPr>
          <w:p w14:paraId="22A63549" w14:textId="5C590DFB" w:rsidR="006A032E" w:rsidRPr="00500470" w:rsidRDefault="00EC534C"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-5,</w:t>
            </w:r>
            <w:r w:rsidR="006A032E" w:rsidRPr="00500470">
              <w:rPr>
                <w:rFonts w:ascii="Times New Roman" w:eastAsia="DejaVu Sans" w:hAnsi="Times New Roman"/>
                <w:iCs/>
                <w:kern w:val="1"/>
                <w:sz w:val="20"/>
                <w:szCs w:val="20"/>
              </w:rPr>
              <w:t>638*</w:t>
            </w:r>
          </w:p>
        </w:tc>
        <w:tc>
          <w:tcPr>
            <w:tcW w:w="1134" w:type="dxa"/>
            <w:tcBorders>
              <w:top w:val="nil"/>
              <w:left w:val="nil"/>
              <w:bottom w:val="single" w:sz="4" w:space="0" w:color="auto"/>
              <w:right w:val="nil"/>
            </w:tcBorders>
          </w:tcPr>
          <w:p w14:paraId="5D56F720" w14:textId="71CBA1F0" w:rsidR="006A032E" w:rsidRPr="00500470" w:rsidRDefault="006A032E"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0,000</w:t>
            </w:r>
          </w:p>
        </w:tc>
      </w:tr>
      <w:tr w:rsidR="006A032E" w:rsidRPr="00500470" w14:paraId="66319A25" w14:textId="77777777" w:rsidTr="00DF4201">
        <w:trPr>
          <w:trHeight w:val="247"/>
        </w:trPr>
        <w:tc>
          <w:tcPr>
            <w:tcW w:w="4253" w:type="dxa"/>
            <w:gridSpan w:val="3"/>
            <w:tcBorders>
              <w:top w:val="single" w:sz="4" w:space="0" w:color="auto"/>
              <w:left w:val="nil"/>
              <w:right w:val="nil"/>
            </w:tcBorders>
          </w:tcPr>
          <w:p w14:paraId="412794B2" w14:textId="77777777" w:rsidR="006A032E" w:rsidRPr="00500470" w:rsidRDefault="006A032E" w:rsidP="00E545BB">
            <w:pPr>
              <w:suppressLineNumbers/>
              <w:rPr>
                <w:rFonts w:ascii="Times New Roman" w:eastAsia="DejaVu Sans" w:hAnsi="Times New Roman"/>
                <w:iCs/>
                <w:kern w:val="1"/>
                <w:sz w:val="20"/>
                <w:szCs w:val="20"/>
              </w:rPr>
            </w:pPr>
          </w:p>
        </w:tc>
        <w:tc>
          <w:tcPr>
            <w:tcW w:w="1701" w:type="dxa"/>
            <w:tcBorders>
              <w:top w:val="single" w:sz="4" w:space="0" w:color="auto"/>
              <w:left w:val="nil"/>
              <w:right w:val="nil"/>
            </w:tcBorders>
          </w:tcPr>
          <w:p w14:paraId="26804B41" w14:textId="33127F92" w:rsidR="006A032E" w:rsidRPr="00500470" w:rsidRDefault="009F121D" w:rsidP="00E545BB">
            <w:pPr>
              <w:suppressLineNumbers/>
              <w:rPr>
                <w:rFonts w:ascii="Times New Roman" w:eastAsia="DejaVu Sans" w:hAnsi="Times New Roman"/>
                <w:b/>
                <w:iCs/>
                <w:kern w:val="1"/>
                <w:sz w:val="20"/>
                <w:szCs w:val="20"/>
              </w:rPr>
            </w:pPr>
            <w:r w:rsidRPr="00500470">
              <w:rPr>
                <w:rFonts w:ascii="Times New Roman" w:eastAsia="DejaVu Sans" w:hAnsi="Times New Roman"/>
                <w:b/>
                <w:iCs/>
                <w:kern w:val="1"/>
                <w:sz w:val="20"/>
                <w:szCs w:val="20"/>
              </w:rPr>
              <w:t xml:space="preserve"> t  istatistiği</w:t>
            </w:r>
          </w:p>
        </w:tc>
        <w:tc>
          <w:tcPr>
            <w:tcW w:w="1559" w:type="dxa"/>
            <w:tcBorders>
              <w:top w:val="single" w:sz="4" w:space="0" w:color="auto"/>
              <w:left w:val="nil"/>
              <w:right w:val="nil"/>
            </w:tcBorders>
          </w:tcPr>
          <w:p w14:paraId="22D3C73E" w14:textId="77777777" w:rsidR="006A032E" w:rsidRPr="00500470" w:rsidRDefault="006A032E" w:rsidP="00E545BB">
            <w:pPr>
              <w:suppressLineNumbers/>
              <w:rPr>
                <w:rFonts w:ascii="Times New Roman" w:eastAsia="DejaVu Sans" w:hAnsi="Times New Roman"/>
                <w:b/>
                <w:iCs/>
                <w:kern w:val="1"/>
                <w:sz w:val="20"/>
                <w:szCs w:val="20"/>
              </w:rPr>
            </w:pPr>
          </w:p>
        </w:tc>
        <w:tc>
          <w:tcPr>
            <w:tcW w:w="1134" w:type="dxa"/>
            <w:tcBorders>
              <w:top w:val="single" w:sz="4" w:space="0" w:color="auto"/>
              <w:left w:val="nil"/>
              <w:right w:val="nil"/>
            </w:tcBorders>
          </w:tcPr>
          <w:p w14:paraId="318F6C11" w14:textId="4C2E62E2" w:rsidR="006A032E" w:rsidRPr="00500470" w:rsidRDefault="006A032E" w:rsidP="00E545BB">
            <w:pPr>
              <w:suppressLineNumbers/>
              <w:rPr>
                <w:rFonts w:ascii="Times New Roman" w:eastAsia="DejaVu Sans" w:hAnsi="Times New Roman"/>
                <w:b/>
                <w:iCs/>
                <w:kern w:val="1"/>
                <w:sz w:val="20"/>
                <w:szCs w:val="20"/>
              </w:rPr>
            </w:pPr>
            <w:r w:rsidRPr="00500470">
              <w:rPr>
                <w:rFonts w:ascii="Times New Roman" w:eastAsia="DejaVu Sans" w:hAnsi="Times New Roman"/>
                <w:b/>
                <w:iCs/>
                <w:kern w:val="1"/>
                <w:sz w:val="20"/>
                <w:szCs w:val="20"/>
              </w:rPr>
              <w:t>Olasılık</w:t>
            </w:r>
          </w:p>
        </w:tc>
      </w:tr>
      <w:tr w:rsidR="00E545BB" w:rsidRPr="00500470" w14:paraId="18521D92" w14:textId="77777777" w:rsidTr="00DF4201">
        <w:trPr>
          <w:trHeight w:val="247"/>
        </w:trPr>
        <w:tc>
          <w:tcPr>
            <w:tcW w:w="2410" w:type="dxa"/>
            <w:gridSpan w:val="2"/>
            <w:vMerge w:val="restart"/>
            <w:tcBorders>
              <w:top w:val="single" w:sz="4" w:space="0" w:color="auto"/>
              <w:left w:val="nil"/>
              <w:right w:val="nil"/>
            </w:tcBorders>
          </w:tcPr>
          <w:p w14:paraId="12C0D493" w14:textId="6A36822D" w:rsidR="00E545BB" w:rsidRPr="00500470" w:rsidRDefault="00E545BB" w:rsidP="00E545BB">
            <w:pPr>
              <w:suppressLineNumbers/>
              <w:rPr>
                <w:rFonts w:ascii="Times New Roman" w:eastAsia="DejaVu Sans" w:hAnsi="Times New Roman"/>
                <w:b/>
                <w:iCs/>
                <w:kern w:val="1"/>
                <w:sz w:val="20"/>
                <w:szCs w:val="20"/>
              </w:rPr>
            </w:pPr>
            <w:r w:rsidRPr="00500470">
              <w:rPr>
                <w:rFonts w:ascii="Times New Roman" w:eastAsia="DejaVu Sans" w:hAnsi="Times New Roman"/>
                <w:b/>
                <w:iCs/>
                <w:kern w:val="1"/>
                <w:sz w:val="20"/>
                <w:szCs w:val="20"/>
              </w:rPr>
              <w:t>LLC</w:t>
            </w:r>
          </w:p>
        </w:tc>
        <w:tc>
          <w:tcPr>
            <w:tcW w:w="1843" w:type="dxa"/>
            <w:tcBorders>
              <w:top w:val="nil"/>
              <w:left w:val="nil"/>
              <w:right w:val="nil"/>
            </w:tcBorders>
          </w:tcPr>
          <w:p w14:paraId="0AA7C2E4" w14:textId="39560D5C" w:rsidR="00E545BB" w:rsidRPr="00500470" w:rsidRDefault="00E545BB"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LPOP</w:t>
            </w:r>
          </w:p>
        </w:tc>
        <w:tc>
          <w:tcPr>
            <w:tcW w:w="1701" w:type="dxa"/>
            <w:tcBorders>
              <w:top w:val="single" w:sz="4" w:space="0" w:color="auto"/>
              <w:left w:val="nil"/>
              <w:right w:val="nil"/>
            </w:tcBorders>
          </w:tcPr>
          <w:p w14:paraId="60EC587D" w14:textId="5A124F20" w:rsidR="00E545BB" w:rsidRPr="00500470" w:rsidRDefault="00E545BB"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-4,0441*</w:t>
            </w:r>
          </w:p>
        </w:tc>
        <w:tc>
          <w:tcPr>
            <w:tcW w:w="1559" w:type="dxa"/>
            <w:tcBorders>
              <w:top w:val="single" w:sz="4" w:space="0" w:color="auto"/>
              <w:left w:val="nil"/>
              <w:right w:val="nil"/>
            </w:tcBorders>
          </w:tcPr>
          <w:p w14:paraId="660BA9AF" w14:textId="77777777" w:rsidR="00E545BB" w:rsidRPr="00500470" w:rsidRDefault="00E545BB" w:rsidP="00E545BB">
            <w:pPr>
              <w:suppressLineNumbers/>
              <w:rPr>
                <w:rFonts w:ascii="Times New Roman" w:eastAsia="DejaVu Sans" w:hAnsi="Times New Roman"/>
                <w:iCs/>
                <w:kern w:val="1"/>
                <w:sz w:val="20"/>
                <w:szCs w:val="20"/>
              </w:rPr>
            </w:pPr>
          </w:p>
        </w:tc>
        <w:tc>
          <w:tcPr>
            <w:tcW w:w="1134" w:type="dxa"/>
            <w:tcBorders>
              <w:top w:val="single" w:sz="4" w:space="0" w:color="auto"/>
              <w:left w:val="nil"/>
              <w:right w:val="nil"/>
            </w:tcBorders>
          </w:tcPr>
          <w:p w14:paraId="687980E1" w14:textId="2A414E82" w:rsidR="00E545BB" w:rsidRPr="00500470" w:rsidRDefault="00E545BB"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0,000</w:t>
            </w:r>
          </w:p>
        </w:tc>
      </w:tr>
      <w:tr w:rsidR="00E545BB" w:rsidRPr="00500470" w14:paraId="13E469DC" w14:textId="77777777" w:rsidTr="00DF4201">
        <w:trPr>
          <w:trHeight w:val="247"/>
        </w:trPr>
        <w:tc>
          <w:tcPr>
            <w:tcW w:w="2410" w:type="dxa"/>
            <w:gridSpan w:val="2"/>
            <w:vMerge/>
            <w:tcBorders>
              <w:top w:val="nil"/>
              <w:left w:val="nil"/>
              <w:right w:val="nil"/>
            </w:tcBorders>
          </w:tcPr>
          <w:p w14:paraId="72ACCC95" w14:textId="77777777" w:rsidR="00E545BB" w:rsidRPr="00500470" w:rsidRDefault="00E545BB" w:rsidP="00E545BB">
            <w:pPr>
              <w:suppressLineNumbers/>
              <w:rPr>
                <w:rFonts w:ascii="Times New Roman" w:eastAsia="DejaVu Sans" w:hAnsi="Times New Roman"/>
                <w:iCs/>
                <w:kern w:val="1"/>
                <w:sz w:val="20"/>
                <w:szCs w:val="20"/>
              </w:rPr>
            </w:pPr>
          </w:p>
        </w:tc>
        <w:tc>
          <w:tcPr>
            <w:tcW w:w="1843" w:type="dxa"/>
            <w:tcBorders>
              <w:top w:val="nil"/>
              <w:left w:val="nil"/>
              <w:right w:val="nil"/>
            </w:tcBorders>
          </w:tcPr>
          <w:p w14:paraId="6A3153EE" w14:textId="579CBFAC" w:rsidR="00E545BB" w:rsidRPr="00500470" w:rsidRDefault="00E545BB"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LEDU</w:t>
            </w:r>
          </w:p>
        </w:tc>
        <w:tc>
          <w:tcPr>
            <w:tcW w:w="1701" w:type="dxa"/>
            <w:tcBorders>
              <w:top w:val="nil"/>
              <w:left w:val="nil"/>
              <w:right w:val="nil"/>
            </w:tcBorders>
          </w:tcPr>
          <w:p w14:paraId="016DCF92" w14:textId="7DF8559D" w:rsidR="00E545BB" w:rsidRPr="00500470" w:rsidRDefault="00E545BB"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-5,2161*</w:t>
            </w:r>
          </w:p>
        </w:tc>
        <w:tc>
          <w:tcPr>
            <w:tcW w:w="1559" w:type="dxa"/>
            <w:tcBorders>
              <w:top w:val="nil"/>
              <w:left w:val="nil"/>
              <w:right w:val="nil"/>
            </w:tcBorders>
          </w:tcPr>
          <w:p w14:paraId="6CC0BC0C" w14:textId="77777777" w:rsidR="00E545BB" w:rsidRPr="00500470" w:rsidRDefault="00E545BB" w:rsidP="00E545BB">
            <w:pPr>
              <w:suppressLineNumbers/>
              <w:rPr>
                <w:rFonts w:ascii="Times New Roman" w:eastAsia="DejaVu Sans" w:hAnsi="Times New Roman"/>
                <w:iCs/>
                <w:kern w:val="1"/>
                <w:sz w:val="20"/>
                <w:szCs w:val="20"/>
              </w:rPr>
            </w:pPr>
          </w:p>
        </w:tc>
        <w:tc>
          <w:tcPr>
            <w:tcW w:w="1134" w:type="dxa"/>
            <w:tcBorders>
              <w:top w:val="nil"/>
              <w:left w:val="nil"/>
              <w:right w:val="nil"/>
            </w:tcBorders>
          </w:tcPr>
          <w:p w14:paraId="38FB186A" w14:textId="7009A107" w:rsidR="00E545BB" w:rsidRPr="00500470" w:rsidRDefault="00E545BB" w:rsidP="00E545BB">
            <w:pPr>
              <w:suppressLineNumbers/>
              <w:rPr>
                <w:rFonts w:ascii="Times New Roman" w:eastAsia="DejaVu Sans" w:hAnsi="Times New Roman"/>
                <w:iCs/>
                <w:kern w:val="1"/>
                <w:sz w:val="20"/>
                <w:szCs w:val="20"/>
                <w:lang w:val="en-US"/>
              </w:rPr>
            </w:pPr>
            <w:r w:rsidRPr="00500470">
              <w:rPr>
                <w:rFonts w:ascii="Times New Roman" w:eastAsia="DejaVu Sans" w:hAnsi="Times New Roman"/>
                <w:iCs/>
                <w:kern w:val="1"/>
                <w:sz w:val="20"/>
                <w:szCs w:val="20"/>
              </w:rPr>
              <w:t>0</w:t>
            </w:r>
            <w:r w:rsidRPr="00500470">
              <w:rPr>
                <w:rFonts w:ascii="Times New Roman" w:eastAsia="DejaVu Sans" w:hAnsi="Times New Roman"/>
                <w:iCs/>
                <w:kern w:val="1"/>
                <w:sz w:val="20"/>
                <w:szCs w:val="20"/>
                <w:lang w:val="en-US"/>
              </w:rPr>
              <w:t>,000</w:t>
            </w:r>
          </w:p>
        </w:tc>
      </w:tr>
      <w:tr w:rsidR="006A032E" w:rsidRPr="00940E86" w14:paraId="3E9340E0" w14:textId="77777777" w:rsidTr="00DF4201">
        <w:trPr>
          <w:trHeight w:val="247"/>
        </w:trPr>
        <w:tc>
          <w:tcPr>
            <w:tcW w:w="8647" w:type="dxa"/>
            <w:gridSpan w:val="6"/>
            <w:tcBorders>
              <w:left w:val="nil"/>
              <w:right w:val="nil"/>
            </w:tcBorders>
          </w:tcPr>
          <w:p w14:paraId="0150BBA6" w14:textId="77777777" w:rsidR="006A032E" w:rsidRPr="00500470" w:rsidRDefault="006A032E" w:rsidP="00E545BB">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 xml:space="preserve">Temel hipotez birim kök vardır, seri durağan değildir şeklindedir. </w:t>
            </w:r>
          </w:p>
          <w:p w14:paraId="32854ACC" w14:textId="471F4A1A" w:rsidR="006A032E" w:rsidRPr="00500470" w:rsidRDefault="006A032E" w:rsidP="006A032E">
            <w:pPr>
              <w:suppressLineNumbers/>
              <w:rPr>
                <w:rFonts w:ascii="Times New Roman" w:eastAsia="DejaVu Sans" w:hAnsi="Times New Roman"/>
                <w:iCs/>
                <w:kern w:val="1"/>
                <w:sz w:val="20"/>
                <w:szCs w:val="20"/>
              </w:rPr>
            </w:pPr>
            <w:r w:rsidRPr="00500470">
              <w:rPr>
                <w:rFonts w:ascii="Times New Roman" w:eastAsia="DejaVu Sans" w:hAnsi="Times New Roman"/>
                <w:iCs/>
                <w:kern w:val="1"/>
                <w:sz w:val="20"/>
                <w:szCs w:val="20"/>
              </w:rPr>
              <w:t xml:space="preserve">* % 1 kritik değerine göre anlamlılığı göstermektedir. </w:t>
            </w:r>
          </w:p>
        </w:tc>
      </w:tr>
    </w:tbl>
    <w:p w14:paraId="322C9B85" w14:textId="6F445B80" w:rsidR="0024435A" w:rsidRPr="00500470" w:rsidRDefault="0024435A" w:rsidP="00965938">
      <w:pPr>
        <w:suppressLineNumbers/>
        <w:spacing w:before="120" w:after="120" w:line="240" w:lineRule="auto"/>
        <w:rPr>
          <w:rFonts w:ascii="Times New Roman" w:eastAsia="DejaVu Sans" w:hAnsi="Times New Roman" w:cs="Times New Roman"/>
          <w:kern w:val="1"/>
          <w:sz w:val="20"/>
          <w:szCs w:val="24"/>
          <w:lang w:val="tr-TR"/>
        </w:rPr>
      </w:pPr>
    </w:p>
    <w:p w14:paraId="7456F9B5" w14:textId="35025DA8" w:rsidR="0024435A" w:rsidRPr="004A47CE" w:rsidRDefault="00EC534C" w:rsidP="004A47CE">
      <w:pPr>
        <w:spacing w:after="120" w:line="240" w:lineRule="auto"/>
        <w:ind w:firstLine="709"/>
        <w:jc w:val="both"/>
        <w:rPr>
          <w:rFonts w:ascii="Times New Roman" w:eastAsia="DejaVu Sans" w:hAnsi="Times New Roman" w:cs="Times New Roman"/>
          <w:strike/>
          <w:color w:val="000000" w:themeColor="text1"/>
          <w:kern w:val="1"/>
          <w:sz w:val="24"/>
          <w:szCs w:val="24"/>
          <w:lang w:val="tr-TR" w:eastAsia="hi-IN" w:bidi="hi-IN"/>
        </w:rPr>
      </w:pPr>
      <w:r w:rsidRPr="004A47CE">
        <w:rPr>
          <w:rFonts w:ascii="Times New Roman" w:eastAsia="DejaVu Sans" w:hAnsi="Times New Roman" w:cs="Times New Roman"/>
          <w:kern w:val="1"/>
          <w:sz w:val="24"/>
          <w:szCs w:val="24"/>
          <w:lang w:val="tr-TR"/>
        </w:rPr>
        <w:t>Tablo 4’teki sonuçlara göre LPOP ve LEDU</w:t>
      </w:r>
      <w:r w:rsidR="0024435A" w:rsidRPr="004A47CE">
        <w:rPr>
          <w:rFonts w:ascii="Times New Roman" w:eastAsia="DejaVu Sans" w:hAnsi="Times New Roman" w:cs="Times New Roman"/>
          <w:kern w:val="1"/>
          <w:sz w:val="24"/>
          <w:szCs w:val="24"/>
          <w:lang w:val="tr-TR"/>
        </w:rPr>
        <w:t xml:space="preserve"> değişkenleri hariç diğer değişkenlerin düzeyde durağan ol</w:t>
      </w:r>
      <w:r w:rsidR="001E7744" w:rsidRPr="004A47CE">
        <w:rPr>
          <w:rFonts w:ascii="Times New Roman" w:eastAsia="DejaVu Sans" w:hAnsi="Times New Roman" w:cs="Times New Roman"/>
          <w:kern w:val="1"/>
          <w:sz w:val="24"/>
          <w:szCs w:val="24"/>
          <w:lang w:val="tr-TR"/>
        </w:rPr>
        <w:t xml:space="preserve">madıkları </w:t>
      </w:r>
      <w:r w:rsidR="0024435A" w:rsidRPr="004A47CE">
        <w:rPr>
          <w:rFonts w:ascii="Times New Roman" w:eastAsia="DejaVu Sans" w:hAnsi="Times New Roman" w:cs="Times New Roman"/>
          <w:kern w:val="1"/>
          <w:sz w:val="24"/>
          <w:szCs w:val="24"/>
          <w:lang w:val="tr-TR"/>
        </w:rPr>
        <w:t>görülmektedir. Diğer bir deyişle serilerin farklı dereceden I(0) ve I(1) b</w:t>
      </w:r>
      <w:r w:rsidR="00500470" w:rsidRPr="004A47CE">
        <w:rPr>
          <w:rFonts w:ascii="Times New Roman" w:eastAsia="DejaVu Sans" w:hAnsi="Times New Roman" w:cs="Times New Roman"/>
          <w:kern w:val="1"/>
          <w:sz w:val="24"/>
          <w:szCs w:val="24"/>
          <w:lang w:val="tr-TR"/>
        </w:rPr>
        <w:t>ütünlenen oldukları görülmektedir</w:t>
      </w:r>
      <w:r w:rsidR="0024435A" w:rsidRPr="004A47CE">
        <w:rPr>
          <w:rFonts w:ascii="Times New Roman" w:eastAsia="DejaVu Sans" w:hAnsi="Times New Roman" w:cs="Times New Roman"/>
          <w:kern w:val="1"/>
          <w:sz w:val="24"/>
          <w:szCs w:val="24"/>
          <w:lang w:val="tr-TR"/>
        </w:rPr>
        <w:t>. Bu durumda seriler arasındaki uzun dönem</w:t>
      </w:r>
      <w:r w:rsidR="00E071F1">
        <w:rPr>
          <w:rFonts w:ascii="Times New Roman" w:eastAsia="DejaVu Sans" w:hAnsi="Times New Roman" w:cs="Times New Roman"/>
          <w:kern w:val="1"/>
          <w:sz w:val="24"/>
          <w:szCs w:val="24"/>
          <w:lang w:val="tr-TR"/>
        </w:rPr>
        <w:t xml:space="preserve"> ilişkisi Pesaran ve diğ.</w:t>
      </w:r>
      <w:r w:rsidR="0024435A" w:rsidRPr="004A47CE">
        <w:rPr>
          <w:rFonts w:ascii="Times New Roman" w:eastAsia="DejaVu Sans" w:hAnsi="Times New Roman" w:cs="Times New Roman"/>
          <w:kern w:val="1"/>
          <w:sz w:val="24"/>
          <w:szCs w:val="24"/>
          <w:lang w:val="tr-TR"/>
        </w:rPr>
        <w:t xml:space="preserve"> (1999)</w:t>
      </w:r>
      <w:r w:rsidR="00500470" w:rsidRPr="004A47CE">
        <w:rPr>
          <w:rFonts w:ascii="Times New Roman" w:eastAsia="DejaVu Sans" w:hAnsi="Times New Roman" w:cs="Times New Roman"/>
          <w:kern w:val="1"/>
          <w:sz w:val="24"/>
          <w:szCs w:val="24"/>
          <w:lang w:val="tr-TR"/>
        </w:rPr>
        <w:t xml:space="preserve"> tarafından önerilen</w:t>
      </w:r>
      <w:r w:rsidR="0024435A" w:rsidRPr="004A47CE">
        <w:rPr>
          <w:rFonts w:ascii="Times New Roman" w:eastAsia="DejaVu Sans" w:hAnsi="Times New Roman" w:cs="Times New Roman"/>
          <w:kern w:val="1"/>
          <w:sz w:val="24"/>
          <w:szCs w:val="24"/>
          <w:lang w:val="tr-TR"/>
        </w:rPr>
        <w:t xml:space="preserve"> </w:t>
      </w:r>
      <w:r w:rsidR="00F674E3" w:rsidRPr="00F9226F">
        <w:rPr>
          <w:rFonts w:ascii="Times New Roman" w:eastAsia="DejaVu Sans" w:hAnsi="Times New Roman" w:cs="Times New Roman"/>
          <w:kern w:val="1"/>
          <w:sz w:val="24"/>
          <w:szCs w:val="24"/>
          <w:lang w:val="tr-TR"/>
        </w:rPr>
        <w:t xml:space="preserve">Panel ARDL </w:t>
      </w:r>
      <w:r w:rsidR="0024435A" w:rsidRPr="00F9226F">
        <w:rPr>
          <w:rFonts w:ascii="Times New Roman" w:eastAsia="DejaVu Sans" w:hAnsi="Times New Roman" w:cs="Times New Roman"/>
          <w:kern w:val="1"/>
          <w:sz w:val="24"/>
          <w:szCs w:val="24"/>
          <w:lang w:val="tr-TR"/>
        </w:rPr>
        <w:t xml:space="preserve">modeli </w:t>
      </w:r>
      <w:r w:rsidR="00DE68EE" w:rsidRPr="00F9226F">
        <w:rPr>
          <w:rFonts w:ascii="Times New Roman" w:eastAsia="DejaVu Sans" w:hAnsi="Times New Roman" w:cs="Times New Roman"/>
          <w:kern w:val="1"/>
          <w:sz w:val="24"/>
          <w:szCs w:val="24"/>
          <w:lang w:val="tr-TR"/>
        </w:rPr>
        <w:t>kullanılarak hem uzun hem de kısa dönem ilişkiler incelenecektir.</w:t>
      </w:r>
      <w:r w:rsidR="00DE68EE" w:rsidRPr="004A47CE">
        <w:rPr>
          <w:rFonts w:ascii="Times New Roman" w:eastAsia="DejaVu Sans" w:hAnsi="Times New Roman" w:cs="Times New Roman"/>
          <w:kern w:val="1"/>
          <w:sz w:val="24"/>
          <w:szCs w:val="24"/>
          <w:lang w:val="tr-TR"/>
        </w:rPr>
        <w:t xml:space="preserve"> </w:t>
      </w:r>
      <w:r w:rsidR="0024435A" w:rsidRPr="004A47CE">
        <w:rPr>
          <w:rFonts w:ascii="Times New Roman" w:eastAsia="DejaVu Sans" w:hAnsi="Times New Roman" w:cs="Times New Roman"/>
          <w:kern w:val="1"/>
          <w:sz w:val="24"/>
          <w:szCs w:val="24"/>
          <w:lang w:val="tr-TR"/>
        </w:rPr>
        <w:t xml:space="preserve"> </w:t>
      </w:r>
    </w:p>
    <w:p w14:paraId="47B67E07" w14:textId="77777777" w:rsidR="0024435A" w:rsidRPr="004A47CE" w:rsidRDefault="0024435A" w:rsidP="004A47CE">
      <w:pPr>
        <w:spacing w:after="120" w:line="240" w:lineRule="auto"/>
        <w:ind w:firstLine="709"/>
        <w:jc w:val="both"/>
        <w:rPr>
          <w:rFonts w:ascii="Times New Roman" w:eastAsia="DejaVu Sans" w:hAnsi="Times New Roman" w:cs="Times New Roman"/>
          <w:kern w:val="1"/>
          <w:sz w:val="24"/>
          <w:szCs w:val="24"/>
          <w:lang w:val="tr-TR"/>
        </w:rPr>
      </w:pPr>
      <w:r w:rsidRPr="004A47CE">
        <w:rPr>
          <w:rFonts w:ascii="Times New Roman" w:eastAsia="DejaVu Sans" w:hAnsi="Times New Roman" w:cs="Times New Roman"/>
          <w:kern w:val="1"/>
          <w:sz w:val="24"/>
          <w:szCs w:val="24"/>
          <w:lang w:val="tr-TR"/>
        </w:rPr>
        <w:t xml:space="preserve">Çalışmada tahmin edilecek Panel ARDL modeli aşağıdaki gibidir: </w:t>
      </w:r>
    </w:p>
    <w:p w14:paraId="3B4AA1C9" w14:textId="217F3A0B" w:rsidR="004A47CE" w:rsidRPr="004A47CE" w:rsidRDefault="0024435A" w:rsidP="004A47CE">
      <w:pPr>
        <w:spacing w:after="120" w:line="240" w:lineRule="auto"/>
        <w:ind w:firstLine="709"/>
        <w:jc w:val="both"/>
        <w:rPr>
          <w:rFonts w:ascii="Times New Roman" w:eastAsia="DejaVu Sans" w:hAnsi="Times New Roman" w:cs="Times New Roman"/>
          <w:kern w:val="1"/>
          <w:sz w:val="24"/>
          <w:szCs w:val="24"/>
          <w:lang w:val="tr-TR"/>
        </w:rPr>
      </w:pPr>
      <m:oMathPara>
        <m:oMath>
          <m:r>
            <w:rPr>
              <w:rFonts w:ascii="Cambria Math" w:eastAsia="DejaVu Sans" w:hAnsi="Cambria Math" w:cs="Times New Roman"/>
              <w:kern w:val="1"/>
              <w:sz w:val="24"/>
              <w:szCs w:val="24"/>
              <w:lang w:val="tr-TR"/>
            </w:rPr>
            <m:t>∆</m:t>
          </m:r>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LEX</m:t>
              </m:r>
            </m:e>
            <m:sub>
              <m:r>
                <w:rPr>
                  <w:rFonts w:ascii="Cambria Math" w:eastAsia="DejaVu Sans" w:hAnsi="Cambria Math" w:cs="Times New Roman"/>
                  <w:kern w:val="1"/>
                  <w:sz w:val="24"/>
                  <w:szCs w:val="24"/>
                  <w:lang w:val="tr-TR"/>
                </w:rPr>
                <m:t>it</m:t>
              </m:r>
            </m:sub>
          </m:sSub>
          <m:r>
            <w:rPr>
              <w:rFonts w:ascii="Cambria Math" w:eastAsia="DejaVu Sans" w:hAnsi="Cambria Math" w:cs="Times New Roman"/>
              <w:kern w:val="1"/>
              <w:sz w:val="24"/>
              <w:szCs w:val="24"/>
              <w:lang w:val="tr-TR"/>
            </w:rPr>
            <m:t>=</m:t>
          </m:r>
          <m:nary>
            <m:naryPr>
              <m:chr m:val="∑"/>
              <m:limLoc m:val="subSup"/>
              <m:ctrlPr>
                <w:rPr>
                  <w:rFonts w:ascii="Cambria Math" w:eastAsia="DejaVu Sans" w:hAnsi="Cambria Math" w:cs="Times New Roman"/>
                  <w:i/>
                  <w:kern w:val="1"/>
                  <w:sz w:val="24"/>
                  <w:szCs w:val="24"/>
                  <w:lang w:val="tr-TR"/>
                </w:rPr>
              </m:ctrlPr>
            </m:naryPr>
            <m:sub>
              <m:r>
                <w:rPr>
                  <w:rFonts w:ascii="Cambria Math" w:eastAsia="DejaVu Sans" w:hAnsi="Cambria Math" w:cs="Times New Roman"/>
                  <w:kern w:val="1"/>
                  <w:sz w:val="24"/>
                  <w:szCs w:val="24"/>
                  <w:lang w:val="tr-TR"/>
                </w:rPr>
                <m:t>j=1</m:t>
              </m:r>
            </m:sub>
            <m:sup>
              <m:r>
                <w:rPr>
                  <w:rFonts w:ascii="Cambria Math" w:eastAsia="DejaVu Sans" w:hAnsi="Cambria Math" w:cs="Times New Roman"/>
                  <w:kern w:val="1"/>
                  <w:sz w:val="24"/>
                  <w:szCs w:val="24"/>
                  <w:lang w:val="tr-TR"/>
                </w:rPr>
                <m:t>p-1</m:t>
              </m:r>
            </m:sup>
            <m:e>
              <m:sSubSup>
                <m:sSubSupPr>
                  <m:ctrlPr>
                    <w:rPr>
                      <w:rFonts w:ascii="Cambria Math" w:eastAsia="DejaVu Sans" w:hAnsi="Cambria Math" w:cs="Times New Roman"/>
                      <w:i/>
                      <w:kern w:val="1"/>
                      <w:sz w:val="24"/>
                      <w:szCs w:val="24"/>
                      <w:lang w:val="tr-TR"/>
                    </w:rPr>
                  </m:ctrlPr>
                </m:sSubSupPr>
                <m:e>
                  <m:r>
                    <w:rPr>
                      <w:rFonts w:ascii="Cambria Math" w:eastAsia="DejaVu Sans" w:hAnsi="Cambria Math" w:cs="Times New Roman"/>
                      <w:kern w:val="1"/>
                      <w:sz w:val="24"/>
                      <w:szCs w:val="24"/>
                      <w:lang w:val="tr-TR"/>
                    </w:rPr>
                    <m:t>γ</m:t>
                  </m:r>
                </m:e>
                <m:sub>
                  <m:r>
                    <w:rPr>
                      <w:rFonts w:ascii="Cambria Math" w:eastAsia="DejaVu Sans" w:hAnsi="Cambria Math" w:cs="Times New Roman"/>
                      <w:kern w:val="1"/>
                      <w:sz w:val="24"/>
                      <w:szCs w:val="24"/>
                      <w:lang w:val="tr-TR"/>
                    </w:rPr>
                    <m:t>j</m:t>
                  </m:r>
                </m:sub>
                <m:sup>
                  <m:r>
                    <w:rPr>
                      <w:rFonts w:ascii="Cambria Math" w:eastAsia="DejaVu Sans" w:hAnsi="Cambria Math" w:cs="Times New Roman"/>
                      <w:kern w:val="1"/>
                      <w:sz w:val="24"/>
                      <w:szCs w:val="24"/>
                      <w:lang w:val="tr-TR"/>
                    </w:rPr>
                    <m:t>i</m:t>
                  </m:r>
                </m:sup>
              </m:sSubSup>
            </m:e>
          </m:nary>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∆LEX</m:t>
              </m:r>
            </m:e>
            <m:sub>
              <m:r>
                <w:rPr>
                  <w:rFonts w:ascii="Cambria Math" w:eastAsia="DejaVu Sans" w:hAnsi="Cambria Math" w:cs="Times New Roman"/>
                  <w:kern w:val="1"/>
                  <w:sz w:val="24"/>
                  <w:szCs w:val="24"/>
                  <w:lang w:val="tr-TR"/>
                </w:rPr>
                <m:t>i,t-j</m:t>
              </m:r>
            </m:sub>
          </m:sSub>
          <m:r>
            <w:rPr>
              <w:rFonts w:ascii="Cambria Math" w:eastAsia="DejaVu Sans" w:hAnsi="Cambria Math" w:cs="Times New Roman"/>
              <w:kern w:val="1"/>
              <w:sz w:val="24"/>
              <w:szCs w:val="24"/>
              <w:lang w:val="tr-TR"/>
            </w:rPr>
            <m:t>+</m:t>
          </m:r>
          <m:nary>
            <m:naryPr>
              <m:chr m:val="∑"/>
              <m:limLoc m:val="subSup"/>
              <m:ctrlPr>
                <w:rPr>
                  <w:rFonts w:ascii="Cambria Math" w:eastAsia="DejaVu Sans" w:hAnsi="Cambria Math" w:cs="Times New Roman"/>
                  <w:i/>
                  <w:kern w:val="1"/>
                  <w:sz w:val="24"/>
                  <w:szCs w:val="24"/>
                  <w:lang w:val="tr-TR"/>
                </w:rPr>
              </m:ctrlPr>
            </m:naryPr>
            <m:sub>
              <m:r>
                <w:rPr>
                  <w:rFonts w:ascii="Cambria Math" w:eastAsia="DejaVu Sans" w:hAnsi="Cambria Math" w:cs="Times New Roman"/>
                  <w:kern w:val="1"/>
                  <w:sz w:val="24"/>
                  <w:szCs w:val="24"/>
                  <w:lang w:val="tr-TR"/>
                </w:rPr>
                <m:t>j=0</m:t>
              </m:r>
            </m:sub>
            <m:sup>
              <m:r>
                <w:rPr>
                  <w:rFonts w:ascii="Cambria Math" w:eastAsia="DejaVu Sans" w:hAnsi="Cambria Math" w:cs="Times New Roman"/>
                  <w:kern w:val="1"/>
                  <w:sz w:val="24"/>
                  <w:szCs w:val="24"/>
                  <w:lang w:val="tr-TR"/>
                </w:rPr>
                <m:t>q-1</m:t>
              </m:r>
            </m:sup>
            <m:e>
              <m:sSubSup>
                <m:sSubSupPr>
                  <m:ctrlPr>
                    <w:rPr>
                      <w:rFonts w:ascii="Cambria Math" w:eastAsia="DejaVu Sans" w:hAnsi="Cambria Math" w:cs="Times New Roman"/>
                      <w:i/>
                      <w:kern w:val="1"/>
                      <w:sz w:val="24"/>
                      <w:szCs w:val="24"/>
                      <w:lang w:val="tr-TR"/>
                    </w:rPr>
                  </m:ctrlPr>
                </m:sSubSupPr>
                <m:e>
                  <m:r>
                    <w:rPr>
                      <w:rFonts w:ascii="Cambria Math" w:eastAsia="DejaVu Sans" w:hAnsi="Cambria Math" w:cs="Times New Roman"/>
                      <w:kern w:val="1"/>
                      <w:sz w:val="24"/>
                      <w:szCs w:val="24"/>
                      <w:lang w:val="tr-TR"/>
                    </w:rPr>
                    <m:t>δ</m:t>
                  </m:r>
                </m:e>
                <m:sub>
                  <m:r>
                    <w:rPr>
                      <w:rFonts w:ascii="Cambria Math" w:eastAsia="DejaVu Sans" w:hAnsi="Cambria Math" w:cs="Times New Roman"/>
                      <w:kern w:val="1"/>
                      <w:sz w:val="24"/>
                      <w:szCs w:val="24"/>
                      <w:lang w:val="tr-TR"/>
                    </w:rPr>
                    <m:t>j</m:t>
                  </m:r>
                </m:sub>
                <m:sup>
                  <m:r>
                    <w:rPr>
                      <w:rFonts w:ascii="Cambria Math" w:eastAsia="DejaVu Sans" w:hAnsi="Cambria Math" w:cs="Times New Roman"/>
                      <w:kern w:val="1"/>
                      <w:sz w:val="24"/>
                      <w:szCs w:val="24"/>
                      <w:lang w:val="tr-TR"/>
                    </w:rPr>
                    <m:t>i</m:t>
                  </m:r>
                </m:sup>
              </m:sSubSup>
            </m:e>
          </m:nary>
          <m:r>
            <w:rPr>
              <w:rFonts w:ascii="Cambria Math" w:eastAsia="DejaVu Sans" w:hAnsi="Cambria Math" w:cs="Times New Roman"/>
              <w:kern w:val="1"/>
              <w:sz w:val="24"/>
              <w:szCs w:val="24"/>
              <w:lang w:val="tr-TR"/>
            </w:rPr>
            <m:t>∆</m:t>
          </m:r>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X</m:t>
              </m:r>
            </m:e>
            <m:sub>
              <m:r>
                <w:rPr>
                  <w:rFonts w:ascii="Cambria Math" w:eastAsia="DejaVu Sans" w:hAnsi="Cambria Math" w:cs="Times New Roman"/>
                  <w:kern w:val="1"/>
                  <w:sz w:val="24"/>
                  <w:szCs w:val="24"/>
                  <w:lang w:val="tr-TR"/>
                </w:rPr>
                <m:t>i,t-j</m:t>
              </m:r>
            </m:sub>
          </m:sSub>
          <m:r>
            <w:rPr>
              <w:rFonts w:ascii="Cambria Math" w:eastAsia="DejaVu Sans" w:hAnsi="Cambria Math" w:cs="Times New Roman"/>
              <w:kern w:val="1"/>
              <w:sz w:val="24"/>
              <w:szCs w:val="24"/>
              <w:lang w:val="tr-TR"/>
            </w:rPr>
            <m:t>+</m:t>
          </m:r>
          <m:sSup>
            <m:sSupPr>
              <m:ctrlPr>
                <w:rPr>
                  <w:rFonts w:ascii="Cambria Math" w:eastAsia="DejaVu Sans" w:hAnsi="Cambria Math" w:cs="Times New Roman"/>
                  <w:i/>
                  <w:kern w:val="1"/>
                  <w:sz w:val="24"/>
                  <w:szCs w:val="24"/>
                  <w:lang w:val="tr-TR"/>
                </w:rPr>
              </m:ctrlPr>
            </m:sSupPr>
            <m:e>
              <m:r>
                <w:rPr>
                  <w:rFonts w:ascii="Cambria Math" w:eastAsia="DejaVu Sans" w:hAnsi="Cambria Math" w:cs="Times New Roman"/>
                  <w:kern w:val="1"/>
                  <w:sz w:val="24"/>
                  <w:szCs w:val="24"/>
                  <w:lang w:val="tr-TR"/>
                </w:rPr>
                <m:t>θ</m:t>
              </m:r>
            </m:e>
            <m:sup>
              <m:r>
                <w:rPr>
                  <w:rFonts w:ascii="Cambria Math" w:eastAsia="DejaVu Sans" w:hAnsi="Cambria Math" w:cs="Times New Roman"/>
                  <w:kern w:val="1"/>
                  <w:sz w:val="24"/>
                  <w:szCs w:val="24"/>
                  <w:lang w:val="tr-TR"/>
                </w:rPr>
                <m:t>i</m:t>
              </m:r>
            </m:sup>
          </m:sSup>
          <m:d>
            <m:dPr>
              <m:begChr m:val="["/>
              <m:endChr m:val="]"/>
              <m:ctrlPr>
                <w:rPr>
                  <w:rFonts w:ascii="Cambria Math" w:eastAsia="DejaVu Sans" w:hAnsi="Cambria Math" w:cs="Times New Roman"/>
                  <w:i/>
                  <w:kern w:val="1"/>
                  <w:sz w:val="24"/>
                  <w:szCs w:val="24"/>
                  <w:lang w:val="tr-TR"/>
                </w:rPr>
              </m:ctrlPr>
            </m:dPr>
            <m:e>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LEX</m:t>
                  </m:r>
                </m:e>
                <m:sub>
                  <m:r>
                    <w:rPr>
                      <w:rFonts w:ascii="Cambria Math" w:eastAsia="DejaVu Sans" w:hAnsi="Cambria Math" w:cs="Times New Roman"/>
                      <w:kern w:val="1"/>
                      <w:sz w:val="24"/>
                      <w:szCs w:val="24"/>
                      <w:lang w:val="tr-TR"/>
                    </w:rPr>
                    <m:t>i,t-j</m:t>
                  </m:r>
                </m:sub>
              </m:sSub>
              <m:r>
                <w:rPr>
                  <w:rFonts w:ascii="Cambria Math" w:eastAsia="DejaVu Sans" w:hAnsi="Cambria Math" w:cs="Times New Roman"/>
                  <w:kern w:val="1"/>
                  <w:sz w:val="24"/>
                  <w:szCs w:val="24"/>
                  <w:lang w:val="tr-TR"/>
                </w:rPr>
                <m:t>-</m:t>
              </m:r>
              <m:d>
                <m:dPr>
                  <m:ctrlPr>
                    <w:rPr>
                      <w:rFonts w:ascii="Cambria Math" w:eastAsia="DejaVu Sans" w:hAnsi="Cambria Math" w:cs="Times New Roman"/>
                      <w:i/>
                      <w:kern w:val="1"/>
                      <w:sz w:val="24"/>
                      <w:szCs w:val="24"/>
                      <w:lang w:val="tr-TR"/>
                    </w:rPr>
                  </m:ctrlPr>
                </m:dPr>
                <m:e>
                  <m:sSubSup>
                    <m:sSubSupPr>
                      <m:ctrlPr>
                        <w:rPr>
                          <w:rFonts w:ascii="Cambria Math" w:eastAsia="DejaVu Sans" w:hAnsi="Cambria Math" w:cs="Times New Roman"/>
                          <w:i/>
                          <w:kern w:val="1"/>
                          <w:sz w:val="24"/>
                          <w:szCs w:val="24"/>
                          <w:lang w:val="tr-TR"/>
                        </w:rPr>
                      </m:ctrlPr>
                    </m:sSubSupPr>
                    <m:e>
                      <m:r>
                        <w:rPr>
                          <w:rFonts w:ascii="Cambria Math" w:eastAsia="DejaVu Sans" w:hAnsi="Cambria Math" w:cs="Times New Roman"/>
                          <w:kern w:val="1"/>
                          <w:sz w:val="24"/>
                          <w:szCs w:val="24"/>
                          <w:lang w:val="tr-TR"/>
                        </w:rPr>
                        <m:t>β</m:t>
                      </m:r>
                    </m:e>
                    <m:sub>
                      <m:r>
                        <w:rPr>
                          <w:rFonts w:ascii="Cambria Math" w:eastAsia="DejaVu Sans" w:hAnsi="Cambria Math" w:cs="Times New Roman"/>
                          <w:kern w:val="1"/>
                          <w:sz w:val="24"/>
                          <w:szCs w:val="24"/>
                          <w:lang w:val="tr-TR"/>
                        </w:rPr>
                        <m:t>0</m:t>
                      </m:r>
                    </m:sub>
                    <m:sup>
                      <m:r>
                        <w:rPr>
                          <w:rFonts w:ascii="Cambria Math" w:eastAsia="DejaVu Sans" w:hAnsi="Cambria Math" w:cs="Times New Roman"/>
                          <w:kern w:val="1"/>
                          <w:sz w:val="24"/>
                          <w:szCs w:val="24"/>
                          <w:lang w:val="tr-TR"/>
                        </w:rPr>
                        <m:t>i</m:t>
                      </m:r>
                    </m:sup>
                  </m:sSubSup>
                  <m:r>
                    <w:rPr>
                      <w:rFonts w:ascii="Cambria Math" w:eastAsia="DejaVu Sans" w:hAnsi="Cambria Math" w:cs="Times New Roman"/>
                      <w:kern w:val="1"/>
                      <w:sz w:val="24"/>
                      <w:szCs w:val="24"/>
                      <w:lang w:val="tr-TR"/>
                    </w:rPr>
                    <m:t>+</m:t>
                  </m:r>
                  <m:sSubSup>
                    <m:sSubSupPr>
                      <m:ctrlPr>
                        <w:rPr>
                          <w:rFonts w:ascii="Cambria Math" w:eastAsia="DejaVu Sans" w:hAnsi="Cambria Math" w:cs="Times New Roman"/>
                          <w:i/>
                          <w:kern w:val="1"/>
                          <w:sz w:val="24"/>
                          <w:szCs w:val="24"/>
                          <w:lang w:val="tr-TR"/>
                        </w:rPr>
                      </m:ctrlPr>
                    </m:sSubSupPr>
                    <m:e>
                      <m:r>
                        <w:rPr>
                          <w:rFonts w:ascii="Cambria Math" w:eastAsia="DejaVu Sans" w:hAnsi="Cambria Math" w:cs="Times New Roman"/>
                          <w:kern w:val="1"/>
                          <w:sz w:val="24"/>
                          <w:szCs w:val="24"/>
                          <w:lang w:val="tr-TR"/>
                        </w:rPr>
                        <m:t>β</m:t>
                      </m:r>
                    </m:e>
                    <m:sub>
                      <m:r>
                        <w:rPr>
                          <w:rFonts w:ascii="Cambria Math" w:eastAsia="DejaVu Sans" w:hAnsi="Cambria Math" w:cs="Times New Roman"/>
                          <w:kern w:val="1"/>
                          <w:sz w:val="24"/>
                          <w:szCs w:val="24"/>
                          <w:lang w:val="tr-TR"/>
                        </w:rPr>
                        <m:t>1</m:t>
                      </m:r>
                    </m:sub>
                    <m:sup>
                      <m:r>
                        <w:rPr>
                          <w:rFonts w:ascii="Cambria Math" w:eastAsia="DejaVu Sans" w:hAnsi="Cambria Math" w:cs="Times New Roman"/>
                          <w:kern w:val="1"/>
                          <w:sz w:val="24"/>
                          <w:szCs w:val="24"/>
                          <w:lang w:val="tr-TR"/>
                        </w:rPr>
                        <m:t>i</m:t>
                      </m:r>
                    </m:sup>
                  </m:sSubSup>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X</m:t>
                      </m:r>
                    </m:e>
                    <m:sub>
                      <m:r>
                        <w:rPr>
                          <w:rFonts w:ascii="Cambria Math" w:eastAsia="DejaVu Sans" w:hAnsi="Cambria Math" w:cs="Times New Roman"/>
                          <w:kern w:val="1"/>
                          <w:sz w:val="24"/>
                          <w:szCs w:val="24"/>
                          <w:lang w:val="tr-TR"/>
                        </w:rPr>
                        <m:t>i,t-j</m:t>
                      </m:r>
                    </m:sub>
                  </m:sSub>
                </m:e>
              </m:d>
            </m:e>
          </m:d>
          <m:r>
            <w:rPr>
              <w:rFonts w:ascii="Cambria Math" w:eastAsia="DejaVu Sans" w:hAnsi="Cambria Math" w:cs="Times New Roman"/>
              <w:kern w:val="1"/>
              <w:sz w:val="24"/>
              <w:szCs w:val="24"/>
              <w:lang w:val="tr-TR"/>
            </w:rPr>
            <m:t>+</m:t>
          </m:r>
          <m:sSub>
            <m:sSubPr>
              <m:ctrlPr>
                <w:rPr>
                  <w:rFonts w:ascii="Cambria Math" w:eastAsia="DejaVu Sans" w:hAnsi="Cambria Math" w:cs="Times New Roman"/>
                  <w:i/>
                  <w:kern w:val="1"/>
                  <w:sz w:val="24"/>
                  <w:szCs w:val="24"/>
                  <w:lang w:val="tr-TR"/>
                </w:rPr>
              </m:ctrlPr>
            </m:sSubPr>
            <m:e>
              <m:r>
                <w:rPr>
                  <w:rFonts w:ascii="Cambria Math" w:eastAsia="DejaVu Sans" w:hAnsi="Cambria Math" w:cs="Times New Roman"/>
                  <w:kern w:val="1"/>
                  <w:sz w:val="24"/>
                  <w:szCs w:val="24"/>
                  <w:lang w:val="tr-TR"/>
                </w:rPr>
                <m:t>ε</m:t>
              </m:r>
            </m:e>
            <m:sub>
              <m:r>
                <w:rPr>
                  <w:rFonts w:ascii="Cambria Math" w:eastAsia="DejaVu Sans" w:hAnsi="Cambria Math" w:cs="Times New Roman"/>
                  <w:kern w:val="1"/>
                  <w:sz w:val="24"/>
                  <w:szCs w:val="24"/>
                  <w:lang w:val="tr-TR"/>
                </w:rPr>
                <m:t>it</m:t>
              </m:r>
            </m:sub>
          </m:sSub>
        </m:oMath>
      </m:oMathPara>
    </w:p>
    <w:p w14:paraId="3F0DB453" w14:textId="704251D7" w:rsidR="0024435A" w:rsidRPr="004A47CE" w:rsidRDefault="004A47CE" w:rsidP="004A47CE">
      <w:pPr>
        <w:spacing w:after="120" w:line="240" w:lineRule="auto"/>
        <w:ind w:firstLine="709"/>
        <w:jc w:val="both"/>
        <w:rPr>
          <w:rFonts w:ascii="Times New Roman" w:eastAsia="DejaVu Sans" w:hAnsi="Times New Roman" w:cs="Times New Roman"/>
          <w:kern w:val="1"/>
          <w:sz w:val="24"/>
          <w:szCs w:val="24"/>
          <w:lang w:val="tr-TR"/>
        </w:rPr>
      </w:pPr>
      <w:r>
        <w:rPr>
          <w:rFonts w:ascii="Times New Roman" w:eastAsia="DejaVu Sans" w:hAnsi="Times New Roman" w:cs="Times New Roman"/>
          <w:kern w:val="1"/>
          <w:sz w:val="24"/>
          <w:szCs w:val="24"/>
          <w:lang w:val="tr-TR"/>
        </w:rPr>
        <w:t xml:space="preserve">      </w:t>
      </w:r>
      <w:r w:rsidRPr="004A47CE">
        <w:rPr>
          <w:rFonts w:ascii="Times New Roman" w:eastAsia="DejaVu Sans" w:hAnsi="Times New Roman" w:cs="Times New Roman"/>
          <w:kern w:val="1"/>
          <w:sz w:val="24"/>
          <w:szCs w:val="24"/>
          <w:lang w:val="tr-TR"/>
        </w:rPr>
        <w:t>(7</w:t>
      </w:r>
      <w:r w:rsidR="0024435A" w:rsidRPr="004A47CE">
        <w:rPr>
          <w:rFonts w:ascii="Times New Roman" w:eastAsia="DejaVu Sans" w:hAnsi="Times New Roman" w:cs="Times New Roman"/>
          <w:kern w:val="1"/>
          <w:sz w:val="24"/>
          <w:szCs w:val="24"/>
          <w:lang w:val="tr-TR"/>
        </w:rPr>
        <w:t>)</w:t>
      </w:r>
    </w:p>
    <w:p w14:paraId="19E4D397" w14:textId="6A1EF9FF" w:rsidR="0024435A" w:rsidRPr="004A47CE" w:rsidRDefault="0024435A" w:rsidP="004A47CE">
      <w:pPr>
        <w:spacing w:after="120" w:line="240" w:lineRule="auto"/>
        <w:ind w:firstLine="709"/>
        <w:jc w:val="both"/>
        <w:rPr>
          <w:rFonts w:ascii="Times New Roman" w:eastAsia="DejaVu Sans" w:hAnsi="Times New Roman" w:cs="Times New Roman"/>
          <w:kern w:val="1"/>
          <w:sz w:val="24"/>
          <w:szCs w:val="24"/>
          <w:lang w:val="tr-TR"/>
        </w:rPr>
      </w:pPr>
      <w:r w:rsidRPr="004A47CE">
        <w:rPr>
          <w:rFonts w:ascii="Times New Roman" w:eastAsia="DejaVu Sans" w:hAnsi="Times New Roman" w:cs="Times New Roman"/>
          <w:kern w:val="1"/>
          <w:sz w:val="24"/>
          <w:szCs w:val="24"/>
          <w:lang w:val="tr-TR"/>
        </w:rPr>
        <w:t xml:space="preserve">Burada </w:t>
      </w:r>
      <m:oMath>
        <m:r>
          <w:rPr>
            <w:rFonts w:ascii="Cambria Math" w:eastAsia="DejaVu Sans" w:hAnsi="Cambria Math" w:cs="Times New Roman"/>
            <w:kern w:val="1"/>
            <w:sz w:val="24"/>
            <w:szCs w:val="24"/>
            <w:lang w:val="tr-TR"/>
          </w:rPr>
          <m:t>γ</m:t>
        </m:r>
      </m:oMath>
      <w:r w:rsidRPr="004A47CE">
        <w:rPr>
          <w:rFonts w:ascii="Times New Roman" w:eastAsia="DejaVu Sans" w:hAnsi="Times New Roman" w:cs="Times New Roman"/>
          <w:kern w:val="1"/>
          <w:sz w:val="24"/>
          <w:szCs w:val="24"/>
          <w:lang w:val="tr-TR"/>
        </w:rPr>
        <w:t xml:space="preserve"> ve </w:t>
      </w:r>
      <m:oMath>
        <m:r>
          <w:rPr>
            <w:rFonts w:ascii="Cambria Math" w:eastAsia="DejaVu Sans" w:hAnsi="Cambria Math" w:cs="Times New Roman"/>
            <w:kern w:val="1"/>
            <w:sz w:val="24"/>
            <w:szCs w:val="24"/>
            <w:lang w:val="tr-TR"/>
          </w:rPr>
          <m:t>δ</m:t>
        </m:r>
      </m:oMath>
      <w:r w:rsidRPr="004A47CE">
        <w:rPr>
          <w:rFonts w:ascii="Times New Roman" w:eastAsia="DejaVu Sans" w:hAnsi="Times New Roman" w:cs="Times New Roman"/>
          <w:kern w:val="1"/>
          <w:sz w:val="24"/>
          <w:szCs w:val="24"/>
          <w:lang w:val="tr-TR"/>
        </w:rPr>
        <w:t xml:space="preserve"> kısa dönem katsayılarını, </w:t>
      </w:r>
      <m:oMath>
        <m:r>
          <w:rPr>
            <w:rFonts w:ascii="Cambria Math" w:eastAsia="DejaVu Sans" w:hAnsi="Cambria Math" w:cs="Times New Roman"/>
            <w:kern w:val="1"/>
            <w:sz w:val="24"/>
            <w:szCs w:val="24"/>
            <w:lang w:val="tr-TR"/>
          </w:rPr>
          <m:t>β</m:t>
        </m:r>
      </m:oMath>
      <w:r w:rsidRPr="004A47CE">
        <w:rPr>
          <w:rFonts w:ascii="Times New Roman" w:eastAsia="DejaVu Sans" w:hAnsi="Times New Roman" w:cs="Times New Roman"/>
          <w:kern w:val="1"/>
          <w:sz w:val="24"/>
          <w:szCs w:val="24"/>
          <w:lang w:val="tr-TR"/>
        </w:rPr>
        <w:t xml:space="preserve"> uzun dönem katsayılarını ve </w:t>
      </w:r>
      <m:oMath>
        <m:r>
          <w:rPr>
            <w:rFonts w:ascii="Cambria Math" w:eastAsia="DejaVu Sans" w:hAnsi="Cambria Math" w:cs="Times New Roman"/>
            <w:kern w:val="1"/>
            <w:sz w:val="24"/>
            <w:szCs w:val="24"/>
            <w:lang w:val="tr-TR"/>
          </w:rPr>
          <m:t>θ</m:t>
        </m:r>
      </m:oMath>
      <w:r w:rsidRPr="004A47CE">
        <w:rPr>
          <w:rFonts w:ascii="Times New Roman" w:eastAsia="DejaVu Sans" w:hAnsi="Times New Roman" w:cs="Times New Roman"/>
          <w:kern w:val="1"/>
          <w:sz w:val="24"/>
          <w:szCs w:val="24"/>
          <w:lang w:val="tr-TR"/>
        </w:rPr>
        <w:t xml:space="preserve"> hata düzeltme terimini ifade etmekte</w:t>
      </w:r>
      <w:r w:rsidR="00502A84" w:rsidRPr="004A47CE">
        <w:rPr>
          <w:rFonts w:ascii="Times New Roman" w:eastAsia="DejaVu Sans" w:hAnsi="Times New Roman" w:cs="Times New Roman"/>
          <w:kern w:val="1"/>
          <w:sz w:val="24"/>
          <w:szCs w:val="24"/>
          <w:lang w:val="tr-TR"/>
        </w:rPr>
        <w:t>dir. Hata düzeltme teriminin eksi</w:t>
      </w:r>
      <w:r w:rsidRPr="004A47CE">
        <w:rPr>
          <w:rFonts w:ascii="Times New Roman" w:eastAsia="DejaVu Sans" w:hAnsi="Times New Roman" w:cs="Times New Roman"/>
          <w:kern w:val="1"/>
          <w:sz w:val="24"/>
          <w:szCs w:val="24"/>
          <w:lang w:val="tr-TR"/>
        </w:rPr>
        <w:t xml:space="preserve"> işaretli ve ista</w:t>
      </w:r>
      <w:r w:rsidR="00F01473" w:rsidRPr="004A47CE">
        <w:rPr>
          <w:rFonts w:ascii="Times New Roman" w:eastAsia="DejaVu Sans" w:hAnsi="Times New Roman" w:cs="Times New Roman"/>
          <w:kern w:val="1"/>
          <w:sz w:val="24"/>
          <w:szCs w:val="24"/>
          <w:lang w:val="tr-TR"/>
        </w:rPr>
        <w:t>tist</w:t>
      </w:r>
      <w:r w:rsidR="00F674E3" w:rsidRPr="004A47CE">
        <w:rPr>
          <w:rFonts w:ascii="Times New Roman" w:eastAsia="DejaVu Sans" w:hAnsi="Times New Roman" w:cs="Times New Roman"/>
          <w:kern w:val="1"/>
          <w:sz w:val="24"/>
          <w:szCs w:val="24"/>
          <w:lang w:val="tr-TR"/>
        </w:rPr>
        <w:t xml:space="preserve">iksel olarak anlamlı </w:t>
      </w:r>
      <w:r w:rsidR="003C382A" w:rsidRPr="004A47CE">
        <w:rPr>
          <w:rFonts w:ascii="Times New Roman" w:eastAsia="DejaVu Sans" w:hAnsi="Times New Roman" w:cs="Times New Roman"/>
          <w:kern w:val="1"/>
          <w:sz w:val="24"/>
          <w:szCs w:val="24"/>
          <w:lang w:val="tr-TR"/>
        </w:rPr>
        <w:t>olm</w:t>
      </w:r>
      <w:r w:rsidR="00F674E3" w:rsidRPr="004A47CE">
        <w:rPr>
          <w:rFonts w:ascii="Times New Roman" w:eastAsia="DejaVu Sans" w:hAnsi="Times New Roman" w:cs="Times New Roman"/>
          <w:kern w:val="1"/>
          <w:sz w:val="24"/>
          <w:szCs w:val="24"/>
          <w:lang w:val="tr-TR"/>
        </w:rPr>
        <w:t xml:space="preserve">ası </w:t>
      </w:r>
      <w:r w:rsidR="00F01473" w:rsidRPr="004A47CE">
        <w:rPr>
          <w:rFonts w:ascii="Times New Roman" w:eastAsia="DejaVu Sans" w:hAnsi="Times New Roman" w:cs="Times New Roman"/>
          <w:kern w:val="1"/>
          <w:sz w:val="24"/>
          <w:szCs w:val="24"/>
          <w:lang w:val="tr-TR"/>
        </w:rPr>
        <w:t>gerekmektedir.</w:t>
      </w:r>
      <w:r w:rsidRPr="004A47CE">
        <w:rPr>
          <w:rFonts w:ascii="Times New Roman" w:eastAsia="DejaVu Sans" w:hAnsi="Times New Roman" w:cs="Times New Roman"/>
          <w:kern w:val="1"/>
          <w:sz w:val="24"/>
          <w:szCs w:val="24"/>
          <w:lang w:val="tr-TR"/>
        </w:rPr>
        <w:t xml:space="preserve"> </w:t>
      </w:r>
      <w:r w:rsidR="004A47CE" w:rsidRPr="004A47CE">
        <w:rPr>
          <w:rFonts w:ascii="Times New Roman" w:eastAsia="DejaVu Sans" w:hAnsi="Times New Roman" w:cs="Times New Roman"/>
          <w:color w:val="000000" w:themeColor="text1"/>
          <w:kern w:val="1"/>
          <w:sz w:val="24"/>
          <w:szCs w:val="24"/>
          <w:lang w:val="tr-TR"/>
        </w:rPr>
        <w:t>Denklem (7</w:t>
      </w:r>
      <w:r w:rsidRPr="004A47CE">
        <w:rPr>
          <w:rFonts w:ascii="Times New Roman" w:eastAsia="DejaVu Sans" w:hAnsi="Times New Roman" w:cs="Times New Roman"/>
          <w:color w:val="000000" w:themeColor="text1"/>
          <w:kern w:val="1"/>
          <w:sz w:val="24"/>
          <w:szCs w:val="24"/>
          <w:lang w:val="tr-TR"/>
        </w:rPr>
        <w:t xml:space="preserve">) Havuzlanmış Ortalama Grup (Pooled Mean Group, PMG) ve Ortalama Grup (Mean Group, MG) tahmincileri yardımıyla tahmin edilmiştir. </w:t>
      </w:r>
      <w:r w:rsidR="00216C7B" w:rsidRPr="004A47CE">
        <w:rPr>
          <w:rFonts w:ascii="Times New Roman" w:eastAsia="DejaVu Sans" w:hAnsi="Times New Roman" w:cs="Times New Roman"/>
          <w:color w:val="000000" w:themeColor="text1"/>
          <w:kern w:val="1"/>
          <w:sz w:val="24"/>
          <w:szCs w:val="24"/>
          <w:lang w:val="tr-TR"/>
        </w:rPr>
        <w:t xml:space="preserve">Havuzlanmış ortalama grup tahmincisi uzun dönem </w:t>
      </w:r>
      <w:r w:rsidR="005260CF" w:rsidRPr="004A47CE">
        <w:rPr>
          <w:rFonts w:ascii="Times New Roman" w:eastAsia="DejaVu Sans" w:hAnsi="Times New Roman" w:cs="Times New Roman"/>
          <w:color w:val="000000" w:themeColor="text1"/>
          <w:kern w:val="1"/>
          <w:sz w:val="24"/>
          <w:szCs w:val="24"/>
          <w:lang w:val="tr-TR"/>
        </w:rPr>
        <w:t xml:space="preserve">parametrelerini </w:t>
      </w:r>
      <w:r w:rsidR="00216C7B" w:rsidRPr="004A47CE">
        <w:rPr>
          <w:rFonts w:ascii="Times New Roman" w:eastAsia="DejaVu Sans" w:hAnsi="Times New Roman" w:cs="Times New Roman"/>
          <w:color w:val="000000" w:themeColor="text1"/>
          <w:kern w:val="1"/>
          <w:sz w:val="24"/>
          <w:szCs w:val="24"/>
          <w:lang w:val="tr-TR"/>
        </w:rPr>
        <w:t>tüm birimler için aynı kabul ederken kısa dönem katsayılarının birimden bir</w:t>
      </w:r>
      <w:r w:rsidR="004C7C4C" w:rsidRPr="004A47CE">
        <w:rPr>
          <w:rFonts w:ascii="Times New Roman" w:eastAsia="DejaVu Sans" w:hAnsi="Times New Roman" w:cs="Times New Roman"/>
          <w:color w:val="000000" w:themeColor="text1"/>
          <w:kern w:val="1"/>
          <w:sz w:val="24"/>
          <w:szCs w:val="24"/>
          <w:lang w:val="tr-TR"/>
        </w:rPr>
        <w:t xml:space="preserve">ime </w:t>
      </w:r>
      <w:r w:rsidR="005260CF" w:rsidRPr="004A47CE">
        <w:rPr>
          <w:rFonts w:ascii="Times New Roman" w:eastAsia="DejaVu Sans" w:hAnsi="Times New Roman" w:cs="Times New Roman"/>
          <w:color w:val="000000" w:themeColor="text1"/>
          <w:kern w:val="1"/>
          <w:sz w:val="24"/>
          <w:szCs w:val="24"/>
          <w:lang w:val="tr-TR"/>
        </w:rPr>
        <w:t xml:space="preserve">farklılaşmasına </w:t>
      </w:r>
      <w:r w:rsidR="004C7C4C" w:rsidRPr="004A47CE">
        <w:rPr>
          <w:rFonts w:ascii="Times New Roman" w:eastAsia="DejaVu Sans" w:hAnsi="Times New Roman" w:cs="Times New Roman"/>
          <w:color w:val="000000" w:themeColor="text1"/>
          <w:kern w:val="1"/>
          <w:sz w:val="24"/>
          <w:szCs w:val="24"/>
          <w:lang w:val="tr-TR"/>
        </w:rPr>
        <w:t>olanak tanımaktadır (</w:t>
      </w:r>
      <w:r w:rsidR="00D31919" w:rsidRPr="004A47CE">
        <w:rPr>
          <w:rFonts w:ascii="Times New Roman" w:eastAsia="DejaVu Sans" w:hAnsi="Times New Roman" w:cs="Times New Roman"/>
          <w:color w:val="000000" w:themeColor="text1"/>
          <w:kern w:val="1"/>
          <w:sz w:val="24"/>
          <w:szCs w:val="24"/>
          <w:lang w:val="tr-TR"/>
        </w:rPr>
        <w:t xml:space="preserve">Pesaran </w:t>
      </w:r>
      <w:r w:rsidR="00E071F1">
        <w:rPr>
          <w:rFonts w:ascii="Times New Roman" w:eastAsia="DejaVu Sans" w:hAnsi="Times New Roman" w:cs="Times New Roman"/>
          <w:color w:val="000000" w:themeColor="text1"/>
          <w:kern w:val="1"/>
          <w:sz w:val="24"/>
          <w:szCs w:val="24"/>
          <w:lang w:val="tr-TR"/>
        </w:rPr>
        <w:t>ve diğ.</w:t>
      </w:r>
      <w:r w:rsidR="00D31919" w:rsidRPr="004A47CE">
        <w:rPr>
          <w:rFonts w:ascii="Times New Roman" w:eastAsia="DejaVu Sans" w:hAnsi="Times New Roman" w:cs="Times New Roman"/>
          <w:color w:val="000000" w:themeColor="text1"/>
          <w:kern w:val="1"/>
          <w:sz w:val="24"/>
          <w:szCs w:val="24"/>
          <w:lang w:val="tr-TR"/>
        </w:rPr>
        <w:t xml:space="preserve"> 1997</w:t>
      </w:r>
      <w:r w:rsidR="0099305A" w:rsidRPr="004A47CE">
        <w:rPr>
          <w:rFonts w:ascii="Times New Roman" w:eastAsia="DejaVu Sans" w:hAnsi="Times New Roman" w:cs="Times New Roman"/>
          <w:color w:val="000000" w:themeColor="text1"/>
          <w:kern w:val="1"/>
          <w:sz w:val="24"/>
          <w:szCs w:val="24"/>
          <w:lang w:val="tr-TR"/>
        </w:rPr>
        <w:t>)</w:t>
      </w:r>
      <w:r w:rsidR="00216C7B" w:rsidRPr="004A47CE">
        <w:rPr>
          <w:rFonts w:ascii="Times New Roman" w:eastAsia="DejaVu Sans" w:hAnsi="Times New Roman" w:cs="Times New Roman"/>
          <w:color w:val="000000" w:themeColor="text1"/>
          <w:kern w:val="1"/>
          <w:sz w:val="24"/>
          <w:szCs w:val="24"/>
          <w:lang w:val="tr-TR"/>
        </w:rPr>
        <w:t xml:space="preserve">. Ortalama grup tahmincisi </w:t>
      </w:r>
      <w:r w:rsidR="00FF57B2" w:rsidRPr="004A47CE">
        <w:rPr>
          <w:rFonts w:ascii="Times New Roman" w:eastAsia="DejaVu Sans" w:hAnsi="Times New Roman" w:cs="Times New Roman"/>
          <w:color w:val="000000" w:themeColor="text1"/>
          <w:kern w:val="1"/>
          <w:sz w:val="24"/>
          <w:szCs w:val="24"/>
          <w:lang w:val="tr-TR"/>
        </w:rPr>
        <w:t xml:space="preserve">ise </w:t>
      </w:r>
      <w:r w:rsidR="00216C7B" w:rsidRPr="004A47CE">
        <w:rPr>
          <w:rFonts w:ascii="Times New Roman" w:eastAsia="DejaVu Sans" w:hAnsi="Times New Roman" w:cs="Times New Roman"/>
          <w:color w:val="000000" w:themeColor="text1"/>
          <w:kern w:val="1"/>
          <w:sz w:val="24"/>
          <w:szCs w:val="24"/>
          <w:lang w:val="tr-TR"/>
        </w:rPr>
        <w:t xml:space="preserve">sabit terimin, eğim katsayılarının ve hata varyanslarının </w:t>
      </w:r>
      <w:r w:rsidR="0099305A" w:rsidRPr="004A47CE">
        <w:rPr>
          <w:rFonts w:ascii="Times New Roman" w:eastAsia="DejaVu Sans" w:hAnsi="Times New Roman" w:cs="Times New Roman"/>
          <w:color w:val="000000" w:themeColor="text1"/>
          <w:kern w:val="1"/>
          <w:sz w:val="24"/>
          <w:szCs w:val="24"/>
          <w:lang w:val="tr-TR"/>
        </w:rPr>
        <w:t xml:space="preserve">birimden birime değişmesine imkan </w:t>
      </w:r>
      <w:r w:rsidR="00216C7B" w:rsidRPr="004A47CE">
        <w:rPr>
          <w:rFonts w:ascii="Times New Roman" w:eastAsia="DejaVu Sans" w:hAnsi="Times New Roman" w:cs="Times New Roman"/>
          <w:color w:val="000000" w:themeColor="text1"/>
          <w:kern w:val="1"/>
          <w:sz w:val="24"/>
          <w:szCs w:val="24"/>
          <w:lang w:val="tr-TR"/>
        </w:rPr>
        <w:t xml:space="preserve"> </w:t>
      </w:r>
      <w:r w:rsidR="0099305A" w:rsidRPr="004A47CE">
        <w:rPr>
          <w:rFonts w:ascii="Times New Roman" w:eastAsia="DejaVu Sans" w:hAnsi="Times New Roman" w:cs="Times New Roman"/>
          <w:color w:val="000000" w:themeColor="text1"/>
          <w:kern w:val="1"/>
          <w:sz w:val="24"/>
          <w:szCs w:val="24"/>
          <w:lang w:val="tr-TR"/>
        </w:rPr>
        <w:t>vermektedir</w:t>
      </w:r>
      <w:r w:rsidR="00216C7B" w:rsidRPr="004A47CE">
        <w:rPr>
          <w:rFonts w:ascii="Times New Roman" w:eastAsia="DejaVu Sans" w:hAnsi="Times New Roman" w:cs="Times New Roman"/>
          <w:color w:val="000000" w:themeColor="text1"/>
          <w:kern w:val="1"/>
          <w:sz w:val="24"/>
          <w:szCs w:val="24"/>
          <w:lang w:val="tr-TR"/>
        </w:rPr>
        <w:t xml:space="preserve"> </w:t>
      </w:r>
      <w:r w:rsidR="004A47CE" w:rsidRPr="004A47CE">
        <w:rPr>
          <w:rFonts w:ascii="Times New Roman" w:eastAsia="DejaVu Sans" w:hAnsi="Times New Roman" w:cs="Times New Roman"/>
          <w:color w:val="000000" w:themeColor="text1"/>
          <w:kern w:val="1"/>
          <w:sz w:val="24"/>
          <w:szCs w:val="24"/>
          <w:lang w:val="tr-TR"/>
        </w:rPr>
        <w:t xml:space="preserve">(Pesaran </w:t>
      </w:r>
      <w:r w:rsidR="00E071F1">
        <w:rPr>
          <w:rFonts w:ascii="Times New Roman" w:eastAsia="DejaVu Sans" w:hAnsi="Times New Roman" w:cs="Times New Roman"/>
          <w:color w:val="000000" w:themeColor="text1"/>
          <w:kern w:val="1"/>
          <w:sz w:val="24"/>
          <w:szCs w:val="24"/>
          <w:lang w:val="tr-TR"/>
        </w:rPr>
        <w:t>ve diğ.</w:t>
      </w:r>
      <w:r w:rsidR="00216C7B" w:rsidRPr="004A47CE">
        <w:rPr>
          <w:rFonts w:ascii="Times New Roman" w:eastAsia="DejaVu Sans" w:hAnsi="Times New Roman" w:cs="Times New Roman"/>
          <w:color w:val="000000" w:themeColor="text1"/>
          <w:kern w:val="1"/>
          <w:sz w:val="24"/>
          <w:szCs w:val="24"/>
          <w:lang w:val="tr-TR"/>
        </w:rPr>
        <w:t>1999).</w:t>
      </w:r>
      <w:r w:rsidR="00FF57B2" w:rsidRPr="004A47CE">
        <w:rPr>
          <w:rFonts w:ascii="Times New Roman" w:eastAsia="DejaVu Sans" w:hAnsi="Times New Roman" w:cs="Times New Roman"/>
          <w:color w:val="000000" w:themeColor="text1"/>
          <w:kern w:val="1"/>
          <w:sz w:val="24"/>
          <w:szCs w:val="24"/>
          <w:lang w:val="tr-TR"/>
        </w:rPr>
        <w:t xml:space="preserve"> </w:t>
      </w:r>
      <w:r w:rsidRPr="004A47CE">
        <w:rPr>
          <w:rFonts w:ascii="Times New Roman" w:eastAsia="DejaVu Sans" w:hAnsi="Times New Roman" w:cs="Times New Roman"/>
          <w:color w:val="000000" w:themeColor="text1"/>
          <w:kern w:val="1"/>
          <w:sz w:val="24"/>
          <w:szCs w:val="24"/>
          <w:lang w:val="tr-TR"/>
        </w:rPr>
        <w:t>İki tahminci arasında seçim yapabilmek için Hausman testi</w:t>
      </w:r>
      <w:r w:rsidR="00EB79BB" w:rsidRPr="004A47CE">
        <w:rPr>
          <w:rFonts w:ascii="Times New Roman" w:eastAsia="DejaVu Sans" w:hAnsi="Times New Roman" w:cs="Times New Roman"/>
          <w:color w:val="000000" w:themeColor="text1"/>
          <w:kern w:val="1"/>
          <w:sz w:val="24"/>
          <w:szCs w:val="24"/>
          <w:lang w:val="tr-TR"/>
        </w:rPr>
        <w:t xml:space="preserve"> (1978)</w:t>
      </w:r>
      <w:r w:rsidRPr="004A47CE">
        <w:rPr>
          <w:rFonts w:ascii="Times New Roman" w:eastAsia="DejaVu Sans" w:hAnsi="Times New Roman" w:cs="Times New Roman"/>
          <w:color w:val="000000" w:themeColor="text1"/>
          <w:kern w:val="1"/>
          <w:sz w:val="24"/>
          <w:szCs w:val="24"/>
          <w:lang w:val="tr-TR"/>
        </w:rPr>
        <w:t xml:space="preserve"> kullanılmıştır. </w:t>
      </w:r>
      <w:r w:rsidR="00500470" w:rsidRPr="004A47CE">
        <w:rPr>
          <w:rFonts w:ascii="Times New Roman" w:eastAsia="DejaVu Sans" w:hAnsi="Times New Roman" w:cs="Times New Roman"/>
          <w:color w:val="000000" w:themeColor="text1"/>
          <w:kern w:val="1"/>
          <w:sz w:val="24"/>
          <w:szCs w:val="24"/>
          <w:lang w:val="tr-TR"/>
        </w:rPr>
        <w:t xml:space="preserve">Hausman testi sonuçlarına göre </w:t>
      </w:r>
      <w:r w:rsidRPr="004A47CE">
        <w:rPr>
          <w:rFonts w:ascii="Times New Roman" w:eastAsia="DejaVu Sans" w:hAnsi="Times New Roman" w:cs="Times New Roman"/>
          <w:color w:val="000000" w:themeColor="text1"/>
          <w:kern w:val="1"/>
          <w:sz w:val="24"/>
          <w:szCs w:val="24"/>
          <w:lang w:val="tr-TR"/>
        </w:rPr>
        <w:t>PMG tahmincisi tercih edilmektedir. Buna göre havuzlanmış ortalama grup tahmincisi ile elde edilen tahmin sonuçları Tablo 5’te yer almaktadır.</w:t>
      </w:r>
    </w:p>
    <w:p w14:paraId="5240D43D" w14:textId="77777777" w:rsidR="00D8497A" w:rsidRPr="00502A84" w:rsidRDefault="00D8497A" w:rsidP="0024435A">
      <w:pPr>
        <w:spacing w:after="60" w:line="240" w:lineRule="auto"/>
        <w:ind w:firstLine="170"/>
        <w:jc w:val="both"/>
        <w:rPr>
          <w:rFonts w:ascii="Times New Roman" w:eastAsia="DejaVu Sans" w:hAnsi="Times New Roman" w:cs="Times New Roman"/>
          <w:kern w:val="1"/>
          <w:sz w:val="24"/>
          <w:szCs w:val="24"/>
          <w:lang w:val="tr-TR"/>
        </w:rPr>
      </w:pPr>
    </w:p>
    <w:p w14:paraId="5CE08556" w14:textId="58D593B7" w:rsidR="00264AB3" w:rsidRPr="003723BD" w:rsidRDefault="00D8497A" w:rsidP="00D8497A">
      <w:pPr>
        <w:suppressLineNumbers/>
        <w:spacing w:before="120" w:after="120" w:line="240" w:lineRule="auto"/>
        <w:jc w:val="center"/>
        <w:rPr>
          <w:rFonts w:ascii="Times New Roman" w:eastAsia="DejaVu Sans" w:hAnsi="Times New Roman" w:cs="Times New Roman"/>
          <w:b/>
          <w:iCs/>
          <w:kern w:val="1"/>
          <w:sz w:val="24"/>
          <w:szCs w:val="24"/>
          <w:lang w:val="tr-TR"/>
        </w:rPr>
      </w:pPr>
      <w:r w:rsidRPr="003723BD">
        <w:rPr>
          <w:rFonts w:ascii="Times New Roman" w:eastAsia="DejaVu Sans" w:hAnsi="Times New Roman" w:cs="Times New Roman"/>
          <w:b/>
          <w:iCs/>
          <w:kern w:val="1"/>
          <w:sz w:val="24"/>
          <w:szCs w:val="24"/>
          <w:lang w:val="tr-TR"/>
        </w:rPr>
        <w:t xml:space="preserve">Tablo 5. </w:t>
      </w:r>
      <w:r w:rsidRPr="00F9226F">
        <w:rPr>
          <w:rFonts w:ascii="Times New Roman" w:eastAsia="DejaVu Sans" w:hAnsi="Times New Roman" w:cs="Times New Roman"/>
          <w:b/>
          <w:iCs/>
          <w:kern w:val="1"/>
          <w:sz w:val="24"/>
          <w:szCs w:val="24"/>
          <w:lang w:val="tr-TR"/>
        </w:rPr>
        <w:t xml:space="preserve">Havuzlanmış Ortalama Grup Tahmin </w:t>
      </w:r>
      <w:r w:rsidRPr="00940E86">
        <w:rPr>
          <w:rFonts w:ascii="Times New Roman" w:eastAsia="DejaVu Sans" w:hAnsi="Times New Roman" w:cs="Times New Roman"/>
          <w:b/>
          <w:iCs/>
          <w:kern w:val="1"/>
          <w:sz w:val="24"/>
          <w:szCs w:val="24"/>
          <w:lang w:val="tr-TR"/>
        </w:rPr>
        <w:t>Sonuçları</w:t>
      </w:r>
    </w:p>
    <w:tbl>
      <w:tblPr>
        <w:tblStyle w:val="4"/>
        <w:tblpPr w:leftFromText="180" w:rightFromText="180" w:vertAnchor="text" w:tblpX="284" w:tblpY="1"/>
        <w:tblOverlap w:val="never"/>
        <w:tblW w:w="8364" w:type="dxa"/>
        <w:tblLook w:val="04A0" w:firstRow="1" w:lastRow="0" w:firstColumn="1" w:lastColumn="0" w:noHBand="0" w:noVBand="1"/>
      </w:tblPr>
      <w:tblGrid>
        <w:gridCol w:w="2268"/>
        <w:gridCol w:w="2977"/>
        <w:gridCol w:w="3119"/>
      </w:tblGrid>
      <w:tr w:rsidR="0071548C" w:rsidRPr="00500470" w14:paraId="7601CEFE" w14:textId="405F8151" w:rsidTr="00D234A3">
        <w:trPr>
          <w:trHeight w:val="413"/>
        </w:trPr>
        <w:tc>
          <w:tcPr>
            <w:tcW w:w="2268" w:type="dxa"/>
            <w:tcBorders>
              <w:top w:val="single" w:sz="4" w:space="0" w:color="auto"/>
              <w:left w:val="nil"/>
              <w:bottom w:val="nil"/>
              <w:right w:val="nil"/>
            </w:tcBorders>
          </w:tcPr>
          <w:p w14:paraId="62C75F29" w14:textId="77777777" w:rsidR="0071548C" w:rsidRPr="00500470" w:rsidRDefault="0071548C" w:rsidP="00D8497A">
            <w:pPr>
              <w:suppressLineNumbers/>
              <w:rPr>
                <w:rFonts w:ascii="Times New Roman" w:eastAsia="DejaVu Sans" w:hAnsi="Times New Roman"/>
                <w:b/>
                <w:iCs/>
                <w:kern w:val="1"/>
                <w:sz w:val="20"/>
                <w:szCs w:val="20"/>
                <w:lang w:val="tr-TR"/>
              </w:rPr>
            </w:pPr>
          </w:p>
        </w:tc>
        <w:tc>
          <w:tcPr>
            <w:tcW w:w="2977" w:type="dxa"/>
            <w:tcBorders>
              <w:top w:val="single" w:sz="4" w:space="0" w:color="auto"/>
              <w:left w:val="nil"/>
              <w:bottom w:val="nil"/>
              <w:right w:val="nil"/>
            </w:tcBorders>
          </w:tcPr>
          <w:p w14:paraId="159A9C1C" w14:textId="29FB0119" w:rsidR="0071548C" w:rsidRPr="00500470" w:rsidRDefault="0071548C" w:rsidP="00D8497A">
            <w:pPr>
              <w:suppressLineNumbers/>
              <w:rPr>
                <w:rFonts w:ascii="Times New Roman" w:eastAsia="DejaVu Sans" w:hAnsi="Times New Roman"/>
                <w:b/>
                <w:iCs/>
                <w:kern w:val="1"/>
                <w:sz w:val="20"/>
                <w:szCs w:val="20"/>
                <w:lang w:val="tr-TR"/>
              </w:rPr>
            </w:pPr>
            <w:r w:rsidRPr="00500470">
              <w:rPr>
                <w:rFonts w:ascii="Times New Roman" w:eastAsia="DejaVu Sans" w:hAnsi="Times New Roman"/>
                <w:b/>
                <w:iCs/>
                <w:kern w:val="1"/>
                <w:sz w:val="20"/>
                <w:szCs w:val="20"/>
                <w:lang w:val="tr-TR"/>
              </w:rPr>
              <w:t>Model 1</w:t>
            </w:r>
          </w:p>
        </w:tc>
        <w:tc>
          <w:tcPr>
            <w:tcW w:w="3119" w:type="dxa"/>
            <w:tcBorders>
              <w:top w:val="single" w:sz="4" w:space="0" w:color="auto"/>
              <w:left w:val="nil"/>
              <w:bottom w:val="nil"/>
              <w:right w:val="nil"/>
            </w:tcBorders>
          </w:tcPr>
          <w:p w14:paraId="73F81B8D" w14:textId="15C99271" w:rsidR="0071548C" w:rsidRPr="00500470" w:rsidRDefault="0071548C" w:rsidP="00D8497A">
            <w:pPr>
              <w:suppressLineNumbers/>
              <w:rPr>
                <w:rFonts w:ascii="Times New Roman" w:eastAsia="DejaVu Sans" w:hAnsi="Times New Roman"/>
                <w:b/>
                <w:iCs/>
                <w:kern w:val="1"/>
                <w:sz w:val="20"/>
                <w:szCs w:val="20"/>
                <w:lang w:val="tr-TR"/>
              </w:rPr>
            </w:pPr>
            <w:r w:rsidRPr="00500470">
              <w:rPr>
                <w:rFonts w:ascii="Times New Roman" w:eastAsia="DejaVu Sans" w:hAnsi="Times New Roman"/>
                <w:b/>
                <w:iCs/>
                <w:kern w:val="1"/>
                <w:sz w:val="20"/>
                <w:szCs w:val="20"/>
                <w:lang w:val="tr-TR"/>
              </w:rPr>
              <w:t>Model 2</w:t>
            </w:r>
          </w:p>
        </w:tc>
      </w:tr>
      <w:tr w:rsidR="0071548C" w:rsidRPr="00500470" w14:paraId="5B9E82C5" w14:textId="776DE04D" w:rsidTr="00D234A3">
        <w:trPr>
          <w:trHeight w:val="413"/>
        </w:trPr>
        <w:tc>
          <w:tcPr>
            <w:tcW w:w="2268" w:type="dxa"/>
            <w:tcBorders>
              <w:top w:val="nil"/>
              <w:left w:val="nil"/>
              <w:bottom w:val="single" w:sz="4" w:space="0" w:color="auto"/>
              <w:right w:val="nil"/>
            </w:tcBorders>
          </w:tcPr>
          <w:p w14:paraId="30EA48B2" w14:textId="77777777" w:rsidR="0071548C" w:rsidRPr="00500470" w:rsidRDefault="0071548C" w:rsidP="00D8497A">
            <w:pPr>
              <w:suppressLineNumbers/>
              <w:rPr>
                <w:rFonts w:ascii="Times New Roman" w:eastAsia="DejaVu Sans" w:hAnsi="Times New Roman"/>
                <w:b/>
                <w:iCs/>
                <w:kern w:val="1"/>
                <w:sz w:val="20"/>
                <w:szCs w:val="20"/>
                <w:lang w:val="tr-TR"/>
              </w:rPr>
            </w:pPr>
          </w:p>
        </w:tc>
        <w:tc>
          <w:tcPr>
            <w:tcW w:w="2977" w:type="dxa"/>
            <w:tcBorders>
              <w:top w:val="nil"/>
              <w:left w:val="nil"/>
              <w:bottom w:val="single" w:sz="4" w:space="0" w:color="auto"/>
              <w:right w:val="nil"/>
            </w:tcBorders>
          </w:tcPr>
          <w:p w14:paraId="7A25FEF7" w14:textId="77777777" w:rsidR="0071548C" w:rsidRPr="00500470" w:rsidRDefault="0071548C" w:rsidP="00D8497A">
            <w:pPr>
              <w:suppressLineNumbers/>
              <w:rPr>
                <w:rFonts w:ascii="Times New Roman" w:eastAsia="DejaVu Sans" w:hAnsi="Times New Roman"/>
                <w:b/>
                <w:iCs/>
                <w:kern w:val="1"/>
                <w:sz w:val="20"/>
                <w:szCs w:val="20"/>
                <w:lang w:val="tr-TR"/>
              </w:rPr>
            </w:pPr>
            <w:r w:rsidRPr="00500470">
              <w:rPr>
                <w:rFonts w:ascii="Times New Roman" w:eastAsia="DejaVu Sans" w:hAnsi="Times New Roman"/>
                <w:b/>
                <w:iCs/>
                <w:kern w:val="1"/>
                <w:sz w:val="20"/>
                <w:szCs w:val="20"/>
                <w:lang w:val="tr-TR"/>
              </w:rPr>
              <w:t>Yaşam beklentisi (kadın)</w:t>
            </w:r>
          </w:p>
          <w:p w14:paraId="26F394BB" w14:textId="3E6C31EB" w:rsidR="0071548C" w:rsidRPr="00500470" w:rsidRDefault="0071548C" w:rsidP="00D8497A">
            <w:pPr>
              <w:suppressLineNumbers/>
              <w:rPr>
                <w:rFonts w:ascii="Times New Roman" w:eastAsia="DejaVu Sans" w:hAnsi="Times New Roman"/>
                <w:b/>
                <w:iCs/>
                <w:kern w:val="1"/>
                <w:sz w:val="20"/>
                <w:szCs w:val="20"/>
                <w:lang w:val="tr-TR"/>
              </w:rPr>
            </w:pPr>
            <w:r w:rsidRPr="00500470">
              <w:rPr>
                <w:rFonts w:ascii="Times New Roman" w:eastAsia="DejaVu Sans" w:hAnsi="Times New Roman"/>
                <w:b/>
                <w:iCs/>
                <w:kern w:val="1"/>
                <w:sz w:val="20"/>
                <w:szCs w:val="20"/>
                <w:lang w:val="tr-TR"/>
              </w:rPr>
              <w:t>ARDL (1 0 0 0 0)</w:t>
            </w:r>
          </w:p>
        </w:tc>
        <w:tc>
          <w:tcPr>
            <w:tcW w:w="3119" w:type="dxa"/>
            <w:tcBorders>
              <w:top w:val="nil"/>
              <w:left w:val="nil"/>
              <w:bottom w:val="single" w:sz="4" w:space="0" w:color="auto"/>
              <w:right w:val="nil"/>
            </w:tcBorders>
          </w:tcPr>
          <w:p w14:paraId="11CB9CCC" w14:textId="77777777" w:rsidR="0071548C" w:rsidRPr="00500470" w:rsidRDefault="0071548C" w:rsidP="00D8497A">
            <w:pPr>
              <w:suppressLineNumbers/>
              <w:rPr>
                <w:rFonts w:ascii="Times New Roman" w:eastAsia="DejaVu Sans" w:hAnsi="Times New Roman"/>
                <w:b/>
                <w:iCs/>
                <w:kern w:val="1"/>
                <w:sz w:val="20"/>
                <w:szCs w:val="20"/>
                <w:lang w:val="tr-TR"/>
              </w:rPr>
            </w:pPr>
            <w:r w:rsidRPr="00500470">
              <w:rPr>
                <w:rFonts w:ascii="Times New Roman" w:eastAsia="DejaVu Sans" w:hAnsi="Times New Roman"/>
                <w:b/>
                <w:iCs/>
                <w:kern w:val="1"/>
                <w:sz w:val="20"/>
                <w:szCs w:val="20"/>
                <w:lang w:val="tr-TR"/>
              </w:rPr>
              <w:t>Yaşam beklentisi (erkek)</w:t>
            </w:r>
          </w:p>
          <w:p w14:paraId="66FA0DC6" w14:textId="622E6D70" w:rsidR="0071548C" w:rsidRPr="00500470" w:rsidRDefault="0071548C" w:rsidP="00D8497A">
            <w:pPr>
              <w:suppressLineNumbers/>
              <w:rPr>
                <w:rFonts w:ascii="Times New Roman" w:eastAsia="DejaVu Sans" w:hAnsi="Times New Roman"/>
                <w:b/>
                <w:iCs/>
                <w:kern w:val="1"/>
                <w:sz w:val="20"/>
                <w:szCs w:val="20"/>
                <w:lang w:val="tr-TR"/>
              </w:rPr>
            </w:pPr>
            <w:r w:rsidRPr="00500470">
              <w:rPr>
                <w:rFonts w:ascii="Times New Roman" w:eastAsia="DejaVu Sans" w:hAnsi="Times New Roman"/>
                <w:b/>
                <w:iCs/>
                <w:kern w:val="1"/>
                <w:sz w:val="20"/>
                <w:szCs w:val="20"/>
                <w:lang w:val="tr-TR"/>
              </w:rPr>
              <w:t>ARDL (1 0 0 0 )</w:t>
            </w:r>
          </w:p>
        </w:tc>
      </w:tr>
      <w:tr w:rsidR="00D8497A" w:rsidRPr="00500470" w14:paraId="05FF5E10" w14:textId="77777777" w:rsidTr="00D234A3">
        <w:trPr>
          <w:trHeight w:val="413"/>
        </w:trPr>
        <w:tc>
          <w:tcPr>
            <w:tcW w:w="5245" w:type="dxa"/>
            <w:gridSpan w:val="2"/>
            <w:tcBorders>
              <w:top w:val="single" w:sz="4" w:space="0" w:color="auto"/>
              <w:left w:val="nil"/>
              <w:bottom w:val="single" w:sz="4" w:space="0" w:color="auto"/>
              <w:right w:val="nil"/>
            </w:tcBorders>
          </w:tcPr>
          <w:p w14:paraId="1D3DC0AE" w14:textId="617ED270" w:rsidR="00D8497A" w:rsidRPr="00500470" w:rsidRDefault="00D8497A" w:rsidP="00D8497A">
            <w:pPr>
              <w:suppressLineNumbers/>
              <w:rPr>
                <w:rFonts w:ascii="Times New Roman" w:eastAsia="DejaVu Sans" w:hAnsi="Times New Roman"/>
                <w:b/>
                <w:iCs/>
                <w:kern w:val="1"/>
                <w:sz w:val="20"/>
                <w:szCs w:val="20"/>
                <w:lang w:val="tr-TR"/>
              </w:rPr>
            </w:pPr>
            <w:r w:rsidRPr="00500470">
              <w:rPr>
                <w:rFonts w:ascii="Times New Roman" w:eastAsia="DejaVu Sans" w:hAnsi="Times New Roman"/>
                <w:b/>
                <w:iCs/>
                <w:kern w:val="1"/>
                <w:sz w:val="20"/>
                <w:szCs w:val="20"/>
                <w:lang w:val="tr-TR"/>
              </w:rPr>
              <w:t>Uzun Dönem Katsayılar</w:t>
            </w:r>
          </w:p>
        </w:tc>
        <w:tc>
          <w:tcPr>
            <w:tcW w:w="3119" w:type="dxa"/>
            <w:tcBorders>
              <w:top w:val="single" w:sz="4" w:space="0" w:color="auto"/>
              <w:left w:val="nil"/>
              <w:bottom w:val="single" w:sz="4" w:space="0" w:color="auto"/>
              <w:right w:val="nil"/>
            </w:tcBorders>
          </w:tcPr>
          <w:p w14:paraId="65158795" w14:textId="77777777" w:rsidR="00D8497A" w:rsidRPr="00500470" w:rsidRDefault="00D8497A" w:rsidP="00D8497A">
            <w:pPr>
              <w:suppressLineNumbers/>
              <w:rPr>
                <w:rFonts w:ascii="Times New Roman" w:eastAsia="DejaVu Sans" w:hAnsi="Times New Roman"/>
                <w:b/>
                <w:iCs/>
                <w:kern w:val="1"/>
                <w:sz w:val="20"/>
                <w:szCs w:val="20"/>
                <w:lang w:val="tr-TR"/>
              </w:rPr>
            </w:pPr>
          </w:p>
        </w:tc>
      </w:tr>
      <w:tr w:rsidR="0071548C" w:rsidRPr="00500470" w14:paraId="34A5EF00" w14:textId="59030645" w:rsidTr="00D234A3">
        <w:tc>
          <w:tcPr>
            <w:tcW w:w="2268" w:type="dxa"/>
            <w:tcBorders>
              <w:top w:val="single" w:sz="4" w:space="0" w:color="auto"/>
              <w:left w:val="nil"/>
              <w:bottom w:val="nil"/>
              <w:right w:val="nil"/>
            </w:tcBorders>
          </w:tcPr>
          <w:p w14:paraId="7295AC02" w14:textId="6792CCA8" w:rsidR="0071548C" w:rsidRPr="00500470" w:rsidRDefault="0071548C"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LGDP</w:t>
            </w:r>
          </w:p>
        </w:tc>
        <w:tc>
          <w:tcPr>
            <w:tcW w:w="2977" w:type="dxa"/>
            <w:tcBorders>
              <w:top w:val="single" w:sz="4" w:space="0" w:color="auto"/>
              <w:left w:val="nil"/>
              <w:bottom w:val="nil"/>
              <w:right w:val="nil"/>
            </w:tcBorders>
          </w:tcPr>
          <w:p w14:paraId="0461BCFE" w14:textId="1DE8F5CB" w:rsidR="0071548C" w:rsidRPr="00500470" w:rsidRDefault="006539A6"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0,0195*</w:t>
            </w:r>
          </w:p>
          <w:p w14:paraId="72F4C807" w14:textId="544200FC" w:rsidR="00956CBA" w:rsidRPr="00500470" w:rsidRDefault="006539A6" w:rsidP="00D8497A">
            <w:pPr>
              <w:suppressLineNumbers/>
              <w:rPr>
                <w:rFonts w:ascii="Times New Roman" w:eastAsia="DejaVu Sans" w:hAnsi="Times New Roman"/>
                <w:iCs/>
                <w:kern w:val="1"/>
                <w:sz w:val="20"/>
                <w:szCs w:val="20"/>
                <w:lang w:val="en-US"/>
              </w:rPr>
            </w:pPr>
            <w:r w:rsidRPr="00500470">
              <w:rPr>
                <w:rFonts w:ascii="Times New Roman" w:eastAsia="DejaVu Sans" w:hAnsi="Times New Roman"/>
                <w:iCs/>
                <w:kern w:val="1"/>
                <w:sz w:val="20"/>
                <w:szCs w:val="20"/>
                <w:lang w:val="en-US"/>
              </w:rPr>
              <w:t>(0,</w:t>
            </w:r>
            <w:r w:rsidR="00956CBA" w:rsidRPr="00500470">
              <w:rPr>
                <w:rFonts w:ascii="Times New Roman" w:eastAsia="DejaVu Sans" w:hAnsi="Times New Roman"/>
                <w:iCs/>
                <w:kern w:val="1"/>
                <w:sz w:val="20"/>
                <w:szCs w:val="20"/>
                <w:lang w:val="en-US"/>
              </w:rPr>
              <w:t>0020)</w:t>
            </w:r>
          </w:p>
        </w:tc>
        <w:tc>
          <w:tcPr>
            <w:tcW w:w="3119" w:type="dxa"/>
            <w:tcBorders>
              <w:top w:val="single" w:sz="4" w:space="0" w:color="auto"/>
              <w:left w:val="nil"/>
              <w:bottom w:val="nil"/>
              <w:right w:val="nil"/>
            </w:tcBorders>
          </w:tcPr>
          <w:p w14:paraId="7888585D" w14:textId="77777777" w:rsidR="006229CD" w:rsidRPr="00500470" w:rsidRDefault="006229CD"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0,0623*  </w:t>
            </w:r>
          </w:p>
          <w:p w14:paraId="55F1C482" w14:textId="0EF986EE" w:rsidR="0071548C" w:rsidRPr="00500470" w:rsidRDefault="006229CD"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(0,0034)</w:t>
            </w:r>
          </w:p>
        </w:tc>
      </w:tr>
      <w:tr w:rsidR="0071548C" w:rsidRPr="00500470" w14:paraId="5EB01FE8" w14:textId="370CA10B" w:rsidTr="00D234A3">
        <w:tc>
          <w:tcPr>
            <w:tcW w:w="2268" w:type="dxa"/>
            <w:tcBorders>
              <w:top w:val="nil"/>
              <w:left w:val="nil"/>
              <w:bottom w:val="nil"/>
              <w:right w:val="nil"/>
            </w:tcBorders>
          </w:tcPr>
          <w:p w14:paraId="5CCE9F93" w14:textId="2D63B386" w:rsidR="0071548C" w:rsidRPr="00500470" w:rsidRDefault="00E44FC5"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LHE</w:t>
            </w:r>
          </w:p>
        </w:tc>
        <w:tc>
          <w:tcPr>
            <w:tcW w:w="2977" w:type="dxa"/>
            <w:tcBorders>
              <w:top w:val="nil"/>
              <w:left w:val="nil"/>
              <w:bottom w:val="nil"/>
              <w:right w:val="nil"/>
            </w:tcBorders>
          </w:tcPr>
          <w:p w14:paraId="66F5A62A" w14:textId="1254C4B3" w:rsidR="006539A6" w:rsidRPr="00500470" w:rsidRDefault="0071548C"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 </w:t>
            </w:r>
            <w:r w:rsidR="006539A6" w:rsidRPr="00500470">
              <w:rPr>
                <w:rFonts w:ascii="Times New Roman" w:eastAsia="DejaVu Sans" w:hAnsi="Times New Roman"/>
                <w:iCs/>
                <w:kern w:val="1"/>
                <w:sz w:val="20"/>
                <w:szCs w:val="20"/>
                <w:lang w:val="tr-TR"/>
              </w:rPr>
              <w:t>0,0150*</w:t>
            </w:r>
          </w:p>
          <w:p w14:paraId="7DCCBCAA" w14:textId="70BC9FF5" w:rsidR="0071548C" w:rsidRPr="00500470" w:rsidRDefault="006539A6"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(0,0013)</w:t>
            </w:r>
          </w:p>
        </w:tc>
        <w:tc>
          <w:tcPr>
            <w:tcW w:w="3119" w:type="dxa"/>
            <w:tcBorders>
              <w:top w:val="nil"/>
              <w:left w:val="nil"/>
              <w:bottom w:val="nil"/>
              <w:right w:val="nil"/>
            </w:tcBorders>
          </w:tcPr>
          <w:p w14:paraId="7A8AF976" w14:textId="77777777" w:rsidR="0071548C" w:rsidRPr="00500470" w:rsidRDefault="0071548C" w:rsidP="00D8497A">
            <w:pPr>
              <w:suppressLineNumbers/>
              <w:rPr>
                <w:rFonts w:ascii="Times New Roman" w:eastAsia="DejaVu Sans" w:hAnsi="Times New Roman"/>
                <w:iCs/>
                <w:kern w:val="1"/>
                <w:sz w:val="20"/>
                <w:szCs w:val="20"/>
                <w:lang w:val="tr-TR"/>
              </w:rPr>
            </w:pPr>
          </w:p>
        </w:tc>
      </w:tr>
      <w:tr w:rsidR="0071548C" w:rsidRPr="00500470" w14:paraId="32E424A8" w14:textId="4091153C" w:rsidTr="00D234A3">
        <w:tc>
          <w:tcPr>
            <w:tcW w:w="2268" w:type="dxa"/>
            <w:tcBorders>
              <w:top w:val="nil"/>
              <w:left w:val="nil"/>
              <w:bottom w:val="nil"/>
              <w:right w:val="nil"/>
            </w:tcBorders>
          </w:tcPr>
          <w:p w14:paraId="25C502EA" w14:textId="3DF8AA25" w:rsidR="0071548C" w:rsidRPr="00500470" w:rsidRDefault="00E44FC5"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rPr>
              <w:t>L</w:t>
            </w:r>
            <w:r w:rsidRPr="00500470">
              <w:rPr>
                <w:rFonts w:ascii="Times New Roman" w:eastAsia="DejaVu Sans" w:hAnsi="Times New Roman"/>
                <w:iCs/>
                <w:kern w:val="1"/>
                <w:sz w:val="20"/>
                <w:szCs w:val="20"/>
                <w:lang w:val="tr-TR"/>
              </w:rPr>
              <w:t>POP</w:t>
            </w:r>
          </w:p>
        </w:tc>
        <w:tc>
          <w:tcPr>
            <w:tcW w:w="2977" w:type="dxa"/>
            <w:tcBorders>
              <w:top w:val="nil"/>
              <w:left w:val="nil"/>
              <w:bottom w:val="nil"/>
              <w:right w:val="nil"/>
            </w:tcBorders>
          </w:tcPr>
          <w:p w14:paraId="0BF91E03" w14:textId="7E13128D" w:rsidR="006539A6" w:rsidRPr="00500470" w:rsidRDefault="006539A6"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-0,2520* </w:t>
            </w:r>
          </w:p>
          <w:p w14:paraId="120D999C" w14:textId="1AE3EB94" w:rsidR="0071548C" w:rsidRPr="00500470" w:rsidRDefault="006539A6"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 (0,0146)</w:t>
            </w:r>
          </w:p>
        </w:tc>
        <w:tc>
          <w:tcPr>
            <w:tcW w:w="3119" w:type="dxa"/>
            <w:tcBorders>
              <w:top w:val="nil"/>
              <w:left w:val="nil"/>
              <w:bottom w:val="nil"/>
              <w:right w:val="nil"/>
            </w:tcBorders>
          </w:tcPr>
          <w:p w14:paraId="18E871E5" w14:textId="77777777" w:rsidR="0071548C" w:rsidRPr="00500470" w:rsidRDefault="0071548C" w:rsidP="00D8497A">
            <w:pPr>
              <w:suppressLineNumbers/>
              <w:rPr>
                <w:rFonts w:ascii="Times New Roman" w:eastAsia="DejaVu Sans" w:hAnsi="Times New Roman"/>
                <w:iCs/>
                <w:kern w:val="1"/>
                <w:sz w:val="20"/>
                <w:szCs w:val="20"/>
                <w:lang w:val="tr-TR"/>
              </w:rPr>
            </w:pPr>
          </w:p>
        </w:tc>
      </w:tr>
      <w:tr w:rsidR="0071548C" w:rsidRPr="00500470" w14:paraId="77AFBA23" w14:textId="6A1F263D" w:rsidTr="00D234A3">
        <w:tc>
          <w:tcPr>
            <w:tcW w:w="2268" w:type="dxa"/>
            <w:tcBorders>
              <w:top w:val="nil"/>
              <w:left w:val="nil"/>
              <w:bottom w:val="nil"/>
              <w:right w:val="nil"/>
            </w:tcBorders>
          </w:tcPr>
          <w:p w14:paraId="755EFD6C" w14:textId="54BEAD8F" w:rsidR="0071548C" w:rsidRPr="00500470" w:rsidRDefault="00E44FC5"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LWATER</w:t>
            </w:r>
          </w:p>
        </w:tc>
        <w:tc>
          <w:tcPr>
            <w:tcW w:w="2977" w:type="dxa"/>
            <w:tcBorders>
              <w:top w:val="nil"/>
              <w:left w:val="nil"/>
              <w:bottom w:val="nil"/>
              <w:right w:val="nil"/>
            </w:tcBorders>
          </w:tcPr>
          <w:p w14:paraId="79EEBC55" w14:textId="0AE74606" w:rsidR="006539A6" w:rsidRPr="00500470" w:rsidRDefault="006539A6"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 0,2494*   </w:t>
            </w:r>
          </w:p>
          <w:p w14:paraId="582D0182" w14:textId="3B2C2EC0" w:rsidR="0071548C" w:rsidRPr="00500470" w:rsidRDefault="006539A6"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(0,0135)</w:t>
            </w:r>
          </w:p>
        </w:tc>
        <w:tc>
          <w:tcPr>
            <w:tcW w:w="3119" w:type="dxa"/>
            <w:tcBorders>
              <w:top w:val="nil"/>
              <w:left w:val="nil"/>
              <w:bottom w:val="nil"/>
              <w:right w:val="nil"/>
            </w:tcBorders>
          </w:tcPr>
          <w:p w14:paraId="6DAAA044" w14:textId="34074BEA" w:rsidR="006229CD" w:rsidRPr="00500470" w:rsidRDefault="006229CD"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0,3601*  </w:t>
            </w:r>
          </w:p>
          <w:p w14:paraId="714761B1" w14:textId="1EFF3ED3" w:rsidR="0071548C" w:rsidRPr="00500470" w:rsidRDefault="006229CD"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(0,0343)</w:t>
            </w:r>
          </w:p>
        </w:tc>
      </w:tr>
      <w:tr w:rsidR="00E44FC5" w:rsidRPr="00500470" w14:paraId="225788AB" w14:textId="77777777" w:rsidTr="00D234A3">
        <w:tc>
          <w:tcPr>
            <w:tcW w:w="2268" w:type="dxa"/>
            <w:tcBorders>
              <w:top w:val="nil"/>
              <w:left w:val="nil"/>
              <w:bottom w:val="single" w:sz="4" w:space="0" w:color="auto"/>
              <w:right w:val="nil"/>
            </w:tcBorders>
          </w:tcPr>
          <w:p w14:paraId="346F8633" w14:textId="208C9679" w:rsidR="00E44FC5" w:rsidRPr="00500470" w:rsidRDefault="00E44FC5"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lastRenderedPageBreak/>
              <w:t>LEDU</w:t>
            </w:r>
          </w:p>
        </w:tc>
        <w:tc>
          <w:tcPr>
            <w:tcW w:w="2977" w:type="dxa"/>
            <w:tcBorders>
              <w:top w:val="nil"/>
              <w:left w:val="nil"/>
              <w:bottom w:val="single" w:sz="4" w:space="0" w:color="auto"/>
              <w:right w:val="nil"/>
            </w:tcBorders>
          </w:tcPr>
          <w:p w14:paraId="357C307D" w14:textId="77777777" w:rsidR="00E44FC5" w:rsidRPr="00500470" w:rsidRDefault="00E44FC5" w:rsidP="00D8497A">
            <w:pPr>
              <w:suppressLineNumbers/>
              <w:rPr>
                <w:rFonts w:ascii="Times New Roman" w:eastAsia="DejaVu Sans" w:hAnsi="Times New Roman"/>
                <w:iCs/>
                <w:kern w:val="1"/>
                <w:sz w:val="20"/>
                <w:szCs w:val="20"/>
                <w:lang w:val="tr-TR"/>
              </w:rPr>
            </w:pPr>
          </w:p>
        </w:tc>
        <w:tc>
          <w:tcPr>
            <w:tcW w:w="3119" w:type="dxa"/>
            <w:tcBorders>
              <w:top w:val="nil"/>
              <w:left w:val="nil"/>
              <w:bottom w:val="single" w:sz="4" w:space="0" w:color="auto"/>
              <w:right w:val="nil"/>
            </w:tcBorders>
          </w:tcPr>
          <w:p w14:paraId="17F25DBE" w14:textId="77777777" w:rsidR="006229CD" w:rsidRPr="00500470" w:rsidRDefault="006229CD"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0,2052*  </w:t>
            </w:r>
          </w:p>
          <w:p w14:paraId="785CFCB4" w14:textId="54F6B7B4" w:rsidR="00E44FC5" w:rsidRPr="00500470" w:rsidRDefault="006229CD"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(0,0414)</w:t>
            </w:r>
          </w:p>
        </w:tc>
      </w:tr>
      <w:tr w:rsidR="0071548C" w:rsidRPr="00500470" w14:paraId="762468B7" w14:textId="1A28F1D0" w:rsidTr="00D234A3">
        <w:trPr>
          <w:trHeight w:val="379"/>
        </w:trPr>
        <w:tc>
          <w:tcPr>
            <w:tcW w:w="2268" w:type="dxa"/>
            <w:tcBorders>
              <w:top w:val="single" w:sz="4" w:space="0" w:color="auto"/>
              <w:left w:val="nil"/>
              <w:bottom w:val="single" w:sz="4" w:space="0" w:color="auto"/>
              <w:right w:val="nil"/>
            </w:tcBorders>
          </w:tcPr>
          <w:p w14:paraId="2B84C1A2" w14:textId="77777777" w:rsidR="0071548C" w:rsidRPr="00500470" w:rsidRDefault="0071548C" w:rsidP="00D8497A">
            <w:pPr>
              <w:suppressLineNumbers/>
              <w:rPr>
                <w:rFonts w:ascii="Times New Roman" w:eastAsia="DejaVu Sans" w:hAnsi="Times New Roman"/>
                <w:b/>
                <w:iCs/>
                <w:kern w:val="1"/>
                <w:sz w:val="20"/>
                <w:szCs w:val="20"/>
                <w:lang w:val="tr-TR"/>
              </w:rPr>
            </w:pPr>
            <w:r w:rsidRPr="00500470">
              <w:rPr>
                <w:rFonts w:ascii="Times New Roman" w:eastAsia="DejaVu Sans" w:hAnsi="Times New Roman"/>
                <w:b/>
                <w:iCs/>
                <w:kern w:val="1"/>
                <w:sz w:val="20"/>
                <w:szCs w:val="20"/>
                <w:lang w:val="tr-TR"/>
              </w:rPr>
              <w:t>Kısa Dönem Katsayılar</w:t>
            </w:r>
          </w:p>
        </w:tc>
        <w:tc>
          <w:tcPr>
            <w:tcW w:w="2977" w:type="dxa"/>
            <w:tcBorders>
              <w:top w:val="single" w:sz="4" w:space="0" w:color="auto"/>
              <w:left w:val="nil"/>
              <w:bottom w:val="single" w:sz="4" w:space="0" w:color="auto"/>
              <w:right w:val="nil"/>
            </w:tcBorders>
          </w:tcPr>
          <w:p w14:paraId="1F053381" w14:textId="77777777" w:rsidR="0071548C" w:rsidRPr="00500470" w:rsidRDefault="0071548C" w:rsidP="00D8497A">
            <w:pPr>
              <w:suppressLineNumbers/>
              <w:rPr>
                <w:rFonts w:ascii="Times New Roman" w:eastAsia="DejaVu Sans" w:hAnsi="Times New Roman"/>
                <w:iCs/>
                <w:kern w:val="1"/>
                <w:sz w:val="20"/>
                <w:szCs w:val="20"/>
                <w:lang w:val="tr-TR"/>
              </w:rPr>
            </w:pPr>
          </w:p>
        </w:tc>
        <w:tc>
          <w:tcPr>
            <w:tcW w:w="3119" w:type="dxa"/>
            <w:tcBorders>
              <w:top w:val="single" w:sz="4" w:space="0" w:color="auto"/>
              <w:left w:val="nil"/>
              <w:bottom w:val="single" w:sz="4" w:space="0" w:color="auto"/>
              <w:right w:val="nil"/>
            </w:tcBorders>
          </w:tcPr>
          <w:p w14:paraId="57FCA9B6" w14:textId="77777777" w:rsidR="0071548C" w:rsidRPr="00500470" w:rsidRDefault="0071548C" w:rsidP="00D8497A">
            <w:pPr>
              <w:suppressLineNumbers/>
              <w:rPr>
                <w:rFonts w:ascii="Times New Roman" w:eastAsia="DejaVu Sans" w:hAnsi="Times New Roman"/>
                <w:iCs/>
                <w:kern w:val="1"/>
                <w:sz w:val="20"/>
                <w:szCs w:val="20"/>
                <w:lang w:val="tr-TR"/>
              </w:rPr>
            </w:pPr>
          </w:p>
        </w:tc>
      </w:tr>
      <w:tr w:rsidR="0071548C" w:rsidRPr="00500470" w14:paraId="2B67A966" w14:textId="04956A4B" w:rsidTr="00D234A3">
        <w:trPr>
          <w:trHeight w:val="286"/>
        </w:trPr>
        <w:tc>
          <w:tcPr>
            <w:tcW w:w="2268" w:type="dxa"/>
            <w:tcBorders>
              <w:top w:val="single" w:sz="4" w:space="0" w:color="auto"/>
              <w:left w:val="nil"/>
              <w:bottom w:val="nil"/>
              <w:right w:val="nil"/>
            </w:tcBorders>
          </w:tcPr>
          <w:p w14:paraId="6DD21C7A" w14:textId="77777777" w:rsidR="0071548C" w:rsidRPr="00500470" w:rsidRDefault="0071548C"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Hata Düzeltme Terimi</w:t>
            </w:r>
          </w:p>
        </w:tc>
        <w:tc>
          <w:tcPr>
            <w:tcW w:w="2977" w:type="dxa"/>
            <w:tcBorders>
              <w:top w:val="single" w:sz="4" w:space="0" w:color="auto"/>
              <w:left w:val="nil"/>
              <w:bottom w:val="nil"/>
              <w:right w:val="nil"/>
            </w:tcBorders>
          </w:tcPr>
          <w:p w14:paraId="6CA567C4" w14:textId="548C7331" w:rsidR="00B261DF" w:rsidRPr="00500470" w:rsidRDefault="00B261DF"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-0</w:t>
            </w:r>
            <w:r w:rsidRPr="00500470">
              <w:rPr>
                <w:rFonts w:ascii="Times New Roman" w:eastAsia="DejaVu Sans" w:hAnsi="Times New Roman"/>
                <w:iCs/>
                <w:kern w:val="1"/>
                <w:sz w:val="20"/>
                <w:szCs w:val="20"/>
                <w:lang w:val="en-US"/>
              </w:rPr>
              <w:t>,</w:t>
            </w:r>
            <w:r w:rsidRPr="00500470">
              <w:rPr>
                <w:rFonts w:ascii="Times New Roman" w:eastAsia="DejaVu Sans" w:hAnsi="Times New Roman"/>
                <w:iCs/>
                <w:kern w:val="1"/>
                <w:sz w:val="20"/>
                <w:szCs w:val="20"/>
                <w:lang w:val="tr-TR"/>
              </w:rPr>
              <w:t xml:space="preserve">2900* </w:t>
            </w:r>
          </w:p>
          <w:p w14:paraId="309B7905" w14:textId="2158539D" w:rsidR="0071548C" w:rsidRPr="00500470" w:rsidRDefault="00B261DF"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(0,0764)</w:t>
            </w:r>
          </w:p>
        </w:tc>
        <w:tc>
          <w:tcPr>
            <w:tcW w:w="3119" w:type="dxa"/>
            <w:tcBorders>
              <w:top w:val="single" w:sz="4" w:space="0" w:color="auto"/>
              <w:left w:val="nil"/>
              <w:bottom w:val="nil"/>
              <w:right w:val="nil"/>
            </w:tcBorders>
          </w:tcPr>
          <w:p w14:paraId="7A660F0B" w14:textId="201B3592" w:rsidR="006229CD" w:rsidRPr="00500470" w:rsidRDefault="006229CD"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-0,0832**   </w:t>
            </w:r>
          </w:p>
          <w:p w14:paraId="247B860C" w14:textId="4B287E14" w:rsidR="0071548C" w:rsidRPr="00500470" w:rsidRDefault="006229CD"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(0,0366)</w:t>
            </w:r>
          </w:p>
        </w:tc>
      </w:tr>
      <w:tr w:rsidR="0071548C" w:rsidRPr="00500470" w14:paraId="2C8F9582" w14:textId="31D2351B" w:rsidTr="00D234A3">
        <w:trPr>
          <w:trHeight w:val="205"/>
        </w:trPr>
        <w:tc>
          <w:tcPr>
            <w:tcW w:w="2268" w:type="dxa"/>
            <w:tcBorders>
              <w:top w:val="nil"/>
              <w:left w:val="nil"/>
              <w:bottom w:val="nil"/>
              <w:right w:val="nil"/>
            </w:tcBorders>
          </w:tcPr>
          <w:p w14:paraId="42DA6846" w14:textId="601141B2" w:rsidR="0071548C" w:rsidRPr="00500470" w:rsidRDefault="0071548C"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w:t>
            </w:r>
            <w:r w:rsidR="00E44FC5" w:rsidRPr="00500470">
              <w:rPr>
                <w:rFonts w:ascii="Times New Roman" w:eastAsia="DejaVu Sans" w:hAnsi="Times New Roman"/>
                <w:iCs/>
                <w:kern w:val="1"/>
                <w:sz w:val="20"/>
                <w:szCs w:val="20"/>
                <w:lang w:val="tr-TR"/>
              </w:rPr>
              <w:t>LGDP</w:t>
            </w:r>
          </w:p>
        </w:tc>
        <w:tc>
          <w:tcPr>
            <w:tcW w:w="2977" w:type="dxa"/>
            <w:tcBorders>
              <w:top w:val="nil"/>
              <w:left w:val="nil"/>
              <w:bottom w:val="nil"/>
              <w:right w:val="nil"/>
            </w:tcBorders>
          </w:tcPr>
          <w:p w14:paraId="3A5780BE" w14:textId="040B880E" w:rsidR="00B261DF" w:rsidRPr="00500470" w:rsidRDefault="00B261DF"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-0,0100  </w:t>
            </w:r>
          </w:p>
          <w:p w14:paraId="4FDF2470" w14:textId="56B5B5D9" w:rsidR="0071548C" w:rsidRPr="00500470" w:rsidRDefault="00B261DF"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 (0,0100)</w:t>
            </w:r>
          </w:p>
        </w:tc>
        <w:tc>
          <w:tcPr>
            <w:tcW w:w="3119" w:type="dxa"/>
            <w:tcBorders>
              <w:top w:val="nil"/>
              <w:left w:val="nil"/>
              <w:bottom w:val="nil"/>
              <w:right w:val="nil"/>
            </w:tcBorders>
          </w:tcPr>
          <w:p w14:paraId="08CAE61D" w14:textId="031350E1" w:rsidR="006229CD" w:rsidRPr="00500470" w:rsidRDefault="00BB07DF"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-0,0337</w:t>
            </w:r>
            <w:r w:rsidR="006229CD" w:rsidRPr="00500470">
              <w:rPr>
                <w:rFonts w:ascii="Times New Roman" w:eastAsia="DejaVu Sans" w:hAnsi="Times New Roman"/>
                <w:iCs/>
                <w:kern w:val="1"/>
                <w:sz w:val="20"/>
                <w:szCs w:val="20"/>
                <w:lang w:val="tr-TR"/>
              </w:rPr>
              <w:t xml:space="preserve">* </w:t>
            </w:r>
          </w:p>
          <w:p w14:paraId="684C0FDE" w14:textId="509CC2C7" w:rsidR="0071548C" w:rsidRPr="00500470" w:rsidRDefault="00BB07DF"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 (0,0128)</w:t>
            </w:r>
          </w:p>
        </w:tc>
      </w:tr>
      <w:tr w:rsidR="0071548C" w:rsidRPr="00500470" w14:paraId="2975F0A5" w14:textId="4909A74B" w:rsidTr="00D234A3">
        <w:trPr>
          <w:trHeight w:val="197"/>
        </w:trPr>
        <w:tc>
          <w:tcPr>
            <w:tcW w:w="2268" w:type="dxa"/>
            <w:tcBorders>
              <w:top w:val="nil"/>
              <w:left w:val="nil"/>
              <w:bottom w:val="nil"/>
              <w:right w:val="nil"/>
            </w:tcBorders>
          </w:tcPr>
          <w:p w14:paraId="1B675DF1" w14:textId="75BBE2F5" w:rsidR="0071548C" w:rsidRPr="00500470" w:rsidRDefault="0071548C"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w:t>
            </w:r>
            <w:r w:rsidR="00E44FC5" w:rsidRPr="00500470">
              <w:rPr>
                <w:rFonts w:ascii="Times New Roman" w:eastAsia="DejaVu Sans" w:hAnsi="Times New Roman"/>
                <w:iCs/>
                <w:kern w:val="1"/>
                <w:sz w:val="20"/>
                <w:szCs w:val="20"/>
                <w:lang w:val="tr-TR"/>
              </w:rPr>
              <w:t>LHE</w:t>
            </w:r>
          </w:p>
        </w:tc>
        <w:tc>
          <w:tcPr>
            <w:tcW w:w="2977" w:type="dxa"/>
            <w:tcBorders>
              <w:top w:val="nil"/>
              <w:left w:val="nil"/>
              <w:bottom w:val="nil"/>
              <w:right w:val="nil"/>
            </w:tcBorders>
          </w:tcPr>
          <w:p w14:paraId="50D94082" w14:textId="679E402C" w:rsidR="00B261DF" w:rsidRPr="00500470" w:rsidRDefault="00B261DF"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-0,0096  </w:t>
            </w:r>
          </w:p>
          <w:p w14:paraId="678BA57D" w14:textId="409F0FB3" w:rsidR="0071548C" w:rsidRPr="00500470" w:rsidRDefault="00B261DF"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(0,0053)***</w:t>
            </w:r>
          </w:p>
        </w:tc>
        <w:tc>
          <w:tcPr>
            <w:tcW w:w="3119" w:type="dxa"/>
            <w:tcBorders>
              <w:top w:val="nil"/>
              <w:left w:val="nil"/>
              <w:bottom w:val="nil"/>
              <w:right w:val="nil"/>
            </w:tcBorders>
          </w:tcPr>
          <w:p w14:paraId="1263B474" w14:textId="77777777" w:rsidR="0071548C" w:rsidRPr="00500470" w:rsidRDefault="0071548C" w:rsidP="00D8497A">
            <w:pPr>
              <w:suppressLineNumbers/>
              <w:rPr>
                <w:rFonts w:ascii="Times New Roman" w:eastAsia="DejaVu Sans" w:hAnsi="Times New Roman"/>
                <w:iCs/>
                <w:kern w:val="1"/>
                <w:sz w:val="20"/>
                <w:szCs w:val="20"/>
                <w:lang w:val="tr-TR"/>
              </w:rPr>
            </w:pPr>
          </w:p>
        </w:tc>
      </w:tr>
      <w:tr w:rsidR="0071548C" w:rsidRPr="00500470" w14:paraId="653D3AF7" w14:textId="160E6F34" w:rsidTr="00D234A3">
        <w:trPr>
          <w:trHeight w:val="261"/>
        </w:trPr>
        <w:tc>
          <w:tcPr>
            <w:tcW w:w="2268" w:type="dxa"/>
            <w:tcBorders>
              <w:top w:val="nil"/>
              <w:left w:val="nil"/>
              <w:bottom w:val="nil"/>
              <w:right w:val="nil"/>
            </w:tcBorders>
          </w:tcPr>
          <w:p w14:paraId="2C9DA4E9" w14:textId="1F51E1D8" w:rsidR="0071548C" w:rsidRPr="00500470" w:rsidRDefault="0071548C"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rPr>
              <w:t>∆</w:t>
            </w:r>
            <w:r w:rsidR="00E44FC5" w:rsidRPr="00500470">
              <w:rPr>
                <w:rFonts w:ascii="Times New Roman" w:eastAsia="DejaVu Sans" w:hAnsi="Times New Roman"/>
                <w:iCs/>
                <w:kern w:val="1"/>
                <w:sz w:val="20"/>
                <w:szCs w:val="20"/>
              </w:rPr>
              <w:t>L</w:t>
            </w:r>
            <w:r w:rsidR="00E44FC5" w:rsidRPr="00500470">
              <w:rPr>
                <w:rFonts w:ascii="Times New Roman" w:eastAsia="DejaVu Sans" w:hAnsi="Times New Roman"/>
                <w:iCs/>
                <w:kern w:val="1"/>
                <w:sz w:val="20"/>
                <w:szCs w:val="20"/>
                <w:lang w:val="tr-TR"/>
              </w:rPr>
              <w:t>POP</w:t>
            </w:r>
          </w:p>
        </w:tc>
        <w:tc>
          <w:tcPr>
            <w:tcW w:w="2977" w:type="dxa"/>
            <w:tcBorders>
              <w:top w:val="nil"/>
              <w:left w:val="nil"/>
              <w:bottom w:val="nil"/>
              <w:right w:val="nil"/>
            </w:tcBorders>
          </w:tcPr>
          <w:p w14:paraId="775EBDA7" w14:textId="1F102397" w:rsidR="00B261DF" w:rsidRPr="00500470" w:rsidRDefault="00B261DF"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 0,2189  </w:t>
            </w:r>
          </w:p>
          <w:p w14:paraId="36CC569C" w14:textId="1FB2C178" w:rsidR="0071548C" w:rsidRPr="00500470" w:rsidRDefault="00B261DF"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 (0,2248)</w:t>
            </w:r>
          </w:p>
        </w:tc>
        <w:tc>
          <w:tcPr>
            <w:tcW w:w="3119" w:type="dxa"/>
            <w:tcBorders>
              <w:top w:val="nil"/>
              <w:left w:val="nil"/>
              <w:bottom w:val="nil"/>
              <w:right w:val="nil"/>
            </w:tcBorders>
          </w:tcPr>
          <w:p w14:paraId="42CCE60C" w14:textId="77777777" w:rsidR="0071548C" w:rsidRPr="00500470" w:rsidRDefault="0071548C" w:rsidP="00D8497A">
            <w:pPr>
              <w:suppressLineNumbers/>
              <w:rPr>
                <w:rFonts w:ascii="Times New Roman" w:eastAsia="DejaVu Sans" w:hAnsi="Times New Roman"/>
                <w:iCs/>
                <w:kern w:val="1"/>
                <w:sz w:val="20"/>
                <w:szCs w:val="20"/>
                <w:lang w:val="tr-TR"/>
              </w:rPr>
            </w:pPr>
          </w:p>
        </w:tc>
      </w:tr>
      <w:tr w:rsidR="0071548C" w:rsidRPr="00500470" w14:paraId="5117683C" w14:textId="49A23120" w:rsidTr="00D234A3">
        <w:trPr>
          <w:trHeight w:val="188"/>
        </w:trPr>
        <w:tc>
          <w:tcPr>
            <w:tcW w:w="2268" w:type="dxa"/>
            <w:tcBorders>
              <w:top w:val="nil"/>
              <w:left w:val="nil"/>
              <w:bottom w:val="nil"/>
              <w:right w:val="nil"/>
            </w:tcBorders>
          </w:tcPr>
          <w:p w14:paraId="790C00F3" w14:textId="4E776908" w:rsidR="0071548C" w:rsidRPr="00500470" w:rsidRDefault="0071548C"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w:t>
            </w:r>
            <w:r w:rsidR="00E44FC5" w:rsidRPr="00500470">
              <w:rPr>
                <w:rFonts w:ascii="Times New Roman" w:eastAsia="DejaVu Sans" w:hAnsi="Times New Roman"/>
                <w:iCs/>
                <w:kern w:val="1"/>
                <w:sz w:val="20"/>
                <w:szCs w:val="20"/>
                <w:lang w:val="tr-TR"/>
              </w:rPr>
              <w:t>LWATER</w:t>
            </w:r>
          </w:p>
        </w:tc>
        <w:tc>
          <w:tcPr>
            <w:tcW w:w="2977" w:type="dxa"/>
            <w:tcBorders>
              <w:top w:val="nil"/>
              <w:left w:val="nil"/>
              <w:bottom w:val="nil"/>
              <w:right w:val="nil"/>
            </w:tcBorders>
          </w:tcPr>
          <w:p w14:paraId="2F391A5D" w14:textId="7270BB79" w:rsidR="00B261DF" w:rsidRPr="00500470" w:rsidRDefault="00B261DF"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-0,6264 </w:t>
            </w:r>
          </w:p>
          <w:p w14:paraId="5C8D67B5" w14:textId="009F47D7" w:rsidR="0071548C" w:rsidRPr="00500470" w:rsidRDefault="00B261DF"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 (0,4687)</w:t>
            </w:r>
          </w:p>
        </w:tc>
        <w:tc>
          <w:tcPr>
            <w:tcW w:w="3119" w:type="dxa"/>
            <w:tcBorders>
              <w:top w:val="nil"/>
              <w:left w:val="nil"/>
              <w:bottom w:val="nil"/>
              <w:right w:val="nil"/>
            </w:tcBorders>
          </w:tcPr>
          <w:p w14:paraId="09CB544D" w14:textId="2BEBCF43" w:rsidR="006229CD" w:rsidRPr="00500470" w:rsidRDefault="006229CD"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0,5777  </w:t>
            </w:r>
          </w:p>
          <w:p w14:paraId="6E437F80" w14:textId="1ADAE981" w:rsidR="0071548C" w:rsidRPr="00500470" w:rsidRDefault="006229CD"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(0,6452)</w:t>
            </w:r>
          </w:p>
        </w:tc>
      </w:tr>
      <w:tr w:rsidR="00E44FC5" w:rsidRPr="00500470" w14:paraId="434E1484" w14:textId="77777777" w:rsidTr="00D234A3">
        <w:trPr>
          <w:trHeight w:val="188"/>
        </w:trPr>
        <w:tc>
          <w:tcPr>
            <w:tcW w:w="2268" w:type="dxa"/>
            <w:tcBorders>
              <w:top w:val="nil"/>
              <w:left w:val="nil"/>
              <w:bottom w:val="nil"/>
              <w:right w:val="nil"/>
            </w:tcBorders>
          </w:tcPr>
          <w:p w14:paraId="14C2AD25" w14:textId="7B842A8A" w:rsidR="00E44FC5" w:rsidRPr="00500470" w:rsidRDefault="00E44FC5"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∆LEDU</w:t>
            </w:r>
          </w:p>
        </w:tc>
        <w:tc>
          <w:tcPr>
            <w:tcW w:w="2977" w:type="dxa"/>
            <w:tcBorders>
              <w:top w:val="nil"/>
              <w:left w:val="nil"/>
              <w:bottom w:val="nil"/>
              <w:right w:val="nil"/>
            </w:tcBorders>
          </w:tcPr>
          <w:p w14:paraId="0B79221C" w14:textId="77777777" w:rsidR="00E44FC5" w:rsidRPr="00500470" w:rsidRDefault="00E44FC5" w:rsidP="00D8497A">
            <w:pPr>
              <w:suppressLineNumbers/>
              <w:rPr>
                <w:rFonts w:ascii="Times New Roman" w:eastAsia="DejaVu Sans" w:hAnsi="Times New Roman"/>
                <w:iCs/>
                <w:kern w:val="1"/>
                <w:sz w:val="20"/>
                <w:szCs w:val="20"/>
                <w:lang w:val="tr-TR"/>
              </w:rPr>
            </w:pPr>
          </w:p>
        </w:tc>
        <w:tc>
          <w:tcPr>
            <w:tcW w:w="3119" w:type="dxa"/>
            <w:tcBorders>
              <w:top w:val="nil"/>
              <w:left w:val="nil"/>
              <w:bottom w:val="nil"/>
              <w:right w:val="nil"/>
            </w:tcBorders>
          </w:tcPr>
          <w:p w14:paraId="4E00BF6B" w14:textId="6F4C29E7" w:rsidR="006229CD" w:rsidRPr="00500470" w:rsidRDefault="006229CD"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0,0230    </w:t>
            </w:r>
          </w:p>
          <w:p w14:paraId="411E5274" w14:textId="281CCA75" w:rsidR="00E44FC5" w:rsidRPr="00500470" w:rsidRDefault="006229CD"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(0,0517)</w:t>
            </w:r>
          </w:p>
        </w:tc>
      </w:tr>
      <w:tr w:rsidR="0071548C" w:rsidRPr="00500470" w14:paraId="38DA1E5B" w14:textId="39A5FB33" w:rsidTr="00D234A3">
        <w:trPr>
          <w:trHeight w:val="265"/>
        </w:trPr>
        <w:tc>
          <w:tcPr>
            <w:tcW w:w="2268" w:type="dxa"/>
            <w:tcBorders>
              <w:top w:val="nil"/>
              <w:left w:val="nil"/>
              <w:bottom w:val="single" w:sz="4" w:space="0" w:color="auto"/>
              <w:right w:val="nil"/>
            </w:tcBorders>
          </w:tcPr>
          <w:p w14:paraId="0A06A449" w14:textId="77777777" w:rsidR="0071548C" w:rsidRPr="00500470" w:rsidRDefault="0071548C"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Sabit</w:t>
            </w:r>
          </w:p>
        </w:tc>
        <w:tc>
          <w:tcPr>
            <w:tcW w:w="2977" w:type="dxa"/>
            <w:tcBorders>
              <w:top w:val="nil"/>
              <w:left w:val="nil"/>
              <w:bottom w:val="single" w:sz="4" w:space="0" w:color="auto"/>
              <w:right w:val="nil"/>
            </w:tcBorders>
          </w:tcPr>
          <w:p w14:paraId="400EC03B" w14:textId="56B2AE5A" w:rsidR="00B261DF" w:rsidRPr="00500470" w:rsidRDefault="00B261DF"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2,0057* </w:t>
            </w:r>
          </w:p>
          <w:p w14:paraId="3BD939DE" w14:textId="12DF07FC" w:rsidR="0071548C" w:rsidRPr="00500470" w:rsidRDefault="00B261DF"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(0,5212)</w:t>
            </w:r>
          </w:p>
        </w:tc>
        <w:tc>
          <w:tcPr>
            <w:tcW w:w="3119" w:type="dxa"/>
            <w:tcBorders>
              <w:top w:val="nil"/>
              <w:left w:val="nil"/>
              <w:bottom w:val="single" w:sz="4" w:space="0" w:color="auto"/>
              <w:right w:val="nil"/>
            </w:tcBorders>
          </w:tcPr>
          <w:p w14:paraId="08046A72" w14:textId="03D6A698" w:rsidR="006229CD" w:rsidRPr="00500470" w:rsidRDefault="006229CD"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 xml:space="preserve">0,0890**   </w:t>
            </w:r>
          </w:p>
          <w:p w14:paraId="61F04048" w14:textId="36D1FBE2" w:rsidR="0071548C" w:rsidRPr="00500470" w:rsidRDefault="006229CD"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(0,0410)</w:t>
            </w:r>
          </w:p>
        </w:tc>
      </w:tr>
      <w:tr w:rsidR="00D8497A" w:rsidRPr="00500470" w14:paraId="76143945" w14:textId="12026D34" w:rsidTr="00D234A3">
        <w:trPr>
          <w:trHeight w:val="380"/>
        </w:trPr>
        <w:tc>
          <w:tcPr>
            <w:tcW w:w="5245" w:type="dxa"/>
            <w:gridSpan w:val="2"/>
            <w:tcBorders>
              <w:top w:val="single" w:sz="4" w:space="0" w:color="auto"/>
              <w:left w:val="nil"/>
              <w:bottom w:val="nil"/>
              <w:right w:val="nil"/>
            </w:tcBorders>
          </w:tcPr>
          <w:p w14:paraId="7C25050D" w14:textId="4A257C88" w:rsidR="00D8497A" w:rsidRPr="00500470" w:rsidRDefault="00D8497A"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Hausman Testi                      chi</w:t>
            </w:r>
            <w:r w:rsidRPr="00500470">
              <w:rPr>
                <w:rFonts w:ascii="Times New Roman" w:eastAsia="DejaVu Sans" w:hAnsi="Times New Roman"/>
                <w:iCs/>
                <w:kern w:val="1"/>
                <w:sz w:val="20"/>
                <w:szCs w:val="20"/>
                <w:vertAlign w:val="superscript"/>
                <w:lang w:val="tr-TR"/>
              </w:rPr>
              <w:t>2</w:t>
            </w:r>
            <w:r w:rsidRPr="00500470">
              <w:rPr>
                <w:rFonts w:ascii="Times New Roman" w:eastAsia="DejaVu Sans" w:hAnsi="Times New Roman"/>
                <w:iCs/>
                <w:kern w:val="1"/>
                <w:sz w:val="20"/>
                <w:szCs w:val="20"/>
                <w:lang w:val="tr-TR"/>
              </w:rPr>
              <w:t xml:space="preserve">=0,58  </w:t>
            </w:r>
            <w:r w:rsidR="007D329A" w:rsidRPr="00500470">
              <w:rPr>
                <w:rFonts w:ascii="Times New Roman" w:eastAsia="DejaVu Sans" w:hAnsi="Times New Roman"/>
                <w:iCs/>
                <w:kern w:val="1"/>
                <w:sz w:val="20"/>
                <w:szCs w:val="20"/>
                <w:lang w:val="tr-TR"/>
              </w:rPr>
              <w:t xml:space="preserve">  </w:t>
            </w:r>
            <w:r w:rsidRPr="00500470">
              <w:rPr>
                <w:rFonts w:ascii="Times New Roman" w:eastAsia="DejaVu Sans" w:hAnsi="Times New Roman"/>
                <w:iCs/>
                <w:kern w:val="1"/>
                <w:sz w:val="20"/>
                <w:szCs w:val="20"/>
                <w:lang w:val="tr-TR"/>
              </w:rPr>
              <w:t>Prob&gt;chi</w:t>
            </w:r>
            <w:r w:rsidRPr="00500470">
              <w:rPr>
                <w:rFonts w:ascii="Times New Roman" w:eastAsia="DejaVu Sans" w:hAnsi="Times New Roman"/>
                <w:iCs/>
                <w:kern w:val="1"/>
                <w:sz w:val="20"/>
                <w:szCs w:val="20"/>
                <w:vertAlign w:val="superscript"/>
                <w:lang w:val="tr-TR"/>
              </w:rPr>
              <w:t>2</w:t>
            </w:r>
            <w:r w:rsidRPr="00500470">
              <w:rPr>
                <w:rFonts w:ascii="Times New Roman" w:eastAsia="DejaVu Sans" w:hAnsi="Times New Roman"/>
                <w:iCs/>
                <w:kern w:val="1"/>
                <w:sz w:val="20"/>
                <w:szCs w:val="20"/>
                <w:lang w:val="tr-TR"/>
              </w:rPr>
              <w:t xml:space="preserve"> = 0,9651</w:t>
            </w:r>
          </w:p>
        </w:tc>
        <w:tc>
          <w:tcPr>
            <w:tcW w:w="3119" w:type="dxa"/>
            <w:tcBorders>
              <w:top w:val="single" w:sz="4" w:space="0" w:color="auto"/>
              <w:left w:val="nil"/>
              <w:bottom w:val="nil"/>
              <w:right w:val="nil"/>
            </w:tcBorders>
          </w:tcPr>
          <w:p w14:paraId="02241F8A" w14:textId="7B9E2F39" w:rsidR="00D8497A" w:rsidRPr="00500470" w:rsidRDefault="006F62B7" w:rsidP="00F674E3">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chi</w:t>
            </w:r>
            <w:r w:rsidRPr="00500470">
              <w:rPr>
                <w:rFonts w:ascii="Times New Roman" w:eastAsia="DejaVu Sans" w:hAnsi="Times New Roman"/>
                <w:iCs/>
                <w:kern w:val="1"/>
                <w:sz w:val="20"/>
                <w:szCs w:val="20"/>
                <w:vertAlign w:val="superscript"/>
                <w:lang w:val="tr-TR"/>
              </w:rPr>
              <w:t>2</w:t>
            </w:r>
            <w:r w:rsidR="006229CD" w:rsidRPr="00500470">
              <w:rPr>
                <w:rFonts w:ascii="Times New Roman" w:eastAsia="DejaVu Sans" w:hAnsi="Times New Roman"/>
                <w:iCs/>
                <w:kern w:val="1"/>
                <w:sz w:val="20"/>
                <w:szCs w:val="20"/>
                <w:lang w:val="en-US"/>
              </w:rPr>
              <w:t>=</w:t>
            </w:r>
            <w:r w:rsidR="006229CD" w:rsidRPr="00500470">
              <w:rPr>
                <w:rFonts w:ascii="Times New Roman" w:eastAsia="DejaVu Sans" w:hAnsi="Times New Roman"/>
                <w:iCs/>
                <w:kern w:val="1"/>
                <w:sz w:val="20"/>
                <w:szCs w:val="20"/>
                <w:lang w:val="tr-TR"/>
              </w:rPr>
              <w:t>4,</w:t>
            </w:r>
            <w:r w:rsidRPr="00500470">
              <w:rPr>
                <w:rFonts w:ascii="Times New Roman" w:eastAsia="DejaVu Sans" w:hAnsi="Times New Roman"/>
                <w:iCs/>
                <w:kern w:val="1"/>
                <w:sz w:val="20"/>
                <w:szCs w:val="20"/>
                <w:lang w:val="tr-TR"/>
              </w:rPr>
              <w:t xml:space="preserve">79 </w:t>
            </w:r>
            <w:r w:rsidR="007D329A" w:rsidRPr="00500470">
              <w:rPr>
                <w:rFonts w:ascii="Times New Roman" w:eastAsia="DejaVu Sans" w:hAnsi="Times New Roman"/>
                <w:iCs/>
                <w:kern w:val="1"/>
                <w:sz w:val="20"/>
                <w:szCs w:val="20"/>
                <w:lang w:val="tr-TR"/>
              </w:rPr>
              <w:t xml:space="preserve">     </w:t>
            </w:r>
            <w:r w:rsidRPr="00500470">
              <w:rPr>
                <w:rFonts w:ascii="Times New Roman" w:eastAsia="DejaVu Sans" w:hAnsi="Times New Roman"/>
                <w:iCs/>
                <w:kern w:val="1"/>
                <w:sz w:val="20"/>
                <w:szCs w:val="20"/>
                <w:lang w:val="tr-TR"/>
              </w:rPr>
              <w:t>Prob&gt;chi</w:t>
            </w:r>
            <w:r w:rsidRPr="00500470">
              <w:rPr>
                <w:rFonts w:ascii="Times New Roman" w:eastAsia="DejaVu Sans" w:hAnsi="Times New Roman"/>
                <w:iCs/>
                <w:kern w:val="1"/>
                <w:sz w:val="20"/>
                <w:szCs w:val="20"/>
                <w:vertAlign w:val="superscript"/>
                <w:lang w:val="tr-TR"/>
              </w:rPr>
              <w:t xml:space="preserve">2 </w:t>
            </w:r>
            <w:r w:rsidR="006229CD" w:rsidRPr="00500470">
              <w:rPr>
                <w:rFonts w:ascii="Times New Roman" w:eastAsia="DejaVu Sans" w:hAnsi="Times New Roman"/>
                <w:iCs/>
                <w:kern w:val="1"/>
                <w:sz w:val="20"/>
                <w:szCs w:val="20"/>
                <w:lang w:val="tr-TR"/>
              </w:rPr>
              <w:t>= 0,</w:t>
            </w:r>
            <w:r w:rsidRPr="00500470">
              <w:rPr>
                <w:rFonts w:ascii="Times New Roman" w:eastAsia="DejaVu Sans" w:hAnsi="Times New Roman"/>
                <w:iCs/>
                <w:kern w:val="1"/>
                <w:sz w:val="20"/>
                <w:szCs w:val="20"/>
                <w:lang w:val="tr-TR"/>
              </w:rPr>
              <w:t>1878</w:t>
            </w:r>
          </w:p>
        </w:tc>
      </w:tr>
      <w:tr w:rsidR="00D8497A" w:rsidRPr="00500470" w14:paraId="45A3D3E1" w14:textId="2BCE1844" w:rsidTr="00D234A3">
        <w:trPr>
          <w:trHeight w:val="380"/>
        </w:trPr>
        <w:tc>
          <w:tcPr>
            <w:tcW w:w="5245" w:type="dxa"/>
            <w:gridSpan w:val="2"/>
            <w:tcBorders>
              <w:top w:val="nil"/>
              <w:left w:val="nil"/>
              <w:bottom w:val="nil"/>
              <w:right w:val="nil"/>
            </w:tcBorders>
          </w:tcPr>
          <w:p w14:paraId="4312DC8D" w14:textId="3C7E1562" w:rsidR="00D8497A" w:rsidRPr="00500470" w:rsidRDefault="00D8497A"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Log Likelihood                     1330,183</w:t>
            </w:r>
          </w:p>
        </w:tc>
        <w:tc>
          <w:tcPr>
            <w:tcW w:w="3119" w:type="dxa"/>
            <w:tcBorders>
              <w:top w:val="nil"/>
              <w:left w:val="nil"/>
              <w:bottom w:val="nil"/>
              <w:right w:val="nil"/>
            </w:tcBorders>
          </w:tcPr>
          <w:p w14:paraId="1C85AF83" w14:textId="2E935A46" w:rsidR="00D8497A" w:rsidRPr="00500470" w:rsidRDefault="006229CD"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1181,</w:t>
            </w:r>
            <w:r w:rsidR="006F62B7" w:rsidRPr="00500470">
              <w:rPr>
                <w:rFonts w:ascii="Times New Roman" w:eastAsia="DejaVu Sans" w:hAnsi="Times New Roman"/>
                <w:iCs/>
                <w:kern w:val="1"/>
                <w:sz w:val="20"/>
                <w:szCs w:val="20"/>
                <w:lang w:val="tr-TR"/>
              </w:rPr>
              <w:t>123</w:t>
            </w:r>
          </w:p>
        </w:tc>
      </w:tr>
      <w:tr w:rsidR="00D8497A" w:rsidRPr="00500470" w14:paraId="4031FF23" w14:textId="30188145" w:rsidTr="00D234A3">
        <w:trPr>
          <w:trHeight w:val="380"/>
        </w:trPr>
        <w:tc>
          <w:tcPr>
            <w:tcW w:w="5245" w:type="dxa"/>
            <w:gridSpan w:val="2"/>
            <w:tcBorders>
              <w:top w:val="nil"/>
              <w:left w:val="nil"/>
              <w:bottom w:val="single" w:sz="4" w:space="0" w:color="auto"/>
              <w:right w:val="nil"/>
            </w:tcBorders>
          </w:tcPr>
          <w:p w14:paraId="703BC644" w14:textId="5961A754" w:rsidR="00D8497A" w:rsidRPr="00500470" w:rsidRDefault="00D8497A"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Gözlem sayısı                        256</w:t>
            </w:r>
          </w:p>
        </w:tc>
        <w:tc>
          <w:tcPr>
            <w:tcW w:w="3119" w:type="dxa"/>
            <w:tcBorders>
              <w:top w:val="nil"/>
              <w:left w:val="nil"/>
              <w:bottom w:val="single" w:sz="4" w:space="0" w:color="auto"/>
              <w:right w:val="nil"/>
            </w:tcBorders>
          </w:tcPr>
          <w:p w14:paraId="3724043E" w14:textId="2A59B51A" w:rsidR="00D8497A" w:rsidRPr="00500470" w:rsidRDefault="006F62B7"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256</w:t>
            </w:r>
          </w:p>
        </w:tc>
      </w:tr>
      <w:tr w:rsidR="0071548C" w:rsidRPr="00940E86" w14:paraId="02E5DA07" w14:textId="77777777" w:rsidTr="00D234A3">
        <w:trPr>
          <w:trHeight w:val="465"/>
        </w:trPr>
        <w:tc>
          <w:tcPr>
            <w:tcW w:w="8364" w:type="dxa"/>
            <w:gridSpan w:val="3"/>
            <w:tcBorders>
              <w:top w:val="single" w:sz="4" w:space="0" w:color="auto"/>
              <w:left w:val="nil"/>
              <w:bottom w:val="single" w:sz="4" w:space="0" w:color="auto"/>
              <w:right w:val="nil"/>
            </w:tcBorders>
          </w:tcPr>
          <w:p w14:paraId="27CE1854" w14:textId="3FB10A6A" w:rsidR="0071548C" w:rsidRPr="00500470" w:rsidRDefault="006539A6"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w:t>
            </w:r>
            <w:r w:rsidR="00B261DF" w:rsidRPr="00500470">
              <w:rPr>
                <w:rFonts w:ascii="Times New Roman" w:eastAsia="DejaVu Sans" w:hAnsi="Times New Roman"/>
                <w:iCs/>
                <w:kern w:val="1"/>
                <w:sz w:val="20"/>
                <w:szCs w:val="20"/>
                <w:lang w:val="tr-TR"/>
              </w:rPr>
              <w:t>,</w:t>
            </w:r>
            <w:r w:rsidR="0071548C" w:rsidRPr="00500470">
              <w:rPr>
                <w:rFonts w:ascii="Times New Roman" w:eastAsia="DejaVu Sans" w:hAnsi="Times New Roman"/>
                <w:iCs/>
                <w:kern w:val="1"/>
                <w:sz w:val="20"/>
                <w:szCs w:val="20"/>
                <w:lang w:val="tr-TR"/>
              </w:rPr>
              <w:t xml:space="preserve"> *</w:t>
            </w:r>
            <w:r w:rsidRPr="00500470">
              <w:rPr>
                <w:rFonts w:ascii="Times New Roman" w:eastAsia="DejaVu Sans" w:hAnsi="Times New Roman"/>
                <w:iCs/>
                <w:kern w:val="1"/>
                <w:sz w:val="20"/>
                <w:szCs w:val="20"/>
                <w:lang w:val="tr-TR"/>
              </w:rPr>
              <w:t>*</w:t>
            </w:r>
            <w:r w:rsidR="00B261DF" w:rsidRPr="00500470">
              <w:rPr>
                <w:rFonts w:ascii="Times New Roman" w:eastAsia="DejaVu Sans" w:hAnsi="Times New Roman"/>
                <w:iCs/>
                <w:kern w:val="1"/>
                <w:sz w:val="20"/>
                <w:szCs w:val="20"/>
                <w:lang w:val="tr-TR"/>
              </w:rPr>
              <w:t xml:space="preserve"> ve *** sırasıyla %1, </w:t>
            </w:r>
            <w:r w:rsidRPr="00500470">
              <w:rPr>
                <w:rFonts w:ascii="Times New Roman" w:eastAsia="DejaVu Sans" w:hAnsi="Times New Roman"/>
                <w:iCs/>
                <w:kern w:val="1"/>
                <w:sz w:val="20"/>
                <w:szCs w:val="20"/>
                <w:lang w:val="tr-TR"/>
              </w:rPr>
              <w:t>%5</w:t>
            </w:r>
            <w:r w:rsidR="00B261DF" w:rsidRPr="00500470">
              <w:rPr>
                <w:rFonts w:ascii="Times New Roman" w:eastAsia="DejaVu Sans" w:hAnsi="Times New Roman"/>
                <w:iCs/>
                <w:kern w:val="1"/>
                <w:sz w:val="20"/>
                <w:szCs w:val="20"/>
                <w:lang w:val="tr-TR"/>
              </w:rPr>
              <w:t xml:space="preserve"> ve %10 </w:t>
            </w:r>
            <w:r w:rsidR="0071548C" w:rsidRPr="00500470">
              <w:rPr>
                <w:rFonts w:ascii="Times New Roman" w:eastAsia="DejaVu Sans" w:hAnsi="Times New Roman"/>
                <w:iCs/>
                <w:kern w:val="1"/>
                <w:sz w:val="20"/>
                <w:szCs w:val="20"/>
                <w:lang w:val="tr-TR"/>
              </w:rPr>
              <w:t xml:space="preserve"> kritik değerlerine göre anlamlılığı göstermektedir.</w:t>
            </w:r>
          </w:p>
          <w:p w14:paraId="6E530B4F" w14:textId="1D3FB699" w:rsidR="0071548C" w:rsidRPr="00500470" w:rsidRDefault="006539A6" w:rsidP="00D8497A">
            <w:pPr>
              <w:suppressLineNumbers/>
              <w:rPr>
                <w:rFonts w:ascii="Times New Roman" w:eastAsia="DejaVu Sans" w:hAnsi="Times New Roman"/>
                <w:iCs/>
                <w:kern w:val="1"/>
                <w:sz w:val="20"/>
                <w:szCs w:val="20"/>
                <w:lang w:val="tr-TR"/>
              </w:rPr>
            </w:pPr>
            <w:r w:rsidRPr="00500470">
              <w:rPr>
                <w:rFonts w:ascii="Times New Roman" w:eastAsia="DejaVu Sans" w:hAnsi="Times New Roman"/>
                <w:iCs/>
                <w:kern w:val="1"/>
                <w:sz w:val="20"/>
                <w:szCs w:val="20"/>
                <w:lang w:val="tr-TR"/>
              </w:rPr>
              <w:t>Parantez içerisinde standart hatalar verilmiştir.</w:t>
            </w:r>
          </w:p>
        </w:tc>
      </w:tr>
    </w:tbl>
    <w:p w14:paraId="60D8A482" w14:textId="472397EF" w:rsidR="002D5834" w:rsidRDefault="002D5834" w:rsidP="000038D7">
      <w:pPr>
        <w:tabs>
          <w:tab w:val="left" w:pos="960"/>
        </w:tabs>
        <w:spacing w:line="360" w:lineRule="auto"/>
        <w:jc w:val="both"/>
        <w:rPr>
          <w:rFonts w:ascii="Times New Roman" w:hAnsi="Times New Roman" w:cs="Times New Roman"/>
          <w:sz w:val="24"/>
          <w:szCs w:val="24"/>
          <w:lang w:val="tr-TR"/>
        </w:rPr>
      </w:pPr>
    </w:p>
    <w:p w14:paraId="7E986085" w14:textId="050B4EB7" w:rsidR="00450E06" w:rsidRPr="004A47CE" w:rsidRDefault="005724FC" w:rsidP="004A47CE">
      <w:pPr>
        <w:tabs>
          <w:tab w:val="left" w:pos="960"/>
        </w:tabs>
        <w:spacing w:after="120" w:line="240" w:lineRule="auto"/>
        <w:ind w:firstLine="709"/>
        <w:jc w:val="both"/>
        <w:rPr>
          <w:rFonts w:ascii="Times New Roman" w:hAnsi="Times New Roman" w:cs="Times New Roman"/>
          <w:sz w:val="24"/>
          <w:szCs w:val="24"/>
          <w:lang w:val="tr-TR"/>
        </w:rPr>
      </w:pPr>
      <w:r w:rsidRPr="004A47CE">
        <w:rPr>
          <w:rFonts w:ascii="Times New Roman" w:hAnsi="Times New Roman" w:cs="Times New Roman"/>
          <w:sz w:val="24"/>
          <w:szCs w:val="24"/>
          <w:lang w:val="tr-TR"/>
        </w:rPr>
        <w:t>Havuzlanmış ortalama grup tahmin sonuçlarına göre her iki model için tüm değişkenlerin uzun dönem katsayıları %1 düzeyinde istatistiksel olarak anlamlı bulunmuştur.</w:t>
      </w:r>
      <w:r w:rsidR="00FF57B2" w:rsidRPr="004A47CE">
        <w:rPr>
          <w:rFonts w:ascii="Times New Roman" w:hAnsi="Times New Roman" w:cs="Times New Roman"/>
          <w:sz w:val="24"/>
          <w:szCs w:val="24"/>
          <w:lang w:val="tr-TR"/>
        </w:rPr>
        <w:t xml:space="preserve"> İ</w:t>
      </w:r>
      <w:r w:rsidR="00214E46" w:rsidRPr="004A47CE">
        <w:rPr>
          <w:rFonts w:ascii="Times New Roman" w:hAnsi="Times New Roman" w:cs="Times New Roman"/>
          <w:sz w:val="24"/>
          <w:szCs w:val="24"/>
          <w:lang w:val="tr-TR"/>
        </w:rPr>
        <w:t>ktisadi büyümenin kadın ve erkeklerin</w:t>
      </w:r>
      <w:r w:rsidR="00EC0874" w:rsidRPr="004A47CE">
        <w:rPr>
          <w:rFonts w:ascii="Times New Roman" w:hAnsi="Times New Roman" w:cs="Times New Roman"/>
          <w:sz w:val="24"/>
          <w:szCs w:val="24"/>
          <w:lang w:val="tr-TR"/>
        </w:rPr>
        <w:t xml:space="preserve"> yaşam beklentisini pozitif yönde etkilediği </w:t>
      </w:r>
      <w:r w:rsidR="00214E46" w:rsidRPr="004A47CE">
        <w:rPr>
          <w:rFonts w:ascii="Times New Roman" w:hAnsi="Times New Roman" w:cs="Times New Roman"/>
          <w:sz w:val="24"/>
          <w:szCs w:val="24"/>
          <w:lang w:val="tr-TR"/>
        </w:rPr>
        <w:t>görülmektedir. İktisadi büyümedeki % 1’lik artış kadın ve erkeklerin yaş</w:t>
      </w:r>
      <w:r w:rsidR="00B40A1D" w:rsidRPr="004A47CE">
        <w:rPr>
          <w:rFonts w:ascii="Times New Roman" w:hAnsi="Times New Roman" w:cs="Times New Roman"/>
          <w:sz w:val="24"/>
          <w:szCs w:val="24"/>
          <w:lang w:val="tr-TR"/>
        </w:rPr>
        <w:t>am beklentisini sırasıyla % 0,02</w:t>
      </w:r>
      <w:r w:rsidR="00214E46" w:rsidRPr="004A47CE">
        <w:rPr>
          <w:rFonts w:ascii="Times New Roman" w:hAnsi="Times New Roman" w:cs="Times New Roman"/>
          <w:sz w:val="24"/>
          <w:szCs w:val="24"/>
          <w:lang w:val="tr-TR"/>
        </w:rPr>
        <w:t xml:space="preserve"> ve % 0,06 oranında iyileştireceği söylenebilir. </w:t>
      </w:r>
      <w:r w:rsidR="00450E06" w:rsidRPr="004A47CE">
        <w:rPr>
          <w:rFonts w:ascii="Times New Roman" w:hAnsi="Times New Roman" w:cs="Times New Roman"/>
          <w:sz w:val="24"/>
          <w:szCs w:val="24"/>
          <w:lang w:val="tr-TR"/>
        </w:rPr>
        <w:t>İktisadi büyümenin yaşam beklen</w:t>
      </w:r>
      <w:r w:rsidR="005A7742" w:rsidRPr="004A47CE">
        <w:rPr>
          <w:rFonts w:ascii="Times New Roman" w:hAnsi="Times New Roman" w:cs="Times New Roman"/>
          <w:sz w:val="24"/>
          <w:szCs w:val="24"/>
          <w:lang w:val="tr-TR"/>
        </w:rPr>
        <w:t xml:space="preserve">tisini iyileştirmesi </w:t>
      </w:r>
      <w:r w:rsidR="00450E06" w:rsidRPr="004A47CE">
        <w:rPr>
          <w:rFonts w:ascii="Times New Roman" w:hAnsi="Times New Roman" w:cs="Times New Roman"/>
          <w:sz w:val="24"/>
          <w:szCs w:val="24"/>
          <w:lang w:val="tr-TR"/>
        </w:rPr>
        <w:t xml:space="preserve">şöyle açıklanabilir: </w:t>
      </w:r>
      <w:r w:rsidR="003F22BB" w:rsidRPr="004A47CE">
        <w:rPr>
          <w:rFonts w:ascii="Times New Roman" w:hAnsi="Times New Roman" w:cs="Times New Roman"/>
          <w:sz w:val="24"/>
          <w:szCs w:val="24"/>
          <w:lang w:val="tr-TR"/>
        </w:rPr>
        <w:t>Yüksek büyüme oranları genellikle yatırımları teşvik eder ve bireylerin periyodik sağlık kontrolleri</w:t>
      </w:r>
      <w:r w:rsidR="00691661" w:rsidRPr="004A47CE">
        <w:rPr>
          <w:rFonts w:ascii="Times New Roman" w:hAnsi="Times New Roman" w:cs="Times New Roman"/>
          <w:sz w:val="24"/>
          <w:szCs w:val="24"/>
          <w:lang w:val="tr-TR"/>
        </w:rPr>
        <w:t>ne gitmelerine</w:t>
      </w:r>
      <w:r w:rsidR="003F22BB" w:rsidRPr="004A47CE">
        <w:rPr>
          <w:rFonts w:ascii="Times New Roman" w:hAnsi="Times New Roman" w:cs="Times New Roman"/>
          <w:sz w:val="24"/>
          <w:szCs w:val="24"/>
          <w:lang w:val="tr-TR"/>
        </w:rPr>
        <w:t>, hayat sigortasına yatırım yapma</w:t>
      </w:r>
      <w:r w:rsidR="00691661" w:rsidRPr="004A47CE">
        <w:rPr>
          <w:rFonts w:ascii="Times New Roman" w:hAnsi="Times New Roman" w:cs="Times New Roman"/>
          <w:sz w:val="24"/>
          <w:szCs w:val="24"/>
          <w:lang w:val="tr-TR"/>
        </w:rPr>
        <w:t>larına</w:t>
      </w:r>
      <w:r w:rsidR="003F22BB" w:rsidRPr="004A47CE">
        <w:rPr>
          <w:rFonts w:ascii="Times New Roman" w:hAnsi="Times New Roman" w:cs="Times New Roman"/>
          <w:sz w:val="24"/>
          <w:szCs w:val="24"/>
          <w:lang w:val="tr-TR"/>
        </w:rPr>
        <w:t xml:space="preserve"> veya yaşam tarzlarını iyileştirme</w:t>
      </w:r>
      <w:r w:rsidR="00691661" w:rsidRPr="004A47CE">
        <w:rPr>
          <w:rFonts w:ascii="Times New Roman" w:hAnsi="Times New Roman" w:cs="Times New Roman"/>
          <w:sz w:val="24"/>
          <w:szCs w:val="24"/>
          <w:lang w:val="tr-TR"/>
        </w:rPr>
        <w:t xml:space="preserve">lerine yönelik </w:t>
      </w:r>
      <w:r w:rsidR="009264F2" w:rsidRPr="004A47CE">
        <w:rPr>
          <w:rFonts w:ascii="Times New Roman" w:hAnsi="Times New Roman" w:cs="Times New Roman"/>
          <w:sz w:val="24"/>
          <w:szCs w:val="24"/>
          <w:lang w:val="tr-TR"/>
        </w:rPr>
        <w:t>faaliyetler</w:t>
      </w:r>
      <w:r w:rsidR="00691661" w:rsidRPr="004A47CE">
        <w:rPr>
          <w:rFonts w:ascii="Times New Roman" w:hAnsi="Times New Roman" w:cs="Times New Roman"/>
          <w:sz w:val="24"/>
          <w:szCs w:val="24"/>
          <w:lang w:val="tr-TR"/>
        </w:rPr>
        <w:t>e</w:t>
      </w:r>
      <w:r w:rsidR="003F22BB" w:rsidRPr="004A47CE">
        <w:rPr>
          <w:rFonts w:ascii="Times New Roman" w:hAnsi="Times New Roman" w:cs="Times New Roman"/>
          <w:sz w:val="24"/>
          <w:szCs w:val="24"/>
          <w:lang w:val="tr-TR"/>
        </w:rPr>
        <w:t xml:space="preserve"> d</w:t>
      </w:r>
      <w:r w:rsidR="009264F2" w:rsidRPr="004A47CE">
        <w:rPr>
          <w:rFonts w:ascii="Times New Roman" w:hAnsi="Times New Roman" w:cs="Times New Roman"/>
          <w:sz w:val="24"/>
          <w:szCs w:val="24"/>
          <w:lang w:val="tr-TR"/>
        </w:rPr>
        <w:t>aha fazla finansal kaynak sağlamalarına neden olur.</w:t>
      </w:r>
      <w:r w:rsidR="003F22BB" w:rsidRPr="004A47CE">
        <w:rPr>
          <w:rFonts w:ascii="Times New Roman" w:hAnsi="Times New Roman" w:cs="Times New Roman"/>
          <w:sz w:val="24"/>
          <w:szCs w:val="24"/>
          <w:lang w:val="tr-TR"/>
        </w:rPr>
        <w:t xml:space="preserve"> Diğer yandan iktisadi büyümenin beşeri sermayeyi </w:t>
      </w:r>
      <w:r w:rsidR="00691661" w:rsidRPr="004A47CE">
        <w:rPr>
          <w:rFonts w:ascii="Times New Roman" w:hAnsi="Times New Roman" w:cs="Times New Roman"/>
          <w:sz w:val="24"/>
          <w:szCs w:val="24"/>
          <w:lang w:val="tr-TR"/>
        </w:rPr>
        <w:t xml:space="preserve">teşvik etmesiyle yaşam beklentisi üzerinde dolaylı etkisi de gözlemlenmektedir. </w:t>
      </w:r>
      <w:r w:rsidR="00B40A1D" w:rsidRPr="004A47CE">
        <w:rPr>
          <w:rFonts w:ascii="Times New Roman" w:hAnsi="Times New Roman" w:cs="Times New Roman"/>
          <w:sz w:val="24"/>
          <w:szCs w:val="24"/>
          <w:lang w:val="tr-TR"/>
        </w:rPr>
        <w:t>Bu konuda yapılmış ö</w:t>
      </w:r>
      <w:r w:rsidR="00A62CDA" w:rsidRPr="004A47CE">
        <w:rPr>
          <w:rFonts w:ascii="Times New Roman" w:hAnsi="Times New Roman" w:cs="Times New Roman"/>
          <w:sz w:val="24"/>
          <w:szCs w:val="24"/>
          <w:lang w:val="tr-TR"/>
        </w:rPr>
        <w:t>nceki ça</w:t>
      </w:r>
      <w:r w:rsidR="00691661" w:rsidRPr="004A47CE">
        <w:rPr>
          <w:rFonts w:ascii="Times New Roman" w:hAnsi="Times New Roman" w:cs="Times New Roman"/>
          <w:sz w:val="24"/>
          <w:szCs w:val="24"/>
          <w:lang w:val="tr-TR"/>
        </w:rPr>
        <w:t>lışmalar</w:t>
      </w:r>
      <w:r w:rsidR="00B40A1D" w:rsidRPr="004A47CE">
        <w:rPr>
          <w:rFonts w:ascii="Times New Roman" w:hAnsi="Times New Roman" w:cs="Times New Roman"/>
          <w:sz w:val="24"/>
          <w:szCs w:val="24"/>
          <w:lang w:val="tr-TR"/>
        </w:rPr>
        <w:t xml:space="preserve">da </w:t>
      </w:r>
      <w:r w:rsidR="00691661" w:rsidRPr="004A47CE">
        <w:rPr>
          <w:rFonts w:ascii="Times New Roman" w:hAnsi="Times New Roman" w:cs="Times New Roman"/>
          <w:sz w:val="24"/>
          <w:szCs w:val="24"/>
          <w:lang w:val="tr-TR"/>
        </w:rPr>
        <w:t>iktisadi büyüme</w:t>
      </w:r>
      <w:r w:rsidR="00A62CDA" w:rsidRPr="004A47CE">
        <w:rPr>
          <w:rFonts w:ascii="Times New Roman" w:hAnsi="Times New Roman" w:cs="Times New Roman"/>
          <w:sz w:val="24"/>
          <w:szCs w:val="24"/>
          <w:lang w:val="tr-TR"/>
        </w:rPr>
        <w:t>nin</w:t>
      </w:r>
      <w:r w:rsidR="00691661" w:rsidRPr="004A47CE">
        <w:rPr>
          <w:rFonts w:ascii="Times New Roman" w:hAnsi="Times New Roman" w:cs="Times New Roman"/>
          <w:sz w:val="24"/>
          <w:szCs w:val="24"/>
          <w:lang w:val="tr-TR"/>
        </w:rPr>
        <w:t xml:space="preserve"> sağlık ve eğitimin iyileştirilmesin</w:t>
      </w:r>
      <w:r w:rsidR="00A62CDA" w:rsidRPr="004A47CE">
        <w:rPr>
          <w:rFonts w:ascii="Times New Roman" w:hAnsi="Times New Roman" w:cs="Times New Roman"/>
          <w:sz w:val="24"/>
          <w:szCs w:val="24"/>
          <w:lang w:val="tr-TR"/>
        </w:rPr>
        <w:t>d</w:t>
      </w:r>
      <w:r w:rsidR="005A7742" w:rsidRPr="004A47CE">
        <w:rPr>
          <w:rFonts w:ascii="Times New Roman" w:hAnsi="Times New Roman" w:cs="Times New Roman"/>
          <w:sz w:val="24"/>
          <w:szCs w:val="24"/>
          <w:lang w:val="tr-TR"/>
        </w:rPr>
        <w:t>e</w:t>
      </w:r>
      <w:r w:rsidR="00691661" w:rsidRPr="004A47CE">
        <w:rPr>
          <w:rFonts w:ascii="Times New Roman" w:hAnsi="Times New Roman" w:cs="Times New Roman"/>
          <w:sz w:val="24"/>
          <w:szCs w:val="24"/>
          <w:lang w:val="tr-TR"/>
        </w:rPr>
        <w:t xml:space="preserve"> </w:t>
      </w:r>
      <w:r w:rsidR="00A62CDA" w:rsidRPr="004A47CE">
        <w:rPr>
          <w:rFonts w:ascii="Times New Roman" w:hAnsi="Times New Roman" w:cs="Times New Roman"/>
          <w:sz w:val="24"/>
          <w:szCs w:val="24"/>
          <w:lang w:val="tr-TR"/>
        </w:rPr>
        <w:t>mevcut kaynaklara katkıda</w:t>
      </w:r>
      <w:r w:rsidR="00B40A1D" w:rsidRPr="004A47CE">
        <w:rPr>
          <w:rFonts w:ascii="Times New Roman" w:hAnsi="Times New Roman" w:cs="Times New Roman"/>
          <w:sz w:val="24"/>
          <w:szCs w:val="24"/>
          <w:lang w:val="tr-TR"/>
        </w:rPr>
        <w:t xml:space="preserve"> bulunduğu ortaya konulmuştur </w:t>
      </w:r>
      <w:r w:rsidR="00A62CDA" w:rsidRPr="004A47CE">
        <w:rPr>
          <w:rFonts w:ascii="Times New Roman" w:hAnsi="Times New Roman" w:cs="Times New Roman"/>
          <w:sz w:val="24"/>
          <w:szCs w:val="24"/>
          <w:lang w:val="tr-TR"/>
        </w:rPr>
        <w:t>(Olimpia, 2013).</w:t>
      </w:r>
      <w:r w:rsidR="009264F2" w:rsidRPr="004A47CE">
        <w:rPr>
          <w:rFonts w:ascii="Times New Roman" w:hAnsi="Times New Roman" w:cs="Times New Roman"/>
          <w:sz w:val="24"/>
          <w:szCs w:val="24"/>
          <w:lang w:val="tr-TR"/>
        </w:rPr>
        <w:t xml:space="preserve"> Miladinov (</w:t>
      </w:r>
      <w:r w:rsidR="00B40A1D" w:rsidRPr="004A47CE">
        <w:rPr>
          <w:rFonts w:ascii="Times New Roman" w:hAnsi="Times New Roman" w:cs="Times New Roman"/>
          <w:sz w:val="24"/>
          <w:szCs w:val="24"/>
          <w:lang w:val="tr-TR"/>
        </w:rPr>
        <w:t xml:space="preserve">2020) kişi başına GSYİH’yı sosyo-ekonomik kalkınmanın göstergesi olarak kullandığı çalışmasında milli gelirin yaşam beklentisini iyileştireceğine dair bulgular elde etmiştir. </w:t>
      </w:r>
      <w:r w:rsidR="00F82ED1" w:rsidRPr="004A47CE">
        <w:rPr>
          <w:rFonts w:ascii="Times New Roman" w:hAnsi="Times New Roman" w:cs="Times New Roman"/>
          <w:sz w:val="24"/>
          <w:szCs w:val="24"/>
          <w:lang w:val="tr-TR"/>
        </w:rPr>
        <w:t>Çalışmamızdan elde edilen sonuçlara göre iktisadi büyümenin sağlığı</w:t>
      </w:r>
      <w:r w:rsidR="000038D7" w:rsidRPr="004A47CE">
        <w:rPr>
          <w:rFonts w:ascii="Times New Roman" w:hAnsi="Times New Roman" w:cs="Times New Roman"/>
          <w:sz w:val="24"/>
          <w:szCs w:val="24"/>
          <w:lang w:val="tr-TR"/>
        </w:rPr>
        <w:t xml:space="preserve"> pozit</w:t>
      </w:r>
      <w:r w:rsidR="00F82ED1" w:rsidRPr="004A47CE">
        <w:rPr>
          <w:rFonts w:ascii="Times New Roman" w:hAnsi="Times New Roman" w:cs="Times New Roman"/>
          <w:sz w:val="24"/>
          <w:szCs w:val="24"/>
          <w:lang w:val="tr-TR"/>
        </w:rPr>
        <w:t>if yönde etkilediği söylenebilir</w:t>
      </w:r>
      <w:r w:rsidR="000038D7" w:rsidRPr="004A47CE">
        <w:rPr>
          <w:rFonts w:ascii="Times New Roman" w:hAnsi="Times New Roman" w:cs="Times New Roman"/>
          <w:sz w:val="24"/>
          <w:szCs w:val="24"/>
          <w:lang w:val="tr-TR"/>
        </w:rPr>
        <w:t>.</w:t>
      </w:r>
    </w:p>
    <w:p w14:paraId="6A4C7A6E" w14:textId="439C7753" w:rsidR="00A62CDA" w:rsidRPr="004A47CE" w:rsidRDefault="00A62CDA" w:rsidP="004A47CE">
      <w:pPr>
        <w:tabs>
          <w:tab w:val="left" w:pos="960"/>
        </w:tabs>
        <w:spacing w:after="120" w:line="240" w:lineRule="auto"/>
        <w:ind w:firstLine="709"/>
        <w:jc w:val="both"/>
        <w:rPr>
          <w:rFonts w:ascii="Times New Roman" w:hAnsi="Times New Roman" w:cs="Times New Roman"/>
          <w:sz w:val="24"/>
          <w:szCs w:val="24"/>
          <w:lang w:val="tr-TR"/>
        </w:rPr>
      </w:pPr>
      <w:r w:rsidRPr="004A47CE">
        <w:rPr>
          <w:rFonts w:ascii="Times New Roman" w:hAnsi="Times New Roman" w:cs="Times New Roman"/>
          <w:sz w:val="24"/>
          <w:szCs w:val="24"/>
          <w:lang w:val="tr-TR"/>
        </w:rPr>
        <w:t>Sağlık harcamalarının kadın yaşam süresini anlamlı düzeyde etkilediği</w:t>
      </w:r>
      <w:r w:rsidR="004F26EA" w:rsidRPr="004A47CE">
        <w:rPr>
          <w:rFonts w:ascii="Times New Roman" w:hAnsi="Times New Roman" w:cs="Times New Roman"/>
          <w:sz w:val="24"/>
          <w:szCs w:val="24"/>
          <w:lang w:val="tr-TR"/>
        </w:rPr>
        <w:t xml:space="preserve"> görülmektedir. </w:t>
      </w:r>
      <w:r w:rsidR="00F82ED1" w:rsidRPr="004A47CE">
        <w:rPr>
          <w:rFonts w:ascii="Times New Roman" w:hAnsi="Times New Roman" w:cs="Times New Roman"/>
          <w:sz w:val="24"/>
          <w:szCs w:val="24"/>
          <w:lang w:val="tr-TR"/>
        </w:rPr>
        <w:t>Sağlık harcamaların</w:t>
      </w:r>
      <w:r w:rsidR="00B40A1D" w:rsidRPr="004A47CE">
        <w:rPr>
          <w:rFonts w:ascii="Times New Roman" w:hAnsi="Times New Roman" w:cs="Times New Roman"/>
          <w:sz w:val="24"/>
          <w:szCs w:val="24"/>
          <w:lang w:val="tr-TR"/>
        </w:rPr>
        <w:t xml:space="preserve">da meydana gelen % 1’lik artış yaşam beklentisini % 0,02 </w:t>
      </w:r>
      <w:r w:rsidR="00F82ED1" w:rsidRPr="004A47CE">
        <w:rPr>
          <w:rFonts w:ascii="Times New Roman" w:hAnsi="Times New Roman" w:cs="Times New Roman"/>
          <w:sz w:val="24"/>
          <w:szCs w:val="24"/>
          <w:lang w:val="tr-TR"/>
        </w:rPr>
        <w:t xml:space="preserve">oranında </w:t>
      </w:r>
      <w:r w:rsidR="00B40A1D" w:rsidRPr="004A47CE">
        <w:rPr>
          <w:rFonts w:ascii="Times New Roman" w:hAnsi="Times New Roman" w:cs="Times New Roman"/>
          <w:sz w:val="24"/>
          <w:szCs w:val="24"/>
          <w:lang w:val="tr-TR"/>
        </w:rPr>
        <w:t>art</w:t>
      </w:r>
      <w:r w:rsidR="00F82ED1" w:rsidRPr="004A47CE">
        <w:rPr>
          <w:rFonts w:ascii="Times New Roman" w:hAnsi="Times New Roman" w:cs="Times New Roman"/>
          <w:sz w:val="24"/>
          <w:szCs w:val="24"/>
          <w:lang w:val="tr-TR"/>
        </w:rPr>
        <w:t>tıracağı gözlemlenmektedir</w:t>
      </w:r>
      <w:r w:rsidR="00B40A1D" w:rsidRPr="004A47CE">
        <w:rPr>
          <w:rFonts w:ascii="Times New Roman" w:hAnsi="Times New Roman" w:cs="Times New Roman"/>
          <w:sz w:val="24"/>
          <w:szCs w:val="24"/>
          <w:lang w:val="tr-TR"/>
        </w:rPr>
        <w:t xml:space="preserve">. Sağlık </w:t>
      </w:r>
      <w:r w:rsidR="00A749EB" w:rsidRPr="004A47CE">
        <w:rPr>
          <w:rFonts w:ascii="Times New Roman" w:hAnsi="Times New Roman" w:cs="Times New Roman"/>
          <w:sz w:val="24"/>
          <w:szCs w:val="24"/>
          <w:lang w:val="tr-TR"/>
        </w:rPr>
        <w:t>harcamalarının yaşam beklentisi üzerindeki etkisi ya pozitif ya</w:t>
      </w:r>
      <w:r w:rsidR="00F674E3" w:rsidRPr="004A47CE">
        <w:rPr>
          <w:rFonts w:ascii="Times New Roman" w:hAnsi="Times New Roman" w:cs="Times New Roman"/>
          <w:sz w:val="24"/>
          <w:szCs w:val="24"/>
          <w:lang w:val="tr-TR"/>
        </w:rPr>
        <w:t xml:space="preserve"> </w:t>
      </w:r>
      <w:r w:rsidR="00A749EB" w:rsidRPr="004A47CE">
        <w:rPr>
          <w:rFonts w:ascii="Times New Roman" w:hAnsi="Times New Roman" w:cs="Times New Roman"/>
          <w:sz w:val="24"/>
          <w:szCs w:val="24"/>
          <w:lang w:val="tr-TR"/>
        </w:rPr>
        <w:t xml:space="preserve">da negatif yönde olabilmektedir. </w:t>
      </w:r>
      <w:r w:rsidR="004F26EA" w:rsidRPr="004A47CE">
        <w:rPr>
          <w:rFonts w:ascii="Times New Roman" w:hAnsi="Times New Roman" w:cs="Times New Roman"/>
          <w:sz w:val="24"/>
          <w:szCs w:val="24"/>
          <w:lang w:val="tr-TR"/>
        </w:rPr>
        <w:t>Bir yandan, kişi b</w:t>
      </w:r>
      <w:r w:rsidR="00A749EB" w:rsidRPr="004A47CE">
        <w:rPr>
          <w:rFonts w:ascii="Times New Roman" w:hAnsi="Times New Roman" w:cs="Times New Roman"/>
          <w:sz w:val="24"/>
          <w:szCs w:val="24"/>
          <w:lang w:val="tr-TR"/>
        </w:rPr>
        <w:t xml:space="preserve">aşına sağlık harcamalarının </w:t>
      </w:r>
      <w:r w:rsidR="004F26EA" w:rsidRPr="004A47CE">
        <w:rPr>
          <w:rFonts w:ascii="Times New Roman" w:hAnsi="Times New Roman" w:cs="Times New Roman"/>
          <w:sz w:val="24"/>
          <w:szCs w:val="24"/>
          <w:lang w:val="tr-TR"/>
        </w:rPr>
        <w:t>yüksek olması s</w:t>
      </w:r>
      <w:r w:rsidR="00A749EB" w:rsidRPr="004A47CE">
        <w:rPr>
          <w:rFonts w:ascii="Times New Roman" w:hAnsi="Times New Roman" w:cs="Times New Roman"/>
          <w:sz w:val="24"/>
          <w:szCs w:val="24"/>
          <w:lang w:val="tr-TR"/>
        </w:rPr>
        <w:t xml:space="preserve">ağlık tesislerinin sunumunu arttırır ve böylece </w:t>
      </w:r>
      <w:r w:rsidR="004F26EA" w:rsidRPr="004A47CE">
        <w:rPr>
          <w:rFonts w:ascii="Times New Roman" w:hAnsi="Times New Roman" w:cs="Times New Roman"/>
          <w:sz w:val="24"/>
          <w:szCs w:val="24"/>
          <w:lang w:val="tr-TR"/>
        </w:rPr>
        <w:t xml:space="preserve">yaşam beklentisini iyileştirmeye yardımcı olabilir. </w:t>
      </w:r>
      <w:r w:rsidR="00A749EB" w:rsidRPr="004A47CE">
        <w:rPr>
          <w:rFonts w:ascii="Times New Roman" w:hAnsi="Times New Roman" w:cs="Times New Roman"/>
          <w:sz w:val="24"/>
          <w:szCs w:val="24"/>
          <w:lang w:val="tr-TR"/>
        </w:rPr>
        <w:t>Diğer yandan eğer sağlık h</w:t>
      </w:r>
      <w:r w:rsidR="004F26EA" w:rsidRPr="004A47CE">
        <w:rPr>
          <w:rFonts w:ascii="Times New Roman" w:hAnsi="Times New Roman" w:cs="Times New Roman"/>
          <w:sz w:val="24"/>
          <w:szCs w:val="24"/>
          <w:lang w:val="tr-TR"/>
        </w:rPr>
        <w:t>arcamalar</w:t>
      </w:r>
      <w:r w:rsidR="00A749EB" w:rsidRPr="004A47CE">
        <w:rPr>
          <w:rFonts w:ascii="Times New Roman" w:hAnsi="Times New Roman" w:cs="Times New Roman"/>
          <w:sz w:val="24"/>
          <w:szCs w:val="24"/>
          <w:lang w:val="tr-TR"/>
        </w:rPr>
        <w:t xml:space="preserve">ı bireylerin </w:t>
      </w:r>
      <w:r w:rsidR="004F26EA" w:rsidRPr="004A47CE">
        <w:rPr>
          <w:rFonts w:ascii="Times New Roman" w:hAnsi="Times New Roman" w:cs="Times New Roman"/>
          <w:sz w:val="24"/>
          <w:szCs w:val="24"/>
          <w:lang w:val="tr-TR"/>
        </w:rPr>
        <w:t>ücretlerinden veya vergilerden toplanan gelirlerle karşılanırsa ve ücretler ve vergi ödemeleri gıda, giyecek ve barınma gibi bireysel koruyucu sağlık bakımları pahasına yapılırsa olumsuz bir etki ort</w:t>
      </w:r>
      <w:r w:rsidR="00FA1029" w:rsidRPr="004A47CE">
        <w:rPr>
          <w:rFonts w:ascii="Times New Roman" w:hAnsi="Times New Roman" w:cs="Times New Roman"/>
          <w:sz w:val="24"/>
          <w:szCs w:val="24"/>
          <w:lang w:val="tr-TR"/>
        </w:rPr>
        <w:t xml:space="preserve">aya çıkabilir. </w:t>
      </w:r>
      <w:r w:rsidR="004F26EA" w:rsidRPr="004A47CE">
        <w:rPr>
          <w:rFonts w:ascii="Times New Roman" w:hAnsi="Times New Roman" w:cs="Times New Roman"/>
          <w:sz w:val="24"/>
          <w:szCs w:val="24"/>
          <w:lang w:val="tr-TR"/>
        </w:rPr>
        <w:t xml:space="preserve">Bu durumda, </w:t>
      </w:r>
      <w:r w:rsidR="00A749EB" w:rsidRPr="004A47CE">
        <w:rPr>
          <w:rFonts w:ascii="Times New Roman" w:hAnsi="Times New Roman" w:cs="Times New Roman"/>
          <w:sz w:val="24"/>
          <w:szCs w:val="24"/>
          <w:lang w:val="tr-TR"/>
        </w:rPr>
        <w:t xml:space="preserve">sağlık harcamalarındaki </w:t>
      </w:r>
      <w:r w:rsidR="004F26EA" w:rsidRPr="004A47CE">
        <w:rPr>
          <w:rFonts w:ascii="Times New Roman" w:hAnsi="Times New Roman" w:cs="Times New Roman"/>
          <w:sz w:val="24"/>
          <w:szCs w:val="24"/>
          <w:lang w:val="tr-TR"/>
        </w:rPr>
        <w:t>artışın marjinal etkisi koruyucu sağlık hizmetlerinden vazgeçilen faydaları telafi edecek kadar yüksek olmadıkça, değ</w:t>
      </w:r>
      <w:r w:rsidR="00A749EB" w:rsidRPr="004A47CE">
        <w:rPr>
          <w:rFonts w:ascii="Times New Roman" w:hAnsi="Times New Roman" w:cs="Times New Roman"/>
          <w:sz w:val="24"/>
          <w:szCs w:val="24"/>
          <w:lang w:val="tr-TR"/>
        </w:rPr>
        <w:t xml:space="preserve">işken için negatif bir katsayı elde etmek mümkündür </w:t>
      </w:r>
      <w:r w:rsidR="004F26EA" w:rsidRPr="004A47CE">
        <w:rPr>
          <w:rFonts w:ascii="Times New Roman" w:hAnsi="Times New Roman" w:cs="Times New Roman"/>
          <w:sz w:val="24"/>
          <w:szCs w:val="24"/>
          <w:lang w:val="tr-TR"/>
        </w:rPr>
        <w:t>(Fayissa ve Gutema,</w:t>
      </w:r>
      <w:r w:rsidR="00A749EB" w:rsidRPr="004A47CE">
        <w:rPr>
          <w:rFonts w:ascii="Times New Roman" w:hAnsi="Times New Roman" w:cs="Times New Roman"/>
          <w:sz w:val="24"/>
          <w:szCs w:val="24"/>
          <w:lang w:val="tr-TR"/>
        </w:rPr>
        <w:t xml:space="preserve"> </w:t>
      </w:r>
      <w:r w:rsidR="004F26EA" w:rsidRPr="004A47CE">
        <w:rPr>
          <w:rFonts w:ascii="Times New Roman" w:hAnsi="Times New Roman" w:cs="Times New Roman"/>
          <w:sz w:val="24"/>
          <w:szCs w:val="24"/>
          <w:lang w:val="tr-TR"/>
        </w:rPr>
        <w:t>2005)</w:t>
      </w:r>
      <w:r w:rsidR="00A749EB" w:rsidRPr="004A47CE">
        <w:rPr>
          <w:rFonts w:ascii="Times New Roman" w:hAnsi="Times New Roman" w:cs="Times New Roman"/>
          <w:sz w:val="24"/>
          <w:szCs w:val="24"/>
          <w:lang w:val="tr-TR"/>
        </w:rPr>
        <w:t>.</w:t>
      </w:r>
    </w:p>
    <w:p w14:paraId="09F41746" w14:textId="75E13AE0" w:rsidR="00A749EB" w:rsidRPr="004A47CE" w:rsidRDefault="00A73A78" w:rsidP="004A47CE">
      <w:pPr>
        <w:tabs>
          <w:tab w:val="left" w:pos="960"/>
        </w:tabs>
        <w:spacing w:after="120" w:line="240" w:lineRule="auto"/>
        <w:ind w:firstLine="709"/>
        <w:jc w:val="both"/>
        <w:rPr>
          <w:rFonts w:ascii="Times New Roman" w:hAnsi="Times New Roman" w:cs="Times New Roman"/>
          <w:sz w:val="24"/>
          <w:szCs w:val="24"/>
          <w:lang w:val="tr-TR"/>
        </w:rPr>
      </w:pPr>
      <w:r w:rsidRPr="004A47CE">
        <w:rPr>
          <w:rFonts w:ascii="Times New Roman" w:hAnsi="Times New Roman" w:cs="Times New Roman"/>
          <w:sz w:val="24"/>
          <w:szCs w:val="24"/>
          <w:lang w:val="tr-TR"/>
        </w:rPr>
        <w:lastRenderedPageBreak/>
        <w:t>Sağlık harcamalarının cinsiyete göre etkisini inceleyen çalışmaların bazılarında kadın yaşam beklenti</w:t>
      </w:r>
      <w:r w:rsidR="00E338F0" w:rsidRPr="004A47CE">
        <w:rPr>
          <w:rFonts w:ascii="Times New Roman" w:hAnsi="Times New Roman" w:cs="Times New Roman"/>
          <w:sz w:val="24"/>
          <w:szCs w:val="24"/>
          <w:lang w:val="tr-TR"/>
        </w:rPr>
        <w:t>sini</w:t>
      </w:r>
      <w:r w:rsidRPr="004A47CE">
        <w:rPr>
          <w:rFonts w:ascii="Times New Roman" w:hAnsi="Times New Roman" w:cs="Times New Roman"/>
          <w:sz w:val="24"/>
          <w:szCs w:val="24"/>
          <w:lang w:val="tr-TR"/>
        </w:rPr>
        <w:t xml:space="preserve"> daha kuvvetli etkilediği</w:t>
      </w:r>
      <w:r w:rsidR="00E338F0" w:rsidRPr="004A47CE">
        <w:rPr>
          <w:rFonts w:ascii="Times New Roman" w:hAnsi="Times New Roman" w:cs="Times New Roman"/>
          <w:sz w:val="24"/>
          <w:szCs w:val="24"/>
          <w:lang w:val="tr-TR"/>
        </w:rPr>
        <w:t xml:space="preserve"> vurgulanırken</w:t>
      </w:r>
      <w:r w:rsidRPr="004A47CE">
        <w:rPr>
          <w:rFonts w:ascii="Times New Roman" w:hAnsi="Times New Roman" w:cs="Times New Roman"/>
          <w:sz w:val="24"/>
          <w:szCs w:val="24"/>
          <w:lang w:val="tr-TR"/>
        </w:rPr>
        <w:t xml:space="preserve"> (</w:t>
      </w:r>
      <w:r w:rsidR="00493E95" w:rsidRPr="004A47CE">
        <w:rPr>
          <w:rFonts w:ascii="Times New Roman" w:hAnsi="Times New Roman" w:cs="Times New Roman"/>
          <w:sz w:val="24"/>
          <w:szCs w:val="24"/>
          <w:lang w:val="tr-TR"/>
        </w:rPr>
        <w:t xml:space="preserve">Ivaschenko, 2005), </w:t>
      </w:r>
      <w:r w:rsidRPr="004A47CE">
        <w:rPr>
          <w:rFonts w:ascii="Times New Roman" w:hAnsi="Times New Roman" w:cs="Times New Roman"/>
          <w:sz w:val="24"/>
          <w:szCs w:val="24"/>
          <w:lang w:val="tr-TR"/>
        </w:rPr>
        <w:t>diğerler</w:t>
      </w:r>
      <w:r w:rsidR="00E338F0" w:rsidRPr="004A47CE">
        <w:rPr>
          <w:rFonts w:ascii="Times New Roman" w:hAnsi="Times New Roman" w:cs="Times New Roman"/>
          <w:sz w:val="24"/>
          <w:szCs w:val="24"/>
          <w:lang w:val="tr-TR"/>
        </w:rPr>
        <w:t xml:space="preserve">inde tam tersi </w:t>
      </w:r>
      <w:r w:rsidR="00A749EB" w:rsidRPr="004A47CE">
        <w:rPr>
          <w:rFonts w:ascii="Times New Roman" w:hAnsi="Times New Roman" w:cs="Times New Roman"/>
          <w:sz w:val="24"/>
          <w:szCs w:val="24"/>
          <w:lang w:val="tr-TR"/>
        </w:rPr>
        <w:t>erkekler üzerinde daha etkili olduğu ortaya konulmuştur</w:t>
      </w:r>
      <w:r w:rsidR="00E338F0" w:rsidRPr="004A47CE">
        <w:rPr>
          <w:rFonts w:ascii="Times New Roman" w:hAnsi="Times New Roman" w:cs="Times New Roman"/>
          <w:sz w:val="24"/>
          <w:szCs w:val="24"/>
          <w:lang w:val="tr-TR"/>
        </w:rPr>
        <w:t xml:space="preserve"> </w:t>
      </w:r>
      <w:r w:rsidRPr="004A47CE">
        <w:rPr>
          <w:rFonts w:ascii="Times New Roman" w:hAnsi="Times New Roman" w:cs="Times New Roman"/>
          <w:sz w:val="24"/>
          <w:szCs w:val="24"/>
          <w:lang w:val="tr-TR"/>
        </w:rPr>
        <w:t xml:space="preserve">(Crémieux </w:t>
      </w:r>
      <w:r w:rsidR="00E071F1">
        <w:rPr>
          <w:rFonts w:ascii="Times New Roman" w:hAnsi="Times New Roman" w:cs="Times New Roman"/>
          <w:sz w:val="24"/>
          <w:szCs w:val="24"/>
          <w:lang w:val="tr-TR"/>
        </w:rPr>
        <w:t>ve diğ.</w:t>
      </w:r>
      <w:r w:rsidR="00E338F0" w:rsidRPr="004A47CE">
        <w:rPr>
          <w:rFonts w:ascii="Times New Roman" w:hAnsi="Times New Roman" w:cs="Times New Roman"/>
          <w:sz w:val="24"/>
          <w:szCs w:val="24"/>
          <w:lang w:val="tr-TR"/>
        </w:rPr>
        <w:t xml:space="preserve"> 1999). Bunların yanı</w:t>
      </w:r>
      <w:r w:rsidR="003C382A" w:rsidRPr="004A47CE">
        <w:rPr>
          <w:rFonts w:ascii="Times New Roman" w:hAnsi="Times New Roman" w:cs="Times New Roman"/>
          <w:sz w:val="24"/>
          <w:szCs w:val="24"/>
          <w:lang w:val="tr-TR"/>
        </w:rPr>
        <w:t xml:space="preserve"> </w:t>
      </w:r>
      <w:r w:rsidR="00E338F0" w:rsidRPr="004A47CE">
        <w:rPr>
          <w:rFonts w:ascii="Times New Roman" w:hAnsi="Times New Roman" w:cs="Times New Roman"/>
          <w:sz w:val="24"/>
          <w:szCs w:val="24"/>
          <w:lang w:val="tr-TR"/>
        </w:rPr>
        <w:t xml:space="preserve">sıra cinsiyete göre farklılık gözetilmediğini ileri süren çalışmalara da rastlanmaktadır </w:t>
      </w:r>
      <w:r w:rsidRPr="004A47CE">
        <w:rPr>
          <w:rFonts w:ascii="Times New Roman" w:hAnsi="Times New Roman" w:cs="Times New Roman"/>
          <w:sz w:val="24"/>
          <w:szCs w:val="24"/>
          <w:lang w:val="tr-TR"/>
        </w:rPr>
        <w:t>(Nixon ve</w:t>
      </w:r>
      <w:r w:rsidR="00493E95" w:rsidRPr="004A47CE">
        <w:rPr>
          <w:rFonts w:ascii="Times New Roman" w:hAnsi="Times New Roman" w:cs="Times New Roman"/>
          <w:sz w:val="24"/>
          <w:szCs w:val="24"/>
          <w:lang w:val="tr-TR"/>
        </w:rPr>
        <w:t xml:space="preserve"> Ulmann, 2006).  </w:t>
      </w:r>
      <w:r w:rsidR="00A749EB" w:rsidRPr="004A47CE">
        <w:rPr>
          <w:rFonts w:ascii="Times New Roman" w:hAnsi="Times New Roman" w:cs="Times New Roman"/>
          <w:sz w:val="24"/>
          <w:szCs w:val="24"/>
          <w:lang w:val="tr-TR"/>
        </w:rPr>
        <w:t>Dünya Sağlık Örgütü (2011) sağlığın en önemli belirleyicilerinin çoğu sağlık sisteminin dışın</w:t>
      </w:r>
      <w:r w:rsidR="00AC6672" w:rsidRPr="004A47CE">
        <w:rPr>
          <w:rFonts w:ascii="Times New Roman" w:hAnsi="Times New Roman" w:cs="Times New Roman"/>
          <w:sz w:val="24"/>
          <w:szCs w:val="24"/>
          <w:lang w:val="tr-TR"/>
        </w:rPr>
        <w:t>da olduğunu öne sürmüştür. Tı</w:t>
      </w:r>
      <w:r w:rsidR="005F1226" w:rsidRPr="004A47CE">
        <w:rPr>
          <w:rFonts w:ascii="Times New Roman" w:hAnsi="Times New Roman" w:cs="Times New Roman"/>
          <w:sz w:val="24"/>
          <w:szCs w:val="24"/>
          <w:lang w:val="tr-TR"/>
        </w:rPr>
        <w:t>bbi bakım sağlık çıktı</w:t>
      </w:r>
      <w:r w:rsidR="00AC6672" w:rsidRPr="004A47CE">
        <w:rPr>
          <w:rFonts w:ascii="Times New Roman" w:hAnsi="Times New Roman" w:cs="Times New Roman"/>
          <w:sz w:val="24"/>
          <w:szCs w:val="24"/>
          <w:lang w:val="tr-TR"/>
        </w:rPr>
        <w:t>sındaki varyansın sadece</w:t>
      </w:r>
      <w:r w:rsidR="00FF57B2" w:rsidRPr="004A47CE">
        <w:rPr>
          <w:rFonts w:ascii="Times New Roman" w:hAnsi="Times New Roman" w:cs="Times New Roman"/>
          <w:sz w:val="24"/>
          <w:szCs w:val="24"/>
          <w:lang w:val="tr-TR"/>
        </w:rPr>
        <w:t xml:space="preserve"> </w:t>
      </w:r>
      <w:r w:rsidR="00AC6672" w:rsidRPr="004A47CE">
        <w:rPr>
          <w:rFonts w:ascii="Times New Roman" w:hAnsi="Times New Roman" w:cs="Times New Roman"/>
          <w:sz w:val="24"/>
          <w:szCs w:val="24"/>
          <w:lang w:val="tr-TR"/>
        </w:rPr>
        <w:t xml:space="preserve">% 10'unu açıklarken, sağlık hizmetleri dışındaki davranışsal ve sosyal faktörler yaklaşık % 50'sini açıkladığı vurgulanmaktadır </w:t>
      </w:r>
      <w:r w:rsidR="00E071F1">
        <w:rPr>
          <w:rFonts w:ascii="Times New Roman" w:hAnsi="Times New Roman" w:cs="Times New Roman"/>
          <w:sz w:val="24"/>
          <w:szCs w:val="24"/>
          <w:lang w:val="tr-TR"/>
        </w:rPr>
        <w:t>(Kaplan ve diğ.</w:t>
      </w:r>
      <w:r w:rsidR="00AC6672" w:rsidRPr="004A47CE">
        <w:rPr>
          <w:rFonts w:ascii="Times New Roman" w:hAnsi="Times New Roman" w:cs="Times New Roman"/>
          <w:sz w:val="24"/>
          <w:szCs w:val="24"/>
          <w:lang w:val="tr-TR"/>
        </w:rPr>
        <w:t xml:space="preserve"> 2014). </w:t>
      </w:r>
      <w:r w:rsidR="005F1226" w:rsidRPr="004A47CE">
        <w:rPr>
          <w:rFonts w:ascii="Times New Roman" w:hAnsi="Times New Roman" w:cs="Times New Roman"/>
          <w:sz w:val="24"/>
          <w:szCs w:val="24"/>
          <w:lang w:val="tr-TR"/>
        </w:rPr>
        <w:t>Çalış</w:t>
      </w:r>
      <w:r w:rsidR="00AC6672" w:rsidRPr="004A47CE">
        <w:rPr>
          <w:rFonts w:ascii="Times New Roman" w:hAnsi="Times New Roman" w:cs="Times New Roman"/>
          <w:sz w:val="24"/>
          <w:szCs w:val="24"/>
          <w:lang w:val="tr-TR"/>
        </w:rPr>
        <w:t>mamızdan elde edilen sonuçlar sağlık harcamaları katsayısının düşük değer aldığın</w:t>
      </w:r>
      <w:r w:rsidR="00F82ED1" w:rsidRPr="004A47CE">
        <w:rPr>
          <w:rFonts w:ascii="Times New Roman" w:hAnsi="Times New Roman" w:cs="Times New Roman"/>
          <w:sz w:val="24"/>
          <w:szCs w:val="24"/>
          <w:lang w:val="tr-TR"/>
        </w:rPr>
        <w:t xml:space="preserve">ı göstermektedir. </w:t>
      </w:r>
      <w:r w:rsidR="00AC6672" w:rsidRPr="004A47CE">
        <w:rPr>
          <w:rFonts w:ascii="Times New Roman" w:hAnsi="Times New Roman" w:cs="Times New Roman"/>
          <w:sz w:val="24"/>
          <w:szCs w:val="24"/>
          <w:lang w:val="tr-TR"/>
        </w:rPr>
        <w:t>Diğer bir dey</w:t>
      </w:r>
      <w:r w:rsidR="005F1226" w:rsidRPr="004A47CE">
        <w:rPr>
          <w:rFonts w:ascii="Times New Roman" w:hAnsi="Times New Roman" w:cs="Times New Roman"/>
          <w:sz w:val="24"/>
          <w:szCs w:val="24"/>
          <w:lang w:val="tr-TR"/>
        </w:rPr>
        <w:t>i</w:t>
      </w:r>
      <w:r w:rsidR="00AC6672" w:rsidRPr="004A47CE">
        <w:rPr>
          <w:rFonts w:ascii="Times New Roman" w:hAnsi="Times New Roman" w:cs="Times New Roman"/>
          <w:sz w:val="24"/>
          <w:szCs w:val="24"/>
          <w:lang w:val="tr-TR"/>
        </w:rPr>
        <w:t xml:space="preserve">şle sağlık harcamalarının yaşam beklentisi üzerindeki </w:t>
      </w:r>
      <w:r w:rsidR="005F1226" w:rsidRPr="004A47CE">
        <w:rPr>
          <w:rFonts w:ascii="Times New Roman" w:hAnsi="Times New Roman" w:cs="Times New Roman"/>
          <w:sz w:val="24"/>
          <w:szCs w:val="24"/>
          <w:lang w:val="tr-TR"/>
        </w:rPr>
        <w:t xml:space="preserve">olası </w:t>
      </w:r>
      <w:r w:rsidR="00AC6672" w:rsidRPr="004A47CE">
        <w:rPr>
          <w:rFonts w:ascii="Times New Roman" w:hAnsi="Times New Roman" w:cs="Times New Roman"/>
          <w:sz w:val="24"/>
          <w:szCs w:val="24"/>
          <w:lang w:val="tr-TR"/>
        </w:rPr>
        <w:t xml:space="preserve">etkisinin </w:t>
      </w:r>
      <w:r w:rsidR="005F1226" w:rsidRPr="004A47CE">
        <w:rPr>
          <w:rFonts w:ascii="Times New Roman" w:hAnsi="Times New Roman" w:cs="Times New Roman"/>
          <w:sz w:val="24"/>
          <w:szCs w:val="24"/>
          <w:lang w:val="tr-TR"/>
        </w:rPr>
        <w:t>düşük olduğuna işaret etmektedir.</w:t>
      </w:r>
    </w:p>
    <w:p w14:paraId="7286F474" w14:textId="460F9D5D" w:rsidR="005A7742" w:rsidRPr="004A47CE" w:rsidRDefault="005F1226" w:rsidP="004A47CE">
      <w:pPr>
        <w:tabs>
          <w:tab w:val="left" w:pos="960"/>
        </w:tabs>
        <w:spacing w:after="120" w:line="240" w:lineRule="auto"/>
        <w:ind w:firstLine="709"/>
        <w:jc w:val="both"/>
        <w:rPr>
          <w:rFonts w:ascii="Times New Roman" w:hAnsi="Times New Roman" w:cs="Times New Roman"/>
          <w:sz w:val="24"/>
          <w:szCs w:val="24"/>
          <w:lang w:val="tr-TR"/>
        </w:rPr>
      </w:pPr>
      <w:r w:rsidRPr="004A47CE">
        <w:rPr>
          <w:rFonts w:ascii="Times New Roman" w:hAnsi="Times New Roman" w:cs="Times New Roman"/>
          <w:sz w:val="24"/>
          <w:szCs w:val="24"/>
          <w:lang w:val="tr-TR"/>
        </w:rPr>
        <w:t xml:space="preserve">Nüfustaki artışın sağlık üzerindeki etkisinin azaltıcı yönde olduğu görülmektedir. </w:t>
      </w:r>
      <w:r w:rsidR="00EA1B88" w:rsidRPr="004A47CE">
        <w:rPr>
          <w:rFonts w:ascii="Times New Roman" w:hAnsi="Times New Roman" w:cs="Times New Roman"/>
          <w:sz w:val="24"/>
          <w:szCs w:val="24"/>
          <w:lang w:val="tr-TR"/>
        </w:rPr>
        <w:t xml:space="preserve">Diğer bir deyişle </w:t>
      </w:r>
      <w:r w:rsidR="005E0C56" w:rsidRPr="004A47CE">
        <w:rPr>
          <w:rFonts w:ascii="Times New Roman" w:hAnsi="Times New Roman" w:cs="Times New Roman"/>
          <w:sz w:val="24"/>
          <w:szCs w:val="24"/>
          <w:lang w:val="tr-TR"/>
        </w:rPr>
        <w:t>nüfustaki % 1’lik artışın yaşam beklentisini % 0,25 oranında azalt</w:t>
      </w:r>
      <w:r w:rsidR="00730FD0" w:rsidRPr="004A47CE">
        <w:rPr>
          <w:rFonts w:ascii="Times New Roman" w:hAnsi="Times New Roman" w:cs="Times New Roman"/>
          <w:sz w:val="24"/>
          <w:szCs w:val="24"/>
          <w:lang w:val="tr-TR"/>
        </w:rPr>
        <w:t>a</w:t>
      </w:r>
      <w:r w:rsidR="00FF57B2" w:rsidRPr="004A47CE">
        <w:rPr>
          <w:rFonts w:ascii="Times New Roman" w:hAnsi="Times New Roman" w:cs="Times New Roman"/>
          <w:sz w:val="24"/>
          <w:szCs w:val="24"/>
          <w:lang w:val="tr-TR"/>
        </w:rPr>
        <w:t>cağ</w:t>
      </w:r>
      <w:r w:rsidR="005E0C56" w:rsidRPr="004A47CE">
        <w:rPr>
          <w:rFonts w:ascii="Times New Roman" w:hAnsi="Times New Roman" w:cs="Times New Roman"/>
          <w:sz w:val="24"/>
          <w:szCs w:val="24"/>
          <w:lang w:val="tr-TR"/>
        </w:rPr>
        <w:t>ı söylenebilir. Nüfusun sağlık üzerindeki etkisi ya azaltıcı ya da arttırıcı yönde olabilmektedir. Olumlu etkisi şöyle açıklanabilir: Nüfus artışı teknolojik gelişmeleri ve yenilikleri teşvik e</w:t>
      </w:r>
      <w:r w:rsidR="00FF57B2" w:rsidRPr="004A47CE">
        <w:rPr>
          <w:rFonts w:ascii="Times New Roman" w:hAnsi="Times New Roman" w:cs="Times New Roman"/>
          <w:sz w:val="24"/>
          <w:szCs w:val="24"/>
          <w:lang w:val="tr-TR"/>
        </w:rPr>
        <w:t>tmektedir.</w:t>
      </w:r>
      <w:r w:rsidR="005E0C56" w:rsidRPr="004A47CE">
        <w:rPr>
          <w:rFonts w:ascii="Times New Roman" w:hAnsi="Times New Roman" w:cs="Times New Roman"/>
          <w:sz w:val="24"/>
          <w:szCs w:val="24"/>
          <w:lang w:val="tr-TR"/>
        </w:rPr>
        <w:t xml:space="preserve"> Bunun nedeni, nüfus artışının ticari faaliyetlerde rekabeti teşvik etmesi ve nüfus ile birlikte potansiyel pazarın genişlemesine yol açmasıdır. Pazarın genişlemesi, girişimcileri yeni işler kurmaya yöneltecek</w:t>
      </w:r>
      <w:r w:rsidR="008A4089" w:rsidRPr="004A47CE">
        <w:rPr>
          <w:rFonts w:ascii="Times New Roman" w:hAnsi="Times New Roman" w:cs="Times New Roman"/>
          <w:sz w:val="24"/>
          <w:szCs w:val="24"/>
          <w:lang w:val="tr-TR"/>
        </w:rPr>
        <w:t xml:space="preserve"> (Simon, 1992)</w:t>
      </w:r>
      <w:r w:rsidR="005E0C56" w:rsidRPr="004A47CE">
        <w:rPr>
          <w:rFonts w:ascii="Times New Roman" w:hAnsi="Times New Roman" w:cs="Times New Roman"/>
          <w:sz w:val="24"/>
          <w:szCs w:val="24"/>
          <w:lang w:val="tr-TR"/>
        </w:rPr>
        <w:t>.</w:t>
      </w:r>
      <w:r w:rsidR="008A4089" w:rsidRPr="004A47CE">
        <w:rPr>
          <w:rFonts w:ascii="Times New Roman" w:hAnsi="Times New Roman" w:cs="Times New Roman"/>
          <w:sz w:val="24"/>
          <w:szCs w:val="24"/>
          <w:lang w:val="tr-TR"/>
        </w:rPr>
        <w:t xml:space="preserve"> Olumsuz etkisi </w:t>
      </w:r>
      <w:r w:rsidR="00A22B0C" w:rsidRPr="004A47CE">
        <w:rPr>
          <w:rFonts w:ascii="Times New Roman" w:hAnsi="Times New Roman" w:cs="Times New Roman"/>
          <w:sz w:val="24"/>
          <w:szCs w:val="24"/>
          <w:lang w:val="tr-TR"/>
        </w:rPr>
        <w:t xml:space="preserve">ise </w:t>
      </w:r>
      <w:r w:rsidR="008A4089" w:rsidRPr="004A47CE">
        <w:rPr>
          <w:rFonts w:ascii="Times New Roman" w:hAnsi="Times New Roman" w:cs="Times New Roman"/>
          <w:sz w:val="24"/>
          <w:szCs w:val="24"/>
          <w:lang w:val="tr-TR"/>
        </w:rPr>
        <w:t>gıda bulunabilirliği ile açıklanabilmektedir. Nüfus ne kadar büyükse, yiyecek bulunabilirliği o kadar düşük olur (Fayissa ve Gutema, 2005). Diğer taraftan, nüfustaki artış sadece gıda sorununu meydana getirm</w:t>
      </w:r>
      <w:r w:rsidR="00FF57B2" w:rsidRPr="004A47CE">
        <w:rPr>
          <w:rFonts w:ascii="Times New Roman" w:hAnsi="Times New Roman" w:cs="Times New Roman"/>
          <w:sz w:val="24"/>
          <w:szCs w:val="24"/>
          <w:lang w:val="tr-TR"/>
        </w:rPr>
        <w:t>emekte</w:t>
      </w:r>
      <w:r w:rsidR="008A4089" w:rsidRPr="004A47CE">
        <w:rPr>
          <w:rFonts w:ascii="Times New Roman" w:hAnsi="Times New Roman" w:cs="Times New Roman"/>
          <w:sz w:val="24"/>
          <w:szCs w:val="24"/>
          <w:lang w:val="tr-TR"/>
        </w:rPr>
        <w:t>, aynı zamanda tasarruf, döviz ve insan kaynaklarının gelişimine de kısıtlamalar getirdiği ileri sürülmektedir. Nüfus artışının diğer olumsuz etkileri arasında, kişi başına düşük gelirin neden olduğu yoksulluk, kıtlık ve hastalıklar örnek verilebilir. Çünkü hızlı nüfus artışı, günümüzde ihtiyaç duyulan altyapı, eğitim ve sağlık hizmetlerini sağlama ve sürdürme görevini karmaşıklaştırır ve bu da yaşam beklentisini azalt</w:t>
      </w:r>
      <w:r w:rsidR="00FF57B2" w:rsidRPr="004A47CE">
        <w:rPr>
          <w:rFonts w:ascii="Times New Roman" w:hAnsi="Times New Roman" w:cs="Times New Roman"/>
          <w:sz w:val="24"/>
          <w:szCs w:val="24"/>
          <w:lang w:val="tr-TR"/>
        </w:rPr>
        <w:t>maktad</w:t>
      </w:r>
      <w:r w:rsidR="008A4089" w:rsidRPr="004A47CE">
        <w:rPr>
          <w:rFonts w:ascii="Times New Roman" w:hAnsi="Times New Roman" w:cs="Times New Roman"/>
          <w:sz w:val="24"/>
          <w:szCs w:val="24"/>
          <w:lang w:val="tr-TR"/>
        </w:rPr>
        <w:t xml:space="preserve">ır (Mankiw </w:t>
      </w:r>
      <w:r w:rsidR="00E071F1">
        <w:rPr>
          <w:rFonts w:ascii="Times New Roman" w:hAnsi="Times New Roman" w:cs="Times New Roman"/>
          <w:sz w:val="24"/>
          <w:szCs w:val="24"/>
          <w:lang w:val="tr-TR"/>
        </w:rPr>
        <w:t>ve diğ.</w:t>
      </w:r>
      <w:r w:rsidR="008A4089" w:rsidRPr="004A47CE">
        <w:rPr>
          <w:rFonts w:ascii="Times New Roman" w:hAnsi="Times New Roman" w:cs="Times New Roman"/>
          <w:sz w:val="24"/>
          <w:szCs w:val="24"/>
          <w:lang w:val="tr-TR"/>
        </w:rPr>
        <w:t xml:space="preserve"> 1992).</w:t>
      </w:r>
      <w:r w:rsidR="008B7F0D" w:rsidRPr="004A47CE">
        <w:rPr>
          <w:rFonts w:ascii="Times New Roman" w:hAnsi="Times New Roman" w:cs="Times New Roman"/>
          <w:sz w:val="24"/>
          <w:szCs w:val="24"/>
          <w:lang w:val="tr-TR"/>
        </w:rPr>
        <w:t xml:space="preserve"> Dolayısıyla nüfus artışının beklenen yaşam süresine faydalı mı yoksa zararlı mı olduğu konusunda araştırmacılar arasında tam bir fikir birliği </w:t>
      </w:r>
      <w:r w:rsidR="00FF57B2" w:rsidRPr="004A47CE">
        <w:rPr>
          <w:rFonts w:ascii="Times New Roman" w:hAnsi="Times New Roman" w:cs="Times New Roman"/>
          <w:sz w:val="24"/>
          <w:szCs w:val="24"/>
          <w:lang w:val="tr-TR"/>
        </w:rPr>
        <w:t>bulunmamaktadır</w:t>
      </w:r>
      <w:r w:rsidR="008B7F0D" w:rsidRPr="004A47CE">
        <w:rPr>
          <w:rFonts w:ascii="Times New Roman" w:hAnsi="Times New Roman" w:cs="Times New Roman"/>
          <w:sz w:val="24"/>
          <w:szCs w:val="24"/>
          <w:lang w:val="tr-TR"/>
        </w:rPr>
        <w:t>.</w:t>
      </w:r>
      <w:r w:rsidR="00620680" w:rsidRPr="004A47CE">
        <w:rPr>
          <w:rFonts w:ascii="Times New Roman" w:hAnsi="Times New Roman" w:cs="Times New Roman"/>
          <w:sz w:val="24"/>
          <w:szCs w:val="24"/>
          <w:lang w:val="tr-TR"/>
        </w:rPr>
        <w:t xml:space="preserve"> Çalışmamızda nüfustaki artışın yaşam beklentisini azalttığına dair görüşü destekler nitelikte bulgulara ulaşılmıştır.</w:t>
      </w:r>
    </w:p>
    <w:p w14:paraId="774F114F" w14:textId="53AA792E" w:rsidR="0050329F" w:rsidRPr="004A47CE" w:rsidRDefault="008B7F0D" w:rsidP="004A47CE">
      <w:pPr>
        <w:tabs>
          <w:tab w:val="left" w:pos="960"/>
        </w:tabs>
        <w:spacing w:after="120" w:line="240" w:lineRule="auto"/>
        <w:ind w:firstLine="709"/>
        <w:jc w:val="both"/>
        <w:rPr>
          <w:rFonts w:ascii="Times New Roman" w:hAnsi="Times New Roman" w:cs="Times New Roman"/>
          <w:sz w:val="24"/>
          <w:szCs w:val="24"/>
          <w:lang w:val="tr-TR"/>
        </w:rPr>
      </w:pPr>
      <w:r w:rsidRPr="004A47CE">
        <w:rPr>
          <w:rFonts w:ascii="Times New Roman" w:hAnsi="Times New Roman" w:cs="Times New Roman"/>
          <w:sz w:val="24"/>
          <w:szCs w:val="24"/>
          <w:lang w:val="tr-TR"/>
        </w:rPr>
        <w:t xml:space="preserve">Güvenli suya erişim değişkeninin yaşam süresi üzerindeki etkisi her iki modelde </w:t>
      </w:r>
      <w:r w:rsidR="0011338F" w:rsidRPr="004A47CE">
        <w:rPr>
          <w:rFonts w:ascii="Times New Roman" w:hAnsi="Times New Roman" w:cs="Times New Roman"/>
          <w:sz w:val="24"/>
          <w:szCs w:val="24"/>
          <w:lang w:val="tr-TR"/>
        </w:rPr>
        <w:t xml:space="preserve">pozitif bulunmuştur. Diğer bir deyişle güvenli suya erişimdeki % 1’lik artışın hem kadın hem de erkek yaşam beklentisini sırasıyla % 0,25 ve % 0,36 oranında iyileştireceğine işaret etmektedir. </w:t>
      </w:r>
      <w:r w:rsidR="00B447E3" w:rsidRPr="004A47CE">
        <w:rPr>
          <w:rFonts w:ascii="Times New Roman" w:hAnsi="Times New Roman" w:cs="Times New Roman"/>
          <w:sz w:val="24"/>
          <w:szCs w:val="24"/>
          <w:lang w:val="tr-TR"/>
        </w:rPr>
        <w:t>Guli</w:t>
      </w:r>
      <w:r w:rsidR="00F65823" w:rsidRPr="004A47CE">
        <w:rPr>
          <w:rFonts w:ascii="Times New Roman" w:hAnsi="Times New Roman" w:cs="Times New Roman"/>
          <w:sz w:val="24"/>
          <w:szCs w:val="24"/>
          <w:lang w:val="tr-TR"/>
        </w:rPr>
        <w:t>s (2000)</w:t>
      </w:r>
      <w:r w:rsidR="000273A4" w:rsidRPr="004A47CE">
        <w:rPr>
          <w:rFonts w:ascii="Times New Roman" w:hAnsi="Times New Roman" w:cs="Times New Roman"/>
          <w:sz w:val="24"/>
          <w:szCs w:val="24"/>
          <w:lang w:val="tr-TR"/>
        </w:rPr>
        <w:t xml:space="preserve"> tarafından yapılan çalışmada eğitim ve güvenli suya erişimin yaşam beklentisi üzerinde kuvvetli etkisinin söz konusu olduğu sonucu ortaya konulmuştur</w:t>
      </w:r>
      <w:r w:rsidR="00F457A1" w:rsidRPr="004A47CE">
        <w:rPr>
          <w:rFonts w:ascii="Times New Roman" w:hAnsi="Times New Roman" w:cs="Times New Roman"/>
          <w:sz w:val="24"/>
          <w:szCs w:val="24"/>
          <w:lang w:val="tr-TR"/>
        </w:rPr>
        <w:t>.</w:t>
      </w:r>
      <w:r w:rsidR="00FF57B2" w:rsidRPr="004A47CE">
        <w:rPr>
          <w:rFonts w:ascii="Times New Roman" w:hAnsi="Times New Roman" w:cs="Times New Roman"/>
          <w:sz w:val="24"/>
          <w:szCs w:val="24"/>
          <w:lang w:val="tr-TR"/>
        </w:rPr>
        <w:t xml:space="preserve"> </w:t>
      </w:r>
      <w:r w:rsidR="00F457A1" w:rsidRPr="004A47CE">
        <w:rPr>
          <w:rFonts w:ascii="Times New Roman" w:hAnsi="Times New Roman" w:cs="Times New Roman"/>
          <w:sz w:val="24"/>
          <w:szCs w:val="24"/>
          <w:lang w:val="tr-TR"/>
        </w:rPr>
        <w:t>Yaşam bek</w:t>
      </w:r>
      <w:r w:rsidR="00620680" w:rsidRPr="004A47CE">
        <w:rPr>
          <w:rFonts w:ascii="Times New Roman" w:hAnsi="Times New Roman" w:cs="Times New Roman"/>
          <w:sz w:val="24"/>
          <w:szCs w:val="24"/>
          <w:lang w:val="tr-TR"/>
        </w:rPr>
        <w:t xml:space="preserve">lentisindeki değişimin yaklaşık </w:t>
      </w:r>
      <w:r w:rsidR="000273A4" w:rsidRPr="004A47CE">
        <w:rPr>
          <w:rFonts w:ascii="Times New Roman" w:hAnsi="Times New Roman" w:cs="Times New Roman"/>
          <w:sz w:val="24"/>
          <w:szCs w:val="24"/>
          <w:lang w:val="tr-TR"/>
        </w:rPr>
        <w:t xml:space="preserve">% 37’si bu iki </w:t>
      </w:r>
      <w:r w:rsidR="00007C37" w:rsidRPr="004A47CE">
        <w:rPr>
          <w:rFonts w:ascii="Times New Roman" w:hAnsi="Times New Roman" w:cs="Times New Roman"/>
          <w:sz w:val="24"/>
          <w:szCs w:val="24"/>
          <w:lang w:val="tr-TR"/>
        </w:rPr>
        <w:t>değişken tarafından açıklandığı</w:t>
      </w:r>
      <w:r w:rsidR="000273A4" w:rsidRPr="004A47CE">
        <w:rPr>
          <w:rFonts w:ascii="Times New Roman" w:hAnsi="Times New Roman" w:cs="Times New Roman"/>
          <w:sz w:val="24"/>
          <w:szCs w:val="24"/>
          <w:lang w:val="tr-TR"/>
        </w:rPr>
        <w:t xml:space="preserve"> </w:t>
      </w:r>
      <w:r w:rsidR="00F457A1" w:rsidRPr="004A47CE">
        <w:rPr>
          <w:rFonts w:ascii="Times New Roman" w:hAnsi="Times New Roman" w:cs="Times New Roman"/>
          <w:sz w:val="24"/>
          <w:szCs w:val="24"/>
          <w:lang w:val="tr-TR"/>
        </w:rPr>
        <w:t>vurgulanmıştır.</w:t>
      </w:r>
      <w:r w:rsidR="00620680" w:rsidRPr="004A47CE">
        <w:rPr>
          <w:rFonts w:ascii="Times New Roman" w:hAnsi="Times New Roman" w:cs="Times New Roman"/>
          <w:sz w:val="24"/>
          <w:szCs w:val="24"/>
          <w:lang w:val="tr-TR"/>
        </w:rPr>
        <w:t xml:space="preserve"> </w:t>
      </w:r>
      <w:r w:rsidR="0050329F" w:rsidRPr="004A47CE">
        <w:rPr>
          <w:rFonts w:ascii="Times New Roman" w:hAnsi="Times New Roman" w:cs="Times New Roman"/>
          <w:sz w:val="24"/>
          <w:szCs w:val="24"/>
          <w:lang w:val="tr-TR"/>
        </w:rPr>
        <w:t xml:space="preserve">Temiz ve güvenli suya erişimin sağlık üzerindeki etkisi inanılmaz büyüktür. </w:t>
      </w:r>
      <w:r w:rsidR="002D1959" w:rsidRPr="004A47CE">
        <w:rPr>
          <w:rFonts w:ascii="Times New Roman" w:hAnsi="Times New Roman" w:cs="Times New Roman"/>
          <w:sz w:val="24"/>
          <w:szCs w:val="24"/>
          <w:lang w:val="tr-TR"/>
        </w:rPr>
        <w:t>Gelişmekte olan ülkelerdeki hastane yataklarının yaklaşık yüzde 50'sinin su ve sanitasyonla ilgili hastalıklardan muzdarip insanlar tarafından işgal edildiği ta</w:t>
      </w:r>
      <w:r w:rsidR="00F65823" w:rsidRPr="004A47CE">
        <w:rPr>
          <w:rFonts w:ascii="Times New Roman" w:hAnsi="Times New Roman" w:cs="Times New Roman"/>
          <w:sz w:val="24"/>
          <w:szCs w:val="24"/>
          <w:lang w:val="tr-TR"/>
        </w:rPr>
        <w:t xml:space="preserve">hmin edilmektedir. </w:t>
      </w:r>
      <w:r w:rsidR="0050329F" w:rsidRPr="004A47CE">
        <w:rPr>
          <w:rFonts w:ascii="Times New Roman" w:hAnsi="Times New Roman" w:cs="Times New Roman"/>
          <w:sz w:val="24"/>
          <w:szCs w:val="24"/>
          <w:lang w:val="tr-TR"/>
        </w:rPr>
        <w:t xml:space="preserve">Yeterli, temiz ve güvenli suya erişimin olmaması, </w:t>
      </w:r>
      <w:r w:rsidR="002D1959" w:rsidRPr="004A47CE">
        <w:rPr>
          <w:rFonts w:ascii="Times New Roman" w:hAnsi="Times New Roman" w:cs="Times New Roman"/>
          <w:sz w:val="24"/>
          <w:szCs w:val="24"/>
          <w:lang w:val="tr-TR"/>
        </w:rPr>
        <w:t xml:space="preserve">Avustralya’da </w:t>
      </w:r>
      <w:r w:rsidR="0050329F" w:rsidRPr="004A47CE">
        <w:rPr>
          <w:rFonts w:ascii="Times New Roman" w:hAnsi="Times New Roman" w:cs="Times New Roman"/>
          <w:sz w:val="24"/>
          <w:szCs w:val="24"/>
          <w:lang w:val="tr-TR"/>
        </w:rPr>
        <w:t xml:space="preserve">kırsal ve uzak bölgede yaşayan insanlar ile </w:t>
      </w:r>
      <w:r w:rsidR="002D1959" w:rsidRPr="004A47CE">
        <w:rPr>
          <w:rFonts w:ascii="Times New Roman" w:hAnsi="Times New Roman" w:cs="Times New Roman"/>
          <w:sz w:val="24"/>
          <w:szCs w:val="24"/>
          <w:lang w:val="tr-TR"/>
        </w:rPr>
        <w:t xml:space="preserve">şehirde </w:t>
      </w:r>
      <w:r w:rsidR="0050329F" w:rsidRPr="004A47CE">
        <w:rPr>
          <w:rFonts w:ascii="Times New Roman" w:hAnsi="Times New Roman" w:cs="Times New Roman"/>
          <w:sz w:val="24"/>
          <w:szCs w:val="24"/>
          <w:lang w:val="tr-TR"/>
        </w:rPr>
        <w:t xml:space="preserve">yaşayanlar arasındaki </w:t>
      </w:r>
      <w:r w:rsidR="000273A4" w:rsidRPr="004A47CE">
        <w:rPr>
          <w:rFonts w:ascii="Times New Roman" w:hAnsi="Times New Roman" w:cs="Times New Roman"/>
          <w:sz w:val="24"/>
          <w:szCs w:val="24"/>
          <w:lang w:val="tr-TR"/>
        </w:rPr>
        <w:t>beklenen yaşam süresi</w:t>
      </w:r>
      <w:r w:rsidR="00F65823" w:rsidRPr="004A47CE">
        <w:rPr>
          <w:rFonts w:ascii="Times New Roman" w:hAnsi="Times New Roman" w:cs="Times New Roman"/>
          <w:sz w:val="24"/>
          <w:szCs w:val="24"/>
          <w:lang w:val="tr-TR"/>
        </w:rPr>
        <w:t xml:space="preserve"> farkının </w:t>
      </w:r>
      <w:r w:rsidR="0050329F" w:rsidRPr="004A47CE">
        <w:rPr>
          <w:rFonts w:ascii="Times New Roman" w:hAnsi="Times New Roman" w:cs="Times New Roman"/>
          <w:sz w:val="24"/>
          <w:szCs w:val="24"/>
          <w:lang w:val="tr-TR"/>
        </w:rPr>
        <w:t>10</w:t>
      </w:r>
      <w:r w:rsidR="00F65823" w:rsidRPr="004A47CE">
        <w:rPr>
          <w:rFonts w:ascii="Times New Roman" w:hAnsi="Times New Roman" w:cs="Times New Roman"/>
          <w:sz w:val="24"/>
          <w:szCs w:val="24"/>
          <w:lang w:val="tr-TR"/>
        </w:rPr>
        <w:t xml:space="preserve"> yıla çıkmasına neden olmuştur (QUT,</w:t>
      </w:r>
      <w:r w:rsidR="00F457A1" w:rsidRPr="004A47CE">
        <w:rPr>
          <w:rFonts w:ascii="Times New Roman" w:hAnsi="Times New Roman" w:cs="Times New Roman"/>
          <w:sz w:val="24"/>
          <w:szCs w:val="24"/>
          <w:lang w:val="tr-TR"/>
        </w:rPr>
        <w:t xml:space="preserve"> </w:t>
      </w:r>
      <w:r w:rsidR="00F65823" w:rsidRPr="004A47CE">
        <w:rPr>
          <w:rFonts w:ascii="Times New Roman" w:hAnsi="Times New Roman" w:cs="Times New Roman"/>
          <w:sz w:val="24"/>
          <w:szCs w:val="24"/>
          <w:lang w:val="tr-TR"/>
        </w:rPr>
        <w:t>2015).</w:t>
      </w:r>
      <w:r w:rsidR="00620680" w:rsidRPr="004A47CE">
        <w:rPr>
          <w:rFonts w:ascii="Times New Roman" w:hAnsi="Times New Roman" w:cs="Times New Roman"/>
          <w:sz w:val="24"/>
          <w:szCs w:val="24"/>
          <w:lang w:val="tr-TR"/>
        </w:rPr>
        <w:t xml:space="preserve"> Böylece güvenli suya erişimin </w:t>
      </w:r>
      <w:r w:rsidR="00F82ED1" w:rsidRPr="004A47CE">
        <w:rPr>
          <w:rFonts w:ascii="Times New Roman" w:hAnsi="Times New Roman" w:cs="Times New Roman"/>
          <w:sz w:val="24"/>
          <w:szCs w:val="24"/>
          <w:lang w:val="tr-TR"/>
        </w:rPr>
        <w:t xml:space="preserve">çalışmamızda </w:t>
      </w:r>
      <w:r w:rsidR="00A22B0C" w:rsidRPr="004A47CE">
        <w:rPr>
          <w:rFonts w:ascii="Times New Roman" w:hAnsi="Times New Roman" w:cs="Times New Roman"/>
          <w:sz w:val="24"/>
          <w:szCs w:val="24"/>
          <w:lang w:val="tr-TR"/>
        </w:rPr>
        <w:t xml:space="preserve">ele alınan ülkelerde </w:t>
      </w:r>
      <w:r w:rsidR="00620680" w:rsidRPr="004A47CE">
        <w:rPr>
          <w:rFonts w:ascii="Times New Roman" w:hAnsi="Times New Roman" w:cs="Times New Roman"/>
          <w:sz w:val="24"/>
          <w:szCs w:val="24"/>
          <w:lang w:val="tr-TR"/>
        </w:rPr>
        <w:t>sağlık üzerinde olumlu etkiler yaratacağı ortaya konulmaktadır.</w:t>
      </w:r>
    </w:p>
    <w:p w14:paraId="6220E553" w14:textId="027C9A70" w:rsidR="00E7750E" w:rsidRPr="004A47CE" w:rsidRDefault="004825FE" w:rsidP="004A47CE">
      <w:pPr>
        <w:tabs>
          <w:tab w:val="left" w:pos="960"/>
        </w:tabs>
        <w:spacing w:after="120" w:line="240" w:lineRule="auto"/>
        <w:ind w:firstLine="709"/>
        <w:jc w:val="both"/>
        <w:rPr>
          <w:rFonts w:ascii="Times New Roman" w:hAnsi="Times New Roman" w:cs="Times New Roman"/>
          <w:sz w:val="24"/>
          <w:szCs w:val="24"/>
          <w:lang w:val="tr-TR"/>
        </w:rPr>
      </w:pPr>
      <w:r w:rsidRPr="004A47CE">
        <w:rPr>
          <w:rFonts w:ascii="Times New Roman" w:hAnsi="Times New Roman" w:cs="Times New Roman"/>
          <w:sz w:val="24"/>
          <w:szCs w:val="24"/>
          <w:lang w:val="tr-TR"/>
        </w:rPr>
        <w:t>Son açıklayıcı değişken e</w:t>
      </w:r>
      <w:r w:rsidR="00BE54EC" w:rsidRPr="004A47CE">
        <w:rPr>
          <w:rFonts w:ascii="Times New Roman" w:hAnsi="Times New Roman" w:cs="Times New Roman"/>
          <w:sz w:val="24"/>
          <w:szCs w:val="24"/>
          <w:lang w:val="tr-TR"/>
        </w:rPr>
        <w:t>ğitimin erkeklerin yaşam beklentisi üzerindeki etkisinin arttırıcı yönde olduğu görülmektedir.</w:t>
      </w:r>
      <w:r w:rsidRPr="004A47CE">
        <w:rPr>
          <w:rFonts w:ascii="Times New Roman" w:hAnsi="Times New Roman" w:cs="Times New Roman"/>
          <w:sz w:val="24"/>
          <w:szCs w:val="24"/>
          <w:lang w:val="tr-TR"/>
        </w:rPr>
        <w:t xml:space="preserve"> Eğitimdeki % 1’lik artışın erkeklerin yaşam beklentisini % 0,21 oranında iyileştireceği söylenebilir. </w:t>
      </w:r>
      <w:r w:rsidR="0098662F" w:rsidRPr="004A47CE">
        <w:rPr>
          <w:rFonts w:ascii="Times New Roman" w:hAnsi="Times New Roman" w:cs="Times New Roman"/>
          <w:sz w:val="24"/>
          <w:szCs w:val="24"/>
          <w:lang w:val="tr-TR"/>
        </w:rPr>
        <w:t>Eğitim ve</w:t>
      </w:r>
      <w:r w:rsidRPr="004A47CE">
        <w:rPr>
          <w:rFonts w:ascii="Times New Roman" w:hAnsi="Times New Roman" w:cs="Times New Roman"/>
          <w:sz w:val="24"/>
          <w:szCs w:val="24"/>
          <w:lang w:val="tr-TR"/>
        </w:rPr>
        <w:t xml:space="preserve"> sağlık </w:t>
      </w:r>
      <w:r w:rsidR="0098662F" w:rsidRPr="004A47CE">
        <w:rPr>
          <w:rFonts w:ascii="Times New Roman" w:hAnsi="Times New Roman" w:cs="Times New Roman"/>
          <w:sz w:val="24"/>
          <w:szCs w:val="24"/>
          <w:lang w:val="tr-TR"/>
        </w:rPr>
        <w:t>arasında güçlü ve pozitif ilişki söz konusudur (Grossman ve Kaestner, 1997).</w:t>
      </w:r>
      <w:r w:rsidR="00FF5A47" w:rsidRPr="004A47CE">
        <w:rPr>
          <w:rFonts w:ascii="Times New Roman" w:hAnsi="Times New Roman" w:cs="Times New Roman"/>
          <w:sz w:val="24"/>
          <w:szCs w:val="24"/>
          <w:lang w:val="tr-TR"/>
        </w:rPr>
        <w:t xml:space="preserve"> Bu ilişkinin yönü ve gücü birçok araştırmaya konu olmuş. </w:t>
      </w:r>
      <w:r w:rsidR="00493E95" w:rsidRPr="004A47CE">
        <w:rPr>
          <w:rFonts w:ascii="Times New Roman" w:hAnsi="Times New Roman" w:cs="Times New Roman"/>
          <w:sz w:val="24"/>
          <w:szCs w:val="24"/>
          <w:lang w:val="tr-TR"/>
        </w:rPr>
        <w:t>Grossman (1972) ve diğer araştırmacılar eğitimin yaşam kalitesini etkileyen birçok kararı (iş seçimi, sağlıklı diyet seçme ve sağlıksız alışkanlıklardan kaçınma, tıbbi bakımın verimli kullanımı gibi) etkilediğini ileri sürmüşlerdir.</w:t>
      </w:r>
      <w:r w:rsidR="00CD34AF" w:rsidRPr="004A47CE">
        <w:rPr>
          <w:rFonts w:ascii="Times New Roman" w:hAnsi="Times New Roman" w:cs="Times New Roman"/>
          <w:sz w:val="24"/>
          <w:szCs w:val="24"/>
          <w:lang w:val="tr-TR"/>
        </w:rPr>
        <w:t xml:space="preserve"> </w:t>
      </w:r>
      <w:r w:rsidR="006D05A4" w:rsidRPr="004A47CE">
        <w:rPr>
          <w:rFonts w:ascii="Times New Roman" w:hAnsi="Times New Roman" w:cs="Times New Roman"/>
          <w:sz w:val="24"/>
          <w:szCs w:val="24"/>
          <w:lang w:val="tr-TR"/>
        </w:rPr>
        <w:t>Y</w:t>
      </w:r>
      <w:r w:rsidR="005A7742" w:rsidRPr="004A47CE">
        <w:rPr>
          <w:rFonts w:ascii="Times New Roman" w:hAnsi="Times New Roman" w:cs="Times New Roman"/>
          <w:sz w:val="24"/>
          <w:szCs w:val="24"/>
          <w:lang w:val="tr-TR"/>
        </w:rPr>
        <w:t xml:space="preserve">üksek eğitim, istikrarlı ve yüksek ücretli iş olanağı sağlar </w:t>
      </w:r>
      <w:r w:rsidR="006D05A4" w:rsidRPr="004A47CE">
        <w:rPr>
          <w:rFonts w:ascii="Times New Roman" w:hAnsi="Times New Roman" w:cs="Times New Roman"/>
          <w:sz w:val="24"/>
          <w:szCs w:val="24"/>
          <w:lang w:val="tr-TR"/>
        </w:rPr>
        <w:t xml:space="preserve">ve artan gelir, besleyici yiyecekler, daha kaliteli barınma ve yüksek kaliteli </w:t>
      </w:r>
      <w:r w:rsidR="006D05A4" w:rsidRPr="004A47CE">
        <w:rPr>
          <w:rFonts w:ascii="Times New Roman" w:hAnsi="Times New Roman" w:cs="Times New Roman"/>
          <w:sz w:val="24"/>
          <w:szCs w:val="24"/>
          <w:lang w:val="tr-TR"/>
        </w:rPr>
        <w:lastRenderedPageBreak/>
        <w:t>tıbbi bakım için ödeme yapılmasına yardımcı olur (Mirowsky ve Ross</w:t>
      </w:r>
      <w:r w:rsidR="00E071F1">
        <w:rPr>
          <w:rFonts w:ascii="Times New Roman" w:hAnsi="Times New Roman" w:cs="Times New Roman"/>
          <w:sz w:val="24"/>
          <w:szCs w:val="24"/>
          <w:lang w:val="tr-TR"/>
        </w:rPr>
        <w:t>,</w:t>
      </w:r>
      <w:r w:rsidR="006D05A4" w:rsidRPr="004A47CE">
        <w:rPr>
          <w:rFonts w:ascii="Times New Roman" w:hAnsi="Times New Roman" w:cs="Times New Roman"/>
          <w:sz w:val="24"/>
          <w:szCs w:val="24"/>
          <w:lang w:val="tr-TR"/>
        </w:rPr>
        <w:t xml:space="preserve"> 2003)</w:t>
      </w:r>
      <w:r w:rsidR="00DB4A4C" w:rsidRPr="004A47CE">
        <w:rPr>
          <w:rFonts w:ascii="Times New Roman" w:hAnsi="Times New Roman" w:cs="Times New Roman"/>
          <w:sz w:val="24"/>
          <w:szCs w:val="24"/>
          <w:lang w:val="tr-TR"/>
        </w:rPr>
        <w:t>.</w:t>
      </w:r>
      <w:r w:rsidR="006D05A4" w:rsidRPr="004A47CE">
        <w:rPr>
          <w:rFonts w:ascii="Times New Roman" w:hAnsi="Times New Roman" w:cs="Times New Roman"/>
          <w:sz w:val="24"/>
          <w:szCs w:val="24"/>
          <w:lang w:val="tr-TR"/>
        </w:rPr>
        <w:t xml:space="preserve"> </w:t>
      </w:r>
      <w:r w:rsidR="00E7750E" w:rsidRPr="004A47CE">
        <w:rPr>
          <w:rFonts w:ascii="Times New Roman" w:hAnsi="Times New Roman" w:cs="Times New Roman"/>
          <w:sz w:val="24"/>
          <w:szCs w:val="24"/>
          <w:lang w:val="tr-TR"/>
        </w:rPr>
        <w:t>Yüksek eğitimli kişiler</w:t>
      </w:r>
      <w:r w:rsidR="00E20983" w:rsidRPr="004A47CE">
        <w:rPr>
          <w:rFonts w:ascii="Times New Roman" w:hAnsi="Times New Roman" w:cs="Times New Roman"/>
          <w:sz w:val="24"/>
          <w:szCs w:val="24"/>
          <w:lang w:val="tr-TR"/>
        </w:rPr>
        <w:t>in</w:t>
      </w:r>
      <w:r w:rsidR="00E7750E" w:rsidRPr="004A47CE">
        <w:rPr>
          <w:rFonts w:ascii="Times New Roman" w:hAnsi="Times New Roman" w:cs="Times New Roman"/>
          <w:sz w:val="24"/>
          <w:szCs w:val="24"/>
          <w:lang w:val="tr-TR"/>
        </w:rPr>
        <w:t>, sağlıkla ilg</w:t>
      </w:r>
      <w:r w:rsidR="00E20983" w:rsidRPr="004A47CE">
        <w:rPr>
          <w:rFonts w:ascii="Times New Roman" w:hAnsi="Times New Roman" w:cs="Times New Roman"/>
          <w:sz w:val="24"/>
          <w:szCs w:val="24"/>
          <w:lang w:val="tr-TR"/>
        </w:rPr>
        <w:t xml:space="preserve">ili risk faktörlerinden kaçınma, </w:t>
      </w:r>
      <w:r w:rsidR="00E7750E" w:rsidRPr="004A47CE">
        <w:rPr>
          <w:rFonts w:ascii="Times New Roman" w:hAnsi="Times New Roman" w:cs="Times New Roman"/>
          <w:sz w:val="24"/>
          <w:szCs w:val="24"/>
          <w:lang w:val="tr-TR"/>
        </w:rPr>
        <w:t xml:space="preserve">sigarayı bırakma, alkolden uzak durma ve sık fiziksel egzersiz </w:t>
      </w:r>
      <w:r w:rsidR="00E20983" w:rsidRPr="004A47CE">
        <w:rPr>
          <w:rFonts w:ascii="Times New Roman" w:hAnsi="Times New Roman" w:cs="Times New Roman"/>
          <w:sz w:val="24"/>
          <w:szCs w:val="24"/>
          <w:lang w:val="tr-TR"/>
        </w:rPr>
        <w:t xml:space="preserve">yapma </w:t>
      </w:r>
      <w:r w:rsidR="00E7750E" w:rsidRPr="004A47CE">
        <w:rPr>
          <w:rFonts w:ascii="Times New Roman" w:hAnsi="Times New Roman" w:cs="Times New Roman"/>
          <w:sz w:val="24"/>
          <w:szCs w:val="24"/>
          <w:lang w:val="tr-TR"/>
        </w:rPr>
        <w:t>gibi sağlığı geliştirici davranışlarda bulunm</w:t>
      </w:r>
      <w:r w:rsidR="00E20983" w:rsidRPr="004A47CE">
        <w:rPr>
          <w:rFonts w:ascii="Times New Roman" w:hAnsi="Times New Roman" w:cs="Times New Roman"/>
          <w:sz w:val="24"/>
          <w:szCs w:val="24"/>
          <w:lang w:val="tr-TR"/>
        </w:rPr>
        <w:t>ak için bilgilerini</w:t>
      </w:r>
      <w:r w:rsidR="00E7750E" w:rsidRPr="004A47CE">
        <w:rPr>
          <w:rFonts w:ascii="Times New Roman" w:hAnsi="Times New Roman" w:cs="Times New Roman"/>
          <w:sz w:val="24"/>
          <w:szCs w:val="24"/>
          <w:lang w:val="tr-TR"/>
        </w:rPr>
        <w:t xml:space="preserve"> ve </w:t>
      </w:r>
      <w:r w:rsidR="00E20983" w:rsidRPr="004A47CE">
        <w:rPr>
          <w:rFonts w:ascii="Times New Roman" w:hAnsi="Times New Roman" w:cs="Times New Roman"/>
          <w:sz w:val="24"/>
          <w:szCs w:val="24"/>
          <w:lang w:val="tr-TR"/>
        </w:rPr>
        <w:t>geçmiş deneyimlerini kullandıkları ileri sürülmektedir (</w:t>
      </w:r>
      <w:r w:rsidR="00DB4A4C" w:rsidRPr="004A47CE">
        <w:rPr>
          <w:rFonts w:ascii="Times New Roman" w:hAnsi="Times New Roman" w:cs="Times New Roman"/>
          <w:sz w:val="24"/>
          <w:szCs w:val="24"/>
          <w:lang w:val="tr-TR"/>
        </w:rPr>
        <w:t xml:space="preserve">Denney </w:t>
      </w:r>
      <w:r w:rsidR="00E071F1">
        <w:rPr>
          <w:rFonts w:ascii="Times New Roman" w:hAnsi="Times New Roman" w:cs="Times New Roman"/>
          <w:sz w:val="24"/>
          <w:szCs w:val="24"/>
          <w:lang w:val="tr-TR"/>
        </w:rPr>
        <w:t>ve diğ.</w:t>
      </w:r>
      <w:r w:rsidR="00DB4A4C" w:rsidRPr="004A47CE">
        <w:rPr>
          <w:rFonts w:ascii="Times New Roman" w:hAnsi="Times New Roman" w:cs="Times New Roman"/>
          <w:sz w:val="24"/>
          <w:szCs w:val="24"/>
          <w:lang w:val="tr-TR"/>
        </w:rPr>
        <w:t xml:space="preserve"> 2010; Laaksonen </w:t>
      </w:r>
      <w:r w:rsidR="00E071F1">
        <w:rPr>
          <w:rFonts w:ascii="Times New Roman" w:hAnsi="Times New Roman" w:cs="Times New Roman"/>
          <w:sz w:val="24"/>
          <w:szCs w:val="24"/>
          <w:lang w:val="tr-TR"/>
        </w:rPr>
        <w:t>ve diğ.</w:t>
      </w:r>
      <w:r w:rsidR="00DB4A4C" w:rsidRPr="004A47CE">
        <w:rPr>
          <w:rFonts w:ascii="Times New Roman" w:hAnsi="Times New Roman" w:cs="Times New Roman"/>
          <w:sz w:val="24"/>
          <w:szCs w:val="24"/>
          <w:lang w:val="tr-TR"/>
        </w:rPr>
        <w:t xml:space="preserve"> 2008). Kaplan </w:t>
      </w:r>
      <w:r w:rsidR="00E071F1">
        <w:rPr>
          <w:rFonts w:ascii="Times New Roman" w:hAnsi="Times New Roman" w:cs="Times New Roman"/>
          <w:sz w:val="24"/>
          <w:szCs w:val="24"/>
          <w:lang w:val="tr-TR"/>
        </w:rPr>
        <w:t>ve diğ.</w:t>
      </w:r>
      <w:r w:rsidR="00DB4A4C" w:rsidRPr="004A47CE">
        <w:rPr>
          <w:rFonts w:ascii="Times New Roman" w:hAnsi="Times New Roman" w:cs="Times New Roman"/>
          <w:sz w:val="24"/>
          <w:szCs w:val="24"/>
          <w:lang w:val="tr-TR"/>
        </w:rPr>
        <w:t xml:space="preserve"> (2014)</w:t>
      </w:r>
      <w:r w:rsidR="00007C37" w:rsidRPr="004A47CE">
        <w:rPr>
          <w:rFonts w:ascii="Times New Roman" w:hAnsi="Times New Roman" w:cs="Times New Roman"/>
          <w:sz w:val="24"/>
          <w:szCs w:val="24"/>
          <w:lang w:val="tr-TR"/>
        </w:rPr>
        <w:t>’e</w:t>
      </w:r>
      <w:r w:rsidR="00DB4A4C" w:rsidRPr="004A47CE">
        <w:rPr>
          <w:rFonts w:ascii="Times New Roman" w:hAnsi="Times New Roman" w:cs="Times New Roman"/>
          <w:sz w:val="24"/>
          <w:szCs w:val="24"/>
          <w:lang w:val="tr-TR"/>
        </w:rPr>
        <w:t xml:space="preserve"> göre daha fazla eğitime sahip kişiler, sağlık ve tıpla ilgili bilgileri daha iyi tüketebilir. Ayrıca, daha sınırlı kaynaklara sahip olanların kolayca erişemeyecekleri en pahalı sağlık hizmetlerini elde edecek kaynaklara da sahip olabilirler.</w:t>
      </w:r>
      <w:r w:rsidR="00EE307F" w:rsidRPr="004A47CE">
        <w:rPr>
          <w:rFonts w:ascii="Times New Roman" w:hAnsi="Times New Roman" w:cs="Times New Roman"/>
          <w:sz w:val="24"/>
          <w:szCs w:val="24"/>
          <w:lang w:val="tr-TR"/>
        </w:rPr>
        <w:t xml:space="preserve"> </w:t>
      </w:r>
      <w:r w:rsidR="00007C37" w:rsidRPr="004A47CE">
        <w:rPr>
          <w:rFonts w:ascii="Times New Roman" w:hAnsi="Times New Roman" w:cs="Times New Roman"/>
          <w:sz w:val="24"/>
          <w:szCs w:val="24"/>
          <w:lang w:val="tr-TR"/>
        </w:rPr>
        <w:t>Bunun yanı</w:t>
      </w:r>
      <w:r w:rsidR="00FF57B2" w:rsidRPr="004A47CE">
        <w:rPr>
          <w:rFonts w:ascii="Times New Roman" w:hAnsi="Times New Roman" w:cs="Times New Roman"/>
          <w:sz w:val="24"/>
          <w:szCs w:val="24"/>
          <w:lang w:val="tr-TR"/>
        </w:rPr>
        <w:t xml:space="preserve"> </w:t>
      </w:r>
      <w:r w:rsidR="00007C37" w:rsidRPr="004A47CE">
        <w:rPr>
          <w:rFonts w:ascii="Times New Roman" w:hAnsi="Times New Roman" w:cs="Times New Roman"/>
          <w:sz w:val="24"/>
          <w:szCs w:val="24"/>
          <w:lang w:val="tr-TR"/>
        </w:rPr>
        <w:t>sıra y</w:t>
      </w:r>
      <w:r w:rsidR="00E7750E" w:rsidRPr="004A47CE">
        <w:rPr>
          <w:rFonts w:ascii="Times New Roman" w:hAnsi="Times New Roman" w:cs="Times New Roman"/>
          <w:sz w:val="24"/>
          <w:szCs w:val="24"/>
          <w:lang w:val="tr-TR"/>
        </w:rPr>
        <w:t>üksek lisans derecesine sahip olanların, lisans derecesine sahip olanlardan daha uzun yaşadığı ve doktora derecesine sahip olanların, yüksek lisans derecesine sahip olanlardan daha u</w:t>
      </w:r>
      <w:r w:rsidR="00007C37" w:rsidRPr="004A47CE">
        <w:rPr>
          <w:rFonts w:ascii="Times New Roman" w:hAnsi="Times New Roman" w:cs="Times New Roman"/>
          <w:sz w:val="24"/>
          <w:szCs w:val="24"/>
          <w:lang w:val="tr-TR"/>
        </w:rPr>
        <w:t>zun yaşadığı öne sürülmektedir</w:t>
      </w:r>
      <w:r w:rsidR="00E071F1">
        <w:rPr>
          <w:rFonts w:ascii="Times New Roman" w:hAnsi="Times New Roman" w:cs="Times New Roman"/>
          <w:sz w:val="24"/>
          <w:szCs w:val="24"/>
          <w:lang w:val="tr-TR"/>
        </w:rPr>
        <w:t xml:space="preserve"> (Montez ve diğ. </w:t>
      </w:r>
      <w:r w:rsidR="00CF414D" w:rsidRPr="004A47CE">
        <w:rPr>
          <w:rFonts w:ascii="Times New Roman" w:hAnsi="Times New Roman" w:cs="Times New Roman"/>
          <w:sz w:val="24"/>
          <w:szCs w:val="24"/>
          <w:lang w:val="tr-TR"/>
        </w:rPr>
        <w:t xml:space="preserve">2009; Rogers </w:t>
      </w:r>
      <w:r w:rsidR="00E071F1">
        <w:rPr>
          <w:rFonts w:ascii="Times New Roman" w:hAnsi="Times New Roman" w:cs="Times New Roman"/>
          <w:sz w:val="24"/>
          <w:szCs w:val="24"/>
          <w:lang w:val="tr-TR"/>
        </w:rPr>
        <w:t>ve diğ.</w:t>
      </w:r>
      <w:r w:rsidR="00E7750E" w:rsidRPr="004A47CE">
        <w:rPr>
          <w:rFonts w:ascii="Times New Roman" w:hAnsi="Times New Roman" w:cs="Times New Roman"/>
          <w:sz w:val="24"/>
          <w:szCs w:val="24"/>
          <w:lang w:val="tr-TR"/>
        </w:rPr>
        <w:t>2010).</w:t>
      </w:r>
    </w:p>
    <w:p w14:paraId="111AFC11" w14:textId="17583BE1" w:rsidR="006D05A4" w:rsidRPr="004A47CE" w:rsidRDefault="0070516B" w:rsidP="004A47CE">
      <w:pPr>
        <w:tabs>
          <w:tab w:val="left" w:pos="960"/>
        </w:tabs>
        <w:spacing w:after="120" w:line="240" w:lineRule="auto"/>
        <w:ind w:firstLine="709"/>
        <w:jc w:val="both"/>
        <w:rPr>
          <w:rFonts w:ascii="Times New Roman" w:hAnsi="Times New Roman" w:cs="Times New Roman"/>
          <w:sz w:val="24"/>
          <w:szCs w:val="24"/>
          <w:lang w:val="tr-TR"/>
        </w:rPr>
      </w:pPr>
      <w:r w:rsidRPr="004A47CE">
        <w:rPr>
          <w:rFonts w:ascii="Times New Roman" w:hAnsi="Times New Roman" w:cs="Times New Roman"/>
          <w:sz w:val="24"/>
          <w:szCs w:val="24"/>
          <w:lang w:val="tr-TR"/>
        </w:rPr>
        <w:t xml:space="preserve">Cinsiyete göre eğitimin </w:t>
      </w:r>
      <w:r w:rsidR="00FF57B2" w:rsidRPr="004A47CE">
        <w:rPr>
          <w:rFonts w:ascii="Times New Roman" w:hAnsi="Times New Roman" w:cs="Times New Roman"/>
          <w:sz w:val="24"/>
          <w:szCs w:val="24"/>
          <w:lang w:val="tr-TR"/>
        </w:rPr>
        <w:t xml:space="preserve">yaşam beklentisi üzerindeki </w:t>
      </w:r>
      <w:r w:rsidRPr="004A47CE">
        <w:rPr>
          <w:rFonts w:ascii="Times New Roman" w:hAnsi="Times New Roman" w:cs="Times New Roman"/>
          <w:sz w:val="24"/>
          <w:szCs w:val="24"/>
          <w:lang w:val="tr-TR"/>
        </w:rPr>
        <w:t xml:space="preserve">etkisi farklılık </w:t>
      </w:r>
      <w:r w:rsidR="00FF57B2" w:rsidRPr="004A47CE">
        <w:rPr>
          <w:rFonts w:ascii="Times New Roman" w:hAnsi="Times New Roman" w:cs="Times New Roman"/>
          <w:sz w:val="24"/>
          <w:szCs w:val="24"/>
          <w:lang w:val="tr-TR"/>
        </w:rPr>
        <w:t>göstermek</w:t>
      </w:r>
      <w:r w:rsidRPr="004A47CE">
        <w:rPr>
          <w:rFonts w:ascii="Times New Roman" w:hAnsi="Times New Roman" w:cs="Times New Roman"/>
          <w:sz w:val="24"/>
          <w:szCs w:val="24"/>
          <w:lang w:val="tr-TR"/>
        </w:rPr>
        <w:t>tedir. Bazı</w:t>
      </w:r>
      <w:r w:rsidR="00FF57B2" w:rsidRPr="004A47CE">
        <w:rPr>
          <w:rFonts w:ascii="Times New Roman" w:hAnsi="Times New Roman" w:cs="Times New Roman"/>
          <w:sz w:val="24"/>
          <w:szCs w:val="24"/>
          <w:lang w:val="tr-TR"/>
        </w:rPr>
        <w:t xml:space="preserve"> çalışmalarda</w:t>
      </w:r>
      <w:r w:rsidRPr="004A47CE">
        <w:rPr>
          <w:rFonts w:ascii="Times New Roman" w:hAnsi="Times New Roman" w:cs="Times New Roman"/>
          <w:sz w:val="24"/>
          <w:szCs w:val="24"/>
          <w:lang w:val="tr-TR"/>
        </w:rPr>
        <w:t xml:space="preserve"> kadın üzerinde </w:t>
      </w:r>
      <w:r w:rsidR="00FF57B2" w:rsidRPr="004A47CE">
        <w:rPr>
          <w:rFonts w:ascii="Times New Roman" w:hAnsi="Times New Roman" w:cs="Times New Roman"/>
          <w:sz w:val="24"/>
          <w:szCs w:val="24"/>
          <w:lang w:val="tr-TR"/>
        </w:rPr>
        <w:t xml:space="preserve">eğitim yaşam beklentisi üzerinde </w:t>
      </w:r>
      <w:r w:rsidRPr="004A47CE">
        <w:rPr>
          <w:rFonts w:ascii="Times New Roman" w:hAnsi="Times New Roman" w:cs="Times New Roman"/>
          <w:sz w:val="24"/>
          <w:szCs w:val="24"/>
          <w:lang w:val="tr-TR"/>
        </w:rPr>
        <w:t>d</w:t>
      </w:r>
      <w:r w:rsidR="00991CC4" w:rsidRPr="004A47CE">
        <w:rPr>
          <w:rFonts w:ascii="Times New Roman" w:hAnsi="Times New Roman" w:cs="Times New Roman"/>
          <w:sz w:val="24"/>
          <w:szCs w:val="24"/>
          <w:lang w:val="tr-TR"/>
        </w:rPr>
        <w:t>aha etkili olduğu vurgulanırken</w:t>
      </w:r>
      <w:r w:rsidR="00E20983" w:rsidRPr="004A47CE">
        <w:rPr>
          <w:rFonts w:ascii="Times New Roman" w:hAnsi="Times New Roman" w:cs="Times New Roman"/>
          <w:sz w:val="24"/>
          <w:szCs w:val="24"/>
          <w:lang w:val="tr-TR"/>
        </w:rPr>
        <w:t xml:space="preserve"> </w:t>
      </w:r>
      <w:r w:rsidRPr="004A47CE">
        <w:rPr>
          <w:rFonts w:ascii="Times New Roman" w:hAnsi="Times New Roman" w:cs="Times New Roman"/>
          <w:sz w:val="24"/>
          <w:szCs w:val="24"/>
          <w:lang w:val="tr-TR"/>
        </w:rPr>
        <w:t xml:space="preserve">diğerlerinde erkeklerin yaşam beklentisini daha fazla etkilediği sonucuna ulaşılmıştır. </w:t>
      </w:r>
      <w:r w:rsidR="00991CC4" w:rsidRPr="004A47CE">
        <w:rPr>
          <w:rFonts w:ascii="Times New Roman" w:hAnsi="Times New Roman" w:cs="Times New Roman"/>
          <w:sz w:val="24"/>
          <w:szCs w:val="24"/>
          <w:lang w:val="tr-TR"/>
        </w:rPr>
        <w:t>Gelişmiş ülkeler üzerine yapılan</w:t>
      </w:r>
      <w:r w:rsidR="00E7750E" w:rsidRPr="004A47CE">
        <w:rPr>
          <w:rFonts w:ascii="Times New Roman" w:hAnsi="Times New Roman" w:cs="Times New Roman"/>
          <w:sz w:val="24"/>
          <w:szCs w:val="24"/>
          <w:lang w:val="tr-TR"/>
        </w:rPr>
        <w:t xml:space="preserve"> çalışmanın sonuçları ABD’d</w:t>
      </w:r>
      <w:r w:rsidR="00D234A3" w:rsidRPr="004A47CE">
        <w:rPr>
          <w:rFonts w:ascii="Times New Roman" w:hAnsi="Times New Roman" w:cs="Times New Roman"/>
          <w:sz w:val="24"/>
          <w:szCs w:val="24"/>
          <w:lang w:val="tr-TR"/>
        </w:rPr>
        <w:t>e</w:t>
      </w:r>
      <w:r w:rsidR="00E7750E" w:rsidRPr="004A47CE">
        <w:rPr>
          <w:rFonts w:ascii="Times New Roman" w:hAnsi="Times New Roman" w:cs="Times New Roman"/>
          <w:sz w:val="24"/>
          <w:szCs w:val="24"/>
          <w:lang w:val="tr-TR"/>
        </w:rPr>
        <w:t xml:space="preserve"> 30 yaşındaki erkeklerin yaşam beklentisindeki artışın % 15’i ve Danimarka’da kadınların yaşam beklentisindeki artışın % 40’ı eğitim tarafından açıklanacağını göstermiştir (Luy </w:t>
      </w:r>
      <w:r w:rsidR="00E071F1">
        <w:rPr>
          <w:rFonts w:ascii="Times New Roman" w:hAnsi="Times New Roman" w:cs="Times New Roman"/>
          <w:sz w:val="24"/>
          <w:szCs w:val="24"/>
          <w:lang w:val="tr-TR"/>
        </w:rPr>
        <w:t>ve diğ.</w:t>
      </w:r>
      <w:r w:rsidR="00E7750E" w:rsidRPr="004A47CE">
        <w:rPr>
          <w:rFonts w:ascii="Times New Roman" w:hAnsi="Times New Roman" w:cs="Times New Roman"/>
          <w:sz w:val="24"/>
          <w:szCs w:val="24"/>
          <w:lang w:val="tr-TR"/>
        </w:rPr>
        <w:t xml:space="preserve"> 2019). </w:t>
      </w:r>
      <w:r w:rsidR="00E20983" w:rsidRPr="004A47CE">
        <w:rPr>
          <w:rFonts w:ascii="Times New Roman" w:hAnsi="Times New Roman" w:cs="Times New Roman"/>
          <w:sz w:val="24"/>
          <w:szCs w:val="24"/>
          <w:lang w:val="tr-TR"/>
        </w:rPr>
        <w:t xml:space="preserve">Bir diğer çalışmanın bulguları </w:t>
      </w:r>
      <w:r w:rsidR="00991CC4" w:rsidRPr="004A47CE">
        <w:rPr>
          <w:rFonts w:ascii="Times New Roman" w:hAnsi="Times New Roman" w:cs="Times New Roman"/>
          <w:sz w:val="24"/>
          <w:szCs w:val="24"/>
          <w:lang w:val="tr-TR"/>
        </w:rPr>
        <w:t>yüksek eğitimli 30 yaşındaki Kafkasya’lı kadın ve erkeklerin</w:t>
      </w:r>
      <w:r w:rsidR="00E20983" w:rsidRPr="004A47CE">
        <w:rPr>
          <w:rFonts w:ascii="Times New Roman" w:hAnsi="Times New Roman" w:cs="Times New Roman"/>
          <w:sz w:val="24"/>
          <w:szCs w:val="24"/>
          <w:lang w:val="tr-TR"/>
        </w:rPr>
        <w:t xml:space="preserve"> sırasıyla 3,8 ve 6,7 yıl, </w:t>
      </w:r>
      <w:r w:rsidR="00B5333D" w:rsidRPr="004A47CE">
        <w:rPr>
          <w:rFonts w:ascii="Times New Roman" w:hAnsi="Times New Roman" w:cs="Times New Roman"/>
          <w:sz w:val="24"/>
          <w:szCs w:val="24"/>
          <w:lang w:val="tr-TR"/>
        </w:rPr>
        <w:t>Afrikalı-Amerikalı</w:t>
      </w:r>
      <w:r w:rsidR="00991CC4" w:rsidRPr="004A47CE">
        <w:rPr>
          <w:rFonts w:ascii="Times New Roman" w:hAnsi="Times New Roman" w:cs="Times New Roman"/>
          <w:sz w:val="24"/>
          <w:szCs w:val="24"/>
          <w:lang w:val="tr-TR"/>
        </w:rPr>
        <w:t xml:space="preserve"> </w:t>
      </w:r>
      <w:r w:rsidR="00B5333D" w:rsidRPr="004A47CE">
        <w:rPr>
          <w:rFonts w:ascii="Times New Roman" w:hAnsi="Times New Roman" w:cs="Times New Roman"/>
          <w:sz w:val="24"/>
          <w:szCs w:val="24"/>
          <w:lang w:val="tr-TR"/>
        </w:rPr>
        <w:t>kadın ve erkek</w:t>
      </w:r>
      <w:r w:rsidR="00E20983" w:rsidRPr="004A47CE">
        <w:rPr>
          <w:rFonts w:ascii="Times New Roman" w:hAnsi="Times New Roman" w:cs="Times New Roman"/>
          <w:sz w:val="24"/>
          <w:szCs w:val="24"/>
          <w:lang w:val="tr-TR"/>
        </w:rPr>
        <w:t>lerin</w:t>
      </w:r>
      <w:r w:rsidR="00B5333D" w:rsidRPr="004A47CE">
        <w:rPr>
          <w:rFonts w:ascii="Times New Roman" w:hAnsi="Times New Roman" w:cs="Times New Roman"/>
          <w:sz w:val="24"/>
          <w:szCs w:val="24"/>
          <w:lang w:val="tr-TR"/>
        </w:rPr>
        <w:t xml:space="preserve"> </w:t>
      </w:r>
      <w:r w:rsidR="00991CC4" w:rsidRPr="004A47CE">
        <w:rPr>
          <w:rFonts w:ascii="Times New Roman" w:hAnsi="Times New Roman" w:cs="Times New Roman"/>
          <w:sz w:val="24"/>
          <w:szCs w:val="24"/>
          <w:lang w:val="tr-TR"/>
        </w:rPr>
        <w:t>sırasıyla 10,5</w:t>
      </w:r>
      <w:r w:rsidR="00B5333D" w:rsidRPr="004A47CE">
        <w:rPr>
          <w:rFonts w:ascii="Times New Roman" w:hAnsi="Times New Roman" w:cs="Times New Roman"/>
          <w:sz w:val="24"/>
          <w:szCs w:val="24"/>
          <w:lang w:val="tr-TR"/>
        </w:rPr>
        <w:t xml:space="preserve"> ve 11,8 yıl </w:t>
      </w:r>
      <w:r w:rsidR="00E20983" w:rsidRPr="004A47CE">
        <w:rPr>
          <w:rFonts w:ascii="Times New Roman" w:hAnsi="Times New Roman" w:cs="Times New Roman"/>
          <w:sz w:val="24"/>
          <w:szCs w:val="24"/>
          <w:lang w:val="tr-TR"/>
        </w:rPr>
        <w:t>daha uzun yaşayacağını ortaya koymuştur (Crimmins ve Saito,</w:t>
      </w:r>
      <w:r w:rsidR="00CF414D" w:rsidRPr="004A47CE">
        <w:rPr>
          <w:rFonts w:ascii="Times New Roman" w:hAnsi="Times New Roman" w:cs="Times New Roman"/>
          <w:sz w:val="24"/>
          <w:szCs w:val="24"/>
          <w:lang w:val="tr-TR"/>
        </w:rPr>
        <w:t xml:space="preserve"> </w:t>
      </w:r>
      <w:r w:rsidR="00E20983" w:rsidRPr="004A47CE">
        <w:rPr>
          <w:rFonts w:ascii="Times New Roman" w:hAnsi="Times New Roman" w:cs="Times New Roman"/>
          <w:sz w:val="24"/>
          <w:szCs w:val="24"/>
          <w:lang w:val="tr-TR"/>
        </w:rPr>
        <w:t>2001).</w:t>
      </w:r>
      <w:r w:rsidR="00D407D1" w:rsidRPr="004A47CE">
        <w:rPr>
          <w:rFonts w:ascii="Times New Roman" w:hAnsi="Times New Roman" w:cs="Times New Roman"/>
          <w:sz w:val="24"/>
          <w:szCs w:val="24"/>
          <w:lang w:val="tr-TR"/>
        </w:rPr>
        <w:t xml:space="preserve"> </w:t>
      </w:r>
      <w:r w:rsidR="00A66781" w:rsidRPr="004A47CE">
        <w:rPr>
          <w:rFonts w:ascii="Times New Roman" w:hAnsi="Times New Roman" w:cs="Times New Roman"/>
          <w:sz w:val="24"/>
          <w:szCs w:val="24"/>
          <w:lang w:val="tr-TR"/>
        </w:rPr>
        <w:t>ABD</w:t>
      </w:r>
      <w:r w:rsidR="00EE307F" w:rsidRPr="004A47CE">
        <w:rPr>
          <w:rFonts w:ascii="Times New Roman" w:hAnsi="Times New Roman" w:cs="Times New Roman"/>
          <w:sz w:val="24"/>
          <w:szCs w:val="24"/>
          <w:lang w:val="tr-TR"/>
        </w:rPr>
        <w:t xml:space="preserve"> üzerine yapılan</w:t>
      </w:r>
      <w:r w:rsidRPr="004A47CE">
        <w:rPr>
          <w:rFonts w:ascii="Times New Roman" w:hAnsi="Times New Roman" w:cs="Times New Roman"/>
          <w:sz w:val="24"/>
          <w:szCs w:val="24"/>
          <w:lang w:val="tr-TR"/>
        </w:rPr>
        <w:t xml:space="preserve"> </w:t>
      </w:r>
      <w:r w:rsidR="00A66781" w:rsidRPr="004A47CE">
        <w:rPr>
          <w:rFonts w:ascii="Times New Roman" w:hAnsi="Times New Roman" w:cs="Times New Roman"/>
          <w:sz w:val="24"/>
          <w:szCs w:val="24"/>
          <w:lang w:val="tr-TR"/>
        </w:rPr>
        <w:t xml:space="preserve">çalışmada ek bir yıllık eğitimin </w:t>
      </w:r>
      <w:r w:rsidRPr="004A47CE">
        <w:rPr>
          <w:rFonts w:ascii="Times New Roman" w:hAnsi="Times New Roman" w:cs="Times New Roman"/>
          <w:sz w:val="24"/>
          <w:szCs w:val="24"/>
          <w:lang w:val="tr-TR"/>
        </w:rPr>
        <w:t>yaşam beklentisinin 1,7 yıl uzamasına</w:t>
      </w:r>
      <w:r w:rsidR="000F3ADB" w:rsidRPr="004A47CE">
        <w:rPr>
          <w:rFonts w:ascii="Times New Roman" w:hAnsi="Times New Roman" w:cs="Times New Roman"/>
          <w:sz w:val="24"/>
          <w:szCs w:val="24"/>
          <w:lang w:val="tr-TR"/>
        </w:rPr>
        <w:t xml:space="preserve"> neden olduğu öne sürülürken </w:t>
      </w:r>
      <w:r w:rsidRPr="004A47CE">
        <w:rPr>
          <w:rFonts w:ascii="Times New Roman" w:hAnsi="Times New Roman" w:cs="Times New Roman"/>
          <w:sz w:val="24"/>
          <w:szCs w:val="24"/>
          <w:lang w:val="tr-TR"/>
        </w:rPr>
        <w:t xml:space="preserve"> </w:t>
      </w:r>
      <w:r w:rsidR="00891BB8" w:rsidRPr="004A47CE">
        <w:rPr>
          <w:rFonts w:ascii="Times New Roman" w:hAnsi="Times New Roman" w:cs="Times New Roman"/>
          <w:sz w:val="24"/>
          <w:szCs w:val="24"/>
          <w:lang w:val="tr-TR"/>
        </w:rPr>
        <w:t xml:space="preserve">(Lleras-Muney, 2005), </w:t>
      </w:r>
      <w:r w:rsidR="000F3ADB" w:rsidRPr="004A47CE">
        <w:rPr>
          <w:rFonts w:ascii="Times New Roman" w:hAnsi="Times New Roman" w:cs="Times New Roman"/>
          <w:sz w:val="24"/>
          <w:szCs w:val="24"/>
          <w:lang w:val="tr-TR"/>
        </w:rPr>
        <w:t xml:space="preserve">156 ülkeyi kapsayan bir diğer çalışmanın sonuçları </w:t>
      </w:r>
      <w:r w:rsidR="00A22B0C" w:rsidRPr="004A47CE">
        <w:rPr>
          <w:rFonts w:ascii="Times New Roman" w:hAnsi="Times New Roman" w:cs="Times New Roman"/>
          <w:sz w:val="24"/>
          <w:szCs w:val="24"/>
          <w:lang w:val="tr-TR"/>
        </w:rPr>
        <w:t>okur</w:t>
      </w:r>
      <w:r w:rsidR="00891BB8" w:rsidRPr="004A47CE">
        <w:rPr>
          <w:rFonts w:ascii="Times New Roman" w:hAnsi="Times New Roman" w:cs="Times New Roman"/>
          <w:sz w:val="24"/>
          <w:szCs w:val="24"/>
          <w:lang w:val="tr-TR"/>
        </w:rPr>
        <w:t>yazarlık oranındaki % 10’</w:t>
      </w:r>
      <w:r w:rsidR="000F3ADB" w:rsidRPr="004A47CE">
        <w:rPr>
          <w:rFonts w:ascii="Times New Roman" w:hAnsi="Times New Roman" w:cs="Times New Roman"/>
          <w:sz w:val="24"/>
          <w:szCs w:val="24"/>
          <w:lang w:val="tr-TR"/>
        </w:rPr>
        <w:t xml:space="preserve">luk artışın </w:t>
      </w:r>
      <w:r w:rsidR="00891BB8" w:rsidRPr="004A47CE">
        <w:rPr>
          <w:rFonts w:ascii="Times New Roman" w:hAnsi="Times New Roman" w:cs="Times New Roman"/>
          <w:sz w:val="24"/>
          <w:szCs w:val="24"/>
          <w:lang w:val="tr-TR"/>
        </w:rPr>
        <w:t>yaşam beklentisini 2,439 yıl uzamasına neden olacağı</w:t>
      </w:r>
      <w:r w:rsidR="000F3ADB" w:rsidRPr="004A47CE">
        <w:rPr>
          <w:rFonts w:ascii="Times New Roman" w:hAnsi="Times New Roman" w:cs="Times New Roman"/>
          <w:sz w:val="24"/>
          <w:szCs w:val="24"/>
          <w:lang w:val="tr-TR"/>
        </w:rPr>
        <w:t>nı göstermiştir</w:t>
      </w:r>
      <w:r w:rsidR="00E071F1">
        <w:rPr>
          <w:rFonts w:ascii="Times New Roman" w:hAnsi="Times New Roman" w:cs="Times New Roman"/>
          <w:sz w:val="24"/>
          <w:szCs w:val="24"/>
          <w:lang w:val="tr-TR"/>
        </w:rPr>
        <w:t xml:space="preserve"> (Gulis, </w:t>
      </w:r>
      <w:r w:rsidR="00EE307F" w:rsidRPr="004A47CE">
        <w:rPr>
          <w:rFonts w:ascii="Times New Roman" w:hAnsi="Times New Roman" w:cs="Times New Roman"/>
          <w:sz w:val="24"/>
          <w:szCs w:val="24"/>
          <w:lang w:val="tr-TR"/>
        </w:rPr>
        <w:t>2000).</w:t>
      </w:r>
      <w:r w:rsidR="000038D7" w:rsidRPr="004A47CE">
        <w:rPr>
          <w:rFonts w:ascii="Times New Roman" w:hAnsi="Times New Roman" w:cs="Times New Roman"/>
          <w:sz w:val="24"/>
          <w:szCs w:val="24"/>
          <w:lang w:val="tr-TR"/>
        </w:rPr>
        <w:t xml:space="preserve"> Çalışmamızda eğitimin yaşam beklentisini arttıracağına dair görüşü destekler nitelikte bulgular elde edilmiştir.</w:t>
      </w:r>
    </w:p>
    <w:p w14:paraId="650BABEC" w14:textId="5393A22C" w:rsidR="00EE307F" w:rsidRPr="004A47CE" w:rsidRDefault="00EE307F" w:rsidP="004A47CE">
      <w:pPr>
        <w:tabs>
          <w:tab w:val="left" w:pos="960"/>
        </w:tabs>
        <w:spacing w:after="120" w:line="240" w:lineRule="auto"/>
        <w:ind w:firstLine="709"/>
        <w:jc w:val="both"/>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 xml:space="preserve">Hata düzeltme katsayıları </w:t>
      </w:r>
      <w:r w:rsidR="000F3ADB" w:rsidRPr="004A47CE">
        <w:rPr>
          <w:rFonts w:ascii="Times New Roman" w:hAnsi="Times New Roman" w:cs="Times New Roman"/>
          <w:color w:val="000000" w:themeColor="text1"/>
          <w:sz w:val="24"/>
          <w:szCs w:val="24"/>
          <w:lang w:val="tr-TR"/>
        </w:rPr>
        <w:t xml:space="preserve">her iki modelde </w:t>
      </w:r>
      <w:r w:rsidRPr="004A47CE">
        <w:rPr>
          <w:rFonts w:ascii="Times New Roman" w:hAnsi="Times New Roman" w:cs="Times New Roman"/>
          <w:color w:val="000000" w:themeColor="text1"/>
          <w:sz w:val="24"/>
          <w:szCs w:val="24"/>
          <w:lang w:val="tr-TR"/>
        </w:rPr>
        <w:t xml:space="preserve">negatif </w:t>
      </w:r>
      <w:r w:rsidR="00547D7E" w:rsidRPr="004A47CE">
        <w:rPr>
          <w:rFonts w:ascii="Times New Roman" w:hAnsi="Times New Roman" w:cs="Times New Roman"/>
          <w:color w:val="000000" w:themeColor="text1"/>
          <w:sz w:val="24"/>
          <w:szCs w:val="24"/>
          <w:lang w:val="tr-TR"/>
        </w:rPr>
        <w:t xml:space="preserve"> (-0.29 ve -0.08) </w:t>
      </w:r>
      <w:r w:rsidRPr="004A47CE">
        <w:rPr>
          <w:rFonts w:ascii="Times New Roman" w:hAnsi="Times New Roman" w:cs="Times New Roman"/>
          <w:color w:val="000000" w:themeColor="text1"/>
          <w:sz w:val="24"/>
          <w:szCs w:val="24"/>
          <w:lang w:val="tr-TR"/>
        </w:rPr>
        <w:t>ve istatistik</w:t>
      </w:r>
      <w:r w:rsidR="00FA1029" w:rsidRPr="004A47CE">
        <w:rPr>
          <w:rFonts w:ascii="Times New Roman" w:hAnsi="Times New Roman" w:cs="Times New Roman"/>
          <w:color w:val="000000" w:themeColor="text1"/>
          <w:sz w:val="24"/>
          <w:szCs w:val="24"/>
          <w:lang w:val="tr-TR"/>
        </w:rPr>
        <w:t>sel</w:t>
      </w:r>
      <w:r w:rsidRPr="004A47CE">
        <w:rPr>
          <w:rFonts w:ascii="Times New Roman" w:hAnsi="Times New Roman" w:cs="Times New Roman"/>
          <w:color w:val="000000" w:themeColor="text1"/>
          <w:sz w:val="24"/>
          <w:szCs w:val="24"/>
          <w:lang w:val="tr-TR"/>
        </w:rPr>
        <w:t xml:space="preserve"> açıdan anlamlı bulunmuştur.</w:t>
      </w:r>
      <w:r w:rsidR="000F3ADB" w:rsidRPr="004A47CE">
        <w:rPr>
          <w:rFonts w:ascii="Times New Roman" w:hAnsi="Times New Roman" w:cs="Times New Roman"/>
          <w:color w:val="000000" w:themeColor="text1"/>
          <w:sz w:val="24"/>
          <w:szCs w:val="24"/>
          <w:lang w:val="tr-TR"/>
        </w:rPr>
        <w:t xml:space="preserve"> Bu bir dönemde meydana gelen dengesizliklerin sırasıyla yaklaşık</w:t>
      </w:r>
      <w:r w:rsidR="00D407D1" w:rsidRPr="004A47CE">
        <w:rPr>
          <w:rFonts w:ascii="Times New Roman" w:hAnsi="Times New Roman" w:cs="Times New Roman"/>
          <w:color w:val="000000" w:themeColor="text1"/>
          <w:sz w:val="24"/>
          <w:szCs w:val="24"/>
          <w:lang w:val="tr-TR"/>
        </w:rPr>
        <w:t xml:space="preserve"> olarak</w:t>
      </w:r>
      <w:r w:rsidR="000F3ADB" w:rsidRPr="004A47CE">
        <w:rPr>
          <w:rFonts w:ascii="Times New Roman" w:hAnsi="Times New Roman" w:cs="Times New Roman"/>
          <w:color w:val="000000" w:themeColor="text1"/>
          <w:sz w:val="24"/>
          <w:szCs w:val="24"/>
          <w:lang w:val="tr-TR"/>
        </w:rPr>
        <w:t xml:space="preserve"> %29’u ve % 8’i</w:t>
      </w:r>
      <w:r w:rsidR="00D407D1" w:rsidRPr="004A47CE">
        <w:rPr>
          <w:rFonts w:ascii="Times New Roman" w:hAnsi="Times New Roman" w:cs="Times New Roman"/>
          <w:color w:val="000000" w:themeColor="text1"/>
          <w:sz w:val="24"/>
          <w:szCs w:val="24"/>
          <w:lang w:val="tr-TR"/>
        </w:rPr>
        <w:t>nin</w:t>
      </w:r>
      <w:r w:rsidR="000F3ADB" w:rsidRPr="004A47CE">
        <w:rPr>
          <w:rFonts w:ascii="Times New Roman" w:hAnsi="Times New Roman" w:cs="Times New Roman"/>
          <w:color w:val="000000" w:themeColor="text1"/>
          <w:sz w:val="24"/>
          <w:szCs w:val="24"/>
          <w:lang w:val="tr-TR"/>
        </w:rPr>
        <w:t xml:space="preserve"> bir sonraki dönemde düzeleceğine işaret etmektedir.</w:t>
      </w:r>
    </w:p>
    <w:p w14:paraId="58D396A0" w14:textId="26ED271C" w:rsidR="00007C37" w:rsidRPr="004A47CE" w:rsidRDefault="000C0EA8" w:rsidP="004A47CE">
      <w:pPr>
        <w:tabs>
          <w:tab w:val="left" w:pos="960"/>
        </w:tabs>
        <w:spacing w:after="120" w:line="240" w:lineRule="auto"/>
        <w:ind w:firstLine="709"/>
        <w:jc w:val="both"/>
        <w:rPr>
          <w:rFonts w:ascii="Times New Roman" w:hAnsi="Times New Roman" w:cs="Times New Roman"/>
          <w:strike/>
          <w:sz w:val="24"/>
          <w:szCs w:val="24"/>
          <w:lang w:val="tr-TR"/>
        </w:rPr>
      </w:pPr>
      <w:r w:rsidRPr="00F9226F">
        <w:rPr>
          <w:rFonts w:ascii="Times New Roman" w:hAnsi="Times New Roman" w:cs="Times New Roman"/>
          <w:sz w:val="24"/>
          <w:szCs w:val="24"/>
          <w:lang w:val="tr-TR"/>
        </w:rPr>
        <w:t xml:space="preserve">Elde edilen bulguları genel olarak değerlendirirsek, ekonomik ve sosyo-demografik faktörlerin erkek ve kadınların yaşam beklentileri üzerinde farklı etkileri </w:t>
      </w:r>
      <w:r w:rsidR="00DF4A46" w:rsidRPr="00F9226F">
        <w:rPr>
          <w:rFonts w:ascii="Times New Roman" w:hAnsi="Times New Roman" w:cs="Times New Roman"/>
          <w:sz w:val="24"/>
          <w:szCs w:val="24"/>
          <w:lang w:val="tr-TR"/>
        </w:rPr>
        <w:t xml:space="preserve">olduğu </w:t>
      </w:r>
      <w:r w:rsidR="001F29B4" w:rsidRPr="00F9226F">
        <w:rPr>
          <w:rFonts w:ascii="Times New Roman" w:hAnsi="Times New Roman" w:cs="Times New Roman"/>
          <w:sz w:val="24"/>
          <w:szCs w:val="24"/>
          <w:lang w:val="tr-TR"/>
        </w:rPr>
        <w:t>görülmektedir.</w:t>
      </w:r>
      <w:r w:rsidR="001F29B4" w:rsidRPr="004A47CE">
        <w:rPr>
          <w:rFonts w:ascii="Times New Roman" w:hAnsi="Times New Roman" w:cs="Times New Roman"/>
          <w:sz w:val="24"/>
          <w:szCs w:val="24"/>
          <w:lang w:val="tr-TR"/>
        </w:rPr>
        <w:t xml:space="preserve"> </w:t>
      </w:r>
    </w:p>
    <w:p w14:paraId="6C166AAD" w14:textId="7D9953B3" w:rsidR="00603AAE" w:rsidRPr="004A47CE" w:rsidRDefault="002870BE" w:rsidP="004A47CE">
      <w:pPr>
        <w:tabs>
          <w:tab w:val="left" w:pos="960"/>
        </w:tabs>
        <w:spacing w:after="120" w:line="240" w:lineRule="auto"/>
        <w:ind w:firstLine="709"/>
        <w:jc w:val="both"/>
        <w:rPr>
          <w:rFonts w:ascii="Times New Roman" w:hAnsi="Times New Roman" w:cs="Times New Roman"/>
          <w:b/>
          <w:sz w:val="24"/>
          <w:szCs w:val="24"/>
          <w:lang w:val="tr-TR"/>
        </w:rPr>
      </w:pPr>
      <w:r w:rsidRPr="004A47CE">
        <w:rPr>
          <w:rFonts w:ascii="Times New Roman" w:hAnsi="Times New Roman" w:cs="Times New Roman"/>
          <w:b/>
          <w:sz w:val="24"/>
          <w:szCs w:val="24"/>
          <w:lang w:val="tr-TR"/>
        </w:rPr>
        <w:t>5.SONUÇ</w:t>
      </w:r>
    </w:p>
    <w:p w14:paraId="50E7F85E" w14:textId="7C91ACBB" w:rsidR="00603AAE" w:rsidRPr="004A47CE" w:rsidRDefault="00603AAE" w:rsidP="004A47CE">
      <w:pPr>
        <w:tabs>
          <w:tab w:val="left" w:pos="960"/>
        </w:tabs>
        <w:spacing w:after="120" w:line="240" w:lineRule="auto"/>
        <w:ind w:firstLine="709"/>
        <w:jc w:val="both"/>
        <w:rPr>
          <w:rFonts w:ascii="Times New Roman" w:hAnsi="Times New Roman" w:cs="Times New Roman"/>
          <w:sz w:val="24"/>
          <w:szCs w:val="24"/>
          <w:lang w:val="tr-TR"/>
        </w:rPr>
      </w:pPr>
      <w:r w:rsidRPr="004A47CE">
        <w:rPr>
          <w:rFonts w:ascii="Times New Roman" w:hAnsi="Times New Roman" w:cs="Times New Roman"/>
          <w:sz w:val="24"/>
          <w:szCs w:val="24"/>
          <w:lang w:val="tr-TR"/>
        </w:rPr>
        <w:t>Bu çalışmada seçilmiş 16 g</w:t>
      </w:r>
      <w:r w:rsidR="00FF5A47" w:rsidRPr="004A47CE">
        <w:rPr>
          <w:rFonts w:ascii="Times New Roman" w:hAnsi="Times New Roman" w:cs="Times New Roman"/>
          <w:sz w:val="24"/>
          <w:szCs w:val="24"/>
          <w:lang w:val="tr-TR"/>
        </w:rPr>
        <w:t>eçiş ekonomilerinde kadın ve erkeklerin beklenen yaşam sürelerine etki eden ekonomik ve sosyo-demografik faktörler ince</w:t>
      </w:r>
      <w:r w:rsidR="006A51FC" w:rsidRPr="004A47CE">
        <w:rPr>
          <w:rFonts w:ascii="Times New Roman" w:hAnsi="Times New Roman" w:cs="Times New Roman"/>
          <w:sz w:val="24"/>
          <w:szCs w:val="24"/>
          <w:lang w:val="tr-TR"/>
        </w:rPr>
        <w:t>lenmiştir. Bu amaç için ele</w:t>
      </w:r>
      <w:r w:rsidR="00FF5A47" w:rsidRPr="004A47CE">
        <w:rPr>
          <w:rFonts w:ascii="Times New Roman" w:hAnsi="Times New Roman" w:cs="Times New Roman"/>
          <w:sz w:val="24"/>
          <w:szCs w:val="24"/>
          <w:lang w:val="tr-TR"/>
        </w:rPr>
        <w:t xml:space="preserve"> alınan ülkelerin 2000-2016 dönemine ait yıllık verilerine Panel ARDL modeli uygulanmıştır. </w:t>
      </w:r>
    </w:p>
    <w:p w14:paraId="0070E3FA" w14:textId="2751734C" w:rsidR="00FF5A47" w:rsidRPr="004A47CE" w:rsidRDefault="004E1261" w:rsidP="004A47CE">
      <w:pPr>
        <w:tabs>
          <w:tab w:val="left" w:pos="960"/>
        </w:tabs>
        <w:spacing w:after="120" w:line="240" w:lineRule="auto"/>
        <w:ind w:firstLine="709"/>
        <w:jc w:val="both"/>
        <w:rPr>
          <w:rFonts w:ascii="Times New Roman" w:hAnsi="Times New Roman" w:cs="Times New Roman"/>
          <w:color w:val="000000" w:themeColor="text1"/>
          <w:sz w:val="24"/>
          <w:szCs w:val="24"/>
          <w:lang w:val="tr-TR"/>
        </w:rPr>
      </w:pPr>
      <w:r w:rsidRPr="003F50F8">
        <w:rPr>
          <w:rFonts w:ascii="Times New Roman" w:hAnsi="Times New Roman" w:cs="Times New Roman"/>
          <w:color w:val="000000" w:themeColor="text1"/>
          <w:sz w:val="24"/>
          <w:szCs w:val="24"/>
          <w:lang w:val="tr-TR"/>
        </w:rPr>
        <w:t xml:space="preserve">Analiz sonuçları tüm açıklayıcı değişkenlerin </w:t>
      </w:r>
      <w:r w:rsidR="008C5C85" w:rsidRPr="003F50F8">
        <w:rPr>
          <w:rFonts w:ascii="Times New Roman" w:hAnsi="Times New Roman" w:cs="Times New Roman"/>
          <w:color w:val="000000" w:themeColor="text1"/>
          <w:sz w:val="24"/>
          <w:szCs w:val="24"/>
          <w:lang w:val="tr-TR"/>
        </w:rPr>
        <w:t>(iktisadi büyüme, sağlık harcamaları, eğitim,</w:t>
      </w:r>
      <w:r w:rsidR="00D02B7F" w:rsidRPr="003F50F8">
        <w:rPr>
          <w:rFonts w:ascii="Times New Roman" w:hAnsi="Times New Roman" w:cs="Times New Roman"/>
          <w:color w:val="000000" w:themeColor="text1"/>
          <w:sz w:val="24"/>
          <w:szCs w:val="24"/>
          <w:lang w:val="tr-TR"/>
        </w:rPr>
        <w:t xml:space="preserve"> </w:t>
      </w:r>
      <w:r w:rsidR="008C5C85" w:rsidRPr="003F50F8">
        <w:rPr>
          <w:rFonts w:ascii="Times New Roman" w:hAnsi="Times New Roman" w:cs="Times New Roman"/>
          <w:color w:val="000000" w:themeColor="text1"/>
          <w:sz w:val="24"/>
          <w:szCs w:val="24"/>
          <w:lang w:val="tr-TR"/>
        </w:rPr>
        <w:t xml:space="preserve">nüfus, güvenli içme suya erişim) </w:t>
      </w:r>
      <w:r w:rsidRPr="003F50F8">
        <w:rPr>
          <w:rFonts w:ascii="Times New Roman" w:hAnsi="Times New Roman" w:cs="Times New Roman"/>
          <w:color w:val="000000" w:themeColor="text1"/>
          <w:sz w:val="24"/>
          <w:szCs w:val="24"/>
          <w:lang w:val="tr-TR"/>
        </w:rPr>
        <w:t>kadın ve erkeklerin yaşam sürelerini anlamlı düzeyde etkilediğini ortaya koymaktadır.</w:t>
      </w:r>
      <w:r w:rsidR="002E1FF8" w:rsidRPr="003F50F8">
        <w:rPr>
          <w:rFonts w:ascii="Times New Roman" w:hAnsi="Times New Roman" w:cs="Times New Roman"/>
          <w:color w:val="000000" w:themeColor="text1"/>
          <w:sz w:val="24"/>
          <w:szCs w:val="24"/>
          <w:lang w:val="tr-TR"/>
        </w:rPr>
        <w:t xml:space="preserve"> </w:t>
      </w:r>
      <w:r w:rsidR="00FA1029" w:rsidRPr="003F50F8">
        <w:rPr>
          <w:rFonts w:ascii="Times New Roman" w:hAnsi="Times New Roman" w:cs="Times New Roman"/>
          <w:color w:val="000000" w:themeColor="text1"/>
          <w:sz w:val="24"/>
          <w:szCs w:val="24"/>
          <w:lang w:val="tr-TR"/>
        </w:rPr>
        <w:t>Çalışmada ele alınan ekonomik ve sosyo-demografik faktörler</w:t>
      </w:r>
      <w:r w:rsidR="002E1FF8" w:rsidRPr="003F50F8">
        <w:rPr>
          <w:rFonts w:ascii="Times New Roman" w:hAnsi="Times New Roman" w:cs="Times New Roman"/>
          <w:color w:val="000000" w:themeColor="text1"/>
          <w:sz w:val="24"/>
          <w:szCs w:val="24"/>
          <w:lang w:val="tr-TR"/>
        </w:rPr>
        <w:t xml:space="preserve"> cinsiyet açısından değerlendirildiğinde kadın ve erkekler için farklı olduğu da görülmüştür.  </w:t>
      </w:r>
      <w:r w:rsidR="002D09FC" w:rsidRPr="003F50F8">
        <w:rPr>
          <w:rFonts w:ascii="Times New Roman" w:hAnsi="Times New Roman" w:cs="Times New Roman"/>
          <w:color w:val="000000" w:themeColor="text1"/>
          <w:sz w:val="24"/>
          <w:szCs w:val="24"/>
          <w:lang w:val="tr-TR"/>
        </w:rPr>
        <w:t>S</w:t>
      </w:r>
      <w:r w:rsidR="006A51FC" w:rsidRPr="003F50F8">
        <w:rPr>
          <w:rFonts w:ascii="Times New Roman" w:hAnsi="Times New Roman" w:cs="Times New Roman"/>
          <w:color w:val="000000" w:themeColor="text1"/>
          <w:sz w:val="24"/>
          <w:szCs w:val="24"/>
          <w:lang w:val="tr-TR"/>
        </w:rPr>
        <w:t xml:space="preserve">eçilmiş geçiş ekonomilerinde </w:t>
      </w:r>
      <w:r w:rsidR="003F50F8" w:rsidRPr="003F50F8">
        <w:rPr>
          <w:rFonts w:ascii="Times New Roman" w:hAnsi="Times New Roman" w:cs="Times New Roman"/>
          <w:color w:val="000000" w:themeColor="text1"/>
          <w:sz w:val="24"/>
          <w:szCs w:val="24"/>
          <w:lang w:val="tr-TR"/>
        </w:rPr>
        <w:t>kadın ve erkeklerin</w:t>
      </w:r>
      <w:r w:rsidR="00FA1029" w:rsidRPr="003F50F8">
        <w:rPr>
          <w:rFonts w:ascii="Times New Roman" w:hAnsi="Times New Roman" w:cs="Times New Roman"/>
          <w:color w:val="000000" w:themeColor="text1"/>
          <w:sz w:val="24"/>
          <w:szCs w:val="24"/>
          <w:lang w:val="tr-TR"/>
        </w:rPr>
        <w:t xml:space="preserve"> </w:t>
      </w:r>
      <w:r w:rsidR="006A51FC" w:rsidRPr="003F50F8">
        <w:rPr>
          <w:rFonts w:ascii="Times New Roman" w:hAnsi="Times New Roman" w:cs="Times New Roman"/>
          <w:color w:val="000000" w:themeColor="text1"/>
          <w:sz w:val="24"/>
          <w:szCs w:val="24"/>
          <w:lang w:val="tr-TR"/>
        </w:rPr>
        <w:t xml:space="preserve">yaşam beklentisi üzerinde </w:t>
      </w:r>
      <w:r w:rsidR="003F50F8" w:rsidRPr="003F50F8">
        <w:rPr>
          <w:rFonts w:ascii="Times New Roman" w:hAnsi="Times New Roman" w:cs="Times New Roman"/>
          <w:color w:val="000000" w:themeColor="text1"/>
          <w:sz w:val="24"/>
          <w:szCs w:val="24"/>
          <w:lang w:val="tr-TR"/>
        </w:rPr>
        <w:t xml:space="preserve">ekonomik faktörlere göre </w:t>
      </w:r>
      <w:r w:rsidR="00FA1029" w:rsidRPr="003F50F8">
        <w:rPr>
          <w:rFonts w:ascii="Times New Roman" w:hAnsi="Times New Roman" w:cs="Times New Roman"/>
          <w:color w:val="000000" w:themeColor="text1"/>
          <w:sz w:val="24"/>
          <w:szCs w:val="24"/>
          <w:lang w:val="tr-TR"/>
        </w:rPr>
        <w:t>sosyo-demografik faktörler</w:t>
      </w:r>
      <w:r w:rsidR="003F50F8" w:rsidRPr="003F50F8">
        <w:rPr>
          <w:rFonts w:ascii="Times New Roman" w:hAnsi="Times New Roman" w:cs="Times New Roman"/>
          <w:color w:val="000000" w:themeColor="text1"/>
          <w:sz w:val="24"/>
          <w:szCs w:val="24"/>
          <w:lang w:val="tr-TR"/>
        </w:rPr>
        <w:t>in</w:t>
      </w:r>
      <w:r w:rsidR="00FA1029" w:rsidRPr="003F50F8">
        <w:rPr>
          <w:rFonts w:ascii="Times New Roman" w:hAnsi="Times New Roman" w:cs="Times New Roman"/>
          <w:color w:val="000000" w:themeColor="text1"/>
          <w:sz w:val="24"/>
          <w:szCs w:val="24"/>
          <w:lang w:val="tr-TR"/>
        </w:rPr>
        <w:t xml:space="preserve"> u</w:t>
      </w:r>
      <w:r w:rsidR="003F50F8" w:rsidRPr="003F50F8">
        <w:rPr>
          <w:rFonts w:ascii="Times New Roman" w:hAnsi="Times New Roman" w:cs="Times New Roman"/>
          <w:color w:val="000000" w:themeColor="text1"/>
          <w:sz w:val="24"/>
          <w:szCs w:val="24"/>
          <w:lang w:val="tr-TR"/>
        </w:rPr>
        <w:t xml:space="preserve">zun dönemde daha etkili </w:t>
      </w:r>
      <w:r w:rsidR="00FA1029" w:rsidRPr="003F50F8">
        <w:rPr>
          <w:rFonts w:ascii="Times New Roman" w:hAnsi="Times New Roman" w:cs="Times New Roman"/>
          <w:color w:val="000000" w:themeColor="text1"/>
          <w:sz w:val="24"/>
          <w:szCs w:val="24"/>
          <w:lang w:val="tr-TR"/>
        </w:rPr>
        <w:t xml:space="preserve">olduğu </w:t>
      </w:r>
      <w:r w:rsidR="006A51FC" w:rsidRPr="003F50F8">
        <w:rPr>
          <w:rFonts w:ascii="Times New Roman" w:hAnsi="Times New Roman" w:cs="Times New Roman"/>
          <w:color w:val="000000" w:themeColor="text1"/>
          <w:sz w:val="24"/>
          <w:szCs w:val="24"/>
          <w:lang w:val="tr-TR"/>
        </w:rPr>
        <w:t xml:space="preserve">bulunmuştur. </w:t>
      </w:r>
      <w:r w:rsidR="001F29B4" w:rsidRPr="003F50F8">
        <w:rPr>
          <w:rFonts w:ascii="Times New Roman" w:hAnsi="Times New Roman" w:cs="Times New Roman"/>
          <w:color w:val="000000" w:themeColor="text1"/>
          <w:sz w:val="24"/>
          <w:szCs w:val="24"/>
          <w:lang w:val="tr-TR"/>
        </w:rPr>
        <w:t xml:space="preserve"> Çalışmada incelediğimiz </w:t>
      </w:r>
      <w:r w:rsidR="00971819" w:rsidRPr="003F50F8">
        <w:rPr>
          <w:rFonts w:ascii="Times New Roman" w:hAnsi="Times New Roman" w:cs="Times New Roman"/>
          <w:color w:val="000000" w:themeColor="text1"/>
          <w:sz w:val="24"/>
          <w:szCs w:val="24"/>
          <w:lang w:val="tr-TR"/>
        </w:rPr>
        <w:t>eğitim, nüfus</w:t>
      </w:r>
      <w:r w:rsidR="002D09FC" w:rsidRPr="003F50F8">
        <w:rPr>
          <w:rFonts w:ascii="Times New Roman" w:hAnsi="Times New Roman" w:cs="Times New Roman"/>
          <w:color w:val="000000" w:themeColor="text1"/>
          <w:sz w:val="24"/>
          <w:szCs w:val="24"/>
          <w:lang w:val="tr-TR"/>
        </w:rPr>
        <w:t xml:space="preserve"> ve güvenli suya erişim değişkenlerinin yaşam beklentisi üzerinde etkiye sahip olduğu ortaya konulmuştur.</w:t>
      </w:r>
      <w:r w:rsidR="002D09FC" w:rsidRPr="004A47CE">
        <w:rPr>
          <w:rFonts w:ascii="Times New Roman" w:hAnsi="Times New Roman" w:cs="Times New Roman"/>
          <w:color w:val="000000" w:themeColor="text1"/>
          <w:sz w:val="24"/>
          <w:szCs w:val="24"/>
          <w:lang w:val="tr-TR"/>
        </w:rPr>
        <w:t xml:space="preserve"> </w:t>
      </w:r>
    </w:p>
    <w:p w14:paraId="5EB88FC6" w14:textId="3D0615D9" w:rsidR="002D09FC" w:rsidRPr="004A47CE" w:rsidRDefault="002E1FF8" w:rsidP="004A47CE">
      <w:pPr>
        <w:tabs>
          <w:tab w:val="left" w:pos="960"/>
        </w:tabs>
        <w:spacing w:after="120" w:line="240" w:lineRule="auto"/>
        <w:ind w:firstLine="709"/>
        <w:jc w:val="both"/>
        <w:rPr>
          <w:rFonts w:ascii="Times New Roman" w:hAnsi="Times New Roman" w:cs="Times New Roman"/>
          <w:color w:val="000000" w:themeColor="text1"/>
          <w:sz w:val="24"/>
          <w:szCs w:val="24"/>
          <w:lang w:val="tr-TR"/>
        </w:rPr>
      </w:pPr>
      <w:r w:rsidRPr="004A47CE">
        <w:rPr>
          <w:rFonts w:ascii="Times New Roman" w:hAnsi="Times New Roman" w:cs="Times New Roman"/>
          <w:color w:val="000000" w:themeColor="text1"/>
          <w:sz w:val="24"/>
          <w:szCs w:val="24"/>
          <w:lang w:val="tr-TR"/>
        </w:rPr>
        <w:t>E</w:t>
      </w:r>
      <w:r w:rsidR="002D09FC" w:rsidRPr="004A47CE">
        <w:rPr>
          <w:rFonts w:ascii="Times New Roman" w:hAnsi="Times New Roman" w:cs="Times New Roman"/>
          <w:color w:val="000000" w:themeColor="text1"/>
          <w:sz w:val="24"/>
          <w:szCs w:val="24"/>
          <w:lang w:val="tr-TR"/>
        </w:rPr>
        <w:t>lde edilen bulgular ışığında</w:t>
      </w:r>
      <w:r w:rsidR="00F64775" w:rsidRPr="004A47CE">
        <w:rPr>
          <w:rFonts w:ascii="Times New Roman" w:hAnsi="Times New Roman" w:cs="Times New Roman"/>
          <w:color w:val="000000" w:themeColor="text1"/>
          <w:sz w:val="24"/>
          <w:szCs w:val="24"/>
          <w:lang w:val="tr-TR"/>
        </w:rPr>
        <w:t xml:space="preserve"> kadın ve erkeklerin sağlığının teşviki ve geliştirilmesine yönelik kararlar alınırken sosyo-demografik faktörlerin iyileştirilmesine önce</w:t>
      </w:r>
      <w:r w:rsidR="00212277" w:rsidRPr="004A47CE">
        <w:rPr>
          <w:rFonts w:ascii="Times New Roman" w:hAnsi="Times New Roman" w:cs="Times New Roman"/>
          <w:color w:val="000000" w:themeColor="text1"/>
          <w:sz w:val="24"/>
          <w:szCs w:val="24"/>
          <w:lang w:val="tr-TR"/>
        </w:rPr>
        <w:t>li</w:t>
      </w:r>
      <w:r w:rsidR="00F64775" w:rsidRPr="004A47CE">
        <w:rPr>
          <w:rFonts w:ascii="Times New Roman" w:hAnsi="Times New Roman" w:cs="Times New Roman"/>
          <w:color w:val="000000" w:themeColor="text1"/>
          <w:sz w:val="24"/>
          <w:szCs w:val="24"/>
          <w:lang w:val="tr-TR"/>
        </w:rPr>
        <w:t>k verilmesi gerekmektedir.</w:t>
      </w:r>
      <w:r w:rsidR="00212277" w:rsidRPr="004A47CE">
        <w:rPr>
          <w:rFonts w:ascii="Times New Roman" w:hAnsi="Times New Roman" w:cs="Times New Roman"/>
          <w:color w:val="000000" w:themeColor="text1"/>
          <w:sz w:val="24"/>
          <w:szCs w:val="24"/>
          <w:lang w:val="tr-TR"/>
        </w:rPr>
        <w:t xml:space="preserve"> Diğer bir deyişle nüfusun güvenli ve erişilebilir içme suyuna kavuşmasını sağlayarak ve eğitime gerekli önemi vererek sağlık çıktılarını</w:t>
      </w:r>
      <w:r w:rsidR="004E1261" w:rsidRPr="004A47CE">
        <w:rPr>
          <w:rFonts w:ascii="Times New Roman" w:hAnsi="Times New Roman" w:cs="Times New Roman"/>
          <w:color w:val="000000" w:themeColor="text1"/>
          <w:sz w:val="24"/>
          <w:szCs w:val="24"/>
          <w:lang w:val="tr-TR"/>
        </w:rPr>
        <w:t>n</w:t>
      </w:r>
      <w:r w:rsidR="00212277" w:rsidRPr="004A47CE">
        <w:rPr>
          <w:rFonts w:ascii="Times New Roman" w:hAnsi="Times New Roman" w:cs="Times New Roman"/>
          <w:color w:val="000000" w:themeColor="text1"/>
          <w:sz w:val="24"/>
          <w:szCs w:val="24"/>
          <w:lang w:val="tr-TR"/>
        </w:rPr>
        <w:t xml:space="preserve"> iyileştir</w:t>
      </w:r>
      <w:r w:rsidR="004E1261" w:rsidRPr="004A47CE">
        <w:rPr>
          <w:rFonts w:ascii="Times New Roman" w:hAnsi="Times New Roman" w:cs="Times New Roman"/>
          <w:color w:val="000000" w:themeColor="text1"/>
          <w:sz w:val="24"/>
          <w:szCs w:val="24"/>
          <w:lang w:val="tr-TR"/>
        </w:rPr>
        <w:t>ile</w:t>
      </w:r>
      <w:r w:rsidR="00212277" w:rsidRPr="004A47CE">
        <w:rPr>
          <w:rFonts w:ascii="Times New Roman" w:hAnsi="Times New Roman" w:cs="Times New Roman"/>
          <w:color w:val="000000" w:themeColor="text1"/>
          <w:sz w:val="24"/>
          <w:szCs w:val="24"/>
          <w:lang w:val="tr-TR"/>
        </w:rPr>
        <w:t>bileceği söylenebilir.</w:t>
      </w:r>
      <w:r w:rsidR="00F01473" w:rsidRPr="004A47CE">
        <w:rPr>
          <w:rFonts w:ascii="Times New Roman" w:hAnsi="Times New Roman" w:cs="Times New Roman"/>
          <w:color w:val="000000" w:themeColor="text1"/>
          <w:sz w:val="24"/>
          <w:szCs w:val="24"/>
          <w:lang w:val="tr-TR"/>
        </w:rPr>
        <w:t xml:space="preserve"> Çalışmamızda nüfustaki artışın yaşam beklentisini azalttığına dair görüşü destekler nitelikte bulgulara ulaşılmıştır. Dolayısıyla ele alın</w:t>
      </w:r>
      <w:r w:rsidR="00067260" w:rsidRPr="004A47CE">
        <w:rPr>
          <w:rFonts w:ascii="Times New Roman" w:hAnsi="Times New Roman" w:cs="Times New Roman"/>
          <w:color w:val="000000" w:themeColor="text1"/>
          <w:sz w:val="24"/>
          <w:szCs w:val="24"/>
          <w:lang w:val="tr-TR"/>
        </w:rPr>
        <w:t xml:space="preserve">an ülkelerde nüfus planlaması politikasının gerekli </w:t>
      </w:r>
      <w:r w:rsidR="00067260" w:rsidRPr="004A47CE">
        <w:rPr>
          <w:rFonts w:ascii="Times New Roman" w:hAnsi="Times New Roman" w:cs="Times New Roman"/>
          <w:color w:val="000000" w:themeColor="text1"/>
          <w:sz w:val="24"/>
          <w:szCs w:val="24"/>
          <w:lang w:val="tr-TR"/>
        </w:rPr>
        <w:lastRenderedPageBreak/>
        <w:t xml:space="preserve">olduğu söylenebilir. </w:t>
      </w:r>
      <w:r w:rsidR="005724FC" w:rsidRPr="004A47CE">
        <w:rPr>
          <w:rFonts w:ascii="Times New Roman" w:hAnsi="Times New Roman" w:cs="Times New Roman"/>
          <w:color w:val="000000" w:themeColor="text1"/>
          <w:sz w:val="24"/>
          <w:szCs w:val="24"/>
          <w:lang w:val="tr-TR"/>
        </w:rPr>
        <w:t>Genel olarak ü</w:t>
      </w:r>
      <w:r w:rsidR="004E1261" w:rsidRPr="004A47CE">
        <w:rPr>
          <w:rFonts w:ascii="Times New Roman" w:hAnsi="Times New Roman" w:cs="Times New Roman"/>
          <w:color w:val="000000" w:themeColor="text1"/>
          <w:sz w:val="24"/>
          <w:szCs w:val="24"/>
          <w:lang w:val="tr-TR"/>
        </w:rPr>
        <w:t>lkelerin sağlık politikalarında</w:t>
      </w:r>
      <w:r w:rsidR="001F75A1" w:rsidRPr="004A47CE">
        <w:rPr>
          <w:rFonts w:ascii="Times New Roman" w:hAnsi="Times New Roman" w:cs="Times New Roman"/>
          <w:color w:val="000000" w:themeColor="text1"/>
          <w:sz w:val="24"/>
          <w:szCs w:val="24"/>
          <w:lang w:val="tr-TR"/>
        </w:rPr>
        <w:t xml:space="preserve"> </w:t>
      </w:r>
      <w:r w:rsidR="00E50A98" w:rsidRPr="004A47CE">
        <w:rPr>
          <w:rFonts w:ascii="Times New Roman" w:hAnsi="Times New Roman" w:cs="Times New Roman"/>
          <w:color w:val="000000" w:themeColor="text1"/>
          <w:sz w:val="24"/>
          <w:szCs w:val="24"/>
          <w:lang w:val="tr-TR"/>
        </w:rPr>
        <w:t>sosyo-demografik hedeflerin ön plana çıkarılması önerilmektedir.</w:t>
      </w:r>
    </w:p>
    <w:p w14:paraId="08E09EEE" w14:textId="4591B319" w:rsidR="00603AAE" w:rsidRPr="00965FBD" w:rsidRDefault="005711B4" w:rsidP="00EC0C30">
      <w:pPr>
        <w:pStyle w:val="1"/>
        <w:rPr>
          <w:rFonts w:ascii="Times New Roman" w:hAnsi="Times New Roman" w:cs="Times New Roman"/>
          <w:b/>
          <w:color w:val="auto"/>
          <w:sz w:val="24"/>
          <w:szCs w:val="24"/>
          <w:lang w:val="tr-TR"/>
        </w:rPr>
      </w:pPr>
      <w:r w:rsidRPr="00965FBD">
        <w:rPr>
          <w:rFonts w:ascii="Times New Roman" w:hAnsi="Times New Roman" w:cs="Times New Roman"/>
          <w:b/>
          <w:color w:val="auto"/>
          <w:sz w:val="24"/>
          <w:szCs w:val="24"/>
          <w:lang w:val="tr-TR"/>
        </w:rPr>
        <w:t>KAYNAKÇA</w:t>
      </w:r>
    </w:p>
    <w:p w14:paraId="282467D8" w14:textId="415CF3B0" w:rsidR="009A4639" w:rsidRPr="00684570" w:rsidRDefault="007E0B94" w:rsidP="00684570">
      <w:pPr>
        <w:tabs>
          <w:tab w:val="left" w:pos="960"/>
        </w:tabs>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AFONSO</w:t>
      </w:r>
      <w:r w:rsidR="005431DC" w:rsidRPr="00684570">
        <w:rPr>
          <w:rFonts w:ascii="Times New Roman" w:hAnsi="Times New Roman" w:cs="Times New Roman"/>
          <w:sz w:val="24"/>
          <w:szCs w:val="24"/>
          <w:lang w:val="en-US"/>
        </w:rPr>
        <w:t xml:space="preserve">, </w:t>
      </w:r>
      <w:r w:rsidR="00DD64A2" w:rsidRPr="00684570">
        <w:rPr>
          <w:rFonts w:ascii="Times New Roman" w:hAnsi="Times New Roman" w:cs="Times New Roman"/>
          <w:sz w:val="24"/>
          <w:szCs w:val="24"/>
          <w:lang w:val="en-US"/>
        </w:rPr>
        <w:t>A.</w:t>
      </w:r>
      <w:r w:rsidR="00687550" w:rsidRPr="00684570">
        <w:rPr>
          <w:rFonts w:ascii="Times New Roman" w:hAnsi="Times New Roman" w:cs="Times New Roman"/>
          <w:sz w:val="24"/>
          <w:szCs w:val="24"/>
          <w:lang w:val="en-US"/>
        </w:rPr>
        <w:t xml:space="preserve"> and</w:t>
      </w:r>
      <w:r w:rsidR="00C9789A" w:rsidRPr="00684570">
        <w:rPr>
          <w:rFonts w:ascii="Times New Roman" w:hAnsi="Times New Roman" w:cs="Times New Roman"/>
          <w:sz w:val="24"/>
          <w:szCs w:val="24"/>
          <w:lang w:val="en-US"/>
        </w:rPr>
        <w:t xml:space="preserve"> </w:t>
      </w:r>
      <w:r w:rsidR="00DD64A2" w:rsidRPr="00684570">
        <w:rPr>
          <w:rFonts w:ascii="Times New Roman" w:hAnsi="Times New Roman" w:cs="Times New Roman"/>
          <w:sz w:val="24"/>
          <w:szCs w:val="24"/>
          <w:lang w:val="en-US"/>
        </w:rPr>
        <w:t>AUBYN</w:t>
      </w:r>
      <w:r w:rsidRPr="00684570">
        <w:rPr>
          <w:rFonts w:ascii="Times New Roman" w:hAnsi="Times New Roman" w:cs="Times New Roman"/>
          <w:sz w:val="24"/>
          <w:szCs w:val="24"/>
          <w:lang w:val="en-US"/>
        </w:rPr>
        <w:t>, M. St.,</w:t>
      </w:r>
      <w:r w:rsidR="00687550" w:rsidRPr="00684570">
        <w:rPr>
          <w:rFonts w:ascii="Times New Roman" w:hAnsi="Times New Roman" w:cs="Times New Roman"/>
          <w:sz w:val="24"/>
          <w:szCs w:val="24"/>
          <w:lang w:val="en-US"/>
        </w:rPr>
        <w:t xml:space="preserve"> </w:t>
      </w:r>
      <w:r w:rsidRPr="00684570">
        <w:rPr>
          <w:rFonts w:ascii="Times New Roman" w:hAnsi="Times New Roman" w:cs="Times New Roman"/>
          <w:sz w:val="24"/>
          <w:szCs w:val="24"/>
          <w:lang w:val="en-US"/>
        </w:rPr>
        <w:t xml:space="preserve">(2006), </w:t>
      </w:r>
      <w:r w:rsidR="005431DC" w:rsidRPr="00684570">
        <w:rPr>
          <w:rFonts w:ascii="Times New Roman" w:hAnsi="Times New Roman" w:cs="Times New Roman"/>
          <w:sz w:val="24"/>
          <w:szCs w:val="24"/>
          <w:lang w:val="en-US"/>
        </w:rPr>
        <w:t>Relative Efficiency of Health Provision: a DEA Approac</w:t>
      </w:r>
      <w:r w:rsidRPr="00684570">
        <w:rPr>
          <w:rFonts w:ascii="Times New Roman" w:hAnsi="Times New Roman" w:cs="Times New Roman"/>
          <w:sz w:val="24"/>
          <w:szCs w:val="24"/>
          <w:lang w:val="en-US"/>
        </w:rPr>
        <w:t xml:space="preserve">h </w:t>
      </w:r>
      <w:r w:rsidR="00940E86">
        <w:rPr>
          <w:rFonts w:ascii="Times New Roman" w:hAnsi="Times New Roman" w:cs="Times New Roman"/>
          <w:sz w:val="24"/>
          <w:szCs w:val="24"/>
          <w:lang w:val="en-US"/>
        </w:rPr>
        <w:t>with Non-D</w:t>
      </w:r>
      <w:r w:rsidRPr="00684570">
        <w:rPr>
          <w:rFonts w:ascii="Times New Roman" w:hAnsi="Times New Roman" w:cs="Times New Roman"/>
          <w:sz w:val="24"/>
          <w:szCs w:val="24"/>
          <w:lang w:val="en-US"/>
        </w:rPr>
        <w:t>iscretionary Inputs</w:t>
      </w:r>
      <w:r w:rsidR="005431DC" w:rsidRPr="00684570">
        <w:rPr>
          <w:rFonts w:ascii="Times New Roman" w:hAnsi="Times New Roman" w:cs="Times New Roman"/>
          <w:sz w:val="24"/>
          <w:szCs w:val="24"/>
          <w:lang w:val="en-US"/>
        </w:rPr>
        <w:t>, ISEG-UTL Economics Working Paper, No. 33/2006/DE/UECE, www.iseg.utl.pt/departamentos/economia/wp/wp332006deuece.pdf.</w:t>
      </w:r>
    </w:p>
    <w:p w14:paraId="15ACA30B" w14:textId="312892FD" w:rsidR="009A4639" w:rsidRPr="00684570" w:rsidRDefault="00687550" w:rsidP="00684570">
      <w:pPr>
        <w:autoSpaceDE w:val="0"/>
        <w:autoSpaceDN w:val="0"/>
        <w:adjustRightInd w:val="0"/>
        <w:spacing w:after="120" w:line="240" w:lineRule="auto"/>
        <w:ind w:left="284" w:hanging="284"/>
        <w:jc w:val="both"/>
        <w:rPr>
          <w:rFonts w:ascii="Times New Roman" w:eastAsia="STIX-Regular" w:hAnsi="Times New Roman" w:cs="Times New Roman"/>
          <w:sz w:val="24"/>
          <w:szCs w:val="24"/>
          <w:lang w:val="en-US"/>
        </w:rPr>
      </w:pPr>
      <w:r w:rsidRPr="00684570">
        <w:rPr>
          <w:rFonts w:ascii="Times New Roman" w:eastAsia="STIX-Regular" w:hAnsi="Times New Roman" w:cs="Times New Roman"/>
          <w:sz w:val="24"/>
          <w:szCs w:val="24"/>
          <w:lang w:val="en-US"/>
        </w:rPr>
        <w:t>ANJUM</w:t>
      </w:r>
      <w:r w:rsidR="00EC0C30" w:rsidRPr="00684570">
        <w:rPr>
          <w:rFonts w:ascii="Times New Roman" w:eastAsia="STIX-Regular" w:hAnsi="Times New Roman" w:cs="Times New Roman"/>
          <w:sz w:val="24"/>
          <w:szCs w:val="24"/>
          <w:lang w:val="en-US"/>
        </w:rPr>
        <w:t xml:space="preserve">, N., </w:t>
      </w:r>
      <w:r w:rsidRPr="00684570">
        <w:rPr>
          <w:rFonts w:ascii="Times New Roman" w:eastAsia="STIX-Regular" w:hAnsi="Times New Roman" w:cs="Times New Roman"/>
          <w:sz w:val="24"/>
          <w:szCs w:val="24"/>
          <w:lang w:val="en-US"/>
        </w:rPr>
        <w:t xml:space="preserve">GHUMRO, </w:t>
      </w:r>
      <w:r w:rsidR="00DD64A2" w:rsidRPr="00684570">
        <w:rPr>
          <w:rFonts w:ascii="Times New Roman" w:eastAsia="STIX-Regular" w:hAnsi="Times New Roman" w:cs="Times New Roman"/>
          <w:sz w:val="24"/>
          <w:szCs w:val="24"/>
          <w:lang w:val="en-US"/>
        </w:rPr>
        <w:t>N. H.</w:t>
      </w:r>
      <w:r w:rsidR="00EC0C30" w:rsidRPr="00684570">
        <w:rPr>
          <w:rFonts w:ascii="Times New Roman" w:eastAsia="STIX-Regular" w:hAnsi="Times New Roman" w:cs="Times New Roman"/>
          <w:sz w:val="24"/>
          <w:szCs w:val="24"/>
          <w:lang w:val="en-US"/>
        </w:rPr>
        <w:t xml:space="preserve"> </w:t>
      </w:r>
      <w:r w:rsidRPr="00684570">
        <w:rPr>
          <w:rFonts w:ascii="Times New Roman" w:eastAsia="STIX-Regular" w:hAnsi="Times New Roman" w:cs="Times New Roman"/>
          <w:sz w:val="24"/>
          <w:szCs w:val="24"/>
          <w:lang w:val="en-US"/>
        </w:rPr>
        <w:t>and</w:t>
      </w:r>
      <w:r w:rsidR="00EC0C30" w:rsidRPr="00684570">
        <w:rPr>
          <w:rFonts w:ascii="Times New Roman" w:eastAsia="STIX-Regular" w:hAnsi="Times New Roman" w:cs="Times New Roman"/>
          <w:sz w:val="24"/>
          <w:szCs w:val="24"/>
          <w:lang w:val="en-US"/>
        </w:rPr>
        <w:t xml:space="preserve"> </w:t>
      </w:r>
      <w:r w:rsidRPr="00684570">
        <w:rPr>
          <w:rFonts w:ascii="Times New Roman" w:eastAsia="STIX-Regular" w:hAnsi="Times New Roman" w:cs="Times New Roman"/>
          <w:sz w:val="24"/>
          <w:szCs w:val="24"/>
          <w:lang w:val="en-US"/>
        </w:rPr>
        <w:t>HUSAIN</w:t>
      </w:r>
      <w:r w:rsidR="00EC0C30" w:rsidRPr="00684570">
        <w:rPr>
          <w:rFonts w:ascii="Times New Roman" w:eastAsia="STIX-Regular" w:hAnsi="Times New Roman" w:cs="Times New Roman"/>
          <w:sz w:val="24"/>
          <w:szCs w:val="24"/>
          <w:lang w:val="en-US"/>
        </w:rPr>
        <w:t>, B.</w:t>
      </w:r>
      <w:r w:rsidRPr="00684570">
        <w:rPr>
          <w:rFonts w:ascii="Times New Roman" w:eastAsia="STIX-Regular" w:hAnsi="Times New Roman" w:cs="Times New Roman"/>
          <w:sz w:val="24"/>
          <w:szCs w:val="24"/>
          <w:lang w:val="en-US"/>
        </w:rPr>
        <w:t xml:space="preserve">, (2017), </w:t>
      </w:r>
      <w:r w:rsidR="00EC0C30" w:rsidRPr="00684570">
        <w:rPr>
          <w:rFonts w:ascii="Times New Roman" w:eastAsia="STIX-Regular" w:hAnsi="Times New Roman" w:cs="Times New Roman"/>
          <w:sz w:val="24"/>
          <w:szCs w:val="24"/>
          <w:lang w:val="en-US"/>
        </w:rPr>
        <w:t xml:space="preserve">Asymmetric </w:t>
      </w:r>
      <w:r w:rsidRPr="00684570">
        <w:rPr>
          <w:rFonts w:ascii="Times New Roman" w:eastAsia="STIX-Regular" w:hAnsi="Times New Roman" w:cs="Times New Roman"/>
          <w:sz w:val="24"/>
          <w:szCs w:val="24"/>
          <w:lang w:val="en-US"/>
        </w:rPr>
        <w:t>Impact of Exchange Rate Changes on Stock Prices:</w:t>
      </w:r>
      <w:bookmarkStart w:id="0" w:name="_GoBack"/>
      <w:bookmarkEnd w:id="0"/>
      <w:r w:rsidRPr="00684570">
        <w:rPr>
          <w:rFonts w:ascii="Times New Roman" w:eastAsia="STIX-Regular" w:hAnsi="Times New Roman" w:cs="Times New Roman"/>
          <w:sz w:val="24"/>
          <w:szCs w:val="24"/>
          <w:lang w:val="en-US"/>
        </w:rPr>
        <w:t xml:space="preserve"> </w:t>
      </w:r>
      <w:r w:rsidR="00EC0C30" w:rsidRPr="00684570">
        <w:rPr>
          <w:rFonts w:ascii="Times New Roman" w:eastAsia="STIX-Regular" w:hAnsi="Times New Roman" w:cs="Times New Roman"/>
          <w:sz w:val="24"/>
          <w:szCs w:val="24"/>
          <w:lang w:val="en-US"/>
        </w:rPr>
        <w:t xml:space="preserve">Empirical </w:t>
      </w:r>
      <w:r w:rsidRPr="00684570">
        <w:rPr>
          <w:rFonts w:ascii="Times New Roman" w:eastAsia="STIX-Regular" w:hAnsi="Times New Roman" w:cs="Times New Roman"/>
          <w:sz w:val="24"/>
          <w:szCs w:val="24"/>
          <w:lang w:val="en-US"/>
        </w:rPr>
        <w:t>Evidence from Germany,</w:t>
      </w:r>
      <w:r w:rsidR="00EC0C30" w:rsidRPr="00684570">
        <w:rPr>
          <w:rFonts w:ascii="Times New Roman" w:eastAsia="STIX-Regular" w:hAnsi="Times New Roman" w:cs="Times New Roman"/>
          <w:sz w:val="24"/>
          <w:szCs w:val="24"/>
          <w:lang w:val="en-US"/>
        </w:rPr>
        <w:t xml:space="preserve"> </w:t>
      </w:r>
      <w:r w:rsidR="00EC0C30" w:rsidRPr="00684570">
        <w:rPr>
          <w:rFonts w:ascii="Times New Roman" w:eastAsia="STIX-Regular" w:hAnsi="Times New Roman" w:cs="Times New Roman"/>
          <w:i/>
          <w:iCs/>
          <w:sz w:val="24"/>
          <w:szCs w:val="24"/>
          <w:lang w:val="en-US"/>
        </w:rPr>
        <w:t>International Journal of Economics and Financial</w:t>
      </w:r>
      <w:r w:rsidR="00EC0C30" w:rsidRPr="00684570">
        <w:rPr>
          <w:rFonts w:ascii="Times New Roman" w:eastAsia="STIX-Regular" w:hAnsi="Times New Roman" w:cs="Times New Roman"/>
          <w:sz w:val="24"/>
          <w:szCs w:val="24"/>
          <w:lang w:val="en-US"/>
        </w:rPr>
        <w:t xml:space="preserve"> </w:t>
      </w:r>
      <w:r w:rsidR="00EC0C30" w:rsidRPr="00684570">
        <w:rPr>
          <w:rFonts w:ascii="Times New Roman" w:eastAsia="STIX-Regular" w:hAnsi="Times New Roman" w:cs="Times New Roman"/>
          <w:i/>
          <w:iCs/>
          <w:sz w:val="24"/>
          <w:szCs w:val="24"/>
          <w:lang w:val="en-US"/>
        </w:rPr>
        <w:t>Research</w:t>
      </w:r>
      <w:r w:rsidR="00EC0C30" w:rsidRPr="00684570">
        <w:rPr>
          <w:rFonts w:ascii="Times New Roman" w:eastAsia="STIX-Regular" w:hAnsi="Times New Roman" w:cs="Times New Roman"/>
          <w:sz w:val="24"/>
          <w:szCs w:val="24"/>
          <w:lang w:val="en-US"/>
        </w:rPr>
        <w:t xml:space="preserve">, </w:t>
      </w:r>
      <w:r w:rsidR="00EC0C30" w:rsidRPr="00684570">
        <w:rPr>
          <w:rFonts w:ascii="Times New Roman" w:eastAsia="STIX-Regular" w:hAnsi="Times New Roman" w:cs="Times New Roman"/>
          <w:i/>
          <w:iCs/>
          <w:sz w:val="24"/>
          <w:szCs w:val="24"/>
          <w:lang w:val="en-US"/>
        </w:rPr>
        <w:t>3</w:t>
      </w:r>
      <w:r w:rsidR="009A4639" w:rsidRPr="00684570">
        <w:rPr>
          <w:rFonts w:ascii="Times New Roman" w:eastAsia="STIX-Regular" w:hAnsi="Times New Roman" w:cs="Times New Roman"/>
          <w:sz w:val="24"/>
          <w:szCs w:val="24"/>
          <w:lang w:val="en-US"/>
        </w:rPr>
        <w:t>(11), 240–245.</w:t>
      </w:r>
    </w:p>
    <w:p w14:paraId="423FDD2B" w14:textId="00215721" w:rsidR="009A4639" w:rsidRPr="00684570" w:rsidRDefault="00DD64A2" w:rsidP="00684570">
      <w:pPr>
        <w:autoSpaceDE w:val="0"/>
        <w:autoSpaceDN w:val="0"/>
        <w:adjustRightInd w:val="0"/>
        <w:spacing w:after="120" w:line="240" w:lineRule="auto"/>
        <w:ind w:left="284" w:hanging="284"/>
        <w:jc w:val="both"/>
        <w:rPr>
          <w:rFonts w:ascii="Times New Roman" w:hAnsi="Times New Roman" w:cs="Times New Roman"/>
          <w:i/>
          <w:iCs/>
          <w:sz w:val="24"/>
          <w:szCs w:val="24"/>
          <w:lang w:val="en-US"/>
        </w:rPr>
      </w:pPr>
      <w:r w:rsidRPr="00684570">
        <w:rPr>
          <w:rFonts w:ascii="Times New Roman" w:hAnsi="Times New Roman" w:cs="Times New Roman"/>
          <w:sz w:val="24"/>
          <w:szCs w:val="24"/>
          <w:lang w:val="en-US"/>
        </w:rPr>
        <w:t xml:space="preserve">ASAFU-ADJAYE, </w:t>
      </w:r>
      <w:r w:rsidR="00687550" w:rsidRPr="00684570">
        <w:rPr>
          <w:rFonts w:ascii="Times New Roman" w:hAnsi="Times New Roman" w:cs="Times New Roman"/>
          <w:sz w:val="24"/>
          <w:szCs w:val="24"/>
          <w:lang w:val="en-US"/>
        </w:rPr>
        <w:t xml:space="preserve">J., (2007), </w:t>
      </w:r>
      <w:r w:rsidR="00EC0C30" w:rsidRPr="00684570">
        <w:rPr>
          <w:rFonts w:ascii="Times New Roman" w:hAnsi="Times New Roman" w:cs="Times New Roman"/>
          <w:sz w:val="24"/>
          <w:szCs w:val="24"/>
          <w:lang w:val="en-US"/>
        </w:rPr>
        <w:t xml:space="preserve">Income </w:t>
      </w:r>
      <w:r w:rsidR="009A59F9" w:rsidRPr="00684570">
        <w:rPr>
          <w:rFonts w:ascii="Times New Roman" w:hAnsi="Times New Roman" w:cs="Times New Roman"/>
          <w:sz w:val="24"/>
          <w:szCs w:val="24"/>
          <w:lang w:val="en-US"/>
        </w:rPr>
        <w:t xml:space="preserve">Inequality and Health: </w:t>
      </w:r>
      <w:r w:rsidR="00687550" w:rsidRPr="00684570">
        <w:rPr>
          <w:rFonts w:ascii="Times New Roman" w:hAnsi="Times New Roman" w:cs="Times New Roman"/>
          <w:sz w:val="24"/>
          <w:szCs w:val="24"/>
          <w:lang w:val="en-US"/>
        </w:rPr>
        <w:t>a</w:t>
      </w:r>
      <w:r w:rsidR="009A59F9" w:rsidRPr="00684570">
        <w:rPr>
          <w:rFonts w:ascii="Times New Roman" w:hAnsi="Times New Roman" w:cs="Times New Roman"/>
          <w:sz w:val="24"/>
          <w:szCs w:val="24"/>
          <w:lang w:val="en-US"/>
        </w:rPr>
        <w:t xml:space="preserve"> </w:t>
      </w:r>
      <w:r w:rsidR="00687550" w:rsidRPr="00684570">
        <w:rPr>
          <w:rFonts w:ascii="Times New Roman" w:hAnsi="Times New Roman" w:cs="Times New Roman"/>
          <w:sz w:val="24"/>
          <w:szCs w:val="24"/>
          <w:lang w:val="en-US"/>
        </w:rPr>
        <w:t>Multi-Country Analysis</w:t>
      </w:r>
      <w:r w:rsidR="00EC0C30" w:rsidRPr="00684570">
        <w:rPr>
          <w:rFonts w:ascii="Times New Roman" w:hAnsi="Times New Roman" w:cs="Times New Roman"/>
          <w:sz w:val="24"/>
          <w:szCs w:val="24"/>
          <w:lang w:val="en-US"/>
        </w:rPr>
        <w:t xml:space="preserve">. </w:t>
      </w:r>
      <w:r w:rsidR="00EC0C30" w:rsidRPr="00684570">
        <w:rPr>
          <w:rFonts w:ascii="Times New Roman" w:hAnsi="Times New Roman" w:cs="Times New Roman"/>
          <w:i/>
          <w:iCs/>
          <w:sz w:val="24"/>
          <w:szCs w:val="24"/>
          <w:lang w:val="en-US"/>
        </w:rPr>
        <w:t>International Journal of Social</w:t>
      </w:r>
      <w:r w:rsidR="00EC0C30" w:rsidRPr="00684570">
        <w:rPr>
          <w:rFonts w:ascii="Times New Roman" w:hAnsi="Times New Roman" w:cs="Times New Roman"/>
          <w:i/>
          <w:iCs/>
          <w:sz w:val="24"/>
          <w:szCs w:val="24"/>
          <w:lang w:val="tr-TR"/>
        </w:rPr>
        <w:t xml:space="preserve"> </w:t>
      </w:r>
      <w:r w:rsidR="00EC0C30" w:rsidRPr="00684570">
        <w:rPr>
          <w:rFonts w:ascii="Times New Roman" w:hAnsi="Times New Roman" w:cs="Times New Roman"/>
          <w:i/>
          <w:iCs/>
          <w:sz w:val="24"/>
          <w:szCs w:val="24"/>
          <w:lang w:val="en-US"/>
        </w:rPr>
        <w:t>Economics</w:t>
      </w:r>
      <w:r w:rsidR="00EC0C30" w:rsidRPr="00684570">
        <w:rPr>
          <w:rFonts w:ascii="Times New Roman" w:hAnsi="Times New Roman" w:cs="Times New Roman"/>
          <w:sz w:val="24"/>
          <w:szCs w:val="24"/>
          <w:lang w:val="en-US"/>
        </w:rPr>
        <w:t xml:space="preserve">, </w:t>
      </w:r>
      <w:r w:rsidR="00EC0C30" w:rsidRPr="00684570">
        <w:rPr>
          <w:rFonts w:ascii="Times New Roman" w:hAnsi="Times New Roman" w:cs="Times New Roman"/>
          <w:i/>
          <w:iCs/>
          <w:sz w:val="24"/>
          <w:szCs w:val="24"/>
          <w:lang w:val="en-US"/>
        </w:rPr>
        <w:t>31</w:t>
      </w:r>
      <w:r w:rsidR="00EC0C30" w:rsidRPr="00684570">
        <w:rPr>
          <w:rFonts w:ascii="Times New Roman" w:hAnsi="Times New Roman" w:cs="Times New Roman"/>
          <w:sz w:val="24"/>
          <w:szCs w:val="24"/>
          <w:lang w:val="en-US"/>
        </w:rPr>
        <w:t>(1)</w:t>
      </w:r>
      <w:r w:rsidR="00EC0C30" w:rsidRPr="00684570">
        <w:rPr>
          <w:rFonts w:ascii="Times New Roman" w:hAnsi="Times New Roman" w:cs="Times New Roman"/>
          <w:i/>
          <w:iCs/>
          <w:sz w:val="24"/>
          <w:szCs w:val="24"/>
          <w:lang w:val="en-US"/>
        </w:rPr>
        <w:t xml:space="preserve">, </w:t>
      </w:r>
      <w:r w:rsidR="00EC0C30" w:rsidRPr="00684570">
        <w:rPr>
          <w:rFonts w:ascii="Times New Roman" w:hAnsi="Times New Roman" w:cs="Times New Roman"/>
          <w:sz w:val="24"/>
          <w:szCs w:val="24"/>
          <w:lang w:val="en-US"/>
        </w:rPr>
        <w:t xml:space="preserve">195-207. </w:t>
      </w:r>
      <w:r w:rsidR="009A4639" w:rsidRPr="00684570">
        <w:rPr>
          <w:rFonts w:ascii="Times New Roman" w:hAnsi="Times New Roman" w:cs="Times New Roman"/>
          <w:sz w:val="24"/>
          <w:szCs w:val="24"/>
          <w:lang w:val="en-US"/>
        </w:rPr>
        <w:t>http://dx.doi.org/10.1108/03068290410515501</w:t>
      </w:r>
    </w:p>
    <w:p w14:paraId="1D206FFE" w14:textId="74BE0C12" w:rsidR="009A4639" w:rsidRPr="00684570" w:rsidRDefault="00DD64A2" w:rsidP="00684570">
      <w:pPr>
        <w:tabs>
          <w:tab w:val="left" w:pos="960"/>
        </w:tabs>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ASISKOVITCH</w:t>
      </w:r>
      <w:r w:rsidR="00657187" w:rsidRPr="00684570">
        <w:rPr>
          <w:rFonts w:ascii="Times New Roman" w:hAnsi="Times New Roman" w:cs="Times New Roman"/>
          <w:sz w:val="24"/>
          <w:szCs w:val="24"/>
          <w:lang w:val="en-US"/>
        </w:rPr>
        <w:t xml:space="preserve">, S., </w:t>
      </w:r>
      <w:r w:rsidRPr="00684570">
        <w:rPr>
          <w:rFonts w:ascii="Times New Roman" w:hAnsi="Times New Roman" w:cs="Times New Roman"/>
          <w:sz w:val="24"/>
          <w:szCs w:val="24"/>
          <w:lang w:val="en-US"/>
        </w:rPr>
        <w:t>(</w:t>
      </w:r>
      <w:r w:rsidR="00657187" w:rsidRPr="00684570">
        <w:rPr>
          <w:rFonts w:ascii="Times New Roman" w:hAnsi="Times New Roman" w:cs="Times New Roman"/>
          <w:sz w:val="24"/>
          <w:szCs w:val="24"/>
          <w:lang w:val="en-US"/>
        </w:rPr>
        <w:t>2010</w:t>
      </w:r>
      <w:r w:rsidRPr="00684570">
        <w:rPr>
          <w:rFonts w:ascii="Times New Roman" w:hAnsi="Times New Roman" w:cs="Times New Roman"/>
          <w:sz w:val="24"/>
          <w:szCs w:val="24"/>
          <w:lang w:val="en-US"/>
        </w:rPr>
        <w:t>),</w:t>
      </w:r>
      <w:r w:rsidR="00657187" w:rsidRPr="00684570">
        <w:rPr>
          <w:rFonts w:ascii="Times New Roman" w:hAnsi="Times New Roman" w:cs="Times New Roman"/>
          <w:sz w:val="24"/>
          <w:szCs w:val="24"/>
          <w:lang w:val="en-US"/>
        </w:rPr>
        <w:t xml:space="preserve"> Gender and </w:t>
      </w:r>
      <w:r w:rsidRPr="00684570">
        <w:rPr>
          <w:rFonts w:ascii="Times New Roman" w:hAnsi="Times New Roman" w:cs="Times New Roman"/>
          <w:sz w:val="24"/>
          <w:szCs w:val="24"/>
          <w:lang w:val="en-US"/>
        </w:rPr>
        <w:t>Health Outcomes: The Impact of Healthcare Systems and Their Financing on Life Expectancies of Women and Men,</w:t>
      </w:r>
      <w:r w:rsidR="00657187" w:rsidRPr="00684570">
        <w:rPr>
          <w:rFonts w:ascii="Times New Roman" w:hAnsi="Times New Roman" w:cs="Times New Roman"/>
          <w:sz w:val="24"/>
          <w:szCs w:val="24"/>
          <w:lang w:val="en-US"/>
        </w:rPr>
        <w:t xml:space="preserve"> </w:t>
      </w:r>
      <w:r w:rsidR="00657187" w:rsidRPr="00684570">
        <w:rPr>
          <w:rFonts w:ascii="Times New Roman" w:hAnsi="Times New Roman" w:cs="Times New Roman"/>
          <w:i/>
          <w:sz w:val="24"/>
          <w:szCs w:val="24"/>
          <w:lang w:val="en-US"/>
        </w:rPr>
        <w:t>Social Scien</w:t>
      </w:r>
      <w:r w:rsidR="007E0B94" w:rsidRPr="00684570">
        <w:rPr>
          <w:rFonts w:ascii="Times New Roman" w:hAnsi="Times New Roman" w:cs="Times New Roman"/>
          <w:i/>
          <w:sz w:val="24"/>
          <w:szCs w:val="24"/>
          <w:lang w:val="en-US"/>
        </w:rPr>
        <w:t xml:space="preserve">ce </w:t>
      </w:r>
      <w:r w:rsidR="00687550" w:rsidRPr="00684570">
        <w:rPr>
          <w:rFonts w:ascii="Times New Roman" w:hAnsi="Times New Roman" w:cs="Times New Roman"/>
          <w:i/>
          <w:sz w:val="24"/>
          <w:szCs w:val="24"/>
          <w:lang w:val="en-US"/>
        </w:rPr>
        <w:t>and</w:t>
      </w:r>
      <w:r w:rsidR="007E0B94" w:rsidRPr="00684570">
        <w:rPr>
          <w:rFonts w:ascii="Times New Roman" w:hAnsi="Times New Roman" w:cs="Times New Roman"/>
          <w:i/>
          <w:sz w:val="24"/>
          <w:szCs w:val="24"/>
          <w:lang w:val="en-US"/>
        </w:rPr>
        <w:t xml:space="preserve"> Medicine</w:t>
      </w:r>
      <w:r w:rsidRPr="00684570">
        <w:rPr>
          <w:rFonts w:ascii="Times New Roman" w:hAnsi="Times New Roman" w:cs="Times New Roman"/>
          <w:sz w:val="24"/>
          <w:szCs w:val="24"/>
          <w:lang w:val="en-US"/>
        </w:rPr>
        <w:t>,</w:t>
      </w:r>
      <w:r w:rsidR="007E0B94" w:rsidRPr="00684570">
        <w:rPr>
          <w:rFonts w:ascii="Times New Roman" w:hAnsi="Times New Roman" w:cs="Times New Roman"/>
          <w:sz w:val="24"/>
          <w:szCs w:val="24"/>
          <w:lang w:val="en-US"/>
        </w:rPr>
        <w:t xml:space="preserve"> 70 (6), 886-895.</w:t>
      </w:r>
    </w:p>
    <w:p w14:paraId="094AC0CB" w14:textId="611A99B5" w:rsidR="009A4639" w:rsidRPr="00684570" w:rsidRDefault="00DD64A2" w:rsidP="00684570">
      <w:pPr>
        <w:tabs>
          <w:tab w:val="left" w:pos="960"/>
        </w:tabs>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AUSTER, R., LEVESON, I. and SARACHEK, S</w:t>
      </w:r>
      <w:r w:rsidR="00597B6E" w:rsidRPr="00684570">
        <w:rPr>
          <w:rFonts w:ascii="Times New Roman" w:hAnsi="Times New Roman" w:cs="Times New Roman"/>
          <w:sz w:val="24"/>
          <w:szCs w:val="24"/>
          <w:lang w:val="en-US"/>
        </w:rPr>
        <w:t xml:space="preserve">., </w:t>
      </w:r>
      <w:r w:rsidRPr="00684570">
        <w:rPr>
          <w:rFonts w:ascii="Times New Roman" w:hAnsi="Times New Roman" w:cs="Times New Roman"/>
          <w:sz w:val="24"/>
          <w:szCs w:val="24"/>
          <w:lang w:val="en-US"/>
        </w:rPr>
        <w:t>(</w:t>
      </w:r>
      <w:r w:rsidR="00597B6E" w:rsidRPr="00684570">
        <w:rPr>
          <w:rFonts w:ascii="Times New Roman" w:hAnsi="Times New Roman" w:cs="Times New Roman"/>
          <w:sz w:val="24"/>
          <w:szCs w:val="24"/>
          <w:lang w:val="en-US"/>
        </w:rPr>
        <w:t>1969</w:t>
      </w:r>
      <w:r w:rsidRPr="00684570">
        <w:rPr>
          <w:rFonts w:ascii="Times New Roman" w:hAnsi="Times New Roman" w:cs="Times New Roman"/>
          <w:sz w:val="24"/>
          <w:szCs w:val="24"/>
          <w:lang w:val="en-US"/>
        </w:rPr>
        <w:t>),</w:t>
      </w:r>
      <w:r w:rsidR="00597B6E" w:rsidRPr="00684570">
        <w:rPr>
          <w:rFonts w:ascii="Times New Roman" w:hAnsi="Times New Roman" w:cs="Times New Roman"/>
          <w:sz w:val="24"/>
          <w:szCs w:val="24"/>
          <w:lang w:val="en-US"/>
        </w:rPr>
        <w:t xml:space="preserve"> The </w:t>
      </w:r>
      <w:r w:rsidRPr="00684570">
        <w:rPr>
          <w:rFonts w:ascii="Times New Roman" w:hAnsi="Times New Roman" w:cs="Times New Roman"/>
          <w:sz w:val="24"/>
          <w:szCs w:val="24"/>
          <w:lang w:val="en-US"/>
        </w:rPr>
        <w:t>Production of Health: An Exploratory Study,</w:t>
      </w:r>
      <w:r w:rsidR="00597B6E" w:rsidRPr="00684570">
        <w:rPr>
          <w:rFonts w:ascii="Times New Roman" w:hAnsi="Times New Roman" w:cs="Times New Roman"/>
          <w:sz w:val="24"/>
          <w:szCs w:val="24"/>
          <w:lang w:val="en-US"/>
        </w:rPr>
        <w:t xml:space="preserve"> </w:t>
      </w:r>
      <w:r w:rsidR="00597B6E" w:rsidRPr="00684570">
        <w:rPr>
          <w:rFonts w:ascii="Times New Roman" w:hAnsi="Times New Roman" w:cs="Times New Roman"/>
          <w:i/>
          <w:sz w:val="24"/>
          <w:szCs w:val="24"/>
          <w:lang w:val="en-US"/>
        </w:rPr>
        <w:t>Journal of Human Resources</w:t>
      </w:r>
      <w:r w:rsidRPr="00684570">
        <w:rPr>
          <w:rFonts w:ascii="Times New Roman" w:hAnsi="Times New Roman" w:cs="Times New Roman"/>
          <w:sz w:val="24"/>
          <w:szCs w:val="24"/>
          <w:lang w:val="en-US"/>
        </w:rPr>
        <w:t>,</w:t>
      </w:r>
      <w:r w:rsidR="00597B6E" w:rsidRPr="00684570">
        <w:rPr>
          <w:rFonts w:ascii="Times New Roman" w:hAnsi="Times New Roman" w:cs="Times New Roman"/>
          <w:sz w:val="24"/>
          <w:szCs w:val="24"/>
          <w:lang w:val="en-US"/>
        </w:rPr>
        <w:t xml:space="preserve"> 4, 411-36.</w:t>
      </w:r>
    </w:p>
    <w:p w14:paraId="110BAA27" w14:textId="456FFF32" w:rsidR="009A4639" w:rsidRPr="00684570" w:rsidRDefault="00DD64A2" w:rsidP="00684570">
      <w:pPr>
        <w:spacing w:after="120" w:line="240" w:lineRule="auto"/>
        <w:ind w:left="284" w:hanging="284"/>
        <w:jc w:val="both"/>
        <w:rPr>
          <w:rFonts w:ascii="Times New Roman" w:hAnsi="Times New Roman" w:cs="Times New Roman"/>
          <w:sz w:val="24"/>
          <w:szCs w:val="24"/>
          <w:lang w:val="tr-TR"/>
        </w:rPr>
      </w:pPr>
      <w:r w:rsidRPr="00684570">
        <w:rPr>
          <w:rFonts w:ascii="Times New Roman" w:hAnsi="Times New Roman" w:cs="Times New Roman"/>
          <w:sz w:val="24"/>
          <w:szCs w:val="24"/>
          <w:lang w:val="tr-TR"/>
        </w:rPr>
        <w:t>BARLOW, R. and VİSSANDJÉE, B.,</w:t>
      </w:r>
      <w:r w:rsidR="00552DF0" w:rsidRPr="00684570">
        <w:rPr>
          <w:rFonts w:ascii="Times New Roman" w:hAnsi="Times New Roman" w:cs="Times New Roman"/>
          <w:sz w:val="24"/>
          <w:szCs w:val="24"/>
          <w:lang w:val="tr-TR"/>
        </w:rPr>
        <w:t xml:space="preserve"> (1999)</w:t>
      </w:r>
      <w:r w:rsidRPr="00684570">
        <w:rPr>
          <w:rFonts w:ascii="Times New Roman" w:hAnsi="Times New Roman" w:cs="Times New Roman"/>
          <w:sz w:val="24"/>
          <w:szCs w:val="24"/>
          <w:lang w:val="tr-TR"/>
        </w:rPr>
        <w:t>,</w:t>
      </w:r>
      <w:r w:rsidR="00552DF0" w:rsidRPr="00684570">
        <w:rPr>
          <w:rFonts w:ascii="Times New Roman" w:hAnsi="Times New Roman" w:cs="Times New Roman"/>
          <w:sz w:val="24"/>
          <w:szCs w:val="24"/>
          <w:lang w:val="tr-TR"/>
        </w:rPr>
        <w:t xml:space="preserve"> Determinants of National Life Expectancy, </w:t>
      </w:r>
      <w:r w:rsidR="00552DF0" w:rsidRPr="00684570">
        <w:rPr>
          <w:rFonts w:ascii="Times New Roman" w:hAnsi="Times New Roman" w:cs="Times New Roman"/>
          <w:i/>
          <w:sz w:val="24"/>
          <w:szCs w:val="24"/>
          <w:lang w:val="tr-TR"/>
        </w:rPr>
        <w:t>Canadian Journal of Development Studies</w:t>
      </w:r>
      <w:r w:rsidR="00552DF0" w:rsidRPr="00684570">
        <w:rPr>
          <w:rFonts w:ascii="Times New Roman" w:hAnsi="Times New Roman" w:cs="Times New Roman"/>
          <w:sz w:val="24"/>
          <w:szCs w:val="24"/>
          <w:lang w:val="tr-TR"/>
        </w:rPr>
        <w:t>/Revue canadienne d</w:t>
      </w:r>
      <w:r w:rsidR="00687550" w:rsidRPr="00684570">
        <w:rPr>
          <w:rFonts w:ascii="Times New Roman" w:hAnsi="Times New Roman" w:cs="Times New Roman"/>
          <w:sz w:val="24"/>
          <w:szCs w:val="24"/>
          <w:lang w:val="tr-TR"/>
        </w:rPr>
        <w:t>and</w:t>
      </w:r>
      <w:r w:rsidR="00552DF0" w:rsidRPr="00684570">
        <w:rPr>
          <w:rFonts w:ascii="Times New Roman" w:hAnsi="Times New Roman" w:cs="Times New Roman"/>
          <w:sz w:val="24"/>
          <w:szCs w:val="24"/>
          <w:lang w:val="tr-TR"/>
        </w:rPr>
        <w:t>apos;</w:t>
      </w:r>
      <w:r w:rsidR="00687550" w:rsidRPr="00684570">
        <w:rPr>
          <w:rFonts w:ascii="Times New Roman" w:hAnsi="Times New Roman" w:cs="Times New Roman"/>
          <w:sz w:val="24"/>
          <w:szCs w:val="24"/>
          <w:lang w:val="tr-TR"/>
        </w:rPr>
        <w:t>and</w:t>
      </w:r>
      <w:r w:rsidR="00552DF0" w:rsidRPr="00684570">
        <w:rPr>
          <w:rFonts w:ascii="Times New Roman" w:hAnsi="Times New Roman" w:cs="Times New Roman"/>
          <w:sz w:val="24"/>
          <w:szCs w:val="24"/>
          <w:lang w:val="tr-TR"/>
        </w:rPr>
        <w:t>eacute;tudesdu d</w:t>
      </w:r>
      <w:r w:rsidR="00687550" w:rsidRPr="00684570">
        <w:rPr>
          <w:rFonts w:ascii="Times New Roman" w:hAnsi="Times New Roman" w:cs="Times New Roman"/>
          <w:sz w:val="24"/>
          <w:szCs w:val="24"/>
          <w:lang w:val="tr-TR"/>
        </w:rPr>
        <w:t>and</w:t>
      </w:r>
      <w:r w:rsidRPr="00684570">
        <w:rPr>
          <w:rFonts w:ascii="Times New Roman" w:hAnsi="Times New Roman" w:cs="Times New Roman"/>
          <w:sz w:val="24"/>
          <w:szCs w:val="24"/>
          <w:lang w:val="tr-TR"/>
        </w:rPr>
        <w:t>eacute;veloppement, 20(</w:t>
      </w:r>
      <w:r w:rsidR="00552DF0" w:rsidRPr="00684570">
        <w:rPr>
          <w:rFonts w:ascii="Times New Roman" w:hAnsi="Times New Roman" w:cs="Times New Roman"/>
          <w:sz w:val="24"/>
          <w:szCs w:val="24"/>
          <w:lang w:val="tr-TR"/>
        </w:rPr>
        <w:t>1</w:t>
      </w:r>
      <w:r w:rsidRPr="00684570">
        <w:rPr>
          <w:rFonts w:ascii="Times New Roman" w:hAnsi="Times New Roman" w:cs="Times New Roman"/>
          <w:sz w:val="24"/>
          <w:szCs w:val="24"/>
          <w:lang w:val="tr-TR"/>
        </w:rPr>
        <w:t>)</w:t>
      </w:r>
      <w:r w:rsidR="00552DF0" w:rsidRPr="00684570">
        <w:rPr>
          <w:rFonts w:ascii="Times New Roman" w:hAnsi="Times New Roman" w:cs="Times New Roman"/>
          <w:sz w:val="24"/>
          <w:szCs w:val="24"/>
          <w:lang w:val="tr-TR"/>
        </w:rPr>
        <w:t>, 9-29, DOI</w:t>
      </w:r>
      <w:r w:rsidR="007E0B94" w:rsidRPr="00684570">
        <w:rPr>
          <w:rFonts w:ascii="Times New Roman" w:hAnsi="Times New Roman" w:cs="Times New Roman"/>
          <w:sz w:val="24"/>
          <w:szCs w:val="24"/>
          <w:lang w:val="tr-TR"/>
        </w:rPr>
        <w:t>: 10.1080/02255189.1999.9668787</w:t>
      </w:r>
    </w:p>
    <w:p w14:paraId="5724159C" w14:textId="7884681D" w:rsidR="009A4639" w:rsidRPr="00684570" w:rsidRDefault="00DD64A2" w:rsidP="00684570">
      <w:pPr>
        <w:spacing w:after="120" w:line="240" w:lineRule="auto"/>
        <w:ind w:left="284" w:hanging="284"/>
        <w:jc w:val="both"/>
        <w:rPr>
          <w:rFonts w:ascii="Times New Roman" w:hAnsi="Times New Roman" w:cs="Times New Roman"/>
          <w:sz w:val="24"/>
          <w:szCs w:val="24"/>
          <w:lang w:val="tr-TR"/>
        </w:rPr>
      </w:pPr>
      <w:r w:rsidRPr="00684570">
        <w:rPr>
          <w:rFonts w:ascii="Times New Roman" w:hAnsi="Times New Roman" w:cs="Times New Roman"/>
          <w:sz w:val="24"/>
          <w:szCs w:val="24"/>
          <w:lang w:val="tr-TR"/>
        </w:rPr>
        <w:t>BAYATİ, M., AKBARİAN, R. and KAVOSİ, Z</w:t>
      </w:r>
      <w:r w:rsidR="00A94804" w:rsidRPr="00684570">
        <w:rPr>
          <w:rFonts w:ascii="Times New Roman" w:hAnsi="Times New Roman" w:cs="Times New Roman"/>
          <w:sz w:val="24"/>
          <w:szCs w:val="24"/>
          <w:lang w:val="tr-TR"/>
        </w:rPr>
        <w:t>.</w:t>
      </w:r>
      <w:r w:rsidRPr="00684570">
        <w:rPr>
          <w:rFonts w:ascii="Times New Roman" w:hAnsi="Times New Roman" w:cs="Times New Roman"/>
          <w:sz w:val="24"/>
          <w:szCs w:val="24"/>
          <w:lang w:val="tr-TR"/>
        </w:rPr>
        <w:t>, (2013),</w:t>
      </w:r>
      <w:r w:rsidR="00A94804" w:rsidRPr="00684570">
        <w:rPr>
          <w:rFonts w:ascii="Times New Roman" w:hAnsi="Times New Roman" w:cs="Times New Roman"/>
          <w:sz w:val="24"/>
          <w:szCs w:val="24"/>
          <w:lang w:val="tr-TR"/>
        </w:rPr>
        <w:t xml:space="preserve"> Determinants of </w:t>
      </w:r>
      <w:r w:rsidRPr="00684570">
        <w:rPr>
          <w:rFonts w:ascii="Times New Roman" w:hAnsi="Times New Roman" w:cs="Times New Roman"/>
          <w:sz w:val="24"/>
          <w:szCs w:val="24"/>
          <w:lang w:val="tr-TR"/>
        </w:rPr>
        <w:t xml:space="preserve">Life Expectancy in </w:t>
      </w:r>
      <w:r w:rsidR="00A94804" w:rsidRPr="00684570">
        <w:rPr>
          <w:rFonts w:ascii="Times New Roman" w:hAnsi="Times New Roman" w:cs="Times New Roman"/>
          <w:sz w:val="24"/>
          <w:szCs w:val="24"/>
          <w:lang w:val="tr-TR"/>
        </w:rPr>
        <w:t>Eastern Mediterranean Region</w:t>
      </w:r>
      <w:r w:rsidRPr="00684570">
        <w:rPr>
          <w:rFonts w:ascii="Times New Roman" w:hAnsi="Times New Roman" w:cs="Times New Roman"/>
          <w:sz w:val="24"/>
          <w:szCs w:val="24"/>
          <w:lang w:val="tr-TR"/>
        </w:rPr>
        <w:t xml:space="preserve">: </w:t>
      </w:r>
      <w:r w:rsidR="00A94804" w:rsidRPr="00684570">
        <w:rPr>
          <w:rFonts w:ascii="Times New Roman" w:hAnsi="Times New Roman" w:cs="Times New Roman"/>
          <w:sz w:val="24"/>
          <w:szCs w:val="24"/>
          <w:lang w:val="tr-TR"/>
        </w:rPr>
        <w:t xml:space="preserve">A </w:t>
      </w:r>
      <w:r w:rsidRPr="00684570">
        <w:rPr>
          <w:rFonts w:ascii="Times New Roman" w:hAnsi="Times New Roman" w:cs="Times New Roman"/>
          <w:sz w:val="24"/>
          <w:szCs w:val="24"/>
          <w:lang w:val="tr-TR"/>
        </w:rPr>
        <w:t xml:space="preserve">Health Production Function, </w:t>
      </w:r>
      <w:r w:rsidR="00A94804" w:rsidRPr="00684570">
        <w:rPr>
          <w:rFonts w:ascii="Times New Roman" w:hAnsi="Times New Roman" w:cs="Times New Roman"/>
          <w:i/>
          <w:sz w:val="24"/>
          <w:szCs w:val="24"/>
          <w:lang w:val="tr-TR"/>
        </w:rPr>
        <w:t>International Journal of Health</w:t>
      </w:r>
      <w:r w:rsidR="007E0B94" w:rsidRPr="00684570">
        <w:rPr>
          <w:rFonts w:ascii="Times New Roman" w:hAnsi="Times New Roman" w:cs="Times New Roman"/>
          <w:i/>
          <w:sz w:val="24"/>
          <w:szCs w:val="24"/>
          <w:lang w:val="tr-TR"/>
        </w:rPr>
        <w:t xml:space="preserve"> Policy and Management</w:t>
      </w:r>
      <w:r w:rsidR="007E0B94" w:rsidRPr="00684570">
        <w:rPr>
          <w:rFonts w:ascii="Times New Roman" w:hAnsi="Times New Roman" w:cs="Times New Roman"/>
          <w:sz w:val="24"/>
          <w:szCs w:val="24"/>
          <w:lang w:val="tr-TR"/>
        </w:rPr>
        <w:t>, 1, 1–7</w:t>
      </w:r>
      <w:r w:rsidRPr="00684570">
        <w:rPr>
          <w:rFonts w:ascii="Times New Roman" w:hAnsi="Times New Roman" w:cs="Times New Roman"/>
          <w:sz w:val="24"/>
          <w:szCs w:val="24"/>
          <w:lang w:val="tr-TR"/>
        </w:rPr>
        <w:t>.</w:t>
      </w:r>
    </w:p>
    <w:p w14:paraId="6C4AE245" w14:textId="4FA8D2DE" w:rsidR="009A4639" w:rsidRPr="00684570" w:rsidRDefault="00DD64A2" w:rsidP="00684570">
      <w:pPr>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BILAS, V., FRANC, S., and BOŠNJAK, </w:t>
      </w:r>
      <w:r w:rsidR="00EC0C30" w:rsidRPr="00684570">
        <w:rPr>
          <w:rFonts w:ascii="Times New Roman" w:hAnsi="Times New Roman" w:cs="Times New Roman"/>
          <w:sz w:val="24"/>
          <w:szCs w:val="24"/>
          <w:lang w:val="en-US"/>
        </w:rPr>
        <w:t>M.</w:t>
      </w:r>
      <w:r w:rsidRPr="00684570">
        <w:rPr>
          <w:rFonts w:ascii="Times New Roman" w:hAnsi="Times New Roman" w:cs="Times New Roman"/>
          <w:sz w:val="24"/>
          <w:szCs w:val="24"/>
          <w:lang w:val="en-US"/>
        </w:rPr>
        <w:t>, (2014),</w:t>
      </w:r>
      <w:r w:rsidR="00EC0C30" w:rsidRPr="00684570">
        <w:rPr>
          <w:rFonts w:ascii="Times New Roman" w:hAnsi="Times New Roman" w:cs="Times New Roman"/>
          <w:sz w:val="24"/>
          <w:szCs w:val="24"/>
          <w:lang w:val="en-US"/>
        </w:rPr>
        <w:t xml:space="preserve"> Determinant </w:t>
      </w:r>
      <w:r w:rsidRPr="00684570">
        <w:rPr>
          <w:rFonts w:ascii="Times New Roman" w:hAnsi="Times New Roman" w:cs="Times New Roman"/>
          <w:sz w:val="24"/>
          <w:szCs w:val="24"/>
          <w:lang w:val="en-US"/>
        </w:rPr>
        <w:t>Factors of Life Expectancy</w:t>
      </w:r>
      <w:r w:rsidR="00EC0C30" w:rsidRPr="00684570">
        <w:rPr>
          <w:rFonts w:ascii="Times New Roman" w:hAnsi="Times New Roman" w:cs="Times New Roman"/>
          <w:sz w:val="24"/>
          <w:szCs w:val="24"/>
          <w:lang w:val="en-US"/>
        </w:rPr>
        <w:t xml:space="preserve">. </w:t>
      </w:r>
      <w:r w:rsidR="00EC0C30" w:rsidRPr="00684570">
        <w:rPr>
          <w:rFonts w:ascii="Times New Roman" w:hAnsi="Times New Roman" w:cs="Times New Roman"/>
          <w:i/>
          <w:sz w:val="24"/>
          <w:szCs w:val="24"/>
          <w:lang w:val="en-US"/>
        </w:rPr>
        <w:t>Colleg</w:t>
      </w:r>
      <w:r w:rsidR="007E0B94" w:rsidRPr="00684570">
        <w:rPr>
          <w:rFonts w:ascii="Times New Roman" w:hAnsi="Times New Roman" w:cs="Times New Roman"/>
          <w:i/>
          <w:sz w:val="24"/>
          <w:szCs w:val="24"/>
          <w:lang w:val="en-US"/>
        </w:rPr>
        <w:t>ium Antropologicum</w:t>
      </w:r>
      <w:r w:rsidR="007E0B94" w:rsidRPr="00684570">
        <w:rPr>
          <w:rFonts w:ascii="Times New Roman" w:hAnsi="Times New Roman" w:cs="Times New Roman"/>
          <w:sz w:val="24"/>
          <w:szCs w:val="24"/>
          <w:lang w:val="en-US"/>
        </w:rPr>
        <w:t>, 38(1), 1–9.</w:t>
      </w:r>
    </w:p>
    <w:p w14:paraId="07AE9944" w14:textId="1189785B" w:rsidR="009A4639" w:rsidRPr="00684570" w:rsidRDefault="00DD64A2" w:rsidP="00684570">
      <w:pPr>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BHUTTO, N.A. and CHANG, B.H., (2018),</w:t>
      </w:r>
      <w:r w:rsidR="00EC0C30" w:rsidRPr="00684570">
        <w:rPr>
          <w:rFonts w:ascii="Times New Roman" w:hAnsi="Times New Roman" w:cs="Times New Roman"/>
          <w:sz w:val="24"/>
          <w:szCs w:val="24"/>
          <w:lang w:val="en-US"/>
        </w:rPr>
        <w:t xml:space="preserve"> The </w:t>
      </w:r>
      <w:r w:rsidRPr="00684570">
        <w:rPr>
          <w:rFonts w:ascii="Times New Roman" w:hAnsi="Times New Roman" w:cs="Times New Roman"/>
          <w:sz w:val="24"/>
          <w:szCs w:val="24"/>
          <w:lang w:val="en-US"/>
        </w:rPr>
        <w:t>Effect o</w:t>
      </w:r>
      <w:r w:rsidR="00AD0E33" w:rsidRPr="00684570">
        <w:rPr>
          <w:rFonts w:ascii="Times New Roman" w:hAnsi="Times New Roman" w:cs="Times New Roman"/>
          <w:sz w:val="24"/>
          <w:szCs w:val="24"/>
          <w:lang w:val="en-US"/>
        </w:rPr>
        <w:t>f t</w:t>
      </w:r>
      <w:r w:rsidRPr="00684570">
        <w:rPr>
          <w:rFonts w:ascii="Times New Roman" w:hAnsi="Times New Roman" w:cs="Times New Roman"/>
          <w:sz w:val="24"/>
          <w:szCs w:val="24"/>
          <w:lang w:val="en-US"/>
        </w:rPr>
        <w:t>he Global Financial Crisis on the Asymmetric Rela</w:t>
      </w:r>
      <w:r w:rsidR="005D2618" w:rsidRPr="00684570">
        <w:rPr>
          <w:rFonts w:ascii="Times New Roman" w:hAnsi="Times New Roman" w:cs="Times New Roman"/>
          <w:sz w:val="24"/>
          <w:szCs w:val="24"/>
          <w:lang w:val="en-US"/>
        </w:rPr>
        <w:t>tionship Between Exchange Rate a</w:t>
      </w:r>
      <w:r w:rsidRPr="00684570">
        <w:rPr>
          <w:rFonts w:ascii="Times New Roman" w:hAnsi="Times New Roman" w:cs="Times New Roman"/>
          <w:sz w:val="24"/>
          <w:szCs w:val="24"/>
          <w:lang w:val="en-US"/>
        </w:rPr>
        <w:t>nd Stock Prices</w:t>
      </w:r>
      <w:r w:rsidR="00EC0C30" w:rsidRPr="00684570">
        <w:rPr>
          <w:rFonts w:ascii="Times New Roman" w:hAnsi="Times New Roman" w:cs="Times New Roman"/>
          <w:sz w:val="24"/>
          <w:szCs w:val="24"/>
          <w:lang w:val="en-US"/>
        </w:rPr>
        <w:t xml:space="preserve">, </w:t>
      </w:r>
      <w:r w:rsidR="00EC0C30" w:rsidRPr="00684570">
        <w:rPr>
          <w:rFonts w:ascii="Times New Roman" w:hAnsi="Times New Roman" w:cs="Times New Roman"/>
          <w:i/>
          <w:sz w:val="24"/>
          <w:szCs w:val="24"/>
          <w:lang w:val="en-US"/>
        </w:rPr>
        <w:t>High Frequency</w:t>
      </w:r>
      <w:r w:rsidR="007E0B94" w:rsidRPr="00684570">
        <w:rPr>
          <w:rFonts w:ascii="Times New Roman" w:hAnsi="Times New Roman" w:cs="Times New Roman"/>
          <w:sz w:val="24"/>
          <w:szCs w:val="24"/>
          <w:lang w:val="en-US"/>
        </w:rPr>
        <w:t>. 2,175–183.</w:t>
      </w:r>
    </w:p>
    <w:p w14:paraId="31FAF6A2" w14:textId="28A3E263" w:rsidR="009A4639" w:rsidRPr="00684570" w:rsidRDefault="00DD64A2" w:rsidP="00684570">
      <w:pPr>
        <w:tabs>
          <w:tab w:val="left" w:pos="960"/>
        </w:tabs>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BLAZQUEZ-FERNÁNDEZ, C., CANTARERO-PRIETO, D. and PASCUAL SAEZ, M</w:t>
      </w:r>
      <w:r w:rsidR="00657187" w:rsidRPr="00684570">
        <w:rPr>
          <w:rFonts w:ascii="Times New Roman" w:hAnsi="Times New Roman" w:cs="Times New Roman"/>
          <w:sz w:val="24"/>
          <w:szCs w:val="24"/>
          <w:lang w:val="en-US"/>
        </w:rPr>
        <w:t>.</w:t>
      </w:r>
      <w:r w:rsidRPr="00684570">
        <w:rPr>
          <w:rFonts w:ascii="Times New Roman" w:hAnsi="Times New Roman" w:cs="Times New Roman"/>
          <w:sz w:val="24"/>
          <w:szCs w:val="24"/>
          <w:lang w:val="en-US"/>
        </w:rPr>
        <w:t>,</w:t>
      </w:r>
      <w:r w:rsidR="00657187" w:rsidRPr="00684570">
        <w:rPr>
          <w:rFonts w:ascii="Times New Roman" w:hAnsi="Times New Roman" w:cs="Times New Roman"/>
          <w:sz w:val="24"/>
          <w:szCs w:val="24"/>
          <w:lang w:val="en-US"/>
        </w:rPr>
        <w:t xml:space="preserve"> (2017)</w:t>
      </w:r>
      <w:r w:rsidRPr="00684570">
        <w:rPr>
          <w:rFonts w:ascii="Times New Roman" w:hAnsi="Times New Roman" w:cs="Times New Roman"/>
          <w:sz w:val="24"/>
          <w:szCs w:val="24"/>
          <w:lang w:val="en-US"/>
        </w:rPr>
        <w:t>,</w:t>
      </w:r>
      <w:r w:rsidR="00657187" w:rsidRPr="00684570">
        <w:rPr>
          <w:rFonts w:ascii="Times New Roman" w:hAnsi="Times New Roman" w:cs="Times New Roman"/>
          <w:sz w:val="24"/>
          <w:szCs w:val="24"/>
          <w:lang w:val="en-US"/>
        </w:rPr>
        <w:t xml:space="preserve"> Health </w:t>
      </w:r>
      <w:r w:rsidRPr="00684570">
        <w:rPr>
          <w:rFonts w:ascii="Times New Roman" w:hAnsi="Times New Roman" w:cs="Times New Roman"/>
          <w:sz w:val="24"/>
          <w:szCs w:val="24"/>
          <w:lang w:val="en-US"/>
        </w:rPr>
        <w:t xml:space="preserve">Expenditure and Socio-Economic Determinants of Life Expectancy in the </w:t>
      </w:r>
      <w:r w:rsidR="00657187" w:rsidRPr="00684570">
        <w:rPr>
          <w:rFonts w:ascii="Times New Roman" w:hAnsi="Times New Roman" w:cs="Times New Roman"/>
          <w:sz w:val="24"/>
          <w:szCs w:val="24"/>
          <w:lang w:val="en-US"/>
        </w:rPr>
        <w:t>OECD Asia</w:t>
      </w:r>
      <w:r w:rsidRPr="00684570">
        <w:rPr>
          <w:rFonts w:ascii="Times New Roman" w:hAnsi="Times New Roman" w:cs="Times New Roman"/>
          <w:sz w:val="24"/>
          <w:szCs w:val="24"/>
          <w:lang w:val="en-US"/>
        </w:rPr>
        <w:t>/</w:t>
      </w:r>
      <w:r w:rsidR="00657187" w:rsidRPr="00684570">
        <w:rPr>
          <w:rFonts w:ascii="Times New Roman" w:hAnsi="Times New Roman" w:cs="Times New Roman"/>
          <w:sz w:val="24"/>
          <w:szCs w:val="24"/>
          <w:lang w:val="en-US"/>
        </w:rPr>
        <w:t xml:space="preserve">Pacific </w:t>
      </w:r>
      <w:r w:rsidRPr="00684570">
        <w:rPr>
          <w:rFonts w:ascii="Times New Roman" w:hAnsi="Times New Roman" w:cs="Times New Roman"/>
          <w:sz w:val="24"/>
          <w:szCs w:val="24"/>
          <w:lang w:val="en-US"/>
        </w:rPr>
        <w:t xml:space="preserve">Area Countries, </w:t>
      </w:r>
      <w:r w:rsidR="00657187" w:rsidRPr="00684570">
        <w:rPr>
          <w:rFonts w:ascii="Times New Roman" w:hAnsi="Times New Roman" w:cs="Times New Roman"/>
          <w:i/>
          <w:sz w:val="24"/>
          <w:szCs w:val="24"/>
          <w:lang w:val="en-US"/>
        </w:rPr>
        <w:t>Applied Economics Letters</w:t>
      </w:r>
      <w:r w:rsidRPr="00684570">
        <w:rPr>
          <w:rFonts w:ascii="Times New Roman" w:hAnsi="Times New Roman" w:cs="Times New Roman"/>
          <w:sz w:val="24"/>
          <w:szCs w:val="24"/>
          <w:lang w:val="en-US"/>
        </w:rPr>
        <w:t>, 24(</w:t>
      </w:r>
      <w:r w:rsidR="00657187" w:rsidRPr="00684570">
        <w:rPr>
          <w:rFonts w:ascii="Times New Roman" w:hAnsi="Times New Roman" w:cs="Times New Roman"/>
          <w:sz w:val="24"/>
          <w:szCs w:val="24"/>
          <w:lang w:val="en-US"/>
        </w:rPr>
        <w:t>3</w:t>
      </w:r>
      <w:r w:rsidRPr="00684570">
        <w:rPr>
          <w:rFonts w:ascii="Times New Roman" w:hAnsi="Times New Roman" w:cs="Times New Roman"/>
          <w:sz w:val="24"/>
          <w:szCs w:val="24"/>
          <w:lang w:val="en-US"/>
        </w:rPr>
        <w:t>)</w:t>
      </w:r>
      <w:r w:rsidR="00657187" w:rsidRPr="00684570">
        <w:rPr>
          <w:rFonts w:ascii="Times New Roman" w:hAnsi="Times New Roman" w:cs="Times New Roman"/>
          <w:sz w:val="24"/>
          <w:szCs w:val="24"/>
          <w:lang w:val="en-US"/>
        </w:rPr>
        <w:t>, 167-169, DOI</w:t>
      </w:r>
      <w:r w:rsidR="007E0B94" w:rsidRPr="00684570">
        <w:rPr>
          <w:rFonts w:ascii="Times New Roman" w:hAnsi="Times New Roman" w:cs="Times New Roman"/>
          <w:sz w:val="24"/>
          <w:szCs w:val="24"/>
          <w:lang w:val="en-US"/>
        </w:rPr>
        <w:t>: 10.1080/13504851.2016.1173174</w:t>
      </w:r>
    </w:p>
    <w:p w14:paraId="297380D8" w14:textId="1B057ECB" w:rsidR="009A4639" w:rsidRPr="00684570" w:rsidRDefault="00DD64A2" w:rsidP="00684570">
      <w:pPr>
        <w:autoSpaceDE w:val="0"/>
        <w:autoSpaceDN w:val="0"/>
        <w:adjustRightInd w:val="0"/>
        <w:spacing w:after="120" w:line="240" w:lineRule="auto"/>
        <w:ind w:left="284" w:hanging="284"/>
        <w:jc w:val="both"/>
        <w:rPr>
          <w:rFonts w:ascii="Times New Roman" w:eastAsia="STIX-Regular" w:hAnsi="Times New Roman" w:cs="Times New Roman"/>
          <w:sz w:val="24"/>
          <w:szCs w:val="24"/>
          <w:lang w:val="en-US"/>
        </w:rPr>
      </w:pPr>
      <w:r w:rsidRPr="00684570">
        <w:rPr>
          <w:rFonts w:ascii="Times New Roman" w:eastAsia="STIX-Regular" w:hAnsi="Times New Roman" w:cs="Times New Roman"/>
          <w:sz w:val="24"/>
          <w:szCs w:val="24"/>
          <w:lang w:val="en-US"/>
        </w:rPr>
        <w:t>BREUSCH, T. S. and PAGAN, A. R., (</w:t>
      </w:r>
      <w:r w:rsidR="00DB37C1" w:rsidRPr="00684570">
        <w:rPr>
          <w:rFonts w:ascii="Times New Roman" w:eastAsia="STIX-Regular" w:hAnsi="Times New Roman" w:cs="Times New Roman"/>
          <w:sz w:val="24"/>
          <w:szCs w:val="24"/>
          <w:lang w:val="en-US"/>
        </w:rPr>
        <w:t>1980</w:t>
      </w:r>
      <w:r w:rsidRPr="00684570">
        <w:rPr>
          <w:rFonts w:ascii="Times New Roman" w:eastAsia="STIX-Regular" w:hAnsi="Times New Roman" w:cs="Times New Roman"/>
          <w:sz w:val="24"/>
          <w:szCs w:val="24"/>
          <w:lang w:val="en-US"/>
        </w:rPr>
        <w:t xml:space="preserve">), </w:t>
      </w:r>
      <w:r w:rsidR="00DB37C1" w:rsidRPr="00684570">
        <w:rPr>
          <w:rFonts w:ascii="Times New Roman" w:eastAsia="STIX-Regular" w:hAnsi="Times New Roman" w:cs="Times New Roman"/>
          <w:sz w:val="24"/>
          <w:szCs w:val="24"/>
          <w:lang w:val="en-US"/>
        </w:rPr>
        <w:t>The Lagrange Multiplier Test and its Applications to Mode</w:t>
      </w:r>
      <w:r w:rsidRPr="00684570">
        <w:rPr>
          <w:rFonts w:ascii="Times New Roman" w:eastAsia="STIX-Regular" w:hAnsi="Times New Roman" w:cs="Times New Roman"/>
          <w:sz w:val="24"/>
          <w:szCs w:val="24"/>
          <w:lang w:val="en-US"/>
        </w:rPr>
        <w:t>l Specification in Econometrics</w:t>
      </w:r>
      <w:r w:rsidR="00DB37C1" w:rsidRPr="00684570">
        <w:rPr>
          <w:rFonts w:ascii="Times New Roman" w:eastAsia="STIX-Regular" w:hAnsi="Times New Roman" w:cs="Times New Roman"/>
          <w:sz w:val="24"/>
          <w:szCs w:val="24"/>
          <w:lang w:val="en-US"/>
        </w:rPr>
        <w:t xml:space="preserve">, </w:t>
      </w:r>
      <w:r w:rsidR="00DB37C1" w:rsidRPr="00684570">
        <w:rPr>
          <w:rFonts w:ascii="Times New Roman" w:eastAsia="STIX-Regular" w:hAnsi="Times New Roman" w:cs="Times New Roman"/>
          <w:i/>
          <w:sz w:val="24"/>
          <w:szCs w:val="24"/>
          <w:lang w:val="en-US"/>
        </w:rPr>
        <w:t>The Review of Economic Studies</w:t>
      </w:r>
      <w:r w:rsidRPr="00684570">
        <w:rPr>
          <w:rFonts w:ascii="Times New Roman" w:eastAsia="STIX-Regular" w:hAnsi="Times New Roman" w:cs="Times New Roman"/>
          <w:sz w:val="24"/>
          <w:szCs w:val="24"/>
          <w:lang w:val="en-US"/>
        </w:rPr>
        <w:t xml:space="preserve">, 47(1), </w:t>
      </w:r>
      <w:r w:rsidR="00DB37C1" w:rsidRPr="00684570">
        <w:rPr>
          <w:rFonts w:ascii="Times New Roman" w:eastAsia="STIX-Regular" w:hAnsi="Times New Roman" w:cs="Times New Roman"/>
          <w:sz w:val="24"/>
          <w:szCs w:val="24"/>
          <w:lang w:val="en-US"/>
        </w:rPr>
        <w:t>239-253. htt</w:t>
      </w:r>
      <w:r w:rsidR="007E0B94" w:rsidRPr="00684570">
        <w:rPr>
          <w:rFonts w:ascii="Times New Roman" w:eastAsia="STIX-Regular" w:hAnsi="Times New Roman" w:cs="Times New Roman"/>
          <w:sz w:val="24"/>
          <w:szCs w:val="24"/>
          <w:lang w:val="en-US"/>
        </w:rPr>
        <w:t>p://dx.doi.org/10.2307/2297111.</w:t>
      </w:r>
    </w:p>
    <w:p w14:paraId="1FBC4740" w14:textId="2651A01E" w:rsidR="00657187" w:rsidRPr="00684570" w:rsidRDefault="00DD64A2" w:rsidP="00684570">
      <w:pPr>
        <w:autoSpaceDE w:val="0"/>
        <w:autoSpaceDN w:val="0"/>
        <w:adjustRightInd w:val="0"/>
        <w:spacing w:after="120" w:line="240" w:lineRule="auto"/>
        <w:ind w:left="284" w:hanging="284"/>
        <w:jc w:val="both"/>
        <w:rPr>
          <w:rFonts w:ascii="Times New Roman" w:eastAsia="STIX-Regular" w:hAnsi="Times New Roman" w:cs="Times New Roman"/>
          <w:sz w:val="24"/>
          <w:szCs w:val="24"/>
          <w:u w:val="single"/>
          <w:lang w:val="en-US"/>
        </w:rPr>
      </w:pPr>
      <w:r w:rsidRPr="00684570">
        <w:rPr>
          <w:rFonts w:ascii="Times New Roman" w:eastAsia="STIX-Regular" w:hAnsi="Times New Roman" w:cs="Times New Roman"/>
          <w:sz w:val="24"/>
          <w:szCs w:val="24"/>
          <w:lang w:val="en-US"/>
        </w:rPr>
        <w:t>CHANG, B. H.</w:t>
      </w:r>
      <w:r w:rsidR="00EC0C30" w:rsidRPr="00684570">
        <w:rPr>
          <w:rFonts w:ascii="Times New Roman" w:eastAsia="STIX-Regular" w:hAnsi="Times New Roman" w:cs="Times New Roman"/>
          <w:sz w:val="24"/>
          <w:szCs w:val="24"/>
          <w:lang w:val="en-US"/>
        </w:rPr>
        <w:t xml:space="preserve"> </w:t>
      </w:r>
      <w:r w:rsidR="00687550" w:rsidRPr="00684570">
        <w:rPr>
          <w:rFonts w:ascii="Times New Roman" w:eastAsia="STIX-Regular" w:hAnsi="Times New Roman" w:cs="Times New Roman"/>
          <w:sz w:val="24"/>
          <w:szCs w:val="24"/>
          <w:lang w:val="en-US"/>
        </w:rPr>
        <w:t>and</w:t>
      </w:r>
      <w:r w:rsidR="00EC0C30" w:rsidRPr="00684570">
        <w:rPr>
          <w:rFonts w:ascii="Times New Roman" w:eastAsia="STIX-Regular" w:hAnsi="Times New Roman" w:cs="Times New Roman"/>
          <w:sz w:val="24"/>
          <w:szCs w:val="24"/>
          <w:lang w:val="en-US"/>
        </w:rPr>
        <w:t xml:space="preserve"> </w:t>
      </w:r>
      <w:r w:rsidRPr="00684570">
        <w:rPr>
          <w:rFonts w:ascii="Times New Roman" w:eastAsia="STIX-Regular" w:hAnsi="Times New Roman" w:cs="Times New Roman"/>
          <w:sz w:val="24"/>
          <w:szCs w:val="24"/>
          <w:lang w:val="en-US"/>
        </w:rPr>
        <w:t>RAJPUT, S. K. O., (2018),</w:t>
      </w:r>
      <w:r w:rsidR="00EC0C30" w:rsidRPr="00684570">
        <w:rPr>
          <w:rFonts w:ascii="Times New Roman" w:eastAsia="STIX-Regular" w:hAnsi="Times New Roman" w:cs="Times New Roman"/>
          <w:sz w:val="24"/>
          <w:szCs w:val="24"/>
          <w:lang w:val="en-US"/>
        </w:rPr>
        <w:t xml:space="preserve"> Do the </w:t>
      </w:r>
      <w:r w:rsidRPr="00684570">
        <w:rPr>
          <w:rFonts w:ascii="Times New Roman" w:eastAsia="STIX-Regular" w:hAnsi="Times New Roman" w:cs="Times New Roman"/>
          <w:sz w:val="24"/>
          <w:szCs w:val="24"/>
          <w:lang w:val="en-US"/>
        </w:rPr>
        <w:t>Changes in Macroeconomic Variables Have a Symmetric or Asymmetric Effect on Stock Prices? Evidence from Pakistan,</w:t>
      </w:r>
      <w:r w:rsidR="00EC0C30" w:rsidRPr="00684570">
        <w:rPr>
          <w:rFonts w:ascii="Times New Roman" w:eastAsia="STIX-Regular" w:hAnsi="Times New Roman" w:cs="Times New Roman"/>
          <w:sz w:val="24"/>
          <w:szCs w:val="24"/>
          <w:lang w:val="en-US"/>
        </w:rPr>
        <w:t xml:space="preserve"> </w:t>
      </w:r>
      <w:r w:rsidR="00EC0C30" w:rsidRPr="00684570">
        <w:rPr>
          <w:rFonts w:ascii="Times New Roman" w:eastAsia="STIX-Regular" w:hAnsi="Times New Roman" w:cs="Times New Roman"/>
          <w:i/>
          <w:iCs/>
          <w:sz w:val="24"/>
          <w:szCs w:val="24"/>
          <w:lang w:val="en-US"/>
        </w:rPr>
        <w:t>South Asian Journal of Business</w:t>
      </w:r>
      <w:r w:rsidR="00EC0C30" w:rsidRPr="00684570">
        <w:rPr>
          <w:rFonts w:ascii="Times New Roman" w:eastAsia="STIX-Regular" w:hAnsi="Times New Roman" w:cs="Times New Roman"/>
          <w:sz w:val="24"/>
          <w:szCs w:val="24"/>
          <w:lang w:val="en-US"/>
        </w:rPr>
        <w:t xml:space="preserve"> </w:t>
      </w:r>
      <w:r w:rsidR="00EC0C30" w:rsidRPr="00684570">
        <w:rPr>
          <w:rFonts w:ascii="Times New Roman" w:eastAsia="STIX-Regular" w:hAnsi="Times New Roman" w:cs="Times New Roman"/>
          <w:i/>
          <w:iCs/>
          <w:sz w:val="24"/>
          <w:szCs w:val="24"/>
          <w:lang w:val="en-US"/>
        </w:rPr>
        <w:t>Studies</w:t>
      </w:r>
      <w:r w:rsidR="00EC0C30" w:rsidRPr="00684570">
        <w:rPr>
          <w:rFonts w:ascii="Times New Roman" w:eastAsia="STIX-Regular" w:hAnsi="Times New Roman" w:cs="Times New Roman"/>
          <w:sz w:val="24"/>
          <w:szCs w:val="24"/>
          <w:lang w:val="en-US"/>
        </w:rPr>
        <w:t xml:space="preserve">, </w:t>
      </w:r>
      <w:r w:rsidR="00EC0C30" w:rsidRPr="00684570">
        <w:rPr>
          <w:rFonts w:ascii="Times New Roman" w:eastAsia="STIX-Regular" w:hAnsi="Times New Roman" w:cs="Times New Roman"/>
          <w:i/>
          <w:iCs/>
          <w:sz w:val="24"/>
          <w:szCs w:val="24"/>
          <w:lang w:val="en-US"/>
        </w:rPr>
        <w:t>7</w:t>
      </w:r>
      <w:r w:rsidR="00EC0C30" w:rsidRPr="00684570">
        <w:rPr>
          <w:rFonts w:ascii="Times New Roman" w:eastAsia="STIX-Regular" w:hAnsi="Times New Roman" w:cs="Times New Roman"/>
          <w:sz w:val="24"/>
          <w:szCs w:val="24"/>
          <w:lang w:val="en-US"/>
        </w:rPr>
        <w:t xml:space="preserve">(3), 312–331. </w:t>
      </w:r>
      <w:hyperlink r:id="rId9" w:history="1">
        <w:r w:rsidR="00EC0C30" w:rsidRPr="00684570">
          <w:rPr>
            <w:rStyle w:val="ab"/>
            <w:rFonts w:ascii="Times New Roman" w:eastAsia="STIX-Regular" w:hAnsi="Times New Roman" w:cs="Times New Roman"/>
            <w:color w:val="auto"/>
            <w:sz w:val="24"/>
            <w:szCs w:val="24"/>
            <w:lang w:val="en-US"/>
          </w:rPr>
          <w:t>https://doi.org/10.1108/SAJBS-07-2018-0077</w:t>
        </w:r>
      </w:hyperlink>
    </w:p>
    <w:p w14:paraId="2D93E2D5" w14:textId="283EAE73" w:rsidR="009A4639" w:rsidRPr="00684570" w:rsidRDefault="00DD64A2" w:rsidP="00684570">
      <w:pPr>
        <w:spacing w:after="120" w:line="240" w:lineRule="auto"/>
        <w:ind w:left="284" w:hanging="284"/>
        <w:jc w:val="both"/>
        <w:rPr>
          <w:rFonts w:ascii="Times New Roman" w:eastAsia="Calibri" w:hAnsi="Times New Roman" w:cs="Times New Roman"/>
          <w:sz w:val="24"/>
          <w:szCs w:val="24"/>
          <w:lang w:val="tr-TR"/>
        </w:rPr>
      </w:pPr>
      <w:r w:rsidRPr="00684570">
        <w:rPr>
          <w:rFonts w:ascii="Times New Roman" w:eastAsia="Calibri" w:hAnsi="Times New Roman" w:cs="Times New Roman"/>
          <w:sz w:val="24"/>
          <w:szCs w:val="24"/>
          <w:lang w:val="tr-TR"/>
        </w:rPr>
        <w:t>CORNİA, G. A.</w:t>
      </w:r>
      <w:r w:rsidR="00C07E7A" w:rsidRPr="00684570">
        <w:rPr>
          <w:rFonts w:ascii="Times New Roman" w:eastAsia="Calibri" w:hAnsi="Times New Roman" w:cs="Times New Roman"/>
          <w:sz w:val="24"/>
          <w:szCs w:val="24"/>
          <w:lang w:val="tr-TR"/>
        </w:rPr>
        <w:t xml:space="preserve"> </w:t>
      </w:r>
      <w:r w:rsidR="00687550" w:rsidRPr="00684570">
        <w:rPr>
          <w:rFonts w:ascii="Times New Roman" w:eastAsia="Calibri" w:hAnsi="Times New Roman" w:cs="Times New Roman"/>
          <w:sz w:val="24"/>
          <w:szCs w:val="24"/>
          <w:lang w:val="tr-TR"/>
        </w:rPr>
        <w:t>and</w:t>
      </w:r>
      <w:r w:rsidR="00C07E7A" w:rsidRPr="00684570">
        <w:rPr>
          <w:rFonts w:ascii="Times New Roman" w:eastAsia="Calibri" w:hAnsi="Times New Roman" w:cs="Times New Roman"/>
          <w:sz w:val="24"/>
          <w:szCs w:val="24"/>
          <w:lang w:val="tr-TR"/>
        </w:rPr>
        <w:t xml:space="preserve"> </w:t>
      </w:r>
      <w:r w:rsidR="00AD0E33" w:rsidRPr="00684570">
        <w:rPr>
          <w:rFonts w:ascii="Times New Roman" w:eastAsia="Calibri" w:hAnsi="Times New Roman" w:cs="Times New Roman"/>
          <w:sz w:val="24"/>
          <w:szCs w:val="24"/>
          <w:lang w:val="tr-TR"/>
        </w:rPr>
        <w:t>PANICCI</w:t>
      </w:r>
      <w:r w:rsidRPr="00684570">
        <w:rPr>
          <w:rFonts w:ascii="Times New Roman" w:eastAsia="Calibri" w:hAnsi="Times New Roman" w:cs="Times New Roman"/>
          <w:sz w:val="24"/>
          <w:szCs w:val="24"/>
          <w:lang w:val="tr-TR"/>
        </w:rPr>
        <w:t>A</w:t>
      </w:r>
      <w:r w:rsidR="00C07E7A" w:rsidRPr="00684570">
        <w:rPr>
          <w:rFonts w:ascii="Times New Roman" w:eastAsia="Calibri" w:hAnsi="Times New Roman" w:cs="Times New Roman"/>
          <w:sz w:val="24"/>
          <w:szCs w:val="24"/>
          <w:lang w:val="tr-TR"/>
        </w:rPr>
        <w:t>, R.</w:t>
      </w:r>
      <w:r w:rsidR="00D5372F" w:rsidRPr="00684570">
        <w:rPr>
          <w:rFonts w:ascii="Times New Roman" w:eastAsia="Calibri" w:hAnsi="Times New Roman" w:cs="Times New Roman"/>
          <w:sz w:val="24"/>
          <w:szCs w:val="24"/>
          <w:lang w:val="tr-TR"/>
        </w:rPr>
        <w:t>, (2000),</w:t>
      </w:r>
      <w:r w:rsidR="00C07E7A" w:rsidRPr="00684570">
        <w:rPr>
          <w:rFonts w:ascii="Times New Roman" w:eastAsia="Calibri" w:hAnsi="Times New Roman" w:cs="Times New Roman"/>
          <w:sz w:val="24"/>
          <w:szCs w:val="24"/>
          <w:lang w:val="tr-TR"/>
        </w:rPr>
        <w:t xml:space="preserve"> The </w:t>
      </w:r>
      <w:r w:rsidR="00D5372F" w:rsidRPr="00684570">
        <w:rPr>
          <w:rFonts w:ascii="Times New Roman" w:eastAsia="Calibri" w:hAnsi="Times New Roman" w:cs="Times New Roman"/>
          <w:sz w:val="24"/>
          <w:szCs w:val="24"/>
          <w:lang w:val="tr-TR"/>
        </w:rPr>
        <w:t xml:space="preserve">Transition Mortality Crisis: </w:t>
      </w:r>
      <w:r w:rsidR="00C07E7A" w:rsidRPr="00684570">
        <w:rPr>
          <w:rFonts w:ascii="Times New Roman" w:eastAsia="Calibri" w:hAnsi="Times New Roman" w:cs="Times New Roman"/>
          <w:sz w:val="24"/>
          <w:szCs w:val="24"/>
          <w:lang w:val="tr-TR"/>
        </w:rPr>
        <w:t>Evidence</w:t>
      </w:r>
      <w:r w:rsidR="00D5372F" w:rsidRPr="00684570">
        <w:rPr>
          <w:rFonts w:ascii="Times New Roman" w:eastAsia="Calibri" w:hAnsi="Times New Roman" w:cs="Times New Roman"/>
          <w:sz w:val="24"/>
          <w:szCs w:val="24"/>
          <w:lang w:val="tr-TR"/>
        </w:rPr>
        <w:t>, İnterpretation, and Policy Responses.</w:t>
      </w:r>
      <w:r w:rsidR="00C07E7A" w:rsidRPr="00684570">
        <w:rPr>
          <w:rFonts w:ascii="Times New Roman" w:eastAsia="Calibri" w:hAnsi="Times New Roman" w:cs="Times New Roman"/>
          <w:sz w:val="24"/>
          <w:szCs w:val="24"/>
          <w:lang w:val="tr-TR"/>
        </w:rPr>
        <w:t xml:space="preserve"> In G. A. Cornia </w:t>
      </w:r>
      <w:r w:rsidR="00687550" w:rsidRPr="00684570">
        <w:rPr>
          <w:rFonts w:ascii="Times New Roman" w:eastAsia="Calibri" w:hAnsi="Times New Roman" w:cs="Times New Roman"/>
          <w:sz w:val="24"/>
          <w:szCs w:val="24"/>
          <w:lang w:val="tr-TR"/>
        </w:rPr>
        <w:t>and</w:t>
      </w:r>
      <w:r w:rsidR="00C07E7A" w:rsidRPr="00684570">
        <w:rPr>
          <w:rFonts w:ascii="Times New Roman" w:eastAsia="Calibri" w:hAnsi="Times New Roman" w:cs="Times New Roman"/>
          <w:sz w:val="24"/>
          <w:szCs w:val="24"/>
          <w:lang w:val="tr-TR"/>
        </w:rPr>
        <w:t xml:space="preserve"> R. Paniccia (Eds.), </w:t>
      </w:r>
      <w:r w:rsidR="00C07E7A" w:rsidRPr="00684570">
        <w:rPr>
          <w:rFonts w:ascii="Times New Roman" w:eastAsia="Calibri" w:hAnsi="Times New Roman" w:cs="Times New Roman"/>
          <w:i/>
          <w:sz w:val="24"/>
          <w:szCs w:val="24"/>
          <w:lang w:val="tr-TR"/>
        </w:rPr>
        <w:t xml:space="preserve">The </w:t>
      </w:r>
      <w:r w:rsidR="00D5372F" w:rsidRPr="00684570">
        <w:rPr>
          <w:rFonts w:ascii="Times New Roman" w:eastAsia="Calibri" w:hAnsi="Times New Roman" w:cs="Times New Roman"/>
          <w:i/>
          <w:sz w:val="24"/>
          <w:szCs w:val="24"/>
          <w:lang w:val="tr-TR"/>
        </w:rPr>
        <w:t>Mortality Crisis İn Transitional Economies</w:t>
      </w:r>
      <w:r w:rsidR="00C07E7A" w:rsidRPr="00684570">
        <w:rPr>
          <w:rFonts w:ascii="Times New Roman" w:eastAsia="Calibri" w:hAnsi="Times New Roman" w:cs="Times New Roman"/>
          <w:sz w:val="24"/>
          <w:szCs w:val="24"/>
          <w:lang w:val="tr-TR"/>
        </w:rPr>
        <w:t xml:space="preserve"> (pp. 3-37). </w:t>
      </w:r>
      <w:r w:rsidR="007E0B94" w:rsidRPr="00684570">
        <w:rPr>
          <w:rFonts w:ascii="Times New Roman" w:eastAsia="Calibri" w:hAnsi="Times New Roman" w:cs="Times New Roman"/>
          <w:sz w:val="24"/>
          <w:szCs w:val="24"/>
          <w:lang w:val="tr-TR"/>
        </w:rPr>
        <w:t>Oxford: Oxford University Press</w:t>
      </w:r>
    </w:p>
    <w:p w14:paraId="6C33A027" w14:textId="347947AF" w:rsidR="009A4639" w:rsidRPr="00684570" w:rsidRDefault="00D5372F" w:rsidP="00684570">
      <w:pPr>
        <w:spacing w:after="120" w:line="240" w:lineRule="auto"/>
        <w:ind w:left="284" w:hanging="284"/>
        <w:jc w:val="both"/>
        <w:rPr>
          <w:rFonts w:ascii="Times New Roman" w:eastAsia="Calibri" w:hAnsi="Times New Roman" w:cs="Times New Roman"/>
          <w:sz w:val="24"/>
          <w:szCs w:val="24"/>
          <w:lang w:val="tr-TR"/>
        </w:rPr>
      </w:pPr>
      <w:r w:rsidRPr="00684570">
        <w:rPr>
          <w:rFonts w:ascii="Times New Roman" w:eastAsia="Calibri" w:hAnsi="Times New Roman" w:cs="Times New Roman"/>
          <w:sz w:val="24"/>
          <w:szCs w:val="24"/>
          <w:lang w:val="tr-TR"/>
        </w:rPr>
        <w:lastRenderedPageBreak/>
        <w:t>COCKERHAM, W. C, HİNOTEA, B. P. and ABBOTT, P., (2006),</w:t>
      </w:r>
      <w:r w:rsidR="00C07E7A" w:rsidRPr="00684570">
        <w:rPr>
          <w:rFonts w:ascii="Times New Roman" w:eastAsia="Calibri" w:hAnsi="Times New Roman" w:cs="Times New Roman"/>
          <w:sz w:val="24"/>
          <w:szCs w:val="24"/>
          <w:lang w:val="tr-TR"/>
        </w:rPr>
        <w:t xml:space="preserve"> Psychological </w:t>
      </w:r>
      <w:r w:rsidRPr="00684570">
        <w:rPr>
          <w:rFonts w:ascii="Times New Roman" w:eastAsia="Calibri" w:hAnsi="Times New Roman" w:cs="Times New Roman"/>
          <w:sz w:val="24"/>
          <w:szCs w:val="24"/>
          <w:lang w:val="tr-TR"/>
        </w:rPr>
        <w:t xml:space="preserve">Distress, Gender, and Health Lifestyles in </w:t>
      </w:r>
      <w:r w:rsidR="00C07E7A" w:rsidRPr="00684570">
        <w:rPr>
          <w:rFonts w:ascii="Times New Roman" w:eastAsia="Calibri" w:hAnsi="Times New Roman" w:cs="Times New Roman"/>
          <w:sz w:val="24"/>
          <w:szCs w:val="24"/>
          <w:lang w:val="tr-TR"/>
        </w:rPr>
        <w:t>Belarus</w:t>
      </w:r>
      <w:r w:rsidRPr="00684570">
        <w:rPr>
          <w:rFonts w:ascii="Times New Roman" w:eastAsia="Calibri" w:hAnsi="Times New Roman" w:cs="Times New Roman"/>
          <w:sz w:val="24"/>
          <w:szCs w:val="24"/>
          <w:lang w:val="tr-TR"/>
        </w:rPr>
        <w:t xml:space="preserve">, </w:t>
      </w:r>
      <w:r w:rsidR="00C07E7A" w:rsidRPr="00684570">
        <w:rPr>
          <w:rFonts w:ascii="Times New Roman" w:eastAsia="Calibri" w:hAnsi="Times New Roman" w:cs="Times New Roman"/>
          <w:sz w:val="24"/>
          <w:szCs w:val="24"/>
          <w:lang w:val="tr-TR"/>
        </w:rPr>
        <w:t>Kazakhstan</w:t>
      </w:r>
      <w:r w:rsidRPr="00684570">
        <w:rPr>
          <w:rFonts w:ascii="Times New Roman" w:eastAsia="Calibri" w:hAnsi="Times New Roman" w:cs="Times New Roman"/>
          <w:sz w:val="24"/>
          <w:szCs w:val="24"/>
          <w:lang w:val="tr-TR"/>
        </w:rPr>
        <w:t xml:space="preserve">, </w:t>
      </w:r>
      <w:r w:rsidR="00C07E7A" w:rsidRPr="00684570">
        <w:rPr>
          <w:rFonts w:ascii="Times New Roman" w:eastAsia="Calibri" w:hAnsi="Times New Roman" w:cs="Times New Roman"/>
          <w:sz w:val="24"/>
          <w:szCs w:val="24"/>
          <w:lang w:val="tr-TR"/>
        </w:rPr>
        <w:t>Russia</w:t>
      </w:r>
      <w:r w:rsidRPr="00684570">
        <w:rPr>
          <w:rFonts w:ascii="Times New Roman" w:eastAsia="Calibri" w:hAnsi="Times New Roman" w:cs="Times New Roman"/>
          <w:sz w:val="24"/>
          <w:szCs w:val="24"/>
          <w:lang w:val="tr-TR"/>
        </w:rPr>
        <w:t xml:space="preserve">, and </w:t>
      </w:r>
      <w:r w:rsidR="00C07E7A" w:rsidRPr="00684570">
        <w:rPr>
          <w:rFonts w:ascii="Times New Roman" w:eastAsia="Calibri" w:hAnsi="Times New Roman" w:cs="Times New Roman"/>
          <w:sz w:val="24"/>
          <w:szCs w:val="24"/>
          <w:lang w:val="tr-TR"/>
        </w:rPr>
        <w:t>Ukraine</w:t>
      </w:r>
      <w:r w:rsidRPr="00684570">
        <w:rPr>
          <w:rFonts w:ascii="Times New Roman" w:eastAsia="Calibri" w:hAnsi="Times New Roman" w:cs="Times New Roman"/>
          <w:sz w:val="24"/>
          <w:szCs w:val="24"/>
          <w:lang w:val="tr-TR"/>
        </w:rPr>
        <w:t xml:space="preserve">, </w:t>
      </w:r>
      <w:r w:rsidR="00C07E7A" w:rsidRPr="00684570">
        <w:rPr>
          <w:rFonts w:ascii="Times New Roman" w:eastAsia="Calibri" w:hAnsi="Times New Roman" w:cs="Times New Roman"/>
          <w:i/>
          <w:sz w:val="24"/>
          <w:szCs w:val="24"/>
          <w:lang w:val="tr-TR"/>
        </w:rPr>
        <w:t>Social Science and Medicine,</w:t>
      </w:r>
      <w:r w:rsidR="00C07E7A" w:rsidRPr="00684570">
        <w:rPr>
          <w:rFonts w:ascii="Times New Roman" w:eastAsia="Calibri" w:hAnsi="Times New Roman" w:cs="Times New Roman"/>
          <w:sz w:val="24"/>
          <w:szCs w:val="24"/>
          <w:lang w:val="tr-TR"/>
        </w:rPr>
        <w:t xml:space="preserve"> 63, 2381 - 2394.</w:t>
      </w:r>
    </w:p>
    <w:p w14:paraId="00B170B2" w14:textId="4686709B" w:rsidR="009A4639" w:rsidRPr="00684570" w:rsidRDefault="00D5372F" w:rsidP="00684570">
      <w:pPr>
        <w:tabs>
          <w:tab w:val="left" w:pos="960"/>
        </w:tabs>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CRÉMIEUX, P.-Y., OUELLETTE, P. and PILON, C., (1999), </w:t>
      </w:r>
      <w:r w:rsidR="00F64BE1" w:rsidRPr="00684570">
        <w:rPr>
          <w:rFonts w:ascii="Times New Roman" w:hAnsi="Times New Roman" w:cs="Times New Roman"/>
          <w:sz w:val="24"/>
          <w:szCs w:val="24"/>
          <w:lang w:val="en-US"/>
        </w:rPr>
        <w:t xml:space="preserve">Health Care Spending as </w:t>
      </w:r>
      <w:r w:rsidRPr="00684570">
        <w:rPr>
          <w:rFonts w:ascii="Times New Roman" w:hAnsi="Times New Roman" w:cs="Times New Roman"/>
          <w:sz w:val="24"/>
          <w:szCs w:val="24"/>
          <w:lang w:val="en-US"/>
        </w:rPr>
        <w:t>Determinants of Health Outcomes</w:t>
      </w:r>
      <w:r w:rsidR="00F64BE1" w:rsidRPr="00684570">
        <w:rPr>
          <w:rFonts w:ascii="Times New Roman" w:hAnsi="Times New Roman" w:cs="Times New Roman"/>
          <w:sz w:val="24"/>
          <w:szCs w:val="24"/>
          <w:lang w:val="en-US"/>
        </w:rPr>
        <w:t xml:space="preserve">, </w:t>
      </w:r>
      <w:r w:rsidR="00F64BE1" w:rsidRPr="00684570">
        <w:rPr>
          <w:rFonts w:ascii="Times New Roman" w:hAnsi="Times New Roman" w:cs="Times New Roman"/>
          <w:i/>
          <w:sz w:val="24"/>
          <w:szCs w:val="24"/>
          <w:lang w:val="en-US"/>
        </w:rPr>
        <w:t xml:space="preserve">Health </w:t>
      </w:r>
      <w:r w:rsidR="007E0B94" w:rsidRPr="00684570">
        <w:rPr>
          <w:rFonts w:ascii="Times New Roman" w:hAnsi="Times New Roman" w:cs="Times New Roman"/>
          <w:i/>
          <w:sz w:val="24"/>
          <w:szCs w:val="24"/>
          <w:lang w:val="en-US"/>
        </w:rPr>
        <w:t>Economics</w:t>
      </w:r>
      <w:r w:rsidR="00AD0E33" w:rsidRPr="00684570">
        <w:rPr>
          <w:rFonts w:ascii="Times New Roman" w:hAnsi="Times New Roman" w:cs="Times New Roman"/>
          <w:sz w:val="24"/>
          <w:szCs w:val="24"/>
          <w:lang w:val="en-US"/>
        </w:rPr>
        <w:t>,</w:t>
      </w:r>
      <w:r w:rsidRPr="00684570">
        <w:rPr>
          <w:rFonts w:ascii="Times New Roman" w:hAnsi="Times New Roman" w:cs="Times New Roman"/>
          <w:sz w:val="24"/>
          <w:szCs w:val="24"/>
          <w:lang w:val="en-US"/>
        </w:rPr>
        <w:t xml:space="preserve"> 8, </w:t>
      </w:r>
      <w:r w:rsidR="007E0B94" w:rsidRPr="00684570">
        <w:rPr>
          <w:rFonts w:ascii="Times New Roman" w:hAnsi="Times New Roman" w:cs="Times New Roman"/>
          <w:sz w:val="24"/>
          <w:szCs w:val="24"/>
          <w:lang w:val="en-US"/>
        </w:rPr>
        <w:t>627-639.</w:t>
      </w:r>
    </w:p>
    <w:p w14:paraId="1EC22EEE" w14:textId="4CC323C3" w:rsidR="009A4639" w:rsidRPr="00684570" w:rsidRDefault="00AD0E33" w:rsidP="00684570">
      <w:pPr>
        <w:tabs>
          <w:tab w:val="left" w:pos="960"/>
        </w:tabs>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CRIMMINS, E.</w:t>
      </w:r>
      <w:r w:rsidR="00D5372F" w:rsidRPr="00684570">
        <w:rPr>
          <w:rFonts w:ascii="Times New Roman" w:hAnsi="Times New Roman" w:cs="Times New Roman"/>
          <w:sz w:val="24"/>
          <w:szCs w:val="24"/>
          <w:lang w:val="en-US"/>
        </w:rPr>
        <w:t>M.,</w:t>
      </w:r>
      <w:r w:rsidRPr="00684570">
        <w:rPr>
          <w:rFonts w:ascii="Times New Roman" w:hAnsi="Times New Roman" w:cs="Times New Roman"/>
          <w:sz w:val="24"/>
          <w:szCs w:val="24"/>
          <w:lang w:val="en-US"/>
        </w:rPr>
        <w:t xml:space="preserve"> </w:t>
      </w:r>
      <w:r w:rsidR="00D5372F" w:rsidRPr="00684570">
        <w:rPr>
          <w:rFonts w:ascii="Times New Roman" w:hAnsi="Times New Roman" w:cs="Times New Roman"/>
          <w:sz w:val="24"/>
          <w:szCs w:val="24"/>
          <w:lang w:val="en-US"/>
        </w:rPr>
        <w:t>and SAITO</w:t>
      </w:r>
      <w:r w:rsidR="0085201B" w:rsidRPr="00684570">
        <w:rPr>
          <w:rFonts w:ascii="Times New Roman" w:hAnsi="Times New Roman" w:cs="Times New Roman"/>
          <w:sz w:val="24"/>
          <w:szCs w:val="24"/>
          <w:lang w:val="en-US"/>
        </w:rPr>
        <w:t>, Y.</w:t>
      </w:r>
      <w:r w:rsidR="00D5372F" w:rsidRPr="00684570">
        <w:rPr>
          <w:rFonts w:ascii="Times New Roman" w:hAnsi="Times New Roman" w:cs="Times New Roman"/>
          <w:sz w:val="24"/>
          <w:szCs w:val="24"/>
          <w:lang w:val="en-US"/>
        </w:rPr>
        <w:t xml:space="preserve">, (2001), </w:t>
      </w:r>
      <w:r w:rsidR="0085201B" w:rsidRPr="00684570">
        <w:rPr>
          <w:rFonts w:ascii="Times New Roman" w:hAnsi="Times New Roman" w:cs="Times New Roman"/>
          <w:sz w:val="24"/>
          <w:szCs w:val="24"/>
          <w:lang w:val="en-US"/>
        </w:rPr>
        <w:t xml:space="preserve">Trends </w:t>
      </w:r>
      <w:r w:rsidRPr="00684570">
        <w:rPr>
          <w:rFonts w:ascii="Times New Roman" w:hAnsi="Times New Roman" w:cs="Times New Roman"/>
          <w:sz w:val="24"/>
          <w:szCs w:val="24"/>
          <w:lang w:val="en-US"/>
        </w:rPr>
        <w:t>in Healthy Life Expectancy i</w:t>
      </w:r>
      <w:r w:rsidR="00D5372F" w:rsidRPr="00684570">
        <w:rPr>
          <w:rFonts w:ascii="Times New Roman" w:hAnsi="Times New Roman" w:cs="Times New Roman"/>
          <w:sz w:val="24"/>
          <w:szCs w:val="24"/>
          <w:lang w:val="en-US"/>
        </w:rPr>
        <w:t xml:space="preserve">n The </w:t>
      </w:r>
      <w:r w:rsidR="0085201B" w:rsidRPr="00684570">
        <w:rPr>
          <w:rFonts w:ascii="Times New Roman" w:hAnsi="Times New Roman" w:cs="Times New Roman"/>
          <w:sz w:val="24"/>
          <w:szCs w:val="24"/>
          <w:lang w:val="en-US"/>
        </w:rPr>
        <w:t>United States</w:t>
      </w:r>
      <w:r w:rsidR="00D5372F" w:rsidRPr="00684570">
        <w:rPr>
          <w:rFonts w:ascii="Times New Roman" w:hAnsi="Times New Roman" w:cs="Times New Roman"/>
          <w:sz w:val="24"/>
          <w:szCs w:val="24"/>
          <w:lang w:val="en-US"/>
        </w:rPr>
        <w:t>, 1970 – 1990: Gender, Racial, and Educational Differences,</w:t>
      </w:r>
      <w:r w:rsidR="0085201B" w:rsidRPr="00684570">
        <w:rPr>
          <w:rFonts w:ascii="Times New Roman" w:hAnsi="Times New Roman" w:cs="Times New Roman"/>
          <w:sz w:val="24"/>
          <w:szCs w:val="24"/>
          <w:lang w:val="en-US"/>
        </w:rPr>
        <w:t xml:space="preserve"> </w:t>
      </w:r>
      <w:r w:rsidR="0085201B" w:rsidRPr="00684570">
        <w:rPr>
          <w:rFonts w:ascii="Times New Roman" w:hAnsi="Times New Roman" w:cs="Times New Roman"/>
          <w:i/>
          <w:sz w:val="24"/>
          <w:szCs w:val="24"/>
          <w:lang w:val="en-US"/>
        </w:rPr>
        <w:t xml:space="preserve">Social Science </w:t>
      </w:r>
      <w:r w:rsidR="00687550" w:rsidRPr="00684570">
        <w:rPr>
          <w:rFonts w:ascii="Times New Roman" w:hAnsi="Times New Roman" w:cs="Times New Roman"/>
          <w:i/>
          <w:sz w:val="24"/>
          <w:szCs w:val="24"/>
          <w:lang w:val="en-US"/>
        </w:rPr>
        <w:t>and</w:t>
      </w:r>
      <w:r w:rsidR="0085201B" w:rsidRPr="00684570">
        <w:rPr>
          <w:rFonts w:ascii="Times New Roman" w:hAnsi="Times New Roman" w:cs="Times New Roman"/>
          <w:i/>
          <w:sz w:val="24"/>
          <w:szCs w:val="24"/>
          <w:lang w:val="en-US"/>
        </w:rPr>
        <w:t xml:space="preserve"> Medicine</w:t>
      </w:r>
      <w:r w:rsidR="00D5372F" w:rsidRPr="00684570">
        <w:rPr>
          <w:rFonts w:ascii="Times New Roman" w:hAnsi="Times New Roman" w:cs="Times New Roman"/>
          <w:sz w:val="24"/>
          <w:szCs w:val="24"/>
          <w:lang w:val="en-US"/>
        </w:rPr>
        <w:t>, 52,1629 -1641.</w:t>
      </w:r>
    </w:p>
    <w:p w14:paraId="234AEC73" w14:textId="012F318B" w:rsidR="00B04AC9" w:rsidRPr="00684570" w:rsidRDefault="00D5372F" w:rsidP="00684570">
      <w:pPr>
        <w:autoSpaceDE w:val="0"/>
        <w:autoSpaceDN w:val="0"/>
        <w:adjustRightInd w:val="0"/>
        <w:spacing w:after="120" w:line="240" w:lineRule="auto"/>
        <w:ind w:left="284" w:hanging="284"/>
        <w:jc w:val="both"/>
        <w:rPr>
          <w:rFonts w:ascii="Times New Roman" w:eastAsia="STIX-Regular" w:hAnsi="Times New Roman" w:cs="Times New Roman"/>
          <w:sz w:val="24"/>
          <w:szCs w:val="24"/>
          <w:lang w:val="en-US"/>
        </w:rPr>
      </w:pPr>
      <w:r w:rsidRPr="00684570">
        <w:rPr>
          <w:rFonts w:ascii="Times New Roman" w:eastAsia="STIX-Regular" w:hAnsi="Times New Roman" w:cs="Times New Roman"/>
          <w:sz w:val="24"/>
          <w:szCs w:val="24"/>
          <w:lang w:val="en-US"/>
        </w:rPr>
        <w:t>DENNEY, J. T., ROGERS, R. G., HUMMER, R. A. and PAMPEL, F. C., (2010),</w:t>
      </w:r>
      <w:r w:rsidR="00B04AC9" w:rsidRPr="00684570">
        <w:rPr>
          <w:rFonts w:ascii="Times New Roman" w:eastAsia="STIX-Regular" w:hAnsi="Times New Roman" w:cs="Times New Roman"/>
          <w:sz w:val="24"/>
          <w:szCs w:val="24"/>
          <w:lang w:val="en-US"/>
        </w:rPr>
        <w:t xml:space="preserve"> Education </w:t>
      </w:r>
      <w:r w:rsidRPr="00684570">
        <w:rPr>
          <w:rFonts w:ascii="Times New Roman" w:eastAsia="STIX-Regular" w:hAnsi="Times New Roman" w:cs="Times New Roman"/>
          <w:sz w:val="24"/>
          <w:szCs w:val="24"/>
          <w:lang w:val="en-US"/>
        </w:rPr>
        <w:t>Inequality in Mortality</w:t>
      </w:r>
      <w:r w:rsidR="005D2618" w:rsidRPr="00684570">
        <w:rPr>
          <w:rFonts w:ascii="Times New Roman" w:eastAsia="STIX-Regular" w:hAnsi="Times New Roman" w:cs="Times New Roman"/>
          <w:sz w:val="24"/>
          <w:szCs w:val="24"/>
          <w:lang w:val="en-US"/>
        </w:rPr>
        <w:t xml:space="preserve">: </w:t>
      </w:r>
      <w:r w:rsidR="00B04AC9" w:rsidRPr="00684570">
        <w:rPr>
          <w:rFonts w:ascii="Times New Roman" w:eastAsia="STIX-Regular" w:hAnsi="Times New Roman" w:cs="Times New Roman"/>
          <w:sz w:val="24"/>
          <w:szCs w:val="24"/>
          <w:lang w:val="en-US"/>
        </w:rPr>
        <w:t>the</w:t>
      </w:r>
      <w:r w:rsidR="005D2618" w:rsidRPr="00684570">
        <w:rPr>
          <w:rFonts w:ascii="Times New Roman" w:eastAsia="STIX-Regular" w:hAnsi="Times New Roman" w:cs="Times New Roman"/>
          <w:sz w:val="24"/>
          <w:szCs w:val="24"/>
          <w:lang w:val="en-US"/>
        </w:rPr>
        <w:t xml:space="preserve"> </w:t>
      </w:r>
      <w:r w:rsidRPr="00684570">
        <w:rPr>
          <w:rFonts w:ascii="Times New Roman" w:eastAsia="STIX-Regular" w:hAnsi="Times New Roman" w:cs="Times New Roman"/>
          <w:sz w:val="24"/>
          <w:szCs w:val="24"/>
          <w:lang w:val="en-US"/>
        </w:rPr>
        <w:t>Age and Gender Specific Mediating Effects of Cigarette Smoking,</w:t>
      </w:r>
      <w:r w:rsidR="00B04AC9" w:rsidRPr="00684570">
        <w:rPr>
          <w:rFonts w:ascii="Times New Roman" w:eastAsia="STIX-Regular" w:hAnsi="Times New Roman" w:cs="Times New Roman"/>
          <w:sz w:val="24"/>
          <w:szCs w:val="24"/>
          <w:lang w:val="en-US"/>
        </w:rPr>
        <w:t xml:space="preserve"> </w:t>
      </w:r>
      <w:r w:rsidR="00B04AC9" w:rsidRPr="00684570">
        <w:rPr>
          <w:rFonts w:ascii="Times New Roman" w:eastAsia="STIX-Regular" w:hAnsi="Times New Roman" w:cs="Times New Roman"/>
          <w:i/>
          <w:sz w:val="24"/>
          <w:szCs w:val="24"/>
          <w:lang w:val="en-US"/>
        </w:rPr>
        <w:t>Social Sc</w:t>
      </w:r>
      <w:r w:rsidR="007E0B94" w:rsidRPr="00684570">
        <w:rPr>
          <w:rFonts w:ascii="Times New Roman" w:eastAsia="STIX-Regular" w:hAnsi="Times New Roman" w:cs="Times New Roman"/>
          <w:i/>
          <w:sz w:val="24"/>
          <w:szCs w:val="24"/>
          <w:lang w:val="en-US"/>
        </w:rPr>
        <w:t>ience Research</w:t>
      </w:r>
      <w:r w:rsidR="007E0B94" w:rsidRPr="00684570">
        <w:rPr>
          <w:rFonts w:ascii="Times New Roman" w:eastAsia="STIX-Regular" w:hAnsi="Times New Roman" w:cs="Times New Roman"/>
          <w:sz w:val="24"/>
          <w:szCs w:val="24"/>
          <w:lang w:val="en-US"/>
        </w:rPr>
        <w:t>, 39(4), 662–673.</w:t>
      </w:r>
    </w:p>
    <w:p w14:paraId="5406670A" w14:textId="0EC6BD19" w:rsidR="009A4639" w:rsidRPr="00684570" w:rsidRDefault="00D5372F" w:rsidP="00684570">
      <w:pPr>
        <w:tabs>
          <w:tab w:val="left" w:pos="960"/>
        </w:tabs>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ELO, I.T. and PRESTON, S.H., (1992), </w:t>
      </w:r>
      <w:r w:rsidR="001B38E7" w:rsidRPr="00684570">
        <w:rPr>
          <w:rFonts w:ascii="Times New Roman" w:hAnsi="Times New Roman" w:cs="Times New Roman"/>
          <w:sz w:val="24"/>
          <w:szCs w:val="24"/>
          <w:lang w:val="en-US"/>
        </w:rPr>
        <w:t xml:space="preserve">Effects of </w:t>
      </w:r>
      <w:r w:rsidRPr="00684570">
        <w:rPr>
          <w:rFonts w:ascii="Times New Roman" w:hAnsi="Times New Roman" w:cs="Times New Roman"/>
          <w:sz w:val="24"/>
          <w:szCs w:val="24"/>
          <w:lang w:val="en-US"/>
        </w:rPr>
        <w:t>Early-Life Conditions on Adult Mortality: A Review</w:t>
      </w:r>
      <w:r w:rsidR="001B38E7" w:rsidRPr="00684570">
        <w:rPr>
          <w:rFonts w:ascii="Times New Roman" w:hAnsi="Times New Roman" w:cs="Times New Roman"/>
          <w:sz w:val="24"/>
          <w:szCs w:val="24"/>
          <w:lang w:val="en-US"/>
        </w:rPr>
        <w:t xml:space="preserve">, </w:t>
      </w:r>
      <w:r w:rsidR="001B38E7" w:rsidRPr="00684570">
        <w:rPr>
          <w:rFonts w:ascii="Times New Roman" w:hAnsi="Times New Roman" w:cs="Times New Roman"/>
          <w:i/>
          <w:sz w:val="24"/>
          <w:szCs w:val="24"/>
          <w:lang w:val="en-US"/>
        </w:rPr>
        <w:t>Po</w:t>
      </w:r>
      <w:r w:rsidR="007E0B94" w:rsidRPr="00684570">
        <w:rPr>
          <w:rFonts w:ascii="Times New Roman" w:hAnsi="Times New Roman" w:cs="Times New Roman"/>
          <w:i/>
          <w:sz w:val="24"/>
          <w:szCs w:val="24"/>
          <w:lang w:val="en-US"/>
        </w:rPr>
        <w:t>pulation Index</w:t>
      </w:r>
      <w:r w:rsidRPr="00684570">
        <w:rPr>
          <w:rFonts w:ascii="Times New Roman" w:hAnsi="Times New Roman" w:cs="Times New Roman"/>
          <w:i/>
          <w:sz w:val="24"/>
          <w:szCs w:val="24"/>
          <w:lang w:val="en-US"/>
        </w:rPr>
        <w:t>,</w:t>
      </w:r>
      <w:r w:rsidR="007E0B94" w:rsidRPr="00684570">
        <w:rPr>
          <w:rFonts w:ascii="Times New Roman" w:hAnsi="Times New Roman" w:cs="Times New Roman"/>
          <w:sz w:val="24"/>
          <w:szCs w:val="24"/>
          <w:lang w:val="en-US"/>
        </w:rPr>
        <w:t xml:space="preserve"> </w:t>
      </w:r>
      <w:r w:rsidRPr="00684570">
        <w:rPr>
          <w:rFonts w:ascii="Times New Roman" w:hAnsi="Times New Roman" w:cs="Times New Roman"/>
          <w:sz w:val="24"/>
          <w:szCs w:val="24"/>
          <w:lang w:val="en-US"/>
        </w:rPr>
        <w:t>58</w:t>
      </w:r>
      <w:r w:rsidR="007E0B94" w:rsidRPr="00684570">
        <w:rPr>
          <w:rFonts w:ascii="Times New Roman" w:hAnsi="Times New Roman" w:cs="Times New Roman"/>
          <w:sz w:val="24"/>
          <w:szCs w:val="24"/>
          <w:lang w:val="en-US"/>
        </w:rPr>
        <w:t>(2), 186-212.</w:t>
      </w:r>
    </w:p>
    <w:p w14:paraId="5F8007A7" w14:textId="612D75F5" w:rsidR="009A4639" w:rsidRPr="00684570" w:rsidRDefault="00D5372F" w:rsidP="00684570">
      <w:pPr>
        <w:tabs>
          <w:tab w:val="left" w:pos="960"/>
        </w:tabs>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ELOLA, F.J., DAPONTE, A., and NAVARRO, V., (1995),</w:t>
      </w:r>
      <w:r w:rsidR="00357B1A" w:rsidRPr="00684570">
        <w:rPr>
          <w:rFonts w:ascii="Times New Roman" w:hAnsi="Times New Roman" w:cs="Times New Roman"/>
          <w:sz w:val="24"/>
          <w:szCs w:val="24"/>
          <w:lang w:val="en-US"/>
        </w:rPr>
        <w:t xml:space="preserve"> Health Indicators and the Organisation of Healt</w:t>
      </w:r>
      <w:r w:rsidRPr="00684570">
        <w:rPr>
          <w:rFonts w:ascii="Times New Roman" w:hAnsi="Times New Roman" w:cs="Times New Roman"/>
          <w:sz w:val="24"/>
          <w:szCs w:val="24"/>
          <w:lang w:val="en-US"/>
        </w:rPr>
        <w:t>hcare Systems in Western Europe,</w:t>
      </w:r>
      <w:r w:rsidR="00357B1A" w:rsidRPr="00684570">
        <w:rPr>
          <w:rFonts w:ascii="Times New Roman" w:hAnsi="Times New Roman" w:cs="Times New Roman"/>
          <w:sz w:val="24"/>
          <w:szCs w:val="24"/>
          <w:lang w:val="en-US"/>
        </w:rPr>
        <w:t xml:space="preserve"> </w:t>
      </w:r>
      <w:r w:rsidR="00357B1A" w:rsidRPr="00684570">
        <w:rPr>
          <w:rFonts w:ascii="Times New Roman" w:hAnsi="Times New Roman" w:cs="Times New Roman"/>
          <w:i/>
          <w:sz w:val="24"/>
          <w:szCs w:val="24"/>
          <w:lang w:val="en-US"/>
        </w:rPr>
        <w:t>American Journal of Public Health</w:t>
      </w:r>
      <w:r w:rsidRPr="00684570">
        <w:rPr>
          <w:rFonts w:ascii="Times New Roman" w:hAnsi="Times New Roman" w:cs="Times New Roman"/>
          <w:sz w:val="24"/>
          <w:szCs w:val="24"/>
          <w:lang w:val="en-US"/>
        </w:rPr>
        <w:t>,85(10),</w:t>
      </w:r>
      <w:r w:rsidR="00357B1A" w:rsidRPr="00684570">
        <w:rPr>
          <w:rFonts w:ascii="Times New Roman" w:hAnsi="Times New Roman" w:cs="Times New Roman"/>
          <w:sz w:val="24"/>
          <w:szCs w:val="24"/>
          <w:lang w:val="en-US"/>
        </w:rPr>
        <w:t>1397-4</w:t>
      </w:r>
      <w:r w:rsidR="007E0B94" w:rsidRPr="00684570">
        <w:rPr>
          <w:rFonts w:ascii="Times New Roman" w:hAnsi="Times New Roman" w:cs="Times New Roman"/>
          <w:sz w:val="24"/>
          <w:szCs w:val="24"/>
          <w:lang w:val="en-US"/>
        </w:rPr>
        <w:t>01 DOI: 10.2105/AJPH.85.10.1397</w:t>
      </w:r>
    </w:p>
    <w:p w14:paraId="3B8D9F47" w14:textId="0F69615A" w:rsidR="009A4639" w:rsidRPr="00684570" w:rsidRDefault="00D5372F" w:rsidP="00684570">
      <w:pPr>
        <w:tabs>
          <w:tab w:val="left" w:pos="960"/>
        </w:tabs>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EVANS, M.F., and SMITH, V.K., (2005), </w:t>
      </w:r>
      <w:r w:rsidR="001B38E7" w:rsidRPr="00684570">
        <w:rPr>
          <w:rFonts w:ascii="Times New Roman" w:hAnsi="Times New Roman" w:cs="Times New Roman"/>
          <w:sz w:val="24"/>
          <w:szCs w:val="24"/>
          <w:lang w:val="en-US"/>
        </w:rPr>
        <w:t xml:space="preserve">Do </w:t>
      </w:r>
      <w:r w:rsidRPr="00684570">
        <w:rPr>
          <w:rFonts w:ascii="Times New Roman" w:hAnsi="Times New Roman" w:cs="Times New Roman"/>
          <w:sz w:val="24"/>
          <w:szCs w:val="24"/>
          <w:lang w:val="en-US"/>
        </w:rPr>
        <w:t>New Health Conditions Support Mortality-Air Pollution Effects?</w:t>
      </w:r>
      <w:r w:rsidR="00AD0E33" w:rsidRPr="00684570">
        <w:rPr>
          <w:rFonts w:ascii="Times New Roman" w:hAnsi="Times New Roman" w:cs="Times New Roman"/>
          <w:sz w:val="24"/>
          <w:szCs w:val="24"/>
          <w:lang w:val="en-US"/>
        </w:rPr>
        <w:t xml:space="preserve">, </w:t>
      </w:r>
      <w:r w:rsidR="001B38E7" w:rsidRPr="00684570">
        <w:rPr>
          <w:rFonts w:ascii="Times New Roman" w:hAnsi="Times New Roman" w:cs="Times New Roman"/>
          <w:i/>
          <w:sz w:val="24"/>
          <w:szCs w:val="24"/>
          <w:lang w:val="en-US"/>
        </w:rPr>
        <w:t>Journal of Environmental Econom</w:t>
      </w:r>
      <w:r w:rsidR="007E0B94" w:rsidRPr="00684570">
        <w:rPr>
          <w:rFonts w:ascii="Times New Roman" w:hAnsi="Times New Roman" w:cs="Times New Roman"/>
          <w:i/>
          <w:sz w:val="24"/>
          <w:szCs w:val="24"/>
          <w:lang w:val="en-US"/>
        </w:rPr>
        <w:t>ics and Management</w:t>
      </w:r>
      <w:r w:rsidRPr="00684570">
        <w:rPr>
          <w:rFonts w:ascii="Times New Roman" w:hAnsi="Times New Roman" w:cs="Times New Roman"/>
          <w:sz w:val="24"/>
          <w:szCs w:val="24"/>
          <w:lang w:val="en-US"/>
        </w:rPr>
        <w:t>,</w:t>
      </w:r>
      <w:r w:rsidR="007E0B94" w:rsidRPr="00684570">
        <w:rPr>
          <w:rFonts w:ascii="Times New Roman" w:hAnsi="Times New Roman" w:cs="Times New Roman"/>
          <w:sz w:val="24"/>
          <w:szCs w:val="24"/>
          <w:lang w:val="en-US"/>
        </w:rPr>
        <w:t xml:space="preserve"> 50, 496-518</w:t>
      </w:r>
      <w:r w:rsidRPr="00684570">
        <w:rPr>
          <w:rFonts w:ascii="Times New Roman" w:hAnsi="Times New Roman" w:cs="Times New Roman"/>
          <w:sz w:val="24"/>
          <w:szCs w:val="24"/>
          <w:lang w:val="en-US"/>
        </w:rPr>
        <w:t>.</w:t>
      </w:r>
    </w:p>
    <w:p w14:paraId="7959C45D" w14:textId="017A674A" w:rsidR="009A4639" w:rsidRPr="00684570" w:rsidRDefault="00D5372F" w:rsidP="00684570">
      <w:pPr>
        <w:tabs>
          <w:tab w:val="left" w:pos="960"/>
        </w:tabs>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FABELLA</w:t>
      </w:r>
      <w:r w:rsidR="0033057E" w:rsidRPr="00684570">
        <w:rPr>
          <w:rFonts w:ascii="Times New Roman" w:hAnsi="Times New Roman" w:cs="Times New Roman"/>
          <w:sz w:val="24"/>
          <w:szCs w:val="24"/>
          <w:lang w:val="en-US"/>
        </w:rPr>
        <w:t>, C.</w:t>
      </w:r>
      <w:r w:rsidRPr="00684570">
        <w:rPr>
          <w:rFonts w:ascii="Times New Roman" w:hAnsi="Times New Roman" w:cs="Times New Roman"/>
          <w:sz w:val="24"/>
          <w:szCs w:val="24"/>
          <w:lang w:val="en-US"/>
        </w:rPr>
        <w:t>, (2008),</w:t>
      </w:r>
      <w:r w:rsidR="00522011" w:rsidRPr="00684570">
        <w:rPr>
          <w:rFonts w:ascii="Times New Roman" w:hAnsi="Times New Roman" w:cs="Times New Roman"/>
          <w:sz w:val="24"/>
          <w:szCs w:val="24"/>
          <w:lang w:val="en-US"/>
        </w:rPr>
        <w:t xml:space="preserve"> </w:t>
      </w:r>
      <w:r w:rsidRPr="00684570">
        <w:rPr>
          <w:rFonts w:ascii="Times New Roman" w:hAnsi="Times New Roman" w:cs="Times New Roman"/>
          <w:sz w:val="24"/>
          <w:szCs w:val="24"/>
          <w:lang w:val="en-US"/>
        </w:rPr>
        <w:t>Population Growth and Infant Mortality</w:t>
      </w:r>
      <w:r w:rsidR="00597B6E" w:rsidRPr="00684570">
        <w:rPr>
          <w:rFonts w:ascii="Times New Roman" w:hAnsi="Times New Roman" w:cs="Times New Roman"/>
          <w:sz w:val="24"/>
          <w:szCs w:val="24"/>
          <w:lang w:val="en-US"/>
        </w:rPr>
        <w:t>, UPSE Discussion Paper, No. 2008,10, University of the Philippines, School of Economics (UPSE), Quezon City</w:t>
      </w:r>
      <w:r w:rsidR="00522011" w:rsidRPr="00684570">
        <w:rPr>
          <w:rFonts w:ascii="Times New Roman" w:hAnsi="Times New Roman" w:cs="Times New Roman"/>
          <w:sz w:val="24"/>
          <w:szCs w:val="24"/>
          <w:lang w:val="en-US"/>
        </w:rPr>
        <w:t>.</w:t>
      </w:r>
    </w:p>
    <w:p w14:paraId="34796F58" w14:textId="150A5F3A" w:rsidR="009A4639" w:rsidRPr="00684570" w:rsidRDefault="003B752D" w:rsidP="00684570">
      <w:pPr>
        <w:tabs>
          <w:tab w:val="left" w:pos="960"/>
        </w:tabs>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FAYISSA, B., GUTEMA, P., (2005), </w:t>
      </w:r>
      <w:r w:rsidR="00657187" w:rsidRPr="00684570">
        <w:rPr>
          <w:rFonts w:ascii="Times New Roman" w:hAnsi="Times New Roman" w:cs="Times New Roman"/>
          <w:sz w:val="24"/>
          <w:szCs w:val="24"/>
          <w:lang w:val="en-US"/>
        </w:rPr>
        <w:t xml:space="preserve">Estimating a </w:t>
      </w:r>
      <w:r w:rsidR="00A7347D" w:rsidRPr="00684570">
        <w:rPr>
          <w:rFonts w:ascii="Times New Roman" w:hAnsi="Times New Roman" w:cs="Times New Roman"/>
          <w:sz w:val="24"/>
          <w:szCs w:val="24"/>
          <w:lang w:val="en-US"/>
        </w:rPr>
        <w:t>Health Production Function for Sub Saharan Africa (SSA),</w:t>
      </w:r>
      <w:r w:rsidR="00657187" w:rsidRPr="00684570">
        <w:rPr>
          <w:rFonts w:ascii="Times New Roman" w:hAnsi="Times New Roman" w:cs="Times New Roman"/>
          <w:sz w:val="24"/>
          <w:szCs w:val="24"/>
          <w:lang w:val="en-US"/>
        </w:rPr>
        <w:t xml:space="preserve"> </w:t>
      </w:r>
      <w:r w:rsidR="00657187" w:rsidRPr="00684570">
        <w:rPr>
          <w:rFonts w:ascii="Times New Roman" w:hAnsi="Times New Roman" w:cs="Times New Roman"/>
          <w:i/>
          <w:sz w:val="24"/>
          <w:szCs w:val="24"/>
          <w:lang w:val="en-US"/>
        </w:rPr>
        <w:t>Applied Economics</w:t>
      </w:r>
      <w:r w:rsidR="00A7347D" w:rsidRPr="00684570">
        <w:rPr>
          <w:rFonts w:ascii="Times New Roman" w:hAnsi="Times New Roman" w:cs="Times New Roman"/>
          <w:i/>
          <w:sz w:val="24"/>
          <w:szCs w:val="24"/>
          <w:lang w:val="en-US"/>
        </w:rPr>
        <w:t>,</w:t>
      </w:r>
      <w:r w:rsidR="00657187" w:rsidRPr="00684570">
        <w:rPr>
          <w:rFonts w:ascii="Times New Roman" w:hAnsi="Times New Roman" w:cs="Times New Roman"/>
          <w:sz w:val="24"/>
          <w:szCs w:val="24"/>
          <w:lang w:val="en-US"/>
        </w:rPr>
        <w:t xml:space="preserve"> 37, 155-164.</w:t>
      </w:r>
    </w:p>
    <w:p w14:paraId="107A7C38" w14:textId="13256E86" w:rsidR="00FD616E" w:rsidRPr="00684570" w:rsidRDefault="00A7347D" w:rsidP="00684570">
      <w:pPr>
        <w:spacing w:after="120" w:line="240" w:lineRule="auto"/>
        <w:ind w:left="284" w:hanging="284"/>
        <w:jc w:val="both"/>
        <w:rPr>
          <w:rFonts w:ascii="Times New Roman" w:eastAsia="Calibri" w:hAnsi="Times New Roman" w:cs="Times New Roman"/>
          <w:sz w:val="24"/>
          <w:szCs w:val="24"/>
          <w:lang w:val="tr-TR"/>
        </w:rPr>
      </w:pPr>
      <w:r w:rsidRPr="00684570">
        <w:rPr>
          <w:rFonts w:ascii="Times New Roman" w:eastAsia="Calibri" w:hAnsi="Times New Roman" w:cs="Times New Roman"/>
          <w:sz w:val="24"/>
          <w:szCs w:val="24"/>
          <w:lang w:val="tr-TR"/>
        </w:rPr>
        <w:t>GRİGORİEV, P.,</w:t>
      </w:r>
      <w:r w:rsidRPr="00684570">
        <w:rPr>
          <w:rFonts w:ascii="Times New Roman" w:hAnsi="Times New Roman" w:cs="Times New Roman"/>
          <w:sz w:val="24"/>
          <w:szCs w:val="24"/>
          <w:lang w:val="en-US"/>
        </w:rPr>
        <w:t xml:space="preserve"> </w:t>
      </w:r>
      <w:r w:rsidRPr="00684570">
        <w:rPr>
          <w:rFonts w:ascii="Times New Roman" w:eastAsia="Calibri" w:hAnsi="Times New Roman" w:cs="Times New Roman"/>
          <w:sz w:val="24"/>
          <w:szCs w:val="24"/>
          <w:lang w:val="tr-TR"/>
        </w:rPr>
        <w:t>SHKOLNİKOV, V., ANDREEV, E., JASİL</w:t>
      </w:r>
      <w:r w:rsidR="00437341" w:rsidRPr="00684570">
        <w:rPr>
          <w:rFonts w:ascii="Times New Roman" w:eastAsia="Calibri" w:hAnsi="Times New Roman" w:cs="Times New Roman"/>
          <w:sz w:val="24"/>
          <w:szCs w:val="24"/>
          <w:lang w:val="tr-TR"/>
        </w:rPr>
        <w:t>İONİS, D., JDANOV,D.,  MESLÉ F.</w:t>
      </w:r>
      <w:r w:rsidRPr="00684570">
        <w:rPr>
          <w:rFonts w:ascii="Times New Roman" w:eastAsia="Calibri" w:hAnsi="Times New Roman" w:cs="Times New Roman"/>
          <w:sz w:val="24"/>
          <w:szCs w:val="24"/>
          <w:lang w:val="tr-TR"/>
        </w:rPr>
        <w:t xml:space="preserve"> </w:t>
      </w:r>
      <w:r w:rsidR="00437341" w:rsidRPr="00684570">
        <w:rPr>
          <w:rFonts w:ascii="Times New Roman" w:eastAsia="Calibri" w:hAnsi="Times New Roman" w:cs="Times New Roman"/>
          <w:sz w:val="24"/>
          <w:szCs w:val="24"/>
          <w:lang w:val="tr-TR"/>
        </w:rPr>
        <w:t>and</w:t>
      </w:r>
      <w:r w:rsidRPr="00684570">
        <w:rPr>
          <w:rFonts w:ascii="Times New Roman" w:eastAsia="Calibri" w:hAnsi="Times New Roman" w:cs="Times New Roman"/>
          <w:sz w:val="24"/>
          <w:szCs w:val="24"/>
          <w:lang w:val="tr-TR"/>
        </w:rPr>
        <w:t xml:space="preserve"> VALLİN, </w:t>
      </w:r>
      <w:r w:rsidR="00C07E7A" w:rsidRPr="00684570">
        <w:rPr>
          <w:rFonts w:ascii="Times New Roman" w:eastAsia="Calibri" w:hAnsi="Times New Roman" w:cs="Times New Roman"/>
          <w:sz w:val="24"/>
          <w:szCs w:val="24"/>
          <w:lang w:val="tr-TR"/>
        </w:rPr>
        <w:t>J.</w:t>
      </w:r>
      <w:r w:rsidR="00437341" w:rsidRPr="00684570">
        <w:rPr>
          <w:rFonts w:ascii="Times New Roman" w:eastAsia="Calibri" w:hAnsi="Times New Roman" w:cs="Times New Roman"/>
          <w:sz w:val="24"/>
          <w:szCs w:val="24"/>
          <w:lang w:val="tr-TR"/>
        </w:rPr>
        <w:t>,</w:t>
      </w:r>
      <w:r w:rsidR="00C07E7A" w:rsidRPr="00684570">
        <w:rPr>
          <w:rFonts w:ascii="Times New Roman" w:eastAsia="Calibri" w:hAnsi="Times New Roman" w:cs="Times New Roman"/>
          <w:sz w:val="24"/>
          <w:szCs w:val="24"/>
          <w:lang w:val="tr-TR"/>
        </w:rPr>
        <w:t xml:space="preserve">  (2010)</w:t>
      </w:r>
      <w:r w:rsidR="00437341" w:rsidRPr="00684570">
        <w:rPr>
          <w:rFonts w:ascii="Times New Roman" w:eastAsia="Calibri" w:hAnsi="Times New Roman" w:cs="Times New Roman"/>
          <w:sz w:val="24"/>
          <w:szCs w:val="24"/>
          <w:lang w:val="tr-TR"/>
        </w:rPr>
        <w:t>,</w:t>
      </w:r>
      <w:r w:rsidR="00C07E7A" w:rsidRPr="00684570">
        <w:rPr>
          <w:rFonts w:ascii="Times New Roman" w:eastAsia="Calibri" w:hAnsi="Times New Roman" w:cs="Times New Roman"/>
          <w:sz w:val="24"/>
          <w:szCs w:val="24"/>
          <w:lang w:val="tr-TR"/>
        </w:rPr>
        <w:t xml:space="preserve"> Mortality in Belarus, Lithuania, and Russia: Divergence in Recent Trends and Possible Explanations La mortalité en Biélorussie, Lituanie et Russie: Divergence dans les Tendances Récentes et Explications Possibles, </w:t>
      </w:r>
      <w:r w:rsidR="00C07E7A" w:rsidRPr="00684570">
        <w:rPr>
          <w:rFonts w:ascii="Times New Roman" w:eastAsia="Calibri" w:hAnsi="Times New Roman" w:cs="Times New Roman"/>
          <w:i/>
          <w:sz w:val="24"/>
          <w:szCs w:val="24"/>
          <w:lang w:val="tr-TR"/>
        </w:rPr>
        <w:t>European Journal of Population / Revue Européenne de Démographie</w:t>
      </w:r>
      <w:r w:rsidR="007E0B94" w:rsidRPr="00684570">
        <w:rPr>
          <w:rFonts w:ascii="Times New Roman" w:eastAsia="Calibri" w:hAnsi="Times New Roman" w:cs="Times New Roman"/>
          <w:sz w:val="24"/>
          <w:szCs w:val="24"/>
          <w:lang w:val="tr-TR"/>
        </w:rPr>
        <w:t>, 26(3), 245-274.</w:t>
      </w:r>
    </w:p>
    <w:p w14:paraId="794A41BF" w14:textId="66C548B3" w:rsidR="009A4639" w:rsidRPr="00684570" w:rsidRDefault="000B129C" w:rsidP="00684570">
      <w:pPr>
        <w:spacing w:after="120" w:line="240" w:lineRule="auto"/>
        <w:ind w:left="284" w:hanging="284"/>
        <w:jc w:val="both"/>
        <w:rPr>
          <w:rFonts w:ascii="Times New Roman" w:eastAsia="Calibri" w:hAnsi="Times New Roman" w:cs="Times New Roman"/>
          <w:sz w:val="24"/>
          <w:szCs w:val="24"/>
          <w:lang w:val="tr-TR"/>
        </w:rPr>
      </w:pPr>
      <w:r w:rsidRPr="00684570">
        <w:rPr>
          <w:rFonts w:ascii="Times New Roman" w:eastAsia="Calibri" w:hAnsi="Times New Roman" w:cs="Times New Roman"/>
          <w:sz w:val="24"/>
          <w:szCs w:val="24"/>
          <w:lang w:val="tr-TR"/>
        </w:rPr>
        <w:t xml:space="preserve">GROSSMAN, </w:t>
      </w:r>
      <w:r w:rsidR="009154CD" w:rsidRPr="00684570">
        <w:rPr>
          <w:rFonts w:ascii="Times New Roman" w:eastAsia="Calibri" w:hAnsi="Times New Roman" w:cs="Times New Roman"/>
          <w:sz w:val="24"/>
          <w:szCs w:val="24"/>
          <w:lang w:val="tr-TR"/>
        </w:rPr>
        <w:t>M.</w:t>
      </w:r>
      <w:r w:rsidR="00437341" w:rsidRPr="00684570">
        <w:rPr>
          <w:rFonts w:ascii="Times New Roman" w:eastAsia="Calibri" w:hAnsi="Times New Roman" w:cs="Times New Roman"/>
          <w:sz w:val="24"/>
          <w:szCs w:val="24"/>
          <w:lang w:val="tr-TR"/>
        </w:rPr>
        <w:t xml:space="preserve">, (1972), </w:t>
      </w:r>
      <w:r w:rsidR="009154CD" w:rsidRPr="00684570">
        <w:rPr>
          <w:rFonts w:ascii="Times New Roman" w:eastAsia="Calibri" w:hAnsi="Times New Roman" w:cs="Times New Roman"/>
          <w:sz w:val="24"/>
          <w:szCs w:val="24"/>
          <w:lang w:val="tr-TR"/>
        </w:rPr>
        <w:t xml:space="preserve">On the </w:t>
      </w:r>
      <w:r w:rsidRPr="00684570">
        <w:rPr>
          <w:rFonts w:ascii="Times New Roman" w:eastAsia="Calibri" w:hAnsi="Times New Roman" w:cs="Times New Roman"/>
          <w:sz w:val="24"/>
          <w:szCs w:val="24"/>
          <w:lang w:val="tr-TR"/>
        </w:rPr>
        <w:t xml:space="preserve">Concept of Health Capital and the Demand for Health, Journal of </w:t>
      </w:r>
      <w:r w:rsidR="009154CD" w:rsidRPr="00684570">
        <w:rPr>
          <w:rFonts w:ascii="Times New Roman" w:eastAsia="Calibri" w:hAnsi="Times New Roman" w:cs="Times New Roman"/>
          <w:sz w:val="24"/>
          <w:szCs w:val="24"/>
          <w:lang w:val="tr-TR"/>
        </w:rPr>
        <w:t>Politic</w:t>
      </w:r>
      <w:r w:rsidRPr="00684570">
        <w:rPr>
          <w:rFonts w:ascii="Times New Roman" w:eastAsia="Calibri" w:hAnsi="Times New Roman" w:cs="Times New Roman"/>
          <w:sz w:val="24"/>
          <w:szCs w:val="24"/>
          <w:lang w:val="tr-TR"/>
        </w:rPr>
        <w:t xml:space="preserve">al Economy,  80, </w:t>
      </w:r>
      <w:r w:rsidR="007E0B94" w:rsidRPr="00684570">
        <w:rPr>
          <w:rFonts w:ascii="Times New Roman" w:eastAsia="Calibri" w:hAnsi="Times New Roman" w:cs="Times New Roman"/>
          <w:sz w:val="24"/>
          <w:szCs w:val="24"/>
          <w:lang w:val="tr-TR"/>
        </w:rPr>
        <w:t>223-55.</w:t>
      </w:r>
    </w:p>
    <w:p w14:paraId="464AD8F6" w14:textId="79AAE59E" w:rsidR="009A4639" w:rsidRPr="00684570" w:rsidRDefault="000B129C" w:rsidP="00684570">
      <w:pPr>
        <w:spacing w:after="120" w:line="240" w:lineRule="auto"/>
        <w:ind w:left="284" w:hanging="284"/>
        <w:jc w:val="both"/>
        <w:rPr>
          <w:rFonts w:ascii="Times New Roman" w:eastAsia="Calibri" w:hAnsi="Times New Roman" w:cs="Times New Roman"/>
          <w:sz w:val="24"/>
          <w:szCs w:val="24"/>
          <w:lang w:val="tr-TR"/>
        </w:rPr>
      </w:pPr>
      <w:r w:rsidRPr="00684570">
        <w:rPr>
          <w:rFonts w:ascii="Times New Roman" w:eastAsia="Calibri" w:hAnsi="Times New Roman" w:cs="Times New Roman"/>
          <w:sz w:val="24"/>
          <w:szCs w:val="24"/>
          <w:lang w:val="tr-TR"/>
        </w:rPr>
        <w:t>GROSSMAN, M. and KAESTNER,</w:t>
      </w:r>
      <w:r w:rsidRPr="00684570">
        <w:rPr>
          <w:lang w:val="en-US"/>
        </w:rPr>
        <w:t xml:space="preserve"> </w:t>
      </w:r>
      <w:r w:rsidRPr="00684570">
        <w:rPr>
          <w:rFonts w:ascii="Times New Roman" w:eastAsia="Calibri" w:hAnsi="Times New Roman" w:cs="Times New Roman"/>
          <w:sz w:val="24"/>
          <w:szCs w:val="24"/>
          <w:lang w:val="tr-TR"/>
        </w:rPr>
        <w:t>R., (1997),</w:t>
      </w:r>
      <w:r w:rsidR="00FD616E" w:rsidRPr="00684570">
        <w:rPr>
          <w:rFonts w:ascii="Times New Roman" w:eastAsia="Calibri" w:hAnsi="Times New Roman" w:cs="Times New Roman"/>
          <w:sz w:val="24"/>
          <w:szCs w:val="24"/>
          <w:lang w:val="tr-TR"/>
        </w:rPr>
        <w:t xml:space="preserve"> Effects of Education on Health. In The Social Benefits of Education, J. R. Behrman and N. Stacey, eds. Ann Arbor, Mich.</w:t>
      </w:r>
      <w:r w:rsidR="007E0B94" w:rsidRPr="00684570">
        <w:rPr>
          <w:rFonts w:ascii="Times New Roman" w:eastAsia="Calibri" w:hAnsi="Times New Roman" w:cs="Times New Roman"/>
          <w:sz w:val="24"/>
          <w:szCs w:val="24"/>
          <w:lang w:val="tr-TR"/>
        </w:rPr>
        <w:t>: University of Michigan Press.</w:t>
      </w:r>
    </w:p>
    <w:p w14:paraId="6FAD9AA3" w14:textId="1CFCF1D1" w:rsidR="009A4639" w:rsidRPr="00684570" w:rsidRDefault="00F9226F" w:rsidP="00684570">
      <w:pPr>
        <w:tabs>
          <w:tab w:val="left" w:pos="960"/>
        </w:tabs>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GULIS, </w:t>
      </w:r>
      <w:r w:rsidR="00EC0C30" w:rsidRPr="00684570">
        <w:rPr>
          <w:rFonts w:ascii="Times New Roman" w:hAnsi="Times New Roman" w:cs="Times New Roman"/>
          <w:sz w:val="24"/>
          <w:szCs w:val="24"/>
          <w:lang w:val="en-US"/>
        </w:rPr>
        <w:t xml:space="preserve">G. (2000). Life </w:t>
      </w:r>
      <w:r w:rsidRPr="00684570">
        <w:rPr>
          <w:rFonts w:ascii="Times New Roman" w:hAnsi="Times New Roman" w:cs="Times New Roman"/>
          <w:sz w:val="24"/>
          <w:szCs w:val="24"/>
          <w:lang w:val="en-US"/>
        </w:rPr>
        <w:t>Expectancy as an Indicator of Environmental Health</w:t>
      </w:r>
      <w:r w:rsidR="00AD0E33" w:rsidRPr="00684570">
        <w:rPr>
          <w:rFonts w:ascii="Times New Roman" w:hAnsi="Times New Roman" w:cs="Times New Roman"/>
          <w:sz w:val="24"/>
          <w:szCs w:val="24"/>
          <w:lang w:val="en-US"/>
        </w:rPr>
        <w:t xml:space="preserve">, </w:t>
      </w:r>
      <w:r w:rsidR="00EC0C30" w:rsidRPr="00684570">
        <w:rPr>
          <w:rFonts w:ascii="Times New Roman" w:hAnsi="Times New Roman" w:cs="Times New Roman"/>
          <w:i/>
          <w:sz w:val="24"/>
          <w:szCs w:val="24"/>
          <w:lang w:val="en-US"/>
        </w:rPr>
        <w:t>European Journal of Epidemiology</w:t>
      </w:r>
      <w:r w:rsidR="00EC0C30" w:rsidRPr="00684570">
        <w:rPr>
          <w:rFonts w:ascii="Times New Roman" w:hAnsi="Times New Roman" w:cs="Times New Roman"/>
          <w:sz w:val="24"/>
          <w:szCs w:val="24"/>
          <w:lang w:val="en-US"/>
        </w:rPr>
        <w:t xml:space="preserve"> 16, 161–165 (2000). https://</w:t>
      </w:r>
      <w:r w:rsidR="007E0B94" w:rsidRPr="00684570">
        <w:rPr>
          <w:rFonts w:ascii="Times New Roman" w:hAnsi="Times New Roman" w:cs="Times New Roman"/>
          <w:sz w:val="24"/>
          <w:szCs w:val="24"/>
          <w:lang w:val="en-US"/>
        </w:rPr>
        <w:t>doi.org/10.1023/A:1007629306606</w:t>
      </w:r>
    </w:p>
    <w:p w14:paraId="1ECCBBDB" w14:textId="55804702" w:rsidR="008B19F8" w:rsidRPr="00684570" w:rsidRDefault="000B129C" w:rsidP="00684570">
      <w:pPr>
        <w:spacing w:after="120" w:line="240" w:lineRule="auto"/>
        <w:ind w:left="284" w:hanging="284"/>
        <w:jc w:val="both"/>
        <w:rPr>
          <w:rFonts w:ascii="Times New Roman" w:hAnsi="Times New Roman" w:cs="Times New Roman"/>
          <w:sz w:val="24"/>
          <w:szCs w:val="24"/>
          <w:shd w:val="clear" w:color="auto" w:fill="FFFFFF"/>
          <w:lang w:val="en-US"/>
        </w:rPr>
      </w:pPr>
      <w:r w:rsidRPr="00684570">
        <w:rPr>
          <w:rFonts w:ascii="Times New Roman" w:hAnsi="Times New Roman" w:cs="Times New Roman"/>
          <w:sz w:val="24"/>
          <w:szCs w:val="24"/>
          <w:shd w:val="clear" w:color="auto" w:fill="FFFFFF"/>
          <w:lang w:val="en-US"/>
        </w:rPr>
        <w:t>HAUSMAN</w:t>
      </w:r>
      <w:r w:rsidR="00AD0E33" w:rsidRPr="00684570">
        <w:rPr>
          <w:rFonts w:ascii="Times New Roman" w:hAnsi="Times New Roman" w:cs="Times New Roman"/>
          <w:sz w:val="24"/>
          <w:szCs w:val="24"/>
          <w:shd w:val="clear" w:color="auto" w:fill="FFFFFF"/>
          <w:lang w:val="en-US"/>
        </w:rPr>
        <w:t xml:space="preserve">, J. </w:t>
      </w:r>
      <w:r w:rsidRPr="00684570">
        <w:rPr>
          <w:rFonts w:ascii="Times New Roman" w:hAnsi="Times New Roman" w:cs="Times New Roman"/>
          <w:sz w:val="24"/>
          <w:szCs w:val="24"/>
          <w:shd w:val="clear" w:color="auto" w:fill="FFFFFF"/>
          <w:lang w:val="en-US"/>
        </w:rPr>
        <w:t>A., (1978),</w:t>
      </w:r>
      <w:r w:rsidR="005D2618" w:rsidRPr="00684570">
        <w:rPr>
          <w:rFonts w:ascii="Times New Roman" w:hAnsi="Times New Roman" w:cs="Times New Roman"/>
          <w:sz w:val="24"/>
          <w:szCs w:val="24"/>
          <w:shd w:val="clear" w:color="auto" w:fill="FFFFFF"/>
          <w:lang w:val="en-US"/>
        </w:rPr>
        <w:t xml:space="preserve"> </w:t>
      </w:r>
      <w:r w:rsidR="00F9226F" w:rsidRPr="00684570">
        <w:rPr>
          <w:rFonts w:ascii="Times New Roman" w:hAnsi="Times New Roman" w:cs="Times New Roman"/>
          <w:sz w:val="24"/>
          <w:szCs w:val="24"/>
          <w:shd w:val="clear" w:color="auto" w:fill="FFFFFF"/>
          <w:lang w:val="en-US"/>
        </w:rPr>
        <w:t>Specification Tests in</w:t>
      </w:r>
      <w:r w:rsidR="00EC0C30" w:rsidRPr="00684570">
        <w:rPr>
          <w:rFonts w:ascii="Times New Roman" w:hAnsi="Times New Roman" w:cs="Times New Roman"/>
          <w:sz w:val="24"/>
          <w:szCs w:val="24"/>
          <w:shd w:val="clear" w:color="auto" w:fill="FFFFFF"/>
          <w:lang w:val="en-US"/>
        </w:rPr>
        <w:t xml:space="preserve"> Econometrics,  </w:t>
      </w:r>
      <w:r w:rsidR="00EC0C30" w:rsidRPr="00684570">
        <w:rPr>
          <w:rFonts w:ascii="Times New Roman" w:hAnsi="Times New Roman" w:cs="Times New Roman"/>
          <w:i/>
          <w:sz w:val="24"/>
          <w:szCs w:val="24"/>
          <w:shd w:val="clear" w:color="auto" w:fill="FFFFFF"/>
          <w:lang w:val="en-US"/>
        </w:rPr>
        <w:t>Econometrica</w:t>
      </w:r>
      <w:r w:rsidRPr="00684570">
        <w:rPr>
          <w:rFonts w:ascii="Times New Roman" w:hAnsi="Times New Roman" w:cs="Times New Roman"/>
          <w:sz w:val="24"/>
          <w:szCs w:val="24"/>
          <w:shd w:val="clear" w:color="auto" w:fill="FFFFFF"/>
          <w:lang w:val="en-US"/>
        </w:rPr>
        <w:t>,  46(</w:t>
      </w:r>
      <w:r w:rsidR="00EC0C30" w:rsidRPr="00684570">
        <w:rPr>
          <w:rFonts w:ascii="Times New Roman" w:hAnsi="Times New Roman" w:cs="Times New Roman"/>
          <w:sz w:val="24"/>
          <w:szCs w:val="24"/>
          <w:shd w:val="clear" w:color="auto" w:fill="FFFFFF"/>
          <w:lang w:val="en-US"/>
        </w:rPr>
        <w:t>6</w:t>
      </w:r>
      <w:r w:rsidRPr="00684570">
        <w:rPr>
          <w:rFonts w:ascii="Times New Roman" w:hAnsi="Times New Roman" w:cs="Times New Roman"/>
          <w:sz w:val="24"/>
          <w:szCs w:val="24"/>
          <w:shd w:val="clear" w:color="auto" w:fill="FFFFFF"/>
          <w:lang w:val="en-US"/>
        </w:rPr>
        <w:t xml:space="preserve">),  </w:t>
      </w:r>
      <w:r w:rsidR="00EC0C30" w:rsidRPr="00684570">
        <w:rPr>
          <w:rFonts w:ascii="Times New Roman" w:hAnsi="Times New Roman" w:cs="Times New Roman"/>
          <w:sz w:val="24"/>
          <w:szCs w:val="24"/>
          <w:shd w:val="clear" w:color="auto" w:fill="FFFFFF"/>
          <w:lang w:val="en-US"/>
        </w:rPr>
        <w:t>1</w:t>
      </w:r>
      <w:r w:rsidR="007E0B94" w:rsidRPr="00684570">
        <w:rPr>
          <w:rFonts w:ascii="Times New Roman" w:hAnsi="Times New Roman" w:cs="Times New Roman"/>
          <w:sz w:val="24"/>
          <w:szCs w:val="24"/>
          <w:shd w:val="clear" w:color="auto" w:fill="FFFFFF"/>
          <w:lang w:val="en-US"/>
        </w:rPr>
        <w:t>251-1271.</w:t>
      </w:r>
    </w:p>
    <w:p w14:paraId="41554B03" w14:textId="475DA9A5" w:rsidR="008B19F8" w:rsidRPr="00684570" w:rsidRDefault="008B36DB"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HERZER, D. and NUNNENKAMP, P. (2012),</w:t>
      </w:r>
      <w:r w:rsidR="008B19F8" w:rsidRPr="00684570">
        <w:rPr>
          <w:rFonts w:ascii="Times New Roman" w:hAnsi="Times New Roman" w:cs="Times New Roman"/>
          <w:sz w:val="24"/>
          <w:szCs w:val="24"/>
          <w:lang w:val="en-US"/>
        </w:rPr>
        <w:t xml:space="preserve"> FDI and Health in Developed Economies:</w:t>
      </w:r>
      <w:r w:rsidRPr="00684570">
        <w:rPr>
          <w:rFonts w:ascii="Times New Roman" w:hAnsi="Times New Roman" w:cs="Times New Roman"/>
          <w:sz w:val="24"/>
          <w:szCs w:val="24"/>
          <w:lang w:val="en-US"/>
        </w:rPr>
        <w:t xml:space="preserve"> A Panel Cointegration Analysis,</w:t>
      </w:r>
      <w:r w:rsidR="008B19F8" w:rsidRPr="00684570">
        <w:rPr>
          <w:rFonts w:ascii="Times New Roman" w:hAnsi="Times New Roman" w:cs="Times New Roman"/>
          <w:sz w:val="24"/>
          <w:szCs w:val="24"/>
          <w:lang w:val="en-US"/>
        </w:rPr>
        <w:t xml:space="preserve"> Working Paper No. 1756. Kiel: Kiel I</w:t>
      </w:r>
      <w:r w:rsidR="007E0B94" w:rsidRPr="00684570">
        <w:rPr>
          <w:rFonts w:ascii="Times New Roman" w:hAnsi="Times New Roman" w:cs="Times New Roman"/>
          <w:sz w:val="24"/>
          <w:szCs w:val="24"/>
          <w:lang w:val="en-US"/>
        </w:rPr>
        <w:t>nstitute for the World Economy.</w:t>
      </w:r>
    </w:p>
    <w:p w14:paraId="0406DD63" w14:textId="3812A9E0" w:rsidR="00EC0C30" w:rsidRPr="00684570" w:rsidRDefault="008B36DB" w:rsidP="00684570">
      <w:pPr>
        <w:spacing w:after="120" w:line="240" w:lineRule="auto"/>
        <w:ind w:left="284" w:hanging="284"/>
        <w:jc w:val="both"/>
        <w:rPr>
          <w:rFonts w:ascii="Times New Roman" w:hAnsi="Times New Roman" w:cs="Times New Roman"/>
          <w:sz w:val="24"/>
          <w:szCs w:val="24"/>
          <w:lang w:val="tr-TR"/>
        </w:rPr>
      </w:pPr>
      <w:r w:rsidRPr="00684570">
        <w:rPr>
          <w:rFonts w:ascii="Times New Roman" w:hAnsi="Times New Roman" w:cs="Times New Roman"/>
          <w:sz w:val="24"/>
          <w:szCs w:val="24"/>
          <w:lang w:val="tr-TR"/>
        </w:rPr>
        <w:t>IVASCHENKO</w:t>
      </w:r>
      <w:r w:rsidR="00EC0C30" w:rsidRPr="00684570">
        <w:rPr>
          <w:rFonts w:ascii="Times New Roman" w:hAnsi="Times New Roman" w:cs="Times New Roman"/>
          <w:sz w:val="24"/>
          <w:szCs w:val="24"/>
          <w:lang w:val="tr-TR"/>
        </w:rPr>
        <w:t xml:space="preserve">, O., </w:t>
      </w:r>
      <w:r w:rsidRPr="00684570">
        <w:rPr>
          <w:rFonts w:ascii="Times New Roman" w:hAnsi="Times New Roman" w:cs="Times New Roman"/>
          <w:sz w:val="24"/>
          <w:szCs w:val="24"/>
          <w:lang w:val="tr-TR"/>
        </w:rPr>
        <w:t>(2005),</w:t>
      </w:r>
      <w:r w:rsidR="00EC0C30" w:rsidRPr="00684570">
        <w:rPr>
          <w:rFonts w:ascii="Times New Roman" w:hAnsi="Times New Roman" w:cs="Times New Roman"/>
          <w:sz w:val="24"/>
          <w:szCs w:val="24"/>
          <w:lang w:val="tr-TR"/>
        </w:rPr>
        <w:t xml:space="preserve"> The </w:t>
      </w:r>
      <w:r w:rsidRPr="00684570">
        <w:rPr>
          <w:rFonts w:ascii="Times New Roman" w:hAnsi="Times New Roman" w:cs="Times New Roman"/>
          <w:sz w:val="24"/>
          <w:szCs w:val="24"/>
          <w:lang w:val="tr-TR"/>
        </w:rPr>
        <w:t xml:space="preserve">Patterns and Determinants of Longevity in Russia's Regions: Evidence from Panel Data, </w:t>
      </w:r>
      <w:r w:rsidR="00EC0C30" w:rsidRPr="00684570">
        <w:rPr>
          <w:rFonts w:ascii="Times New Roman" w:hAnsi="Times New Roman" w:cs="Times New Roman"/>
          <w:i/>
          <w:sz w:val="24"/>
          <w:szCs w:val="24"/>
          <w:lang w:val="tr-TR"/>
        </w:rPr>
        <w:t>Journal of Comparat</w:t>
      </w:r>
      <w:r w:rsidR="007E0B94" w:rsidRPr="00684570">
        <w:rPr>
          <w:rFonts w:ascii="Times New Roman" w:hAnsi="Times New Roman" w:cs="Times New Roman"/>
          <w:i/>
          <w:sz w:val="24"/>
          <w:szCs w:val="24"/>
          <w:lang w:val="tr-TR"/>
        </w:rPr>
        <w:t>ive Economics</w:t>
      </w:r>
      <w:r w:rsidRPr="00684570">
        <w:rPr>
          <w:rFonts w:ascii="Times New Roman" w:hAnsi="Times New Roman" w:cs="Times New Roman"/>
          <w:sz w:val="24"/>
          <w:szCs w:val="24"/>
          <w:lang w:val="tr-TR"/>
        </w:rPr>
        <w:t xml:space="preserve">, </w:t>
      </w:r>
      <w:r w:rsidR="007E0B94" w:rsidRPr="00684570">
        <w:rPr>
          <w:rFonts w:ascii="Times New Roman" w:hAnsi="Times New Roman" w:cs="Times New Roman"/>
          <w:sz w:val="24"/>
          <w:szCs w:val="24"/>
          <w:lang w:val="tr-TR"/>
        </w:rPr>
        <w:t>33 (4), 788-813.</w:t>
      </w:r>
    </w:p>
    <w:p w14:paraId="4476BCDB" w14:textId="4AC2BC37" w:rsidR="009A4639" w:rsidRPr="00684570" w:rsidRDefault="00AD0E33"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KAPLAN, R.M., SPITTEL, </w:t>
      </w:r>
      <w:r w:rsidR="008B36DB" w:rsidRPr="00684570">
        <w:rPr>
          <w:rFonts w:ascii="Times New Roman" w:hAnsi="Times New Roman" w:cs="Times New Roman"/>
          <w:sz w:val="24"/>
          <w:szCs w:val="24"/>
          <w:lang w:val="en-US"/>
        </w:rPr>
        <w:t>M.L. and ZENO, T.L.,</w:t>
      </w:r>
      <w:r w:rsidR="005D2618" w:rsidRPr="00684570">
        <w:rPr>
          <w:rFonts w:ascii="Times New Roman" w:hAnsi="Times New Roman" w:cs="Times New Roman"/>
          <w:sz w:val="24"/>
          <w:szCs w:val="24"/>
          <w:lang w:val="en-US"/>
        </w:rPr>
        <w:t xml:space="preserve"> </w:t>
      </w:r>
      <w:r w:rsidR="008B36DB" w:rsidRPr="00684570">
        <w:rPr>
          <w:rFonts w:ascii="Times New Roman" w:hAnsi="Times New Roman" w:cs="Times New Roman"/>
          <w:sz w:val="24"/>
          <w:szCs w:val="24"/>
          <w:lang w:val="en-US"/>
        </w:rPr>
        <w:t>(2014),</w:t>
      </w:r>
      <w:r w:rsidR="001A0CF4" w:rsidRPr="00684570">
        <w:rPr>
          <w:rFonts w:ascii="Times New Roman" w:hAnsi="Times New Roman" w:cs="Times New Roman"/>
          <w:sz w:val="24"/>
          <w:szCs w:val="24"/>
          <w:lang w:val="en-US"/>
        </w:rPr>
        <w:t xml:space="preserve"> Educational Attainment and Life Expectancy, </w:t>
      </w:r>
      <w:r w:rsidR="001A0CF4" w:rsidRPr="00684570">
        <w:rPr>
          <w:rFonts w:ascii="Times New Roman" w:hAnsi="Times New Roman" w:cs="Times New Roman"/>
          <w:i/>
          <w:sz w:val="24"/>
          <w:szCs w:val="24"/>
          <w:lang w:val="en-US"/>
        </w:rPr>
        <w:t>Policy Insights from the Behavioral and Brain Sciences</w:t>
      </w:r>
      <w:r w:rsidR="008B36DB" w:rsidRPr="00684570">
        <w:rPr>
          <w:rFonts w:ascii="Times New Roman" w:hAnsi="Times New Roman" w:cs="Times New Roman"/>
          <w:sz w:val="24"/>
          <w:szCs w:val="24"/>
          <w:lang w:val="en-US"/>
        </w:rPr>
        <w:t>,</w:t>
      </w:r>
      <w:r w:rsidR="007E0B94" w:rsidRPr="00684570">
        <w:rPr>
          <w:rFonts w:ascii="Times New Roman" w:hAnsi="Times New Roman" w:cs="Times New Roman"/>
          <w:sz w:val="24"/>
          <w:szCs w:val="24"/>
          <w:lang w:val="en-US"/>
        </w:rPr>
        <w:t xml:space="preserve"> 1(1)</w:t>
      </w:r>
      <w:r w:rsidR="008B36DB" w:rsidRPr="00684570">
        <w:rPr>
          <w:rFonts w:ascii="Times New Roman" w:hAnsi="Times New Roman" w:cs="Times New Roman"/>
          <w:sz w:val="24"/>
          <w:szCs w:val="24"/>
          <w:lang w:val="en-US"/>
        </w:rPr>
        <w:t>,</w:t>
      </w:r>
      <w:r w:rsidR="007E0B94" w:rsidRPr="00684570">
        <w:rPr>
          <w:rFonts w:ascii="Times New Roman" w:hAnsi="Times New Roman" w:cs="Times New Roman"/>
          <w:sz w:val="24"/>
          <w:szCs w:val="24"/>
          <w:lang w:val="en-US"/>
        </w:rPr>
        <w:t xml:space="preserve"> 189–194</w:t>
      </w:r>
      <w:r w:rsidR="008B36DB" w:rsidRPr="00684570">
        <w:rPr>
          <w:rFonts w:ascii="Times New Roman" w:hAnsi="Times New Roman" w:cs="Times New Roman"/>
          <w:sz w:val="24"/>
          <w:szCs w:val="24"/>
          <w:lang w:val="en-US"/>
        </w:rPr>
        <w:t>.</w:t>
      </w:r>
    </w:p>
    <w:p w14:paraId="040C1E62" w14:textId="7FA9F5D6" w:rsidR="000B79C3" w:rsidRPr="00684570" w:rsidRDefault="008B36DB" w:rsidP="00684570">
      <w:pPr>
        <w:autoSpaceDE w:val="0"/>
        <w:autoSpaceDN w:val="0"/>
        <w:adjustRightInd w:val="0"/>
        <w:spacing w:after="120" w:line="240" w:lineRule="auto"/>
        <w:ind w:left="284" w:hanging="284"/>
        <w:jc w:val="both"/>
        <w:rPr>
          <w:rFonts w:ascii="Times New Roman" w:hAnsi="Times New Roman" w:cs="Times New Roman"/>
          <w:sz w:val="24"/>
          <w:szCs w:val="24"/>
          <w:lang w:val="tr-TR"/>
        </w:rPr>
      </w:pPr>
      <w:r w:rsidRPr="00684570">
        <w:rPr>
          <w:rFonts w:ascii="Times New Roman" w:hAnsi="Times New Roman" w:cs="Times New Roman"/>
          <w:sz w:val="24"/>
          <w:szCs w:val="24"/>
          <w:lang w:val="tr-TR"/>
        </w:rPr>
        <w:lastRenderedPageBreak/>
        <w:t xml:space="preserve">KOBZA, J. and GEREMEK, M., </w:t>
      </w:r>
      <w:r w:rsidR="000B79C3" w:rsidRPr="00684570">
        <w:rPr>
          <w:rFonts w:ascii="Times New Roman" w:hAnsi="Times New Roman" w:cs="Times New Roman"/>
          <w:sz w:val="24"/>
          <w:szCs w:val="24"/>
          <w:lang w:val="tr-TR"/>
        </w:rPr>
        <w:t>(2015)</w:t>
      </w:r>
      <w:r w:rsidRPr="00684570">
        <w:rPr>
          <w:rFonts w:ascii="Times New Roman" w:hAnsi="Times New Roman" w:cs="Times New Roman"/>
          <w:sz w:val="24"/>
          <w:szCs w:val="24"/>
          <w:lang w:val="tr-TR"/>
        </w:rPr>
        <w:t>,</w:t>
      </w:r>
      <w:r w:rsidR="000B79C3" w:rsidRPr="00684570">
        <w:rPr>
          <w:rFonts w:ascii="Times New Roman" w:hAnsi="Times New Roman" w:cs="Times New Roman"/>
          <w:sz w:val="24"/>
          <w:szCs w:val="24"/>
          <w:lang w:val="en-US"/>
        </w:rPr>
        <w:t xml:space="preserve"> </w:t>
      </w:r>
      <w:r w:rsidR="000B79C3" w:rsidRPr="00684570">
        <w:rPr>
          <w:rFonts w:ascii="Times New Roman" w:hAnsi="Times New Roman" w:cs="Times New Roman"/>
          <w:sz w:val="24"/>
          <w:szCs w:val="24"/>
          <w:lang w:val="tr-TR"/>
        </w:rPr>
        <w:t xml:space="preserve">Exploring the Life Expectancy Increase in Poland in the Context of CVD Mortality Fall: The Risk Assessment Bottom-Up Approach, From Health Outcome to Policies,  </w:t>
      </w:r>
      <w:r w:rsidR="000B79C3" w:rsidRPr="00684570">
        <w:rPr>
          <w:rFonts w:ascii="Times New Roman" w:hAnsi="Times New Roman" w:cs="Times New Roman"/>
          <w:i/>
          <w:sz w:val="24"/>
          <w:szCs w:val="24"/>
          <w:lang w:val="tr-TR"/>
        </w:rPr>
        <w:t>INQUIRY: The Journal of Health Care Organization,</w:t>
      </w:r>
      <w:r w:rsidR="007E0B94" w:rsidRPr="00684570">
        <w:rPr>
          <w:rFonts w:ascii="Times New Roman" w:hAnsi="Times New Roman" w:cs="Times New Roman"/>
          <w:i/>
          <w:sz w:val="24"/>
          <w:szCs w:val="24"/>
          <w:lang w:val="tr-TR"/>
        </w:rPr>
        <w:t xml:space="preserve"> Provision, and Financing</w:t>
      </w:r>
      <w:r w:rsidRPr="00684570">
        <w:rPr>
          <w:rFonts w:ascii="Times New Roman" w:hAnsi="Times New Roman" w:cs="Times New Roman"/>
          <w:i/>
          <w:sz w:val="24"/>
          <w:szCs w:val="24"/>
          <w:lang w:val="tr-TR"/>
        </w:rPr>
        <w:t>,</w:t>
      </w:r>
      <w:r w:rsidR="007E0B94" w:rsidRPr="00684570">
        <w:rPr>
          <w:rFonts w:ascii="Times New Roman" w:hAnsi="Times New Roman" w:cs="Times New Roman"/>
          <w:sz w:val="24"/>
          <w:szCs w:val="24"/>
          <w:lang w:val="tr-TR"/>
        </w:rPr>
        <w:t xml:space="preserve"> 1–12.</w:t>
      </w:r>
    </w:p>
    <w:p w14:paraId="1CCFEBCC" w14:textId="02D70780" w:rsidR="00B04AC9" w:rsidRPr="00684570" w:rsidRDefault="00AD0E33"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KORBELIUS, </w:t>
      </w:r>
      <w:r w:rsidR="008B36DB" w:rsidRPr="00684570">
        <w:rPr>
          <w:rFonts w:ascii="Times New Roman" w:hAnsi="Times New Roman" w:cs="Times New Roman"/>
          <w:sz w:val="24"/>
          <w:szCs w:val="24"/>
          <w:lang w:val="en-US"/>
        </w:rPr>
        <w:t>V., PAULUS, M. and TROCH</w:t>
      </w:r>
      <w:r w:rsidR="000B79C3" w:rsidRPr="00684570">
        <w:rPr>
          <w:rFonts w:ascii="Times New Roman" w:hAnsi="Times New Roman" w:cs="Times New Roman"/>
          <w:sz w:val="24"/>
          <w:szCs w:val="24"/>
          <w:lang w:val="en-US"/>
        </w:rPr>
        <w:t>, T.</w:t>
      </w:r>
      <w:r w:rsidR="008B36DB" w:rsidRPr="00684570">
        <w:rPr>
          <w:rFonts w:ascii="Times New Roman" w:hAnsi="Times New Roman" w:cs="Times New Roman"/>
          <w:sz w:val="24"/>
          <w:szCs w:val="24"/>
          <w:lang w:val="en-US"/>
        </w:rPr>
        <w:t xml:space="preserve">, (2016), </w:t>
      </w:r>
      <w:r w:rsidR="000B79C3" w:rsidRPr="00684570">
        <w:rPr>
          <w:rFonts w:ascii="Times New Roman" w:hAnsi="Times New Roman" w:cs="Times New Roman"/>
          <w:sz w:val="24"/>
          <w:szCs w:val="24"/>
          <w:lang w:val="en-US"/>
        </w:rPr>
        <w:t>Life Expectancy and its Determinants in the Czech Republ</w:t>
      </w:r>
      <w:r w:rsidR="007E0B94" w:rsidRPr="00684570">
        <w:rPr>
          <w:rFonts w:ascii="Times New Roman" w:hAnsi="Times New Roman" w:cs="Times New Roman"/>
          <w:sz w:val="24"/>
          <w:szCs w:val="24"/>
          <w:lang w:val="en-US"/>
        </w:rPr>
        <w:t>ic, IES Working Paper: 06/2016.</w:t>
      </w:r>
    </w:p>
    <w:p w14:paraId="384D53FE" w14:textId="2A68383A" w:rsidR="00D4219F" w:rsidRPr="00684570" w:rsidRDefault="008B36DB" w:rsidP="00684570">
      <w:pPr>
        <w:autoSpaceDE w:val="0"/>
        <w:autoSpaceDN w:val="0"/>
        <w:adjustRightInd w:val="0"/>
        <w:spacing w:after="120" w:line="240" w:lineRule="auto"/>
        <w:ind w:left="284" w:hanging="284"/>
        <w:jc w:val="both"/>
        <w:rPr>
          <w:rFonts w:ascii="Times New Roman" w:eastAsia="STIX-Regular" w:hAnsi="Times New Roman" w:cs="Times New Roman"/>
          <w:sz w:val="24"/>
          <w:szCs w:val="24"/>
          <w:lang w:val="en-US"/>
        </w:rPr>
      </w:pPr>
      <w:r w:rsidRPr="00684570">
        <w:rPr>
          <w:rFonts w:ascii="Times New Roman" w:eastAsia="STIX-Regular" w:hAnsi="Times New Roman" w:cs="Times New Roman"/>
          <w:sz w:val="24"/>
          <w:szCs w:val="24"/>
          <w:lang w:val="en-US"/>
        </w:rPr>
        <w:t>LAAKSONEN, M., TALALA, K., MARTELIN, T., RAHKONEN, O., ROOS, E., HELAKORPI, S., LAATIKAINEN, T. and PRÄTTÄLÄ, R</w:t>
      </w:r>
      <w:r w:rsidR="00B04AC9" w:rsidRPr="00684570">
        <w:rPr>
          <w:rFonts w:ascii="Times New Roman" w:eastAsia="STIX-Regular" w:hAnsi="Times New Roman" w:cs="Times New Roman"/>
          <w:sz w:val="24"/>
          <w:szCs w:val="24"/>
          <w:lang w:val="en-US"/>
        </w:rPr>
        <w:t>.</w:t>
      </w:r>
      <w:r w:rsidRPr="00684570">
        <w:rPr>
          <w:rFonts w:ascii="Times New Roman" w:eastAsia="STIX-Regular" w:hAnsi="Times New Roman" w:cs="Times New Roman"/>
          <w:sz w:val="24"/>
          <w:szCs w:val="24"/>
          <w:lang w:val="en-US"/>
        </w:rPr>
        <w:t>,</w:t>
      </w:r>
      <w:r w:rsidR="00B04AC9" w:rsidRPr="00684570">
        <w:rPr>
          <w:rFonts w:ascii="Times New Roman" w:eastAsia="STIX-Regular" w:hAnsi="Times New Roman" w:cs="Times New Roman"/>
          <w:sz w:val="24"/>
          <w:szCs w:val="24"/>
          <w:lang w:val="en-US"/>
        </w:rPr>
        <w:t xml:space="preserve"> </w:t>
      </w:r>
      <w:r w:rsidRPr="00684570">
        <w:rPr>
          <w:rFonts w:ascii="Times New Roman" w:eastAsia="STIX-Regular" w:hAnsi="Times New Roman" w:cs="Times New Roman"/>
          <w:sz w:val="24"/>
          <w:szCs w:val="24"/>
          <w:lang w:val="en-US"/>
        </w:rPr>
        <w:t>(2008),</w:t>
      </w:r>
      <w:r w:rsidR="00B04AC9" w:rsidRPr="00684570">
        <w:rPr>
          <w:rFonts w:ascii="Times New Roman" w:eastAsia="STIX-Regular" w:hAnsi="Times New Roman" w:cs="Times New Roman"/>
          <w:sz w:val="24"/>
          <w:szCs w:val="24"/>
          <w:lang w:val="en-US"/>
        </w:rPr>
        <w:t xml:space="preserve"> Health </w:t>
      </w:r>
      <w:r w:rsidRPr="00684570">
        <w:rPr>
          <w:rFonts w:ascii="Times New Roman" w:eastAsia="STIX-Regular" w:hAnsi="Times New Roman" w:cs="Times New Roman"/>
          <w:sz w:val="24"/>
          <w:szCs w:val="24"/>
          <w:lang w:val="en-US"/>
        </w:rPr>
        <w:t>Behaviours as Explanations for Educational Level Differences in Cardiovascular and All-Cause Morta</w:t>
      </w:r>
      <w:r w:rsidR="00AD0E33" w:rsidRPr="00684570">
        <w:rPr>
          <w:rFonts w:ascii="Times New Roman" w:eastAsia="STIX-Regular" w:hAnsi="Times New Roman" w:cs="Times New Roman"/>
          <w:sz w:val="24"/>
          <w:szCs w:val="24"/>
          <w:lang w:val="en-US"/>
        </w:rPr>
        <w:t>lity: A Follow-Up o</w:t>
      </w:r>
      <w:r w:rsidRPr="00684570">
        <w:rPr>
          <w:rFonts w:ascii="Times New Roman" w:eastAsia="STIX-Regular" w:hAnsi="Times New Roman" w:cs="Times New Roman"/>
          <w:sz w:val="24"/>
          <w:szCs w:val="24"/>
          <w:lang w:val="en-US"/>
        </w:rPr>
        <w:t>f 60000 Men and Women over 23 Years,</w:t>
      </w:r>
      <w:r w:rsidR="00B04AC9" w:rsidRPr="00684570">
        <w:rPr>
          <w:rFonts w:ascii="Times New Roman" w:eastAsia="STIX-Regular" w:hAnsi="Times New Roman" w:cs="Times New Roman"/>
          <w:sz w:val="24"/>
          <w:szCs w:val="24"/>
          <w:lang w:val="en-US"/>
        </w:rPr>
        <w:t xml:space="preserve"> </w:t>
      </w:r>
      <w:r w:rsidR="00B04AC9" w:rsidRPr="00684570">
        <w:rPr>
          <w:rFonts w:ascii="Times New Roman" w:eastAsia="STIX-Regular" w:hAnsi="Times New Roman" w:cs="Times New Roman"/>
          <w:i/>
          <w:sz w:val="24"/>
          <w:szCs w:val="24"/>
          <w:lang w:val="en-US"/>
        </w:rPr>
        <w:t>The European Journal of Public Health</w:t>
      </w:r>
      <w:r w:rsidR="00B04AC9" w:rsidRPr="00684570">
        <w:rPr>
          <w:rFonts w:ascii="Times New Roman" w:eastAsia="STIX-Regular" w:hAnsi="Times New Roman" w:cs="Times New Roman"/>
          <w:sz w:val="24"/>
          <w:szCs w:val="24"/>
          <w:lang w:val="en-US"/>
        </w:rPr>
        <w:t>, 18(1), 38–4</w:t>
      </w:r>
      <w:r w:rsidR="007E0B94" w:rsidRPr="00684570">
        <w:rPr>
          <w:rFonts w:ascii="Times New Roman" w:eastAsia="STIX-Regular" w:hAnsi="Times New Roman" w:cs="Times New Roman"/>
          <w:sz w:val="24"/>
          <w:szCs w:val="24"/>
          <w:lang w:val="en-US"/>
        </w:rPr>
        <w:t>3.</w:t>
      </w:r>
    </w:p>
    <w:p w14:paraId="2E516905" w14:textId="5A80D69F" w:rsidR="00D4219F" w:rsidRPr="00684570" w:rsidRDefault="008B36DB"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LEVIN, A., LIN, C.F. andCHU, C.J., (2002),</w:t>
      </w:r>
      <w:r w:rsidR="00D4219F" w:rsidRPr="00684570">
        <w:rPr>
          <w:rFonts w:ascii="Times New Roman" w:hAnsi="Times New Roman" w:cs="Times New Roman"/>
          <w:sz w:val="24"/>
          <w:szCs w:val="24"/>
          <w:lang w:val="en-US"/>
        </w:rPr>
        <w:t xml:space="preserve"> Unit root tests in panel data: asymptotic and finite-sample properties</w:t>
      </w:r>
      <w:r w:rsidRPr="00684570">
        <w:rPr>
          <w:rFonts w:ascii="Times New Roman" w:hAnsi="Times New Roman" w:cs="Times New Roman"/>
          <w:sz w:val="24"/>
          <w:szCs w:val="24"/>
          <w:lang w:val="en-US"/>
        </w:rPr>
        <w:t>, Journal of Econometrics, 108(</w:t>
      </w:r>
      <w:r w:rsidR="00D4219F" w:rsidRPr="00684570">
        <w:rPr>
          <w:rFonts w:ascii="Times New Roman" w:hAnsi="Times New Roman" w:cs="Times New Roman"/>
          <w:sz w:val="24"/>
          <w:szCs w:val="24"/>
          <w:lang w:val="en-US"/>
        </w:rPr>
        <w:t>1</w:t>
      </w:r>
      <w:r w:rsidRPr="00684570">
        <w:rPr>
          <w:rFonts w:ascii="Times New Roman" w:hAnsi="Times New Roman" w:cs="Times New Roman"/>
          <w:sz w:val="24"/>
          <w:szCs w:val="24"/>
          <w:lang w:val="en-US"/>
        </w:rPr>
        <w:t>)</w:t>
      </w:r>
      <w:r w:rsidR="00D4219F" w:rsidRPr="00684570">
        <w:rPr>
          <w:rFonts w:ascii="Times New Roman" w:hAnsi="Times New Roman" w:cs="Times New Roman"/>
          <w:sz w:val="24"/>
          <w:szCs w:val="24"/>
          <w:lang w:val="en-US"/>
        </w:rPr>
        <w:t>, 1-24.</w:t>
      </w:r>
    </w:p>
    <w:p w14:paraId="3936C96A" w14:textId="3DE56883" w:rsidR="00657187" w:rsidRPr="00684570" w:rsidRDefault="008B36DB"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LICHTENBERG, F. R.,</w:t>
      </w:r>
      <w:r w:rsidR="00657187" w:rsidRPr="00684570">
        <w:rPr>
          <w:rFonts w:ascii="Times New Roman" w:hAnsi="Times New Roman" w:cs="Times New Roman"/>
          <w:sz w:val="24"/>
          <w:szCs w:val="24"/>
          <w:lang w:val="en-US"/>
        </w:rPr>
        <w:t xml:space="preserve"> </w:t>
      </w:r>
      <w:r w:rsidRPr="00684570">
        <w:rPr>
          <w:rFonts w:ascii="Times New Roman" w:hAnsi="Times New Roman" w:cs="Times New Roman"/>
          <w:sz w:val="24"/>
          <w:szCs w:val="24"/>
          <w:lang w:val="en-US"/>
        </w:rPr>
        <w:t>(</w:t>
      </w:r>
      <w:r w:rsidR="00657187" w:rsidRPr="00684570">
        <w:rPr>
          <w:rFonts w:ascii="Times New Roman" w:hAnsi="Times New Roman" w:cs="Times New Roman"/>
          <w:sz w:val="24"/>
          <w:szCs w:val="24"/>
          <w:lang w:val="en-US"/>
        </w:rPr>
        <w:t>2002</w:t>
      </w:r>
      <w:r w:rsidRPr="00684570">
        <w:rPr>
          <w:rFonts w:ascii="Times New Roman" w:hAnsi="Times New Roman" w:cs="Times New Roman"/>
          <w:sz w:val="24"/>
          <w:szCs w:val="24"/>
          <w:lang w:val="en-US"/>
        </w:rPr>
        <w:t>),</w:t>
      </w:r>
      <w:r w:rsidR="00657187" w:rsidRPr="00684570">
        <w:rPr>
          <w:rFonts w:ascii="Times New Roman" w:hAnsi="Times New Roman" w:cs="Times New Roman"/>
          <w:sz w:val="24"/>
          <w:szCs w:val="24"/>
          <w:lang w:val="en-US"/>
        </w:rPr>
        <w:t xml:space="preserve"> Sources </w:t>
      </w:r>
      <w:r w:rsidRPr="00684570">
        <w:rPr>
          <w:rFonts w:ascii="Times New Roman" w:hAnsi="Times New Roman" w:cs="Times New Roman"/>
          <w:sz w:val="24"/>
          <w:szCs w:val="24"/>
          <w:lang w:val="en-US"/>
        </w:rPr>
        <w:t xml:space="preserve">of </w:t>
      </w:r>
      <w:r w:rsidR="00657187" w:rsidRPr="00684570">
        <w:rPr>
          <w:rFonts w:ascii="Times New Roman" w:hAnsi="Times New Roman" w:cs="Times New Roman"/>
          <w:sz w:val="24"/>
          <w:szCs w:val="24"/>
          <w:lang w:val="en-US"/>
        </w:rPr>
        <w:t>U</w:t>
      </w:r>
      <w:r w:rsidRPr="00684570">
        <w:rPr>
          <w:rFonts w:ascii="Times New Roman" w:hAnsi="Times New Roman" w:cs="Times New Roman"/>
          <w:sz w:val="24"/>
          <w:szCs w:val="24"/>
          <w:lang w:val="en-US"/>
        </w:rPr>
        <w:t>.</w:t>
      </w:r>
      <w:r w:rsidR="00657187" w:rsidRPr="00684570">
        <w:rPr>
          <w:rFonts w:ascii="Times New Roman" w:hAnsi="Times New Roman" w:cs="Times New Roman"/>
          <w:sz w:val="24"/>
          <w:szCs w:val="24"/>
          <w:lang w:val="en-US"/>
        </w:rPr>
        <w:t>S</w:t>
      </w:r>
      <w:r w:rsidRPr="00684570">
        <w:rPr>
          <w:rFonts w:ascii="Times New Roman" w:hAnsi="Times New Roman" w:cs="Times New Roman"/>
          <w:sz w:val="24"/>
          <w:szCs w:val="24"/>
          <w:lang w:val="en-US"/>
        </w:rPr>
        <w:t>. Longevity Increase, 1960-1997,</w:t>
      </w:r>
      <w:r w:rsidR="00AD0E33" w:rsidRPr="00684570">
        <w:rPr>
          <w:rFonts w:ascii="Times New Roman" w:hAnsi="Times New Roman" w:cs="Times New Roman"/>
          <w:sz w:val="24"/>
          <w:szCs w:val="24"/>
          <w:lang w:val="en-US"/>
        </w:rPr>
        <w:t xml:space="preserve"> NBER </w:t>
      </w:r>
      <w:r w:rsidR="00657187" w:rsidRPr="00684570">
        <w:rPr>
          <w:rFonts w:ascii="Times New Roman" w:hAnsi="Times New Roman" w:cs="Times New Roman"/>
          <w:sz w:val="24"/>
          <w:szCs w:val="24"/>
          <w:lang w:val="en-US"/>
        </w:rPr>
        <w:t>Working Paper, No.8755.</w:t>
      </w:r>
    </w:p>
    <w:p w14:paraId="4B5F42A1" w14:textId="613925C0" w:rsidR="00EC0C30" w:rsidRPr="00684570" w:rsidRDefault="008B36DB"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LLERAS-MUNEY</w:t>
      </w:r>
      <w:r w:rsidR="00EC0C30" w:rsidRPr="00684570">
        <w:rPr>
          <w:rFonts w:ascii="Times New Roman" w:hAnsi="Times New Roman" w:cs="Times New Roman"/>
          <w:sz w:val="24"/>
          <w:szCs w:val="24"/>
          <w:lang w:val="en-US"/>
        </w:rPr>
        <w:t>, A.</w:t>
      </w:r>
      <w:r w:rsidRPr="00684570">
        <w:rPr>
          <w:rFonts w:ascii="Times New Roman" w:hAnsi="Times New Roman" w:cs="Times New Roman"/>
          <w:sz w:val="24"/>
          <w:szCs w:val="24"/>
          <w:lang w:val="en-US"/>
        </w:rPr>
        <w:t>,</w:t>
      </w:r>
      <w:r w:rsidR="00EC0C30" w:rsidRPr="00684570">
        <w:rPr>
          <w:rFonts w:ascii="Times New Roman" w:hAnsi="Times New Roman" w:cs="Times New Roman"/>
          <w:sz w:val="24"/>
          <w:szCs w:val="24"/>
          <w:lang w:val="en-US"/>
        </w:rPr>
        <w:t xml:space="preserve"> (200</w:t>
      </w:r>
      <w:r w:rsidRPr="00684570">
        <w:rPr>
          <w:rFonts w:ascii="Times New Roman" w:hAnsi="Times New Roman" w:cs="Times New Roman"/>
          <w:sz w:val="24"/>
          <w:szCs w:val="24"/>
          <w:lang w:val="en-US"/>
        </w:rPr>
        <w:t>5),</w:t>
      </w:r>
      <w:r w:rsidR="00EC0C30" w:rsidRPr="00684570">
        <w:rPr>
          <w:rFonts w:ascii="Times New Roman" w:hAnsi="Times New Roman" w:cs="Times New Roman"/>
          <w:sz w:val="24"/>
          <w:szCs w:val="24"/>
          <w:lang w:val="en-US"/>
        </w:rPr>
        <w:t xml:space="preserve"> The Relationship Between Education and Adult Mortality in the United States, </w:t>
      </w:r>
      <w:r w:rsidR="00EC0C30" w:rsidRPr="00684570">
        <w:rPr>
          <w:rFonts w:ascii="Times New Roman" w:hAnsi="Times New Roman" w:cs="Times New Roman"/>
          <w:i/>
          <w:sz w:val="24"/>
          <w:szCs w:val="24"/>
          <w:lang w:val="en-US"/>
        </w:rPr>
        <w:t>The Review of Economic Studies</w:t>
      </w:r>
      <w:r w:rsidRPr="00684570">
        <w:rPr>
          <w:rFonts w:ascii="Times New Roman" w:hAnsi="Times New Roman" w:cs="Times New Roman"/>
          <w:sz w:val="24"/>
          <w:szCs w:val="24"/>
          <w:lang w:val="en-US"/>
        </w:rPr>
        <w:t>, 72(</w:t>
      </w:r>
      <w:r w:rsidR="00EC0C30" w:rsidRPr="00684570">
        <w:rPr>
          <w:rFonts w:ascii="Times New Roman" w:hAnsi="Times New Roman" w:cs="Times New Roman"/>
          <w:sz w:val="24"/>
          <w:szCs w:val="24"/>
          <w:lang w:val="en-US"/>
        </w:rPr>
        <w:t>1</w:t>
      </w:r>
      <w:r w:rsidR="00D2610B" w:rsidRPr="00684570">
        <w:rPr>
          <w:rFonts w:ascii="Times New Roman" w:hAnsi="Times New Roman" w:cs="Times New Roman"/>
          <w:sz w:val="24"/>
          <w:szCs w:val="24"/>
          <w:lang w:val="en-US"/>
        </w:rPr>
        <w:t>)</w:t>
      </w:r>
      <w:r w:rsidR="00EC0C30" w:rsidRPr="00684570">
        <w:rPr>
          <w:rFonts w:ascii="Times New Roman" w:hAnsi="Times New Roman" w:cs="Times New Roman"/>
          <w:sz w:val="24"/>
          <w:szCs w:val="24"/>
          <w:lang w:val="en-US"/>
        </w:rPr>
        <w:t xml:space="preserve">, 189–221, </w:t>
      </w:r>
      <w:hyperlink r:id="rId10" w:history="1">
        <w:r w:rsidR="00EC0C30" w:rsidRPr="00684570">
          <w:rPr>
            <w:rStyle w:val="ab"/>
            <w:rFonts w:ascii="Times New Roman" w:hAnsi="Times New Roman" w:cs="Times New Roman"/>
            <w:color w:val="auto"/>
            <w:sz w:val="24"/>
            <w:szCs w:val="24"/>
            <w:lang w:val="en-US"/>
          </w:rPr>
          <w:t>https://doi.org/10.1111/0034-6527.00329</w:t>
        </w:r>
      </w:hyperlink>
    </w:p>
    <w:p w14:paraId="31DBC6B3" w14:textId="04446A45" w:rsidR="00EC0C30" w:rsidRPr="00684570" w:rsidRDefault="001958CC"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LOEF M. and WALACH, H., (2012), </w:t>
      </w:r>
      <w:r w:rsidR="00EC0C30" w:rsidRPr="00684570">
        <w:rPr>
          <w:rFonts w:ascii="Times New Roman" w:hAnsi="Times New Roman" w:cs="Times New Roman"/>
          <w:sz w:val="24"/>
          <w:szCs w:val="24"/>
          <w:lang w:val="en-US"/>
        </w:rPr>
        <w:t xml:space="preserve">The </w:t>
      </w:r>
      <w:r w:rsidRPr="00684570">
        <w:rPr>
          <w:rFonts w:ascii="Times New Roman" w:hAnsi="Times New Roman" w:cs="Times New Roman"/>
          <w:sz w:val="24"/>
          <w:szCs w:val="24"/>
          <w:lang w:val="en-US"/>
        </w:rPr>
        <w:t>Combined Effects of</w:t>
      </w:r>
      <w:r w:rsidR="00AD0E33" w:rsidRPr="00684570">
        <w:rPr>
          <w:rFonts w:ascii="Times New Roman" w:hAnsi="Times New Roman" w:cs="Times New Roman"/>
          <w:sz w:val="24"/>
          <w:szCs w:val="24"/>
          <w:lang w:val="en-US"/>
        </w:rPr>
        <w:t xml:space="preserve"> Healthy Lifestyle Behaviors an </w:t>
      </w:r>
      <w:r w:rsidRPr="00684570">
        <w:rPr>
          <w:rFonts w:ascii="Times New Roman" w:hAnsi="Times New Roman" w:cs="Times New Roman"/>
          <w:sz w:val="24"/>
          <w:szCs w:val="24"/>
          <w:lang w:val="en-US"/>
        </w:rPr>
        <w:t>A</w:t>
      </w:r>
      <w:r w:rsidR="00AD0E33" w:rsidRPr="00684570">
        <w:rPr>
          <w:rFonts w:ascii="Times New Roman" w:hAnsi="Times New Roman" w:cs="Times New Roman"/>
          <w:sz w:val="24"/>
          <w:szCs w:val="24"/>
          <w:lang w:val="en-US"/>
        </w:rPr>
        <w:t xml:space="preserve">ll Cause </w:t>
      </w:r>
      <w:r w:rsidRPr="00684570">
        <w:rPr>
          <w:rFonts w:ascii="Times New Roman" w:hAnsi="Times New Roman" w:cs="Times New Roman"/>
          <w:sz w:val="24"/>
          <w:szCs w:val="24"/>
          <w:lang w:val="en-US"/>
        </w:rPr>
        <w:t>Mortality: A Systematic Review and Metaanalysis</w:t>
      </w:r>
      <w:r w:rsidR="00472393" w:rsidRPr="00684570">
        <w:rPr>
          <w:rFonts w:ascii="Times New Roman" w:hAnsi="Times New Roman" w:cs="Times New Roman"/>
          <w:sz w:val="24"/>
          <w:szCs w:val="24"/>
          <w:lang w:val="en-US"/>
        </w:rPr>
        <w:t xml:space="preserve">, </w:t>
      </w:r>
      <w:r w:rsidR="00472393" w:rsidRPr="00684570">
        <w:rPr>
          <w:rFonts w:ascii="Times New Roman" w:hAnsi="Times New Roman" w:cs="Times New Roman"/>
          <w:i/>
          <w:sz w:val="24"/>
          <w:szCs w:val="24"/>
          <w:lang w:val="en-US"/>
        </w:rPr>
        <w:t>Preventive Medicine,</w:t>
      </w:r>
      <w:r w:rsidR="00472393" w:rsidRPr="00684570">
        <w:rPr>
          <w:rFonts w:ascii="Times New Roman" w:hAnsi="Times New Roman" w:cs="Times New Roman"/>
          <w:sz w:val="24"/>
          <w:szCs w:val="24"/>
          <w:lang w:val="en-US"/>
        </w:rPr>
        <w:t xml:space="preserve"> 55, </w:t>
      </w:r>
      <w:r w:rsidR="007E0B94" w:rsidRPr="00684570">
        <w:rPr>
          <w:rFonts w:ascii="Times New Roman" w:hAnsi="Times New Roman" w:cs="Times New Roman"/>
          <w:sz w:val="24"/>
          <w:szCs w:val="24"/>
          <w:lang w:val="en-US"/>
        </w:rPr>
        <w:t>163–170.</w:t>
      </w:r>
    </w:p>
    <w:p w14:paraId="3DC104B1" w14:textId="47A40CD0" w:rsidR="002B2814" w:rsidRPr="00684570" w:rsidRDefault="00AB481E"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LUY, M. and WEGNER-SIEGMUNDT, C</w:t>
      </w:r>
      <w:r w:rsidR="00EC0C30" w:rsidRPr="00684570">
        <w:rPr>
          <w:rFonts w:ascii="Times New Roman" w:hAnsi="Times New Roman" w:cs="Times New Roman"/>
          <w:sz w:val="24"/>
          <w:szCs w:val="24"/>
          <w:lang w:val="en-US"/>
        </w:rPr>
        <w:t>.</w:t>
      </w:r>
      <w:r w:rsidRPr="00684570">
        <w:rPr>
          <w:rFonts w:ascii="Times New Roman" w:hAnsi="Times New Roman" w:cs="Times New Roman"/>
          <w:sz w:val="24"/>
          <w:szCs w:val="24"/>
          <w:lang w:val="en-US"/>
        </w:rPr>
        <w:t>, (2015),</w:t>
      </w:r>
      <w:r w:rsidR="00EC0C30" w:rsidRPr="00684570">
        <w:rPr>
          <w:rFonts w:ascii="Times New Roman" w:hAnsi="Times New Roman" w:cs="Times New Roman"/>
          <w:sz w:val="24"/>
          <w:szCs w:val="24"/>
          <w:lang w:val="en-US"/>
        </w:rPr>
        <w:t xml:space="preserve"> The </w:t>
      </w:r>
      <w:r w:rsidRPr="00684570">
        <w:rPr>
          <w:rFonts w:ascii="Times New Roman" w:hAnsi="Times New Roman" w:cs="Times New Roman"/>
          <w:sz w:val="24"/>
          <w:szCs w:val="24"/>
          <w:lang w:val="en-US"/>
        </w:rPr>
        <w:t>Impact of Smoking on Gender Differences in Life Expectancy: More Heterogeneous than Often Stated,</w:t>
      </w:r>
      <w:r w:rsidR="00EC0C30" w:rsidRPr="00684570">
        <w:rPr>
          <w:rFonts w:ascii="Times New Roman" w:hAnsi="Times New Roman" w:cs="Times New Roman"/>
          <w:sz w:val="24"/>
          <w:szCs w:val="24"/>
          <w:lang w:val="en-US"/>
        </w:rPr>
        <w:t xml:space="preserve"> </w:t>
      </w:r>
      <w:r w:rsidR="007E0B94" w:rsidRPr="00684570">
        <w:rPr>
          <w:rFonts w:ascii="Times New Roman" w:hAnsi="Times New Roman" w:cs="Times New Roman"/>
          <w:i/>
          <w:sz w:val="24"/>
          <w:szCs w:val="24"/>
          <w:lang w:val="en-US"/>
        </w:rPr>
        <w:t>Eur</w:t>
      </w:r>
      <w:r w:rsidRPr="00684570">
        <w:rPr>
          <w:rFonts w:ascii="Times New Roman" w:hAnsi="Times New Roman" w:cs="Times New Roman"/>
          <w:i/>
          <w:sz w:val="24"/>
          <w:szCs w:val="24"/>
          <w:lang w:val="en-US"/>
        </w:rPr>
        <w:t>opean</w:t>
      </w:r>
      <w:r w:rsidR="007E0B94" w:rsidRPr="00684570">
        <w:rPr>
          <w:rFonts w:ascii="Times New Roman" w:hAnsi="Times New Roman" w:cs="Times New Roman"/>
          <w:i/>
          <w:sz w:val="24"/>
          <w:szCs w:val="24"/>
          <w:lang w:val="en-US"/>
        </w:rPr>
        <w:t xml:space="preserve"> J</w:t>
      </w:r>
      <w:r w:rsidRPr="00684570">
        <w:rPr>
          <w:rFonts w:ascii="Times New Roman" w:hAnsi="Times New Roman" w:cs="Times New Roman"/>
          <w:i/>
          <w:sz w:val="24"/>
          <w:szCs w:val="24"/>
          <w:lang w:val="en-US"/>
        </w:rPr>
        <w:t>ournal of</w:t>
      </w:r>
      <w:r w:rsidR="007E0B94" w:rsidRPr="00684570">
        <w:rPr>
          <w:rFonts w:ascii="Times New Roman" w:hAnsi="Times New Roman" w:cs="Times New Roman"/>
          <w:i/>
          <w:sz w:val="24"/>
          <w:szCs w:val="24"/>
          <w:lang w:val="en-US"/>
        </w:rPr>
        <w:t xml:space="preserve"> Public Health</w:t>
      </w:r>
      <w:r w:rsidRPr="00684570">
        <w:rPr>
          <w:rFonts w:ascii="Times New Roman" w:hAnsi="Times New Roman" w:cs="Times New Roman"/>
          <w:i/>
          <w:sz w:val="24"/>
          <w:szCs w:val="24"/>
          <w:lang w:val="en-US"/>
        </w:rPr>
        <w:t>,</w:t>
      </w:r>
      <w:r w:rsidR="007E0B94" w:rsidRPr="00684570">
        <w:rPr>
          <w:rFonts w:ascii="Times New Roman" w:hAnsi="Times New Roman" w:cs="Times New Roman"/>
          <w:i/>
          <w:sz w:val="24"/>
          <w:szCs w:val="24"/>
          <w:lang w:val="en-US"/>
        </w:rPr>
        <w:t xml:space="preserve"> </w:t>
      </w:r>
      <w:r w:rsidRPr="00684570">
        <w:rPr>
          <w:rFonts w:ascii="Times New Roman" w:hAnsi="Times New Roman" w:cs="Times New Roman"/>
          <w:sz w:val="24"/>
          <w:szCs w:val="24"/>
          <w:lang w:val="en-US"/>
        </w:rPr>
        <w:t>25,</w:t>
      </w:r>
      <w:r w:rsidR="007E0B94" w:rsidRPr="00684570">
        <w:rPr>
          <w:rFonts w:ascii="Times New Roman" w:hAnsi="Times New Roman" w:cs="Times New Roman"/>
          <w:sz w:val="24"/>
          <w:szCs w:val="24"/>
          <w:lang w:val="en-US"/>
        </w:rPr>
        <w:t>706–710.</w:t>
      </w:r>
    </w:p>
    <w:p w14:paraId="17D80C00" w14:textId="483DA594" w:rsidR="00C52B24" w:rsidRPr="00684570" w:rsidRDefault="00AB481E"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LUY, M., ZANNELLA, M., WEGNER-SIEGMUNDT, C., MINAGAWA, Y., LUTZ, W. and</w:t>
      </w:r>
      <w:r w:rsidR="00AD0E33" w:rsidRPr="00684570">
        <w:rPr>
          <w:rFonts w:ascii="Times New Roman" w:hAnsi="Times New Roman" w:cs="Times New Roman"/>
          <w:sz w:val="24"/>
          <w:szCs w:val="24"/>
          <w:lang w:val="en-US"/>
        </w:rPr>
        <w:t xml:space="preserve"> </w:t>
      </w:r>
      <w:r w:rsidRPr="00684570">
        <w:rPr>
          <w:rFonts w:ascii="Times New Roman" w:hAnsi="Times New Roman" w:cs="Times New Roman"/>
          <w:sz w:val="24"/>
          <w:szCs w:val="24"/>
          <w:lang w:val="en-US"/>
        </w:rPr>
        <w:t>CASELLI, G., (2019),</w:t>
      </w:r>
      <w:r w:rsidR="002B2814" w:rsidRPr="00684570">
        <w:rPr>
          <w:rFonts w:ascii="Times New Roman" w:hAnsi="Times New Roman" w:cs="Times New Roman"/>
          <w:sz w:val="24"/>
          <w:szCs w:val="24"/>
          <w:lang w:val="en-US"/>
        </w:rPr>
        <w:t xml:space="preserve"> The </w:t>
      </w:r>
      <w:r w:rsidRPr="00684570">
        <w:rPr>
          <w:rFonts w:ascii="Times New Roman" w:hAnsi="Times New Roman" w:cs="Times New Roman"/>
          <w:sz w:val="24"/>
          <w:szCs w:val="24"/>
          <w:lang w:val="en-US"/>
        </w:rPr>
        <w:t xml:space="preserve">Impact of Increasing Education Levels on Rising Life Expectancy: A Decomposition Analysis for </w:t>
      </w:r>
      <w:r w:rsidR="002B2814" w:rsidRPr="00684570">
        <w:rPr>
          <w:rFonts w:ascii="Times New Roman" w:hAnsi="Times New Roman" w:cs="Times New Roman"/>
          <w:sz w:val="24"/>
          <w:szCs w:val="24"/>
          <w:lang w:val="en-US"/>
        </w:rPr>
        <w:t>Italy</w:t>
      </w:r>
      <w:r w:rsidRPr="00684570">
        <w:rPr>
          <w:rFonts w:ascii="Times New Roman" w:hAnsi="Times New Roman" w:cs="Times New Roman"/>
          <w:sz w:val="24"/>
          <w:szCs w:val="24"/>
          <w:lang w:val="en-US"/>
        </w:rPr>
        <w:t xml:space="preserve">, </w:t>
      </w:r>
      <w:r w:rsidR="002B2814" w:rsidRPr="00684570">
        <w:rPr>
          <w:rFonts w:ascii="Times New Roman" w:hAnsi="Times New Roman" w:cs="Times New Roman"/>
          <w:sz w:val="24"/>
          <w:szCs w:val="24"/>
          <w:lang w:val="en-US"/>
        </w:rPr>
        <w:t>Denmark</w:t>
      </w:r>
      <w:r w:rsidRPr="00684570">
        <w:rPr>
          <w:rFonts w:ascii="Times New Roman" w:hAnsi="Times New Roman" w:cs="Times New Roman"/>
          <w:sz w:val="24"/>
          <w:szCs w:val="24"/>
          <w:lang w:val="en-US"/>
        </w:rPr>
        <w:t xml:space="preserve">, and the </w:t>
      </w:r>
      <w:r w:rsidR="002B2814" w:rsidRPr="00684570">
        <w:rPr>
          <w:rFonts w:ascii="Times New Roman" w:hAnsi="Times New Roman" w:cs="Times New Roman"/>
          <w:sz w:val="24"/>
          <w:szCs w:val="24"/>
          <w:lang w:val="en-US"/>
        </w:rPr>
        <w:t>USA</w:t>
      </w:r>
      <w:r w:rsidRPr="00684570">
        <w:rPr>
          <w:rFonts w:ascii="Times New Roman" w:hAnsi="Times New Roman" w:cs="Times New Roman"/>
          <w:sz w:val="24"/>
          <w:szCs w:val="24"/>
          <w:lang w:val="en-US"/>
        </w:rPr>
        <w:t xml:space="preserve">, </w:t>
      </w:r>
      <w:r w:rsidR="00102E71" w:rsidRPr="00684570">
        <w:rPr>
          <w:rFonts w:ascii="Times New Roman" w:hAnsi="Times New Roman" w:cs="Times New Roman"/>
          <w:i/>
          <w:sz w:val="24"/>
          <w:szCs w:val="24"/>
          <w:lang w:val="en-US"/>
        </w:rPr>
        <w:t>Genus</w:t>
      </w:r>
      <w:r w:rsidR="00102E71" w:rsidRPr="00684570">
        <w:rPr>
          <w:rFonts w:ascii="Times New Roman" w:hAnsi="Times New Roman" w:cs="Times New Roman"/>
          <w:sz w:val="24"/>
          <w:szCs w:val="24"/>
          <w:lang w:val="en-US"/>
        </w:rPr>
        <w:t xml:space="preserve">, </w:t>
      </w:r>
      <w:r w:rsidRPr="00684570">
        <w:rPr>
          <w:rFonts w:ascii="Times New Roman" w:hAnsi="Times New Roman" w:cs="Times New Roman"/>
          <w:sz w:val="24"/>
          <w:szCs w:val="24"/>
          <w:lang w:val="en-US"/>
        </w:rPr>
        <w:t>75(</w:t>
      </w:r>
      <w:r w:rsidR="002B2814" w:rsidRPr="00684570">
        <w:rPr>
          <w:rFonts w:ascii="Times New Roman" w:hAnsi="Times New Roman" w:cs="Times New Roman"/>
          <w:sz w:val="24"/>
          <w:szCs w:val="24"/>
          <w:lang w:val="en-US"/>
        </w:rPr>
        <w:t>11</w:t>
      </w:r>
      <w:r w:rsidRPr="00684570">
        <w:rPr>
          <w:rFonts w:ascii="Times New Roman" w:hAnsi="Times New Roman" w:cs="Times New Roman"/>
          <w:sz w:val="24"/>
          <w:szCs w:val="24"/>
          <w:lang w:val="en-US"/>
        </w:rPr>
        <w:t>),</w:t>
      </w:r>
      <w:r w:rsidR="002B2814" w:rsidRPr="00684570">
        <w:rPr>
          <w:rFonts w:ascii="Times New Roman" w:hAnsi="Times New Roman" w:cs="Times New Roman"/>
          <w:sz w:val="24"/>
          <w:szCs w:val="24"/>
          <w:lang w:val="en-US"/>
        </w:rPr>
        <w:t xml:space="preserve"> https://do</w:t>
      </w:r>
      <w:r w:rsidR="007E0B94" w:rsidRPr="00684570">
        <w:rPr>
          <w:rFonts w:ascii="Times New Roman" w:hAnsi="Times New Roman" w:cs="Times New Roman"/>
          <w:sz w:val="24"/>
          <w:szCs w:val="24"/>
          <w:lang w:val="en-US"/>
        </w:rPr>
        <w:t>i.org/10.1186/s41118-019-0055-0</w:t>
      </w:r>
    </w:p>
    <w:p w14:paraId="7DE2B777" w14:textId="0693FE5F" w:rsidR="00C52B24" w:rsidRPr="00684570" w:rsidRDefault="00AB481E"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MANKIW, G., ROEMER, D.  and WEIL</w:t>
      </w:r>
      <w:r w:rsidR="00C52B24" w:rsidRPr="00684570">
        <w:rPr>
          <w:rFonts w:ascii="Times New Roman" w:hAnsi="Times New Roman" w:cs="Times New Roman"/>
          <w:sz w:val="24"/>
          <w:szCs w:val="24"/>
          <w:lang w:val="en-US"/>
        </w:rPr>
        <w:t xml:space="preserve">, </w:t>
      </w:r>
      <w:r w:rsidRPr="00684570">
        <w:rPr>
          <w:rFonts w:ascii="Times New Roman" w:hAnsi="Times New Roman" w:cs="Times New Roman"/>
          <w:sz w:val="24"/>
          <w:szCs w:val="24"/>
          <w:lang w:val="en-US"/>
        </w:rPr>
        <w:t>P., (</w:t>
      </w:r>
      <w:r w:rsidR="00C52B24" w:rsidRPr="00684570">
        <w:rPr>
          <w:rFonts w:ascii="Times New Roman" w:hAnsi="Times New Roman" w:cs="Times New Roman"/>
          <w:sz w:val="24"/>
          <w:szCs w:val="24"/>
          <w:lang w:val="en-US"/>
        </w:rPr>
        <w:t>1992</w:t>
      </w:r>
      <w:r w:rsidRPr="00684570">
        <w:rPr>
          <w:rFonts w:ascii="Times New Roman" w:hAnsi="Times New Roman" w:cs="Times New Roman"/>
          <w:sz w:val="24"/>
          <w:szCs w:val="24"/>
          <w:lang w:val="en-US"/>
        </w:rPr>
        <w:t>),</w:t>
      </w:r>
      <w:r w:rsidR="00C52B24" w:rsidRPr="00684570">
        <w:rPr>
          <w:rFonts w:ascii="Times New Roman" w:hAnsi="Times New Roman" w:cs="Times New Roman"/>
          <w:sz w:val="24"/>
          <w:szCs w:val="24"/>
          <w:lang w:val="en-US"/>
        </w:rPr>
        <w:t xml:space="preserve"> A </w:t>
      </w:r>
      <w:r w:rsidRPr="00684570">
        <w:rPr>
          <w:rFonts w:ascii="Times New Roman" w:hAnsi="Times New Roman" w:cs="Times New Roman"/>
          <w:sz w:val="24"/>
          <w:szCs w:val="24"/>
          <w:lang w:val="en-US"/>
        </w:rPr>
        <w:t xml:space="preserve">Contribution to the Empirics of Economic Growth, </w:t>
      </w:r>
      <w:r w:rsidR="00C52B24" w:rsidRPr="00684570">
        <w:rPr>
          <w:rFonts w:ascii="Times New Roman" w:hAnsi="Times New Roman" w:cs="Times New Roman"/>
          <w:i/>
          <w:sz w:val="24"/>
          <w:szCs w:val="24"/>
          <w:lang w:val="en-US"/>
        </w:rPr>
        <w:t>Quarterly Journal of Economics</w:t>
      </w:r>
      <w:r w:rsidRPr="00684570">
        <w:rPr>
          <w:rFonts w:ascii="Times New Roman" w:hAnsi="Times New Roman" w:cs="Times New Roman"/>
          <w:sz w:val="24"/>
          <w:szCs w:val="24"/>
          <w:lang w:val="en-US"/>
        </w:rPr>
        <w:t>, 9(1),</w:t>
      </w:r>
      <w:r w:rsidR="00C52B24" w:rsidRPr="00684570">
        <w:rPr>
          <w:rFonts w:ascii="Times New Roman" w:hAnsi="Times New Roman" w:cs="Times New Roman"/>
          <w:sz w:val="24"/>
          <w:szCs w:val="24"/>
          <w:lang w:val="en-US"/>
        </w:rPr>
        <w:t xml:space="preserve"> 313-320.</w:t>
      </w:r>
    </w:p>
    <w:p w14:paraId="1215E6F5" w14:textId="519F68A4" w:rsidR="00CB4F7B" w:rsidRPr="00684570" w:rsidRDefault="00AB481E"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MATTHEW, P. and BRODERSEN, D.M., </w:t>
      </w:r>
      <w:r w:rsidR="00CB4F7B" w:rsidRPr="00684570">
        <w:rPr>
          <w:rFonts w:ascii="Times New Roman" w:hAnsi="Times New Roman" w:cs="Times New Roman"/>
          <w:sz w:val="24"/>
          <w:szCs w:val="24"/>
          <w:lang w:val="en-US"/>
        </w:rPr>
        <w:t>(2018)</w:t>
      </w:r>
      <w:r w:rsidRPr="00684570">
        <w:rPr>
          <w:rFonts w:ascii="Times New Roman" w:hAnsi="Times New Roman" w:cs="Times New Roman"/>
          <w:sz w:val="24"/>
          <w:szCs w:val="24"/>
          <w:lang w:val="en-US"/>
        </w:rPr>
        <w:t xml:space="preserve">, </w:t>
      </w:r>
      <w:r w:rsidR="00CB4F7B" w:rsidRPr="00684570">
        <w:rPr>
          <w:rFonts w:ascii="Times New Roman" w:hAnsi="Times New Roman" w:cs="Times New Roman"/>
          <w:sz w:val="24"/>
          <w:szCs w:val="24"/>
          <w:lang w:val="en-US"/>
        </w:rPr>
        <w:t xml:space="preserve">Income </w:t>
      </w:r>
      <w:r w:rsidRPr="00684570">
        <w:rPr>
          <w:rFonts w:ascii="Times New Roman" w:hAnsi="Times New Roman" w:cs="Times New Roman"/>
          <w:sz w:val="24"/>
          <w:szCs w:val="24"/>
          <w:lang w:val="en-US"/>
        </w:rPr>
        <w:t xml:space="preserve">Inequality and Health Outcomes in the </w:t>
      </w:r>
      <w:r w:rsidR="00CB4F7B" w:rsidRPr="00684570">
        <w:rPr>
          <w:rFonts w:ascii="Times New Roman" w:hAnsi="Times New Roman" w:cs="Times New Roman"/>
          <w:sz w:val="24"/>
          <w:szCs w:val="24"/>
          <w:lang w:val="en-US"/>
        </w:rPr>
        <w:t>United States</w:t>
      </w:r>
      <w:r w:rsidRPr="00684570">
        <w:rPr>
          <w:rFonts w:ascii="Times New Roman" w:hAnsi="Times New Roman" w:cs="Times New Roman"/>
          <w:sz w:val="24"/>
          <w:szCs w:val="24"/>
          <w:lang w:val="en-US"/>
        </w:rPr>
        <w:t xml:space="preserve">: </w:t>
      </w:r>
      <w:r w:rsidR="00CB4F7B" w:rsidRPr="00684570">
        <w:rPr>
          <w:rFonts w:ascii="Times New Roman" w:hAnsi="Times New Roman" w:cs="Times New Roman"/>
          <w:sz w:val="24"/>
          <w:szCs w:val="24"/>
          <w:lang w:val="en-US"/>
        </w:rPr>
        <w:t xml:space="preserve">An </w:t>
      </w:r>
      <w:r w:rsidRPr="00684570">
        <w:rPr>
          <w:rFonts w:ascii="Times New Roman" w:hAnsi="Times New Roman" w:cs="Times New Roman"/>
          <w:sz w:val="24"/>
          <w:szCs w:val="24"/>
          <w:lang w:val="en-US"/>
        </w:rPr>
        <w:t>Empirical Analysis,</w:t>
      </w:r>
      <w:r w:rsidR="00CB4F7B" w:rsidRPr="00684570">
        <w:rPr>
          <w:rFonts w:ascii="Times New Roman" w:hAnsi="Times New Roman" w:cs="Times New Roman"/>
          <w:sz w:val="24"/>
          <w:szCs w:val="24"/>
          <w:lang w:val="en-US"/>
        </w:rPr>
        <w:t xml:space="preserve"> </w:t>
      </w:r>
      <w:r w:rsidR="00CB4F7B" w:rsidRPr="00684570">
        <w:rPr>
          <w:rFonts w:ascii="Times New Roman" w:hAnsi="Times New Roman" w:cs="Times New Roman"/>
          <w:i/>
          <w:sz w:val="24"/>
          <w:szCs w:val="24"/>
          <w:lang w:val="en-US"/>
        </w:rPr>
        <w:t>The Social Science Journal</w:t>
      </w:r>
      <w:r w:rsidRPr="00684570">
        <w:rPr>
          <w:rFonts w:ascii="Times New Roman" w:hAnsi="Times New Roman" w:cs="Times New Roman"/>
          <w:sz w:val="24"/>
          <w:szCs w:val="24"/>
          <w:lang w:val="en-US"/>
        </w:rPr>
        <w:t>, 55(</w:t>
      </w:r>
      <w:r w:rsidR="00CB4F7B" w:rsidRPr="00684570">
        <w:rPr>
          <w:rFonts w:ascii="Times New Roman" w:hAnsi="Times New Roman" w:cs="Times New Roman"/>
          <w:sz w:val="24"/>
          <w:szCs w:val="24"/>
          <w:lang w:val="en-US"/>
        </w:rPr>
        <w:t>4</w:t>
      </w:r>
      <w:r w:rsidRPr="00684570">
        <w:rPr>
          <w:rFonts w:ascii="Times New Roman" w:hAnsi="Times New Roman" w:cs="Times New Roman"/>
          <w:sz w:val="24"/>
          <w:szCs w:val="24"/>
          <w:lang w:val="en-US"/>
        </w:rPr>
        <w:t>)</w:t>
      </w:r>
      <w:r w:rsidR="00CB4F7B" w:rsidRPr="00684570">
        <w:rPr>
          <w:rFonts w:ascii="Times New Roman" w:hAnsi="Times New Roman" w:cs="Times New Roman"/>
          <w:sz w:val="24"/>
          <w:szCs w:val="24"/>
          <w:lang w:val="en-US"/>
        </w:rPr>
        <w:t>, 432-442, DO</w:t>
      </w:r>
      <w:r w:rsidR="007E0B94" w:rsidRPr="00684570">
        <w:rPr>
          <w:rFonts w:ascii="Times New Roman" w:hAnsi="Times New Roman" w:cs="Times New Roman"/>
          <w:sz w:val="24"/>
          <w:szCs w:val="24"/>
          <w:lang w:val="en-US"/>
        </w:rPr>
        <w:t>I: 10.1016/j.soscij.2018.05.001</w:t>
      </w:r>
    </w:p>
    <w:p w14:paraId="268574B8" w14:textId="312324CF" w:rsidR="00DE038C" w:rsidRPr="00684570" w:rsidRDefault="00AB481E" w:rsidP="00684570">
      <w:pPr>
        <w:autoSpaceDE w:val="0"/>
        <w:autoSpaceDN w:val="0"/>
        <w:adjustRightInd w:val="0"/>
        <w:spacing w:after="120" w:line="240" w:lineRule="auto"/>
        <w:ind w:left="284" w:hanging="284"/>
        <w:jc w:val="both"/>
        <w:rPr>
          <w:rFonts w:ascii="Times New Roman" w:hAnsi="Times New Roman" w:cs="Times New Roman"/>
          <w:sz w:val="24"/>
          <w:szCs w:val="24"/>
          <w:lang w:val="tr-TR"/>
        </w:rPr>
      </w:pPr>
      <w:r w:rsidRPr="00684570">
        <w:rPr>
          <w:rFonts w:ascii="Times New Roman" w:hAnsi="Times New Roman" w:cs="Times New Roman"/>
          <w:sz w:val="24"/>
          <w:szCs w:val="24"/>
          <w:lang w:val="en-US"/>
        </w:rPr>
        <w:t>MARIANI</w:t>
      </w:r>
      <w:r w:rsidRPr="00684570">
        <w:rPr>
          <w:rFonts w:ascii="Times New Roman" w:hAnsi="Times New Roman" w:cs="Times New Roman"/>
          <w:sz w:val="24"/>
          <w:szCs w:val="24"/>
          <w:lang w:val="tr-TR"/>
        </w:rPr>
        <w:t xml:space="preserve">, F., PÉREZ-BARAHONA, A. And RAFFİN, </w:t>
      </w:r>
      <w:r w:rsidR="001D7515" w:rsidRPr="00684570">
        <w:rPr>
          <w:rFonts w:ascii="Times New Roman" w:hAnsi="Times New Roman" w:cs="Times New Roman"/>
          <w:sz w:val="24"/>
          <w:szCs w:val="24"/>
          <w:lang w:val="tr-TR"/>
        </w:rPr>
        <w:t>R.</w:t>
      </w:r>
      <w:r w:rsidRPr="00684570">
        <w:rPr>
          <w:rFonts w:ascii="Times New Roman" w:hAnsi="Times New Roman" w:cs="Times New Roman"/>
          <w:sz w:val="24"/>
          <w:szCs w:val="24"/>
          <w:lang w:val="tr-TR"/>
        </w:rPr>
        <w:t>, (2009),</w:t>
      </w:r>
      <w:r w:rsidR="001D7515" w:rsidRPr="00684570">
        <w:rPr>
          <w:rFonts w:ascii="Times New Roman" w:hAnsi="Times New Roman" w:cs="Times New Roman"/>
          <w:sz w:val="24"/>
          <w:szCs w:val="24"/>
          <w:lang w:val="tr-TR"/>
        </w:rPr>
        <w:t xml:space="preserve"> Life Expectancy and the Environment</w:t>
      </w:r>
      <w:r w:rsidRPr="00684570">
        <w:rPr>
          <w:rFonts w:ascii="Times New Roman" w:hAnsi="Times New Roman" w:cs="Times New Roman"/>
          <w:sz w:val="24"/>
          <w:szCs w:val="24"/>
          <w:lang w:val="tr-TR"/>
        </w:rPr>
        <w:t xml:space="preserve">, </w:t>
      </w:r>
      <w:r w:rsidR="001D7515" w:rsidRPr="00684570">
        <w:rPr>
          <w:rFonts w:ascii="Times New Roman" w:hAnsi="Times New Roman" w:cs="Times New Roman"/>
          <w:sz w:val="24"/>
          <w:szCs w:val="24"/>
          <w:lang w:val="en-US"/>
        </w:rPr>
        <w:t xml:space="preserve"> </w:t>
      </w:r>
      <w:r w:rsidR="001D7515" w:rsidRPr="00684570">
        <w:rPr>
          <w:rFonts w:ascii="Times New Roman" w:hAnsi="Times New Roman" w:cs="Times New Roman"/>
          <w:sz w:val="24"/>
          <w:szCs w:val="24"/>
          <w:lang w:val="tr-TR"/>
        </w:rPr>
        <w:t>IZA Discussion Paper No. 4564</w:t>
      </w:r>
      <w:r w:rsidR="006C5DEF" w:rsidRPr="00684570">
        <w:rPr>
          <w:rFonts w:ascii="Times New Roman" w:hAnsi="Times New Roman" w:cs="Times New Roman"/>
          <w:sz w:val="24"/>
          <w:szCs w:val="24"/>
          <w:lang w:val="tr-TR"/>
        </w:rPr>
        <w:t>.</w:t>
      </w:r>
    </w:p>
    <w:p w14:paraId="4F9EE0D9" w14:textId="7619441C" w:rsidR="00DE038C" w:rsidRPr="00684570" w:rsidRDefault="00AB481E" w:rsidP="00684570">
      <w:pPr>
        <w:autoSpaceDE w:val="0"/>
        <w:autoSpaceDN w:val="0"/>
        <w:adjustRightInd w:val="0"/>
        <w:spacing w:after="120" w:line="240" w:lineRule="auto"/>
        <w:ind w:left="284" w:hanging="284"/>
        <w:jc w:val="both"/>
        <w:rPr>
          <w:rFonts w:ascii="Times New Roman" w:hAnsi="Times New Roman" w:cs="Times New Roman"/>
          <w:sz w:val="24"/>
          <w:szCs w:val="24"/>
          <w:lang w:val="tr-TR"/>
        </w:rPr>
      </w:pPr>
      <w:r w:rsidRPr="00684570">
        <w:rPr>
          <w:rFonts w:ascii="Times New Roman" w:hAnsi="Times New Roman" w:cs="Times New Roman"/>
          <w:sz w:val="24"/>
          <w:szCs w:val="24"/>
          <w:lang w:val="tr-TR"/>
        </w:rPr>
        <w:t xml:space="preserve">MEDAS, G., </w:t>
      </w:r>
      <w:r w:rsidR="000B79C3" w:rsidRPr="00684570">
        <w:rPr>
          <w:rFonts w:ascii="Times New Roman" w:hAnsi="Times New Roman" w:cs="Times New Roman"/>
          <w:sz w:val="24"/>
          <w:szCs w:val="24"/>
          <w:lang w:val="tr-TR"/>
        </w:rPr>
        <w:t>(2015)</w:t>
      </w:r>
      <w:r w:rsidRPr="00684570">
        <w:rPr>
          <w:rFonts w:ascii="Times New Roman" w:hAnsi="Times New Roman" w:cs="Times New Roman"/>
          <w:sz w:val="24"/>
          <w:szCs w:val="24"/>
          <w:lang w:val="tr-TR"/>
        </w:rPr>
        <w:t>,</w:t>
      </w:r>
      <w:r w:rsidR="00DE038C" w:rsidRPr="00684570">
        <w:rPr>
          <w:rFonts w:ascii="Times New Roman" w:hAnsi="Times New Roman" w:cs="Times New Roman"/>
          <w:sz w:val="24"/>
          <w:szCs w:val="24"/>
          <w:lang w:val="en-US"/>
        </w:rPr>
        <w:t xml:space="preserve"> </w:t>
      </w:r>
      <w:r w:rsidR="00DE038C" w:rsidRPr="00684570">
        <w:rPr>
          <w:rFonts w:ascii="Times New Roman" w:hAnsi="Times New Roman" w:cs="Times New Roman"/>
          <w:sz w:val="24"/>
          <w:szCs w:val="24"/>
          <w:lang w:val="tr-TR"/>
        </w:rPr>
        <w:t xml:space="preserve">Roma </w:t>
      </w:r>
      <w:r w:rsidR="00244455" w:rsidRPr="00684570">
        <w:rPr>
          <w:rFonts w:ascii="Times New Roman" w:hAnsi="Times New Roman" w:cs="Times New Roman"/>
          <w:sz w:val="24"/>
          <w:szCs w:val="24"/>
          <w:lang w:val="tr-TR"/>
        </w:rPr>
        <w:t xml:space="preserve">and Health: The Social Determinants of Health: Lessons from the Case of </w:t>
      </w:r>
      <w:r w:rsidR="00DE038C" w:rsidRPr="00684570">
        <w:rPr>
          <w:rFonts w:ascii="Times New Roman" w:hAnsi="Times New Roman" w:cs="Times New Roman"/>
          <w:sz w:val="24"/>
          <w:szCs w:val="24"/>
          <w:lang w:val="tr-TR"/>
        </w:rPr>
        <w:t xml:space="preserve">Roma </w:t>
      </w:r>
      <w:r w:rsidR="00244455" w:rsidRPr="00684570">
        <w:rPr>
          <w:rFonts w:ascii="Times New Roman" w:hAnsi="Times New Roman" w:cs="Times New Roman"/>
          <w:sz w:val="24"/>
          <w:szCs w:val="24"/>
          <w:lang w:val="tr-TR"/>
        </w:rPr>
        <w:t xml:space="preserve">in </w:t>
      </w:r>
      <w:r w:rsidR="00DE038C" w:rsidRPr="00684570">
        <w:rPr>
          <w:rFonts w:ascii="Times New Roman" w:hAnsi="Times New Roman" w:cs="Times New Roman"/>
          <w:sz w:val="24"/>
          <w:szCs w:val="24"/>
          <w:lang w:val="tr-TR"/>
        </w:rPr>
        <w:t>Hungary</w:t>
      </w:r>
      <w:r w:rsidR="00244455" w:rsidRPr="00684570">
        <w:rPr>
          <w:rFonts w:ascii="Times New Roman" w:hAnsi="Times New Roman" w:cs="Times New Roman"/>
          <w:sz w:val="24"/>
          <w:szCs w:val="24"/>
          <w:lang w:val="tr-TR"/>
        </w:rPr>
        <w:t xml:space="preserve">, </w:t>
      </w:r>
      <w:r w:rsidR="00DE038C" w:rsidRPr="00684570">
        <w:rPr>
          <w:rFonts w:ascii="Times New Roman" w:hAnsi="Times New Roman" w:cs="Times New Roman"/>
          <w:i/>
          <w:sz w:val="24"/>
          <w:szCs w:val="24"/>
          <w:lang w:val="tr-TR"/>
        </w:rPr>
        <w:t>Journal for Labour and Social Affairs in Eastern Europe</w:t>
      </w:r>
      <w:r w:rsidR="00244455" w:rsidRPr="00684570">
        <w:rPr>
          <w:rFonts w:ascii="Times New Roman" w:hAnsi="Times New Roman" w:cs="Times New Roman"/>
          <w:sz w:val="24"/>
          <w:szCs w:val="24"/>
          <w:lang w:val="tr-TR"/>
        </w:rPr>
        <w:t xml:space="preserve"> ,  18(</w:t>
      </w:r>
      <w:r w:rsidR="00DE038C" w:rsidRPr="00684570">
        <w:rPr>
          <w:rFonts w:ascii="Times New Roman" w:hAnsi="Times New Roman" w:cs="Times New Roman"/>
          <w:sz w:val="24"/>
          <w:szCs w:val="24"/>
          <w:lang w:val="tr-TR"/>
        </w:rPr>
        <w:t>2</w:t>
      </w:r>
      <w:r w:rsidR="00244455" w:rsidRPr="00684570">
        <w:rPr>
          <w:rFonts w:ascii="Times New Roman" w:hAnsi="Times New Roman" w:cs="Times New Roman"/>
          <w:sz w:val="24"/>
          <w:szCs w:val="24"/>
          <w:lang w:val="tr-TR"/>
        </w:rPr>
        <w:t>)</w:t>
      </w:r>
      <w:r w:rsidR="00DE038C" w:rsidRPr="00684570">
        <w:rPr>
          <w:rFonts w:ascii="Times New Roman" w:hAnsi="Times New Roman" w:cs="Times New Roman"/>
          <w:sz w:val="24"/>
          <w:szCs w:val="24"/>
          <w:lang w:val="tr-TR"/>
        </w:rPr>
        <w:t>, Social and economic challenges in</w:t>
      </w:r>
      <w:r w:rsidR="00244455" w:rsidRPr="00684570">
        <w:rPr>
          <w:rFonts w:ascii="Times New Roman" w:hAnsi="Times New Roman" w:cs="Times New Roman"/>
          <w:sz w:val="24"/>
          <w:szCs w:val="24"/>
          <w:lang w:val="tr-TR"/>
        </w:rPr>
        <w:t xml:space="preserve"> the western Balkans,</w:t>
      </w:r>
      <w:r w:rsidR="00DE038C" w:rsidRPr="00684570">
        <w:rPr>
          <w:rFonts w:ascii="Times New Roman" w:hAnsi="Times New Roman" w:cs="Times New Roman"/>
          <w:sz w:val="24"/>
          <w:szCs w:val="24"/>
          <w:lang w:val="tr-TR"/>
        </w:rPr>
        <w:t xml:space="preserve"> 149-173</w:t>
      </w:r>
    </w:p>
    <w:p w14:paraId="56840A2F" w14:textId="64900260" w:rsidR="00465822" w:rsidRPr="00684570" w:rsidRDefault="00244455" w:rsidP="00684570">
      <w:pPr>
        <w:autoSpaceDE w:val="0"/>
        <w:autoSpaceDN w:val="0"/>
        <w:adjustRightInd w:val="0"/>
        <w:spacing w:after="120" w:line="240" w:lineRule="auto"/>
        <w:ind w:left="284" w:hanging="284"/>
        <w:jc w:val="both"/>
        <w:rPr>
          <w:rFonts w:ascii="Times New Roman" w:hAnsi="Times New Roman" w:cs="Times New Roman"/>
          <w:sz w:val="24"/>
          <w:szCs w:val="24"/>
          <w:lang w:val="tr-TR"/>
        </w:rPr>
      </w:pPr>
      <w:r w:rsidRPr="00684570">
        <w:rPr>
          <w:rFonts w:ascii="Times New Roman" w:hAnsi="Times New Roman" w:cs="Times New Roman"/>
          <w:sz w:val="24"/>
          <w:szCs w:val="24"/>
          <w:lang w:val="tr-TR"/>
        </w:rPr>
        <w:t xml:space="preserve">MILADINOV, </w:t>
      </w:r>
      <w:r w:rsidR="006C5DEF" w:rsidRPr="00684570">
        <w:rPr>
          <w:rFonts w:ascii="Times New Roman" w:hAnsi="Times New Roman" w:cs="Times New Roman"/>
          <w:sz w:val="24"/>
          <w:szCs w:val="24"/>
          <w:lang w:val="tr-TR"/>
        </w:rPr>
        <w:t>G.</w:t>
      </w:r>
      <w:r w:rsidRPr="00684570">
        <w:rPr>
          <w:rFonts w:ascii="Times New Roman" w:hAnsi="Times New Roman" w:cs="Times New Roman"/>
          <w:sz w:val="24"/>
          <w:szCs w:val="24"/>
          <w:lang w:val="tr-TR"/>
        </w:rPr>
        <w:t>,</w:t>
      </w:r>
      <w:r w:rsidR="00AD0E33" w:rsidRPr="00684570">
        <w:rPr>
          <w:rFonts w:ascii="Times New Roman" w:hAnsi="Times New Roman" w:cs="Times New Roman"/>
          <w:sz w:val="24"/>
          <w:szCs w:val="24"/>
          <w:lang w:val="tr-TR"/>
        </w:rPr>
        <w:t xml:space="preserve"> </w:t>
      </w:r>
      <w:r w:rsidRPr="00684570">
        <w:rPr>
          <w:rFonts w:ascii="Times New Roman" w:hAnsi="Times New Roman" w:cs="Times New Roman"/>
          <w:sz w:val="24"/>
          <w:szCs w:val="24"/>
          <w:lang w:val="tr-TR"/>
        </w:rPr>
        <w:t>(2020),</w:t>
      </w:r>
      <w:r w:rsidR="00A3349D" w:rsidRPr="00684570">
        <w:rPr>
          <w:rFonts w:ascii="Times New Roman" w:hAnsi="Times New Roman" w:cs="Times New Roman"/>
          <w:sz w:val="24"/>
          <w:szCs w:val="24"/>
          <w:lang w:val="tr-TR"/>
        </w:rPr>
        <w:t xml:space="preserve"> </w:t>
      </w:r>
      <w:r w:rsidR="006C5DEF" w:rsidRPr="00684570">
        <w:rPr>
          <w:rFonts w:ascii="Times New Roman" w:hAnsi="Times New Roman" w:cs="Times New Roman"/>
          <w:sz w:val="24"/>
          <w:szCs w:val="24"/>
          <w:lang w:val="tr-TR"/>
        </w:rPr>
        <w:t xml:space="preserve">Socioeconomic </w:t>
      </w:r>
      <w:r w:rsidRPr="00684570">
        <w:rPr>
          <w:rFonts w:ascii="Times New Roman" w:hAnsi="Times New Roman" w:cs="Times New Roman"/>
          <w:sz w:val="24"/>
          <w:szCs w:val="24"/>
          <w:lang w:val="tr-TR"/>
        </w:rPr>
        <w:t xml:space="preserve">Development and Life Expectancy Relationship: Evidence from the </w:t>
      </w:r>
      <w:r w:rsidR="006C5DEF" w:rsidRPr="00684570">
        <w:rPr>
          <w:rFonts w:ascii="Times New Roman" w:hAnsi="Times New Roman" w:cs="Times New Roman"/>
          <w:sz w:val="24"/>
          <w:szCs w:val="24"/>
          <w:lang w:val="tr-TR"/>
        </w:rPr>
        <w:t xml:space="preserve">EU </w:t>
      </w:r>
      <w:r w:rsidRPr="00684570">
        <w:rPr>
          <w:rFonts w:ascii="Times New Roman" w:hAnsi="Times New Roman" w:cs="Times New Roman"/>
          <w:sz w:val="24"/>
          <w:szCs w:val="24"/>
          <w:lang w:val="tr-TR"/>
        </w:rPr>
        <w:t xml:space="preserve">Accession Candidate Countries, </w:t>
      </w:r>
      <w:r w:rsidRPr="00684570">
        <w:rPr>
          <w:rFonts w:ascii="Times New Roman" w:hAnsi="Times New Roman" w:cs="Times New Roman"/>
          <w:i/>
          <w:sz w:val="24"/>
          <w:szCs w:val="24"/>
          <w:lang w:val="tr-TR"/>
        </w:rPr>
        <w:t>Genus</w:t>
      </w:r>
      <w:r w:rsidRPr="00684570">
        <w:rPr>
          <w:rFonts w:ascii="Times New Roman" w:hAnsi="Times New Roman" w:cs="Times New Roman"/>
          <w:sz w:val="24"/>
          <w:szCs w:val="24"/>
          <w:lang w:val="tr-TR"/>
        </w:rPr>
        <w:t>, 76(</w:t>
      </w:r>
      <w:r w:rsidR="006C5DEF" w:rsidRPr="00684570">
        <w:rPr>
          <w:rFonts w:ascii="Times New Roman" w:hAnsi="Times New Roman" w:cs="Times New Roman"/>
          <w:sz w:val="24"/>
          <w:szCs w:val="24"/>
          <w:lang w:val="tr-TR"/>
        </w:rPr>
        <w:t>2</w:t>
      </w:r>
      <w:r w:rsidRPr="00684570">
        <w:rPr>
          <w:rFonts w:ascii="Times New Roman" w:hAnsi="Times New Roman" w:cs="Times New Roman"/>
          <w:sz w:val="24"/>
          <w:szCs w:val="24"/>
          <w:lang w:val="tr-TR"/>
        </w:rPr>
        <w:t>),</w:t>
      </w:r>
      <w:r w:rsidR="006C5DEF" w:rsidRPr="00684570">
        <w:rPr>
          <w:rFonts w:ascii="Times New Roman" w:hAnsi="Times New Roman" w:cs="Times New Roman"/>
          <w:sz w:val="24"/>
          <w:szCs w:val="24"/>
          <w:lang w:val="tr-TR"/>
        </w:rPr>
        <w:t xml:space="preserve"> https://doi.or</w:t>
      </w:r>
      <w:r w:rsidR="007E0B94" w:rsidRPr="00684570">
        <w:rPr>
          <w:rFonts w:ascii="Times New Roman" w:hAnsi="Times New Roman" w:cs="Times New Roman"/>
          <w:sz w:val="24"/>
          <w:szCs w:val="24"/>
          <w:lang w:val="tr-TR"/>
        </w:rPr>
        <w:t>g/10.1186/s41118-019-0071-0</w:t>
      </w:r>
    </w:p>
    <w:p w14:paraId="10EC68D3" w14:textId="75B62006" w:rsidR="009A4639" w:rsidRPr="00684570" w:rsidRDefault="00472393" w:rsidP="00684570">
      <w:pPr>
        <w:autoSpaceDE w:val="0"/>
        <w:autoSpaceDN w:val="0"/>
        <w:adjustRightInd w:val="0"/>
        <w:spacing w:after="120" w:line="240" w:lineRule="auto"/>
        <w:ind w:left="284" w:hanging="284"/>
        <w:jc w:val="both"/>
        <w:rPr>
          <w:rFonts w:ascii="Times New Roman" w:hAnsi="Times New Roman" w:cs="Times New Roman"/>
          <w:sz w:val="24"/>
          <w:szCs w:val="24"/>
          <w:lang w:val="tr-TR"/>
        </w:rPr>
      </w:pPr>
      <w:r w:rsidRPr="00684570">
        <w:rPr>
          <w:rFonts w:ascii="Times New Roman" w:hAnsi="Times New Roman" w:cs="Times New Roman"/>
          <w:sz w:val="24"/>
          <w:szCs w:val="24"/>
          <w:lang w:val="tr-TR"/>
        </w:rPr>
        <w:t>MIROWSKY, J. and ROSS, C. E., (2003),</w:t>
      </w:r>
      <w:r w:rsidR="00465822" w:rsidRPr="00684570">
        <w:rPr>
          <w:rFonts w:ascii="Times New Roman" w:hAnsi="Times New Roman" w:cs="Times New Roman"/>
          <w:sz w:val="24"/>
          <w:szCs w:val="24"/>
          <w:lang w:val="tr-TR"/>
        </w:rPr>
        <w:t xml:space="preserve"> </w:t>
      </w:r>
      <w:r w:rsidR="00465822" w:rsidRPr="00684570">
        <w:rPr>
          <w:rFonts w:ascii="Times New Roman" w:hAnsi="Times New Roman" w:cs="Times New Roman"/>
          <w:i/>
          <w:sz w:val="24"/>
          <w:szCs w:val="24"/>
          <w:lang w:val="tr-TR"/>
        </w:rPr>
        <w:t xml:space="preserve">Social </w:t>
      </w:r>
      <w:r w:rsidRPr="00684570">
        <w:rPr>
          <w:rFonts w:ascii="Times New Roman" w:hAnsi="Times New Roman" w:cs="Times New Roman"/>
          <w:i/>
          <w:sz w:val="24"/>
          <w:szCs w:val="24"/>
          <w:lang w:val="tr-TR"/>
        </w:rPr>
        <w:t xml:space="preserve">Institutions and Social Change: </w:t>
      </w:r>
      <w:r w:rsidR="00465822" w:rsidRPr="00684570">
        <w:rPr>
          <w:rFonts w:ascii="Times New Roman" w:hAnsi="Times New Roman" w:cs="Times New Roman"/>
          <w:i/>
          <w:sz w:val="24"/>
          <w:szCs w:val="24"/>
          <w:lang w:val="tr-TR"/>
        </w:rPr>
        <w:t>Education</w:t>
      </w:r>
      <w:r w:rsidRPr="00684570">
        <w:rPr>
          <w:rFonts w:ascii="Times New Roman" w:hAnsi="Times New Roman" w:cs="Times New Roman"/>
          <w:i/>
          <w:sz w:val="24"/>
          <w:szCs w:val="24"/>
          <w:lang w:val="tr-TR"/>
        </w:rPr>
        <w:t>, Social Status, And Health.</w:t>
      </w:r>
      <w:r w:rsidRPr="00684570">
        <w:rPr>
          <w:rFonts w:ascii="Times New Roman" w:hAnsi="Times New Roman" w:cs="Times New Roman"/>
          <w:sz w:val="24"/>
          <w:szCs w:val="24"/>
          <w:lang w:val="tr-TR"/>
        </w:rPr>
        <w:t xml:space="preserve"> </w:t>
      </w:r>
      <w:r w:rsidR="00465822" w:rsidRPr="00684570">
        <w:rPr>
          <w:rFonts w:ascii="Times New Roman" w:hAnsi="Times New Roman" w:cs="Times New Roman"/>
          <w:sz w:val="24"/>
          <w:szCs w:val="24"/>
          <w:lang w:val="tr-TR"/>
        </w:rPr>
        <w:t>Aldine de Gruyter.</w:t>
      </w:r>
    </w:p>
    <w:p w14:paraId="318F431A" w14:textId="65734D9A" w:rsidR="00EC0C30" w:rsidRPr="00684570" w:rsidRDefault="00472393" w:rsidP="00684570">
      <w:pPr>
        <w:autoSpaceDE w:val="0"/>
        <w:autoSpaceDN w:val="0"/>
        <w:adjustRightInd w:val="0"/>
        <w:spacing w:after="120" w:line="240" w:lineRule="auto"/>
        <w:ind w:left="284" w:hanging="284"/>
        <w:jc w:val="both"/>
        <w:rPr>
          <w:rFonts w:ascii="Times New Roman" w:hAnsi="Times New Roman" w:cs="Times New Roman"/>
          <w:sz w:val="24"/>
          <w:szCs w:val="24"/>
          <w:lang w:val="tr-TR"/>
        </w:rPr>
      </w:pPr>
      <w:r w:rsidRPr="00684570">
        <w:rPr>
          <w:rFonts w:ascii="Times New Roman" w:hAnsi="Times New Roman" w:cs="Times New Roman"/>
          <w:sz w:val="24"/>
          <w:szCs w:val="24"/>
          <w:lang w:val="tr-TR"/>
        </w:rPr>
        <w:lastRenderedPageBreak/>
        <w:t>MERCAN, M., (2014),</w:t>
      </w:r>
      <w:r w:rsidR="00EC0C30" w:rsidRPr="00684570">
        <w:rPr>
          <w:rFonts w:ascii="Times New Roman" w:hAnsi="Times New Roman" w:cs="Times New Roman"/>
          <w:sz w:val="24"/>
          <w:szCs w:val="24"/>
          <w:lang w:val="tr-TR"/>
        </w:rPr>
        <w:t xml:space="preserve"> Feldstein-Horioka Hipotezinin AB-15 ve Türkiye Ekonomisi için Sınanması: Yatay Kesit Bağımlılığı Altında Yapısal Kırılmalı Dinamik Panel Veri Analizi, </w:t>
      </w:r>
      <w:r w:rsidR="00EC0C30" w:rsidRPr="00684570">
        <w:rPr>
          <w:rFonts w:ascii="Times New Roman" w:hAnsi="Times New Roman" w:cs="Times New Roman"/>
          <w:i/>
          <w:sz w:val="24"/>
          <w:szCs w:val="24"/>
          <w:lang w:val="tr-TR"/>
        </w:rPr>
        <w:t>Ege Akademik Bakış</w:t>
      </w:r>
      <w:r w:rsidR="007E0B94" w:rsidRPr="00684570">
        <w:rPr>
          <w:rFonts w:ascii="Times New Roman" w:hAnsi="Times New Roman" w:cs="Times New Roman"/>
          <w:sz w:val="24"/>
          <w:szCs w:val="24"/>
          <w:lang w:val="tr-TR"/>
        </w:rPr>
        <w:t>, 14(2), 231-245.</w:t>
      </w:r>
    </w:p>
    <w:p w14:paraId="2EAE6D33" w14:textId="43FA9973" w:rsidR="00E959E8" w:rsidRPr="00684570" w:rsidRDefault="00472393"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MENYAH, K., NAZLIOĞLU, Ş. and WOLDE-RUFAEL, Y., </w:t>
      </w:r>
      <w:r w:rsidR="00EC0C30" w:rsidRPr="00684570">
        <w:rPr>
          <w:rFonts w:ascii="Times New Roman" w:hAnsi="Times New Roman" w:cs="Times New Roman"/>
          <w:sz w:val="24"/>
          <w:szCs w:val="24"/>
          <w:lang w:val="en-US"/>
        </w:rPr>
        <w:t xml:space="preserve">(2014), Financial Development, Trade Openness and Economic Growth in African Countries: New Insights from a Panel Causality Approach, </w:t>
      </w:r>
      <w:r w:rsidR="00EC0C30" w:rsidRPr="00684570">
        <w:rPr>
          <w:rFonts w:ascii="Times New Roman" w:hAnsi="Times New Roman" w:cs="Times New Roman"/>
          <w:i/>
          <w:sz w:val="24"/>
          <w:szCs w:val="24"/>
          <w:lang w:val="en-US"/>
        </w:rPr>
        <w:t>E</w:t>
      </w:r>
      <w:r w:rsidR="007E0B94" w:rsidRPr="00684570">
        <w:rPr>
          <w:rFonts w:ascii="Times New Roman" w:hAnsi="Times New Roman" w:cs="Times New Roman"/>
          <w:i/>
          <w:sz w:val="24"/>
          <w:szCs w:val="24"/>
          <w:lang w:val="en-US"/>
        </w:rPr>
        <w:t>conomic Modelling</w:t>
      </w:r>
      <w:r w:rsidR="007E0B94" w:rsidRPr="00684570">
        <w:rPr>
          <w:rFonts w:ascii="Times New Roman" w:hAnsi="Times New Roman" w:cs="Times New Roman"/>
          <w:sz w:val="24"/>
          <w:szCs w:val="24"/>
          <w:lang w:val="en-US"/>
        </w:rPr>
        <w:t>, 37, 386-394.</w:t>
      </w:r>
    </w:p>
    <w:p w14:paraId="50B43BC0" w14:textId="3F1E616B" w:rsidR="00443804" w:rsidRPr="00684570" w:rsidRDefault="00472393"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MONTEZ, J. K., HAYWARD, M. D., BROWN, D. C. and HUMMER, R. </w:t>
      </w:r>
      <w:r w:rsidR="00E959E8" w:rsidRPr="00684570">
        <w:rPr>
          <w:rFonts w:ascii="Times New Roman" w:hAnsi="Times New Roman" w:cs="Times New Roman"/>
          <w:sz w:val="24"/>
          <w:szCs w:val="24"/>
          <w:lang w:val="en-US"/>
        </w:rPr>
        <w:t>A.</w:t>
      </w:r>
      <w:r w:rsidRPr="00684570">
        <w:rPr>
          <w:rFonts w:ascii="Times New Roman" w:hAnsi="Times New Roman" w:cs="Times New Roman"/>
          <w:sz w:val="24"/>
          <w:szCs w:val="24"/>
          <w:lang w:val="en-US"/>
        </w:rPr>
        <w:t>, (2009), Why is the Educational Gradient of Mortality Steeper for Men?</w:t>
      </w:r>
      <w:r w:rsidR="00E959E8" w:rsidRPr="00684570">
        <w:rPr>
          <w:rFonts w:ascii="Times New Roman" w:hAnsi="Times New Roman" w:cs="Times New Roman"/>
          <w:sz w:val="24"/>
          <w:szCs w:val="24"/>
          <w:lang w:val="en-US"/>
        </w:rPr>
        <w:t xml:space="preserve"> </w:t>
      </w:r>
      <w:r w:rsidR="00E959E8" w:rsidRPr="00684570">
        <w:rPr>
          <w:rFonts w:ascii="Times New Roman" w:hAnsi="Times New Roman" w:cs="Times New Roman"/>
          <w:i/>
          <w:sz w:val="24"/>
          <w:szCs w:val="24"/>
          <w:lang w:val="en-US"/>
        </w:rPr>
        <w:t xml:space="preserve">The Journals of Gerontology, Series B: Psychological Sciences </w:t>
      </w:r>
      <w:r w:rsidR="00687550" w:rsidRPr="00684570">
        <w:rPr>
          <w:rFonts w:ascii="Times New Roman" w:hAnsi="Times New Roman" w:cs="Times New Roman"/>
          <w:i/>
          <w:sz w:val="24"/>
          <w:szCs w:val="24"/>
          <w:lang w:val="en-US"/>
        </w:rPr>
        <w:t>and</w:t>
      </w:r>
      <w:r w:rsidR="00E959E8" w:rsidRPr="00684570">
        <w:rPr>
          <w:rFonts w:ascii="Times New Roman" w:hAnsi="Times New Roman" w:cs="Times New Roman"/>
          <w:i/>
          <w:sz w:val="24"/>
          <w:szCs w:val="24"/>
          <w:lang w:val="en-US"/>
        </w:rPr>
        <w:t xml:space="preserve"> Social Sciences</w:t>
      </w:r>
      <w:r w:rsidR="00E959E8" w:rsidRPr="00684570">
        <w:rPr>
          <w:rFonts w:ascii="Times New Roman" w:hAnsi="Times New Roman" w:cs="Times New Roman"/>
          <w:sz w:val="24"/>
          <w:szCs w:val="24"/>
          <w:lang w:val="en-US"/>
        </w:rPr>
        <w:t>, 64, 625</w:t>
      </w:r>
      <w:r w:rsidR="007E0B94" w:rsidRPr="00684570">
        <w:rPr>
          <w:rFonts w:ascii="Times New Roman" w:hAnsi="Times New Roman" w:cs="Times New Roman"/>
          <w:sz w:val="24"/>
          <w:szCs w:val="24"/>
          <w:lang w:val="en-US"/>
        </w:rPr>
        <w:t>-634. doi:10.1093/geronb/gbp013</w:t>
      </w:r>
    </w:p>
    <w:p w14:paraId="5381965C" w14:textId="63F51B83" w:rsidR="00C02A23" w:rsidRPr="00684570" w:rsidRDefault="00472393"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NIXON, J. and ULMAN, P., </w:t>
      </w:r>
      <w:r w:rsidR="0017345C" w:rsidRPr="00684570">
        <w:rPr>
          <w:rFonts w:ascii="Times New Roman" w:hAnsi="Times New Roman" w:cs="Times New Roman"/>
          <w:sz w:val="24"/>
          <w:szCs w:val="24"/>
          <w:lang w:val="en-US"/>
        </w:rPr>
        <w:t>(2006)</w:t>
      </w:r>
      <w:r w:rsidRPr="00684570">
        <w:rPr>
          <w:rFonts w:ascii="Times New Roman" w:hAnsi="Times New Roman" w:cs="Times New Roman"/>
          <w:sz w:val="24"/>
          <w:szCs w:val="24"/>
          <w:lang w:val="en-US"/>
        </w:rPr>
        <w:t>,</w:t>
      </w:r>
      <w:r w:rsidR="0017345C" w:rsidRPr="00684570">
        <w:rPr>
          <w:rFonts w:ascii="Times New Roman" w:hAnsi="Times New Roman" w:cs="Times New Roman"/>
          <w:sz w:val="24"/>
          <w:szCs w:val="24"/>
          <w:lang w:val="en-US"/>
        </w:rPr>
        <w:t xml:space="preserve"> </w:t>
      </w:r>
      <w:r w:rsidR="00443804" w:rsidRPr="00684570">
        <w:rPr>
          <w:rFonts w:ascii="Times New Roman" w:hAnsi="Times New Roman" w:cs="Times New Roman"/>
          <w:sz w:val="24"/>
          <w:szCs w:val="24"/>
          <w:lang w:val="en-US"/>
        </w:rPr>
        <w:t xml:space="preserve">The Relationship between Health Care </w:t>
      </w:r>
      <w:r w:rsidR="0017345C" w:rsidRPr="00684570">
        <w:rPr>
          <w:rFonts w:ascii="Times New Roman" w:hAnsi="Times New Roman" w:cs="Times New Roman"/>
          <w:sz w:val="24"/>
          <w:szCs w:val="24"/>
          <w:lang w:val="en-US"/>
        </w:rPr>
        <w:t xml:space="preserve">Expenditure and Health Outcomes, </w:t>
      </w:r>
      <w:r w:rsidR="00443804" w:rsidRPr="00684570">
        <w:rPr>
          <w:rFonts w:ascii="Times New Roman" w:hAnsi="Times New Roman" w:cs="Times New Roman"/>
          <w:i/>
          <w:sz w:val="24"/>
          <w:szCs w:val="24"/>
          <w:lang w:val="en-US"/>
        </w:rPr>
        <w:t>The European Journal of Health Ec</w:t>
      </w:r>
      <w:r w:rsidR="0017345C" w:rsidRPr="00684570">
        <w:rPr>
          <w:rFonts w:ascii="Times New Roman" w:hAnsi="Times New Roman" w:cs="Times New Roman"/>
          <w:i/>
          <w:sz w:val="24"/>
          <w:szCs w:val="24"/>
          <w:lang w:val="en-US"/>
        </w:rPr>
        <w:t>onomics</w:t>
      </w:r>
      <w:r w:rsidR="00F52A5B" w:rsidRPr="00684570">
        <w:rPr>
          <w:rFonts w:ascii="Times New Roman" w:hAnsi="Times New Roman" w:cs="Times New Roman"/>
          <w:i/>
          <w:sz w:val="24"/>
          <w:szCs w:val="24"/>
          <w:lang w:val="en-US"/>
        </w:rPr>
        <w:t>,</w:t>
      </w:r>
      <w:r w:rsidR="00F52A5B" w:rsidRPr="00684570">
        <w:rPr>
          <w:rFonts w:ascii="Times New Roman" w:hAnsi="Times New Roman" w:cs="Times New Roman"/>
          <w:sz w:val="24"/>
          <w:szCs w:val="24"/>
          <w:lang w:val="en-US"/>
        </w:rPr>
        <w:t xml:space="preserve"> 7(1),</w:t>
      </w:r>
      <w:r w:rsidR="0017345C" w:rsidRPr="00684570">
        <w:rPr>
          <w:rFonts w:ascii="Times New Roman" w:hAnsi="Times New Roman" w:cs="Times New Roman"/>
          <w:sz w:val="24"/>
          <w:szCs w:val="24"/>
          <w:lang w:val="en-US"/>
        </w:rPr>
        <w:t xml:space="preserve">7-18 </w:t>
      </w:r>
      <w:r w:rsidR="00443804" w:rsidRPr="00684570">
        <w:rPr>
          <w:rFonts w:ascii="Times New Roman" w:hAnsi="Times New Roman" w:cs="Times New Roman"/>
          <w:sz w:val="24"/>
          <w:szCs w:val="24"/>
          <w:lang w:val="en-US"/>
        </w:rPr>
        <w:t>DOI: 10.1007/s10198-005-0336-8</w:t>
      </w:r>
    </w:p>
    <w:p w14:paraId="5E8EB146" w14:textId="44BC3B8B" w:rsidR="009A4639" w:rsidRPr="00684570" w:rsidRDefault="00F52A5B" w:rsidP="00684570">
      <w:pPr>
        <w:spacing w:after="120" w:line="240" w:lineRule="auto"/>
        <w:ind w:left="284" w:hanging="284"/>
        <w:jc w:val="both"/>
        <w:rPr>
          <w:rFonts w:ascii="Times New Roman" w:hAnsi="Times New Roman" w:cs="Times New Roman"/>
          <w:sz w:val="24"/>
          <w:szCs w:val="24"/>
          <w:shd w:val="clear" w:color="auto" w:fill="FFFFFF"/>
          <w:lang w:val="en-US"/>
        </w:rPr>
      </w:pPr>
      <w:r w:rsidRPr="00684570">
        <w:rPr>
          <w:rFonts w:ascii="Times New Roman" w:hAnsi="Times New Roman" w:cs="Times New Roman"/>
          <w:sz w:val="24"/>
          <w:szCs w:val="24"/>
          <w:shd w:val="clear" w:color="auto" w:fill="FFFFFF"/>
          <w:lang w:val="en-US"/>
        </w:rPr>
        <w:t xml:space="preserve">NOLTE, E., MCKEE, M. and GILMORE, </w:t>
      </w:r>
      <w:r w:rsidR="00C07E7A" w:rsidRPr="00684570">
        <w:rPr>
          <w:rFonts w:ascii="Times New Roman" w:hAnsi="Times New Roman" w:cs="Times New Roman"/>
          <w:sz w:val="24"/>
          <w:szCs w:val="24"/>
          <w:shd w:val="clear" w:color="auto" w:fill="FFFFFF"/>
          <w:lang w:val="en-US"/>
        </w:rPr>
        <w:t>A.</w:t>
      </w:r>
      <w:r w:rsidRPr="00684570">
        <w:rPr>
          <w:rFonts w:ascii="Times New Roman" w:hAnsi="Times New Roman" w:cs="Times New Roman"/>
          <w:sz w:val="24"/>
          <w:szCs w:val="24"/>
          <w:shd w:val="clear" w:color="auto" w:fill="FFFFFF"/>
          <w:lang w:val="en-US"/>
        </w:rPr>
        <w:t>, (2005),</w:t>
      </w:r>
      <w:r w:rsidR="00C07E7A" w:rsidRPr="00684570">
        <w:rPr>
          <w:rFonts w:ascii="Times New Roman" w:hAnsi="Times New Roman" w:cs="Times New Roman"/>
          <w:sz w:val="24"/>
          <w:szCs w:val="24"/>
          <w:shd w:val="clear" w:color="auto" w:fill="FFFFFF"/>
          <w:lang w:val="en-US"/>
        </w:rPr>
        <w:t xml:space="preserve"> Morbidity and </w:t>
      </w:r>
      <w:r w:rsidRPr="00684570">
        <w:rPr>
          <w:rFonts w:ascii="Times New Roman" w:hAnsi="Times New Roman" w:cs="Times New Roman"/>
          <w:sz w:val="24"/>
          <w:szCs w:val="24"/>
          <w:shd w:val="clear" w:color="auto" w:fill="FFFFFF"/>
          <w:lang w:val="en-US"/>
        </w:rPr>
        <w:t xml:space="preserve">Mortality in Transition Countries of </w:t>
      </w:r>
      <w:r w:rsidR="00C07E7A" w:rsidRPr="00684570">
        <w:rPr>
          <w:rFonts w:ascii="Times New Roman" w:hAnsi="Times New Roman" w:cs="Times New Roman"/>
          <w:sz w:val="24"/>
          <w:szCs w:val="24"/>
          <w:shd w:val="clear" w:color="auto" w:fill="FFFFFF"/>
          <w:lang w:val="en-US"/>
        </w:rPr>
        <w:t xml:space="preserve">Europe. In M. Macura, AL. MacDonald, </w:t>
      </w:r>
      <w:r w:rsidR="00687550" w:rsidRPr="00684570">
        <w:rPr>
          <w:rFonts w:ascii="Times New Roman" w:hAnsi="Times New Roman" w:cs="Times New Roman"/>
          <w:sz w:val="24"/>
          <w:szCs w:val="24"/>
          <w:shd w:val="clear" w:color="auto" w:fill="FFFFFF"/>
          <w:lang w:val="en-US"/>
        </w:rPr>
        <w:t>and</w:t>
      </w:r>
      <w:r w:rsidR="00C07E7A" w:rsidRPr="00684570">
        <w:rPr>
          <w:rFonts w:ascii="Times New Roman" w:hAnsi="Times New Roman" w:cs="Times New Roman"/>
          <w:sz w:val="24"/>
          <w:szCs w:val="24"/>
          <w:shd w:val="clear" w:color="auto" w:fill="FFFFFF"/>
          <w:lang w:val="en-US"/>
        </w:rPr>
        <w:t xml:space="preserve"> W. Haug (Eds.), </w:t>
      </w:r>
      <w:r w:rsidR="00C07E7A" w:rsidRPr="00684570">
        <w:rPr>
          <w:rStyle w:val="ad"/>
          <w:rFonts w:ascii="Times New Roman" w:hAnsi="Times New Roman" w:cs="Times New Roman"/>
          <w:sz w:val="24"/>
          <w:szCs w:val="24"/>
          <w:shd w:val="clear" w:color="auto" w:fill="FFFFFF"/>
          <w:lang w:val="en-US"/>
        </w:rPr>
        <w:t>The New Demographic Regime: Population Challenges and Policy Responses. </w:t>
      </w:r>
      <w:r w:rsidR="00C07E7A" w:rsidRPr="00684570">
        <w:rPr>
          <w:rFonts w:ascii="Times New Roman" w:hAnsi="Times New Roman" w:cs="Times New Roman"/>
          <w:sz w:val="24"/>
          <w:szCs w:val="24"/>
          <w:shd w:val="clear" w:color="auto" w:fill="FFFFFF"/>
          <w:lang w:val="en-US"/>
        </w:rPr>
        <w:t>United Nations.</w:t>
      </w:r>
    </w:p>
    <w:p w14:paraId="250A9832" w14:textId="57B576E1" w:rsidR="00F64BE1" w:rsidRPr="00684570" w:rsidRDefault="00F52A5B"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OKSUZYAN A., JUEL K., VAUPEL J.W. and CHRISTENSEN, K., (2008),</w:t>
      </w:r>
      <w:r w:rsidR="00EC0C30" w:rsidRPr="00684570">
        <w:rPr>
          <w:rFonts w:ascii="Times New Roman" w:hAnsi="Times New Roman" w:cs="Times New Roman"/>
          <w:sz w:val="24"/>
          <w:szCs w:val="24"/>
          <w:lang w:val="en-US"/>
        </w:rPr>
        <w:t xml:space="preserve"> Men: </w:t>
      </w:r>
      <w:r w:rsidRPr="00684570">
        <w:rPr>
          <w:rFonts w:ascii="Times New Roman" w:hAnsi="Times New Roman" w:cs="Times New Roman"/>
          <w:sz w:val="24"/>
          <w:szCs w:val="24"/>
          <w:lang w:val="en-US"/>
        </w:rPr>
        <w:t xml:space="preserve">Good Health and High Mortality. </w:t>
      </w:r>
      <w:r w:rsidR="00EC0C30" w:rsidRPr="00684570">
        <w:rPr>
          <w:rFonts w:ascii="Times New Roman" w:hAnsi="Times New Roman" w:cs="Times New Roman"/>
          <w:sz w:val="24"/>
          <w:szCs w:val="24"/>
          <w:lang w:val="en-US"/>
        </w:rPr>
        <w:t xml:space="preserve">Sex </w:t>
      </w:r>
      <w:r w:rsidRPr="00684570">
        <w:rPr>
          <w:rFonts w:ascii="Times New Roman" w:hAnsi="Times New Roman" w:cs="Times New Roman"/>
          <w:sz w:val="24"/>
          <w:szCs w:val="24"/>
          <w:lang w:val="en-US"/>
        </w:rPr>
        <w:t>Differences in Health and Aging</w:t>
      </w:r>
      <w:r w:rsidR="00EC0C30" w:rsidRPr="00684570">
        <w:rPr>
          <w:rFonts w:ascii="Times New Roman" w:hAnsi="Times New Roman" w:cs="Times New Roman"/>
          <w:sz w:val="24"/>
          <w:szCs w:val="24"/>
          <w:lang w:val="en-US"/>
        </w:rPr>
        <w:t xml:space="preserve">. </w:t>
      </w:r>
      <w:r w:rsidRPr="00684570">
        <w:rPr>
          <w:rFonts w:ascii="Times New Roman" w:hAnsi="Times New Roman" w:cs="Times New Roman"/>
          <w:i/>
          <w:sz w:val="24"/>
          <w:szCs w:val="24"/>
          <w:lang w:val="en-US"/>
        </w:rPr>
        <w:t>Aging Clinical and Experimental Research,</w:t>
      </w:r>
      <w:r w:rsidRPr="00684570">
        <w:rPr>
          <w:rFonts w:ascii="Times New Roman" w:hAnsi="Times New Roman" w:cs="Times New Roman"/>
          <w:sz w:val="24"/>
          <w:szCs w:val="24"/>
          <w:lang w:val="en-US"/>
        </w:rPr>
        <w:t xml:space="preserve"> 20, </w:t>
      </w:r>
      <w:r w:rsidR="00EC0C30" w:rsidRPr="00684570">
        <w:rPr>
          <w:rFonts w:ascii="Times New Roman" w:hAnsi="Times New Roman" w:cs="Times New Roman"/>
          <w:sz w:val="24"/>
          <w:szCs w:val="24"/>
          <w:lang w:val="en-US"/>
        </w:rPr>
        <w:t>91–102</w:t>
      </w:r>
      <w:r w:rsidR="000A6C00" w:rsidRPr="00684570">
        <w:rPr>
          <w:rFonts w:ascii="Times New Roman" w:hAnsi="Times New Roman" w:cs="Times New Roman"/>
          <w:sz w:val="24"/>
          <w:szCs w:val="24"/>
          <w:lang w:val="en-US"/>
        </w:rPr>
        <w:t>.</w:t>
      </w:r>
    </w:p>
    <w:p w14:paraId="62E32B25" w14:textId="218861AF" w:rsidR="00AC119F" w:rsidRPr="00684570" w:rsidRDefault="00F52A5B" w:rsidP="00684570">
      <w:pPr>
        <w:tabs>
          <w:tab w:val="left" w:pos="960"/>
        </w:tabs>
        <w:spacing w:after="120" w:line="240" w:lineRule="auto"/>
        <w:ind w:left="284" w:hanging="284"/>
        <w:jc w:val="both"/>
        <w:rPr>
          <w:rFonts w:ascii="Times New Roman" w:hAnsi="Times New Roman" w:cs="Times New Roman"/>
          <w:sz w:val="24"/>
          <w:szCs w:val="24"/>
          <w:lang w:val="tr-TR"/>
        </w:rPr>
      </w:pPr>
      <w:r w:rsidRPr="00684570">
        <w:rPr>
          <w:rFonts w:ascii="Times New Roman" w:hAnsi="Times New Roman" w:cs="Times New Roman"/>
          <w:sz w:val="24"/>
          <w:szCs w:val="24"/>
          <w:lang w:val="tr-TR"/>
        </w:rPr>
        <w:t>OLIMPIA, N., (2013),</w:t>
      </w:r>
      <w:r w:rsidR="00AC119F" w:rsidRPr="00684570">
        <w:rPr>
          <w:rFonts w:ascii="Times New Roman" w:hAnsi="Times New Roman" w:cs="Times New Roman"/>
          <w:sz w:val="24"/>
          <w:szCs w:val="24"/>
          <w:lang w:val="tr-TR"/>
        </w:rPr>
        <w:t xml:space="preserve"> Human </w:t>
      </w:r>
      <w:r w:rsidRPr="00684570">
        <w:rPr>
          <w:rFonts w:ascii="Times New Roman" w:hAnsi="Times New Roman" w:cs="Times New Roman"/>
          <w:sz w:val="24"/>
          <w:szCs w:val="24"/>
          <w:lang w:val="tr-TR"/>
        </w:rPr>
        <w:t xml:space="preserve">Capital: Cause and Effect of the Economic Growth. </w:t>
      </w:r>
      <w:r w:rsidR="003D68C1" w:rsidRPr="00684570">
        <w:rPr>
          <w:rFonts w:ascii="Times New Roman" w:hAnsi="Times New Roman" w:cs="Times New Roman"/>
          <w:sz w:val="24"/>
          <w:szCs w:val="24"/>
          <w:lang w:val="tr-TR"/>
        </w:rPr>
        <w:t xml:space="preserve">An </w:t>
      </w:r>
      <w:r w:rsidRPr="00684570">
        <w:rPr>
          <w:rFonts w:ascii="Times New Roman" w:hAnsi="Times New Roman" w:cs="Times New Roman"/>
          <w:sz w:val="24"/>
          <w:szCs w:val="24"/>
          <w:lang w:val="tr-TR"/>
        </w:rPr>
        <w:t xml:space="preserve">Empirical Analysis, </w:t>
      </w:r>
      <w:r w:rsidR="00AC119F" w:rsidRPr="00684570">
        <w:rPr>
          <w:rFonts w:ascii="Times New Roman" w:hAnsi="Times New Roman" w:cs="Times New Roman"/>
          <w:i/>
          <w:sz w:val="24"/>
          <w:szCs w:val="24"/>
          <w:lang w:val="tr-TR"/>
        </w:rPr>
        <w:t>Annals of Faculty of</w:t>
      </w:r>
      <w:r w:rsidR="007E0B94" w:rsidRPr="00684570">
        <w:rPr>
          <w:rFonts w:ascii="Times New Roman" w:hAnsi="Times New Roman" w:cs="Times New Roman"/>
          <w:i/>
          <w:sz w:val="24"/>
          <w:szCs w:val="24"/>
          <w:lang w:val="tr-TR"/>
        </w:rPr>
        <w:t xml:space="preserve"> Economics</w:t>
      </w:r>
      <w:r w:rsidR="007E0B94" w:rsidRPr="00684570">
        <w:rPr>
          <w:rFonts w:ascii="Times New Roman" w:hAnsi="Times New Roman" w:cs="Times New Roman"/>
          <w:sz w:val="24"/>
          <w:szCs w:val="24"/>
          <w:lang w:val="tr-TR"/>
        </w:rPr>
        <w:t>, 1(1), 726-735.</w:t>
      </w:r>
    </w:p>
    <w:p w14:paraId="75C66794" w14:textId="715F0C1B" w:rsidR="00F64BE1" w:rsidRPr="00684570" w:rsidRDefault="00F52A5B" w:rsidP="00684570">
      <w:pPr>
        <w:tabs>
          <w:tab w:val="left" w:pos="960"/>
        </w:tabs>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OR</w:t>
      </w:r>
      <w:r w:rsidR="00F64BE1" w:rsidRPr="00684570">
        <w:rPr>
          <w:rFonts w:ascii="Times New Roman" w:hAnsi="Times New Roman" w:cs="Times New Roman"/>
          <w:sz w:val="24"/>
          <w:szCs w:val="24"/>
          <w:lang w:val="en-US"/>
        </w:rPr>
        <w:t>, Z. (2000a), Determinants of Health Outcomes in Industrialised Countries: A Pooled, Cros</w:t>
      </w:r>
      <w:r w:rsidRPr="00684570">
        <w:rPr>
          <w:rFonts w:ascii="Times New Roman" w:hAnsi="Times New Roman" w:cs="Times New Roman"/>
          <w:sz w:val="24"/>
          <w:szCs w:val="24"/>
          <w:lang w:val="en-US"/>
        </w:rPr>
        <w:t>s-country, Time Series Analysis</w:t>
      </w:r>
      <w:r w:rsidR="00F64BE1" w:rsidRPr="00684570">
        <w:rPr>
          <w:rFonts w:ascii="Times New Roman" w:hAnsi="Times New Roman" w:cs="Times New Roman"/>
          <w:sz w:val="24"/>
          <w:szCs w:val="24"/>
          <w:lang w:val="en-US"/>
        </w:rPr>
        <w:t>, OECD Economic Studies, No. 30, 2000/I.</w:t>
      </w:r>
    </w:p>
    <w:p w14:paraId="260EFBED" w14:textId="4CB9194E" w:rsidR="009A4639" w:rsidRPr="00684570" w:rsidRDefault="00F52A5B" w:rsidP="00684570">
      <w:pPr>
        <w:tabs>
          <w:tab w:val="left" w:pos="960"/>
        </w:tabs>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OR, Z. (2000b), </w:t>
      </w:r>
      <w:r w:rsidR="00F64BE1" w:rsidRPr="00684570">
        <w:rPr>
          <w:rFonts w:ascii="Times New Roman" w:hAnsi="Times New Roman" w:cs="Times New Roman"/>
          <w:sz w:val="24"/>
          <w:szCs w:val="24"/>
          <w:lang w:val="en-US"/>
        </w:rPr>
        <w:t xml:space="preserve">Exploring the Effects of Health Care on </w:t>
      </w:r>
      <w:r w:rsidRPr="00684570">
        <w:rPr>
          <w:rFonts w:ascii="Times New Roman" w:hAnsi="Times New Roman" w:cs="Times New Roman"/>
          <w:sz w:val="24"/>
          <w:szCs w:val="24"/>
          <w:lang w:val="en-US"/>
        </w:rPr>
        <w:t>Mortality Across OECD Countries</w:t>
      </w:r>
      <w:r w:rsidR="00F64BE1" w:rsidRPr="00684570">
        <w:rPr>
          <w:rFonts w:ascii="Times New Roman" w:hAnsi="Times New Roman" w:cs="Times New Roman"/>
          <w:sz w:val="24"/>
          <w:szCs w:val="24"/>
          <w:lang w:val="en-US"/>
        </w:rPr>
        <w:t>, OECD Labour Market and Social Policy, Occasional Paper No. 46.</w:t>
      </w:r>
    </w:p>
    <w:p w14:paraId="0B0764E9" w14:textId="70722CBB" w:rsidR="00B04F70" w:rsidRPr="00684570" w:rsidRDefault="00F52A5B"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OWEN, A.L. and WU, S</w:t>
      </w:r>
      <w:r w:rsidR="00B04F70" w:rsidRPr="00684570">
        <w:rPr>
          <w:rFonts w:ascii="Times New Roman" w:hAnsi="Times New Roman" w:cs="Times New Roman"/>
          <w:sz w:val="24"/>
          <w:szCs w:val="24"/>
          <w:lang w:val="en-US"/>
        </w:rPr>
        <w:t>.</w:t>
      </w:r>
      <w:r w:rsidRPr="00684570">
        <w:rPr>
          <w:rFonts w:ascii="Times New Roman" w:hAnsi="Times New Roman" w:cs="Times New Roman"/>
          <w:sz w:val="24"/>
          <w:szCs w:val="24"/>
          <w:lang w:val="en-US"/>
        </w:rPr>
        <w:t>, (2007),</w:t>
      </w:r>
      <w:r w:rsidR="00B04F70" w:rsidRPr="00684570">
        <w:rPr>
          <w:rFonts w:ascii="Times New Roman" w:hAnsi="Times New Roman" w:cs="Times New Roman"/>
          <w:sz w:val="24"/>
          <w:szCs w:val="24"/>
          <w:lang w:val="en-US"/>
        </w:rPr>
        <w:t xml:space="preserve"> Is Trade Good for Your Health? </w:t>
      </w:r>
      <w:r w:rsidR="00B04F70" w:rsidRPr="00684570">
        <w:rPr>
          <w:rFonts w:ascii="Times New Roman" w:hAnsi="Times New Roman" w:cs="Times New Roman"/>
          <w:i/>
          <w:sz w:val="24"/>
          <w:szCs w:val="24"/>
          <w:lang w:val="en-US"/>
        </w:rPr>
        <w:t>Review of International Economics</w:t>
      </w:r>
      <w:r w:rsidR="00B04F70" w:rsidRPr="00684570">
        <w:rPr>
          <w:rFonts w:ascii="Times New Roman" w:hAnsi="Times New Roman" w:cs="Times New Roman"/>
          <w:sz w:val="24"/>
          <w:szCs w:val="24"/>
          <w:lang w:val="en-US"/>
        </w:rPr>
        <w:t xml:space="preserve">, </w:t>
      </w:r>
      <w:r w:rsidRPr="00684570">
        <w:rPr>
          <w:rFonts w:ascii="Times New Roman" w:hAnsi="Times New Roman" w:cs="Times New Roman"/>
          <w:sz w:val="24"/>
          <w:szCs w:val="24"/>
          <w:lang w:val="en-US"/>
        </w:rPr>
        <w:t xml:space="preserve">15(4), </w:t>
      </w:r>
      <w:r w:rsidR="007E0B94" w:rsidRPr="00684570">
        <w:rPr>
          <w:rFonts w:ascii="Times New Roman" w:hAnsi="Times New Roman" w:cs="Times New Roman"/>
          <w:sz w:val="24"/>
          <w:szCs w:val="24"/>
          <w:lang w:val="en-US"/>
        </w:rPr>
        <w:t>660-682</w:t>
      </w:r>
      <w:r w:rsidRPr="00684570">
        <w:rPr>
          <w:rFonts w:ascii="Times New Roman" w:hAnsi="Times New Roman" w:cs="Times New Roman"/>
          <w:sz w:val="24"/>
          <w:szCs w:val="24"/>
          <w:lang w:val="en-US"/>
        </w:rPr>
        <w:t>.</w:t>
      </w:r>
    </w:p>
    <w:p w14:paraId="4AB641E9" w14:textId="241EEE01" w:rsidR="00EC0C30" w:rsidRPr="00684570" w:rsidRDefault="00F52A5B"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PESARAN, M. H., SHIN, Y. and SMITH, R.P., (1997),</w:t>
      </w:r>
      <w:r w:rsidR="00EC0C30" w:rsidRPr="00684570">
        <w:rPr>
          <w:rFonts w:ascii="Times New Roman" w:hAnsi="Times New Roman" w:cs="Times New Roman"/>
          <w:sz w:val="24"/>
          <w:szCs w:val="24"/>
          <w:lang w:val="en-US"/>
        </w:rPr>
        <w:t xml:space="preserve"> Pooled Estimation of Long-Run Relationships in Dynamic Heterogeneous Panels: University of Cambridge, D</w:t>
      </w:r>
      <w:r w:rsidR="007E0B94" w:rsidRPr="00684570">
        <w:rPr>
          <w:rFonts w:ascii="Times New Roman" w:hAnsi="Times New Roman" w:cs="Times New Roman"/>
          <w:sz w:val="24"/>
          <w:szCs w:val="24"/>
          <w:lang w:val="en-US"/>
        </w:rPr>
        <w:t>epartment of Applied Economics.</w:t>
      </w:r>
    </w:p>
    <w:p w14:paraId="48824566" w14:textId="2A9AD113" w:rsidR="00EC0C30" w:rsidRPr="00684570" w:rsidRDefault="00F52A5B"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PESARAN, M. H., SHIN, Y. and SMITH, R.</w:t>
      </w:r>
      <w:r w:rsidR="00EC0C30" w:rsidRPr="00684570">
        <w:rPr>
          <w:rFonts w:ascii="Times New Roman" w:hAnsi="Times New Roman" w:cs="Times New Roman"/>
          <w:sz w:val="24"/>
          <w:szCs w:val="24"/>
          <w:lang w:val="en-US"/>
        </w:rPr>
        <w:t>P.</w:t>
      </w:r>
      <w:r w:rsidRPr="00684570">
        <w:rPr>
          <w:rFonts w:ascii="Times New Roman" w:hAnsi="Times New Roman" w:cs="Times New Roman"/>
          <w:sz w:val="24"/>
          <w:szCs w:val="24"/>
          <w:lang w:val="en-US"/>
        </w:rPr>
        <w:t>, (1999),</w:t>
      </w:r>
      <w:r w:rsidR="00EC0C30" w:rsidRPr="00684570">
        <w:rPr>
          <w:rFonts w:ascii="Times New Roman" w:hAnsi="Times New Roman" w:cs="Times New Roman"/>
          <w:sz w:val="24"/>
          <w:szCs w:val="24"/>
          <w:lang w:val="en-US"/>
        </w:rPr>
        <w:t xml:space="preserve"> Pooled </w:t>
      </w:r>
      <w:r w:rsidRPr="00684570">
        <w:rPr>
          <w:rFonts w:ascii="Times New Roman" w:hAnsi="Times New Roman" w:cs="Times New Roman"/>
          <w:sz w:val="24"/>
          <w:szCs w:val="24"/>
          <w:lang w:val="en-US"/>
        </w:rPr>
        <w:t>Mean Group Estimation of Dynamic Heterogeneous Panels</w:t>
      </w:r>
      <w:r w:rsidR="00EC0C30" w:rsidRPr="00684570">
        <w:rPr>
          <w:rFonts w:ascii="Times New Roman" w:hAnsi="Times New Roman" w:cs="Times New Roman"/>
          <w:sz w:val="24"/>
          <w:szCs w:val="24"/>
          <w:lang w:val="en-US"/>
        </w:rPr>
        <w:t xml:space="preserve">, </w:t>
      </w:r>
      <w:r w:rsidR="00EC0C30" w:rsidRPr="00684570">
        <w:rPr>
          <w:rFonts w:ascii="Times New Roman" w:hAnsi="Times New Roman" w:cs="Times New Roman"/>
          <w:i/>
          <w:sz w:val="24"/>
          <w:szCs w:val="24"/>
          <w:lang w:val="en-US"/>
        </w:rPr>
        <w:t>Journal of the American Statistical Association</w:t>
      </w:r>
      <w:r w:rsidRPr="00684570">
        <w:rPr>
          <w:rFonts w:ascii="Times New Roman" w:hAnsi="Times New Roman" w:cs="Times New Roman"/>
          <w:sz w:val="24"/>
          <w:szCs w:val="24"/>
          <w:lang w:val="en-US"/>
        </w:rPr>
        <w:t>, 94(</w:t>
      </w:r>
      <w:r w:rsidR="007E0B94" w:rsidRPr="00684570">
        <w:rPr>
          <w:rFonts w:ascii="Times New Roman" w:hAnsi="Times New Roman" w:cs="Times New Roman"/>
          <w:sz w:val="24"/>
          <w:szCs w:val="24"/>
          <w:lang w:val="en-US"/>
        </w:rPr>
        <w:t>446</w:t>
      </w:r>
      <w:r w:rsidRPr="00684570">
        <w:rPr>
          <w:rFonts w:ascii="Times New Roman" w:hAnsi="Times New Roman" w:cs="Times New Roman"/>
          <w:sz w:val="24"/>
          <w:szCs w:val="24"/>
          <w:lang w:val="en-US"/>
        </w:rPr>
        <w:t>)</w:t>
      </w:r>
      <w:r w:rsidR="007E0B94" w:rsidRPr="00684570">
        <w:rPr>
          <w:rFonts w:ascii="Times New Roman" w:hAnsi="Times New Roman" w:cs="Times New Roman"/>
          <w:sz w:val="24"/>
          <w:szCs w:val="24"/>
          <w:lang w:val="en-US"/>
        </w:rPr>
        <w:t>, 621-634.</w:t>
      </w:r>
    </w:p>
    <w:p w14:paraId="4B421365" w14:textId="7FA3C390" w:rsidR="009A4639" w:rsidRPr="00684570" w:rsidRDefault="00940282"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PESARAN, H., (2004), </w:t>
      </w:r>
      <w:r w:rsidR="0073525F" w:rsidRPr="00684570">
        <w:rPr>
          <w:rFonts w:ascii="Times New Roman" w:hAnsi="Times New Roman" w:cs="Times New Roman"/>
          <w:sz w:val="24"/>
          <w:szCs w:val="24"/>
          <w:lang w:val="en-US"/>
        </w:rPr>
        <w:t>General Diagnostic Tests for Cross Section Dependence in Panels”, Working Paper, N</w:t>
      </w:r>
      <w:r w:rsidR="007E0B94" w:rsidRPr="00684570">
        <w:rPr>
          <w:rFonts w:ascii="Times New Roman" w:hAnsi="Times New Roman" w:cs="Times New Roman"/>
          <w:sz w:val="24"/>
          <w:szCs w:val="24"/>
          <w:lang w:val="en-US"/>
        </w:rPr>
        <w:t>o: 0435 University of Cambridge</w:t>
      </w:r>
      <w:r w:rsidRPr="00684570">
        <w:rPr>
          <w:rFonts w:ascii="Times New Roman" w:hAnsi="Times New Roman" w:cs="Times New Roman"/>
          <w:sz w:val="24"/>
          <w:szCs w:val="24"/>
          <w:lang w:val="en-US"/>
        </w:rPr>
        <w:t>.</w:t>
      </w:r>
    </w:p>
    <w:p w14:paraId="18332176" w14:textId="76AA99B8" w:rsidR="0073525F" w:rsidRPr="00684570" w:rsidRDefault="00940282"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PESARAN, M. H., (2007), </w:t>
      </w:r>
      <w:r w:rsidR="0073525F" w:rsidRPr="00684570">
        <w:rPr>
          <w:rFonts w:ascii="Times New Roman" w:hAnsi="Times New Roman" w:cs="Times New Roman"/>
          <w:sz w:val="24"/>
          <w:szCs w:val="24"/>
          <w:lang w:val="en-US"/>
        </w:rPr>
        <w:t>A Simple Panel Unit Root Test in the Presence of Cross-section Dependen</w:t>
      </w:r>
      <w:r w:rsidRPr="00684570">
        <w:rPr>
          <w:rFonts w:ascii="Times New Roman" w:hAnsi="Times New Roman" w:cs="Times New Roman"/>
          <w:sz w:val="24"/>
          <w:szCs w:val="24"/>
          <w:lang w:val="en-US"/>
        </w:rPr>
        <w:t>ce,</w:t>
      </w:r>
      <w:r w:rsidR="0073525F" w:rsidRPr="00684570">
        <w:rPr>
          <w:rFonts w:ascii="Times New Roman" w:hAnsi="Times New Roman" w:cs="Times New Roman"/>
          <w:sz w:val="24"/>
          <w:szCs w:val="24"/>
          <w:lang w:val="en-US"/>
        </w:rPr>
        <w:t xml:space="preserve"> </w:t>
      </w:r>
      <w:r w:rsidR="0073525F" w:rsidRPr="00684570">
        <w:rPr>
          <w:rFonts w:ascii="Times New Roman" w:hAnsi="Times New Roman" w:cs="Times New Roman"/>
          <w:i/>
          <w:sz w:val="24"/>
          <w:szCs w:val="24"/>
          <w:lang w:val="en-US"/>
        </w:rPr>
        <w:t>Journal of Applied Econometrics</w:t>
      </w:r>
      <w:r w:rsidRPr="00684570">
        <w:rPr>
          <w:rFonts w:ascii="Times New Roman" w:hAnsi="Times New Roman" w:cs="Times New Roman"/>
          <w:sz w:val="24"/>
          <w:szCs w:val="24"/>
          <w:lang w:val="en-US"/>
        </w:rPr>
        <w:t xml:space="preserve">, 22, </w:t>
      </w:r>
      <w:r w:rsidR="0073525F" w:rsidRPr="00684570">
        <w:rPr>
          <w:rFonts w:ascii="Times New Roman" w:hAnsi="Times New Roman" w:cs="Times New Roman"/>
          <w:sz w:val="24"/>
          <w:szCs w:val="24"/>
          <w:lang w:val="en-US"/>
        </w:rPr>
        <w:t>265–312.</w:t>
      </w:r>
    </w:p>
    <w:p w14:paraId="7AB63DF0" w14:textId="6CC1DEDF" w:rsidR="00172597" w:rsidRPr="00684570" w:rsidRDefault="00940282"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PINKHASOV, R.M., SHTEYNSHLYUGER, A., HAKIMIAN, P., LINDSAY, G.K., SAMADI, D.B. and SHABSIGH,</w:t>
      </w:r>
      <w:r w:rsidR="007E0B94" w:rsidRPr="00684570">
        <w:rPr>
          <w:rFonts w:ascii="Times New Roman" w:hAnsi="Times New Roman" w:cs="Times New Roman"/>
          <w:sz w:val="24"/>
          <w:szCs w:val="24"/>
          <w:lang w:val="en-US"/>
        </w:rPr>
        <w:t xml:space="preserve"> R.</w:t>
      </w:r>
      <w:r w:rsidRPr="00684570">
        <w:rPr>
          <w:rFonts w:ascii="Times New Roman" w:hAnsi="Times New Roman" w:cs="Times New Roman"/>
          <w:sz w:val="24"/>
          <w:szCs w:val="24"/>
          <w:lang w:val="en-US"/>
        </w:rPr>
        <w:t xml:space="preserve">, </w:t>
      </w:r>
      <w:r w:rsidR="00AD0E33" w:rsidRPr="00684570">
        <w:rPr>
          <w:rFonts w:ascii="Times New Roman" w:hAnsi="Times New Roman" w:cs="Times New Roman"/>
          <w:sz w:val="24"/>
          <w:szCs w:val="24"/>
          <w:lang w:val="en-US"/>
        </w:rPr>
        <w:t>(2010),</w:t>
      </w:r>
      <w:r w:rsidR="00EC0C30" w:rsidRPr="00684570">
        <w:rPr>
          <w:rFonts w:ascii="Times New Roman" w:hAnsi="Times New Roman" w:cs="Times New Roman"/>
          <w:sz w:val="24"/>
          <w:szCs w:val="24"/>
          <w:lang w:val="en-US"/>
        </w:rPr>
        <w:t xml:space="preserve"> Are </w:t>
      </w:r>
      <w:r w:rsidRPr="00684570">
        <w:rPr>
          <w:rFonts w:ascii="Times New Roman" w:hAnsi="Times New Roman" w:cs="Times New Roman"/>
          <w:sz w:val="24"/>
          <w:szCs w:val="24"/>
          <w:lang w:val="en-US"/>
        </w:rPr>
        <w:t xml:space="preserve">Men Shortchanged On Health? </w:t>
      </w:r>
      <w:r w:rsidR="00EC0C30" w:rsidRPr="00684570">
        <w:rPr>
          <w:rFonts w:ascii="Times New Roman" w:hAnsi="Times New Roman" w:cs="Times New Roman"/>
          <w:sz w:val="24"/>
          <w:szCs w:val="24"/>
          <w:lang w:val="en-US"/>
        </w:rPr>
        <w:t xml:space="preserve">Perspective </w:t>
      </w:r>
      <w:r w:rsidRPr="00684570">
        <w:rPr>
          <w:rFonts w:ascii="Times New Roman" w:hAnsi="Times New Roman" w:cs="Times New Roman"/>
          <w:sz w:val="24"/>
          <w:szCs w:val="24"/>
          <w:lang w:val="en-US"/>
        </w:rPr>
        <w:t xml:space="preserve">on Life Expectancy, Morbidity, and Mortality in Men and Women in the United States, </w:t>
      </w:r>
      <w:r w:rsidR="00EC0C30" w:rsidRPr="00684570">
        <w:rPr>
          <w:rFonts w:ascii="Times New Roman" w:hAnsi="Times New Roman" w:cs="Times New Roman"/>
          <w:i/>
          <w:sz w:val="24"/>
          <w:szCs w:val="24"/>
          <w:lang w:val="en-US"/>
        </w:rPr>
        <w:t>International Journal of Clinical Practice</w:t>
      </w:r>
      <w:r w:rsidR="00EC0C30" w:rsidRPr="00684570">
        <w:rPr>
          <w:rFonts w:ascii="Times New Roman" w:hAnsi="Times New Roman" w:cs="Times New Roman"/>
          <w:sz w:val="24"/>
          <w:szCs w:val="24"/>
          <w:lang w:val="en-US"/>
        </w:rPr>
        <w:t>, 64, 465–474. doi:10.1111/j.17421241.2009.02289.x</w:t>
      </w:r>
    </w:p>
    <w:p w14:paraId="7CC40490" w14:textId="496A932E" w:rsidR="00AA3EB3" w:rsidRPr="00684570" w:rsidRDefault="00AA3EB3"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QUT Queensland University of Technology (2015). Unclean </w:t>
      </w:r>
      <w:r w:rsidR="00940282" w:rsidRPr="00684570">
        <w:rPr>
          <w:rFonts w:ascii="Times New Roman" w:hAnsi="Times New Roman" w:cs="Times New Roman"/>
          <w:sz w:val="24"/>
          <w:szCs w:val="24"/>
          <w:lang w:val="en-US"/>
        </w:rPr>
        <w:t xml:space="preserve">Water Supply May Contribute to Lower Life Expectancy in Remote </w:t>
      </w:r>
      <w:r w:rsidRPr="00684570">
        <w:rPr>
          <w:rFonts w:ascii="Times New Roman" w:hAnsi="Times New Roman" w:cs="Times New Roman"/>
          <w:sz w:val="24"/>
          <w:szCs w:val="24"/>
          <w:lang w:val="en-US"/>
        </w:rPr>
        <w:t>Australia</w:t>
      </w:r>
      <w:r w:rsidR="00940282" w:rsidRPr="00684570">
        <w:rPr>
          <w:rFonts w:ascii="Times New Roman" w:hAnsi="Times New Roman" w:cs="Times New Roman"/>
          <w:sz w:val="24"/>
          <w:szCs w:val="24"/>
          <w:lang w:val="en-US"/>
        </w:rPr>
        <w:t>,</w:t>
      </w:r>
      <w:r w:rsidRPr="00684570">
        <w:rPr>
          <w:rFonts w:ascii="Times New Roman" w:hAnsi="Times New Roman" w:cs="Times New Roman"/>
          <w:sz w:val="24"/>
          <w:szCs w:val="24"/>
          <w:lang w:val="en-US"/>
        </w:rPr>
        <w:t xml:space="preserve"> retrieved 7 August 2020 from https://phys.org/news/2015-12-unclean-contri</w:t>
      </w:r>
      <w:r w:rsidR="00DD311A" w:rsidRPr="00684570">
        <w:rPr>
          <w:rFonts w:ascii="Times New Roman" w:hAnsi="Times New Roman" w:cs="Times New Roman"/>
          <w:sz w:val="24"/>
          <w:szCs w:val="24"/>
          <w:lang w:val="en-US"/>
        </w:rPr>
        <w:t xml:space="preserve">bute-liferemote-australia.html </w:t>
      </w:r>
    </w:p>
    <w:p w14:paraId="621CEE1E" w14:textId="0AEEBB35" w:rsidR="009A4639" w:rsidRPr="00684570" w:rsidRDefault="00940282" w:rsidP="00684570">
      <w:pPr>
        <w:tabs>
          <w:tab w:val="left" w:pos="960"/>
        </w:tabs>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lastRenderedPageBreak/>
        <w:t>RAHMAN, M.M., KHANAM, R. and RAHMAN, A., (2018),</w:t>
      </w:r>
      <w:r w:rsidR="00657187" w:rsidRPr="00684570">
        <w:rPr>
          <w:rFonts w:ascii="Times New Roman" w:hAnsi="Times New Roman" w:cs="Times New Roman"/>
          <w:sz w:val="24"/>
          <w:szCs w:val="24"/>
          <w:lang w:val="en-US"/>
        </w:rPr>
        <w:t xml:space="preserve"> Health </w:t>
      </w:r>
      <w:r w:rsidRPr="00684570">
        <w:rPr>
          <w:rFonts w:ascii="Times New Roman" w:hAnsi="Times New Roman" w:cs="Times New Roman"/>
          <w:sz w:val="24"/>
          <w:szCs w:val="24"/>
          <w:lang w:val="en-US"/>
        </w:rPr>
        <w:t xml:space="preserve">Care Expenditure and Health Outcome Nexus: New Evidence from the </w:t>
      </w:r>
      <w:r w:rsidR="00657187" w:rsidRPr="00684570">
        <w:rPr>
          <w:rFonts w:ascii="Times New Roman" w:hAnsi="Times New Roman" w:cs="Times New Roman"/>
          <w:sz w:val="24"/>
          <w:szCs w:val="24"/>
          <w:lang w:val="en-US"/>
        </w:rPr>
        <w:t>SAARC</w:t>
      </w:r>
      <w:r w:rsidRPr="00684570">
        <w:rPr>
          <w:rFonts w:ascii="Times New Roman" w:hAnsi="Times New Roman" w:cs="Times New Roman"/>
          <w:sz w:val="24"/>
          <w:szCs w:val="24"/>
          <w:lang w:val="en-US"/>
        </w:rPr>
        <w:t>-</w:t>
      </w:r>
      <w:r w:rsidR="00657187" w:rsidRPr="00684570">
        <w:rPr>
          <w:rFonts w:ascii="Times New Roman" w:hAnsi="Times New Roman" w:cs="Times New Roman"/>
          <w:sz w:val="24"/>
          <w:szCs w:val="24"/>
          <w:lang w:val="en-US"/>
        </w:rPr>
        <w:t xml:space="preserve">ASEAN </w:t>
      </w:r>
      <w:r w:rsidRPr="00684570">
        <w:rPr>
          <w:rFonts w:ascii="Times New Roman" w:hAnsi="Times New Roman" w:cs="Times New Roman"/>
          <w:sz w:val="24"/>
          <w:szCs w:val="24"/>
          <w:lang w:val="en-US"/>
        </w:rPr>
        <w:t>Region,</w:t>
      </w:r>
      <w:r w:rsidR="00657187" w:rsidRPr="00684570">
        <w:rPr>
          <w:rFonts w:ascii="Times New Roman" w:hAnsi="Times New Roman" w:cs="Times New Roman"/>
          <w:sz w:val="24"/>
          <w:szCs w:val="24"/>
          <w:lang w:val="en-US"/>
        </w:rPr>
        <w:t xml:space="preserve"> </w:t>
      </w:r>
      <w:r w:rsidR="00657187" w:rsidRPr="00684570">
        <w:rPr>
          <w:rFonts w:ascii="Times New Roman" w:hAnsi="Times New Roman" w:cs="Times New Roman"/>
          <w:i/>
          <w:sz w:val="24"/>
          <w:szCs w:val="24"/>
          <w:lang w:val="en-US"/>
        </w:rPr>
        <w:t>Globalization and Health</w:t>
      </w:r>
      <w:r w:rsidRPr="00684570">
        <w:rPr>
          <w:rFonts w:ascii="Times New Roman" w:hAnsi="Times New Roman" w:cs="Times New Roman"/>
          <w:sz w:val="24"/>
          <w:szCs w:val="24"/>
          <w:lang w:val="en-US"/>
        </w:rPr>
        <w:t>, 14,</w:t>
      </w:r>
      <w:r w:rsidR="00657187" w:rsidRPr="00684570">
        <w:rPr>
          <w:rFonts w:ascii="Times New Roman" w:hAnsi="Times New Roman" w:cs="Times New Roman"/>
          <w:sz w:val="24"/>
          <w:szCs w:val="24"/>
          <w:lang w:val="en-US"/>
        </w:rPr>
        <w:t>113.</w:t>
      </w:r>
    </w:p>
    <w:p w14:paraId="7A773461" w14:textId="1C70D934" w:rsidR="009A4639" w:rsidRPr="00684570" w:rsidRDefault="00940282" w:rsidP="00684570">
      <w:pPr>
        <w:tabs>
          <w:tab w:val="left" w:pos="960"/>
        </w:tabs>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ROGERS, R. G. and WOFFORD, S., (1989), </w:t>
      </w:r>
      <w:r w:rsidR="00657187" w:rsidRPr="00684570">
        <w:rPr>
          <w:rFonts w:ascii="Times New Roman" w:hAnsi="Times New Roman" w:cs="Times New Roman"/>
          <w:sz w:val="24"/>
          <w:szCs w:val="24"/>
          <w:lang w:val="en-US"/>
        </w:rPr>
        <w:t xml:space="preserve">Life </w:t>
      </w:r>
      <w:r w:rsidRPr="00684570">
        <w:rPr>
          <w:rFonts w:ascii="Times New Roman" w:hAnsi="Times New Roman" w:cs="Times New Roman"/>
          <w:sz w:val="24"/>
          <w:szCs w:val="24"/>
          <w:lang w:val="en-US"/>
        </w:rPr>
        <w:t xml:space="preserve">Expectancy in Less Developed Countries: </w:t>
      </w:r>
      <w:r w:rsidR="00657187" w:rsidRPr="00684570">
        <w:rPr>
          <w:rFonts w:ascii="Times New Roman" w:hAnsi="Times New Roman" w:cs="Times New Roman"/>
          <w:sz w:val="24"/>
          <w:szCs w:val="24"/>
          <w:lang w:val="en-US"/>
        </w:rPr>
        <w:t>Socio</w:t>
      </w:r>
      <w:r w:rsidRPr="00684570">
        <w:rPr>
          <w:rFonts w:ascii="Times New Roman" w:hAnsi="Times New Roman" w:cs="Times New Roman"/>
          <w:sz w:val="24"/>
          <w:szCs w:val="24"/>
          <w:lang w:val="en-US"/>
        </w:rPr>
        <w:t>-Economic Development or Public Health?</w:t>
      </w:r>
      <w:r w:rsidR="00657187" w:rsidRPr="00684570">
        <w:rPr>
          <w:rFonts w:ascii="Times New Roman" w:hAnsi="Times New Roman" w:cs="Times New Roman"/>
          <w:sz w:val="24"/>
          <w:szCs w:val="24"/>
          <w:lang w:val="en-US"/>
        </w:rPr>
        <w:t xml:space="preserve"> </w:t>
      </w:r>
      <w:r w:rsidR="00657187" w:rsidRPr="00684570">
        <w:rPr>
          <w:rFonts w:ascii="Times New Roman" w:hAnsi="Times New Roman" w:cs="Times New Roman"/>
          <w:i/>
          <w:sz w:val="24"/>
          <w:szCs w:val="24"/>
          <w:lang w:val="en-US"/>
        </w:rPr>
        <w:t>Journal of Biosocial Science</w:t>
      </w:r>
      <w:r w:rsidR="00657187" w:rsidRPr="00684570">
        <w:rPr>
          <w:rFonts w:ascii="Times New Roman" w:hAnsi="Times New Roman" w:cs="Times New Roman"/>
          <w:sz w:val="24"/>
          <w:szCs w:val="24"/>
          <w:lang w:val="en-US"/>
        </w:rPr>
        <w:t>, 21, 245-252.</w:t>
      </w:r>
    </w:p>
    <w:p w14:paraId="7FB556B1" w14:textId="14C0B7FA" w:rsidR="009A4639" w:rsidRPr="00684570" w:rsidRDefault="00940282" w:rsidP="00684570">
      <w:pPr>
        <w:tabs>
          <w:tab w:val="left" w:pos="960"/>
        </w:tabs>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ROGERS, R. G., EVERETT, B. G., ZAJACOVA, A. and HUMMER, R. </w:t>
      </w:r>
      <w:r w:rsidR="00AA3EB3" w:rsidRPr="00684570">
        <w:rPr>
          <w:rFonts w:ascii="Times New Roman" w:hAnsi="Times New Roman" w:cs="Times New Roman"/>
          <w:sz w:val="24"/>
          <w:szCs w:val="24"/>
          <w:lang w:val="en-US"/>
        </w:rPr>
        <w:t>A.</w:t>
      </w:r>
      <w:r w:rsidRPr="00684570">
        <w:rPr>
          <w:rFonts w:ascii="Times New Roman" w:hAnsi="Times New Roman" w:cs="Times New Roman"/>
          <w:sz w:val="24"/>
          <w:szCs w:val="24"/>
          <w:lang w:val="en-US"/>
        </w:rPr>
        <w:t xml:space="preserve">, (2010), </w:t>
      </w:r>
      <w:r w:rsidR="00AA3EB3" w:rsidRPr="00684570">
        <w:rPr>
          <w:rFonts w:ascii="Times New Roman" w:hAnsi="Times New Roman" w:cs="Times New Roman"/>
          <w:sz w:val="24"/>
          <w:szCs w:val="24"/>
          <w:lang w:val="en-US"/>
        </w:rPr>
        <w:t xml:space="preserve">Educational </w:t>
      </w:r>
      <w:r w:rsidRPr="00684570">
        <w:rPr>
          <w:rFonts w:ascii="Times New Roman" w:hAnsi="Times New Roman" w:cs="Times New Roman"/>
          <w:sz w:val="24"/>
          <w:szCs w:val="24"/>
          <w:lang w:val="en-US"/>
        </w:rPr>
        <w:t xml:space="preserve">Degrees and Adult Mortality Risk in the </w:t>
      </w:r>
      <w:r w:rsidR="00AA3EB3" w:rsidRPr="00684570">
        <w:rPr>
          <w:rFonts w:ascii="Times New Roman" w:hAnsi="Times New Roman" w:cs="Times New Roman"/>
          <w:sz w:val="24"/>
          <w:szCs w:val="24"/>
          <w:lang w:val="en-US"/>
        </w:rPr>
        <w:t>United States</w:t>
      </w:r>
      <w:r w:rsidRPr="00684570">
        <w:rPr>
          <w:rFonts w:ascii="Times New Roman" w:hAnsi="Times New Roman" w:cs="Times New Roman"/>
          <w:sz w:val="24"/>
          <w:szCs w:val="24"/>
          <w:lang w:val="en-US"/>
        </w:rPr>
        <w:t xml:space="preserve">, </w:t>
      </w:r>
      <w:r w:rsidR="00AA3EB3" w:rsidRPr="00684570">
        <w:rPr>
          <w:rFonts w:ascii="Times New Roman" w:hAnsi="Times New Roman" w:cs="Times New Roman"/>
          <w:i/>
          <w:sz w:val="24"/>
          <w:szCs w:val="24"/>
          <w:lang w:val="en-US"/>
        </w:rPr>
        <w:t>Biodemography and Social Biology,</w:t>
      </w:r>
      <w:r w:rsidR="00AA3EB3" w:rsidRPr="00684570">
        <w:rPr>
          <w:rFonts w:ascii="Times New Roman" w:hAnsi="Times New Roman" w:cs="Times New Roman"/>
          <w:sz w:val="24"/>
          <w:szCs w:val="24"/>
          <w:lang w:val="en-US"/>
        </w:rPr>
        <w:t xml:space="preserve"> 56, 80-99. doi:10.1080/19485561003727372</w:t>
      </w:r>
    </w:p>
    <w:p w14:paraId="27D8080A" w14:textId="5B91A957" w:rsidR="00EC0C30" w:rsidRPr="00684570" w:rsidRDefault="00F52A5B"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SAHOO, M., BABU, M.S. and DASH, U., (2019),</w:t>
      </w:r>
      <w:r w:rsidR="00EC0C30" w:rsidRPr="00684570">
        <w:rPr>
          <w:rFonts w:ascii="Times New Roman" w:hAnsi="Times New Roman" w:cs="Times New Roman"/>
          <w:sz w:val="24"/>
          <w:szCs w:val="24"/>
          <w:lang w:val="en-US"/>
        </w:rPr>
        <w:t xml:space="preserve"> Asymmetric </w:t>
      </w:r>
      <w:r w:rsidRPr="00684570">
        <w:rPr>
          <w:rFonts w:ascii="Times New Roman" w:hAnsi="Times New Roman" w:cs="Times New Roman"/>
          <w:sz w:val="24"/>
          <w:szCs w:val="24"/>
          <w:lang w:val="en-US"/>
        </w:rPr>
        <w:t xml:space="preserve">Effects of Exchange Rate Movements on Traditional and Modern Services Exports: </w:t>
      </w:r>
      <w:r w:rsidR="00EC0C30" w:rsidRPr="00684570">
        <w:rPr>
          <w:rFonts w:ascii="Times New Roman" w:hAnsi="Times New Roman" w:cs="Times New Roman"/>
          <w:sz w:val="24"/>
          <w:szCs w:val="24"/>
          <w:lang w:val="en-US"/>
        </w:rPr>
        <w:t xml:space="preserve">Evidence </w:t>
      </w:r>
      <w:r w:rsidRPr="00684570">
        <w:rPr>
          <w:rFonts w:ascii="Times New Roman" w:hAnsi="Times New Roman" w:cs="Times New Roman"/>
          <w:sz w:val="24"/>
          <w:szCs w:val="24"/>
          <w:lang w:val="en-US"/>
        </w:rPr>
        <w:t>from a Large Emerging Economy</w:t>
      </w:r>
      <w:r w:rsidR="00EC0C30" w:rsidRPr="00684570">
        <w:rPr>
          <w:rFonts w:ascii="Times New Roman" w:hAnsi="Times New Roman" w:cs="Times New Roman"/>
          <w:sz w:val="24"/>
          <w:szCs w:val="24"/>
          <w:lang w:val="en-US"/>
        </w:rPr>
        <w:t xml:space="preserve">, </w:t>
      </w:r>
      <w:r w:rsidR="00EC0C30" w:rsidRPr="00684570">
        <w:rPr>
          <w:rFonts w:ascii="Times New Roman" w:hAnsi="Times New Roman" w:cs="Times New Roman"/>
          <w:i/>
          <w:sz w:val="24"/>
          <w:szCs w:val="24"/>
          <w:lang w:val="en-US"/>
        </w:rPr>
        <w:t xml:space="preserve">The Journal of International Trade </w:t>
      </w:r>
      <w:r w:rsidR="00687550" w:rsidRPr="00684570">
        <w:rPr>
          <w:rFonts w:ascii="Times New Roman" w:hAnsi="Times New Roman" w:cs="Times New Roman"/>
          <w:i/>
          <w:sz w:val="24"/>
          <w:szCs w:val="24"/>
          <w:lang w:val="en-US"/>
        </w:rPr>
        <w:t>and</w:t>
      </w:r>
      <w:r w:rsidR="00EC0C30" w:rsidRPr="00684570">
        <w:rPr>
          <w:rFonts w:ascii="Times New Roman" w:hAnsi="Times New Roman" w:cs="Times New Roman"/>
          <w:i/>
          <w:sz w:val="24"/>
          <w:szCs w:val="24"/>
          <w:lang w:val="en-US"/>
        </w:rPr>
        <w:t xml:space="preserve"> Economic Development</w:t>
      </w:r>
      <w:r w:rsidR="00940282" w:rsidRPr="00684570">
        <w:rPr>
          <w:rFonts w:ascii="Times New Roman" w:hAnsi="Times New Roman" w:cs="Times New Roman"/>
          <w:sz w:val="24"/>
          <w:szCs w:val="24"/>
          <w:lang w:val="en-US"/>
        </w:rPr>
        <w:t>, 28(</w:t>
      </w:r>
      <w:r w:rsidR="00EC0C30" w:rsidRPr="00684570">
        <w:rPr>
          <w:rFonts w:ascii="Times New Roman" w:hAnsi="Times New Roman" w:cs="Times New Roman"/>
          <w:sz w:val="24"/>
          <w:szCs w:val="24"/>
          <w:lang w:val="en-US"/>
        </w:rPr>
        <w:t>4</w:t>
      </w:r>
      <w:r w:rsidR="00940282" w:rsidRPr="00684570">
        <w:rPr>
          <w:rFonts w:ascii="Times New Roman" w:hAnsi="Times New Roman" w:cs="Times New Roman"/>
          <w:sz w:val="24"/>
          <w:szCs w:val="24"/>
          <w:lang w:val="en-US"/>
        </w:rPr>
        <w:t>)</w:t>
      </w:r>
      <w:r w:rsidR="00EC0C30" w:rsidRPr="00684570">
        <w:rPr>
          <w:rFonts w:ascii="Times New Roman" w:hAnsi="Times New Roman" w:cs="Times New Roman"/>
          <w:sz w:val="24"/>
          <w:szCs w:val="24"/>
          <w:lang w:val="en-US"/>
        </w:rPr>
        <w:t>, 508-531, DOI</w:t>
      </w:r>
      <w:r w:rsidR="00D2669A" w:rsidRPr="00684570">
        <w:rPr>
          <w:rFonts w:ascii="Times New Roman" w:hAnsi="Times New Roman" w:cs="Times New Roman"/>
          <w:sz w:val="24"/>
          <w:szCs w:val="24"/>
          <w:lang w:val="en-US"/>
        </w:rPr>
        <w:t>: 10.1080/09638199.2018.1561744</w:t>
      </w:r>
    </w:p>
    <w:p w14:paraId="1FCEA282" w14:textId="677370FB" w:rsidR="00C4071A" w:rsidRPr="00684570" w:rsidRDefault="00D31A73"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SALAHUDDIN,</w:t>
      </w:r>
      <w:r w:rsidR="00940282" w:rsidRPr="00684570">
        <w:rPr>
          <w:rFonts w:ascii="Times New Roman" w:hAnsi="Times New Roman" w:cs="Times New Roman"/>
          <w:sz w:val="24"/>
          <w:szCs w:val="24"/>
          <w:lang w:val="en-US"/>
        </w:rPr>
        <w:t xml:space="preserve"> </w:t>
      </w:r>
      <w:r w:rsidR="00AD0E33" w:rsidRPr="00684570">
        <w:rPr>
          <w:rFonts w:ascii="Times New Roman" w:hAnsi="Times New Roman" w:cs="Times New Roman"/>
          <w:sz w:val="24"/>
          <w:szCs w:val="24"/>
          <w:lang w:val="en-US"/>
        </w:rPr>
        <w:t xml:space="preserve">M.,   VINK, N., </w:t>
      </w:r>
      <w:r w:rsidRPr="00684570">
        <w:rPr>
          <w:rFonts w:ascii="Times New Roman" w:hAnsi="Times New Roman" w:cs="Times New Roman"/>
          <w:sz w:val="24"/>
          <w:szCs w:val="24"/>
          <w:lang w:val="en-US"/>
        </w:rPr>
        <w:t>RALPH, N.</w:t>
      </w:r>
      <w:r w:rsidR="00C4071A" w:rsidRPr="00684570">
        <w:rPr>
          <w:rFonts w:ascii="Times New Roman" w:hAnsi="Times New Roman" w:cs="Times New Roman"/>
          <w:sz w:val="24"/>
          <w:szCs w:val="24"/>
          <w:lang w:val="en-US"/>
        </w:rPr>
        <w:t xml:space="preserve"> </w:t>
      </w:r>
      <w:r w:rsidR="00687550" w:rsidRPr="00684570">
        <w:rPr>
          <w:rFonts w:ascii="Times New Roman" w:hAnsi="Times New Roman" w:cs="Times New Roman"/>
          <w:sz w:val="24"/>
          <w:szCs w:val="24"/>
          <w:lang w:val="en-US"/>
        </w:rPr>
        <w:t>and</w:t>
      </w:r>
      <w:r w:rsidRPr="00684570">
        <w:rPr>
          <w:rFonts w:ascii="Times New Roman" w:hAnsi="Times New Roman" w:cs="Times New Roman"/>
          <w:sz w:val="24"/>
          <w:szCs w:val="24"/>
          <w:lang w:val="en-US"/>
        </w:rPr>
        <w:t xml:space="preserve"> GOW</w:t>
      </w:r>
      <w:r w:rsidR="00C4071A" w:rsidRPr="00684570">
        <w:rPr>
          <w:rFonts w:ascii="Times New Roman" w:hAnsi="Times New Roman" w:cs="Times New Roman"/>
          <w:sz w:val="24"/>
          <w:szCs w:val="24"/>
          <w:lang w:val="en-US"/>
        </w:rPr>
        <w:t>, J.</w:t>
      </w:r>
      <w:r w:rsidRPr="00684570">
        <w:rPr>
          <w:rFonts w:ascii="Times New Roman" w:hAnsi="Times New Roman" w:cs="Times New Roman"/>
          <w:sz w:val="24"/>
          <w:szCs w:val="24"/>
          <w:lang w:val="en-US"/>
        </w:rPr>
        <w:t>,</w:t>
      </w:r>
      <w:r w:rsidR="00C4071A" w:rsidRPr="00684570">
        <w:rPr>
          <w:rFonts w:ascii="Times New Roman" w:hAnsi="Times New Roman" w:cs="Times New Roman"/>
          <w:sz w:val="24"/>
          <w:szCs w:val="24"/>
          <w:lang w:val="en-US"/>
        </w:rPr>
        <w:t xml:space="preserve"> (2020)</w:t>
      </w:r>
      <w:r w:rsidRPr="00684570">
        <w:rPr>
          <w:rFonts w:ascii="Times New Roman" w:hAnsi="Times New Roman" w:cs="Times New Roman"/>
          <w:sz w:val="24"/>
          <w:szCs w:val="24"/>
          <w:lang w:val="en-US"/>
        </w:rPr>
        <w:t>,</w:t>
      </w:r>
      <w:r w:rsidR="00C4071A" w:rsidRPr="00684570">
        <w:rPr>
          <w:rFonts w:ascii="Times New Roman" w:hAnsi="Times New Roman" w:cs="Times New Roman"/>
          <w:sz w:val="24"/>
          <w:szCs w:val="24"/>
          <w:lang w:val="en-US"/>
        </w:rPr>
        <w:t xml:space="preserve"> Effects of </w:t>
      </w:r>
      <w:r w:rsidRPr="00684570">
        <w:rPr>
          <w:rFonts w:ascii="Times New Roman" w:hAnsi="Times New Roman" w:cs="Times New Roman"/>
          <w:sz w:val="24"/>
          <w:szCs w:val="24"/>
          <w:lang w:val="en-US"/>
        </w:rPr>
        <w:t>Economic Growth, Foreign Direct Investment and Internet Use on Child Healt</w:t>
      </w:r>
      <w:r w:rsidR="005D2618" w:rsidRPr="00684570">
        <w:rPr>
          <w:rFonts w:ascii="Times New Roman" w:hAnsi="Times New Roman" w:cs="Times New Roman"/>
          <w:sz w:val="24"/>
          <w:szCs w:val="24"/>
          <w:lang w:val="en-US"/>
        </w:rPr>
        <w:t>h Outcomes: Empirical Evidence f</w:t>
      </w:r>
      <w:r w:rsidRPr="00684570">
        <w:rPr>
          <w:rFonts w:ascii="Times New Roman" w:hAnsi="Times New Roman" w:cs="Times New Roman"/>
          <w:sz w:val="24"/>
          <w:szCs w:val="24"/>
          <w:lang w:val="en-US"/>
        </w:rPr>
        <w:t xml:space="preserve">rom </w:t>
      </w:r>
      <w:r w:rsidR="00C4071A" w:rsidRPr="00684570">
        <w:rPr>
          <w:rFonts w:ascii="Times New Roman" w:hAnsi="Times New Roman" w:cs="Times New Roman"/>
          <w:sz w:val="24"/>
          <w:szCs w:val="24"/>
          <w:lang w:val="en-US"/>
        </w:rPr>
        <w:t xml:space="preserve">South Africa, </w:t>
      </w:r>
      <w:r w:rsidR="00C4071A" w:rsidRPr="00684570">
        <w:rPr>
          <w:rFonts w:ascii="Times New Roman" w:hAnsi="Times New Roman" w:cs="Times New Roman"/>
          <w:i/>
          <w:sz w:val="24"/>
          <w:szCs w:val="24"/>
          <w:lang w:val="en-US"/>
        </w:rPr>
        <w:t>Development Studies Research</w:t>
      </w:r>
      <w:r w:rsidRPr="00684570">
        <w:rPr>
          <w:rFonts w:ascii="Times New Roman" w:hAnsi="Times New Roman" w:cs="Times New Roman"/>
          <w:sz w:val="24"/>
          <w:szCs w:val="24"/>
          <w:lang w:val="en-US"/>
        </w:rPr>
        <w:t>, 7(</w:t>
      </w:r>
      <w:r w:rsidR="00C4071A" w:rsidRPr="00684570">
        <w:rPr>
          <w:rFonts w:ascii="Times New Roman" w:hAnsi="Times New Roman" w:cs="Times New Roman"/>
          <w:sz w:val="24"/>
          <w:szCs w:val="24"/>
          <w:lang w:val="en-US"/>
        </w:rPr>
        <w:t>1</w:t>
      </w:r>
      <w:r w:rsidRPr="00684570">
        <w:rPr>
          <w:rFonts w:ascii="Times New Roman" w:hAnsi="Times New Roman" w:cs="Times New Roman"/>
          <w:sz w:val="24"/>
          <w:szCs w:val="24"/>
          <w:lang w:val="en-US"/>
        </w:rPr>
        <w:t>)</w:t>
      </w:r>
      <w:r w:rsidR="00C4071A" w:rsidRPr="00684570">
        <w:rPr>
          <w:rFonts w:ascii="Times New Roman" w:hAnsi="Times New Roman" w:cs="Times New Roman"/>
          <w:sz w:val="24"/>
          <w:szCs w:val="24"/>
          <w:lang w:val="en-US"/>
        </w:rPr>
        <w:t>, 1-17, DOI</w:t>
      </w:r>
      <w:r w:rsidR="00D2669A" w:rsidRPr="00684570">
        <w:rPr>
          <w:rFonts w:ascii="Times New Roman" w:hAnsi="Times New Roman" w:cs="Times New Roman"/>
          <w:sz w:val="24"/>
          <w:szCs w:val="24"/>
          <w:lang w:val="en-US"/>
        </w:rPr>
        <w:t>: 10.1080/21665095.2020.1717362</w:t>
      </w:r>
    </w:p>
    <w:p w14:paraId="23E595B7" w14:textId="712BA567" w:rsidR="009A4639" w:rsidRPr="00684570" w:rsidRDefault="00D31A73" w:rsidP="00684570">
      <w:pPr>
        <w:spacing w:after="120" w:line="240" w:lineRule="auto"/>
        <w:ind w:left="284" w:hanging="284"/>
        <w:jc w:val="both"/>
        <w:rPr>
          <w:rFonts w:ascii="Times New Roman" w:hAnsi="Times New Roman" w:cs="Times New Roman"/>
          <w:sz w:val="24"/>
          <w:szCs w:val="24"/>
          <w:lang w:val="tr-TR"/>
        </w:rPr>
      </w:pPr>
      <w:r w:rsidRPr="00684570">
        <w:rPr>
          <w:rFonts w:ascii="Times New Roman" w:hAnsi="Times New Roman" w:cs="Times New Roman"/>
          <w:sz w:val="24"/>
          <w:szCs w:val="24"/>
          <w:lang w:val="en-US"/>
        </w:rPr>
        <w:t>SHARMA, R., (2018),</w:t>
      </w:r>
      <w:r w:rsidR="00EC0C30" w:rsidRPr="00684570">
        <w:rPr>
          <w:rFonts w:ascii="Times New Roman" w:hAnsi="Times New Roman" w:cs="Times New Roman"/>
          <w:sz w:val="24"/>
          <w:szCs w:val="24"/>
          <w:lang w:val="en-US"/>
        </w:rPr>
        <w:t xml:space="preserve"> Health </w:t>
      </w:r>
      <w:r w:rsidRPr="00684570">
        <w:rPr>
          <w:rFonts w:ascii="Times New Roman" w:hAnsi="Times New Roman" w:cs="Times New Roman"/>
          <w:sz w:val="24"/>
          <w:szCs w:val="24"/>
          <w:lang w:val="en-US"/>
        </w:rPr>
        <w:t xml:space="preserve">and Economic Growth: </w:t>
      </w:r>
      <w:r w:rsidR="00EC0C30" w:rsidRPr="00684570">
        <w:rPr>
          <w:rFonts w:ascii="Times New Roman" w:hAnsi="Times New Roman" w:cs="Times New Roman"/>
          <w:sz w:val="24"/>
          <w:szCs w:val="24"/>
          <w:lang w:val="en-US"/>
        </w:rPr>
        <w:t xml:space="preserve">Evidence </w:t>
      </w:r>
      <w:r w:rsidRPr="00684570">
        <w:rPr>
          <w:rFonts w:ascii="Times New Roman" w:hAnsi="Times New Roman" w:cs="Times New Roman"/>
          <w:sz w:val="24"/>
          <w:szCs w:val="24"/>
          <w:lang w:val="en-US"/>
        </w:rPr>
        <w:t xml:space="preserve">from Dynamic Panel Data of 143 Years, </w:t>
      </w:r>
      <w:r w:rsidR="00EC0C30" w:rsidRPr="00684570">
        <w:rPr>
          <w:rFonts w:ascii="Times New Roman" w:hAnsi="Times New Roman" w:cs="Times New Roman"/>
          <w:sz w:val="24"/>
          <w:szCs w:val="24"/>
          <w:lang w:val="en-US"/>
        </w:rPr>
        <w:t>PLoS ONE, 13(10), e0204940. https://doi.org/10.1371/journal.pone.0204940.</w:t>
      </w:r>
    </w:p>
    <w:p w14:paraId="033C6A23" w14:textId="3E4DBC80" w:rsidR="00657187" w:rsidRPr="00684570" w:rsidRDefault="00D2669A"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SHAW, J. W., HORRACE, W. C. and VOGEL, R. J., (2005),</w:t>
      </w:r>
      <w:r w:rsidR="00657187" w:rsidRPr="00684570">
        <w:rPr>
          <w:rFonts w:ascii="Times New Roman" w:hAnsi="Times New Roman" w:cs="Times New Roman"/>
          <w:sz w:val="24"/>
          <w:szCs w:val="24"/>
          <w:lang w:val="en-US"/>
        </w:rPr>
        <w:t xml:space="preserve"> The </w:t>
      </w:r>
      <w:r w:rsidRPr="00684570">
        <w:rPr>
          <w:rFonts w:ascii="Times New Roman" w:hAnsi="Times New Roman" w:cs="Times New Roman"/>
          <w:sz w:val="24"/>
          <w:szCs w:val="24"/>
          <w:lang w:val="en-US"/>
        </w:rPr>
        <w:t xml:space="preserve">Determinants of Life Expectancy:  An Analysis of the </w:t>
      </w:r>
      <w:r w:rsidR="00657187" w:rsidRPr="00684570">
        <w:rPr>
          <w:rFonts w:ascii="Times New Roman" w:hAnsi="Times New Roman" w:cs="Times New Roman"/>
          <w:sz w:val="24"/>
          <w:szCs w:val="24"/>
          <w:lang w:val="en-US"/>
        </w:rPr>
        <w:t xml:space="preserve">OECD </w:t>
      </w:r>
      <w:r w:rsidRPr="00684570">
        <w:rPr>
          <w:rFonts w:ascii="Times New Roman" w:hAnsi="Times New Roman" w:cs="Times New Roman"/>
          <w:sz w:val="24"/>
          <w:szCs w:val="24"/>
          <w:lang w:val="en-US"/>
        </w:rPr>
        <w:t xml:space="preserve">Health Data, </w:t>
      </w:r>
      <w:r w:rsidR="00657187" w:rsidRPr="00684570">
        <w:rPr>
          <w:rFonts w:ascii="Times New Roman" w:hAnsi="Times New Roman" w:cs="Times New Roman"/>
          <w:i/>
          <w:sz w:val="24"/>
          <w:szCs w:val="24"/>
          <w:lang w:val="en-US"/>
        </w:rPr>
        <w:t>Souther</w:t>
      </w:r>
      <w:r w:rsidRPr="00684570">
        <w:rPr>
          <w:rFonts w:ascii="Times New Roman" w:hAnsi="Times New Roman" w:cs="Times New Roman"/>
          <w:i/>
          <w:sz w:val="24"/>
          <w:szCs w:val="24"/>
          <w:lang w:val="en-US"/>
        </w:rPr>
        <w:t>n Economic Journal,</w:t>
      </w:r>
      <w:r w:rsidRPr="00684570">
        <w:rPr>
          <w:rFonts w:ascii="Times New Roman" w:hAnsi="Times New Roman" w:cs="Times New Roman"/>
          <w:sz w:val="24"/>
          <w:szCs w:val="24"/>
          <w:lang w:val="en-US"/>
        </w:rPr>
        <w:t xml:space="preserve"> 71, 768-873.</w:t>
      </w:r>
    </w:p>
    <w:p w14:paraId="782AA6E2" w14:textId="70AD7736" w:rsidR="00A94804" w:rsidRPr="00684570" w:rsidRDefault="00D2669A"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SIMON,</w:t>
      </w:r>
      <w:r w:rsidR="00A94804" w:rsidRPr="00684570">
        <w:rPr>
          <w:rFonts w:ascii="Times New Roman" w:hAnsi="Times New Roman" w:cs="Times New Roman"/>
          <w:sz w:val="24"/>
          <w:szCs w:val="24"/>
          <w:lang w:val="en-US"/>
        </w:rPr>
        <w:t xml:space="preserve"> J.L.</w:t>
      </w:r>
      <w:r w:rsidRPr="00684570">
        <w:rPr>
          <w:rFonts w:ascii="Times New Roman" w:hAnsi="Times New Roman" w:cs="Times New Roman"/>
          <w:sz w:val="24"/>
          <w:szCs w:val="24"/>
          <w:lang w:val="en-US"/>
        </w:rPr>
        <w:t>,</w:t>
      </w:r>
      <w:r w:rsidR="00A94804" w:rsidRPr="00684570">
        <w:rPr>
          <w:rFonts w:ascii="Times New Roman" w:hAnsi="Times New Roman" w:cs="Times New Roman"/>
          <w:sz w:val="24"/>
          <w:szCs w:val="24"/>
          <w:lang w:val="en-US"/>
        </w:rPr>
        <w:t xml:space="preserve"> </w:t>
      </w:r>
      <w:r w:rsidRPr="00684570">
        <w:rPr>
          <w:rFonts w:ascii="Times New Roman" w:hAnsi="Times New Roman" w:cs="Times New Roman"/>
          <w:sz w:val="24"/>
          <w:szCs w:val="24"/>
          <w:lang w:val="en-US"/>
        </w:rPr>
        <w:t>(</w:t>
      </w:r>
      <w:r w:rsidR="00A94804" w:rsidRPr="00684570">
        <w:rPr>
          <w:rFonts w:ascii="Times New Roman" w:hAnsi="Times New Roman" w:cs="Times New Roman"/>
          <w:sz w:val="24"/>
          <w:szCs w:val="24"/>
          <w:lang w:val="en-US"/>
        </w:rPr>
        <w:t>1992</w:t>
      </w:r>
      <w:r w:rsidRPr="00684570">
        <w:rPr>
          <w:rFonts w:ascii="Times New Roman" w:hAnsi="Times New Roman" w:cs="Times New Roman"/>
          <w:sz w:val="24"/>
          <w:szCs w:val="24"/>
          <w:lang w:val="en-US"/>
        </w:rPr>
        <w:t>),</w:t>
      </w:r>
      <w:r w:rsidR="00A94804" w:rsidRPr="00684570">
        <w:rPr>
          <w:rFonts w:ascii="Times New Roman" w:hAnsi="Times New Roman" w:cs="Times New Roman"/>
          <w:sz w:val="24"/>
          <w:szCs w:val="24"/>
          <w:lang w:val="en-US"/>
        </w:rPr>
        <w:t xml:space="preserve"> Population and </w:t>
      </w:r>
      <w:r w:rsidR="00D31A73" w:rsidRPr="00684570">
        <w:rPr>
          <w:rFonts w:ascii="Times New Roman" w:hAnsi="Times New Roman" w:cs="Times New Roman"/>
          <w:sz w:val="24"/>
          <w:szCs w:val="24"/>
          <w:lang w:val="en-US"/>
        </w:rPr>
        <w:t xml:space="preserve">Developing Countries. </w:t>
      </w:r>
      <w:r w:rsidR="00A94804" w:rsidRPr="00684570">
        <w:rPr>
          <w:rFonts w:ascii="Times New Roman" w:hAnsi="Times New Roman" w:cs="Times New Roman"/>
          <w:sz w:val="24"/>
          <w:szCs w:val="24"/>
          <w:lang w:val="en-US"/>
        </w:rPr>
        <w:t>P</w:t>
      </w:r>
      <w:r w:rsidR="00C52B24" w:rsidRPr="00684570">
        <w:rPr>
          <w:rFonts w:ascii="Times New Roman" w:hAnsi="Times New Roman" w:cs="Times New Roman"/>
          <w:sz w:val="24"/>
          <w:szCs w:val="24"/>
          <w:lang w:val="en-US"/>
        </w:rPr>
        <w:t xml:space="preserve">rinceton, New Jersey: Princeton </w:t>
      </w:r>
      <w:r w:rsidRPr="00684570">
        <w:rPr>
          <w:rFonts w:ascii="Times New Roman" w:hAnsi="Times New Roman" w:cs="Times New Roman"/>
          <w:sz w:val="24"/>
          <w:szCs w:val="24"/>
          <w:lang w:val="en-US"/>
        </w:rPr>
        <w:t>University Press. pp: 311-319.</w:t>
      </w:r>
    </w:p>
    <w:p w14:paraId="5AB39802" w14:textId="710F629F" w:rsidR="00657187" w:rsidRPr="00684570" w:rsidRDefault="00D31A73" w:rsidP="00684570">
      <w:pPr>
        <w:autoSpaceDE w:val="0"/>
        <w:autoSpaceDN w:val="0"/>
        <w:adjustRightInd w:val="0"/>
        <w:spacing w:after="120" w:line="240" w:lineRule="auto"/>
        <w:ind w:left="284" w:hanging="284"/>
        <w:jc w:val="both"/>
        <w:rPr>
          <w:rFonts w:ascii="Times New Roman" w:hAnsi="Times New Roman" w:cs="Times New Roman"/>
          <w:sz w:val="24"/>
          <w:szCs w:val="24"/>
          <w:u w:val="single"/>
          <w:lang w:val="en-US"/>
        </w:rPr>
      </w:pPr>
      <w:r w:rsidRPr="00684570">
        <w:rPr>
          <w:rFonts w:ascii="Times New Roman" w:hAnsi="Times New Roman" w:cs="Times New Roman"/>
          <w:sz w:val="24"/>
          <w:szCs w:val="24"/>
          <w:lang w:val="en-US"/>
        </w:rPr>
        <w:t>SMITH, J. P., (1999),</w:t>
      </w:r>
      <w:r w:rsidR="00EC0C30" w:rsidRPr="00684570">
        <w:rPr>
          <w:rFonts w:ascii="Times New Roman" w:hAnsi="Times New Roman" w:cs="Times New Roman"/>
          <w:sz w:val="24"/>
          <w:szCs w:val="24"/>
          <w:lang w:val="en-US"/>
        </w:rPr>
        <w:t xml:space="preserve"> Healthy Bodies and Thick Wallets: The Dual Relation between Health and Econom</w:t>
      </w:r>
      <w:r w:rsidRPr="00684570">
        <w:rPr>
          <w:rFonts w:ascii="Times New Roman" w:hAnsi="Times New Roman" w:cs="Times New Roman"/>
          <w:sz w:val="24"/>
          <w:szCs w:val="24"/>
          <w:lang w:val="en-US"/>
        </w:rPr>
        <w:t xml:space="preserve">ic Status, </w:t>
      </w:r>
      <w:r w:rsidR="00EC0C30" w:rsidRPr="00684570">
        <w:rPr>
          <w:rFonts w:ascii="Times New Roman" w:hAnsi="Times New Roman" w:cs="Times New Roman"/>
          <w:i/>
          <w:iCs/>
          <w:sz w:val="24"/>
          <w:szCs w:val="24"/>
          <w:lang w:val="en-US"/>
        </w:rPr>
        <w:t>Journal of Economic Perspectives, 13</w:t>
      </w:r>
      <w:r w:rsidR="00EC0C30" w:rsidRPr="00684570">
        <w:rPr>
          <w:rFonts w:ascii="Times New Roman" w:hAnsi="Times New Roman" w:cs="Times New Roman"/>
          <w:sz w:val="24"/>
          <w:szCs w:val="24"/>
          <w:lang w:val="en-US"/>
        </w:rPr>
        <w:t xml:space="preserve">(2), 145-166 </w:t>
      </w:r>
      <w:hyperlink r:id="rId11" w:history="1">
        <w:r w:rsidR="00EC0C30" w:rsidRPr="00684570">
          <w:rPr>
            <w:rStyle w:val="ab"/>
            <w:rFonts w:ascii="Times New Roman" w:hAnsi="Times New Roman" w:cs="Times New Roman"/>
            <w:color w:val="auto"/>
            <w:sz w:val="24"/>
            <w:szCs w:val="24"/>
            <w:lang w:val="en-US"/>
          </w:rPr>
          <w:t>http://dx.doi.org/10.1257/jep.13.2.145</w:t>
        </w:r>
      </w:hyperlink>
    </w:p>
    <w:p w14:paraId="5F1B84B0" w14:textId="43182FD5" w:rsidR="00EC0C30" w:rsidRPr="00684570" w:rsidRDefault="00D31A73"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SOARES, R.R., (2007), </w:t>
      </w:r>
      <w:r w:rsidR="00657187" w:rsidRPr="00684570">
        <w:rPr>
          <w:rFonts w:ascii="Times New Roman" w:hAnsi="Times New Roman" w:cs="Times New Roman"/>
          <w:sz w:val="24"/>
          <w:szCs w:val="24"/>
          <w:lang w:val="en-US"/>
        </w:rPr>
        <w:t xml:space="preserve">Health and the Evolution of Welfare </w:t>
      </w:r>
      <w:r w:rsidRPr="00684570">
        <w:rPr>
          <w:rFonts w:ascii="Times New Roman" w:hAnsi="Times New Roman" w:cs="Times New Roman"/>
          <w:sz w:val="24"/>
          <w:szCs w:val="24"/>
          <w:lang w:val="en-US"/>
        </w:rPr>
        <w:t>across Brazilian Municipalities</w:t>
      </w:r>
      <w:r w:rsidR="00657187" w:rsidRPr="00684570">
        <w:rPr>
          <w:rFonts w:ascii="Times New Roman" w:hAnsi="Times New Roman" w:cs="Times New Roman"/>
          <w:sz w:val="24"/>
          <w:szCs w:val="24"/>
          <w:lang w:val="en-US"/>
        </w:rPr>
        <w:t xml:space="preserve">, </w:t>
      </w:r>
      <w:r w:rsidR="00657187" w:rsidRPr="00684570">
        <w:rPr>
          <w:rFonts w:ascii="Times New Roman" w:hAnsi="Times New Roman" w:cs="Times New Roman"/>
          <w:i/>
          <w:sz w:val="24"/>
          <w:szCs w:val="24"/>
          <w:lang w:val="en-US"/>
        </w:rPr>
        <w:t xml:space="preserve">Journal of Development </w:t>
      </w:r>
      <w:r w:rsidR="00D2669A" w:rsidRPr="00684570">
        <w:rPr>
          <w:rFonts w:ascii="Times New Roman" w:hAnsi="Times New Roman" w:cs="Times New Roman"/>
          <w:i/>
          <w:sz w:val="24"/>
          <w:szCs w:val="24"/>
          <w:lang w:val="en-US"/>
        </w:rPr>
        <w:t>Economics</w:t>
      </w:r>
      <w:r w:rsidRPr="00684570">
        <w:rPr>
          <w:rFonts w:ascii="Times New Roman" w:hAnsi="Times New Roman" w:cs="Times New Roman"/>
          <w:sz w:val="24"/>
          <w:szCs w:val="24"/>
          <w:lang w:val="en-US"/>
        </w:rPr>
        <w:t xml:space="preserve">, 84, </w:t>
      </w:r>
      <w:r w:rsidR="00D2669A" w:rsidRPr="00684570">
        <w:rPr>
          <w:rFonts w:ascii="Times New Roman" w:hAnsi="Times New Roman" w:cs="Times New Roman"/>
          <w:sz w:val="24"/>
          <w:szCs w:val="24"/>
          <w:lang w:val="en-US"/>
        </w:rPr>
        <w:t>590-608</w:t>
      </w:r>
      <w:r w:rsidRPr="00684570">
        <w:rPr>
          <w:rFonts w:ascii="Times New Roman" w:hAnsi="Times New Roman" w:cs="Times New Roman"/>
          <w:sz w:val="24"/>
          <w:szCs w:val="24"/>
          <w:lang w:val="en-US"/>
        </w:rPr>
        <w:t>.</w:t>
      </w:r>
    </w:p>
    <w:p w14:paraId="475830DE" w14:textId="29DC0ED3" w:rsidR="00657187" w:rsidRPr="00684570" w:rsidRDefault="00D31A73"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SUNDBERG, L., AGAHI, N., FRITZELL, J. and FORS</w:t>
      </w:r>
      <w:r w:rsidR="00EC0C30" w:rsidRPr="00684570">
        <w:rPr>
          <w:rFonts w:ascii="Times New Roman" w:hAnsi="Times New Roman" w:cs="Times New Roman"/>
          <w:sz w:val="24"/>
          <w:szCs w:val="24"/>
          <w:lang w:val="en-US"/>
        </w:rPr>
        <w:t>, S.</w:t>
      </w:r>
      <w:r w:rsidRPr="00684570">
        <w:rPr>
          <w:rFonts w:ascii="Times New Roman" w:hAnsi="Times New Roman" w:cs="Times New Roman"/>
          <w:sz w:val="24"/>
          <w:szCs w:val="24"/>
          <w:lang w:val="en-US"/>
        </w:rPr>
        <w:t>, (2018),</w:t>
      </w:r>
      <w:r w:rsidR="00EC0C30" w:rsidRPr="00684570">
        <w:rPr>
          <w:rFonts w:ascii="Times New Roman" w:hAnsi="Times New Roman" w:cs="Times New Roman"/>
          <w:sz w:val="24"/>
          <w:szCs w:val="24"/>
          <w:lang w:val="en-US"/>
        </w:rPr>
        <w:t xml:space="preserve"> Why is the </w:t>
      </w:r>
      <w:r w:rsidRPr="00684570">
        <w:rPr>
          <w:rFonts w:ascii="Times New Roman" w:hAnsi="Times New Roman" w:cs="Times New Roman"/>
          <w:sz w:val="24"/>
          <w:szCs w:val="24"/>
          <w:lang w:val="en-US"/>
        </w:rPr>
        <w:t xml:space="preserve">Gender Gap in Life Expectancy Decreasing? </w:t>
      </w:r>
      <w:r w:rsidR="00EC0C30" w:rsidRPr="00684570">
        <w:rPr>
          <w:rFonts w:ascii="Times New Roman" w:hAnsi="Times New Roman" w:cs="Times New Roman"/>
          <w:sz w:val="24"/>
          <w:szCs w:val="24"/>
          <w:lang w:val="en-US"/>
        </w:rPr>
        <w:t xml:space="preserve">The </w:t>
      </w:r>
      <w:r w:rsidRPr="00684570">
        <w:rPr>
          <w:rFonts w:ascii="Times New Roman" w:hAnsi="Times New Roman" w:cs="Times New Roman"/>
          <w:sz w:val="24"/>
          <w:szCs w:val="24"/>
          <w:lang w:val="en-US"/>
        </w:rPr>
        <w:t xml:space="preserve">Impact of Age- and Cause-Specific Mortality in </w:t>
      </w:r>
      <w:r w:rsidR="00EC0C30" w:rsidRPr="00684570">
        <w:rPr>
          <w:rFonts w:ascii="Times New Roman" w:hAnsi="Times New Roman" w:cs="Times New Roman"/>
          <w:sz w:val="24"/>
          <w:szCs w:val="24"/>
          <w:lang w:val="en-US"/>
        </w:rPr>
        <w:t xml:space="preserve">Sweden 1997–2014, </w:t>
      </w:r>
      <w:r w:rsidR="00EC0C30" w:rsidRPr="00684570">
        <w:rPr>
          <w:rFonts w:ascii="Times New Roman" w:hAnsi="Times New Roman" w:cs="Times New Roman"/>
          <w:i/>
          <w:sz w:val="24"/>
          <w:szCs w:val="24"/>
          <w:lang w:val="en-US"/>
        </w:rPr>
        <w:t xml:space="preserve">International Journal of Public Health, </w:t>
      </w:r>
      <w:r w:rsidRPr="00684570">
        <w:rPr>
          <w:rFonts w:ascii="Times New Roman" w:hAnsi="Times New Roman" w:cs="Times New Roman"/>
          <w:sz w:val="24"/>
          <w:szCs w:val="24"/>
          <w:lang w:val="en-US"/>
        </w:rPr>
        <w:t xml:space="preserve">63, </w:t>
      </w:r>
      <w:r w:rsidR="00EC0C30" w:rsidRPr="00684570">
        <w:rPr>
          <w:rFonts w:ascii="Times New Roman" w:hAnsi="Times New Roman" w:cs="Times New Roman"/>
          <w:sz w:val="24"/>
          <w:szCs w:val="24"/>
          <w:lang w:val="en-US"/>
        </w:rPr>
        <w:t>673–681 https://d</w:t>
      </w:r>
      <w:r w:rsidR="00324ADC" w:rsidRPr="00684570">
        <w:rPr>
          <w:rFonts w:ascii="Times New Roman" w:hAnsi="Times New Roman" w:cs="Times New Roman"/>
          <w:sz w:val="24"/>
          <w:szCs w:val="24"/>
          <w:lang w:val="en-US"/>
        </w:rPr>
        <w:t>oi.org/10.1007/s00038-018-1097</w:t>
      </w:r>
    </w:p>
    <w:p w14:paraId="1A8AA3F2" w14:textId="6B8753D0" w:rsidR="00657187" w:rsidRPr="00684570" w:rsidRDefault="00940282" w:rsidP="00684570">
      <w:pPr>
        <w:tabs>
          <w:tab w:val="left" w:pos="960"/>
        </w:tabs>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TAVARES, </w:t>
      </w:r>
      <w:r w:rsidR="00657187" w:rsidRPr="00684570">
        <w:rPr>
          <w:rFonts w:ascii="Times New Roman" w:hAnsi="Times New Roman" w:cs="Times New Roman"/>
          <w:sz w:val="24"/>
          <w:szCs w:val="24"/>
          <w:lang w:val="en-US"/>
        </w:rPr>
        <w:t>A.I.</w:t>
      </w:r>
      <w:r w:rsidR="00D31A73" w:rsidRPr="00684570">
        <w:rPr>
          <w:rFonts w:ascii="Times New Roman" w:hAnsi="Times New Roman" w:cs="Times New Roman"/>
          <w:sz w:val="24"/>
          <w:szCs w:val="24"/>
          <w:lang w:val="en-US"/>
        </w:rPr>
        <w:t>,</w:t>
      </w:r>
      <w:r w:rsidR="00657187" w:rsidRPr="00684570">
        <w:rPr>
          <w:rFonts w:ascii="Times New Roman" w:hAnsi="Times New Roman" w:cs="Times New Roman"/>
          <w:sz w:val="24"/>
          <w:szCs w:val="24"/>
          <w:lang w:val="en-US"/>
        </w:rPr>
        <w:t xml:space="preserve"> (2017)</w:t>
      </w:r>
      <w:r w:rsidR="00D31A73" w:rsidRPr="00684570">
        <w:rPr>
          <w:rFonts w:ascii="Times New Roman" w:hAnsi="Times New Roman" w:cs="Times New Roman"/>
          <w:sz w:val="24"/>
          <w:szCs w:val="24"/>
          <w:lang w:val="en-US"/>
        </w:rPr>
        <w:t>,</w:t>
      </w:r>
      <w:r w:rsidR="00657187" w:rsidRPr="00684570">
        <w:rPr>
          <w:rFonts w:ascii="Times New Roman" w:hAnsi="Times New Roman" w:cs="Times New Roman"/>
          <w:sz w:val="24"/>
          <w:szCs w:val="24"/>
          <w:lang w:val="en-US"/>
        </w:rPr>
        <w:t xml:space="preserve"> Infant </w:t>
      </w:r>
      <w:r w:rsidR="00D31A73" w:rsidRPr="00684570">
        <w:rPr>
          <w:rFonts w:ascii="Times New Roman" w:hAnsi="Times New Roman" w:cs="Times New Roman"/>
          <w:sz w:val="24"/>
          <w:szCs w:val="24"/>
          <w:lang w:val="en-US"/>
        </w:rPr>
        <w:t xml:space="preserve">Mortality in </w:t>
      </w:r>
      <w:r w:rsidR="00657187" w:rsidRPr="00684570">
        <w:rPr>
          <w:rFonts w:ascii="Times New Roman" w:hAnsi="Times New Roman" w:cs="Times New Roman"/>
          <w:sz w:val="24"/>
          <w:szCs w:val="24"/>
          <w:lang w:val="en-US"/>
        </w:rPr>
        <w:t>Europe</w:t>
      </w:r>
      <w:r w:rsidR="00D31A73" w:rsidRPr="00684570">
        <w:rPr>
          <w:rFonts w:ascii="Times New Roman" w:hAnsi="Times New Roman" w:cs="Times New Roman"/>
          <w:sz w:val="24"/>
          <w:szCs w:val="24"/>
          <w:lang w:val="en-US"/>
        </w:rPr>
        <w:t>, Socio-Economic Determinants Based on Aggregate Data,</w:t>
      </w:r>
      <w:r w:rsidR="00657187" w:rsidRPr="00684570">
        <w:rPr>
          <w:rFonts w:ascii="Times New Roman" w:hAnsi="Times New Roman" w:cs="Times New Roman"/>
          <w:sz w:val="24"/>
          <w:szCs w:val="24"/>
          <w:lang w:val="en-US"/>
        </w:rPr>
        <w:t xml:space="preserve"> </w:t>
      </w:r>
      <w:r w:rsidR="00657187" w:rsidRPr="00684570">
        <w:rPr>
          <w:rFonts w:ascii="Times New Roman" w:hAnsi="Times New Roman" w:cs="Times New Roman"/>
          <w:i/>
          <w:sz w:val="24"/>
          <w:szCs w:val="24"/>
          <w:lang w:val="en-US"/>
        </w:rPr>
        <w:t>Applied Economics Letters</w:t>
      </w:r>
      <w:r w:rsidR="00D31A73" w:rsidRPr="00684570">
        <w:rPr>
          <w:rFonts w:ascii="Times New Roman" w:hAnsi="Times New Roman" w:cs="Times New Roman"/>
          <w:sz w:val="24"/>
          <w:szCs w:val="24"/>
          <w:lang w:val="en-US"/>
        </w:rPr>
        <w:t>, 24(</w:t>
      </w:r>
      <w:r w:rsidR="00657187" w:rsidRPr="00684570">
        <w:rPr>
          <w:rFonts w:ascii="Times New Roman" w:hAnsi="Times New Roman" w:cs="Times New Roman"/>
          <w:sz w:val="24"/>
          <w:szCs w:val="24"/>
          <w:lang w:val="en-US"/>
        </w:rPr>
        <w:t>21</w:t>
      </w:r>
      <w:r w:rsidR="00D31A73" w:rsidRPr="00684570">
        <w:rPr>
          <w:rFonts w:ascii="Times New Roman" w:hAnsi="Times New Roman" w:cs="Times New Roman"/>
          <w:sz w:val="24"/>
          <w:szCs w:val="24"/>
          <w:lang w:val="en-US"/>
        </w:rPr>
        <w:t xml:space="preserve">), </w:t>
      </w:r>
      <w:r w:rsidR="00657187" w:rsidRPr="00684570">
        <w:rPr>
          <w:rFonts w:ascii="Times New Roman" w:hAnsi="Times New Roman" w:cs="Times New Roman"/>
          <w:sz w:val="24"/>
          <w:szCs w:val="24"/>
          <w:lang w:val="en-US"/>
        </w:rPr>
        <w:t>1588-1596, DOI: 10.1080/13504851.2017.1340565</w:t>
      </w:r>
    </w:p>
    <w:p w14:paraId="3A92474C" w14:textId="286C8B6B" w:rsidR="00657187" w:rsidRPr="00684570" w:rsidRDefault="00D31A73"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THORNTON, J., </w:t>
      </w:r>
      <w:r w:rsidR="00657187" w:rsidRPr="00684570">
        <w:rPr>
          <w:rFonts w:ascii="Times New Roman" w:hAnsi="Times New Roman" w:cs="Times New Roman"/>
          <w:sz w:val="24"/>
          <w:szCs w:val="24"/>
          <w:lang w:val="en-US"/>
        </w:rPr>
        <w:t>(</w:t>
      </w:r>
      <w:r w:rsidRPr="00684570">
        <w:rPr>
          <w:rFonts w:ascii="Times New Roman" w:hAnsi="Times New Roman" w:cs="Times New Roman"/>
          <w:sz w:val="24"/>
          <w:szCs w:val="24"/>
          <w:lang w:val="en-US"/>
        </w:rPr>
        <w:t xml:space="preserve">2002), </w:t>
      </w:r>
      <w:r w:rsidR="00657187" w:rsidRPr="00684570">
        <w:rPr>
          <w:rFonts w:ascii="Times New Roman" w:hAnsi="Times New Roman" w:cs="Times New Roman"/>
          <w:sz w:val="24"/>
          <w:szCs w:val="24"/>
          <w:lang w:val="en-US"/>
        </w:rPr>
        <w:t>Estimating a Health Production Functio</w:t>
      </w:r>
      <w:r w:rsidRPr="00684570">
        <w:rPr>
          <w:rFonts w:ascii="Times New Roman" w:hAnsi="Times New Roman" w:cs="Times New Roman"/>
          <w:sz w:val="24"/>
          <w:szCs w:val="24"/>
          <w:lang w:val="en-US"/>
        </w:rPr>
        <w:t>n for the US: Some New Evidence</w:t>
      </w:r>
      <w:r w:rsidR="00657187" w:rsidRPr="00684570">
        <w:rPr>
          <w:rFonts w:ascii="Times New Roman" w:hAnsi="Times New Roman" w:cs="Times New Roman"/>
          <w:sz w:val="24"/>
          <w:szCs w:val="24"/>
          <w:lang w:val="en-US"/>
        </w:rPr>
        <w:t xml:space="preserve">, </w:t>
      </w:r>
      <w:r w:rsidR="00657187" w:rsidRPr="00684570">
        <w:rPr>
          <w:rFonts w:ascii="Times New Roman" w:hAnsi="Times New Roman" w:cs="Times New Roman"/>
          <w:i/>
          <w:sz w:val="24"/>
          <w:szCs w:val="24"/>
          <w:lang w:val="en-US"/>
        </w:rPr>
        <w:t>Applied Economics</w:t>
      </w:r>
      <w:r w:rsidRPr="00684570">
        <w:rPr>
          <w:rFonts w:ascii="Times New Roman" w:hAnsi="Times New Roman" w:cs="Times New Roman"/>
          <w:sz w:val="24"/>
          <w:szCs w:val="24"/>
          <w:lang w:val="en-US"/>
        </w:rPr>
        <w:t>, 34(</w:t>
      </w:r>
      <w:r w:rsidR="00657187" w:rsidRPr="00684570">
        <w:rPr>
          <w:rFonts w:ascii="Times New Roman" w:hAnsi="Times New Roman" w:cs="Times New Roman"/>
          <w:sz w:val="24"/>
          <w:szCs w:val="24"/>
          <w:lang w:val="en-US"/>
        </w:rPr>
        <w:t>1</w:t>
      </w:r>
      <w:r w:rsidRPr="00684570">
        <w:rPr>
          <w:rFonts w:ascii="Times New Roman" w:hAnsi="Times New Roman" w:cs="Times New Roman"/>
          <w:sz w:val="24"/>
          <w:szCs w:val="24"/>
          <w:lang w:val="en-US"/>
        </w:rPr>
        <w:t xml:space="preserve">), </w:t>
      </w:r>
      <w:r w:rsidR="00657187" w:rsidRPr="00684570">
        <w:rPr>
          <w:rFonts w:ascii="Times New Roman" w:hAnsi="Times New Roman" w:cs="Times New Roman"/>
          <w:sz w:val="24"/>
          <w:szCs w:val="24"/>
          <w:lang w:val="en-US"/>
        </w:rPr>
        <w:t>59-62.</w:t>
      </w:r>
    </w:p>
    <w:p w14:paraId="746131CE" w14:textId="4525C63D" w:rsidR="0033057E" w:rsidRPr="00684570" w:rsidRDefault="0033057E"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 xml:space="preserve">World Bank Database, </w:t>
      </w:r>
      <w:hyperlink r:id="rId12" w:history="1">
        <w:r w:rsidRPr="00684570">
          <w:rPr>
            <w:rStyle w:val="ab"/>
            <w:rFonts w:ascii="Times New Roman" w:hAnsi="Times New Roman" w:cs="Times New Roman"/>
            <w:color w:val="auto"/>
            <w:sz w:val="24"/>
            <w:szCs w:val="24"/>
            <w:lang w:val="en-US"/>
          </w:rPr>
          <w:t>www.worldbank.org</w:t>
        </w:r>
      </w:hyperlink>
    </w:p>
    <w:p w14:paraId="28A75D0E" w14:textId="0DBFEFA9" w:rsidR="002D5834" w:rsidRPr="00684570" w:rsidRDefault="002D5834" w:rsidP="00684570">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84570">
        <w:rPr>
          <w:rFonts w:ascii="Times New Roman" w:hAnsi="Times New Roman" w:cs="Times New Roman"/>
          <w:sz w:val="24"/>
          <w:szCs w:val="24"/>
          <w:lang w:val="en-US"/>
        </w:rPr>
        <w:t>Wor</w:t>
      </w:r>
      <w:r w:rsidR="00D2669A" w:rsidRPr="00684570">
        <w:rPr>
          <w:rFonts w:ascii="Times New Roman" w:hAnsi="Times New Roman" w:cs="Times New Roman"/>
          <w:sz w:val="24"/>
          <w:szCs w:val="24"/>
          <w:lang w:val="en-US"/>
        </w:rPr>
        <w:t>ld Health Organization, (2011),</w:t>
      </w:r>
      <w:r w:rsidR="00D31A73" w:rsidRPr="00684570">
        <w:rPr>
          <w:rFonts w:ascii="Times New Roman" w:hAnsi="Times New Roman" w:cs="Times New Roman"/>
          <w:sz w:val="24"/>
          <w:szCs w:val="24"/>
          <w:lang w:val="en-US"/>
        </w:rPr>
        <w:t xml:space="preserve"> </w:t>
      </w:r>
      <w:r w:rsidRPr="00684570">
        <w:rPr>
          <w:rFonts w:ascii="Times New Roman" w:hAnsi="Times New Roman" w:cs="Times New Roman"/>
          <w:sz w:val="24"/>
          <w:szCs w:val="24"/>
          <w:lang w:val="en-US"/>
        </w:rPr>
        <w:t xml:space="preserve">Closing the </w:t>
      </w:r>
      <w:r w:rsidR="00D2669A" w:rsidRPr="00684570">
        <w:rPr>
          <w:rFonts w:ascii="Times New Roman" w:hAnsi="Times New Roman" w:cs="Times New Roman"/>
          <w:sz w:val="24"/>
          <w:szCs w:val="24"/>
          <w:lang w:val="en-US"/>
        </w:rPr>
        <w:t xml:space="preserve">Gap: </w:t>
      </w:r>
      <w:r w:rsidRPr="00684570">
        <w:rPr>
          <w:rFonts w:ascii="Times New Roman" w:hAnsi="Times New Roman" w:cs="Times New Roman"/>
          <w:sz w:val="24"/>
          <w:szCs w:val="24"/>
          <w:lang w:val="en-US"/>
        </w:rPr>
        <w:t xml:space="preserve">Policy </w:t>
      </w:r>
      <w:r w:rsidR="00D31A73" w:rsidRPr="00684570">
        <w:rPr>
          <w:rFonts w:ascii="Times New Roman" w:hAnsi="Times New Roman" w:cs="Times New Roman"/>
          <w:sz w:val="24"/>
          <w:szCs w:val="24"/>
          <w:lang w:val="en-US"/>
        </w:rPr>
        <w:t>i</w:t>
      </w:r>
      <w:r w:rsidR="00D2669A" w:rsidRPr="00684570">
        <w:rPr>
          <w:rFonts w:ascii="Times New Roman" w:hAnsi="Times New Roman" w:cs="Times New Roman"/>
          <w:sz w:val="24"/>
          <w:szCs w:val="24"/>
          <w:lang w:val="en-US"/>
        </w:rPr>
        <w:t xml:space="preserve">nto Practice on Social Determinants of Health. </w:t>
      </w:r>
      <w:r w:rsidRPr="00684570">
        <w:rPr>
          <w:rFonts w:ascii="Times New Roman" w:hAnsi="Times New Roman" w:cs="Times New Roman"/>
          <w:sz w:val="24"/>
          <w:szCs w:val="24"/>
          <w:lang w:val="en-US"/>
        </w:rPr>
        <w:t>Geneva</w:t>
      </w:r>
      <w:r w:rsidR="00D2669A" w:rsidRPr="00684570">
        <w:rPr>
          <w:rFonts w:ascii="Times New Roman" w:hAnsi="Times New Roman" w:cs="Times New Roman"/>
          <w:sz w:val="24"/>
          <w:szCs w:val="24"/>
          <w:lang w:val="en-US"/>
        </w:rPr>
        <w:t xml:space="preserve">, </w:t>
      </w:r>
      <w:r w:rsidRPr="00684570">
        <w:rPr>
          <w:rFonts w:ascii="Times New Roman" w:hAnsi="Times New Roman" w:cs="Times New Roman"/>
          <w:sz w:val="24"/>
          <w:szCs w:val="24"/>
          <w:lang w:val="en-US"/>
        </w:rPr>
        <w:t>Switzerland</w:t>
      </w:r>
      <w:r w:rsidR="00D2669A" w:rsidRPr="00684570">
        <w:rPr>
          <w:rFonts w:ascii="Times New Roman" w:hAnsi="Times New Roman" w:cs="Times New Roman"/>
          <w:sz w:val="24"/>
          <w:szCs w:val="24"/>
          <w:lang w:val="en-US"/>
        </w:rPr>
        <w:t>:</w:t>
      </w:r>
      <w:r w:rsidRPr="00684570">
        <w:rPr>
          <w:rFonts w:ascii="Times New Roman" w:hAnsi="Times New Roman" w:cs="Times New Roman"/>
          <w:sz w:val="24"/>
          <w:szCs w:val="24"/>
          <w:lang w:val="en-US"/>
        </w:rPr>
        <w:t xml:space="preserve"> Retrieved from </w:t>
      </w:r>
      <w:hyperlink r:id="rId13" w:history="1">
        <w:r w:rsidRPr="00684570">
          <w:rPr>
            <w:rStyle w:val="ab"/>
            <w:rFonts w:ascii="Times New Roman" w:hAnsi="Times New Roman" w:cs="Times New Roman"/>
            <w:color w:val="auto"/>
            <w:sz w:val="24"/>
            <w:szCs w:val="24"/>
            <w:lang w:val="en-US"/>
          </w:rPr>
          <w:t>http://www.who.int/sdhconference/</w:t>
        </w:r>
      </w:hyperlink>
      <w:r w:rsidRPr="00684570">
        <w:rPr>
          <w:rFonts w:ascii="Times New Roman" w:hAnsi="Times New Roman" w:cs="Times New Roman"/>
          <w:sz w:val="24"/>
          <w:szCs w:val="24"/>
          <w:lang w:val="en-US"/>
        </w:rPr>
        <w:t xml:space="preserve"> Discussion-paper-EN.pdf</w:t>
      </w:r>
    </w:p>
    <w:p w14:paraId="40513023" w14:textId="1759DFDE" w:rsidR="009A4639" w:rsidRPr="00684570" w:rsidRDefault="00D2669A" w:rsidP="00684570">
      <w:pPr>
        <w:spacing w:after="120" w:line="240" w:lineRule="auto"/>
        <w:ind w:left="284" w:hanging="284"/>
        <w:jc w:val="both"/>
        <w:rPr>
          <w:rFonts w:ascii="Times New Roman" w:hAnsi="Times New Roman" w:cs="Times New Roman"/>
          <w:sz w:val="24"/>
          <w:szCs w:val="24"/>
          <w:shd w:val="clear" w:color="auto" w:fill="FFFFFF"/>
          <w:lang w:val="en-US"/>
        </w:rPr>
      </w:pPr>
      <w:r w:rsidRPr="00684570">
        <w:rPr>
          <w:rFonts w:ascii="Times New Roman" w:hAnsi="Times New Roman" w:cs="Times New Roman"/>
          <w:sz w:val="24"/>
          <w:szCs w:val="24"/>
          <w:shd w:val="clear" w:color="auto" w:fill="FFFFFF"/>
          <w:lang w:val="en-US"/>
        </w:rPr>
        <w:t>WHO (2008),</w:t>
      </w:r>
      <w:r w:rsidR="00D31A73" w:rsidRPr="00684570">
        <w:rPr>
          <w:rFonts w:ascii="Times New Roman" w:hAnsi="Times New Roman" w:cs="Times New Roman"/>
          <w:sz w:val="24"/>
          <w:szCs w:val="24"/>
          <w:shd w:val="clear" w:color="auto" w:fill="FFFFFF"/>
          <w:lang w:val="en-US"/>
        </w:rPr>
        <w:t xml:space="preserve"> </w:t>
      </w:r>
      <w:r w:rsidR="00EC0C30" w:rsidRPr="00684570">
        <w:rPr>
          <w:rStyle w:val="ref-title"/>
          <w:rFonts w:ascii="Times New Roman" w:hAnsi="Times New Roman" w:cs="Times New Roman"/>
          <w:sz w:val="24"/>
          <w:szCs w:val="24"/>
          <w:shd w:val="clear" w:color="auto" w:fill="FFFFFF"/>
          <w:lang w:val="en-US"/>
        </w:rPr>
        <w:t xml:space="preserve">World </w:t>
      </w:r>
      <w:r w:rsidRPr="00684570">
        <w:rPr>
          <w:rStyle w:val="ref-title"/>
          <w:rFonts w:ascii="Times New Roman" w:hAnsi="Times New Roman" w:cs="Times New Roman"/>
          <w:sz w:val="24"/>
          <w:szCs w:val="24"/>
          <w:shd w:val="clear" w:color="auto" w:fill="FFFFFF"/>
          <w:lang w:val="en-US"/>
        </w:rPr>
        <w:t xml:space="preserve">Health Report 2008: </w:t>
      </w:r>
      <w:r w:rsidR="00EC0C30" w:rsidRPr="00684570">
        <w:rPr>
          <w:rStyle w:val="ref-title"/>
          <w:rFonts w:ascii="Times New Roman" w:hAnsi="Times New Roman" w:cs="Times New Roman"/>
          <w:sz w:val="24"/>
          <w:szCs w:val="24"/>
          <w:shd w:val="clear" w:color="auto" w:fill="FFFFFF"/>
          <w:lang w:val="en-US"/>
        </w:rPr>
        <w:t xml:space="preserve">Primary </w:t>
      </w:r>
      <w:r w:rsidRPr="00684570">
        <w:rPr>
          <w:rStyle w:val="ref-title"/>
          <w:rFonts w:ascii="Times New Roman" w:hAnsi="Times New Roman" w:cs="Times New Roman"/>
          <w:sz w:val="24"/>
          <w:szCs w:val="24"/>
          <w:shd w:val="clear" w:color="auto" w:fill="FFFFFF"/>
          <w:lang w:val="en-US"/>
        </w:rPr>
        <w:t>Health Care Now More than Over</w:t>
      </w:r>
      <w:r w:rsidR="00EC0C30" w:rsidRPr="00684570">
        <w:rPr>
          <w:rFonts w:ascii="Times New Roman" w:hAnsi="Times New Roman" w:cs="Times New Roman"/>
          <w:sz w:val="24"/>
          <w:szCs w:val="24"/>
          <w:shd w:val="clear" w:color="auto" w:fill="FFFFFF"/>
          <w:lang w:val="en-US"/>
        </w:rPr>
        <w:t>. </w:t>
      </w:r>
      <w:r w:rsidR="00EC0C30" w:rsidRPr="00684570">
        <w:rPr>
          <w:rStyle w:val="ref-journal"/>
          <w:rFonts w:ascii="Times New Roman" w:hAnsi="Times New Roman" w:cs="Times New Roman"/>
          <w:sz w:val="24"/>
          <w:szCs w:val="24"/>
          <w:shd w:val="clear" w:color="auto" w:fill="FFFFFF"/>
          <w:lang w:val="en-US"/>
        </w:rPr>
        <w:t>World Health Organization (WHO)</w:t>
      </w:r>
      <w:r w:rsidRPr="00684570">
        <w:rPr>
          <w:rFonts w:ascii="Times New Roman" w:hAnsi="Times New Roman" w:cs="Times New Roman"/>
          <w:sz w:val="24"/>
          <w:szCs w:val="24"/>
          <w:shd w:val="clear" w:color="auto" w:fill="FFFFFF"/>
          <w:lang w:val="en-US"/>
        </w:rPr>
        <w:t>, Geneva, Switzerland.</w:t>
      </w:r>
    </w:p>
    <w:p w14:paraId="083A6E9E" w14:textId="45FC9B31" w:rsidR="000A643C" w:rsidRPr="00684570" w:rsidRDefault="00D2669A" w:rsidP="00684570">
      <w:pPr>
        <w:spacing w:after="120" w:line="240" w:lineRule="auto"/>
        <w:ind w:left="284" w:hanging="284"/>
        <w:jc w:val="both"/>
        <w:rPr>
          <w:rFonts w:ascii="Times New Roman" w:hAnsi="Times New Roman" w:cs="Times New Roman"/>
          <w:b/>
          <w:sz w:val="24"/>
          <w:szCs w:val="24"/>
          <w:lang w:val="en-US"/>
        </w:rPr>
      </w:pPr>
      <w:r w:rsidRPr="00684570">
        <w:rPr>
          <w:rFonts w:ascii="Times New Roman" w:hAnsi="Times New Roman" w:cs="Times New Roman"/>
          <w:sz w:val="24"/>
          <w:szCs w:val="24"/>
          <w:shd w:val="clear" w:color="auto" w:fill="FFFFFF"/>
          <w:lang w:val="en-US"/>
        </w:rPr>
        <w:lastRenderedPageBreak/>
        <w:t>World Health Statistics, (2020),</w:t>
      </w:r>
      <w:r w:rsidR="00EC0C30" w:rsidRPr="00684570">
        <w:rPr>
          <w:rFonts w:ascii="Times New Roman" w:hAnsi="Times New Roman" w:cs="Times New Roman"/>
          <w:sz w:val="24"/>
          <w:szCs w:val="24"/>
          <w:shd w:val="clear" w:color="auto" w:fill="FFFFFF"/>
          <w:lang w:val="en-US"/>
        </w:rPr>
        <w:t xml:space="preserve"> Monitoring </w:t>
      </w:r>
      <w:r w:rsidRPr="00684570">
        <w:rPr>
          <w:rFonts w:ascii="Times New Roman" w:hAnsi="Times New Roman" w:cs="Times New Roman"/>
          <w:sz w:val="24"/>
          <w:szCs w:val="24"/>
          <w:shd w:val="clear" w:color="auto" w:fill="FFFFFF"/>
          <w:lang w:val="en-US"/>
        </w:rPr>
        <w:t>Health for SDGs,</w:t>
      </w:r>
      <w:r w:rsidRPr="00684570">
        <w:rPr>
          <w:rFonts w:ascii="Times New Roman" w:hAnsi="Times New Roman" w:cs="Times New Roman"/>
          <w:sz w:val="24"/>
          <w:szCs w:val="24"/>
          <w:lang w:val="en-US"/>
        </w:rPr>
        <w:t xml:space="preserve"> </w:t>
      </w:r>
      <w:r w:rsidRPr="00684570">
        <w:rPr>
          <w:rFonts w:ascii="Times New Roman" w:hAnsi="Times New Roman" w:cs="Times New Roman"/>
          <w:sz w:val="24"/>
          <w:szCs w:val="24"/>
          <w:shd w:val="clear" w:color="auto" w:fill="FFFFFF"/>
          <w:lang w:val="en-US"/>
        </w:rPr>
        <w:t xml:space="preserve">Sustainable Development Goals. </w:t>
      </w:r>
      <w:r w:rsidR="00EC0C30" w:rsidRPr="00684570">
        <w:rPr>
          <w:rFonts w:ascii="Times New Roman" w:hAnsi="Times New Roman" w:cs="Times New Roman"/>
          <w:sz w:val="24"/>
          <w:szCs w:val="24"/>
          <w:shd w:val="clear" w:color="auto" w:fill="FFFFFF"/>
          <w:lang w:val="en-US"/>
        </w:rPr>
        <w:t>Geneva</w:t>
      </w:r>
      <w:r w:rsidRPr="00684570">
        <w:rPr>
          <w:rFonts w:ascii="Times New Roman" w:hAnsi="Times New Roman" w:cs="Times New Roman"/>
          <w:sz w:val="24"/>
          <w:szCs w:val="24"/>
          <w:shd w:val="clear" w:color="auto" w:fill="FFFFFF"/>
          <w:lang w:val="en-US"/>
        </w:rPr>
        <w:t>:</w:t>
      </w:r>
      <w:r w:rsidR="00EC0C30" w:rsidRPr="00684570">
        <w:rPr>
          <w:rFonts w:ascii="Times New Roman" w:hAnsi="Times New Roman" w:cs="Times New Roman"/>
          <w:sz w:val="24"/>
          <w:szCs w:val="24"/>
          <w:shd w:val="clear" w:color="auto" w:fill="FFFFFF"/>
          <w:lang w:val="en-US"/>
        </w:rPr>
        <w:t xml:space="preserve"> World Health Organization; 2020.</w:t>
      </w:r>
    </w:p>
    <w:sectPr w:rsidR="000A643C" w:rsidRPr="00684570" w:rsidSect="003723B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6BC0E" w14:textId="77777777" w:rsidR="003946CC" w:rsidRDefault="003946CC" w:rsidP="000F74B5">
      <w:pPr>
        <w:spacing w:after="0" w:line="240" w:lineRule="auto"/>
      </w:pPr>
      <w:r>
        <w:separator/>
      </w:r>
    </w:p>
  </w:endnote>
  <w:endnote w:type="continuationSeparator" w:id="0">
    <w:p w14:paraId="3FBF8F27" w14:textId="77777777" w:rsidR="003946CC" w:rsidRDefault="003946CC" w:rsidP="000F7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jaVu Sans">
    <w:altName w:val="Arial"/>
    <w:charset w:val="00"/>
    <w:family w:val="swiss"/>
    <w:pitch w:val="variable"/>
    <w:sig w:usb0="00000000" w:usb1="5200FDFF" w:usb2="0A042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TIX-Regular">
    <w:altName w:val="MS Gothic"/>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E2877" w14:textId="77777777" w:rsidR="003946CC" w:rsidRDefault="003946CC" w:rsidP="000F74B5">
      <w:pPr>
        <w:spacing w:after="0" w:line="240" w:lineRule="auto"/>
      </w:pPr>
      <w:r>
        <w:separator/>
      </w:r>
    </w:p>
  </w:footnote>
  <w:footnote w:type="continuationSeparator" w:id="0">
    <w:p w14:paraId="6292FFAB" w14:textId="77777777" w:rsidR="003946CC" w:rsidRDefault="003946CC" w:rsidP="000F7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0AA0"/>
    <w:multiLevelType w:val="hybridMultilevel"/>
    <w:tmpl w:val="C91A89FC"/>
    <w:lvl w:ilvl="0" w:tplc="A4783A94">
      <w:start w:val="1"/>
      <w:numFmt w:val="low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49AE4CBD"/>
    <w:multiLevelType w:val="hybridMultilevel"/>
    <w:tmpl w:val="5E6CDABE"/>
    <w:lvl w:ilvl="0" w:tplc="6BBA1BFE">
      <w:start w:val="1"/>
      <w:numFmt w:val="low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 w15:restartNumberingAfterBreak="0">
    <w:nsid w:val="71713E92"/>
    <w:multiLevelType w:val="hybridMultilevel"/>
    <w:tmpl w:val="3EE08794"/>
    <w:lvl w:ilvl="0" w:tplc="C426661A">
      <w:start w:val="1"/>
      <w:numFmt w:val="lowerRoman"/>
      <w:lvlText w:val="%1)"/>
      <w:lvlJc w:val="left"/>
      <w:pPr>
        <w:ind w:left="2520" w:hanging="720"/>
      </w:pPr>
      <w:rPr>
        <w:rFonts w:ascii="Times New Roman" w:eastAsia="DejaVu Sans" w:hAnsi="Times New Roman" w:cs="Times New Roman"/>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 w15:restartNumberingAfterBreak="0">
    <w:nsid w:val="727B33D0"/>
    <w:multiLevelType w:val="hybridMultilevel"/>
    <w:tmpl w:val="CE8C818A"/>
    <w:lvl w:ilvl="0" w:tplc="C4B2976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234"/>
    <w:rsid w:val="000038D7"/>
    <w:rsid w:val="00005309"/>
    <w:rsid w:val="00007C37"/>
    <w:rsid w:val="000164D3"/>
    <w:rsid w:val="000226F7"/>
    <w:rsid w:val="000262B0"/>
    <w:rsid w:val="000273A4"/>
    <w:rsid w:val="00034583"/>
    <w:rsid w:val="0004390E"/>
    <w:rsid w:val="000558B8"/>
    <w:rsid w:val="00067260"/>
    <w:rsid w:val="00081D9A"/>
    <w:rsid w:val="00083EA2"/>
    <w:rsid w:val="00097234"/>
    <w:rsid w:val="00097AD5"/>
    <w:rsid w:val="000A643C"/>
    <w:rsid w:val="000A6C00"/>
    <w:rsid w:val="000B129C"/>
    <w:rsid w:val="000B79C3"/>
    <w:rsid w:val="000C0EA8"/>
    <w:rsid w:val="000C46B2"/>
    <w:rsid w:val="000C5653"/>
    <w:rsid w:val="000C7C41"/>
    <w:rsid w:val="000D7810"/>
    <w:rsid w:val="000E08C4"/>
    <w:rsid w:val="000E33DE"/>
    <w:rsid w:val="000E5AF8"/>
    <w:rsid w:val="000F3ADB"/>
    <w:rsid w:val="000F74B5"/>
    <w:rsid w:val="001029B1"/>
    <w:rsid w:val="00102E71"/>
    <w:rsid w:val="00104444"/>
    <w:rsid w:val="0011338F"/>
    <w:rsid w:val="00126BD7"/>
    <w:rsid w:val="00132E4D"/>
    <w:rsid w:val="001517F1"/>
    <w:rsid w:val="001529C9"/>
    <w:rsid w:val="00154E93"/>
    <w:rsid w:val="00157FEE"/>
    <w:rsid w:val="001664BB"/>
    <w:rsid w:val="001704D3"/>
    <w:rsid w:val="00172597"/>
    <w:rsid w:val="0017345C"/>
    <w:rsid w:val="001763DD"/>
    <w:rsid w:val="00177931"/>
    <w:rsid w:val="00181C51"/>
    <w:rsid w:val="00193D42"/>
    <w:rsid w:val="001958CC"/>
    <w:rsid w:val="001A0CF4"/>
    <w:rsid w:val="001A27AE"/>
    <w:rsid w:val="001A4289"/>
    <w:rsid w:val="001A6806"/>
    <w:rsid w:val="001B214F"/>
    <w:rsid w:val="001B38E7"/>
    <w:rsid w:val="001C4C78"/>
    <w:rsid w:val="001C54BA"/>
    <w:rsid w:val="001D12DC"/>
    <w:rsid w:val="001D3882"/>
    <w:rsid w:val="001D74F3"/>
    <w:rsid w:val="001D7515"/>
    <w:rsid w:val="001E7744"/>
    <w:rsid w:val="001F065F"/>
    <w:rsid w:val="001F29B4"/>
    <w:rsid w:val="001F75A1"/>
    <w:rsid w:val="002041D8"/>
    <w:rsid w:val="0020443D"/>
    <w:rsid w:val="002055BC"/>
    <w:rsid w:val="00212277"/>
    <w:rsid w:val="00214E46"/>
    <w:rsid w:val="00216C7B"/>
    <w:rsid w:val="0022341C"/>
    <w:rsid w:val="00241A55"/>
    <w:rsid w:val="002427F5"/>
    <w:rsid w:val="0024435A"/>
    <w:rsid w:val="00244455"/>
    <w:rsid w:val="002450C7"/>
    <w:rsid w:val="002456D1"/>
    <w:rsid w:val="00247E85"/>
    <w:rsid w:val="00251D77"/>
    <w:rsid w:val="00255087"/>
    <w:rsid w:val="002562DD"/>
    <w:rsid w:val="00264AB3"/>
    <w:rsid w:val="0026575A"/>
    <w:rsid w:val="002704B0"/>
    <w:rsid w:val="00282744"/>
    <w:rsid w:val="002870BE"/>
    <w:rsid w:val="002921B6"/>
    <w:rsid w:val="002A054E"/>
    <w:rsid w:val="002B2359"/>
    <w:rsid w:val="002B2814"/>
    <w:rsid w:val="002B5A79"/>
    <w:rsid w:val="002C4B8D"/>
    <w:rsid w:val="002C5A55"/>
    <w:rsid w:val="002D09FC"/>
    <w:rsid w:val="002D1959"/>
    <w:rsid w:val="002D4EDB"/>
    <w:rsid w:val="002D5834"/>
    <w:rsid w:val="002D5C4A"/>
    <w:rsid w:val="002D5F5E"/>
    <w:rsid w:val="002E1360"/>
    <w:rsid w:val="002E1FF8"/>
    <w:rsid w:val="002E62DF"/>
    <w:rsid w:val="002E7B1A"/>
    <w:rsid w:val="002F7C83"/>
    <w:rsid w:val="00322393"/>
    <w:rsid w:val="003248ED"/>
    <w:rsid w:val="00324ADC"/>
    <w:rsid w:val="0033057E"/>
    <w:rsid w:val="003364E5"/>
    <w:rsid w:val="00337354"/>
    <w:rsid w:val="00342D3E"/>
    <w:rsid w:val="0035273B"/>
    <w:rsid w:val="00357B1A"/>
    <w:rsid w:val="0036377C"/>
    <w:rsid w:val="00370548"/>
    <w:rsid w:val="003723BD"/>
    <w:rsid w:val="0037445C"/>
    <w:rsid w:val="003860BA"/>
    <w:rsid w:val="00390E54"/>
    <w:rsid w:val="003946CC"/>
    <w:rsid w:val="003A22F9"/>
    <w:rsid w:val="003A7033"/>
    <w:rsid w:val="003B5D4B"/>
    <w:rsid w:val="003B752D"/>
    <w:rsid w:val="003C1E65"/>
    <w:rsid w:val="003C382A"/>
    <w:rsid w:val="003D0A9E"/>
    <w:rsid w:val="003D68C1"/>
    <w:rsid w:val="003E6687"/>
    <w:rsid w:val="003F22BB"/>
    <w:rsid w:val="003F50F8"/>
    <w:rsid w:val="00401AD4"/>
    <w:rsid w:val="004308C0"/>
    <w:rsid w:val="0043253D"/>
    <w:rsid w:val="00437341"/>
    <w:rsid w:val="00443804"/>
    <w:rsid w:val="00450E06"/>
    <w:rsid w:val="00451DFB"/>
    <w:rsid w:val="00461946"/>
    <w:rsid w:val="00465822"/>
    <w:rsid w:val="004719BB"/>
    <w:rsid w:val="00472393"/>
    <w:rsid w:val="004752C2"/>
    <w:rsid w:val="004810E8"/>
    <w:rsid w:val="004825FE"/>
    <w:rsid w:val="0048770F"/>
    <w:rsid w:val="0049203A"/>
    <w:rsid w:val="00493E95"/>
    <w:rsid w:val="004A47CE"/>
    <w:rsid w:val="004B091C"/>
    <w:rsid w:val="004B4E9C"/>
    <w:rsid w:val="004C0A72"/>
    <w:rsid w:val="004C7C4C"/>
    <w:rsid w:val="004D2EBA"/>
    <w:rsid w:val="004E1261"/>
    <w:rsid w:val="004F2247"/>
    <w:rsid w:val="004F26EA"/>
    <w:rsid w:val="004F3ED8"/>
    <w:rsid w:val="004F6AA8"/>
    <w:rsid w:val="00500470"/>
    <w:rsid w:val="00502A84"/>
    <w:rsid w:val="0050329F"/>
    <w:rsid w:val="005133EB"/>
    <w:rsid w:val="00522011"/>
    <w:rsid w:val="005260CF"/>
    <w:rsid w:val="005431DC"/>
    <w:rsid w:val="005455C2"/>
    <w:rsid w:val="00547861"/>
    <w:rsid w:val="00547D7E"/>
    <w:rsid w:val="005512B7"/>
    <w:rsid w:val="005515DA"/>
    <w:rsid w:val="00552DF0"/>
    <w:rsid w:val="005711B4"/>
    <w:rsid w:val="005724FC"/>
    <w:rsid w:val="00572BE4"/>
    <w:rsid w:val="005805F7"/>
    <w:rsid w:val="005928E4"/>
    <w:rsid w:val="00596646"/>
    <w:rsid w:val="00597B6E"/>
    <w:rsid w:val="005A7742"/>
    <w:rsid w:val="005C6307"/>
    <w:rsid w:val="005D019F"/>
    <w:rsid w:val="005D0FBD"/>
    <w:rsid w:val="005D1157"/>
    <w:rsid w:val="005D25E2"/>
    <w:rsid w:val="005D2618"/>
    <w:rsid w:val="005D3967"/>
    <w:rsid w:val="005D46DE"/>
    <w:rsid w:val="005E0543"/>
    <w:rsid w:val="005E0C56"/>
    <w:rsid w:val="005F1226"/>
    <w:rsid w:val="005F2450"/>
    <w:rsid w:val="005F3A47"/>
    <w:rsid w:val="005F646C"/>
    <w:rsid w:val="00600E9B"/>
    <w:rsid w:val="006024EC"/>
    <w:rsid w:val="00603AA5"/>
    <w:rsid w:val="00603AAE"/>
    <w:rsid w:val="006042C5"/>
    <w:rsid w:val="006202BB"/>
    <w:rsid w:val="00620680"/>
    <w:rsid w:val="006225E2"/>
    <w:rsid w:val="006229CD"/>
    <w:rsid w:val="00625B20"/>
    <w:rsid w:val="00627FCA"/>
    <w:rsid w:val="0064202A"/>
    <w:rsid w:val="00642A6F"/>
    <w:rsid w:val="006468A3"/>
    <w:rsid w:val="00647084"/>
    <w:rsid w:val="00652327"/>
    <w:rsid w:val="006539A6"/>
    <w:rsid w:val="00657187"/>
    <w:rsid w:val="0067473D"/>
    <w:rsid w:val="00680F2E"/>
    <w:rsid w:val="00683C32"/>
    <w:rsid w:val="00684570"/>
    <w:rsid w:val="00687550"/>
    <w:rsid w:val="00691661"/>
    <w:rsid w:val="006A032E"/>
    <w:rsid w:val="006A51FC"/>
    <w:rsid w:val="006A5666"/>
    <w:rsid w:val="006B010F"/>
    <w:rsid w:val="006B2F28"/>
    <w:rsid w:val="006B44B6"/>
    <w:rsid w:val="006C5DEF"/>
    <w:rsid w:val="006D05A4"/>
    <w:rsid w:val="006D6C15"/>
    <w:rsid w:val="006E0A6F"/>
    <w:rsid w:val="006F5942"/>
    <w:rsid w:val="006F62B7"/>
    <w:rsid w:val="006F76C3"/>
    <w:rsid w:val="007006F3"/>
    <w:rsid w:val="0070516B"/>
    <w:rsid w:val="0070544B"/>
    <w:rsid w:val="00706672"/>
    <w:rsid w:val="0071548C"/>
    <w:rsid w:val="00721176"/>
    <w:rsid w:val="00730FD0"/>
    <w:rsid w:val="00732D94"/>
    <w:rsid w:val="0073525F"/>
    <w:rsid w:val="00737107"/>
    <w:rsid w:val="00742B74"/>
    <w:rsid w:val="00743930"/>
    <w:rsid w:val="00744105"/>
    <w:rsid w:val="00750C3B"/>
    <w:rsid w:val="007650C9"/>
    <w:rsid w:val="00782D81"/>
    <w:rsid w:val="00783CC6"/>
    <w:rsid w:val="00797362"/>
    <w:rsid w:val="007A100C"/>
    <w:rsid w:val="007B1D65"/>
    <w:rsid w:val="007C0E1E"/>
    <w:rsid w:val="007D2B89"/>
    <w:rsid w:val="007D329A"/>
    <w:rsid w:val="007D33E8"/>
    <w:rsid w:val="007E0B94"/>
    <w:rsid w:val="007E2EF0"/>
    <w:rsid w:val="007E350E"/>
    <w:rsid w:val="007E37E6"/>
    <w:rsid w:val="007E5A5B"/>
    <w:rsid w:val="007F696E"/>
    <w:rsid w:val="008366DA"/>
    <w:rsid w:val="0084153F"/>
    <w:rsid w:val="0085201B"/>
    <w:rsid w:val="0085765A"/>
    <w:rsid w:val="00861706"/>
    <w:rsid w:val="00861D5B"/>
    <w:rsid w:val="008622EA"/>
    <w:rsid w:val="00873550"/>
    <w:rsid w:val="008769CA"/>
    <w:rsid w:val="00882A9E"/>
    <w:rsid w:val="00890BDC"/>
    <w:rsid w:val="00891BB8"/>
    <w:rsid w:val="008A4089"/>
    <w:rsid w:val="008A5803"/>
    <w:rsid w:val="008B19F8"/>
    <w:rsid w:val="008B36DB"/>
    <w:rsid w:val="008B51C7"/>
    <w:rsid w:val="008B57DE"/>
    <w:rsid w:val="008B7F0D"/>
    <w:rsid w:val="008C37C3"/>
    <w:rsid w:val="008C5C85"/>
    <w:rsid w:val="008D6D1E"/>
    <w:rsid w:val="008D7639"/>
    <w:rsid w:val="008E00CB"/>
    <w:rsid w:val="008E0A98"/>
    <w:rsid w:val="008E2C8F"/>
    <w:rsid w:val="008E51A4"/>
    <w:rsid w:val="008F55E0"/>
    <w:rsid w:val="00900CE1"/>
    <w:rsid w:val="00907EE6"/>
    <w:rsid w:val="009154CD"/>
    <w:rsid w:val="00917878"/>
    <w:rsid w:val="00924468"/>
    <w:rsid w:val="009264F2"/>
    <w:rsid w:val="00931BF0"/>
    <w:rsid w:val="009323E4"/>
    <w:rsid w:val="00940282"/>
    <w:rsid w:val="00940E86"/>
    <w:rsid w:val="00944FCF"/>
    <w:rsid w:val="00950CCD"/>
    <w:rsid w:val="00956CBA"/>
    <w:rsid w:val="009601CD"/>
    <w:rsid w:val="00965938"/>
    <w:rsid w:val="00965FBD"/>
    <w:rsid w:val="00971819"/>
    <w:rsid w:val="00982AE4"/>
    <w:rsid w:val="0098662F"/>
    <w:rsid w:val="00991CC4"/>
    <w:rsid w:val="00992E7D"/>
    <w:rsid w:val="0099305A"/>
    <w:rsid w:val="009955DF"/>
    <w:rsid w:val="00997031"/>
    <w:rsid w:val="009A4639"/>
    <w:rsid w:val="009A59F9"/>
    <w:rsid w:val="009C094F"/>
    <w:rsid w:val="009C7D4C"/>
    <w:rsid w:val="009D0538"/>
    <w:rsid w:val="009D4FE7"/>
    <w:rsid w:val="009E4ABE"/>
    <w:rsid w:val="009F121D"/>
    <w:rsid w:val="009F5525"/>
    <w:rsid w:val="009F5A7F"/>
    <w:rsid w:val="00A22B0C"/>
    <w:rsid w:val="00A24324"/>
    <w:rsid w:val="00A3349D"/>
    <w:rsid w:val="00A53DEE"/>
    <w:rsid w:val="00A54301"/>
    <w:rsid w:val="00A552BA"/>
    <w:rsid w:val="00A55A45"/>
    <w:rsid w:val="00A55DD0"/>
    <w:rsid w:val="00A56A50"/>
    <w:rsid w:val="00A62CDA"/>
    <w:rsid w:val="00A62D2B"/>
    <w:rsid w:val="00A66781"/>
    <w:rsid w:val="00A716AD"/>
    <w:rsid w:val="00A7347D"/>
    <w:rsid w:val="00A73A78"/>
    <w:rsid w:val="00A73BE8"/>
    <w:rsid w:val="00A749EB"/>
    <w:rsid w:val="00A92F83"/>
    <w:rsid w:val="00A94804"/>
    <w:rsid w:val="00A95FBE"/>
    <w:rsid w:val="00A968BD"/>
    <w:rsid w:val="00AA3EB3"/>
    <w:rsid w:val="00AA7BF0"/>
    <w:rsid w:val="00AB481E"/>
    <w:rsid w:val="00AC119F"/>
    <w:rsid w:val="00AC6672"/>
    <w:rsid w:val="00AD0E33"/>
    <w:rsid w:val="00AD7AEA"/>
    <w:rsid w:val="00AE02E6"/>
    <w:rsid w:val="00AF42B9"/>
    <w:rsid w:val="00AF6F25"/>
    <w:rsid w:val="00AF7D9B"/>
    <w:rsid w:val="00B028BC"/>
    <w:rsid w:val="00B04AC9"/>
    <w:rsid w:val="00B04F70"/>
    <w:rsid w:val="00B07451"/>
    <w:rsid w:val="00B07F37"/>
    <w:rsid w:val="00B116D7"/>
    <w:rsid w:val="00B20EF5"/>
    <w:rsid w:val="00B261DF"/>
    <w:rsid w:val="00B30BDF"/>
    <w:rsid w:val="00B40A1D"/>
    <w:rsid w:val="00B43CB0"/>
    <w:rsid w:val="00B447E3"/>
    <w:rsid w:val="00B46F25"/>
    <w:rsid w:val="00B5085A"/>
    <w:rsid w:val="00B5333D"/>
    <w:rsid w:val="00B66873"/>
    <w:rsid w:val="00B6733E"/>
    <w:rsid w:val="00B72399"/>
    <w:rsid w:val="00B75859"/>
    <w:rsid w:val="00B86FDD"/>
    <w:rsid w:val="00B94551"/>
    <w:rsid w:val="00BA3CE4"/>
    <w:rsid w:val="00BB07DF"/>
    <w:rsid w:val="00BB095F"/>
    <w:rsid w:val="00BC5355"/>
    <w:rsid w:val="00BD66E8"/>
    <w:rsid w:val="00BE0FBA"/>
    <w:rsid w:val="00BE54EC"/>
    <w:rsid w:val="00BE6D34"/>
    <w:rsid w:val="00C01713"/>
    <w:rsid w:val="00C02A23"/>
    <w:rsid w:val="00C02BDB"/>
    <w:rsid w:val="00C0612F"/>
    <w:rsid w:val="00C07E7A"/>
    <w:rsid w:val="00C12120"/>
    <w:rsid w:val="00C21B37"/>
    <w:rsid w:val="00C27DE2"/>
    <w:rsid w:val="00C4071A"/>
    <w:rsid w:val="00C46C2A"/>
    <w:rsid w:val="00C47102"/>
    <w:rsid w:val="00C47BC5"/>
    <w:rsid w:val="00C52B24"/>
    <w:rsid w:val="00C5382B"/>
    <w:rsid w:val="00C53B32"/>
    <w:rsid w:val="00C575A2"/>
    <w:rsid w:val="00C60675"/>
    <w:rsid w:val="00C631BD"/>
    <w:rsid w:val="00C731C0"/>
    <w:rsid w:val="00C77480"/>
    <w:rsid w:val="00C93FD9"/>
    <w:rsid w:val="00C9789A"/>
    <w:rsid w:val="00CA3A85"/>
    <w:rsid w:val="00CA6454"/>
    <w:rsid w:val="00CA7BCE"/>
    <w:rsid w:val="00CB2C7E"/>
    <w:rsid w:val="00CB418E"/>
    <w:rsid w:val="00CB4F7B"/>
    <w:rsid w:val="00CD34AF"/>
    <w:rsid w:val="00CE4504"/>
    <w:rsid w:val="00CE50DB"/>
    <w:rsid w:val="00CF0660"/>
    <w:rsid w:val="00CF414D"/>
    <w:rsid w:val="00CF5D45"/>
    <w:rsid w:val="00D02B7F"/>
    <w:rsid w:val="00D0526B"/>
    <w:rsid w:val="00D1673B"/>
    <w:rsid w:val="00D17A3E"/>
    <w:rsid w:val="00D234A3"/>
    <w:rsid w:val="00D25CC3"/>
    <w:rsid w:val="00D2610B"/>
    <w:rsid w:val="00D2669A"/>
    <w:rsid w:val="00D31014"/>
    <w:rsid w:val="00D31919"/>
    <w:rsid w:val="00D31A73"/>
    <w:rsid w:val="00D36BCC"/>
    <w:rsid w:val="00D407D1"/>
    <w:rsid w:val="00D4219F"/>
    <w:rsid w:val="00D44F43"/>
    <w:rsid w:val="00D5017E"/>
    <w:rsid w:val="00D5372F"/>
    <w:rsid w:val="00D63AFC"/>
    <w:rsid w:val="00D652E5"/>
    <w:rsid w:val="00D67374"/>
    <w:rsid w:val="00D81D70"/>
    <w:rsid w:val="00D8497A"/>
    <w:rsid w:val="00D93924"/>
    <w:rsid w:val="00D96944"/>
    <w:rsid w:val="00DA58B2"/>
    <w:rsid w:val="00DA58F5"/>
    <w:rsid w:val="00DB142F"/>
    <w:rsid w:val="00DB37C1"/>
    <w:rsid w:val="00DB4A4C"/>
    <w:rsid w:val="00DB7461"/>
    <w:rsid w:val="00DD162B"/>
    <w:rsid w:val="00DD311A"/>
    <w:rsid w:val="00DD64A2"/>
    <w:rsid w:val="00DE038C"/>
    <w:rsid w:val="00DE68EE"/>
    <w:rsid w:val="00DF4201"/>
    <w:rsid w:val="00DF4A46"/>
    <w:rsid w:val="00DF6478"/>
    <w:rsid w:val="00E071F1"/>
    <w:rsid w:val="00E20983"/>
    <w:rsid w:val="00E22B8E"/>
    <w:rsid w:val="00E27FD8"/>
    <w:rsid w:val="00E30CCD"/>
    <w:rsid w:val="00E33673"/>
    <w:rsid w:val="00E338F0"/>
    <w:rsid w:val="00E37CBF"/>
    <w:rsid w:val="00E44FC5"/>
    <w:rsid w:val="00E47839"/>
    <w:rsid w:val="00E50A98"/>
    <w:rsid w:val="00E545BB"/>
    <w:rsid w:val="00E55276"/>
    <w:rsid w:val="00E612AB"/>
    <w:rsid w:val="00E67326"/>
    <w:rsid w:val="00E7750E"/>
    <w:rsid w:val="00E81433"/>
    <w:rsid w:val="00E86828"/>
    <w:rsid w:val="00E90761"/>
    <w:rsid w:val="00E91970"/>
    <w:rsid w:val="00E919C8"/>
    <w:rsid w:val="00E959E8"/>
    <w:rsid w:val="00EA01F0"/>
    <w:rsid w:val="00EA16A6"/>
    <w:rsid w:val="00EA1B88"/>
    <w:rsid w:val="00EB0505"/>
    <w:rsid w:val="00EB179D"/>
    <w:rsid w:val="00EB79BB"/>
    <w:rsid w:val="00EC0874"/>
    <w:rsid w:val="00EC0C30"/>
    <w:rsid w:val="00EC502A"/>
    <w:rsid w:val="00EC534C"/>
    <w:rsid w:val="00EE307F"/>
    <w:rsid w:val="00EF5E88"/>
    <w:rsid w:val="00EF7C9A"/>
    <w:rsid w:val="00F01473"/>
    <w:rsid w:val="00F02DAF"/>
    <w:rsid w:val="00F25ECE"/>
    <w:rsid w:val="00F457A1"/>
    <w:rsid w:val="00F52A5B"/>
    <w:rsid w:val="00F52B93"/>
    <w:rsid w:val="00F5658C"/>
    <w:rsid w:val="00F64775"/>
    <w:rsid w:val="00F64BE1"/>
    <w:rsid w:val="00F65477"/>
    <w:rsid w:val="00F65823"/>
    <w:rsid w:val="00F674E3"/>
    <w:rsid w:val="00F82ED1"/>
    <w:rsid w:val="00F9226F"/>
    <w:rsid w:val="00FA1029"/>
    <w:rsid w:val="00FA3234"/>
    <w:rsid w:val="00FB3A20"/>
    <w:rsid w:val="00FB7A2B"/>
    <w:rsid w:val="00FC6244"/>
    <w:rsid w:val="00FD616E"/>
    <w:rsid w:val="00FD7D86"/>
    <w:rsid w:val="00FF0578"/>
    <w:rsid w:val="00FF1D62"/>
    <w:rsid w:val="00FF57B2"/>
    <w:rsid w:val="00FF5A47"/>
    <w:rsid w:val="00FF7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80B6"/>
  <w15:docId w15:val="{8F688448-0A95-4A2C-891C-CD1D7F20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234"/>
  </w:style>
  <w:style w:type="paragraph" w:styleId="1">
    <w:name w:val="heading 1"/>
    <w:basedOn w:val="a"/>
    <w:next w:val="a"/>
    <w:link w:val="10"/>
    <w:uiPriority w:val="9"/>
    <w:qFormat/>
    <w:rsid w:val="00EC0C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42D3E"/>
    <w:rPr>
      <w:sz w:val="16"/>
      <w:szCs w:val="16"/>
    </w:rPr>
  </w:style>
  <w:style w:type="paragraph" w:styleId="a4">
    <w:name w:val="annotation text"/>
    <w:basedOn w:val="a"/>
    <w:link w:val="a5"/>
    <w:uiPriority w:val="99"/>
    <w:semiHidden/>
    <w:unhideWhenUsed/>
    <w:rsid w:val="00342D3E"/>
    <w:pPr>
      <w:spacing w:line="240" w:lineRule="auto"/>
    </w:pPr>
    <w:rPr>
      <w:sz w:val="20"/>
      <w:szCs w:val="20"/>
    </w:rPr>
  </w:style>
  <w:style w:type="character" w:customStyle="1" w:styleId="a5">
    <w:name w:val="Текст примечания Знак"/>
    <w:basedOn w:val="a0"/>
    <w:link w:val="a4"/>
    <w:uiPriority w:val="99"/>
    <w:semiHidden/>
    <w:rsid w:val="00342D3E"/>
    <w:rPr>
      <w:sz w:val="20"/>
      <w:szCs w:val="20"/>
    </w:rPr>
  </w:style>
  <w:style w:type="paragraph" w:styleId="a6">
    <w:name w:val="annotation subject"/>
    <w:basedOn w:val="a4"/>
    <w:next w:val="a4"/>
    <w:link w:val="a7"/>
    <w:uiPriority w:val="99"/>
    <w:semiHidden/>
    <w:unhideWhenUsed/>
    <w:rsid w:val="00342D3E"/>
    <w:rPr>
      <w:b/>
      <w:bCs/>
    </w:rPr>
  </w:style>
  <w:style w:type="character" w:customStyle="1" w:styleId="a7">
    <w:name w:val="Тема примечания Знак"/>
    <w:basedOn w:val="a5"/>
    <w:link w:val="a6"/>
    <w:uiPriority w:val="99"/>
    <w:semiHidden/>
    <w:rsid w:val="00342D3E"/>
    <w:rPr>
      <w:b/>
      <w:bCs/>
      <w:sz w:val="20"/>
      <w:szCs w:val="20"/>
    </w:rPr>
  </w:style>
  <w:style w:type="paragraph" w:styleId="a8">
    <w:name w:val="Balloon Text"/>
    <w:basedOn w:val="a"/>
    <w:link w:val="a9"/>
    <w:uiPriority w:val="99"/>
    <w:semiHidden/>
    <w:unhideWhenUsed/>
    <w:rsid w:val="00342D3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42D3E"/>
    <w:rPr>
      <w:rFonts w:ascii="Segoe UI" w:hAnsi="Segoe UI" w:cs="Segoe UI"/>
      <w:sz w:val="18"/>
      <w:szCs w:val="18"/>
    </w:rPr>
  </w:style>
  <w:style w:type="table" w:styleId="aa">
    <w:name w:val="Table Grid"/>
    <w:basedOn w:val="a1"/>
    <w:uiPriority w:val="39"/>
    <w:rsid w:val="00C27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042C5"/>
    <w:rPr>
      <w:color w:val="0563C1" w:themeColor="hyperlink"/>
      <w:u w:val="single"/>
    </w:rPr>
  </w:style>
  <w:style w:type="table" w:customStyle="1" w:styleId="2">
    <w:name w:val="Сетка таблицы2"/>
    <w:basedOn w:val="a1"/>
    <w:next w:val="aa"/>
    <w:uiPriority w:val="39"/>
    <w:rsid w:val="002443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a"/>
    <w:uiPriority w:val="59"/>
    <w:rsid w:val="0024435A"/>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a"/>
    <w:uiPriority w:val="39"/>
    <w:rsid w:val="002443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1A4289"/>
    <w:rPr>
      <w:color w:val="808080"/>
    </w:rPr>
  </w:style>
  <w:style w:type="table" w:customStyle="1" w:styleId="4">
    <w:name w:val="Сетка таблицы4"/>
    <w:basedOn w:val="a1"/>
    <w:next w:val="aa"/>
    <w:uiPriority w:val="39"/>
    <w:rsid w:val="00264A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title">
    <w:name w:val="ref-title"/>
    <w:basedOn w:val="a0"/>
    <w:rsid w:val="002562DD"/>
  </w:style>
  <w:style w:type="character" w:customStyle="1" w:styleId="ref-journal">
    <w:name w:val="ref-journal"/>
    <w:basedOn w:val="a0"/>
    <w:rsid w:val="002562DD"/>
  </w:style>
  <w:style w:type="character" w:styleId="ad">
    <w:name w:val="Emphasis"/>
    <w:basedOn w:val="a0"/>
    <w:uiPriority w:val="20"/>
    <w:qFormat/>
    <w:rsid w:val="00DB142F"/>
    <w:rPr>
      <w:i/>
      <w:iCs/>
    </w:rPr>
  </w:style>
  <w:style w:type="paragraph" w:styleId="ae">
    <w:name w:val="header"/>
    <w:basedOn w:val="a"/>
    <w:link w:val="af"/>
    <w:uiPriority w:val="99"/>
    <w:unhideWhenUsed/>
    <w:rsid w:val="000F74B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F74B5"/>
  </w:style>
  <w:style w:type="paragraph" w:styleId="af0">
    <w:name w:val="footer"/>
    <w:basedOn w:val="a"/>
    <w:link w:val="af1"/>
    <w:uiPriority w:val="99"/>
    <w:unhideWhenUsed/>
    <w:rsid w:val="000F74B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F74B5"/>
  </w:style>
  <w:style w:type="paragraph" w:styleId="af2">
    <w:name w:val="List Paragraph"/>
    <w:basedOn w:val="a"/>
    <w:uiPriority w:val="34"/>
    <w:qFormat/>
    <w:rsid w:val="002055BC"/>
    <w:pPr>
      <w:ind w:left="720"/>
      <w:contextualSpacing/>
    </w:pPr>
  </w:style>
  <w:style w:type="character" w:customStyle="1" w:styleId="10">
    <w:name w:val="Заголовок 1 Знак"/>
    <w:basedOn w:val="a0"/>
    <w:link w:val="1"/>
    <w:uiPriority w:val="9"/>
    <w:rsid w:val="00EC0C3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5144">
      <w:bodyDiv w:val="1"/>
      <w:marLeft w:val="0"/>
      <w:marRight w:val="0"/>
      <w:marTop w:val="0"/>
      <w:marBottom w:val="0"/>
      <w:divBdr>
        <w:top w:val="none" w:sz="0" w:space="0" w:color="auto"/>
        <w:left w:val="none" w:sz="0" w:space="0" w:color="auto"/>
        <w:bottom w:val="none" w:sz="0" w:space="0" w:color="auto"/>
        <w:right w:val="none" w:sz="0" w:space="0" w:color="auto"/>
      </w:divBdr>
    </w:div>
    <w:div w:id="225183760">
      <w:bodyDiv w:val="1"/>
      <w:marLeft w:val="0"/>
      <w:marRight w:val="0"/>
      <w:marTop w:val="0"/>
      <w:marBottom w:val="0"/>
      <w:divBdr>
        <w:top w:val="none" w:sz="0" w:space="0" w:color="auto"/>
        <w:left w:val="none" w:sz="0" w:space="0" w:color="auto"/>
        <w:bottom w:val="none" w:sz="0" w:space="0" w:color="auto"/>
        <w:right w:val="none" w:sz="0" w:space="0" w:color="auto"/>
      </w:divBdr>
    </w:div>
    <w:div w:id="921530702">
      <w:bodyDiv w:val="1"/>
      <w:marLeft w:val="0"/>
      <w:marRight w:val="0"/>
      <w:marTop w:val="0"/>
      <w:marBottom w:val="0"/>
      <w:divBdr>
        <w:top w:val="none" w:sz="0" w:space="0" w:color="auto"/>
        <w:left w:val="none" w:sz="0" w:space="0" w:color="auto"/>
        <w:bottom w:val="none" w:sz="0" w:space="0" w:color="auto"/>
        <w:right w:val="none" w:sz="0" w:space="0" w:color="auto"/>
      </w:divBdr>
    </w:div>
    <w:div w:id="997541874">
      <w:bodyDiv w:val="1"/>
      <w:marLeft w:val="0"/>
      <w:marRight w:val="0"/>
      <w:marTop w:val="0"/>
      <w:marBottom w:val="0"/>
      <w:divBdr>
        <w:top w:val="none" w:sz="0" w:space="0" w:color="auto"/>
        <w:left w:val="none" w:sz="0" w:space="0" w:color="auto"/>
        <w:bottom w:val="none" w:sz="0" w:space="0" w:color="auto"/>
        <w:right w:val="none" w:sz="0" w:space="0" w:color="auto"/>
      </w:divBdr>
      <w:divsChild>
        <w:div w:id="627711671">
          <w:marLeft w:val="0"/>
          <w:marRight w:val="0"/>
          <w:marTop w:val="0"/>
          <w:marBottom w:val="0"/>
          <w:divBdr>
            <w:top w:val="none" w:sz="0" w:space="0" w:color="auto"/>
            <w:left w:val="none" w:sz="0" w:space="0" w:color="auto"/>
            <w:bottom w:val="none" w:sz="0" w:space="0" w:color="auto"/>
            <w:right w:val="none" w:sz="0" w:space="0" w:color="auto"/>
          </w:divBdr>
          <w:divsChild>
            <w:div w:id="471410182">
              <w:marLeft w:val="0"/>
              <w:marRight w:val="0"/>
              <w:marTop w:val="0"/>
              <w:marBottom w:val="150"/>
              <w:divBdr>
                <w:top w:val="none" w:sz="0" w:space="0" w:color="auto"/>
                <w:left w:val="none" w:sz="0" w:space="0" w:color="auto"/>
                <w:bottom w:val="none" w:sz="0" w:space="0" w:color="auto"/>
                <w:right w:val="none" w:sz="0" w:space="0" w:color="auto"/>
              </w:divBdr>
            </w:div>
            <w:div w:id="1064568716">
              <w:marLeft w:val="0"/>
              <w:marRight w:val="0"/>
              <w:marTop w:val="0"/>
              <w:marBottom w:val="225"/>
              <w:divBdr>
                <w:top w:val="none" w:sz="0" w:space="0" w:color="auto"/>
                <w:left w:val="none" w:sz="0" w:space="0" w:color="auto"/>
                <w:bottom w:val="none" w:sz="0" w:space="0" w:color="auto"/>
                <w:right w:val="none" w:sz="0" w:space="0" w:color="auto"/>
              </w:divBdr>
              <w:divsChild>
                <w:div w:id="975374905">
                  <w:marLeft w:val="0"/>
                  <w:marRight w:val="0"/>
                  <w:marTop w:val="0"/>
                  <w:marBottom w:val="0"/>
                  <w:divBdr>
                    <w:top w:val="none" w:sz="0" w:space="0" w:color="auto"/>
                    <w:left w:val="none" w:sz="0" w:space="0" w:color="auto"/>
                    <w:bottom w:val="none" w:sz="0" w:space="0" w:color="auto"/>
                    <w:right w:val="none" w:sz="0" w:space="0" w:color="auto"/>
                  </w:divBdr>
                  <w:divsChild>
                    <w:div w:id="2130389996">
                      <w:marLeft w:val="0"/>
                      <w:marRight w:val="0"/>
                      <w:marTop w:val="0"/>
                      <w:marBottom w:val="75"/>
                      <w:divBdr>
                        <w:top w:val="none" w:sz="0" w:space="0" w:color="auto"/>
                        <w:left w:val="none" w:sz="0" w:space="0" w:color="auto"/>
                        <w:bottom w:val="none" w:sz="0" w:space="0" w:color="auto"/>
                        <w:right w:val="none" w:sz="0" w:space="0" w:color="auto"/>
                      </w:divBdr>
                    </w:div>
                    <w:div w:id="1000617856">
                      <w:marLeft w:val="0"/>
                      <w:marRight w:val="0"/>
                      <w:marTop w:val="0"/>
                      <w:marBottom w:val="75"/>
                      <w:divBdr>
                        <w:top w:val="none" w:sz="0" w:space="0" w:color="auto"/>
                        <w:left w:val="none" w:sz="0" w:space="0" w:color="auto"/>
                        <w:bottom w:val="none" w:sz="0" w:space="0" w:color="auto"/>
                        <w:right w:val="none" w:sz="0" w:space="0" w:color="auto"/>
                      </w:divBdr>
                    </w:div>
                    <w:div w:id="5358917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6780475">
          <w:marLeft w:val="0"/>
          <w:marRight w:val="0"/>
          <w:marTop w:val="0"/>
          <w:marBottom w:val="0"/>
          <w:divBdr>
            <w:top w:val="none" w:sz="0" w:space="0" w:color="auto"/>
            <w:left w:val="none" w:sz="0" w:space="0" w:color="auto"/>
            <w:bottom w:val="none" w:sz="0" w:space="0" w:color="auto"/>
            <w:right w:val="none" w:sz="0" w:space="0" w:color="auto"/>
          </w:divBdr>
          <w:divsChild>
            <w:div w:id="616763033">
              <w:marLeft w:val="0"/>
              <w:marRight w:val="0"/>
              <w:marTop w:val="0"/>
              <w:marBottom w:val="75"/>
              <w:divBdr>
                <w:top w:val="none" w:sz="0" w:space="0" w:color="auto"/>
                <w:left w:val="none" w:sz="0" w:space="0" w:color="auto"/>
                <w:bottom w:val="none" w:sz="0" w:space="0" w:color="auto"/>
                <w:right w:val="none" w:sz="0" w:space="0" w:color="auto"/>
              </w:divBdr>
              <w:divsChild>
                <w:div w:id="935480383">
                  <w:marLeft w:val="0"/>
                  <w:marRight w:val="0"/>
                  <w:marTop w:val="0"/>
                  <w:marBottom w:val="0"/>
                  <w:divBdr>
                    <w:top w:val="none" w:sz="0" w:space="0" w:color="auto"/>
                    <w:left w:val="none" w:sz="0" w:space="0" w:color="auto"/>
                    <w:bottom w:val="none" w:sz="0" w:space="0" w:color="auto"/>
                    <w:right w:val="none" w:sz="0" w:space="0" w:color="auto"/>
                  </w:divBdr>
                  <w:divsChild>
                    <w:div w:id="2083676709">
                      <w:marLeft w:val="-38"/>
                      <w:marRight w:val="-38"/>
                      <w:marTop w:val="0"/>
                      <w:marBottom w:val="0"/>
                      <w:divBdr>
                        <w:top w:val="none" w:sz="0" w:space="0" w:color="auto"/>
                        <w:left w:val="none" w:sz="0" w:space="0" w:color="auto"/>
                        <w:bottom w:val="none" w:sz="0" w:space="0" w:color="auto"/>
                        <w:right w:val="none" w:sz="0" w:space="0" w:color="auto"/>
                      </w:divBdr>
                      <w:divsChild>
                        <w:div w:id="1140613550">
                          <w:marLeft w:val="0"/>
                          <w:marRight w:val="0"/>
                          <w:marTop w:val="0"/>
                          <w:marBottom w:val="0"/>
                          <w:divBdr>
                            <w:top w:val="none" w:sz="0" w:space="0" w:color="auto"/>
                            <w:left w:val="none" w:sz="0" w:space="0" w:color="auto"/>
                            <w:bottom w:val="none" w:sz="0" w:space="0" w:color="auto"/>
                            <w:right w:val="none" w:sz="0" w:space="0" w:color="auto"/>
                          </w:divBdr>
                          <w:divsChild>
                            <w:div w:id="2106264131">
                              <w:marLeft w:val="0"/>
                              <w:marRight w:val="0"/>
                              <w:marTop w:val="0"/>
                              <w:marBottom w:val="0"/>
                              <w:divBdr>
                                <w:top w:val="none" w:sz="0" w:space="0" w:color="auto"/>
                                <w:left w:val="none" w:sz="0" w:space="0" w:color="auto"/>
                                <w:bottom w:val="none" w:sz="0" w:space="0" w:color="auto"/>
                                <w:right w:val="none" w:sz="0" w:space="0" w:color="auto"/>
                              </w:divBdr>
                              <w:divsChild>
                                <w:div w:id="275910497">
                                  <w:marLeft w:val="-38"/>
                                  <w:marRight w:val="-38"/>
                                  <w:marTop w:val="0"/>
                                  <w:marBottom w:val="0"/>
                                  <w:divBdr>
                                    <w:top w:val="none" w:sz="0" w:space="0" w:color="auto"/>
                                    <w:left w:val="none" w:sz="0" w:space="0" w:color="auto"/>
                                    <w:bottom w:val="none" w:sz="0" w:space="0" w:color="auto"/>
                                    <w:right w:val="none" w:sz="0" w:space="0" w:color="auto"/>
                                  </w:divBdr>
                                  <w:divsChild>
                                    <w:div w:id="19531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49358">
                          <w:marLeft w:val="0"/>
                          <w:marRight w:val="0"/>
                          <w:marTop w:val="0"/>
                          <w:marBottom w:val="0"/>
                          <w:divBdr>
                            <w:top w:val="none" w:sz="0" w:space="0" w:color="auto"/>
                            <w:left w:val="none" w:sz="0" w:space="0" w:color="auto"/>
                            <w:bottom w:val="none" w:sz="0" w:space="0" w:color="auto"/>
                            <w:right w:val="none" w:sz="0" w:space="0" w:color="auto"/>
                          </w:divBdr>
                          <w:divsChild>
                            <w:div w:id="1043092328">
                              <w:marLeft w:val="0"/>
                              <w:marRight w:val="0"/>
                              <w:marTop w:val="0"/>
                              <w:marBottom w:val="0"/>
                              <w:divBdr>
                                <w:top w:val="none" w:sz="0" w:space="0" w:color="auto"/>
                                <w:left w:val="none" w:sz="0" w:space="0" w:color="auto"/>
                                <w:bottom w:val="none" w:sz="0" w:space="0" w:color="auto"/>
                                <w:right w:val="none" w:sz="0" w:space="0" w:color="auto"/>
                              </w:divBdr>
                              <w:divsChild>
                                <w:div w:id="847719275">
                                  <w:marLeft w:val="-38"/>
                                  <w:marRight w:val="-38"/>
                                  <w:marTop w:val="0"/>
                                  <w:marBottom w:val="0"/>
                                  <w:divBdr>
                                    <w:top w:val="none" w:sz="0" w:space="0" w:color="auto"/>
                                    <w:left w:val="none" w:sz="0" w:space="0" w:color="auto"/>
                                    <w:bottom w:val="none" w:sz="0" w:space="0" w:color="auto"/>
                                    <w:right w:val="none" w:sz="0" w:space="0" w:color="auto"/>
                                  </w:divBdr>
                                  <w:divsChild>
                                    <w:div w:id="415058700">
                                      <w:marLeft w:val="0"/>
                                      <w:marRight w:val="0"/>
                                      <w:marTop w:val="0"/>
                                      <w:marBottom w:val="0"/>
                                      <w:divBdr>
                                        <w:top w:val="none" w:sz="0" w:space="0" w:color="auto"/>
                                        <w:left w:val="none" w:sz="0" w:space="0" w:color="auto"/>
                                        <w:bottom w:val="none" w:sz="0" w:space="0" w:color="auto"/>
                                        <w:right w:val="none" w:sz="0" w:space="0" w:color="auto"/>
                                      </w:divBdr>
                                      <w:divsChild>
                                        <w:div w:id="1009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426412">
                  <w:marLeft w:val="0"/>
                  <w:marRight w:val="0"/>
                  <w:marTop w:val="0"/>
                  <w:marBottom w:val="0"/>
                  <w:divBdr>
                    <w:top w:val="none" w:sz="0" w:space="0" w:color="auto"/>
                    <w:left w:val="none" w:sz="0" w:space="0" w:color="auto"/>
                    <w:bottom w:val="none" w:sz="0" w:space="0" w:color="auto"/>
                    <w:right w:val="none" w:sz="0" w:space="0" w:color="auto"/>
                  </w:divBdr>
                  <w:divsChild>
                    <w:div w:id="1261180122">
                      <w:marLeft w:val="-38"/>
                      <w:marRight w:val="-38"/>
                      <w:marTop w:val="0"/>
                      <w:marBottom w:val="0"/>
                      <w:divBdr>
                        <w:top w:val="none" w:sz="0" w:space="0" w:color="auto"/>
                        <w:left w:val="none" w:sz="0" w:space="0" w:color="auto"/>
                        <w:bottom w:val="none" w:sz="0" w:space="0" w:color="auto"/>
                        <w:right w:val="none" w:sz="0" w:space="0" w:color="auto"/>
                      </w:divBdr>
                      <w:divsChild>
                        <w:div w:id="949094062">
                          <w:marLeft w:val="0"/>
                          <w:marRight w:val="0"/>
                          <w:marTop w:val="0"/>
                          <w:marBottom w:val="0"/>
                          <w:divBdr>
                            <w:top w:val="none" w:sz="0" w:space="0" w:color="auto"/>
                            <w:left w:val="none" w:sz="0" w:space="0" w:color="auto"/>
                            <w:bottom w:val="none" w:sz="0" w:space="0" w:color="auto"/>
                            <w:right w:val="none" w:sz="0" w:space="0" w:color="auto"/>
                          </w:divBdr>
                          <w:divsChild>
                            <w:div w:id="704332479">
                              <w:marLeft w:val="-38"/>
                              <w:marRight w:val="-38"/>
                              <w:marTop w:val="0"/>
                              <w:marBottom w:val="0"/>
                              <w:divBdr>
                                <w:top w:val="none" w:sz="0" w:space="0" w:color="auto"/>
                                <w:left w:val="none" w:sz="0" w:space="0" w:color="auto"/>
                                <w:bottom w:val="none" w:sz="0" w:space="0" w:color="auto"/>
                                <w:right w:val="none" w:sz="0" w:space="0" w:color="auto"/>
                              </w:divBdr>
                              <w:divsChild>
                                <w:div w:id="561522659">
                                  <w:marLeft w:val="0"/>
                                  <w:marRight w:val="0"/>
                                  <w:marTop w:val="0"/>
                                  <w:marBottom w:val="0"/>
                                  <w:divBdr>
                                    <w:top w:val="none" w:sz="0" w:space="0" w:color="auto"/>
                                    <w:left w:val="none" w:sz="0" w:space="0" w:color="auto"/>
                                    <w:bottom w:val="none" w:sz="0" w:space="0" w:color="auto"/>
                                    <w:right w:val="none" w:sz="0" w:space="0" w:color="auto"/>
                                  </w:divBdr>
                                </w:div>
                                <w:div w:id="1821000683">
                                  <w:marLeft w:val="0"/>
                                  <w:marRight w:val="0"/>
                                  <w:marTop w:val="0"/>
                                  <w:marBottom w:val="0"/>
                                  <w:divBdr>
                                    <w:top w:val="none" w:sz="0" w:space="0" w:color="auto"/>
                                    <w:left w:val="none" w:sz="0" w:space="0" w:color="auto"/>
                                    <w:bottom w:val="none" w:sz="0" w:space="0" w:color="auto"/>
                                    <w:right w:val="none" w:sz="0" w:space="0" w:color="auto"/>
                                  </w:divBdr>
                                  <w:divsChild>
                                    <w:div w:id="1402950855">
                                      <w:marLeft w:val="-38"/>
                                      <w:marRight w:val="-38"/>
                                      <w:marTop w:val="0"/>
                                      <w:marBottom w:val="0"/>
                                      <w:divBdr>
                                        <w:top w:val="none" w:sz="0" w:space="0" w:color="auto"/>
                                        <w:left w:val="none" w:sz="0" w:space="0" w:color="auto"/>
                                        <w:bottom w:val="none" w:sz="0" w:space="0" w:color="auto"/>
                                        <w:right w:val="none" w:sz="0" w:space="0" w:color="auto"/>
                                      </w:divBdr>
                                      <w:divsChild>
                                        <w:div w:id="1143501136">
                                          <w:marLeft w:val="0"/>
                                          <w:marRight w:val="0"/>
                                          <w:marTop w:val="0"/>
                                          <w:marBottom w:val="0"/>
                                          <w:divBdr>
                                            <w:top w:val="none" w:sz="0" w:space="0" w:color="auto"/>
                                            <w:left w:val="none" w:sz="0" w:space="0" w:color="auto"/>
                                            <w:bottom w:val="none" w:sz="0" w:space="0" w:color="auto"/>
                                            <w:right w:val="none" w:sz="0" w:space="0" w:color="auto"/>
                                          </w:divBdr>
                                          <w:divsChild>
                                            <w:div w:id="1379086658">
                                              <w:marLeft w:val="0"/>
                                              <w:marRight w:val="0"/>
                                              <w:marTop w:val="0"/>
                                              <w:marBottom w:val="0"/>
                                              <w:divBdr>
                                                <w:top w:val="none" w:sz="0" w:space="0" w:color="auto"/>
                                                <w:left w:val="none" w:sz="0" w:space="0" w:color="auto"/>
                                                <w:bottom w:val="none" w:sz="0" w:space="0" w:color="auto"/>
                                                <w:right w:val="none" w:sz="0" w:space="0" w:color="auto"/>
                                              </w:divBdr>
                                            </w:div>
                                          </w:divsChild>
                                        </w:div>
                                        <w:div w:id="1881934958">
                                          <w:marLeft w:val="0"/>
                                          <w:marRight w:val="0"/>
                                          <w:marTop w:val="0"/>
                                          <w:marBottom w:val="0"/>
                                          <w:divBdr>
                                            <w:top w:val="none" w:sz="0" w:space="0" w:color="auto"/>
                                            <w:left w:val="none" w:sz="0" w:space="0" w:color="auto"/>
                                            <w:bottom w:val="none" w:sz="0" w:space="0" w:color="auto"/>
                                            <w:right w:val="none" w:sz="0" w:space="0" w:color="auto"/>
                                          </w:divBdr>
                                          <w:divsChild>
                                            <w:div w:id="1031807238">
                                              <w:marLeft w:val="0"/>
                                              <w:marRight w:val="0"/>
                                              <w:marTop w:val="0"/>
                                              <w:marBottom w:val="0"/>
                                              <w:divBdr>
                                                <w:top w:val="none" w:sz="0" w:space="0" w:color="auto"/>
                                                <w:left w:val="none" w:sz="0" w:space="0" w:color="auto"/>
                                                <w:bottom w:val="none" w:sz="0" w:space="0" w:color="auto"/>
                                                <w:right w:val="none" w:sz="0" w:space="0" w:color="auto"/>
                                              </w:divBdr>
                                            </w:div>
                                          </w:divsChild>
                                        </w:div>
                                        <w:div w:id="1849178608">
                                          <w:marLeft w:val="0"/>
                                          <w:marRight w:val="0"/>
                                          <w:marTop w:val="0"/>
                                          <w:marBottom w:val="0"/>
                                          <w:divBdr>
                                            <w:top w:val="none" w:sz="0" w:space="0" w:color="auto"/>
                                            <w:left w:val="none" w:sz="0" w:space="0" w:color="auto"/>
                                            <w:bottom w:val="none" w:sz="0" w:space="0" w:color="auto"/>
                                            <w:right w:val="none" w:sz="0" w:space="0" w:color="auto"/>
                                          </w:divBdr>
                                          <w:divsChild>
                                            <w:div w:id="14357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3537955">
      <w:bodyDiv w:val="1"/>
      <w:marLeft w:val="0"/>
      <w:marRight w:val="0"/>
      <w:marTop w:val="0"/>
      <w:marBottom w:val="0"/>
      <w:divBdr>
        <w:top w:val="none" w:sz="0" w:space="0" w:color="auto"/>
        <w:left w:val="none" w:sz="0" w:space="0" w:color="auto"/>
        <w:bottom w:val="none" w:sz="0" w:space="0" w:color="auto"/>
        <w:right w:val="none" w:sz="0" w:space="0" w:color="auto"/>
      </w:divBdr>
    </w:div>
    <w:div w:id="1373916992">
      <w:bodyDiv w:val="1"/>
      <w:marLeft w:val="0"/>
      <w:marRight w:val="0"/>
      <w:marTop w:val="0"/>
      <w:marBottom w:val="0"/>
      <w:divBdr>
        <w:top w:val="none" w:sz="0" w:space="0" w:color="auto"/>
        <w:left w:val="none" w:sz="0" w:space="0" w:color="auto"/>
        <w:bottom w:val="none" w:sz="0" w:space="0" w:color="auto"/>
        <w:right w:val="none" w:sz="0" w:space="0" w:color="auto"/>
      </w:divBdr>
    </w:div>
    <w:div w:id="1757744450">
      <w:bodyDiv w:val="1"/>
      <w:marLeft w:val="0"/>
      <w:marRight w:val="0"/>
      <w:marTop w:val="0"/>
      <w:marBottom w:val="0"/>
      <w:divBdr>
        <w:top w:val="none" w:sz="0" w:space="0" w:color="auto"/>
        <w:left w:val="none" w:sz="0" w:space="0" w:color="auto"/>
        <w:bottom w:val="none" w:sz="0" w:space="0" w:color="auto"/>
        <w:right w:val="none" w:sz="0" w:space="0" w:color="auto"/>
      </w:divBdr>
      <w:divsChild>
        <w:div w:id="1264531782">
          <w:marLeft w:val="0"/>
          <w:marRight w:val="0"/>
          <w:marTop w:val="0"/>
          <w:marBottom w:val="150"/>
          <w:divBdr>
            <w:top w:val="none" w:sz="0" w:space="0" w:color="auto"/>
            <w:left w:val="none" w:sz="0" w:space="0" w:color="auto"/>
            <w:bottom w:val="none" w:sz="0" w:space="0" w:color="auto"/>
            <w:right w:val="none" w:sz="0" w:space="0" w:color="auto"/>
          </w:divBdr>
        </w:div>
        <w:div w:id="2062628997">
          <w:marLeft w:val="0"/>
          <w:marRight w:val="0"/>
          <w:marTop w:val="0"/>
          <w:marBottom w:val="225"/>
          <w:divBdr>
            <w:top w:val="none" w:sz="0" w:space="0" w:color="auto"/>
            <w:left w:val="none" w:sz="0" w:space="0" w:color="auto"/>
            <w:bottom w:val="none" w:sz="0" w:space="0" w:color="auto"/>
            <w:right w:val="none" w:sz="0" w:space="0" w:color="auto"/>
          </w:divBdr>
          <w:divsChild>
            <w:div w:id="797991212">
              <w:marLeft w:val="0"/>
              <w:marRight w:val="0"/>
              <w:marTop w:val="0"/>
              <w:marBottom w:val="0"/>
              <w:divBdr>
                <w:top w:val="none" w:sz="0" w:space="0" w:color="auto"/>
                <w:left w:val="none" w:sz="0" w:space="0" w:color="auto"/>
                <w:bottom w:val="none" w:sz="0" w:space="0" w:color="auto"/>
                <w:right w:val="none" w:sz="0" w:space="0" w:color="auto"/>
              </w:divBdr>
              <w:divsChild>
                <w:div w:id="17002265">
                  <w:marLeft w:val="0"/>
                  <w:marRight w:val="0"/>
                  <w:marTop w:val="0"/>
                  <w:marBottom w:val="75"/>
                  <w:divBdr>
                    <w:top w:val="none" w:sz="0" w:space="0" w:color="auto"/>
                    <w:left w:val="none" w:sz="0" w:space="0" w:color="auto"/>
                    <w:bottom w:val="none" w:sz="0" w:space="0" w:color="auto"/>
                    <w:right w:val="none" w:sz="0" w:space="0" w:color="auto"/>
                  </w:divBdr>
                </w:div>
                <w:div w:id="11955759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ira.oskonbaeva@manas.edu.kg" TargetMode="External"/><Relationship Id="rId13" Type="http://schemas.openxmlformats.org/officeDocument/2006/relationships/hyperlink" Target="http://www.who.int/sdhconfere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ldbank.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257/jep.13.2.14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111/0034-6527.00329" TargetMode="External"/><Relationship Id="rId4" Type="http://schemas.openxmlformats.org/officeDocument/2006/relationships/settings" Target="settings.xml"/><Relationship Id="rId9" Type="http://schemas.openxmlformats.org/officeDocument/2006/relationships/hyperlink" Target="https://doi.org/10.1108/SAJBS-07-2018-007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D1690-A0D5-4BAE-A5AD-2AD9F27E3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18</Pages>
  <Words>8322</Words>
  <Characters>47437</Characters>
  <Application>Microsoft Office Word</Application>
  <DocSecurity>0</DocSecurity>
  <Lines>395</Lines>
  <Paragraphs>111</Paragraphs>
  <ScaleCrop>false</ScaleCrop>
  <HeadingPairs>
    <vt:vector size="6" baseType="variant">
      <vt:variant>
        <vt:lpstr>Название</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110</cp:revision>
  <dcterms:created xsi:type="dcterms:W3CDTF">2020-10-12T17:10:00Z</dcterms:created>
  <dcterms:modified xsi:type="dcterms:W3CDTF">2020-10-17T14:32:00Z</dcterms:modified>
</cp:coreProperties>
</file>