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2D64" w14:textId="77777777" w:rsidR="00E268CC" w:rsidRDefault="00E268CC" w:rsidP="00E268CC">
      <w:pPr>
        <w:jc w:val="center"/>
        <w:rPr>
          <w:rFonts w:ascii="Times New Roman" w:eastAsia="Calibri" w:hAnsi="Times New Roman"/>
          <w:b/>
          <w:bCs/>
          <w:color w:val="000000"/>
          <w:sz w:val="28"/>
          <w:szCs w:val="28"/>
        </w:rPr>
      </w:pPr>
      <w:r>
        <w:rPr>
          <w:rFonts w:ascii="Times New Roman" w:eastAsia="Calibri" w:hAnsi="Times New Roman"/>
          <w:b/>
          <w:sz w:val="28"/>
          <w:szCs w:val="28"/>
        </w:rPr>
        <w:t>Optically Transparent FSS-Based Absorber for Electromagnetic Shielding in 5G Applications</w:t>
      </w:r>
    </w:p>
    <w:p w14:paraId="442B3490" w14:textId="55A087CB" w:rsidR="00E268CC" w:rsidRDefault="00E268CC" w:rsidP="00E268CC">
      <w:pPr>
        <w:jc w:val="center"/>
        <w:rPr>
          <w:rFonts w:cs="Calibri"/>
          <w:b/>
          <w:color w:val="000000"/>
          <w:vertAlign w:val="superscript"/>
        </w:rPr>
      </w:pPr>
      <w:r>
        <w:rPr>
          <w:rFonts w:ascii="Times New Roman" w:eastAsia="Calibri" w:hAnsi="Times New Roman"/>
          <w:b/>
          <w:i/>
          <w:color w:val="000000"/>
          <w:u w:val="single"/>
        </w:rPr>
        <w:t>Ömer Faruk GÜNAYDIN</w:t>
      </w:r>
      <w:r>
        <w:rPr>
          <w:rFonts w:ascii="Times New Roman" w:eastAsia="Calibri" w:hAnsi="Times New Roman"/>
          <w:b/>
          <w:i/>
          <w:color w:val="000000"/>
          <w:u w:val="single"/>
          <w:vertAlign w:val="superscript"/>
        </w:rPr>
        <w:t>1</w:t>
      </w:r>
      <w:r>
        <w:rPr>
          <w:rFonts w:ascii="Times New Roman" w:eastAsia="Calibri" w:hAnsi="Times New Roman"/>
          <w:b/>
          <w:i/>
          <w:color w:val="000000"/>
          <w:vertAlign w:val="superscript"/>
        </w:rPr>
        <w:t>,</w:t>
      </w:r>
      <w:r>
        <w:rPr>
          <w:rStyle w:val="15"/>
          <w:rFonts w:ascii="Symbol" w:hAnsi="Symbol"/>
          <w:b/>
          <w:i/>
          <w:color w:val="000000"/>
        </w:rPr>
        <w:t>*</w:t>
      </w:r>
      <w:r>
        <w:rPr>
          <w:rFonts w:ascii="Times New Roman" w:eastAsia="Calibri" w:hAnsi="Times New Roman"/>
          <w:b/>
          <w:i/>
          <w:color w:val="000000"/>
          <w:vertAlign w:val="superscript"/>
        </w:rPr>
        <w:t xml:space="preserve"> </w:t>
      </w:r>
      <w:r>
        <w:rPr>
          <w:noProof/>
        </w:rPr>
        <w:drawing>
          <wp:inline distT="0" distB="0" distL="0" distR="0" wp14:anchorId="16C070C6" wp14:editId="4608AB4D">
            <wp:extent cx="156210" cy="1562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Pr>
          <w:rFonts w:cs="Calibri"/>
          <w:b/>
          <w:i/>
          <w:color w:val="000000"/>
          <w:vertAlign w:val="superscript"/>
        </w:rPr>
        <w:t xml:space="preserve"> </w:t>
      </w:r>
      <w:r>
        <w:rPr>
          <w:rFonts w:cs="Calibri"/>
          <w:b/>
          <w:i/>
          <w:color w:val="000000"/>
        </w:rPr>
        <w:t xml:space="preserve">, </w:t>
      </w:r>
      <w:r>
        <w:rPr>
          <w:rFonts w:ascii="Times New Roman" w:eastAsia="Calibri" w:hAnsi="Times New Roman"/>
          <w:b/>
          <w:i/>
          <w:color w:val="000000"/>
        </w:rPr>
        <w:t>Sultan CAN</w:t>
      </w:r>
      <w:r>
        <w:rPr>
          <w:rFonts w:ascii="Times New Roman" w:eastAsia="Calibri" w:hAnsi="Times New Roman"/>
          <w:b/>
          <w:i/>
          <w:color w:val="000000"/>
          <w:vertAlign w:val="superscript"/>
        </w:rPr>
        <w:t>2</w:t>
      </w:r>
      <w:r>
        <w:rPr>
          <w:noProof/>
        </w:rPr>
        <w:drawing>
          <wp:inline distT="0" distB="0" distL="0" distR="0" wp14:anchorId="6FB316F8" wp14:editId="72474A89">
            <wp:extent cx="156210" cy="1562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6210" cy="156210"/>
                    </a:xfrm>
                    <a:prstGeom prst="rect">
                      <a:avLst/>
                    </a:prstGeom>
                    <a:noFill/>
                    <a:ln>
                      <a:noFill/>
                    </a:ln>
                  </pic:spPr>
                </pic:pic>
              </a:graphicData>
            </a:graphic>
          </wp:inline>
        </w:drawing>
      </w:r>
      <w:r>
        <w:rPr>
          <w:rFonts w:cs="Calibri"/>
          <w:b/>
          <w:i/>
          <w:color w:val="000000"/>
          <w:vertAlign w:val="superscript"/>
        </w:rPr>
        <w:t xml:space="preserve"> </w:t>
      </w:r>
    </w:p>
    <w:p w14:paraId="488C4CFB" w14:textId="77777777" w:rsidR="00E268CC" w:rsidRDefault="00E268CC" w:rsidP="00E268CC">
      <w:pPr>
        <w:autoSpaceDE w:val="0"/>
        <w:autoSpaceDN w:val="0"/>
        <w:spacing w:before="120" w:beforeAutospacing="0" w:after="0"/>
        <w:jc w:val="center"/>
        <w:rPr>
          <w:rFonts w:ascii="Times New Roman" w:eastAsia="Calibri" w:hAnsi="Times New Roman"/>
          <w:b/>
          <w:i/>
          <w:sz w:val="18"/>
          <w:szCs w:val="18"/>
        </w:rPr>
      </w:pPr>
      <w:r>
        <w:rPr>
          <w:rFonts w:ascii="Times New Roman" w:eastAsia="Calibri" w:hAnsi="Times New Roman"/>
          <w:i/>
          <w:color w:val="000000"/>
          <w:sz w:val="18"/>
          <w:szCs w:val="18"/>
          <w:vertAlign w:val="superscript"/>
        </w:rPr>
        <w:t>1</w:t>
      </w:r>
      <w:r>
        <w:rPr>
          <w:rFonts w:ascii="Times New Roman" w:eastAsia="MS Mincho" w:hAnsi="Times New Roman"/>
          <w:i/>
          <w:iCs/>
          <w:sz w:val="18"/>
          <w:szCs w:val="18"/>
        </w:rPr>
        <w:t xml:space="preserve"> Institute of Science, Engineering, Electrical and Electronics, Ankara University, Ankara, Turkey</w:t>
      </w:r>
      <w:r>
        <w:rPr>
          <w:rFonts w:ascii="Times New Roman" w:eastAsia="Calibri" w:hAnsi="Times New Roman"/>
          <w:sz w:val="18"/>
          <w:szCs w:val="18"/>
        </w:rPr>
        <w:t xml:space="preserve"> </w:t>
      </w:r>
    </w:p>
    <w:p w14:paraId="49721CC3" w14:textId="77777777" w:rsidR="00E268CC" w:rsidRDefault="00E268CC" w:rsidP="00E268CC">
      <w:pPr>
        <w:autoSpaceDE w:val="0"/>
        <w:autoSpaceDN w:val="0"/>
        <w:spacing w:before="120" w:beforeAutospacing="0" w:after="0"/>
        <w:jc w:val="center"/>
        <w:rPr>
          <w:rFonts w:ascii="Times New Roman" w:eastAsia="Calibri" w:hAnsi="Times New Roman"/>
          <w:sz w:val="18"/>
          <w:szCs w:val="18"/>
        </w:rPr>
      </w:pPr>
      <w:r>
        <w:rPr>
          <w:rFonts w:ascii="Times New Roman" w:eastAsia="MS Mincho" w:hAnsi="Times New Roman"/>
          <w:i/>
          <w:iCs/>
          <w:sz w:val="18"/>
          <w:szCs w:val="18"/>
          <w:vertAlign w:val="superscript"/>
        </w:rPr>
        <w:t>2</w:t>
      </w:r>
      <w:r>
        <w:rPr>
          <w:rFonts w:ascii="Times New Roman" w:eastAsia="MS Mincho" w:hAnsi="Times New Roman"/>
          <w:i/>
          <w:iCs/>
          <w:sz w:val="18"/>
          <w:szCs w:val="18"/>
        </w:rPr>
        <w:t xml:space="preserve"> Institute of Science, Engineering, Electrical and Electronics, Ankara University, Ankara, Turkey</w:t>
      </w:r>
      <w:r>
        <w:rPr>
          <w:rFonts w:ascii="Times New Roman" w:eastAsia="Calibri" w:hAnsi="Times New Roman"/>
          <w:sz w:val="18"/>
          <w:szCs w:val="18"/>
        </w:rPr>
        <w:t xml:space="preserve"> </w:t>
      </w:r>
      <w:r>
        <w:rPr>
          <w:rFonts w:cs="Calibri"/>
          <w:b/>
          <w:i/>
          <w:vertAlign w:val="superscript"/>
        </w:rPr>
        <w:t xml:space="preserve"> </w:t>
      </w:r>
    </w:p>
    <w:p w14:paraId="39C64E0A" w14:textId="77777777" w:rsidR="00E268CC" w:rsidRDefault="00E268CC" w:rsidP="00E268CC">
      <w:pPr>
        <w:spacing w:after="0"/>
        <w:jc w:val="center"/>
        <w:rPr>
          <w:rFonts w:ascii="Times New Roman" w:eastAsia="Calibri" w:hAnsi="Times New Roman"/>
          <w:i/>
          <w:color w:val="000000"/>
          <w:sz w:val="20"/>
          <w:szCs w:val="20"/>
        </w:rPr>
      </w:pPr>
      <w:r>
        <w:rPr>
          <w:rFonts w:ascii="Times New Roman" w:eastAsia="Calibri" w:hAnsi="Times New Roman"/>
          <w:i/>
          <w:color w:val="000000"/>
          <w:sz w:val="20"/>
          <w:szCs w:val="20"/>
        </w:rPr>
        <w:t xml:space="preserve"> </w:t>
      </w:r>
    </w:p>
    <w:tbl>
      <w:tblPr>
        <w:tblStyle w:val="TableGrid"/>
        <w:tblW w:w="10150"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150"/>
      </w:tblGrid>
      <w:tr w:rsidR="00E268CC" w14:paraId="4D8A9E91" w14:textId="77777777" w:rsidTr="00E268CC">
        <w:trPr>
          <w:trHeight w:val="1796"/>
        </w:trPr>
        <w:tc>
          <w:tcPr>
            <w:tcW w:w="10150" w:type="dxa"/>
            <w:tcBorders>
              <w:top w:val="nil"/>
              <w:left w:val="nil"/>
              <w:bottom w:val="nil"/>
              <w:right w:val="nil"/>
            </w:tcBorders>
            <w:shd w:val="clear" w:color="auto" w:fill="D8D8D8"/>
            <w:hideMark/>
          </w:tcPr>
          <w:p w14:paraId="07ACB060" w14:textId="77777777" w:rsidR="00E268CC" w:rsidRDefault="00E268CC">
            <w:pPr>
              <w:shd w:val="clear" w:color="auto" w:fill="D8D8D8"/>
              <w:spacing w:after="0"/>
              <w:ind w:right="-21"/>
              <w:rPr>
                <w:rFonts w:ascii="Times New Roman" w:eastAsia="Calibri" w:hAnsi="Times New Roman"/>
                <w:b/>
                <w:bCs/>
                <w:color w:val="000000"/>
                <w:sz w:val="24"/>
                <w:szCs w:val="24"/>
              </w:rPr>
            </w:pPr>
            <w:r>
              <w:rPr>
                <w:rFonts w:ascii="Times New Roman" w:eastAsia="Calibri" w:hAnsi="Times New Roman"/>
                <w:b/>
                <w:bCs/>
                <w:color w:val="000000"/>
                <w:sz w:val="24"/>
                <w:szCs w:val="24"/>
              </w:rPr>
              <w:t xml:space="preserve">Abstract </w:t>
            </w:r>
          </w:p>
          <w:p w14:paraId="06F70515" w14:textId="77777777" w:rsidR="00E268CC" w:rsidRDefault="00E268CC">
            <w:pPr>
              <w:shd w:val="clear" w:color="auto" w:fill="D8D8D8"/>
              <w:spacing w:after="0"/>
              <w:ind w:right="-21"/>
              <w:jc w:val="both"/>
              <w:rPr>
                <w:color w:val="000000"/>
                <w:sz w:val="22"/>
                <w:szCs w:val="22"/>
              </w:rPr>
            </w:pPr>
            <w:r>
              <w:rPr>
                <w:rFonts w:ascii="Times New Roman" w:eastAsia="Calibri" w:hAnsi="Times New Roman"/>
              </w:rPr>
              <w:t>In this study, a frequency selective surface (FSS)-based absorber that can be used in 5G applications is proposed. The FSS-based absorber is designed to shield 3.5 GHz, the most used frequency in 5G applications. The purpose of the application is to create an electromagnetic shield for the 3.5GHz frequency and to protect devices that can be used at this frequency from electromagnetic interference. Parametric analysis is conducted employing three-dimensional full-wave electromagnetic simulation software (CST Studio Suite®). This analysis aims to verify the suitability of the chosen ground thickness and FSS pattern in meeting the specified frequency requirements. Simulation results indicate that both the ground line thickness and the diameter of the circular ring play pivotal roles in shaping the frequency characteristics of the frequency selective surface.</w:t>
            </w:r>
            <w:r>
              <w:t xml:space="preserve"> </w:t>
            </w:r>
            <w:r>
              <w:rPr>
                <w:rFonts w:ascii="Times New Roman" w:eastAsia="Calibri" w:hAnsi="Times New Roman"/>
              </w:rPr>
              <w:t>In the design of the FSS-based absorber, transparent PVC with a dielectric constant of 2.77 was used as the dielectric material and copper as the conductor. The measurements taken from the fabricated sample were aligned with the simulation outcomes, showcasing a consistent agreement between the two sets of data.</w:t>
            </w:r>
          </w:p>
        </w:tc>
      </w:tr>
      <w:tr w:rsidR="00E268CC" w14:paraId="15187CEB" w14:textId="77777777" w:rsidTr="00E268CC">
        <w:trPr>
          <w:trHeight w:val="274"/>
        </w:trPr>
        <w:tc>
          <w:tcPr>
            <w:tcW w:w="10150" w:type="dxa"/>
            <w:tcBorders>
              <w:top w:val="nil"/>
              <w:left w:val="nil"/>
              <w:bottom w:val="nil"/>
              <w:right w:val="nil"/>
            </w:tcBorders>
            <w:shd w:val="clear" w:color="auto" w:fill="FFFFFF"/>
          </w:tcPr>
          <w:p w14:paraId="59F1F365" w14:textId="77777777" w:rsidR="00E268CC" w:rsidRDefault="00E268CC">
            <w:pPr>
              <w:pStyle w:val="keywords"/>
              <w:spacing w:after="0"/>
              <w:ind w:firstLine="0"/>
              <w:rPr>
                <w:rFonts w:eastAsia="MS Mincho"/>
                <w:color w:val="000000"/>
                <w:sz w:val="20"/>
                <w:szCs w:val="20"/>
              </w:rPr>
            </w:pPr>
          </w:p>
          <w:p w14:paraId="2B2066E7" w14:textId="1B30C70B" w:rsidR="00E268CC" w:rsidRPr="00E268CC" w:rsidRDefault="00E268CC" w:rsidP="00E268CC">
            <w:pPr>
              <w:pStyle w:val="keywords"/>
              <w:spacing w:after="0"/>
              <w:ind w:firstLine="0"/>
              <w:rPr>
                <w:rFonts w:eastAsia="MS Mincho"/>
                <w:b w:val="0"/>
                <w:bCs w:val="0"/>
                <w:color w:val="000000"/>
                <w:sz w:val="20"/>
                <w:szCs w:val="20"/>
              </w:rPr>
            </w:pPr>
            <w:r>
              <w:rPr>
                <w:rFonts w:eastAsia="MS Mincho"/>
                <w:color w:val="000000"/>
                <w:sz w:val="20"/>
                <w:szCs w:val="20"/>
              </w:rPr>
              <w:t xml:space="preserve">Keywords: </w:t>
            </w:r>
            <w:r>
              <w:rPr>
                <w:rFonts w:eastAsia="MS Mincho"/>
                <w:b w:val="0"/>
                <w:bCs w:val="0"/>
                <w:color w:val="000000"/>
                <w:sz w:val="20"/>
                <w:szCs w:val="20"/>
              </w:rPr>
              <w:t>Frequency selective surface</w:t>
            </w:r>
            <w:r>
              <w:rPr>
                <w:rFonts w:eastAsia="MS Mincho"/>
                <w:b w:val="0"/>
                <w:bCs w:val="0"/>
                <w:sz w:val="20"/>
                <w:szCs w:val="20"/>
              </w:rPr>
              <w:t>,</w:t>
            </w:r>
            <w:r>
              <w:rPr>
                <w:rFonts w:eastAsia="MS Mincho"/>
                <w:sz w:val="20"/>
                <w:szCs w:val="20"/>
              </w:rPr>
              <w:t xml:space="preserve"> </w:t>
            </w:r>
            <w:r>
              <w:rPr>
                <w:rFonts w:eastAsia="MS Mincho"/>
                <w:b w:val="0"/>
                <w:bCs w:val="0"/>
                <w:sz w:val="20"/>
                <w:szCs w:val="20"/>
              </w:rPr>
              <w:t>Absorber, Electromagnetic shielding, Electromagnetic interference, 5G applications</w:t>
            </w:r>
          </w:p>
        </w:tc>
      </w:tr>
    </w:tbl>
    <w:p w14:paraId="64345909" w14:textId="06F40CDD" w:rsidR="00E268CC" w:rsidRDefault="00E268CC">
      <w:pPr>
        <w:rPr>
          <w:rFonts w:ascii="Times New Roman" w:hAnsi="Times New Roman"/>
          <w:b/>
          <w:bCs/>
          <w:sz w:val="24"/>
          <w:szCs w:val="24"/>
        </w:rPr>
      </w:pPr>
      <w:r w:rsidRPr="00E268CC">
        <w:rPr>
          <w:rFonts w:ascii="Times New Roman" w:hAnsi="Times New Roman"/>
          <w:b/>
          <w:bCs/>
          <w:sz w:val="24"/>
          <w:szCs w:val="24"/>
        </w:rPr>
        <w:t>References</w:t>
      </w:r>
    </w:p>
    <w:p w14:paraId="79B1EC8D" w14:textId="77777777" w:rsidR="00E268CC" w:rsidRDefault="00E268CC" w:rsidP="00E268CC">
      <w:pPr>
        <w:pStyle w:val="BodyText"/>
        <w:spacing w:after="0"/>
        <w:ind w:right="461"/>
        <w:jc w:val="both"/>
        <w:rPr>
          <w:sz w:val="22"/>
          <w:szCs w:val="22"/>
        </w:rPr>
      </w:pPr>
      <w:r>
        <w:rPr>
          <w:sz w:val="22"/>
          <w:szCs w:val="22"/>
        </w:rPr>
        <w:t xml:space="preserve">[1] Chaturvedi, P., Hsu, K., Zhang, S., &amp; Fang, N. (2008), New frontiers of metamaterials: design and fabrication, </w:t>
      </w:r>
      <w:r>
        <w:rPr>
          <w:i/>
          <w:iCs/>
          <w:sz w:val="22"/>
          <w:szCs w:val="22"/>
        </w:rPr>
        <w:t xml:space="preserve">MRS </w:t>
      </w:r>
      <w:proofErr w:type="spellStart"/>
      <w:proofErr w:type="gramStart"/>
      <w:r>
        <w:rPr>
          <w:i/>
          <w:iCs/>
          <w:sz w:val="22"/>
          <w:szCs w:val="22"/>
        </w:rPr>
        <w:t>BULLETIN,Volume</w:t>
      </w:r>
      <w:proofErr w:type="spellEnd"/>
      <w:proofErr w:type="gramEnd"/>
      <w:r>
        <w:rPr>
          <w:i/>
          <w:iCs/>
          <w:sz w:val="22"/>
          <w:szCs w:val="22"/>
        </w:rPr>
        <w:t xml:space="preserve"> 33</w:t>
      </w:r>
      <w:r>
        <w:rPr>
          <w:sz w:val="22"/>
          <w:szCs w:val="22"/>
        </w:rPr>
        <w:t>, pp. 915-920.</w:t>
      </w:r>
    </w:p>
    <w:p w14:paraId="39CCD64F" w14:textId="77777777" w:rsidR="00E268CC" w:rsidRDefault="00E268CC" w:rsidP="00E268CC">
      <w:pPr>
        <w:pStyle w:val="BodyText"/>
        <w:spacing w:after="0"/>
        <w:ind w:right="461"/>
        <w:jc w:val="both"/>
        <w:rPr>
          <w:sz w:val="22"/>
          <w:szCs w:val="22"/>
        </w:rPr>
      </w:pPr>
      <w:r>
        <w:rPr>
          <w:sz w:val="22"/>
          <w:szCs w:val="22"/>
        </w:rPr>
        <w:t xml:space="preserve">[2] </w:t>
      </w:r>
      <w:proofErr w:type="spellStart"/>
      <w:r>
        <w:rPr>
          <w:sz w:val="22"/>
          <w:szCs w:val="22"/>
        </w:rPr>
        <w:t>Gangwar</w:t>
      </w:r>
      <w:proofErr w:type="spellEnd"/>
      <w:r>
        <w:rPr>
          <w:sz w:val="22"/>
          <w:szCs w:val="22"/>
        </w:rPr>
        <w:t xml:space="preserve">, K., Paras Dr., &amp; </w:t>
      </w:r>
      <w:proofErr w:type="spellStart"/>
      <w:r>
        <w:rPr>
          <w:sz w:val="22"/>
          <w:szCs w:val="22"/>
        </w:rPr>
        <w:t>Gangwar</w:t>
      </w:r>
      <w:proofErr w:type="spellEnd"/>
      <w:r>
        <w:rPr>
          <w:sz w:val="22"/>
          <w:szCs w:val="22"/>
        </w:rPr>
        <w:t xml:space="preserve">, Dr. R.P.S. (2014), Metamaterials: characteristics, process and application, </w:t>
      </w:r>
      <w:r>
        <w:rPr>
          <w:i/>
          <w:iCs/>
          <w:sz w:val="22"/>
          <w:szCs w:val="22"/>
        </w:rPr>
        <w:t>SSN 2231-1297, Volume 4</w:t>
      </w:r>
      <w:r>
        <w:rPr>
          <w:sz w:val="22"/>
          <w:szCs w:val="22"/>
        </w:rPr>
        <w:t>, pp. 97-10.</w:t>
      </w:r>
    </w:p>
    <w:p w14:paraId="02465C8F" w14:textId="77777777" w:rsidR="00E268CC" w:rsidRDefault="00E268CC" w:rsidP="00E268CC">
      <w:pPr>
        <w:pStyle w:val="BodyText"/>
        <w:spacing w:after="0"/>
        <w:ind w:right="461"/>
        <w:jc w:val="both"/>
        <w:rPr>
          <w:sz w:val="22"/>
          <w:szCs w:val="22"/>
        </w:rPr>
      </w:pPr>
      <w:r>
        <w:rPr>
          <w:sz w:val="22"/>
          <w:szCs w:val="22"/>
        </w:rPr>
        <w:t xml:space="preserve">[3] Bukhari, S. S., </w:t>
      </w:r>
      <w:proofErr w:type="spellStart"/>
      <w:r>
        <w:rPr>
          <w:sz w:val="22"/>
          <w:szCs w:val="22"/>
        </w:rPr>
        <w:t>Vardaxoglou</w:t>
      </w:r>
      <w:proofErr w:type="spellEnd"/>
      <w:r>
        <w:rPr>
          <w:sz w:val="22"/>
          <w:szCs w:val="22"/>
        </w:rPr>
        <w:t xml:space="preserve">, J., &amp; </w:t>
      </w:r>
      <w:proofErr w:type="spellStart"/>
      <w:r>
        <w:rPr>
          <w:sz w:val="22"/>
          <w:szCs w:val="22"/>
        </w:rPr>
        <w:t>Whittow</w:t>
      </w:r>
      <w:proofErr w:type="spellEnd"/>
      <w:r>
        <w:rPr>
          <w:sz w:val="22"/>
          <w:szCs w:val="22"/>
        </w:rPr>
        <w:t xml:space="preserve">, W. (2019), A </w:t>
      </w:r>
      <w:proofErr w:type="spellStart"/>
      <w:r>
        <w:rPr>
          <w:sz w:val="22"/>
          <w:szCs w:val="22"/>
        </w:rPr>
        <w:t>metasurfaces</w:t>
      </w:r>
      <w:proofErr w:type="spellEnd"/>
      <w:r>
        <w:rPr>
          <w:sz w:val="22"/>
          <w:szCs w:val="22"/>
        </w:rPr>
        <w:t xml:space="preserve"> </w:t>
      </w:r>
      <w:proofErr w:type="gramStart"/>
      <w:r>
        <w:rPr>
          <w:sz w:val="22"/>
          <w:szCs w:val="22"/>
        </w:rPr>
        <w:t>Review :</w:t>
      </w:r>
      <w:proofErr w:type="gramEnd"/>
      <w:r>
        <w:rPr>
          <w:sz w:val="22"/>
          <w:szCs w:val="22"/>
        </w:rPr>
        <w:t xml:space="preserve"> Definitions and Applications, </w:t>
      </w:r>
      <w:r>
        <w:rPr>
          <w:i/>
          <w:iCs/>
          <w:sz w:val="22"/>
          <w:szCs w:val="22"/>
        </w:rPr>
        <w:t>Appl. Sciences</w:t>
      </w:r>
      <w:r>
        <w:rPr>
          <w:sz w:val="22"/>
          <w:szCs w:val="22"/>
        </w:rPr>
        <w:t>.</w:t>
      </w:r>
    </w:p>
    <w:p w14:paraId="605994D7" w14:textId="77777777" w:rsidR="00E268CC" w:rsidRDefault="00E268CC" w:rsidP="00E268CC">
      <w:pPr>
        <w:pStyle w:val="BodyText"/>
        <w:spacing w:after="0"/>
        <w:ind w:right="461"/>
        <w:jc w:val="both"/>
        <w:rPr>
          <w:sz w:val="22"/>
          <w:szCs w:val="22"/>
        </w:rPr>
      </w:pPr>
      <w:r>
        <w:rPr>
          <w:sz w:val="22"/>
          <w:szCs w:val="22"/>
        </w:rPr>
        <w:t xml:space="preserve">[4] Kuester, E., Mohamed, M., </w:t>
      </w:r>
      <w:proofErr w:type="spellStart"/>
      <w:r>
        <w:rPr>
          <w:sz w:val="22"/>
          <w:szCs w:val="22"/>
        </w:rPr>
        <w:t>Piket</w:t>
      </w:r>
      <w:proofErr w:type="spellEnd"/>
      <w:r>
        <w:rPr>
          <w:sz w:val="22"/>
          <w:szCs w:val="22"/>
        </w:rPr>
        <w:t xml:space="preserve">-May, M., &amp; Holloway, C. (2003), Averaged transition conditions for            electromagnetic fields at a </w:t>
      </w:r>
      <w:proofErr w:type="spellStart"/>
      <w:r>
        <w:rPr>
          <w:sz w:val="22"/>
          <w:szCs w:val="22"/>
        </w:rPr>
        <w:t>metafilm</w:t>
      </w:r>
      <w:proofErr w:type="spellEnd"/>
      <w:r>
        <w:rPr>
          <w:sz w:val="22"/>
          <w:szCs w:val="22"/>
        </w:rPr>
        <w:t xml:space="preserve">, </w:t>
      </w:r>
      <w:r>
        <w:rPr>
          <w:i/>
          <w:iCs/>
          <w:sz w:val="22"/>
          <w:szCs w:val="22"/>
        </w:rPr>
        <w:t xml:space="preserve">IEEE Trans. Antennas </w:t>
      </w:r>
      <w:proofErr w:type="spellStart"/>
      <w:r>
        <w:rPr>
          <w:i/>
          <w:iCs/>
          <w:sz w:val="22"/>
          <w:szCs w:val="22"/>
        </w:rPr>
        <w:t>Propag</w:t>
      </w:r>
      <w:proofErr w:type="spellEnd"/>
      <w:r>
        <w:rPr>
          <w:sz w:val="22"/>
          <w:szCs w:val="22"/>
        </w:rPr>
        <w:t xml:space="preserve">., </w:t>
      </w:r>
      <w:r>
        <w:rPr>
          <w:i/>
          <w:iCs/>
          <w:sz w:val="22"/>
          <w:szCs w:val="22"/>
        </w:rPr>
        <w:t>Volume 51</w:t>
      </w:r>
      <w:r>
        <w:rPr>
          <w:sz w:val="22"/>
          <w:szCs w:val="22"/>
        </w:rPr>
        <w:t>, pp. 2641–2651.</w:t>
      </w:r>
    </w:p>
    <w:p w14:paraId="67AFF377" w14:textId="77777777" w:rsidR="00E268CC" w:rsidRDefault="00E268CC" w:rsidP="00E268CC">
      <w:pPr>
        <w:pStyle w:val="BodyText"/>
        <w:spacing w:after="0"/>
        <w:ind w:right="461"/>
        <w:jc w:val="both"/>
        <w:rPr>
          <w:sz w:val="22"/>
          <w:szCs w:val="22"/>
        </w:rPr>
      </w:pPr>
      <w:r>
        <w:rPr>
          <w:sz w:val="22"/>
          <w:szCs w:val="22"/>
        </w:rPr>
        <w:t xml:space="preserve">[5] Yu, N., &amp; </w:t>
      </w:r>
      <w:proofErr w:type="spellStart"/>
      <w:r>
        <w:rPr>
          <w:sz w:val="22"/>
          <w:szCs w:val="22"/>
        </w:rPr>
        <w:t>Capasso</w:t>
      </w:r>
      <w:proofErr w:type="spellEnd"/>
      <w:r>
        <w:rPr>
          <w:sz w:val="22"/>
          <w:szCs w:val="22"/>
        </w:rPr>
        <w:t xml:space="preserve">, F. (2014), Flat optics with designer </w:t>
      </w:r>
      <w:proofErr w:type="spellStart"/>
      <w:r>
        <w:rPr>
          <w:sz w:val="22"/>
          <w:szCs w:val="22"/>
        </w:rPr>
        <w:t>metasurfaces</w:t>
      </w:r>
      <w:proofErr w:type="spellEnd"/>
      <w:r>
        <w:rPr>
          <w:sz w:val="22"/>
          <w:szCs w:val="22"/>
        </w:rPr>
        <w:t xml:space="preserve">, </w:t>
      </w:r>
      <w:r>
        <w:rPr>
          <w:i/>
          <w:iCs/>
          <w:sz w:val="22"/>
          <w:szCs w:val="22"/>
        </w:rPr>
        <w:t>Nat. Mater.</w:t>
      </w:r>
      <w:r>
        <w:rPr>
          <w:sz w:val="22"/>
          <w:szCs w:val="22"/>
        </w:rPr>
        <w:t xml:space="preserve">, </w:t>
      </w:r>
      <w:r>
        <w:rPr>
          <w:i/>
          <w:iCs/>
          <w:sz w:val="22"/>
          <w:szCs w:val="22"/>
        </w:rPr>
        <w:t>Volume 13</w:t>
      </w:r>
      <w:r>
        <w:rPr>
          <w:sz w:val="22"/>
          <w:szCs w:val="22"/>
        </w:rPr>
        <w:t>, pp. 139–150.</w:t>
      </w:r>
    </w:p>
    <w:p w14:paraId="641C1AA2" w14:textId="77777777" w:rsidR="00E268CC" w:rsidRDefault="00E268CC" w:rsidP="00E268CC">
      <w:pPr>
        <w:pStyle w:val="BodyText"/>
        <w:spacing w:after="0"/>
        <w:ind w:right="461"/>
        <w:jc w:val="both"/>
        <w:rPr>
          <w:sz w:val="22"/>
          <w:szCs w:val="22"/>
        </w:rPr>
      </w:pPr>
      <w:r>
        <w:rPr>
          <w:sz w:val="22"/>
          <w:szCs w:val="22"/>
        </w:rPr>
        <w:t>[6] Hussein, M., Hung, Y., &amp; Zhou, J., Frequency selective surface with miniaturize different                           elements: a different approach.</w:t>
      </w:r>
    </w:p>
    <w:p w14:paraId="7A32B91A" w14:textId="028A9B12" w:rsidR="00E268CC" w:rsidRPr="00E268CC" w:rsidRDefault="00E268CC" w:rsidP="00E268CC">
      <w:pPr>
        <w:pStyle w:val="BodyText"/>
        <w:spacing w:after="0"/>
        <w:ind w:right="461"/>
        <w:jc w:val="both"/>
        <w:rPr>
          <w:sz w:val="22"/>
          <w:szCs w:val="22"/>
        </w:rPr>
      </w:pPr>
      <w:r>
        <w:rPr>
          <w:sz w:val="22"/>
          <w:szCs w:val="22"/>
        </w:rPr>
        <w:t xml:space="preserve">[7] </w:t>
      </w:r>
      <w:proofErr w:type="spellStart"/>
      <w:r>
        <w:rPr>
          <w:sz w:val="22"/>
          <w:szCs w:val="22"/>
        </w:rPr>
        <w:t>Kohlgraf</w:t>
      </w:r>
      <w:proofErr w:type="spellEnd"/>
      <w:r>
        <w:rPr>
          <w:sz w:val="22"/>
          <w:szCs w:val="22"/>
        </w:rPr>
        <w:t>, D.C. (2005), Design and testing of a frequency selective surface (FSS) based wide-band multiple antenna system, pp. 6-8</w:t>
      </w:r>
      <w:r>
        <w:rPr>
          <w:sz w:val="22"/>
          <w:szCs w:val="22"/>
        </w:rPr>
        <w:t>.</w:t>
      </w:r>
    </w:p>
    <w:sectPr w:rsidR="00E268CC" w:rsidRPr="00E26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CC"/>
    <w:rsid w:val="000C1A96"/>
    <w:rsid w:val="008D27F6"/>
    <w:rsid w:val="00E2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C87D"/>
  <w15:chartTrackingRefBased/>
  <w15:docId w15:val="{439406A2-10CF-404E-B57D-C82B3FE2B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CC"/>
    <w:pPr>
      <w:spacing w:before="100" w:beforeAutospacing="1" w:after="80" w:line="240" w:lineRule="auto"/>
    </w:pPr>
    <w:rPr>
      <w:rFonts w:ascii="Calibri" w:eastAsia="Times New Roman"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Affiliation">
    <w:name w:val="TRANS Affiliation"/>
    <w:basedOn w:val="Normal"/>
    <w:rsid w:val="00E268CC"/>
    <w:pPr>
      <w:widowControl w:val="0"/>
      <w:autoSpaceDE w:val="0"/>
      <w:autoSpaceDN w:val="0"/>
      <w:adjustRightInd w:val="0"/>
      <w:spacing w:after="0"/>
      <w:jc w:val="center"/>
    </w:pPr>
    <w:rPr>
      <w:rFonts w:ascii="Times New Roman" w:hAnsi="Times New Roman"/>
      <w:sz w:val="24"/>
      <w:szCs w:val="24"/>
    </w:rPr>
  </w:style>
  <w:style w:type="paragraph" w:customStyle="1" w:styleId="keywords">
    <w:name w:val="key words"/>
    <w:basedOn w:val="Normal"/>
    <w:rsid w:val="00E268CC"/>
    <w:pPr>
      <w:spacing w:after="120"/>
      <w:ind w:firstLine="274"/>
      <w:jc w:val="both"/>
    </w:pPr>
    <w:rPr>
      <w:rFonts w:ascii="Times New Roman" w:hAnsi="Times New Roman"/>
      <w:b/>
      <w:bCs/>
      <w:i/>
      <w:iCs/>
      <w:sz w:val="18"/>
      <w:szCs w:val="18"/>
    </w:rPr>
  </w:style>
  <w:style w:type="character" w:customStyle="1" w:styleId="15">
    <w:name w:val="15"/>
    <w:basedOn w:val="DefaultParagraphFont"/>
    <w:rsid w:val="00E268CC"/>
    <w:rPr>
      <w:rFonts w:ascii="Calibri" w:hAnsi="Calibri" w:cs="Times New Roman" w:hint="default"/>
      <w:vertAlign w:val="superscript"/>
    </w:rPr>
  </w:style>
  <w:style w:type="table" w:styleId="TableGrid">
    <w:name w:val="Table Grid"/>
    <w:basedOn w:val="TableNormal"/>
    <w:uiPriority w:val="99"/>
    <w:rsid w:val="00E268CC"/>
    <w:pPr>
      <w:spacing w:after="0" w:line="240" w:lineRule="auto"/>
    </w:pPr>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268CC"/>
    <w:pPr>
      <w:spacing w:after="120"/>
    </w:pPr>
    <w:rPr>
      <w:rFonts w:ascii="Times New Roman" w:hAnsi="Times New Roman"/>
      <w:sz w:val="24"/>
      <w:szCs w:val="24"/>
    </w:rPr>
  </w:style>
  <w:style w:type="character" w:customStyle="1" w:styleId="BodyTextChar">
    <w:name w:val="Body Text Char"/>
    <w:basedOn w:val="DefaultParagraphFont"/>
    <w:link w:val="BodyText"/>
    <w:uiPriority w:val="99"/>
    <w:rsid w:val="00E268CC"/>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48590">
      <w:bodyDiv w:val="1"/>
      <w:marLeft w:val="0"/>
      <w:marRight w:val="0"/>
      <w:marTop w:val="0"/>
      <w:marBottom w:val="0"/>
      <w:divBdr>
        <w:top w:val="none" w:sz="0" w:space="0" w:color="auto"/>
        <w:left w:val="none" w:sz="0" w:space="0" w:color="auto"/>
        <w:bottom w:val="none" w:sz="0" w:space="0" w:color="auto"/>
        <w:right w:val="none" w:sz="0" w:space="0" w:color="auto"/>
      </w:divBdr>
    </w:div>
    <w:div w:id="207665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GÜNAYDIN</dc:creator>
  <cp:keywords/>
  <dc:description/>
  <cp:lastModifiedBy>Ömer Faruk GÜNAYDIN</cp:lastModifiedBy>
  <cp:revision>1</cp:revision>
  <dcterms:created xsi:type="dcterms:W3CDTF">2023-12-14T20:13:00Z</dcterms:created>
  <dcterms:modified xsi:type="dcterms:W3CDTF">2023-12-14T20:16:00Z</dcterms:modified>
</cp:coreProperties>
</file>