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DA" w:rsidRPr="009A739A" w:rsidRDefault="005C4DDA" w:rsidP="005C4DDA">
      <w:pPr>
        <w:spacing w:line="360" w:lineRule="auto"/>
        <w:ind w:firstLine="709"/>
        <w:jc w:val="center"/>
        <w:rPr>
          <w:b/>
          <w:bCs/>
          <w:sz w:val="22"/>
          <w:szCs w:val="22"/>
        </w:rPr>
      </w:pPr>
      <w:r w:rsidRPr="009A739A">
        <w:rPr>
          <w:b/>
          <w:bCs/>
          <w:sz w:val="22"/>
          <w:szCs w:val="22"/>
        </w:rPr>
        <w:t>GENÇ İŞSİZLİĞİNİN MAKROEKONOMİ</w:t>
      </w:r>
      <w:r w:rsidR="00C66858">
        <w:rPr>
          <w:b/>
          <w:bCs/>
          <w:sz w:val="22"/>
          <w:szCs w:val="22"/>
        </w:rPr>
        <w:t>K</w:t>
      </w:r>
      <w:r w:rsidR="0066220B">
        <w:rPr>
          <w:b/>
          <w:bCs/>
          <w:sz w:val="22"/>
          <w:szCs w:val="22"/>
        </w:rPr>
        <w:t xml:space="preserve"> BELİRLEYİCİLERİ: KIRILGAN BEŞ ÜLKE</w:t>
      </w:r>
      <w:r w:rsidR="00C66858">
        <w:rPr>
          <w:b/>
          <w:bCs/>
          <w:sz w:val="22"/>
          <w:szCs w:val="22"/>
        </w:rPr>
        <w:t xml:space="preserve"> </w:t>
      </w:r>
      <w:r w:rsidRPr="009A739A">
        <w:rPr>
          <w:b/>
          <w:bCs/>
          <w:sz w:val="22"/>
          <w:szCs w:val="22"/>
        </w:rPr>
        <w:t xml:space="preserve">İÇİN BİR PANEL VERİ ANALİZİ </w:t>
      </w:r>
    </w:p>
    <w:p w:rsidR="005C4DDA" w:rsidRPr="009A739A" w:rsidRDefault="005C4DDA" w:rsidP="005C4DDA">
      <w:pPr>
        <w:spacing w:line="360" w:lineRule="auto"/>
        <w:ind w:firstLine="709"/>
        <w:jc w:val="center"/>
        <w:rPr>
          <w:b/>
          <w:bCs/>
          <w:sz w:val="22"/>
          <w:szCs w:val="22"/>
        </w:rPr>
      </w:pPr>
    </w:p>
    <w:p w:rsidR="005C4DDA" w:rsidRPr="009A739A" w:rsidRDefault="005C4DDA" w:rsidP="005C4DDA">
      <w:pPr>
        <w:spacing w:line="360" w:lineRule="auto"/>
        <w:jc w:val="right"/>
        <w:rPr>
          <w:b/>
          <w:bCs/>
          <w:sz w:val="22"/>
          <w:szCs w:val="22"/>
        </w:rPr>
      </w:pPr>
      <w:r w:rsidRPr="009A739A">
        <w:rPr>
          <w:b/>
          <w:bCs/>
          <w:sz w:val="22"/>
          <w:szCs w:val="22"/>
        </w:rPr>
        <w:t>ÇSG Eğitim Uzm. Dr. Berna YAZAR ASLAN</w:t>
      </w:r>
      <w:r w:rsidRPr="009A739A">
        <w:rPr>
          <w:rStyle w:val="DipnotBavurusu"/>
          <w:b/>
          <w:bCs/>
          <w:sz w:val="22"/>
          <w:szCs w:val="22"/>
        </w:rPr>
        <w:footnoteReference w:customMarkFollows="1" w:id="1"/>
        <w:sym w:font="Symbol" w:char="F02A"/>
      </w:r>
    </w:p>
    <w:p w:rsidR="005C4DDA" w:rsidRDefault="005C4DDA" w:rsidP="005C4DDA">
      <w:pPr>
        <w:spacing w:line="360" w:lineRule="auto"/>
        <w:jc w:val="right"/>
        <w:rPr>
          <w:b/>
          <w:bCs/>
          <w:sz w:val="22"/>
          <w:szCs w:val="22"/>
        </w:rPr>
      </w:pPr>
      <w:r w:rsidRPr="009A739A">
        <w:rPr>
          <w:b/>
          <w:bCs/>
          <w:sz w:val="22"/>
          <w:szCs w:val="22"/>
        </w:rPr>
        <w:t>ÇSG Eğitim Uzm. Dr. Elif ÇELİK</w:t>
      </w:r>
      <w:r w:rsidRPr="009A739A">
        <w:rPr>
          <w:rStyle w:val="DipnotBavurusu"/>
          <w:b/>
          <w:bCs/>
          <w:sz w:val="22"/>
          <w:szCs w:val="22"/>
        </w:rPr>
        <w:t xml:space="preserve"> </w:t>
      </w:r>
      <w:r w:rsidR="00475A16" w:rsidRPr="009A739A">
        <w:rPr>
          <w:rStyle w:val="DipnotBavurusu"/>
          <w:b/>
          <w:bCs/>
          <w:sz w:val="22"/>
          <w:szCs w:val="22"/>
        </w:rPr>
        <w:footnoteReference w:customMarkFollows="1" w:id="2"/>
        <w:sym w:font="Symbol" w:char="F02A"/>
      </w:r>
      <w:r w:rsidRPr="009A739A">
        <w:rPr>
          <w:rStyle w:val="DipnotBavurusu"/>
          <w:b/>
          <w:bCs/>
          <w:sz w:val="22"/>
          <w:szCs w:val="22"/>
        </w:rPr>
        <w:footnoteReference w:customMarkFollows="1" w:id="3"/>
        <w:sym w:font="Symbol" w:char="F02A"/>
      </w:r>
    </w:p>
    <w:p w:rsidR="005C4DDA" w:rsidRDefault="005C4DDA" w:rsidP="005C4DDA">
      <w:pPr>
        <w:spacing w:line="360" w:lineRule="auto"/>
        <w:jc w:val="right"/>
        <w:rPr>
          <w:b/>
          <w:bCs/>
          <w:sz w:val="22"/>
          <w:szCs w:val="22"/>
        </w:rPr>
      </w:pPr>
    </w:p>
    <w:p w:rsidR="005C4DDA" w:rsidRPr="004D583F" w:rsidRDefault="005C4DDA" w:rsidP="005C4DDA">
      <w:pPr>
        <w:spacing w:line="360" w:lineRule="auto"/>
        <w:ind w:firstLine="709"/>
        <w:jc w:val="center"/>
        <w:rPr>
          <w:b/>
          <w:bCs/>
          <w:sz w:val="22"/>
          <w:szCs w:val="22"/>
        </w:rPr>
      </w:pPr>
      <w:r w:rsidRPr="004D583F">
        <w:rPr>
          <w:b/>
          <w:bCs/>
          <w:sz w:val="22"/>
          <w:szCs w:val="22"/>
        </w:rPr>
        <w:t>ÖZET</w:t>
      </w:r>
    </w:p>
    <w:p w:rsidR="00BB68D1" w:rsidRPr="00024307" w:rsidRDefault="00BB68D1" w:rsidP="005C4DDA">
      <w:pPr>
        <w:spacing w:after="120" w:line="360" w:lineRule="auto"/>
      </w:pPr>
    </w:p>
    <w:p w:rsidR="0095194D" w:rsidRDefault="0095194D" w:rsidP="0095194D">
      <w:pPr>
        <w:spacing w:line="360" w:lineRule="auto"/>
        <w:jc w:val="both"/>
        <w:rPr>
          <w:iCs/>
          <w:sz w:val="22"/>
          <w:szCs w:val="22"/>
        </w:rPr>
      </w:pPr>
      <w:r>
        <w:rPr>
          <w:iCs/>
          <w:sz w:val="22"/>
          <w:szCs w:val="22"/>
        </w:rPr>
        <w:t>Genç işsizliği hem gelişmiş hem de gelişmekte olan ülkelerde en önemli sorunların başında gelmektedir. 15-24 yaş grubundaki yaşanan bu sorun ülkelerin istihdam politikalarında öncelikli alan oluşturmaktadır. Yapılan literatür çalışmaları ışığında makroekonomik değişkenlerin genç işsizliği üzerinde etkisi olduğu görülmektedir. Aynı zamanda bu etkiler ülkeden ülkeye değişiklik göstermektedir. Bu çalışmada literatürde kırılgan beşli olarak geçen ülkelerin (Brezilya, Hindistan, Endonezya, Güney Afrika, Türkiye) 2000-2018 yılları arasında yer alan makroekonomik göstergeleri içeren veri seti incelenmiştir. Çalışmada yer alan makroeokonomik göstergeler büyüme oranı, enflasyon oranı, doğrudan yabancı yatırımlar, nüfus artış hızı, ekonomik özgürlük endeksi, genç işsizlik oranıdır. Çalışmada öncelikle, sözkonusu makroekonomik değişkenlerin, genç işsizliğe etkilerine ilişkin bir literatür taraması yapılmış, sonrasında ise Panel Veri Analizi yöntemi kullanılarak genç işsizlik oranı ile makroekonomik değişkenler arasındaki ilişki test edilmiştir. Makroekonomik göstergelerinin genç işsizlik oranına olan etkisini incelemek amacıyla kurulan modeller için Havuzlanmış En Küçük Kareler (HEKK), Sabit Etkiler ve Rassal Etkiler yöntemleriyle tahminler yapılmıştır. Sonuçlar bir arada değerlendirildiğinde enflasyon ve ekonomik özgürlük endekslerinde 1 birimlik artış, genç işsizlik oranında sırasıyla 0.60 ve 0.02’lik bir azalmaya, nüfus artış hızında yaşanacak olan 1 birimlik artış ise genç işsizlik oranında 0.66 birim artışa neden olacağı sonucuna ulaşılmıştır.</w:t>
      </w:r>
    </w:p>
    <w:p w:rsidR="0095194D" w:rsidRDefault="0095194D" w:rsidP="005C4DDA">
      <w:pPr>
        <w:spacing w:after="120" w:line="360" w:lineRule="auto"/>
        <w:rPr>
          <w:b/>
          <w:bCs/>
          <w:iCs/>
          <w:sz w:val="22"/>
          <w:szCs w:val="22"/>
        </w:rPr>
      </w:pPr>
    </w:p>
    <w:p w:rsidR="005C4DDA" w:rsidRDefault="005C4DDA" w:rsidP="005C4DDA">
      <w:pPr>
        <w:spacing w:after="120" w:line="360" w:lineRule="auto"/>
        <w:rPr>
          <w:i/>
          <w:iCs/>
          <w:sz w:val="22"/>
          <w:szCs w:val="22"/>
        </w:rPr>
      </w:pPr>
      <w:r w:rsidRPr="004D583F">
        <w:rPr>
          <w:b/>
          <w:bCs/>
          <w:iCs/>
          <w:sz w:val="22"/>
          <w:szCs w:val="22"/>
        </w:rPr>
        <w:t>Anahtar Kelimeler:</w:t>
      </w:r>
      <w:r w:rsidRPr="004D583F">
        <w:rPr>
          <w:i/>
          <w:iCs/>
          <w:sz w:val="22"/>
          <w:szCs w:val="22"/>
        </w:rPr>
        <w:t xml:space="preserve"> </w:t>
      </w:r>
      <w:r w:rsidR="001517FC">
        <w:rPr>
          <w:i/>
          <w:iCs/>
          <w:sz w:val="22"/>
          <w:szCs w:val="22"/>
        </w:rPr>
        <w:t xml:space="preserve">İşgücü Piyasaları, </w:t>
      </w:r>
      <w:r w:rsidR="001517FC" w:rsidRPr="001517FC">
        <w:rPr>
          <w:i/>
          <w:iCs/>
          <w:sz w:val="22"/>
          <w:szCs w:val="22"/>
        </w:rPr>
        <w:t>Genç İşsizlik</w:t>
      </w:r>
      <w:r w:rsidRPr="001517FC">
        <w:rPr>
          <w:i/>
          <w:iCs/>
          <w:sz w:val="22"/>
          <w:szCs w:val="22"/>
        </w:rPr>
        <w:t xml:space="preserve">, </w:t>
      </w:r>
      <w:r w:rsidR="001517FC">
        <w:rPr>
          <w:i/>
          <w:iCs/>
          <w:sz w:val="22"/>
          <w:szCs w:val="22"/>
        </w:rPr>
        <w:t>Kırılgan Beşli Ülke, Panel Veri Analizi, Sabit Etkiler Modeli</w:t>
      </w:r>
    </w:p>
    <w:p w:rsidR="005C4DDA" w:rsidRDefault="005C4DDA" w:rsidP="005C4DDA">
      <w:pPr>
        <w:spacing w:after="120" w:line="360" w:lineRule="auto"/>
        <w:rPr>
          <w:i/>
          <w:iCs/>
          <w:sz w:val="22"/>
          <w:szCs w:val="22"/>
        </w:rPr>
      </w:pPr>
    </w:p>
    <w:p w:rsidR="001517FC" w:rsidRDefault="001517FC" w:rsidP="005C4DDA">
      <w:pPr>
        <w:spacing w:after="120" w:line="360" w:lineRule="auto"/>
        <w:rPr>
          <w:i/>
          <w:iCs/>
          <w:sz w:val="22"/>
          <w:szCs w:val="22"/>
        </w:rPr>
      </w:pPr>
    </w:p>
    <w:p w:rsidR="001517FC" w:rsidRDefault="001517FC" w:rsidP="005C4DDA">
      <w:pPr>
        <w:spacing w:after="120" w:line="360" w:lineRule="auto"/>
        <w:rPr>
          <w:i/>
          <w:iCs/>
          <w:sz w:val="22"/>
          <w:szCs w:val="22"/>
        </w:rPr>
      </w:pPr>
    </w:p>
    <w:p w:rsidR="001517FC" w:rsidRDefault="001517FC" w:rsidP="005C4DDA">
      <w:pPr>
        <w:spacing w:after="120" w:line="360" w:lineRule="auto"/>
        <w:rPr>
          <w:i/>
          <w:iCs/>
          <w:sz w:val="22"/>
          <w:szCs w:val="22"/>
        </w:rPr>
      </w:pPr>
    </w:p>
    <w:p w:rsidR="005C4DDA" w:rsidRPr="00C66858" w:rsidRDefault="005C4DDA" w:rsidP="005C4DDA">
      <w:pPr>
        <w:spacing w:line="360" w:lineRule="auto"/>
        <w:ind w:firstLine="709"/>
        <w:jc w:val="center"/>
        <w:rPr>
          <w:b/>
          <w:bCs/>
          <w:sz w:val="22"/>
          <w:szCs w:val="22"/>
        </w:rPr>
      </w:pPr>
      <w:r w:rsidRPr="00C66858">
        <w:rPr>
          <w:b/>
          <w:bCs/>
          <w:sz w:val="22"/>
          <w:szCs w:val="22"/>
        </w:rPr>
        <w:lastRenderedPageBreak/>
        <w:t>THE MACROECONOMIC DETERMINANTS OF YOUTH UNEMPLOYMENT: A PANEL DATA ANALYSIS FOR FRAGILE FIVE COUNTRIES</w:t>
      </w:r>
    </w:p>
    <w:p w:rsidR="005C4DDA" w:rsidRPr="004D583F" w:rsidRDefault="005C4DDA" w:rsidP="005C4DDA">
      <w:pPr>
        <w:spacing w:line="360" w:lineRule="auto"/>
        <w:jc w:val="center"/>
        <w:rPr>
          <w:b/>
          <w:bCs/>
          <w:sz w:val="22"/>
          <w:szCs w:val="22"/>
          <w:lang w:val="en-US"/>
        </w:rPr>
      </w:pPr>
    </w:p>
    <w:p w:rsidR="005C4DDA" w:rsidRDefault="005C4DDA" w:rsidP="005C4DDA">
      <w:pPr>
        <w:spacing w:line="360" w:lineRule="auto"/>
        <w:ind w:firstLine="709"/>
        <w:jc w:val="center"/>
        <w:rPr>
          <w:b/>
          <w:bCs/>
          <w:sz w:val="22"/>
          <w:szCs w:val="22"/>
          <w:lang w:val="en-US"/>
        </w:rPr>
      </w:pPr>
      <w:r w:rsidRPr="004D583F">
        <w:rPr>
          <w:b/>
          <w:bCs/>
          <w:sz w:val="22"/>
          <w:szCs w:val="22"/>
          <w:lang w:val="en-US"/>
        </w:rPr>
        <w:t>ABSTRACT</w:t>
      </w:r>
    </w:p>
    <w:p w:rsidR="0095194D" w:rsidRDefault="0095194D" w:rsidP="0095194D">
      <w:pPr>
        <w:spacing w:line="360" w:lineRule="auto"/>
        <w:jc w:val="both"/>
        <w:rPr>
          <w:iCs/>
          <w:sz w:val="22"/>
          <w:szCs w:val="22"/>
        </w:rPr>
      </w:pPr>
    </w:p>
    <w:p w:rsidR="0095194D" w:rsidRDefault="0095194D" w:rsidP="0095194D">
      <w:pPr>
        <w:spacing w:line="360" w:lineRule="auto"/>
        <w:jc w:val="both"/>
        <w:rPr>
          <w:iCs/>
          <w:sz w:val="22"/>
          <w:szCs w:val="22"/>
        </w:rPr>
      </w:pPr>
      <w:r>
        <w:rPr>
          <w:iCs/>
          <w:sz w:val="22"/>
          <w:szCs w:val="22"/>
        </w:rPr>
        <w:t>Youth unemployment is one of the most important problems in both developed and developing countries. This problem experienced in the 15-24 age group constitutes a priority area in the employment policies of countries. In the light of the literature studies, it is seen that macroeconomic variables have an effect on youth unemployment. At the same time, these effects vary from country to country. In this study, the data set containing the macroeconomic indicators between the years 2000-2018 of the countries (Brazil, India, Indonesia, South Africa, Turkey) which are mentioned as the fragile five in the literature were examined. Macroeconomic indicators in the study are growth rate, inflation rate, foreign direct investments, population growth rate, economic freedom index, youth unemployment rate. In the study, first of all, a literature review on the effects of these macroeconomic variables on youth unemployment was made, and then the relationship between youth unemployment rate and macroeconomic variables was tested using the Panel Data Analysis method. For the models established to examine the effect of macroeconomic indicators on the youth unemployment rate, estimations were made with Pooled Least Squares (POLS), Fixed Effects and Random Effects methods. When the results are evaluated together, it is concluded that 1 unit increase in inflation and economic freedom indices will cause a decrease of 0.60 and 0.02 in the youth unemployment rate, respectively, and a 1 unit increase in the population growth rate will cause an increase of 0.66 units in the youth unemployment rate.</w:t>
      </w:r>
    </w:p>
    <w:p w:rsidR="0095194D" w:rsidRPr="004D583F" w:rsidRDefault="0095194D" w:rsidP="005C4DDA">
      <w:pPr>
        <w:spacing w:line="360" w:lineRule="auto"/>
        <w:ind w:firstLine="709"/>
        <w:jc w:val="center"/>
        <w:rPr>
          <w:b/>
          <w:bCs/>
          <w:sz w:val="22"/>
          <w:szCs w:val="22"/>
          <w:lang w:val="en-US"/>
        </w:rPr>
      </w:pPr>
    </w:p>
    <w:p w:rsidR="005C4DDA" w:rsidRDefault="005C4DDA" w:rsidP="005C4DDA">
      <w:pPr>
        <w:spacing w:after="120" w:line="360" w:lineRule="auto"/>
        <w:jc w:val="both"/>
        <w:rPr>
          <w:i/>
          <w:iCs/>
          <w:sz w:val="22"/>
          <w:szCs w:val="22"/>
        </w:rPr>
      </w:pPr>
      <w:r w:rsidRPr="004D583F">
        <w:rPr>
          <w:b/>
          <w:bCs/>
          <w:iCs/>
          <w:sz w:val="22"/>
          <w:szCs w:val="22"/>
          <w:lang w:val="en-US"/>
        </w:rPr>
        <w:t>Keywords:</w:t>
      </w:r>
      <w:r w:rsidRPr="004D583F">
        <w:rPr>
          <w:b/>
          <w:bCs/>
          <w:i/>
          <w:iCs/>
          <w:sz w:val="22"/>
          <w:szCs w:val="22"/>
          <w:lang w:val="en-US"/>
        </w:rPr>
        <w:t xml:space="preserve"> </w:t>
      </w:r>
      <w:r w:rsidRPr="00BB68D1">
        <w:rPr>
          <w:i/>
          <w:iCs/>
          <w:sz w:val="22"/>
          <w:szCs w:val="22"/>
        </w:rPr>
        <w:t xml:space="preserve">Labor market, Youth unemployment, </w:t>
      </w:r>
      <w:r w:rsidR="00BB68D1">
        <w:rPr>
          <w:i/>
          <w:iCs/>
          <w:sz w:val="22"/>
          <w:szCs w:val="22"/>
        </w:rPr>
        <w:t>Panel Data Analysis, Fixed Effect Model.</w:t>
      </w:r>
    </w:p>
    <w:p w:rsidR="005C4DDA" w:rsidRDefault="005C4DDA"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Default="00BB68D1" w:rsidP="005C4DDA">
      <w:pPr>
        <w:spacing w:after="120" w:line="360" w:lineRule="auto"/>
        <w:jc w:val="both"/>
        <w:rPr>
          <w:b/>
          <w:bCs/>
          <w:i/>
          <w:iCs/>
          <w:sz w:val="22"/>
          <w:szCs w:val="22"/>
          <w:lang w:val="en-US"/>
        </w:rPr>
      </w:pPr>
    </w:p>
    <w:p w:rsidR="00BB68D1" w:rsidRPr="004D583F" w:rsidRDefault="00BB68D1" w:rsidP="005C4DDA">
      <w:pPr>
        <w:spacing w:after="120" w:line="360" w:lineRule="auto"/>
        <w:jc w:val="both"/>
        <w:rPr>
          <w:b/>
          <w:bCs/>
          <w:i/>
          <w:iCs/>
          <w:sz w:val="22"/>
          <w:szCs w:val="22"/>
          <w:lang w:val="en-US"/>
        </w:rPr>
      </w:pPr>
    </w:p>
    <w:p w:rsidR="005C4DDA" w:rsidRPr="00692D6F" w:rsidRDefault="005C4DDA" w:rsidP="005C4DDA">
      <w:pPr>
        <w:pStyle w:val="ListeParagraf"/>
        <w:numPr>
          <w:ilvl w:val="0"/>
          <w:numId w:val="1"/>
        </w:numPr>
        <w:spacing w:before="240" w:after="120" w:line="360" w:lineRule="auto"/>
        <w:jc w:val="both"/>
        <w:rPr>
          <w:b/>
          <w:bCs/>
          <w:sz w:val="22"/>
          <w:szCs w:val="22"/>
        </w:rPr>
      </w:pPr>
      <w:r w:rsidRPr="00692D6F">
        <w:rPr>
          <w:b/>
          <w:bCs/>
          <w:sz w:val="22"/>
          <w:szCs w:val="22"/>
        </w:rPr>
        <w:lastRenderedPageBreak/>
        <w:t xml:space="preserve">GİRİŞ </w:t>
      </w:r>
    </w:p>
    <w:p w:rsidR="005C4DDA" w:rsidRPr="0095194D" w:rsidRDefault="007E45B7" w:rsidP="005C4DDA">
      <w:pPr>
        <w:spacing w:line="360" w:lineRule="auto"/>
        <w:ind w:firstLine="540"/>
        <w:jc w:val="both"/>
        <w:rPr>
          <w:iCs/>
          <w:sz w:val="22"/>
          <w:szCs w:val="22"/>
        </w:rPr>
      </w:pPr>
      <w:r w:rsidRPr="0095194D">
        <w:rPr>
          <w:iCs/>
          <w:sz w:val="22"/>
          <w:szCs w:val="22"/>
        </w:rPr>
        <w:t xml:space="preserve">Günümüzde tüm dünya ülkelerinde genç işsizliği yaşanan en büyük sorunların başında gelmektedir. Genç nüfusun potansiyelinden yararlanmamak ülkeler için bir takım alternatif maliyetleri de beraberinde getirmektedir. Teknolojinin değişimi, artan rekabet işgücü piyasası koşullarını da etkilemektedir. Çalışma hayatındaki </w:t>
      </w:r>
      <w:r w:rsidR="00F34754" w:rsidRPr="0095194D">
        <w:rPr>
          <w:iCs/>
          <w:sz w:val="22"/>
          <w:szCs w:val="22"/>
        </w:rPr>
        <w:t>yaşana</w:t>
      </w:r>
      <w:r w:rsidR="00496C94" w:rsidRPr="0095194D">
        <w:rPr>
          <w:iCs/>
          <w:sz w:val="22"/>
          <w:szCs w:val="22"/>
        </w:rPr>
        <w:t>n</w:t>
      </w:r>
      <w:r w:rsidR="00F34754" w:rsidRPr="0095194D">
        <w:rPr>
          <w:iCs/>
          <w:sz w:val="22"/>
          <w:szCs w:val="22"/>
        </w:rPr>
        <w:t xml:space="preserve"> </w:t>
      </w:r>
      <w:r w:rsidRPr="0095194D">
        <w:rPr>
          <w:iCs/>
          <w:sz w:val="22"/>
          <w:szCs w:val="22"/>
        </w:rPr>
        <w:t xml:space="preserve">bu değişim ve dönüşüm genç nüfustan istenen bilgi, beceri ve yetkinlikleri de etkilemektedir. </w:t>
      </w:r>
      <w:r w:rsidR="00F34754" w:rsidRPr="0095194D">
        <w:rPr>
          <w:iCs/>
          <w:sz w:val="22"/>
          <w:szCs w:val="22"/>
        </w:rPr>
        <w:t>İşgücü piyasasındaki aktörler donanımlı, yetkinliklere sahip bireyleri  istihdam etmek istemektedir. Bund</w:t>
      </w:r>
      <w:r w:rsidR="00E151F8" w:rsidRPr="0095194D">
        <w:rPr>
          <w:iCs/>
          <w:sz w:val="22"/>
          <w:szCs w:val="22"/>
        </w:rPr>
        <w:t xml:space="preserve">an dolayı ülkeler genç işsizliğini gözönünde tutarak </w:t>
      </w:r>
      <w:r w:rsidR="00F34754" w:rsidRPr="0095194D">
        <w:rPr>
          <w:iCs/>
          <w:sz w:val="22"/>
          <w:szCs w:val="22"/>
        </w:rPr>
        <w:t>istih</w:t>
      </w:r>
      <w:r w:rsidR="00E151F8" w:rsidRPr="0095194D">
        <w:rPr>
          <w:iCs/>
          <w:sz w:val="22"/>
          <w:szCs w:val="22"/>
        </w:rPr>
        <w:t>dam politikalarına yön vermelidir.</w:t>
      </w:r>
    </w:p>
    <w:p w:rsidR="00B63D30" w:rsidRPr="0095194D" w:rsidRDefault="00B63D30" w:rsidP="00B63D30">
      <w:pPr>
        <w:spacing w:line="360" w:lineRule="auto"/>
        <w:ind w:firstLine="540"/>
        <w:jc w:val="both"/>
        <w:rPr>
          <w:iCs/>
          <w:sz w:val="22"/>
          <w:szCs w:val="22"/>
        </w:rPr>
      </w:pPr>
      <w:r w:rsidRPr="0095194D">
        <w:rPr>
          <w:iCs/>
          <w:sz w:val="22"/>
          <w:szCs w:val="22"/>
        </w:rPr>
        <w:t>Genç nüfus, yüksek oranlarda yoksullukla karşı karşıya kalmaya devam ediyor ve giderek standart dışı, kayıt dışı ve daha az güvenli istihdam biçimlerine maruz kalıyorlar. Gençlerin (15-24 yaş arası) işgücüne katılım oranı düşmeye devam ediyor. 1999-2019 yılları arasında küresel genç nüfusun 1 milyardan 1,3 milyara yükselmesine rağmen, işgücüne katılan toplam genç sayısı (istihdam edilen veya çalışmayanlar) 568 milyondan 497 milyona düşmüştür. Bu eğilim</w:t>
      </w:r>
      <w:r w:rsidR="00E151F8" w:rsidRPr="0095194D">
        <w:rPr>
          <w:iCs/>
          <w:sz w:val="22"/>
          <w:szCs w:val="22"/>
        </w:rPr>
        <w:t>, birçok ülkede daha nitelikli</w:t>
      </w:r>
      <w:r w:rsidRPr="0095194D">
        <w:rPr>
          <w:iCs/>
          <w:sz w:val="22"/>
          <w:szCs w:val="22"/>
        </w:rPr>
        <w:t xml:space="preserve"> bir iş gü</w:t>
      </w:r>
      <w:r w:rsidR="00490A8D" w:rsidRPr="0095194D">
        <w:rPr>
          <w:iCs/>
          <w:sz w:val="22"/>
          <w:szCs w:val="22"/>
        </w:rPr>
        <w:t xml:space="preserve">cüyle sonuçlanan orta ve yüksek </w:t>
      </w:r>
      <w:r w:rsidRPr="0095194D">
        <w:rPr>
          <w:iCs/>
          <w:sz w:val="22"/>
          <w:szCs w:val="22"/>
        </w:rPr>
        <w:t>öğrenime artan kayıt oranını yansıtırken, büyük çoğunluğu genç kadınlardan oluşan, istihdam, eğitim veya öğretimde (NEET) olmayan önemli sayıda gencin altını çizmektedir</w:t>
      </w:r>
      <w:r w:rsidR="00D71AC2" w:rsidRPr="0095194D">
        <w:rPr>
          <w:iCs/>
          <w:sz w:val="22"/>
          <w:szCs w:val="22"/>
        </w:rPr>
        <w:t xml:space="preserve"> (ILO, 2020:13)</w:t>
      </w:r>
      <w:r w:rsidRPr="0095194D">
        <w:rPr>
          <w:iCs/>
          <w:sz w:val="22"/>
          <w:szCs w:val="22"/>
        </w:rPr>
        <w:t>.</w:t>
      </w:r>
    </w:p>
    <w:p w:rsidR="00FC3F2C" w:rsidRPr="0095194D" w:rsidRDefault="00FC3F2C" w:rsidP="00B63D30">
      <w:pPr>
        <w:spacing w:line="360" w:lineRule="auto"/>
        <w:ind w:firstLine="540"/>
        <w:jc w:val="both"/>
        <w:rPr>
          <w:iCs/>
          <w:sz w:val="22"/>
          <w:szCs w:val="22"/>
        </w:rPr>
      </w:pPr>
      <w:r w:rsidRPr="0095194D">
        <w:rPr>
          <w:iCs/>
          <w:sz w:val="22"/>
          <w:szCs w:val="22"/>
        </w:rPr>
        <w:t xml:space="preserve">Yetişkinlerle karşılaştırıldığında, gençler dezavantajlı bir işgücü piyasası durumuyla karşı karşıya kalmaya devam ediyor. </w:t>
      </w:r>
      <w:r w:rsidR="00A11E12" w:rsidRPr="0095194D">
        <w:rPr>
          <w:iCs/>
          <w:sz w:val="22"/>
          <w:szCs w:val="22"/>
        </w:rPr>
        <w:t>G</w:t>
      </w:r>
      <w:r w:rsidRPr="0095194D">
        <w:rPr>
          <w:iCs/>
          <w:sz w:val="22"/>
          <w:szCs w:val="22"/>
        </w:rPr>
        <w:t xml:space="preserve">ençlerin işsiz kalma olasılığı yetişkinlerden neredeyse üç kat daha fazla olmaya devam ediyor ve küresel işsizlikteki artış eğilimi </w:t>
      </w:r>
      <w:r w:rsidR="00A11E12" w:rsidRPr="0095194D">
        <w:rPr>
          <w:iCs/>
          <w:sz w:val="22"/>
          <w:szCs w:val="22"/>
        </w:rPr>
        <w:t>onları güçlü bir şekilde etkilemeye</w:t>
      </w:r>
      <w:r w:rsidRPr="0095194D">
        <w:rPr>
          <w:iCs/>
          <w:sz w:val="22"/>
          <w:szCs w:val="22"/>
        </w:rPr>
        <w:t xml:space="preserve"> devam ediyor</w:t>
      </w:r>
      <w:r w:rsidR="00E151F8" w:rsidRPr="0095194D">
        <w:rPr>
          <w:iCs/>
          <w:sz w:val="22"/>
          <w:szCs w:val="22"/>
        </w:rPr>
        <w:t xml:space="preserve"> </w:t>
      </w:r>
      <w:r w:rsidR="00A11E12" w:rsidRPr="0095194D">
        <w:rPr>
          <w:iCs/>
          <w:sz w:val="22"/>
          <w:szCs w:val="22"/>
        </w:rPr>
        <w:t>(ILO, 2013:7)</w:t>
      </w:r>
      <w:r w:rsidRPr="0095194D">
        <w:rPr>
          <w:iCs/>
          <w:sz w:val="22"/>
          <w:szCs w:val="22"/>
        </w:rPr>
        <w:t>.</w:t>
      </w:r>
    </w:p>
    <w:p w:rsidR="00782992" w:rsidRPr="00152BD3" w:rsidRDefault="00782992" w:rsidP="00A401F4">
      <w:pPr>
        <w:spacing w:line="360" w:lineRule="auto"/>
        <w:ind w:firstLine="540"/>
        <w:jc w:val="both"/>
        <w:rPr>
          <w:iCs/>
          <w:sz w:val="22"/>
          <w:szCs w:val="22"/>
          <w:highlight w:val="yellow"/>
        </w:rPr>
      </w:pPr>
      <w:r w:rsidRPr="0095194D">
        <w:rPr>
          <w:iCs/>
          <w:sz w:val="22"/>
          <w:szCs w:val="22"/>
        </w:rPr>
        <w:t xml:space="preserve">ILO tarafından </w:t>
      </w:r>
      <w:r w:rsidR="008D4761" w:rsidRPr="0095194D">
        <w:rPr>
          <w:iCs/>
          <w:sz w:val="22"/>
          <w:szCs w:val="22"/>
        </w:rPr>
        <w:t xml:space="preserve">dünyanın çeşitli bölgelerinde </w:t>
      </w:r>
      <w:r w:rsidRPr="0095194D">
        <w:rPr>
          <w:iCs/>
          <w:sz w:val="22"/>
          <w:szCs w:val="22"/>
        </w:rPr>
        <w:t xml:space="preserve">projeksiyonu yapılan </w:t>
      </w:r>
      <w:r w:rsidR="005E4C71" w:rsidRPr="0095194D">
        <w:rPr>
          <w:iCs/>
          <w:sz w:val="22"/>
          <w:szCs w:val="22"/>
        </w:rPr>
        <w:t xml:space="preserve">genç işsizliğinde </w:t>
      </w:r>
      <w:r w:rsidRPr="0095194D">
        <w:rPr>
          <w:iCs/>
          <w:sz w:val="22"/>
          <w:szCs w:val="22"/>
        </w:rPr>
        <w:t>aşağıdaki şekilde yer alan tabloya bakıldığında gençlerin istihdamı tüm alt bölgelerde 2023 yılına kadar hafifçe düşmesi bekleniyor, bu da gençler arasında işgücüne katılım oranlarında devam ed</w:t>
      </w:r>
      <w:r w:rsidR="00A401F4" w:rsidRPr="0095194D">
        <w:rPr>
          <w:iCs/>
          <w:sz w:val="22"/>
          <w:szCs w:val="22"/>
        </w:rPr>
        <w:t xml:space="preserve">en düşüşle açıklanabilir. Yetişkinlerin istihdamı ise </w:t>
      </w:r>
      <w:r w:rsidRPr="0095194D">
        <w:rPr>
          <w:iCs/>
          <w:sz w:val="22"/>
          <w:szCs w:val="22"/>
        </w:rPr>
        <w:t>d</w:t>
      </w:r>
      <w:r w:rsidR="00003737" w:rsidRPr="0095194D">
        <w:rPr>
          <w:iCs/>
          <w:sz w:val="22"/>
          <w:szCs w:val="22"/>
        </w:rPr>
        <w:t xml:space="preserve">ünyanın her yerinde azalması ile </w:t>
      </w:r>
      <w:r w:rsidRPr="0095194D">
        <w:rPr>
          <w:iCs/>
          <w:sz w:val="22"/>
          <w:szCs w:val="22"/>
        </w:rPr>
        <w:t>öngörülmektedir; ancak Arap Devletleri, Latin Amerika ve Karayipler ve Avrupa gibi bazı alt bölgelerde 1999 sevi</w:t>
      </w:r>
      <w:r w:rsidR="00003737" w:rsidRPr="0095194D">
        <w:rPr>
          <w:iCs/>
          <w:sz w:val="22"/>
          <w:szCs w:val="22"/>
        </w:rPr>
        <w:t>yeleri</w:t>
      </w:r>
      <w:r w:rsidR="003334F7" w:rsidRPr="0095194D">
        <w:rPr>
          <w:iCs/>
          <w:sz w:val="22"/>
          <w:szCs w:val="22"/>
        </w:rPr>
        <w:t xml:space="preserve">ne göre yüksek kalacağı </w:t>
      </w:r>
      <w:r w:rsidR="00003737" w:rsidRPr="0095194D">
        <w:rPr>
          <w:iCs/>
          <w:sz w:val="22"/>
          <w:szCs w:val="22"/>
        </w:rPr>
        <w:t>görülmektedir (ILO,2020:28).</w:t>
      </w:r>
    </w:p>
    <w:p w:rsidR="006A163B" w:rsidRPr="00152BD3" w:rsidRDefault="006A163B" w:rsidP="00A401F4">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6A163B">
      <w:pPr>
        <w:spacing w:line="360" w:lineRule="auto"/>
        <w:ind w:firstLine="540"/>
        <w:jc w:val="both"/>
        <w:rPr>
          <w:iCs/>
          <w:sz w:val="22"/>
          <w:szCs w:val="22"/>
          <w:highlight w:val="yellow"/>
        </w:rPr>
      </w:pPr>
    </w:p>
    <w:p w:rsidR="0095194D" w:rsidRDefault="0095194D" w:rsidP="0095194D">
      <w:pPr>
        <w:spacing w:after="100" w:afterAutospacing="1"/>
        <w:ind w:firstLine="539"/>
        <w:jc w:val="both"/>
        <w:rPr>
          <w:iCs/>
          <w:sz w:val="22"/>
          <w:szCs w:val="22"/>
        </w:rPr>
      </w:pPr>
    </w:p>
    <w:p w:rsidR="004F0496" w:rsidRPr="0095194D" w:rsidRDefault="0095194D" w:rsidP="0095194D">
      <w:pPr>
        <w:spacing w:after="100" w:afterAutospacing="1"/>
        <w:ind w:firstLine="539"/>
        <w:jc w:val="both"/>
        <w:rPr>
          <w:iCs/>
          <w:sz w:val="22"/>
          <w:szCs w:val="22"/>
        </w:rPr>
      </w:pPr>
      <w:r>
        <w:rPr>
          <w:iCs/>
          <w:sz w:val="22"/>
          <w:szCs w:val="22"/>
        </w:rPr>
        <w:lastRenderedPageBreak/>
        <w:t xml:space="preserve">Çizelge 1.1. </w:t>
      </w:r>
      <w:r w:rsidR="00A7687B" w:rsidRPr="0095194D">
        <w:rPr>
          <w:iCs/>
          <w:sz w:val="22"/>
          <w:szCs w:val="22"/>
        </w:rPr>
        <w:t xml:space="preserve">Genç istihdam-nüfus oranı (EPR), küresel ve alt bölge ve </w:t>
      </w:r>
      <w:r>
        <w:rPr>
          <w:iCs/>
          <w:sz w:val="22"/>
          <w:szCs w:val="22"/>
        </w:rPr>
        <w:t xml:space="preserve">cinsiyete göre ve yetişkin, </w:t>
      </w:r>
      <w:r w:rsidR="00A7687B" w:rsidRPr="0095194D">
        <w:rPr>
          <w:iCs/>
          <w:sz w:val="22"/>
          <w:szCs w:val="22"/>
        </w:rPr>
        <w:t>1999, 2019 ve 2023</w:t>
      </w:r>
    </w:p>
    <w:tbl>
      <w:tblPr>
        <w:tblStyle w:val="TabloKlavuzu"/>
        <w:tblpPr w:leftFromText="141" w:rightFromText="141" w:vertAnchor="text" w:tblpY="1"/>
        <w:tblOverlap w:val="never"/>
        <w:tblW w:w="9534" w:type="dxa"/>
        <w:tblLook w:val="04A0" w:firstRow="1" w:lastRow="0" w:firstColumn="1" w:lastColumn="0" w:noHBand="0" w:noVBand="1"/>
      </w:tblPr>
      <w:tblGrid>
        <w:gridCol w:w="856"/>
        <w:gridCol w:w="1323"/>
        <w:gridCol w:w="612"/>
        <w:gridCol w:w="613"/>
        <w:gridCol w:w="604"/>
        <w:gridCol w:w="9"/>
        <w:gridCol w:w="613"/>
        <w:gridCol w:w="613"/>
        <w:gridCol w:w="594"/>
        <w:gridCol w:w="19"/>
        <w:gridCol w:w="613"/>
        <w:gridCol w:w="613"/>
        <w:gridCol w:w="584"/>
        <w:gridCol w:w="29"/>
        <w:gridCol w:w="613"/>
        <w:gridCol w:w="613"/>
        <w:gridCol w:w="575"/>
        <w:gridCol w:w="38"/>
      </w:tblGrid>
      <w:tr w:rsidR="00E64C22" w:rsidRPr="0095194D" w:rsidTr="0095194D">
        <w:trPr>
          <w:gridAfter w:val="1"/>
          <w:wAfter w:w="38" w:type="dxa"/>
          <w:trHeight w:val="745"/>
        </w:trPr>
        <w:tc>
          <w:tcPr>
            <w:tcW w:w="856" w:type="dxa"/>
            <w:vMerge w:val="restart"/>
          </w:tcPr>
          <w:p w:rsidR="00E64C22" w:rsidRPr="0095194D" w:rsidRDefault="00E64C22" w:rsidP="00E64C22">
            <w:pPr>
              <w:spacing w:line="360" w:lineRule="auto"/>
              <w:jc w:val="both"/>
              <w:rPr>
                <w:iCs/>
                <w:sz w:val="16"/>
                <w:szCs w:val="16"/>
              </w:rPr>
            </w:pPr>
            <w:r w:rsidRPr="0095194D">
              <w:rPr>
                <w:iCs/>
                <w:sz w:val="16"/>
                <w:szCs w:val="16"/>
              </w:rPr>
              <w:t xml:space="preserve">Bölge </w:t>
            </w:r>
          </w:p>
        </w:tc>
        <w:tc>
          <w:tcPr>
            <w:tcW w:w="1323" w:type="dxa"/>
            <w:vMerge w:val="restart"/>
          </w:tcPr>
          <w:p w:rsidR="00E64C22" w:rsidRPr="0095194D" w:rsidRDefault="00E64C22" w:rsidP="00E64C22">
            <w:pPr>
              <w:spacing w:line="360" w:lineRule="auto"/>
              <w:jc w:val="both"/>
              <w:rPr>
                <w:iCs/>
                <w:sz w:val="16"/>
                <w:szCs w:val="16"/>
              </w:rPr>
            </w:pPr>
            <w:r w:rsidRPr="0095194D">
              <w:rPr>
                <w:iCs/>
                <w:sz w:val="16"/>
                <w:szCs w:val="16"/>
              </w:rPr>
              <w:t xml:space="preserve">Alt bölge </w:t>
            </w:r>
          </w:p>
        </w:tc>
        <w:tc>
          <w:tcPr>
            <w:tcW w:w="1829" w:type="dxa"/>
            <w:gridSpan w:val="3"/>
          </w:tcPr>
          <w:p w:rsidR="00E64C22" w:rsidRPr="0095194D" w:rsidRDefault="00E64C22" w:rsidP="00E64C22">
            <w:pPr>
              <w:spacing w:line="360" w:lineRule="auto"/>
              <w:jc w:val="both"/>
              <w:rPr>
                <w:iCs/>
                <w:sz w:val="16"/>
                <w:szCs w:val="16"/>
              </w:rPr>
            </w:pPr>
            <w:r w:rsidRPr="0095194D">
              <w:rPr>
                <w:iCs/>
                <w:sz w:val="16"/>
                <w:szCs w:val="16"/>
              </w:rPr>
              <w:t>Genç Nüfus (Toplam)</w:t>
            </w:r>
          </w:p>
        </w:tc>
        <w:tc>
          <w:tcPr>
            <w:tcW w:w="1829" w:type="dxa"/>
            <w:gridSpan w:val="4"/>
          </w:tcPr>
          <w:p w:rsidR="00E64C22" w:rsidRPr="0095194D" w:rsidRDefault="00E64C22" w:rsidP="00E64C22">
            <w:pPr>
              <w:spacing w:line="360" w:lineRule="auto"/>
              <w:jc w:val="both"/>
              <w:rPr>
                <w:iCs/>
                <w:sz w:val="16"/>
                <w:szCs w:val="16"/>
              </w:rPr>
            </w:pPr>
            <w:r w:rsidRPr="0095194D">
              <w:rPr>
                <w:iCs/>
                <w:sz w:val="16"/>
                <w:szCs w:val="16"/>
              </w:rPr>
              <w:t>Genç Erkek(%)</w:t>
            </w:r>
          </w:p>
        </w:tc>
        <w:tc>
          <w:tcPr>
            <w:tcW w:w="1829" w:type="dxa"/>
            <w:gridSpan w:val="4"/>
          </w:tcPr>
          <w:p w:rsidR="00E64C22" w:rsidRPr="0095194D" w:rsidRDefault="00E64C22" w:rsidP="00E64C22">
            <w:pPr>
              <w:spacing w:line="360" w:lineRule="auto"/>
              <w:jc w:val="both"/>
              <w:rPr>
                <w:iCs/>
                <w:sz w:val="16"/>
                <w:szCs w:val="16"/>
              </w:rPr>
            </w:pPr>
            <w:r w:rsidRPr="0095194D">
              <w:rPr>
                <w:iCs/>
                <w:sz w:val="16"/>
                <w:szCs w:val="16"/>
              </w:rPr>
              <w:t>Genç Kadın (%)</w:t>
            </w:r>
          </w:p>
        </w:tc>
        <w:tc>
          <w:tcPr>
            <w:tcW w:w="1830" w:type="dxa"/>
            <w:gridSpan w:val="4"/>
          </w:tcPr>
          <w:p w:rsidR="00E64C22" w:rsidRPr="0095194D" w:rsidRDefault="00E64C22" w:rsidP="00E64C22">
            <w:pPr>
              <w:spacing w:line="360" w:lineRule="auto"/>
              <w:jc w:val="both"/>
              <w:rPr>
                <w:iCs/>
                <w:sz w:val="22"/>
                <w:szCs w:val="22"/>
              </w:rPr>
            </w:pPr>
            <w:r w:rsidRPr="0095194D">
              <w:rPr>
                <w:iCs/>
                <w:sz w:val="16"/>
                <w:szCs w:val="16"/>
              </w:rPr>
              <w:t>Yetişkin (%) 25 +</w:t>
            </w:r>
          </w:p>
        </w:tc>
      </w:tr>
      <w:tr w:rsidR="0095194D" w:rsidRPr="0095194D" w:rsidTr="0095194D">
        <w:trPr>
          <w:trHeight w:val="230"/>
        </w:trPr>
        <w:tc>
          <w:tcPr>
            <w:tcW w:w="856" w:type="dxa"/>
            <w:vMerge/>
          </w:tcPr>
          <w:p w:rsidR="00E64C22" w:rsidRPr="0095194D" w:rsidRDefault="00E64C22" w:rsidP="00E64C22">
            <w:pPr>
              <w:spacing w:line="360" w:lineRule="auto"/>
              <w:jc w:val="both"/>
              <w:rPr>
                <w:iCs/>
                <w:sz w:val="16"/>
                <w:szCs w:val="16"/>
              </w:rPr>
            </w:pPr>
          </w:p>
        </w:tc>
        <w:tc>
          <w:tcPr>
            <w:tcW w:w="1323" w:type="dxa"/>
            <w:vMerge/>
          </w:tcPr>
          <w:p w:rsidR="00E64C22" w:rsidRPr="0095194D" w:rsidRDefault="00E64C22" w:rsidP="00E64C22">
            <w:pPr>
              <w:spacing w:line="360" w:lineRule="auto"/>
              <w:jc w:val="both"/>
              <w:rPr>
                <w:iCs/>
                <w:sz w:val="16"/>
                <w:szCs w:val="16"/>
              </w:rPr>
            </w:pPr>
          </w:p>
        </w:tc>
        <w:tc>
          <w:tcPr>
            <w:tcW w:w="612" w:type="dxa"/>
          </w:tcPr>
          <w:p w:rsidR="00E64C22" w:rsidRPr="0095194D" w:rsidRDefault="00E64C22" w:rsidP="00E64C22">
            <w:pPr>
              <w:spacing w:line="360" w:lineRule="auto"/>
              <w:jc w:val="both"/>
              <w:rPr>
                <w:iCs/>
                <w:sz w:val="16"/>
                <w:szCs w:val="16"/>
              </w:rPr>
            </w:pPr>
            <w:r w:rsidRPr="0095194D">
              <w:rPr>
                <w:iCs/>
                <w:sz w:val="16"/>
                <w:szCs w:val="16"/>
              </w:rPr>
              <w:t>1999</w:t>
            </w:r>
          </w:p>
        </w:tc>
        <w:tc>
          <w:tcPr>
            <w:tcW w:w="613" w:type="dxa"/>
          </w:tcPr>
          <w:p w:rsidR="00E64C22" w:rsidRPr="0095194D" w:rsidRDefault="00E64C22" w:rsidP="00E64C22">
            <w:pPr>
              <w:spacing w:line="360" w:lineRule="auto"/>
              <w:jc w:val="both"/>
              <w:rPr>
                <w:iCs/>
                <w:sz w:val="16"/>
                <w:szCs w:val="16"/>
              </w:rPr>
            </w:pPr>
            <w:r w:rsidRPr="0095194D">
              <w:rPr>
                <w:iCs/>
                <w:sz w:val="16"/>
                <w:szCs w:val="16"/>
              </w:rPr>
              <w:t>2019</w:t>
            </w:r>
          </w:p>
        </w:tc>
        <w:tc>
          <w:tcPr>
            <w:tcW w:w="613" w:type="dxa"/>
            <w:gridSpan w:val="2"/>
          </w:tcPr>
          <w:p w:rsidR="00E64C22" w:rsidRPr="0095194D" w:rsidRDefault="00E64C22" w:rsidP="00E64C22">
            <w:pPr>
              <w:spacing w:line="360" w:lineRule="auto"/>
              <w:jc w:val="both"/>
              <w:rPr>
                <w:iCs/>
                <w:sz w:val="16"/>
                <w:szCs w:val="16"/>
              </w:rPr>
            </w:pPr>
            <w:r w:rsidRPr="0095194D">
              <w:rPr>
                <w:iCs/>
                <w:sz w:val="16"/>
                <w:szCs w:val="16"/>
              </w:rPr>
              <w:t>2023</w:t>
            </w:r>
          </w:p>
        </w:tc>
        <w:tc>
          <w:tcPr>
            <w:tcW w:w="613" w:type="dxa"/>
          </w:tcPr>
          <w:p w:rsidR="00E64C22" w:rsidRPr="0095194D" w:rsidRDefault="00E64C22" w:rsidP="00E64C22">
            <w:pPr>
              <w:spacing w:line="360" w:lineRule="auto"/>
              <w:jc w:val="both"/>
              <w:rPr>
                <w:iCs/>
                <w:sz w:val="16"/>
                <w:szCs w:val="16"/>
              </w:rPr>
            </w:pPr>
            <w:r w:rsidRPr="0095194D">
              <w:rPr>
                <w:iCs/>
                <w:sz w:val="16"/>
                <w:szCs w:val="16"/>
              </w:rPr>
              <w:t>1999</w:t>
            </w:r>
          </w:p>
        </w:tc>
        <w:tc>
          <w:tcPr>
            <w:tcW w:w="613" w:type="dxa"/>
          </w:tcPr>
          <w:p w:rsidR="00E64C22" w:rsidRPr="0095194D" w:rsidRDefault="00E64C22" w:rsidP="00E64C22">
            <w:pPr>
              <w:spacing w:line="360" w:lineRule="auto"/>
              <w:jc w:val="both"/>
              <w:rPr>
                <w:iCs/>
                <w:sz w:val="16"/>
                <w:szCs w:val="16"/>
              </w:rPr>
            </w:pPr>
            <w:r w:rsidRPr="0095194D">
              <w:rPr>
                <w:iCs/>
                <w:sz w:val="16"/>
                <w:szCs w:val="16"/>
              </w:rPr>
              <w:t>2019</w:t>
            </w:r>
          </w:p>
        </w:tc>
        <w:tc>
          <w:tcPr>
            <w:tcW w:w="613" w:type="dxa"/>
            <w:gridSpan w:val="2"/>
          </w:tcPr>
          <w:p w:rsidR="00E64C22" w:rsidRPr="0095194D" w:rsidRDefault="00E64C22" w:rsidP="00E64C22">
            <w:pPr>
              <w:spacing w:line="360" w:lineRule="auto"/>
              <w:jc w:val="both"/>
              <w:rPr>
                <w:iCs/>
                <w:sz w:val="16"/>
                <w:szCs w:val="16"/>
              </w:rPr>
            </w:pPr>
            <w:r w:rsidRPr="0095194D">
              <w:rPr>
                <w:iCs/>
                <w:sz w:val="16"/>
                <w:szCs w:val="16"/>
              </w:rPr>
              <w:t>2023</w:t>
            </w:r>
          </w:p>
        </w:tc>
        <w:tc>
          <w:tcPr>
            <w:tcW w:w="613" w:type="dxa"/>
          </w:tcPr>
          <w:p w:rsidR="00E64C22" w:rsidRPr="0095194D" w:rsidRDefault="00E64C22" w:rsidP="00E64C22">
            <w:pPr>
              <w:spacing w:line="360" w:lineRule="auto"/>
              <w:jc w:val="both"/>
              <w:rPr>
                <w:iCs/>
                <w:sz w:val="16"/>
                <w:szCs w:val="16"/>
              </w:rPr>
            </w:pPr>
            <w:r w:rsidRPr="0095194D">
              <w:rPr>
                <w:iCs/>
                <w:sz w:val="16"/>
                <w:szCs w:val="16"/>
              </w:rPr>
              <w:t>1999</w:t>
            </w:r>
          </w:p>
        </w:tc>
        <w:tc>
          <w:tcPr>
            <w:tcW w:w="613" w:type="dxa"/>
          </w:tcPr>
          <w:p w:rsidR="00E64C22" w:rsidRPr="0095194D" w:rsidRDefault="00E64C22" w:rsidP="00E64C22">
            <w:pPr>
              <w:spacing w:line="360" w:lineRule="auto"/>
              <w:jc w:val="both"/>
              <w:rPr>
                <w:iCs/>
                <w:sz w:val="16"/>
                <w:szCs w:val="16"/>
              </w:rPr>
            </w:pPr>
            <w:r w:rsidRPr="0095194D">
              <w:rPr>
                <w:iCs/>
                <w:sz w:val="16"/>
                <w:szCs w:val="16"/>
              </w:rPr>
              <w:t>2019</w:t>
            </w:r>
          </w:p>
        </w:tc>
        <w:tc>
          <w:tcPr>
            <w:tcW w:w="613" w:type="dxa"/>
            <w:gridSpan w:val="2"/>
          </w:tcPr>
          <w:p w:rsidR="00E64C22" w:rsidRPr="0095194D" w:rsidRDefault="00E64C22" w:rsidP="00E64C22">
            <w:pPr>
              <w:spacing w:line="360" w:lineRule="auto"/>
              <w:jc w:val="both"/>
              <w:rPr>
                <w:iCs/>
                <w:sz w:val="16"/>
                <w:szCs w:val="16"/>
              </w:rPr>
            </w:pPr>
            <w:r w:rsidRPr="0095194D">
              <w:rPr>
                <w:iCs/>
                <w:sz w:val="16"/>
                <w:szCs w:val="16"/>
              </w:rPr>
              <w:t>2023</w:t>
            </w:r>
          </w:p>
        </w:tc>
        <w:tc>
          <w:tcPr>
            <w:tcW w:w="613" w:type="dxa"/>
          </w:tcPr>
          <w:p w:rsidR="00E64C22" w:rsidRPr="0095194D" w:rsidRDefault="00E64C22" w:rsidP="00E64C22">
            <w:pPr>
              <w:spacing w:line="360" w:lineRule="auto"/>
              <w:jc w:val="both"/>
              <w:rPr>
                <w:iCs/>
                <w:sz w:val="16"/>
                <w:szCs w:val="16"/>
              </w:rPr>
            </w:pPr>
            <w:r w:rsidRPr="0095194D">
              <w:rPr>
                <w:iCs/>
                <w:sz w:val="16"/>
                <w:szCs w:val="16"/>
              </w:rPr>
              <w:t>1999</w:t>
            </w:r>
          </w:p>
        </w:tc>
        <w:tc>
          <w:tcPr>
            <w:tcW w:w="613" w:type="dxa"/>
          </w:tcPr>
          <w:p w:rsidR="00E64C22" w:rsidRPr="0095194D" w:rsidRDefault="00E64C22" w:rsidP="00E64C22">
            <w:pPr>
              <w:spacing w:line="360" w:lineRule="auto"/>
              <w:jc w:val="both"/>
              <w:rPr>
                <w:iCs/>
                <w:sz w:val="16"/>
                <w:szCs w:val="16"/>
              </w:rPr>
            </w:pPr>
            <w:r w:rsidRPr="0095194D">
              <w:rPr>
                <w:iCs/>
                <w:sz w:val="16"/>
                <w:szCs w:val="16"/>
              </w:rPr>
              <w:t>2019</w:t>
            </w:r>
          </w:p>
        </w:tc>
        <w:tc>
          <w:tcPr>
            <w:tcW w:w="613" w:type="dxa"/>
            <w:gridSpan w:val="2"/>
          </w:tcPr>
          <w:p w:rsidR="00E64C22" w:rsidRPr="0095194D" w:rsidRDefault="00E64C22" w:rsidP="00E64C22">
            <w:pPr>
              <w:spacing w:line="360" w:lineRule="auto"/>
              <w:jc w:val="both"/>
              <w:rPr>
                <w:iCs/>
                <w:sz w:val="16"/>
                <w:szCs w:val="16"/>
              </w:rPr>
            </w:pPr>
            <w:r w:rsidRPr="0095194D">
              <w:rPr>
                <w:iCs/>
                <w:sz w:val="16"/>
                <w:szCs w:val="16"/>
              </w:rPr>
              <w:t>2023</w:t>
            </w:r>
          </w:p>
        </w:tc>
      </w:tr>
      <w:tr w:rsidR="0095194D" w:rsidRPr="0095194D" w:rsidTr="0095194D">
        <w:trPr>
          <w:trHeight w:val="240"/>
        </w:trPr>
        <w:tc>
          <w:tcPr>
            <w:tcW w:w="856" w:type="dxa"/>
          </w:tcPr>
          <w:p w:rsidR="005E4C71" w:rsidRPr="0095194D" w:rsidRDefault="005E4C71" w:rsidP="00E64C22">
            <w:pPr>
              <w:spacing w:line="360" w:lineRule="auto"/>
              <w:jc w:val="both"/>
              <w:rPr>
                <w:iCs/>
                <w:sz w:val="16"/>
                <w:szCs w:val="16"/>
              </w:rPr>
            </w:pPr>
            <w:r w:rsidRPr="0095194D">
              <w:rPr>
                <w:iCs/>
                <w:sz w:val="16"/>
                <w:szCs w:val="16"/>
              </w:rPr>
              <w:t xml:space="preserve">Dünya </w:t>
            </w:r>
          </w:p>
        </w:tc>
        <w:tc>
          <w:tcPr>
            <w:tcW w:w="1323" w:type="dxa"/>
          </w:tcPr>
          <w:p w:rsidR="005E4C71" w:rsidRPr="0095194D" w:rsidRDefault="005E4C71" w:rsidP="00E64C22">
            <w:pPr>
              <w:spacing w:line="360" w:lineRule="auto"/>
              <w:jc w:val="both"/>
              <w:rPr>
                <w:iCs/>
                <w:sz w:val="16"/>
                <w:szCs w:val="16"/>
              </w:rPr>
            </w:pPr>
          </w:p>
        </w:tc>
        <w:tc>
          <w:tcPr>
            <w:tcW w:w="612" w:type="dxa"/>
            <w:vAlign w:val="center"/>
          </w:tcPr>
          <w:p w:rsidR="005E4C71" w:rsidRPr="0095194D" w:rsidRDefault="005E4C71" w:rsidP="0095194D">
            <w:pPr>
              <w:spacing w:line="360" w:lineRule="auto"/>
              <w:jc w:val="center"/>
              <w:rPr>
                <w:iCs/>
                <w:sz w:val="16"/>
                <w:szCs w:val="16"/>
              </w:rPr>
            </w:pPr>
            <w:r w:rsidRPr="0095194D">
              <w:rPr>
                <w:iCs/>
                <w:sz w:val="16"/>
                <w:szCs w:val="16"/>
              </w:rPr>
              <w:t>46.4</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35.6</w:t>
            </w:r>
          </w:p>
        </w:tc>
        <w:tc>
          <w:tcPr>
            <w:tcW w:w="613" w:type="dxa"/>
            <w:gridSpan w:val="2"/>
            <w:vAlign w:val="center"/>
          </w:tcPr>
          <w:p w:rsidR="005E4C71" w:rsidRPr="0095194D" w:rsidRDefault="005E4C71" w:rsidP="0095194D">
            <w:pPr>
              <w:spacing w:line="360" w:lineRule="auto"/>
              <w:jc w:val="center"/>
              <w:rPr>
                <w:iCs/>
                <w:sz w:val="16"/>
                <w:szCs w:val="16"/>
              </w:rPr>
            </w:pPr>
            <w:r w:rsidRPr="0095194D">
              <w:rPr>
                <w:iCs/>
                <w:sz w:val="16"/>
                <w:szCs w:val="16"/>
              </w:rPr>
              <w:t>34.6</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54.2</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42.2</w:t>
            </w:r>
          </w:p>
        </w:tc>
        <w:tc>
          <w:tcPr>
            <w:tcW w:w="613" w:type="dxa"/>
            <w:gridSpan w:val="2"/>
            <w:vAlign w:val="center"/>
          </w:tcPr>
          <w:p w:rsidR="005E4C71" w:rsidRPr="0095194D" w:rsidRDefault="005E4C71" w:rsidP="0095194D">
            <w:pPr>
              <w:spacing w:line="360" w:lineRule="auto"/>
              <w:jc w:val="center"/>
              <w:rPr>
                <w:iCs/>
                <w:sz w:val="16"/>
                <w:szCs w:val="16"/>
              </w:rPr>
            </w:pPr>
            <w:r w:rsidRPr="0095194D">
              <w:rPr>
                <w:iCs/>
                <w:sz w:val="16"/>
                <w:szCs w:val="16"/>
              </w:rPr>
              <w:t>41.0</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38.4</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28.5</w:t>
            </w:r>
          </w:p>
        </w:tc>
        <w:tc>
          <w:tcPr>
            <w:tcW w:w="613" w:type="dxa"/>
            <w:gridSpan w:val="2"/>
            <w:vAlign w:val="center"/>
          </w:tcPr>
          <w:p w:rsidR="005E4C71" w:rsidRPr="0095194D" w:rsidRDefault="005E4C71" w:rsidP="0095194D">
            <w:pPr>
              <w:spacing w:line="360" w:lineRule="auto"/>
              <w:jc w:val="center"/>
              <w:rPr>
                <w:iCs/>
                <w:sz w:val="16"/>
                <w:szCs w:val="16"/>
              </w:rPr>
            </w:pPr>
            <w:r w:rsidRPr="0095194D">
              <w:rPr>
                <w:iCs/>
                <w:sz w:val="16"/>
                <w:szCs w:val="16"/>
              </w:rPr>
              <w:t>27.8</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66.0</w:t>
            </w:r>
          </w:p>
        </w:tc>
        <w:tc>
          <w:tcPr>
            <w:tcW w:w="613" w:type="dxa"/>
            <w:vAlign w:val="center"/>
          </w:tcPr>
          <w:p w:rsidR="005E4C71" w:rsidRPr="0095194D" w:rsidRDefault="005E4C71" w:rsidP="0095194D">
            <w:pPr>
              <w:spacing w:line="360" w:lineRule="auto"/>
              <w:jc w:val="center"/>
              <w:rPr>
                <w:iCs/>
                <w:sz w:val="16"/>
                <w:szCs w:val="16"/>
              </w:rPr>
            </w:pPr>
            <w:r w:rsidRPr="0095194D">
              <w:rPr>
                <w:iCs/>
                <w:sz w:val="16"/>
                <w:szCs w:val="16"/>
              </w:rPr>
              <w:t>63.2</w:t>
            </w:r>
          </w:p>
        </w:tc>
        <w:tc>
          <w:tcPr>
            <w:tcW w:w="613" w:type="dxa"/>
            <w:gridSpan w:val="2"/>
            <w:vAlign w:val="center"/>
          </w:tcPr>
          <w:p w:rsidR="005E4C71" w:rsidRPr="0095194D" w:rsidRDefault="005E4C71" w:rsidP="0095194D">
            <w:pPr>
              <w:spacing w:line="360" w:lineRule="auto"/>
              <w:jc w:val="center"/>
              <w:rPr>
                <w:iCs/>
                <w:sz w:val="16"/>
                <w:szCs w:val="16"/>
              </w:rPr>
            </w:pPr>
            <w:r w:rsidRPr="0095194D">
              <w:rPr>
                <w:iCs/>
                <w:sz w:val="16"/>
                <w:szCs w:val="16"/>
              </w:rPr>
              <w:t>62.1</w:t>
            </w:r>
          </w:p>
        </w:tc>
      </w:tr>
      <w:tr w:rsidR="0095194D" w:rsidRPr="0095194D" w:rsidTr="0095194D">
        <w:trPr>
          <w:trHeight w:val="240"/>
        </w:trPr>
        <w:tc>
          <w:tcPr>
            <w:tcW w:w="856" w:type="dxa"/>
            <w:vMerge w:val="restart"/>
          </w:tcPr>
          <w:p w:rsidR="005E4C71" w:rsidRPr="0095194D" w:rsidRDefault="005E4C71" w:rsidP="00E64C22">
            <w:pPr>
              <w:spacing w:line="360" w:lineRule="auto"/>
              <w:jc w:val="both"/>
              <w:rPr>
                <w:iCs/>
                <w:sz w:val="16"/>
                <w:szCs w:val="16"/>
              </w:rPr>
            </w:pPr>
            <w:r w:rsidRPr="0095194D">
              <w:rPr>
                <w:iCs/>
                <w:sz w:val="16"/>
                <w:szCs w:val="16"/>
              </w:rPr>
              <w:t xml:space="preserve">Afrika </w:t>
            </w:r>
          </w:p>
        </w:tc>
        <w:tc>
          <w:tcPr>
            <w:tcW w:w="1323" w:type="dxa"/>
          </w:tcPr>
          <w:p w:rsidR="005E4C71" w:rsidRPr="0095194D" w:rsidRDefault="005E4C71" w:rsidP="00E64C22">
            <w:pPr>
              <w:spacing w:line="360" w:lineRule="auto"/>
              <w:jc w:val="both"/>
              <w:rPr>
                <w:iCs/>
                <w:sz w:val="16"/>
                <w:szCs w:val="16"/>
              </w:rPr>
            </w:pPr>
            <w:r w:rsidRPr="0095194D">
              <w:rPr>
                <w:iCs/>
                <w:sz w:val="16"/>
                <w:szCs w:val="16"/>
              </w:rPr>
              <w:t>Kuzey Afrika</w:t>
            </w:r>
          </w:p>
        </w:tc>
        <w:tc>
          <w:tcPr>
            <w:tcW w:w="612" w:type="dxa"/>
            <w:vAlign w:val="center"/>
          </w:tcPr>
          <w:p w:rsidR="005E4C71" w:rsidRPr="0095194D" w:rsidRDefault="004669C7" w:rsidP="0095194D">
            <w:pPr>
              <w:spacing w:line="360" w:lineRule="auto"/>
              <w:jc w:val="center"/>
              <w:rPr>
                <w:iCs/>
                <w:sz w:val="16"/>
                <w:szCs w:val="16"/>
              </w:rPr>
            </w:pPr>
            <w:r w:rsidRPr="0095194D">
              <w:rPr>
                <w:iCs/>
                <w:sz w:val="16"/>
                <w:szCs w:val="16"/>
              </w:rPr>
              <w:t>25.4</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19.2</w:t>
            </w:r>
          </w:p>
        </w:tc>
        <w:tc>
          <w:tcPr>
            <w:tcW w:w="613" w:type="dxa"/>
            <w:gridSpan w:val="2"/>
            <w:vAlign w:val="center"/>
          </w:tcPr>
          <w:p w:rsidR="005E4C71" w:rsidRPr="0095194D" w:rsidRDefault="004669C7" w:rsidP="0095194D">
            <w:pPr>
              <w:spacing w:line="360" w:lineRule="auto"/>
              <w:jc w:val="center"/>
              <w:rPr>
                <w:iCs/>
                <w:sz w:val="16"/>
                <w:szCs w:val="16"/>
              </w:rPr>
            </w:pPr>
            <w:r w:rsidRPr="0095194D">
              <w:rPr>
                <w:iCs/>
                <w:sz w:val="16"/>
                <w:szCs w:val="16"/>
              </w:rPr>
              <w:t>18.7</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36.9</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28.1</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27.9</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13.5</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9.8</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9.1</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47.7</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47.1</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46.9</w:t>
            </w:r>
          </w:p>
        </w:tc>
      </w:tr>
      <w:tr w:rsidR="0095194D" w:rsidRPr="0095194D" w:rsidTr="0095194D">
        <w:trPr>
          <w:trHeight w:val="248"/>
        </w:trPr>
        <w:tc>
          <w:tcPr>
            <w:tcW w:w="856" w:type="dxa"/>
            <w:vMerge/>
          </w:tcPr>
          <w:p w:rsidR="005E4C71" w:rsidRPr="0095194D" w:rsidRDefault="005E4C71" w:rsidP="00E64C22">
            <w:pPr>
              <w:spacing w:line="360" w:lineRule="auto"/>
              <w:jc w:val="both"/>
              <w:rPr>
                <w:iCs/>
                <w:sz w:val="16"/>
                <w:szCs w:val="16"/>
              </w:rPr>
            </w:pPr>
          </w:p>
        </w:tc>
        <w:tc>
          <w:tcPr>
            <w:tcW w:w="1323" w:type="dxa"/>
          </w:tcPr>
          <w:p w:rsidR="005E4C71" w:rsidRPr="0095194D" w:rsidRDefault="005E4C71" w:rsidP="00E64C22">
            <w:pPr>
              <w:spacing w:line="360" w:lineRule="auto"/>
              <w:jc w:val="both"/>
              <w:rPr>
                <w:iCs/>
                <w:sz w:val="16"/>
                <w:szCs w:val="16"/>
              </w:rPr>
            </w:pPr>
            <w:r w:rsidRPr="0095194D">
              <w:rPr>
                <w:iCs/>
                <w:sz w:val="16"/>
                <w:szCs w:val="16"/>
              </w:rPr>
              <w:t>Sahra altı Afrika</w:t>
            </w:r>
          </w:p>
        </w:tc>
        <w:tc>
          <w:tcPr>
            <w:tcW w:w="612" w:type="dxa"/>
            <w:vAlign w:val="center"/>
          </w:tcPr>
          <w:p w:rsidR="005E4C71" w:rsidRPr="0095194D" w:rsidRDefault="004669C7" w:rsidP="0095194D">
            <w:pPr>
              <w:spacing w:line="360" w:lineRule="auto"/>
              <w:jc w:val="center"/>
              <w:rPr>
                <w:iCs/>
                <w:sz w:val="16"/>
                <w:szCs w:val="16"/>
              </w:rPr>
            </w:pPr>
            <w:r w:rsidRPr="0095194D">
              <w:rPr>
                <w:iCs/>
                <w:sz w:val="16"/>
                <w:szCs w:val="16"/>
              </w:rPr>
              <w:t>47.9</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44.1</w:t>
            </w:r>
          </w:p>
        </w:tc>
        <w:tc>
          <w:tcPr>
            <w:tcW w:w="613" w:type="dxa"/>
            <w:gridSpan w:val="2"/>
            <w:vAlign w:val="center"/>
          </w:tcPr>
          <w:p w:rsidR="005E4C71" w:rsidRPr="0095194D" w:rsidRDefault="004669C7" w:rsidP="0095194D">
            <w:pPr>
              <w:spacing w:line="360" w:lineRule="auto"/>
              <w:jc w:val="center"/>
              <w:rPr>
                <w:iCs/>
                <w:sz w:val="16"/>
                <w:szCs w:val="16"/>
              </w:rPr>
            </w:pPr>
            <w:r w:rsidRPr="0095194D">
              <w:rPr>
                <w:iCs/>
                <w:sz w:val="16"/>
                <w:szCs w:val="16"/>
              </w:rPr>
              <w:t>43.6</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49.8</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46.3</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45.9</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46.0</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41.8</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41.3</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76.4</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74.0</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73.9</w:t>
            </w:r>
          </w:p>
        </w:tc>
      </w:tr>
      <w:tr w:rsidR="0095194D" w:rsidRPr="0095194D" w:rsidTr="0095194D">
        <w:trPr>
          <w:trHeight w:val="240"/>
        </w:trPr>
        <w:tc>
          <w:tcPr>
            <w:tcW w:w="856" w:type="dxa"/>
            <w:vMerge w:val="restart"/>
            <w:vAlign w:val="center"/>
          </w:tcPr>
          <w:p w:rsidR="0095194D" w:rsidRPr="0095194D" w:rsidRDefault="0095194D" w:rsidP="0095194D">
            <w:pPr>
              <w:spacing w:line="360" w:lineRule="auto"/>
              <w:jc w:val="center"/>
              <w:rPr>
                <w:iCs/>
                <w:sz w:val="16"/>
                <w:szCs w:val="16"/>
              </w:rPr>
            </w:pPr>
            <w:r w:rsidRPr="0095194D">
              <w:rPr>
                <w:iCs/>
                <w:sz w:val="16"/>
                <w:szCs w:val="16"/>
              </w:rPr>
              <w:t>Amerika</w:t>
            </w:r>
          </w:p>
        </w:tc>
        <w:tc>
          <w:tcPr>
            <w:tcW w:w="1323" w:type="dxa"/>
          </w:tcPr>
          <w:p w:rsidR="0095194D" w:rsidRPr="0095194D" w:rsidRDefault="0095194D" w:rsidP="00E64C22">
            <w:pPr>
              <w:spacing w:line="360" w:lineRule="auto"/>
              <w:jc w:val="both"/>
              <w:rPr>
                <w:iCs/>
                <w:sz w:val="16"/>
                <w:szCs w:val="16"/>
              </w:rPr>
            </w:pPr>
            <w:r w:rsidRPr="0095194D">
              <w:rPr>
                <w:iCs/>
                <w:sz w:val="16"/>
                <w:szCs w:val="16"/>
              </w:rPr>
              <w:t>Latin Amerika ve Karayipler</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45.3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40.1</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39.3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57.5</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49.1</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48.1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33.2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30.8</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30.2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61.9</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64.1</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63.5</w:t>
            </w:r>
          </w:p>
        </w:tc>
      </w:tr>
      <w:tr w:rsidR="0095194D" w:rsidRPr="0095194D" w:rsidTr="0095194D">
        <w:trPr>
          <w:trHeight w:val="248"/>
        </w:trPr>
        <w:tc>
          <w:tcPr>
            <w:tcW w:w="856" w:type="dxa"/>
            <w:vMerge/>
          </w:tcPr>
          <w:p w:rsidR="0095194D" w:rsidRPr="0095194D" w:rsidRDefault="0095194D" w:rsidP="00E64C22">
            <w:pPr>
              <w:spacing w:line="360" w:lineRule="auto"/>
              <w:jc w:val="both"/>
              <w:rPr>
                <w:iCs/>
                <w:sz w:val="16"/>
                <w:szCs w:val="16"/>
              </w:rPr>
            </w:pPr>
          </w:p>
        </w:tc>
        <w:tc>
          <w:tcPr>
            <w:tcW w:w="1323" w:type="dxa"/>
          </w:tcPr>
          <w:p w:rsidR="0095194D" w:rsidRPr="0095194D" w:rsidRDefault="0095194D" w:rsidP="00E64C22">
            <w:pPr>
              <w:spacing w:line="360" w:lineRule="auto"/>
              <w:jc w:val="both"/>
              <w:rPr>
                <w:iCs/>
                <w:sz w:val="16"/>
                <w:szCs w:val="16"/>
              </w:rPr>
            </w:pPr>
            <w:r w:rsidRPr="0095194D">
              <w:rPr>
                <w:iCs/>
                <w:sz w:val="16"/>
                <w:szCs w:val="16"/>
              </w:rPr>
              <w:t>Kuzey Amerika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56.3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47.9</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45.9</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58.1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47.8</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45.8</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54.4</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48.1</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46.1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64.7</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62.2</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60.9</w:t>
            </w:r>
          </w:p>
        </w:tc>
      </w:tr>
      <w:tr w:rsidR="0095194D" w:rsidRPr="0095194D" w:rsidTr="0095194D">
        <w:trPr>
          <w:trHeight w:val="489"/>
        </w:trPr>
        <w:tc>
          <w:tcPr>
            <w:tcW w:w="856" w:type="dxa"/>
          </w:tcPr>
          <w:p w:rsidR="005E4C71" w:rsidRPr="0095194D" w:rsidRDefault="005E4C71" w:rsidP="00E64C22">
            <w:pPr>
              <w:spacing w:line="360" w:lineRule="auto"/>
              <w:jc w:val="both"/>
              <w:rPr>
                <w:iCs/>
                <w:sz w:val="16"/>
                <w:szCs w:val="16"/>
              </w:rPr>
            </w:pPr>
            <w:r w:rsidRPr="0095194D">
              <w:rPr>
                <w:iCs/>
                <w:sz w:val="16"/>
                <w:szCs w:val="16"/>
              </w:rPr>
              <w:t>Arap Devletleri</w:t>
            </w:r>
          </w:p>
        </w:tc>
        <w:tc>
          <w:tcPr>
            <w:tcW w:w="1323" w:type="dxa"/>
          </w:tcPr>
          <w:p w:rsidR="005E4C71" w:rsidRPr="0095194D" w:rsidRDefault="004669C7" w:rsidP="00E64C22">
            <w:pPr>
              <w:spacing w:line="360" w:lineRule="auto"/>
              <w:jc w:val="both"/>
              <w:rPr>
                <w:iCs/>
                <w:sz w:val="16"/>
                <w:szCs w:val="16"/>
              </w:rPr>
            </w:pPr>
            <w:r w:rsidRPr="0095194D">
              <w:rPr>
                <w:iCs/>
                <w:sz w:val="16"/>
                <w:szCs w:val="16"/>
              </w:rPr>
              <w:t>Arap Devletleri</w:t>
            </w:r>
          </w:p>
        </w:tc>
        <w:tc>
          <w:tcPr>
            <w:tcW w:w="612" w:type="dxa"/>
            <w:vAlign w:val="center"/>
          </w:tcPr>
          <w:p w:rsidR="005E4C71" w:rsidRPr="0095194D" w:rsidRDefault="004669C7" w:rsidP="0095194D">
            <w:pPr>
              <w:spacing w:line="360" w:lineRule="auto"/>
              <w:jc w:val="center"/>
              <w:rPr>
                <w:iCs/>
                <w:sz w:val="16"/>
                <w:szCs w:val="16"/>
              </w:rPr>
            </w:pPr>
            <w:r w:rsidRPr="0095194D">
              <w:rPr>
                <w:iCs/>
                <w:sz w:val="16"/>
                <w:szCs w:val="16"/>
              </w:rPr>
              <w:t>27.8</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21.4</w:t>
            </w:r>
          </w:p>
        </w:tc>
        <w:tc>
          <w:tcPr>
            <w:tcW w:w="613" w:type="dxa"/>
            <w:gridSpan w:val="2"/>
            <w:vAlign w:val="center"/>
          </w:tcPr>
          <w:p w:rsidR="005E4C71" w:rsidRPr="0095194D" w:rsidRDefault="004669C7" w:rsidP="0095194D">
            <w:pPr>
              <w:spacing w:line="360" w:lineRule="auto"/>
              <w:jc w:val="center"/>
              <w:rPr>
                <w:iCs/>
                <w:sz w:val="16"/>
                <w:szCs w:val="16"/>
              </w:rPr>
            </w:pPr>
            <w:r w:rsidRPr="0095194D">
              <w:rPr>
                <w:iCs/>
                <w:sz w:val="16"/>
                <w:szCs w:val="16"/>
              </w:rPr>
              <w:t>20.7</w:t>
            </w:r>
          </w:p>
        </w:tc>
        <w:tc>
          <w:tcPr>
            <w:tcW w:w="613" w:type="dxa"/>
            <w:vAlign w:val="center"/>
          </w:tcPr>
          <w:p w:rsidR="005E4C71" w:rsidRPr="0095194D" w:rsidRDefault="004669C7" w:rsidP="0095194D">
            <w:pPr>
              <w:spacing w:line="360" w:lineRule="auto"/>
              <w:jc w:val="center"/>
              <w:rPr>
                <w:iCs/>
                <w:sz w:val="16"/>
                <w:szCs w:val="16"/>
              </w:rPr>
            </w:pPr>
            <w:r w:rsidRPr="0095194D">
              <w:rPr>
                <w:iCs/>
                <w:sz w:val="16"/>
                <w:szCs w:val="16"/>
              </w:rPr>
              <w:t>44.4</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36.7</w:t>
            </w:r>
          </w:p>
        </w:tc>
        <w:tc>
          <w:tcPr>
            <w:tcW w:w="613" w:type="dxa"/>
            <w:gridSpan w:val="2"/>
            <w:vAlign w:val="center"/>
          </w:tcPr>
          <w:p w:rsidR="005E4C71" w:rsidRPr="0095194D" w:rsidRDefault="000C03F2" w:rsidP="0095194D">
            <w:pPr>
              <w:spacing w:line="360" w:lineRule="auto"/>
              <w:jc w:val="center"/>
              <w:rPr>
                <w:iCs/>
                <w:sz w:val="16"/>
                <w:szCs w:val="16"/>
              </w:rPr>
            </w:pPr>
            <w:r w:rsidRPr="0095194D">
              <w:rPr>
                <w:iCs/>
                <w:sz w:val="16"/>
                <w:szCs w:val="16"/>
              </w:rPr>
              <w:t>35.4</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10.2</w:t>
            </w:r>
          </w:p>
        </w:tc>
        <w:tc>
          <w:tcPr>
            <w:tcW w:w="613" w:type="dxa"/>
            <w:vAlign w:val="center"/>
          </w:tcPr>
          <w:p w:rsidR="005E4C71" w:rsidRPr="0095194D" w:rsidRDefault="000C03F2" w:rsidP="0095194D">
            <w:pPr>
              <w:spacing w:line="360" w:lineRule="auto"/>
              <w:jc w:val="center"/>
              <w:rPr>
                <w:iCs/>
                <w:sz w:val="16"/>
                <w:szCs w:val="16"/>
              </w:rPr>
            </w:pPr>
            <w:r w:rsidRPr="0095194D">
              <w:rPr>
                <w:iCs/>
                <w:sz w:val="16"/>
                <w:szCs w:val="16"/>
              </w:rPr>
              <w:t>4.8</w:t>
            </w:r>
          </w:p>
        </w:tc>
        <w:tc>
          <w:tcPr>
            <w:tcW w:w="613" w:type="dxa"/>
            <w:gridSpan w:val="2"/>
            <w:vAlign w:val="center"/>
          </w:tcPr>
          <w:p w:rsidR="005E4C71" w:rsidRPr="0095194D" w:rsidRDefault="004E63F1" w:rsidP="0095194D">
            <w:pPr>
              <w:spacing w:line="360" w:lineRule="auto"/>
              <w:jc w:val="center"/>
              <w:rPr>
                <w:iCs/>
                <w:sz w:val="16"/>
                <w:szCs w:val="16"/>
              </w:rPr>
            </w:pPr>
            <w:r w:rsidRPr="0095194D">
              <w:rPr>
                <w:iCs/>
                <w:sz w:val="16"/>
                <w:szCs w:val="16"/>
              </w:rPr>
              <w:t>4.6</w:t>
            </w:r>
          </w:p>
        </w:tc>
        <w:tc>
          <w:tcPr>
            <w:tcW w:w="613" w:type="dxa"/>
            <w:vAlign w:val="center"/>
          </w:tcPr>
          <w:p w:rsidR="005E4C71" w:rsidRPr="0095194D" w:rsidRDefault="004E63F1" w:rsidP="0095194D">
            <w:pPr>
              <w:spacing w:line="360" w:lineRule="auto"/>
              <w:jc w:val="center"/>
              <w:rPr>
                <w:iCs/>
                <w:sz w:val="16"/>
                <w:szCs w:val="16"/>
              </w:rPr>
            </w:pPr>
            <w:r w:rsidRPr="0095194D">
              <w:rPr>
                <w:iCs/>
                <w:sz w:val="16"/>
                <w:szCs w:val="16"/>
              </w:rPr>
              <w:t>53.8</w:t>
            </w:r>
          </w:p>
        </w:tc>
        <w:tc>
          <w:tcPr>
            <w:tcW w:w="613" w:type="dxa"/>
            <w:vAlign w:val="center"/>
          </w:tcPr>
          <w:p w:rsidR="005E4C71" w:rsidRPr="0095194D" w:rsidRDefault="004E63F1" w:rsidP="0095194D">
            <w:pPr>
              <w:spacing w:line="360" w:lineRule="auto"/>
              <w:jc w:val="center"/>
              <w:rPr>
                <w:iCs/>
                <w:sz w:val="16"/>
                <w:szCs w:val="16"/>
              </w:rPr>
            </w:pPr>
            <w:r w:rsidRPr="0095194D">
              <w:rPr>
                <w:iCs/>
                <w:sz w:val="16"/>
                <w:szCs w:val="16"/>
              </w:rPr>
              <w:t>55.8</w:t>
            </w:r>
          </w:p>
        </w:tc>
        <w:tc>
          <w:tcPr>
            <w:tcW w:w="613" w:type="dxa"/>
            <w:gridSpan w:val="2"/>
            <w:vAlign w:val="center"/>
          </w:tcPr>
          <w:p w:rsidR="005E4C71" w:rsidRPr="0095194D" w:rsidRDefault="004E63F1" w:rsidP="0095194D">
            <w:pPr>
              <w:spacing w:line="360" w:lineRule="auto"/>
              <w:jc w:val="center"/>
              <w:rPr>
                <w:iCs/>
                <w:sz w:val="16"/>
                <w:szCs w:val="16"/>
              </w:rPr>
            </w:pPr>
            <w:r w:rsidRPr="0095194D">
              <w:rPr>
                <w:iCs/>
                <w:sz w:val="16"/>
                <w:szCs w:val="16"/>
              </w:rPr>
              <w:t>54.5</w:t>
            </w:r>
          </w:p>
        </w:tc>
      </w:tr>
      <w:tr w:rsidR="0095194D" w:rsidRPr="0095194D" w:rsidTr="0095194D">
        <w:trPr>
          <w:trHeight w:val="489"/>
        </w:trPr>
        <w:tc>
          <w:tcPr>
            <w:tcW w:w="856" w:type="dxa"/>
            <w:vMerge w:val="restart"/>
            <w:vAlign w:val="center"/>
          </w:tcPr>
          <w:p w:rsidR="0095194D" w:rsidRPr="0095194D" w:rsidRDefault="0095194D" w:rsidP="0095194D">
            <w:pPr>
              <w:spacing w:line="360" w:lineRule="auto"/>
              <w:jc w:val="center"/>
              <w:rPr>
                <w:iCs/>
                <w:sz w:val="16"/>
                <w:szCs w:val="16"/>
              </w:rPr>
            </w:pPr>
            <w:r w:rsidRPr="0095194D">
              <w:rPr>
                <w:iCs/>
                <w:sz w:val="16"/>
                <w:szCs w:val="16"/>
              </w:rPr>
              <w:t>Asya ve Pasifik</w:t>
            </w:r>
          </w:p>
        </w:tc>
        <w:tc>
          <w:tcPr>
            <w:tcW w:w="1323" w:type="dxa"/>
          </w:tcPr>
          <w:p w:rsidR="0095194D" w:rsidRPr="0095194D" w:rsidRDefault="0095194D" w:rsidP="00E64C22">
            <w:pPr>
              <w:spacing w:line="360" w:lineRule="auto"/>
              <w:jc w:val="both"/>
              <w:rPr>
                <w:iCs/>
                <w:sz w:val="16"/>
                <w:szCs w:val="16"/>
              </w:rPr>
            </w:pPr>
            <w:r w:rsidRPr="0095194D">
              <w:rPr>
                <w:iCs/>
                <w:sz w:val="16"/>
                <w:szCs w:val="16"/>
              </w:rPr>
              <w:t>Doğu Asya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62.2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40.8</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39.1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62.0</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41.5</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39.6</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62.5</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40.0</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38.4</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75.6</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68.5</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66.3</w:t>
            </w:r>
          </w:p>
        </w:tc>
      </w:tr>
      <w:tr w:rsidR="0095194D" w:rsidRPr="0095194D" w:rsidTr="0095194D">
        <w:trPr>
          <w:trHeight w:val="240"/>
        </w:trPr>
        <w:tc>
          <w:tcPr>
            <w:tcW w:w="856" w:type="dxa"/>
            <w:vMerge/>
            <w:vAlign w:val="center"/>
          </w:tcPr>
          <w:p w:rsidR="0095194D" w:rsidRPr="0095194D" w:rsidRDefault="0095194D" w:rsidP="0095194D">
            <w:pPr>
              <w:spacing w:line="360" w:lineRule="auto"/>
              <w:jc w:val="center"/>
              <w:rPr>
                <w:iCs/>
                <w:sz w:val="16"/>
                <w:szCs w:val="16"/>
              </w:rPr>
            </w:pPr>
          </w:p>
        </w:tc>
        <w:tc>
          <w:tcPr>
            <w:tcW w:w="1323" w:type="dxa"/>
          </w:tcPr>
          <w:p w:rsidR="0095194D" w:rsidRPr="0095194D" w:rsidRDefault="0095194D" w:rsidP="00E64C22">
            <w:pPr>
              <w:spacing w:line="360" w:lineRule="auto"/>
              <w:jc w:val="both"/>
              <w:rPr>
                <w:iCs/>
                <w:sz w:val="16"/>
                <w:szCs w:val="16"/>
              </w:rPr>
            </w:pPr>
            <w:r w:rsidRPr="0095194D">
              <w:rPr>
                <w:iCs/>
                <w:sz w:val="16"/>
                <w:szCs w:val="16"/>
              </w:rPr>
              <w:t>Güneydoğu Asya ve Pasifik</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51.5</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42.4</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41.2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57.8</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48.9</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47.7</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45.0</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35.6</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34.4</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72.3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71.7</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70.9</w:t>
            </w:r>
          </w:p>
        </w:tc>
      </w:tr>
      <w:tr w:rsidR="0095194D" w:rsidRPr="0095194D" w:rsidTr="0095194D">
        <w:trPr>
          <w:trHeight w:val="248"/>
        </w:trPr>
        <w:tc>
          <w:tcPr>
            <w:tcW w:w="856" w:type="dxa"/>
            <w:vMerge/>
            <w:vAlign w:val="center"/>
          </w:tcPr>
          <w:p w:rsidR="0095194D" w:rsidRPr="0095194D" w:rsidRDefault="0095194D" w:rsidP="0095194D">
            <w:pPr>
              <w:spacing w:line="360" w:lineRule="auto"/>
              <w:jc w:val="center"/>
              <w:rPr>
                <w:iCs/>
                <w:sz w:val="16"/>
                <w:szCs w:val="16"/>
              </w:rPr>
            </w:pPr>
          </w:p>
        </w:tc>
        <w:tc>
          <w:tcPr>
            <w:tcW w:w="1323" w:type="dxa"/>
          </w:tcPr>
          <w:p w:rsidR="0095194D" w:rsidRPr="0095194D" w:rsidRDefault="0095194D" w:rsidP="00E64C22">
            <w:pPr>
              <w:spacing w:line="360" w:lineRule="auto"/>
              <w:jc w:val="both"/>
              <w:rPr>
                <w:iCs/>
                <w:sz w:val="16"/>
                <w:szCs w:val="16"/>
              </w:rPr>
            </w:pPr>
            <w:r w:rsidRPr="0095194D">
              <w:rPr>
                <w:iCs/>
                <w:sz w:val="16"/>
                <w:szCs w:val="16"/>
              </w:rPr>
              <w:t>Güney Asya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38.1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25.7</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24.8</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55.2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38.5</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37.3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19.5</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11.6</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11.1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60.8</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55.7</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55.0</w:t>
            </w:r>
          </w:p>
        </w:tc>
      </w:tr>
      <w:tr w:rsidR="0095194D" w:rsidRPr="0095194D" w:rsidTr="0095194D">
        <w:trPr>
          <w:trHeight w:val="737"/>
        </w:trPr>
        <w:tc>
          <w:tcPr>
            <w:tcW w:w="856" w:type="dxa"/>
            <w:vMerge w:val="restart"/>
            <w:vAlign w:val="center"/>
          </w:tcPr>
          <w:p w:rsidR="0095194D" w:rsidRPr="0095194D" w:rsidRDefault="0095194D" w:rsidP="0095194D">
            <w:pPr>
              <w:spacing w:line="360" w:lineRule="auto"/>
              <w:jc w:val="center"/>
              <w:rPr>
                <w:iCs/>
                <w:sz w:val="16"/>
                <w:szCs w:val="16"/>
              </w:rPr>
            </w:pPr>
            <w:r w:rsidRPr="0095194D">
              <w:rPr>
                <w:iCs/>
                <w:sz w:val="16"/>
                <w:szCs w:val="16"/>
              </w:rPr>
              <w:t>Avrupa ve Orta Asya</w:t>
            </w:r>
          </w:p>
        </w:tc>
        <w:tc>
          <w:tcPr>
            <w:tcW w:w="1323" w:type="dxa"/>
          </w:tcPr>
          <w:p w:rsidR="0095194D" w:rsidRPr="0095194D" w:rsidRDefault="0095194D" w:rsidP="00E64C22">
            <w:pPr>
              <w:spacing w:line="360" w:lineRule="auto"/>
              <w:jc w:val="both"/>
              <w:rPr>
                <w:iCs/>
                <w:sz w:val="16"/>
                <w:szCs w:val="16"/>
              </w:rPr>
            </w:pPr>
            <w:r w:rsidRPr="0095194D">
              <w:rPr>
                <w:iCs/>
                <w:sz w:val="16"/>
                <w:szCs w:val="16"/>
              </w:rPr>
              <w:t>Kuzey, Güney, Doğu Avrupa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38.9</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37.3</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36.1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42.3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38.8</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37.6</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35.4</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35.7</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34.6</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53.1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56.3</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55.7</w:t>
            </w:r>
          </w:p>
        </w:tc>
      </w:tr>
      <w:tr w:rsidR="0095194D" w:rsidRPr="0095194D" w:rsidTr="0095194D">
        <w:trPr>
          <w:trHeight w:val="240"/>
        </w:trPr>
        <w:tc>
          <w:tcPr>
            <w:tcW w:w="856" w:type="dxa"/>
            <w:vMerge/>
          </w:tcPr>
          <w:p w:rsidR="0095194D" w:rsidRPr="0095194D" w:rsidRDefault="0095194D" w:rsidP="00E64C22">
            <w:pPr>
              <w:spacing w:line="360" w:lineRule="auto"/>
              <w:jc w:val="both"/>
              <w:rPr>
                <w:iCs/>
                <w:sz w:val="16"/>
                <w:szCs w:val="16"/>
              </w:rPr>
            </w:pPr>
          </w:p>
        </w:tc>
        <w:tc>
          <w:tcPr>
            <w:tcW w:w="1323" w:type="dxa"/>
          </w:tcPr>
          <w:p w:rsidR="0095194D" w:rsidRPr="0095194D" w:rsidRDefault="0095194D" w:rsidP="00E64C22">
            <w:pPr>
              <w:spacing w:line="360" w:lineRule="auto"/>
              <w:jc w:val="both"/>
              <w:rPr>
                <w:iCs/>
                <w:sz w:val="16"/>
                <w:szCs w:val="16"/>
              </w:rPr>
            </w:pPr>
            <w:r w:rsidRPr="0095194D">
              <w:rPr>
                <w:iCs/>
                <w:sz w:val="16"/>
                <w:szCs w:val="16"/>
              </w:rPr>
              <w:t>Doğu Avrupa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32.2</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27.4</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25.1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35.6</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30.6</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28.0</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28.7</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24.0</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22.0</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56.7</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59.8</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58.4</w:t>
            </w:r>
          </w:p>
        </w:tc>
      </w:tr>
      <w:tr w:rsidR="0095194D" w:rsidRPr="0095194D" w:rsidTr="0095194D">
        <w:trPr>
          <w:trHeight w:val="240"/>
        </w:trPr>
        <w:tc>
          <w:tcPr>
            <w:tcW w:w="856" w:type="dxa"/>
            <w:vMerge/>
          </w:tcPr>
          <w:p w:rsidR="0095194D" w:rsidRPr="0095194D" w:rsidRDefault="0095194D" w:rsidP="00E64C22">
            <w:pPr>
              <w:spacing w:line="360" w:lineRule="auto"/>
              <w:jc w:val="both"/>
              <w:rPr>
                <w:iCs/>
                <w:sz w:val="16"/>
                <w:szCs w:val="16"/>
              </w:rPr>
            </w:pPr>
          </w:p>
        </w:tc>
        <w:tc>
          <w:tcPr>
            <w:tcW w:w="1323" w:type="dxa"/>
          </w:tcPr>
          <w:p w:rsidR="0095194D" w:rsidRPr="0095194D" w:rsidRDefault="0095194D" w:rsidP="00E64C22">
            <w:pPr>
              <w:spacing w:line="360" w:lineRule="auto"/>
              <w:jc w:val="both"/>
              <w:rPr>
                <w:iCs/>
                <w:sz w:val="16"/>
                <w:szCs w:val="16"/>
              </w:rPr>
            </w:pPr>
            <w:r w:rsidRPr="0095194D">
              <w:rPr>
                <w:iCs/>
                <w:sz w:val="16"/>
                <w:szCs w:val="16"/>
              </w:rPr>
              <w:t>Merkez ve Batı Asya</w:t>
            </w:r>
          </w:p>
        </w:tc>
        <w:tc>
          <w:tcPr>
            <w:tcW w:w="612" w:type="dxa"/>
            <w:vAlign w:val="center"/>
          </w:tcPr>
          <w:p w:rsidR="0095194D" w:rsidRPr="0095194D" w:rsidRDefault="0095194D" w:rsidP="0095194D">
            <w:pPr>
              <w:spacing w:line="360" w:lineRule="auto"/>
              <w:jc w:val="center"/>
              <w:rPr>
                <w:iCs/>
                <w:sz w:val="16"/>
                <w:szCs w:val="16"/>
              </w:rPr>
            </w:pPr>
            <w:r w:rsidRPr="0095194D">
              <w:rPr>
                <w:iCs/>
                <w:sz w:val="16"/>
                <w:szCs w:val="16"/>
              </w:rPr>
              <w:t>37.7</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35.4</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34.3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45.9</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43.9</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42.3</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29.5</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26.5</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25.9</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57.1</w:t>
            </w:r>
          </w:p>
        </w:tc>
        <w:tc>
          <w:tcPr>
            <w:tcW w:w="613" w:type="dxa"/>
            <w:vAlign w:val="center"/>
          </w:tcPr>
          <w:p w:rsidR="0095194D" w:rsidRPr="0095194D" w:rsidRDefault="0095194D" w:rsidP="0095194D">
            <w:pPr>
              <w:spacing w:line="360" w:lineRule="auto"/>
              <w:jc w:val="center"/>
              <w:rPr>
                <w:iCs/>
                <w:sz w:val="16"/>
                <w:szCs w:val="16"/>
              </w:rPr>
            </w:pPr>
            <w:r w:rsidRPr="0095194D">
              <w:rPr>
                <w:iCs/>
                <w:sz w:val="16"/>
                <w:szCs w:val="16"/>
              </w:rPr>
              <w:t>57.6</w:t>
            </w:r>
          </w:p>
        </w:tc>
        <w:tc>
          <w:tcPr>
            <w:tcW w:w="613" w:type="dxa"/>
            <w:gridSpan w:val="2"/>
            <w:vAlign w:val="center"/>
          </w:tcPr>
          <w:p w:rsidR="0095194D" w:rsidRPr="0095194D" w:rsidRDefault="0095194D" w:rsidP="0095194D">
            <w:pPr>
              <w:spacing w:line="360" w:lineRule="auto"/>
              <w:jc w:val="center"/>
              <w:rPr>
                <w:iCs/>
                <w:sz w:val="16"/>
                <w:szCs w:val="16"/>
              </w:rPr>
            </w:pPr>
            <w:r w:rsidRPr="0095194D">
              <w:rPr>
                <w:iCs/>
                <w:sz w:val="16"/>
                <w:szCs w:val="16"/>
              </w:rPr>
              <w:t>56.5</w:t>
            </w:r>
          </w:p>
        </w:tc>
      </w:tr>
    </w:tbl>
    <w:p w:rsidR="00A7687B" w:rsidRPr="00152BD3" w:rsidRDefault="0095194D" w:rsidP="00B63D30">
      <w:pPr>
        <w:spacing w:line="360" w:lineRule="auto"/>
        <w:ind w:firstLine="540"/>
        <w:jc w:val="both"/>
        <w:rPr>
          <w:iCs/>
          <w:sz w:val="22"/>
          <w:szCs w:val="22"/>
          <w:highlight w:val="yellow"/>
        </w:rPr>
      </w:pPr>
      <w:r w:rsidRPr="0095194D">
        <w:rPr>
          <w:iCs/>
          <w:sz w:val="18"/>
          <w:szCs w:val="22"/>
        </w:rPr>
        <w:t>Kaynak: ILO,2020:27</w:t>
      </w:r>
    </w:p>
    <w:p w:rsidR="00A7687B" w:rsidRPr="0095194D" w:rsidRDefault="00A7687B" w:rsidP="00A7687B">
      <w:pPr>
        <w:spacing w:line="360" w:lineRule="auto"/>
        <w:ind w:firstLine="540"/>
        <w:jc w:val="both"/>
        <w:rPr>
          <w:iCs/>
          <w:sz w:val="18"/>
          <w:szCs w:val="22"/>
        </w:rPr>
      </w:pPr>
      <w:r w:rsidRPr="0095194D">
        <w:rPr>
          <w:iCs/>
          <w:sz w:val="18"/>
          <w:szCs w:val="22"/>
        </w:rPr>
        <w:t>Not: 2023 verileri projeksiyondur.ILO modelli tahminler, Kasım 2019.</w:t>
      </w:r>
    </w:p>
    <w:p w:rsidR="00520AD8" w:rsidRPr="00152BD3" w:rsidRDefault="00520AD8" w:rsidP="00A7687B">
      <w:pPr>
        <w:spacing w:line="360" w:lineRule="auto"/>
        <w:ind w:firstLine="540"/>
        <w:jc w:val="both"/>
        <w:rPr>
          <w:iCs/>
          <w:sz w:val="22"/>
          <w:szCs w:val="22"/>
          <w:highlight w:val="yellow"/>
        </w:rPr>
      </w:pPr>
    </w:p>
    <w:p w:rsidR="00520AD8" w:rsidRDefault="00520AD8" w:rsidP="00520AD8">
      <w:pPr>
        <w:spacing w:line="360" w:lineRule="auto"/>
        <w:ind w:firstLine="540"/>
        <w:jc w:val="both"/>
        <w:rPr>
          <w:iCs/>
          <w:sz w:val="22"/>
          <w:szCs w:val="22"/>
        </w:rPr>
      </w:pPr>
      <w:r w:rsidRPr="0095194D">
        <w:t xml:space="preserve">Çalışmanın bundan sonraki kısmı şu şekilde planlanmıştır: Öncelikle dünyada genç işsizliğinin durumuna, ardından </w:t>
      </w:r>
      <w:r w:rsidR="007A7BBE" w:rsidRPr="0095194D">
        <w:t>mak</w:t>
      </w:r>
      <w:r w:rsidRPr="0095194D">
        <w:t xml:space="preserve">roekonomik gelişmeler bakımından kırılgan beş ülkenin durumuna değinilmiştir. </w:t>
      </w:r>
      <w:r w:rsidR="000A5BCC" w:rsidRPr="0095194D">
        <w:t>L</w:t>
      </w:r>
      <w:r w:rsidRPr="0095194D">
        <w:t>it</w:t>
      </w:r>
      <w:r w:rsidR="000A5BCC" w:rsidRPr="0095194D">
        <w:t>eratürde konuya ilişkin yapılan</w:t>
      </w:r>
      <w:r w:rsidRPr="0095194D">
        <w:t xml:space="preserve"> çalış</w:t>
      </w:r>
      <w:r w:rsidR="000A5BCC" w:rsidRPr="0095194D">
        <w:t xml:space="preserve">malar incelenmiştir. Çalışmanın yöntem bölümünde </w:t>
      </w:r>
      <w:r w:rsidRPr="0095194D">
        <w:t>ampirik analizde kullanılan metodoloji, model ve veri seti açıklanmıştır. Son olarak, ulaşılan ampirik bulgular incelenmiş ve sonuç bölümünde elde edilen bulgular yorumlanarak; elde edilen sonuçlara ilişkin çeşitli politika önerileri sunulmuştur.</w:t>
      </w:r>
    </w:p>
    <w:p w:rsidR="00BB68D1" w:rsidRDefault="00BB68D1" w:rsidP="005C4DDA">
      <w:pPr>
        <w:spacing w:line="360" w:lineRule="auto"/>
        <w:ind w:firstLine="540"/>
        <w:jc w:val="both"/>
        <w:rPr>
          <w:iCs/>
          <w:sz w:val="22"/>
          <w:szCs w:val="22"/>
        </w:rPr>
      </w:pPr>
    </w:p>
    <w:p w:rsidR="005C4DDA" w:rsidRDefault="009A739A" w:rsidP="005C4DDA">
      <w:pPr>
        <w:pStyle w:val="ListeParagraf"/>
        <w:numPr>
          <w:ilvl w:val="0"/>
          <w:numId w:val="1"/>
        </w:numPr>
        <w:spacing w:line="360" w:lineRule="auto"/>
        <w:rPr>
          <w:b/>
          <w:sz w:val="22"/>
          <w:szCs w:val="22"/>
        </w:rPr>
      </w:pPr>
      <w:r>
        <w:rPr>
          <w:b/>
          <w:sz w:val="22"/>
          <w:szCs w:val="22"/>
        </w:rPr>
        <w:t xml:space="preserve">GENÇ </w:t>
      </w:r>
      <w:r w:rsidR="005C4DDA">
        <w:rPr>
          <w:b/>
          <w:sz w:val="22"/>
          <w:szCs w:val="22"/>
        </w:rPr>
        <w:t xml:space="preserve">İŞSİZLİK VE </w:t>
      </w:r>
      <w:r>
        <w:rPr>
          <w:b/>
          <w:sz w:val="22"/>
          <w:szCs w:val="22"/>
        </w:rPr>
        <w:t>MAKROEKONOMİK GELİ</w:t>
      </w:r>
      <w:r w:rsidR="008A3714">
        <w:rPr>
          <w:b/>
          <w:sz w:val="22"/>
          <w:szCs w:val="22"/>
        </w:rPr>
        <w:t>ŞMELER BAKIMINDAN KIRILGAN BEŞ ÜLKE</w:t>
      </w:r>
    </w:p>
    <w:p w:rsidR="00FD52F7" w:rsidRDefault="00FD52F7" w:rsidP="00FD52F7">
      <w:pPr>
        <w:spacing w:line="360" w:lineRule="auto"/>
        <w:rPr>
          <w:iCs/>
          <w:sz w:val="22"/>
          <w:szCs w:val="22"/>
        </w:rPr>
      </w:pPr>
    </w:p>
    <w:p w:rsidR="00BB68D1" w:rsidRDefault="00FD52F7" w:rsidP="00FD52F7">
      <w:pPr>
        <w:spacing w:line="360" w:lineRule="auto"/>
        <w:jc w:val="both"/>
        <w:rPr>
          <w:iCs/>
          <w:sz w:val="22"/>
          <w:szCs w:val="22"/>
        </w:rPr>
      </w:pPr>
      <w:r w:rsidRPr="0095194D">
        <w:rPr>
          <w:iCs/>
          <w:sz w:val="22"/>
          <w:szCs w:val="22"/>
        </w:rPr>
        <w:t>Uluslararası Çalışma Örgütü(ILO) ve Birleşmiş Milletler(UN) gibi uluslararası kuruluşlar gençliği 15-24 yaş aralığı olarak kabul etmektedir. ILO (Uluslararası Çalışma Örgütü)‟nün tanımına göre genç işsizler ise; 15-24 yaşları arasında bulunan, referans döneminde bir saatten fazla çalışmamış olan, ve aktif olarak iş arayan kişi olarak tanımlanabilir.</w:t>
      </w:r>
      <w:r>
        <w:rPr>
          <w:iCs/>
          <w:sz w:val="22"/>
          <w:szCs w:val="22"/>
        </w:rPr>
        <w:t xml:space="preserve"> </w:t>
      </w:r>
    </w:p>
    <w:p w:rsidR="00566FCF" w:rsidRDefault="00566FCF" w:rsidP="00BB68D1">
      <w:pPr>
        <w:spacing w:line="360" w:lineRule="auto"/>
        <w:jc w:val="both"/>
        <w:rPr>
          <w:iCs/>
          <w:sz w:val="22"/>
          <w:szCs w:val="22"/>
        </w:rPr>
      </w:pPr>
      <w:r w:rsidRPr="00BB68D1">
        <w:rPr>
          <w:iCs/>
          <w:sz w:val="22"/>
          <w:szCs w:val="22"/>
        </w:rPr>
        <w:lastRenderedPageBreak/>
        <w:t xml:space="preserve">Dünya’da 15-24 yaş aralığında 1.8 milyarın üzerinde genç insan nüfusu bulunmaktadır ve nüfusun yaklaşık %87’si gelişmekte olan ülkelerde yaşamaktadır. Demografik eğilimler ve projeksiyonlar, küresel nüfusta gençlerin oranının azaldığını ve 2075 yılına kadar yüzde 20'nin altına düşmesi beklendiğini göstermektedir (Commonwealth, 2016:5). Gelişmiş ülkeler ekonomik gelişmeyi sürdürmek </w:t>
      </w:r>
      <w:r w:rsidR="00614AE0" w:rsidRPr="00BB68D1">
        <w:rPr>
          <w:iCs/>
          <w:sz w:val="22"/>
          <w:szCs w:val="22"/>
        </w:rPr>
        <w:t xml:space="preserve">ve </w:t>
      </w:r>
      <w:r w:rsidRPr="00BB68D1">
        <w:rPr>
          <w:iCs/>
          <w:sz w:val="22"/>
          <w:szCs w:val="22"/>
        </w:rPr>
        <w:t>azalan işgücü etkisini dengelemek için gençlerin üretken istihdamına ihtiyaç duymaktadır. Dünyanın büyük bir kısmı genç istihdamını, ekonomik büyümeyi hızlandırmada kullanılması gereken bir araç olarak kabul etmekte ve önem vermektedir</w:t>
      </w:r>
      <w:r w:rsidR="00614AE0" w:rsidRPr="00BB68D1">
        <w:rPr>
          <w:iCs/>
          <w:sz w:val="22"/>
          <w:szCs w:val="22"/>
        </w:rPr>
        <w:t>. Ge</w:t>
      </w:r>
      <w:r w:rsidRPr="00BB68D1">
        <w:rPr>
          <w:iCs/>
          <w:sz w:val="22"/>
          <w:szCs w:val="22"/>
        </w:rPr>
        <w:t xml:space="preserve">nçlerin istihdamı toplumun verimliliğini, üretim kapasitesini ve refah düzeyini maksimize etmek için gerekliliktir (ILO, 2012:3). Bununla birlikte, yetişmiş işgücü istihdam edilerek üretime katılmaması ülke üretiminde kayıplara neden olmakta ve topluma ek maliyet yüklemekte (Karabıyık, 2009:294); iş bulma beklentisinin azalmasıyla işgücüne dâhil olmama, iş aramaktan vazgeçme ve sosyal haklardan yoksun şekilde çalışma, kayıt dışı ekonomiye yönelme eğilimine sebep olmaktadır (Pirler, 2007:148). </w:t>
      </w:r>
    </w:p>
    <w:p w:rsidR="00BB68D1" w:rsidRPr="00BB68D1" w:rsidRDefault="00BB68D1" w:rsidP="00BB68D1">
      <w:pPr>
        <w:spacing w:line="360" w:lineRule="auto"/>
        <w:jc w:val="both"/>
        <w:rPr>
          <w:iCs/>
          <w:sz w:val="22"/>
          <w:szCs w:val="22"/>
        </w:rPr>
      </w:pPr>
    </w:p>
    <w:p w:rsidR="00CE4316" w:rsidRDefault="00566FCF" w:rsidP="00BB68D1">
      <w:pPr>
        <w:spacing w:line="360" w:lineRule="auto"/>
        <w:jc w:val="both"/>
        <w:rPr>
          <w:iCs/>
          <w:sz w:val="22"/>
          <w:szCs w:val="22"/>
        </w:rPr>
      </w:pPr>
      <w:r w:rsidRPr="00BB68D1">
        <w:rPr>
          <w:iCs/>
          <w:sz w:val="22"/>
          <w:szCs w:val="22"/>
        </w:rPr>
        <w:t>2008 yılında yaşanan küresel mali krizin etkisiyle genç istihdamında meydana gelen azalma, yüksek işsizlik oranlarını da beraberinde getirmiştir. Genç işsizlik oranı %17,3 ile 2009 ve 2010 yıllarında en yüksek seviyeye ulaşmış, krizin etkisinin azalmasıyla bir</w:t>
      </w:r>
      <w:r w:rsidR="00614AE0" w:rsidRPr="00BB68D1">
        <w:rPr>
          <w:iCs/>
          <w:sz w:val="22"/>
          <w:szCs w:val="22"/>
        </w:rPr>
        <w:t>likte azalma eğilimine girmesini sağlamış</w:t>
      </w:r>
      <w:r w:rsidRPr="00BB68D1">
        <w:rPr>
          <w:iCs/>
          <w:sz w:val="22"/>
          <w:szCs w:val="22"/>
        </w:rPr>
        <w:t xml:space="preserve"> ve 2019 yılında %11,7 olarak gerçekleşmiştir. </w:t>
      </w:r>
    </w:p>
    <w:p w:rsidR="00BB68D1" w:rsidRPr="00BB68D1" w:rsidRDefault="00BB68D1" w:rsidP="00BB68D1">
      <w:pPr>
        <w:spacing w:line="360" w:lineRule="auto"/>
        <w:jc w:val="both"/>
        <w:rPr>
          <w:iCs/>
          <w:sz w:val="22"/>
          <w:szCs w:val="22"/>
        </w:rPr>
      </w:pPr>
    </w:p>
    <w:p w:rsidR="00566FCF" w:rsidRPr="004A6E3C" w:rsidRDefault="00CE4316" w:rsidP="00B77DB2">
      <w:pPr>
        <w:pStyle w:val="ResimYazs"/>
        <w:rPr>
          <w:sz w:val="16"/>
        </w:rPr>
      </w:pPr>
      <w:bookmarkStart w:id="0" w:name="_Toc50985044"/>
      <w:r w:rsidRPr="004A6E3C">
        <w:rPr>
          <w:rFonts w:eastAsia="Times New Roman" w:cs="Times New Roman"/>
          <w:i w:val="0"/>
          <w:iCs w:val="0"/>
          <w:color w:val="auto"/>
          <w:sz w:val="22"/>
          <w:szCs w:val="24"/>
          <w:lang w:eastAsia="tr-TR"/>
        </w:rPr>
        <w:t>Grafik 2.1. Genç İşsizlik Oranı, OECD -2019</w:t>
      </w:r>
      <w:bookmarkEnd w:id="0"/>
    </w:p>
    <w:p w:rsidR="00566FCF" w:rsidRDefault="00566FCF" w:rsidP="00566FCF">
      <w:pPr>
        <w:keepNext/>
        <w:autoSpaceDE w:val="0"/>
        <w:autoSpaceDN w:val="0"/>
        <w:adjustRightInd w:val="0"/>
        <w:spacing w:after="240"/>
        <w:jc w:val="both"/>
        <w:rPr>
          <w:rFonts w:ascii="Arial" w:hAnsi="Arial" w:cs="Arial"/>
        </w:rPr>
      </w:pPr>
      <w:r>
        <w:rPr>
          <w:noProof/>
        </w:rPr>
        <w:drawing>
          <wp:inline distT="0" distB="0" distL="0" distR="0" wp14:anchorId="430026F3" wp14:editId="77E30B4B">
            <wp:extent cx="5579745" cy="2186940"/>
            <wp:effectExtent l="0" t="0" r="1905" b="3810"/>
            <wp:docPr id="117" name="Grafik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2E2" w:rsidRDefault="00BA22E2" w:rsidP="00BB68D1">
      <w:pPr>
        <w:spacing w:line="360" w:lineRule="auto"/>
        <w:jc w:val="both"/>
        <w:rPr>
          <w:iCs/>
          <w:sz w:val="22"/>
          <w:szCs w:val="22"/>
        </w:rPr>
      </w:pPr>
      <w:r w:rsidRPr="00BB68D1">
        <w:rPr>
          <w:iCs/>
          <w:sz w:val="22"/>
          <w:szCs w:val="22"/>
        </w:rPr>
        <w:t xml:space="preserve">Kaynak: OECD, </w:t>
      </w:r>
      <w:r w:rsidR="00374A91">
        <w:rPr>
          <w:iCs/>
          <w:sz w:val="22"/>
          <w:szCs w:val="22"/>
        </w:rPr>
        <w:t>2021</w:t>
      </w:r>
      <w:r w:rsidR="00547B95">
        <w:rPr>
          <w:iCs/>
          <w:sz w:val="22"/>
          <w:szCs w:val="22"/>
        </w:rPr>
        <w:t>a</w:t>
      </w:r>
      <w:r w:rsidR="00F3071D">
        <w:rPr>
          <w:iCs/>
          <w:sz w:val="22"/>
          <w:szCs w:val="22"/>
        </w:rPr>
        <w:t>.</w:t>
      </w:r>
    </w:p>
    <w:p w:rsidR="00BB68D1" w:rsidRPr="00BB68D1" w:rsidRDefault="00BB68D1" w:rsidP="00BB68D1">
      <w:pPr>
        <w:spacing w:line="360" w:lineRule="auto"/>
        <w:jc w:val="both"/>
        <w:rPr>
          <w:iCs/>
          <w:sz w:val="22"/>
          <w:szCs w:val="22"/>
        </w:rPr>
      </w:pPr>
    </w:p>
    <w:p w:rsidR="00CE4316" w:rsidRDefault="00CE4316" w:rsidP="00BB68D1">
      <w:pPr>
        <w:spacing w:line="360" w:lineRule="auto"/>
        <w:jc w:val="both"/>
        <w:rPr>
          <w:iCs/>
          <w:sz w:val="22"/>
          <w:szCs w:val="22"/>
        </w:rPr>
      </w:pPr>
      <w:r w:rsidRPr="00BB68D1">
        <w:rPr>
          <w:iCs/>
          <w:sz w:val="22"/>
          <w:szCs w:val="22"/>
        </w:rPr>
        <w:t>Grafik 2.1’e göre 2019 yılında genç işsizlik oranı en yüksek olan ülkeler sırasıyla Yunanistan (%35,2), İspanya (%32,5), İtalya (%29,2) ve Türkiye (%25,4) iken en düşük ülkeler ise Japonya (%3,7), Çekya (%5,6) ve Almanya (%5,8)’dır. Ülkelerin genel özellikleri, demografik yapısı, eğitim ve işgücü piyasası politikaları, ekonomik dalgalanmalar, küresel krizler genç işsizliğinin oluşumunu etkileyen faktörlerdendir. Gençler; kendilerinden daha deneyimli olan yetişkinlerin işsizliğinin arttığı dönemlerde kıdem sürelerinin düşük olması nedeniyle işsizlikten daha fazla etkilenebilmektedir.</w:t>
      </w:r>
    </w:p>
    <w:p w:rsidR="00BB68D1" w:rsidRDefault="00BB68D1" w:rsidP="00BB68D1">
      <w:pPr>
        <w:spacing w:line="360" w:lineRule="auto"/>
        <w:jc w:val="both"/>
        <w:rPr>
          <w:iCs/>
          <w:sz w:val="22"/>
          <w:szCs w:val="22"/>
        </w:rPr>
      </w:pPr>
    </w:p>
    <w:p w:rsidR="00BB68D1" w:rsidRPr="00BB68D1" w:rsidRDefault="00BB68D1" w:rsidP="00BB68D1">
      <w:pPr>
        <w:spacing w:line="360" w:lineRule="auto"/>
        <w:jc w:val="both"/>
        <w:rPr>
          <w:iCs/>
          <w:sz w:val="22"/>
          <w:szCs w:val="22"/>
        </w:rPr>
      </w:pPr>
      <w:r w:rsidRPr="00BB68D1">
        <w:rPr>
          <w:iCs/>
          <w:sz w:val="22"/>
          <w:szCs w:val="22"/>
        </w:rPr>
        <w:t>Grafik 2.2. Genç Nüfusun (15-24) Toplam Aktif Nüfus İçerisindeki Oranı</w:t>
      </w:r>
    </w:p>
    <w:p w:rsidR="00BA22E2" w:rsidRPr="00CE6EC0" w:rsidRDefault="00662610" w:rsidP="00BA22E2">
      <w:pPr>
        <w:jc w:val="both"/>
        <w:rPr>
          <w:sz w:val="20"/>
        </w:rPr>
      </w:pPr>
      <w:r>
        <w:rPr>
          <w:noProof/>
        </w:rPr>
        <w:drawing>
          <wp:inline distT="0" distB="0" distL="0" distR="0" wp14:anchorId="3A5C25B4" wp14:editId="7794FE05">
            <wp:extent cx="5760720" cy="2354580"/>
            <wp:effectExtent l="0" t="0" r="11430" b="762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22E2" w:rsidRDefault="00374A91" w:rsidP="00BA22E2">
      <w:pPr>
        <w:jc w:val="both"/>
        <w:rPr>
          <w:sz w:val="20"/>
        </w:rPr>
      </w:pPr>
      <w:r>
        <w:rPr>
          <w:sz w:val="20"/>
        </w:rPr>
        <w:t>Kaynak: OECD, 2021</w:t>
      </w:r>
      <w:r w:rsidR="00547B95">
        <w:rPr>
          <w:sz w:val="20"/>
        </w:rPr>
        <w:t>b.</w:t>
      </w:r>
    </w:p>
    <w:p w:rsidR="009A739A" w:rsidRDefault="009A739A" w:rsidP="009A739A">
      <w:pPr>
        <w:spacing w:line="360" w:lineRule="auto"/>
        <w:jc w:val="both"/>
        <w:rPr>
          <w:iCs/>
          <w:sz w:val="22"/>
          <w:szCs w:val="22"/>
        </w:rPr>
      </w:pPr>
    </w:p>
    <w:p w:rsidR="00B10CB8" w:rsidRDefault="00B10CB8" w:rsidP="00BA22E2">
      <w:pPr>
        <w:spacing w:line="360" w:lineRule="auto"/>
        <w:jc w:val="both"/>
        <w:rPr>
          <w:iCs/>
          <w:sz w:val="22"/>
          <w:szCs w:val="22"/>
        </w:rPr>
      </w:pPr>
      <w:r>
        <w:rPr>
          <w:iCs/>
          <w:sz w:val="22"/>
          <w:szCs w:val="22"/>
        </w:rPr>
        <w:t xml:space="preserve">Çalışma kapsamında ele aldığımız kırılgan beşli içerisinde yer alan </w:t>
      </w:r>
      <w:r w:rsidR="00BA22E2" w:rsidRPr="00BA22E2">
        <w:rPr>
          <w:iCs/>
          <w:sz w:val="22"/>
          <w:szCs w:val="22"/>
        </w:rPr>
        <w:t xml:space="preserve">ülkelerin genç nüfusu, çalışma çağındaki nüfusun önemli bir bölümünü oluşturmaktadır. </w:t>
      </w:r>
      <w:r>
        <w:rPr>
          <w:iCs/>
          <w:sz w:val="22"/>
          <w:szCs w:val="22"/>
        </w:rPr>
        <w:t>Ayrıca bu ülkeler 2050’li yıllara kadar d</w:t>
      </w:r>
      <w:r w:rsidRPr="00B10CB8">
        <w:rPr>
          <w:iCs/>
          <w:sz w:val="22"/>
          <w:szCs w:val="22"/>
        </w:rPr>
        <w:t xml:space="preserve">emografik geçiş sırasında nüfus artış hızı yavaşlarken çalışabilir yaştaki nüfusun artmaya devam etmesi </w:t>
      </w:r>
      <w:r>
        <w:rPr>
          <w:iCs/>
          <w:sz w:val="22"/>
          <w:szCs w:val="22"/>
        </w:rPr>
        <w:t xml:space="preserve">olarak tanımlanan </w:t>
      </w:r>
      <w:r w:rsidRPr="00B10CB8">
        <w:rPr>
          <w:iCs/>
          <w:sz w:val="22"/>
          <w:szCs w:val="22"/>
        </w:rPr>
        <w:t>demografi fırsat penceresi</w:t>
      </w:r>
      <w:r>
        <w:rPr>
          <w:iCs/>
          <w:sz w:val="22"/>
          <w:szCs w:val="22"/>
        </w:rPr>
        <w:t>ne</w:t>
      </w:r>
      <w:r w:rsidRPr="00B10CB8">
        <w:rPr>
          <w:iCs/>
          <w:sz w:val="22"/>
          <w:szCs w:val="22"/>
        </w:rPr>
        <w:t xml:space="preserve"> </w:t>
      </w:r>
      <w:r>
        <w:rPr>
          <w:iCs/>
          <w:sz w:val="22"/>
          <w:szCs w:val="22"/>
        </w:rPr>
        <w:t xml:space="preserve">sahiptir </w:t>
      </w:r>
      <w:r w:rsidR="00BA22E2" w:rsidRPr="00BA22E2">
        <w:rPr>
          <w:iCs/>
          <w:sz w:val="22"/>
          <w:szCs w:val="22"/>
        </w:rPr>
        <w:t xml:space="preserve">(Cooper ve diğerleri, 2003). </w:t>
      </w:r>
      <w:r>
        <w:rPr>
          <w:iCs/>
          <w:sz w:val="22"/>
          <w:szCs w:val="22"/>
        </w:rPr>
        <w:t xml:space="preserve">Bu nedenle çalışma kapsamında ele alınan </w:t>
      </w:r>
      <w:r w:rsidR="00BA22E2" w:rsidRPr="00BA22E2">
        <w:rPr>
          <w:iCs/>
          <w:sz w:val="22"/>
          <w:szCs w:val="22"/>
        </w:rPr>
        <w:t>ülkeler</w:t>
      </w:r>
      <w:r>
        <w:rPr>
          <w:iCs/>
          <w:sz w:val="22"/>
          <w:szCs w:val="22"/>
        </w:rPr>
        <w:t xml:space="preserve"> bu avantajı kullanabilmek için </w:t>
      </w:r>
      <w:r w:rsidR="00BA22E2" w:rsidRPr="00BA22E2">
        <w:rPr>
          <w:iCs/>
          <w:sz w:val="22"/>
          <w:szCs w:val="22"/>
        </w:rPr>
        <w:t>genç istihdam</w:t>
      </w:r>
      <w:r>
        <w:rPr>
          <w:iCs/>
          <w:sz w:val="22"/>
          <w:szCs w:val="22"/>
        </w:rPr>
        <w:t>ını artırmaya yönelik politikalar</w:t>
      </w:r>
      <w:r w:rsidR="00BA22E2" w:rsidRPr="00BA22E2">
        <w:rPr>
          <w:iCs/>
          <w:sz w:val="22"/>
          <w:szCs w:val="22"/>
        </w:rPr>
        <w:t xml:space="preserve"> uygulamalı ve </w:t>
      </w:r>
      <w:r>
        <w:rPr>
          <w:iCs/>
          <w:sz w:val="22"/>
          <w:szCs w:val="22"/>
        </w:rPr>
        <w:t xml:space="preserve">bununla birlikte </w:t>
      </w:r>
      <w:r w:rsidR="00BA22E2" w:rsidRPr="00BA22E2">
        <w:rPr>
          <w:iCs/>
          <w:sz w:val="22"/>
          <w:szCs w:val="22"/>
        </w:rPr>
        <w:t xml:space="preserve">makroekonomik istikrarı </w:t>
      </w:r>
      <w:r>
        <w:rPr>
          <w:iCs/>
          <w:sz w:val="22"/>
          <w:szCs w:val="22"/>
        </w:rPr>
        <w:t xml:space="preserve">da </w:t>
      </w:r>
      <w:r w:rsidR="00BA22E2" w:rsidRPr="00BA22E2">
        <w:rPr>
          <w:iCs/>
          <w:sz w:val="22"/>
          <w:szCs w:val="22"/>
        </w:rPr>
        <w:t xml:space="preserve">sağlamalıdır. </w:t>
      </w:r>
    </w:p>
    <w:p w:rsidR="00B10CB8" w:rsidRDefault="00B10CB8" w:rsidP="00BA22E2">
      <w:pPr>
        <w:spacing w:line="360" w:lineRule="auto"/>
        <w:jc w:val="both"/>
        <w:rPr>
          <w:iCs/>
          <w:sz w:val="22"/>
          <w:szCs w:val="22"/>
        </w:rPr>
      </w:pPr>
    </w:p>
    <w:p w:rsidR="00B10CB8" w:rsidRPr="00B10CB8" w:rsidRDefault="00B10CB8" w:rsidP="00B10CB8">
      <w:pPr>
        <w:spacing w:line="360" w:lineRule="auto"/>
        <w:jc w:val="both"/>
        <w:rPr>
          <w:iCs/>
          <w:sz w:val="22"/>
          <w:szCs w:val="22"/>
        </w:rPr>
      </w:pPr>
      <w:r w:rsidRPr="00B10CB8">
        <w:rPr>
          <w:iCs/>
          <w:sz w:val="22"/>
          <w:szCs w:val="22"/>
        </w:rPr>
        <w:t>Toplumun verimliliğini ve üretim kapasitesini etkileyen gençlerin işsiz kalması durumu belirli bir eğitim seviyesinde olan yetişmiş iş gücünün istihdam edilerek üretime katılamamasından dolayı, ülke üretiminde önemli kayıplara,  eksik istihdama neden olmakta ve topluma ek maliyet olarak geri dönmektedir. Bu durum</w:t>
      </w:r>
      <w:r w:rsidR="00CF14DF">
        <w:rPr>
          <w:iCs/>
          <w:sz w:val="22"/>
          <w:szCs w:val="22"/>
        </w:rPr>
        <w:t xml:space="preserve"> genç işsizliğinin makro</w:t>
      </w:r>
      <w:r w:rsidRPr="00B10CB8">
        <w:rPr>
          <w:iCs/>
          <w:sz w:val="22"/>
          <w:szCs w:val="22"/>
        </w:rPr>
        <w:t>ekonomik etkisi olarak değerlendirilmektedir. (Karabıyık, 2009:294) Genç işsizliği makroekonomik dengeler açı</w:t>
      </w:r>
      <w:r w:rsidR="00CF14DF">
        <w:rPr>
          <w:iCs/>
          <w:sz w:val="22"/>
          <w:szCs w:val="22"/>
        </w:rPr>
        <w:t xml:space="preserve">sından değerlendirildiğinde </w:t>
      </w:r>
      <w:r w:rsidRPr="00B10CB8">
        <w:rPr>
          <w:iCs/>
          <w:sz w:val="22"/>
          <w:szCs w:val="22"/>
        </w:rPr>
        <w:t>tasarrufların azalması, sosyal güvenlik gelirlerinde kayıplar ve sağlık harcamalarında artış gibi sorunlara neden olmaktadır. Ayıca ülke teknolojik gelişmelerin gerisinde kalmakta ve küresel ekonomi içerisinde hem bugün hem de gelecekteki</w:t>
      </w:r>
      <w:r w:rsidR="00CF14DF">
        <w:rPr>
          <w:iCs/>
          <w:sz w:val="22"/>
          <w:szCs w:val="22"/>
        </w:rPr>
        <w:t xml:space="preserve"> rekabet gücünü kaybetmektedir </w:t>
      </w:r>
      <w:r w:rsidRPr="00B10CB8">
        <w:rPr>
          <w:iCs/>
          <w:sz w:val="22"/>
          <w:szCs w:val="22"/>
        </w:rPr>
        <w:t>(Pirler, 2007:</w:t>
      </w:r>
      <w:r w:rsidR="00CF14DF">
        <w:rPr>
          <w:iCs/>
          <w:sz w:val="22"/>
          <w:szCs w:val="22"/>
        </w:rPr>
        <w:t>148).</w:t>
      </w:r>
      <w:r w:rsidR="00CF14DF" w:rsidRPr="00CF14DF">
        <w:rPr>
          <w:iCs/>
          <w:sz w:val="22"/>
          <w:szCs w:val="22"/>
        </w:rPr>
        <w:t xml:space="preserve"> </w:t>
      </w:r>
      <w:r w:rsidR="006067CA">
        <w:rPr>
          <w:iCs/>
          <w:sz w:val="22"/>
          <w:szCs w:val="22"/>
        </w:rPr>
        <w:t>M</w:t>
      </w:r>
      <w:r w:rsidR="00684844">
        <w:rPr>
          <w:iCs/>
          <w:sz w:val="22"/>
          <w:szCs w:val="22"/>
        </w:rPr>
        <w:t>akro</w:t>
      </w:r>
      <w:r w:rsidR="00CF14DF">
        <w:rPr>
          <w:iCs/>
          <w:sz w:val="22"/>
          <w:szCs w:val="22"/>
        </w:rPr>
        <w:t>ekonomik göstergeleri</w:t>
      </w:r>
      <w:r w:rsidR="006067CA">
        <w:rPr>
          <w:iCs/>
          <w:sz w:val="22"/>
          <w:szCs w:val="22"/>
        </w:rPr>
        <w:t>n başında gelen ekonomik büyüme</w:t>
      </w:r>
      <w:r w:rsidR="00CF14DF">
        <w:rPr>
          <w:iCs/>
          <w:sz w:val="22"/>
          <w:szCs w:val="22"/>
        </w:rPr>
        <w:t xml:space="preserve"> </w:t>
      </w:r>
      <w:r w:rsidR="006067CA">
        <w:rPr>
          <w:iCs/>
          <w:sz w:val="22"/>
          <w:szCs w:val="22"/>
        </w:rPr>
        <w:t xml:space="preserve">ile </w:t>
      </w:r>
      <w:r w:rsidR="00CF14DF">
        <w:rPr>
          <w:iCs/>
          <w:sz w:val="22"/>
          <w:szCs w:val="22"/>
        </w:rPr>
        <w:t xml:space="preserve">genç işsizlik </w:t>
      </w:r>
      <w:r w:rsidR="00CF14DF" w:rsidRPr="00BA22E2">
        <w:rPr>
          <w:iCs/>
          <w:sz w:val="22"/>
          <w:szCs w:val="22"/>
        </w:rPr>
        <w:t xml:space="preserve">oranları </w:t>
      </w:r>
      <w:r w:rsidR="006067CA">
        <w:rPr>
          <w:iCs/>
          <w:sz w:val="22"/>
          <w:szCs w:val="22"/>
        </w:rPr>
        <w:t>çalışma kapsamındaki ülkeler için</w:t>
      </w:r>
      <w:r w:rsidR="006067CA" w:rsidRPr="00BA22E2">
        <w:rPr>
          <w:iCs/>
          <w:sz w:val="22"/>
          <w:szCs w:val="22"/>
        </w:rPr>
        <w:t xml:space="preserve"> </w:t>
      </w:r>
      <w:r w:rsidR="00CF14DF" w:rsidRPr="00BA22E2">
        <w:rPr>
          <w:iCs/>
          <w:sz w:val="22"/>
          <w:szCs w:val="22"/>
        </w:rPr>
        <w:t>Grafik 2</w:t>
      </w:r>
      <w:r w:rsidR="00CF14DF">
        <w:rPr>
          <w:iCs/>
          <w:sz w:val="22"/>
          <w:szCs w:val="22"/>
        </w:rPr>
        <w:t>.3</w:t>
      </w:r>
      <w:r w:rsidR="00CF14DF" w:rsidRPr="00BA22E2">
        <w:rPr>
          <w:iCs/>
          <w:sz w:val="22"/>
          <w:szCs w:val="22"/>
        </w:rPr>
        <w:t>'de sunulmuştur.</w:t>
      </w:r>
    </w:p>
    <w:p w:rsidR="00B10CB8" w:rsidRDefault="00B10CB8" w:rsidP="00B10CB8">
      <w:pPr>
        <w:spacing w:line="360" w:lineRule="auto"/>
        <w:jc w:val="both"/>
        <w:rPr>
          <w:iCs/>
          <w:sz w:val="22"/>
          <w:szCs w:val="22"/>
        </w:rPr>
      </w:pPr>
    </w:p>
    <w:p w:rsidR="00110D85" w:rsidRDefault="00110D85" w:rsidP="00B10CB8">
      <w:pPr>
        <w:spacing w:line="360" w:lineRule="auto"/>
        <w:jc w:val="both"/>
        <w:rPr>
          <w:iCs/>
          <w:sz w:val="22"/>
          <w:szCs w:val="22"/>
        </w:rPr>
      </w:pPr>
      <w:r>
        <w:rPr>
          <w:iCs/>
          <w:sz w:val="22"/>
          <w:szCs w:val="22"/>
        </w:rPr>
        <w:t>Grafik 2.3. Kırılgan Beşli Ülkede Genç İşsizlik ve Büyüme Oranı</w:t>
      </w:r>
    </w:p>
    <w:p w:rsidR="00576E85" w:rsidRDefault="00576E85" w:rsidP="00B10CB8">
      <w:pPr>
        <w:spacing w:line="360" w:lineRule="auto"/>
        <w:jc w:val="both"/>
        <w:rPr>
          <w:noProof/>
        </w:rPr>
      </w:pPr>
      <w:r>
        <w:rPr>
          <w:noProof/>
        </w:rPr>
        <w:lastRenderedPageBreak/>
        <w:drawing>
          <wp:inline distT="0" distB="0" distL="0" distR="0" wp14:anchorId="6E07E020" wp14:editId="64BF6A87">
            <wp:extent cx="2766060" cy="1897380"/>
            <wp:effectExtent l="0" t="0" r="15240" b="762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76E85">
        <w:rPr>
          <w:noProof/>
        </w:rPr>
        <w:t xml:space="preserve"> </w:t>
      </w:r>
      <w:r>
        <w:rPr>
          <w:noProof/>
        </w:rPr>
        <w:drawing>
          <wp:inline distT="0" distB="0" distL="0" distR="0" wp14:anchorId="005967B3" wp14:editId="78FCA82E">
            <wp:extent cx="2735580" cy="1920240"/>
            <wp:effectExtent l="0" t="0" r="7620" b="381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7F23" w:rsidRDefault="00927F23" w:rsidP="00B10CB8">
      <w:pPr>
        <w:spacing w:line="360" w:lineRule="auto"/>
        <w:jc w:val="both"/>
        <w:rPr>
          <w:noProof/>
        </w:rPr>
      </w:pPr>
      <w:r>
        <w:rPr>
          <w:noProof/>
        </w:rPr>
        <w:drawing>
          <wp:inline distT="0" distB="0" distL="0" distR="0" wp14:anchorId="02FDBABC" wp14:editId="7CFC9B36">
            <wp:extent cx="2766060" cy="1988820"/>
            <wp:effectExtent l="0" t="0" r="15240" b="1143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27F23">
        <w:rPr>
          <w:noProof/>
        </w:rPr>
        <w:t xml:space="preserve"> </w:t>
      </w:r>
      <w:r>
        <w:rPr>
          <w:noProof/>
        </w:rPr>
        <w:drawing>
          <wp:inline distT="0" distB="0" distL="0" distR="0" wp14:anchorId="66D82592" wp14:editId="0D290002">
            <wp:extent cx="2766060" cy="1973580"/>
            <wp:effectExtent l="0" t="0" r="15240" b="762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7F23" w:rsidRDefault="00927F23" w:rsidP="00927F23">
      <w:pPr>
        <w:spacing w:line="360" w:lineRule="auto"/>
        <w:jc w:val="center"/>
        <w:rPr>
          <w:iCs/>
          <w:sz w:val="22"/>
          <w:szCs w:val="22"/>
        </w:rPr>
      </w:pPr>
      <w:r>
        <w:rPr>
          <w:noProof/>
        </w:rPr>
        <w:drawing>
          <wp:inline distT="0" distB="0" distL="0" distR="0" wp14:anchorId="2FACB7D4" wp14:editId="155CAEEC">
            <wp:extent cx="2903220" cy="1905000"/>
            <wp:effectExtent l="0" t="0" r="1143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0CB8" w:rsidRDefault="00334ED4" w:rsidP="00BA22E2">
      <w:pPr>
        <w:spacing w:line="360" w:lineRule="auto"/>
        <w:jc w:val="both"/>
        <w:rPr>
          <w:sz w:val="20"/>
        </w:rPr>
      </w:pPr>
      <w:r w:rsidRPr="00CE6EC0">
        <w:rPr>
          <w:sz w:val="20"/>
        </w:rPr>
        <w:t>Kayn</w:t>
      </w:r>
      <w:r w:rsidR="00F37084">
        <w:rPr>
          <w:sz w:val="20"/>
        </w:rPr>
        <w:t>ak: OECD, 2021</w:t>
      </w:r>
      <w:r w:rsidR="00547B95">
        <w:rPr>
          <w:sz w:val="20"/>
        </w:rPr>
        <w:t>c</w:t>
      </w:r>
      <w:r w:rsidR="00F37084">
        <w:rPr>
          <w:sz w:val="20"/>
        </w:rPr>
        <w:t>.</w:t>
      </w:r>
    </w:p>
    <w:p w:rsidR="00110D85" w:rsidRDefault="00110D85" w:rsidP="00BA22E2">
      <w:pPr>
        <w:spacing w:line="360" w:lineRule="auto"/>
        <w:jc w:val="both"/>
        <w:rPr>
          <w:iCs/>
          <w:sz w:val="22"/>
          <w:szCs w:val="22"/>
        </w:rPr>
      </w:pPr>
    </w:p>
    <w:p w:rsidR="00334ED4" w:rsidRDefault="00110D85" w:rsidP="00BA22E2">
      <w:pPr>
        <w:spacing w:line="360" w:lineRule="auto"/>
        <w:jc w:val="both"/>
        <w:rPr>
          <w:iCs/>
          <w:sz w:val="22"/>
          <w:szCs w:val="22"/>
        </w:rPr>
      </w:pPr>
      <w:r w:rsidRPr="00110D85">
        <w:rPr>
          <w:iCs/>
          <w:sz w:val="22"/>
          <w:szCs w:val="22"/>
        </w:rPr>
        <w:t>Grafik 2</w:t>
      </w:r>
      <w:r w:rsidR="003A56E8">
        <w:rPr>
          <w:iCs/>
          <w:sz w:val="22"/>
          <w:szCs w:val="22"/>
        </w:rPr>
        <w:t>.3’de görüleceği üzere</w:t>
      </w:r>
      <w:r w:rsidRPr="00110D85">
        <w:rPr>
          <w:iCs/>
          <w:sz w:val="22"/>
          <w:szCs w:val="22"/>
        </w:rPr>
        <w:t xml:space="preserve"> Endonezya ve Hindistan dışındaki diğer</w:t>
      </w:r>
      <w:r w:rsidR="003A56E8">
        <w:rPr>
          <w:iCs/>
          <w:sz w:val="22"/>
          <w:szCs w:val="22"/>
        </w:rPr>
        <w:t xml:space="preserve"> üç ülkede</w:t>
      </w:r>
      <w:r w:rsidR="00EC1B26">
        <w:rPr>
          <w:iCs/>
          <w:sz w:val="22"/>
          <w:szCs w:val="22"/>
        </w:rPr>
        <w:t xml:space="preserve"> e</w:t>
      </w:r>
      <w:r w:rsidR="003A56E8">
        <w:rPr>
          <w:iCs/>
          <w:sz w:val="22"/>
          <w:szCs w:val="22"/>
        </w:rPr>
        <w:t>konomik büyüme süreci istikrarsız</w:t>
      </w:r>
      <w:r w:rsidRPr="00110D85">
        <w:rPr>
          <w:iCs/>
          <w:sz w:val="22"/>
          <w:szCs w:val="22"/>
        </w:rPr>
        <w:t xml:space="preserve"> </w:t>
      </w:r>
      <w:r w:rsidR="00EC1B26">
        <w:rPr>
          <w:iCs/>
          <w:sz w:val="22"/>
          <w:szCs w:val="22"/>
        </w:rPr>
        <w:t>bir görünüm sergilemektedir. Hindistan ve</w:t>
      </w:r>
      <w:r w:rsidR="00EC1B26" w:rsidRPr="00110D85">
        <w:rPr>
          <w:iCs/>
          <w:sz w:val="22"/>
          <w:szCs w:val="22"/>
        </w:rPr>
        <w:t xml:space="preserve"> Endonezya</w:t>
      </w:r>
      <w:r w:rsidR="00EC1B26">
        <w:rPr>
          <w:iCs/>
          <w:sz w:val="22"/>
          <w:szCs w:val="22"/>
        </w:rPr>
        <w:t>’da ekonomik büyümen istikrarlı bir şekilde gerçekleşmekte ve benzer görünüme sahiptir</w:t>
      </w:r>
      <w:r w:rsidRPr="00110D85">
        <w:rPr>
          <w:iCs/>
          <w:sz w:val="22"/>
          <w:szCs w:val="22"/>
        </w:rPr>
        <w:t xml:space="preserve">. </w:t>
      </w:r>
      <w:r w:rsidR="00EC1B26">
        <w:rPr>
          <w:iCs/>
          <w:sz w:val="22"/>
          <w:szCs w:val="22"/>
        </w:rPr>
        <w:t xml:space="preserve">Ayrıca Endonezya istikrarlı bir ekonomik büyüme ile genç işsizlik oranında da istikrarlı bir düşüş yaşarken, Hindistan’da genç işsizlik oranı tam tersi bir görünüme sahiptir. </w:t>
      </w:r>
      <w:r w:rsidRPr="00110D85">
        <w:rPr>
          <w:iCs/>
          <w:sz w:val="22"/>
          <w:szCs w:val="22"/>
        </w:rPr>
        <w:t>Güney Afrika</w:t>
      </w:r>
      <w:r w:rsidR="00EC1B26">
        <w:rPr>
          <w:iCs/>
          <w:sz w:val="22"/>
          <w:szCs w:val="22"/>
        </w:rPr>
        <w:t xml:space="preserve">, </w:t>
      </w:r>
      <w:r w:rsidRPr="00110D85">
        <w:rPr>
          <w:iCs/>
          <w:sz w:val="22"/>
          <w:szCs w:val="22"/>
        </w:rPr>
        <w:t xml:space="preserve"> Brezilya</w:t>
      </w:r>
      <w:r w:rsidR="00EC1B26">
        <w:rPr>
          <w:iCs/>
          <w:sz w:val="22"/>
          <w:szCs w:val="22"/>
        </w:rPr>
        <w:t xml:space="preserve"> ve Türkiye’de ise ekonomik büyüme genel olarak </w:t>
      </w:r>
      <w:r w:rsidRPr="00110D85">
        <w:rPr>
          <w:iCs/>
          <w:sz w:val="22"/>
          <w:szCs w:val="22"/>
        </w:rPr>
        <w:t xml:space="preserve">dalgalı </w:t>
      </w:r>
      <w:r w:rsidR="00EC1B26">
        <w:rPr>
          <w:iCs/>
          <w:sz w:val="22"/>
          <w:szCs w:val="22"/>
        </w:rPr>
        <w:t>bir görünüme sahiptir.</w:t>
      </w:r>
      <w:r w:rsidRPr="00110D85">
        <w:rPr>
          <w:iCs/>
          <w:sz w:val="22"/>
          <w:szCs w:val="22"/>
        </w:rPr>
        <w:t xml:space="preserve"> </w:t>
      </w:r>
      <w:r w:rsidR="00EC1B26">
        <w:rPr>
          <w:iCs/>
          <w:sz w:val="22"/>
          <w:szCs w:val="22"/>
        </w:rPr>
        <w:t xml:space="preserve">Genç işsizlik oranı bakımından ise Brezilya </w:t>
      </w:r>
      <w:r w:rsidR="00B652E7">
        <w:rPr>
          <w:iCs/>
          <w:sz w:val="22"/>
          <w:szCs w:val="22"/>
        </w:rPr>
        <w:t>özellikle son yıllarda</w:t>
      </w:r>
      <w:r w:rsidR="000D6037">
        <w:rPr>
          <w:iCs/>
          <w:sz w:val="22"/>
          <w:szCs w:val="22"/>
        </w:rPr>
        <w:t xml:space="preserve"> düşük ve negatif büyüme oranlarına paralel olarak </w:t>
      </w:r>
      <w:r w:rsidR="00B652E7">
        <w:rPr>
          <w:iCs/>
          <w:sz w:val="22"/>
          <w:szCs w:val="22"/>
        </w:rPr>
        <w:t xml:space="preserve">yüksek </w:t>
      </w:r>
      <w:r w:rsidR="000D6037">
        <w:rPr>
          <w:iCs/>
          <w:sz w:val="22"/>
          <w:szCs w:val="22"/>
        </w:rPr>
        <w:t>sevi</w:t>
      </w:r>
      <w:r w:rsidR="007F1466">
        <w:rPr>
          <w:iCs/>
          <w:sz w:val="22"/>
          <w:szCs w:val="22"/>
        </w:rPr>
        <w:t>yelerdedir.</w:t>
      </w:r>
      <w:r w:rsidR="00B652E7">
        <w:rPr>
          <w:iCs/>
          <w:sz w:val="22"/>
          <w:szCs w:val="22"/>
        </w:rPr>
        <w:t xml:space="preserve"> Güney Afrika</w:t>
      </w:r>
      <w:r w:rsidR="007F1466">
        <w:rPr>
          <w:iCs/>
          <w:sz w:val="22"/>
          <w:szCs w:val="22"/>
        </w:rPr>
        <w:t xml:space="preserve"> OECD ülkeleri arasında en yüksek genç işsizlik oranına sahip iken 2009 küresel ekonomik kriz sürecine kadar dengeli bir ekonomik büyüme ve genç işsizlik oranında </w:t>
      </w:r>
      <w:r w:rsidR="007F1466" w:rsidRPr="007F1466">
        <w:rPr>
          <w:iCs/>
          <w:sz w:val="22"/>
          <w:szCs w:val="22"/>
        </w:rPr>
        <w:t xml:space="preserve">düşüş </w:t>
      </w:r>
      <w:r w:rsidR="00DE1E42">
        <w:rPr>
          <w:iCs/>
          <w:sz w:val="22"/>
          <w:szCs w:val="22"/>
        </w:rPr>
        <w:t>yaşamış, k</w:t>
      </w:r>
      <w:r w:rsidR="007F1466" w:rsidRPr="007F1466">
        <w:rPr>
          <w:iCs/>
          <w:sz w:val="22"/>
          <w:szCs w:val="22"/>
        </w:rPr>
        <w:t>riz sonrası dönemde ise</w:t>
      </w:r>
      <w:r w:rsidR="00DE1E42">
        <w:rPr>
          <w:iCs/>
          <w:sz w:val="22"/>
          <w:szCs w:val="22"/>
        </w:rPr>
        <w:t xml:space="preserve"> belirli bir süre aynı seviyede kalarak son yıllarda</w:t>
      </w:r>
      <w:r w:rsidR="007F1466" w:rsidRPr="007F1466">
        <w:rPr>
          <w:iCs/>
          <w:sz w:val="22"/>
          <w:szCs w:val="22"/>
        </w:rPr>
        <w:t xml:space="preserve"> yavaş bir yükseliş trendine girmiştir</w:t>
      </w:r>
      <w:r w:rsidR="00DE1E42">
        <w:rPr>
          <w:iCs/>
          <w:sz w:val="22"/>
          <w:szCs w:val="22"/>
        </w:rPr>
        <w:t xml:space="preserve">. </w:t>
      </w:r>
      <w:r w:rsidR="00B652E7">
        <w:rPr>
          <w:iCs/>
          <w:sz w:val="22"/>
          <w:szCs w:val="22"/>
        </w:rPr>
        <w:t xml:space="preserve">Türkiye ise tıpkı ekonomik </w:t>
      </w:r>
      <w:r w:rsidR="00B652E7">
        <w:rPr>
          <w:iCs/>
          <w:sz w:val="22"/>
          <w:szCs w:val="22"/>
        </w:rPr>
        <w:lastRenderedPageBreak/>
        <w:t xml:space="preserve">büyüme oranında olduğu gibi dalgalı bir genç işsizlik oranı seyri görülmektedir. Özellikle küresel ekonomik kriz dönemlerinde yüksek oranlar </w:t>
      </w:r>
      <w:r w:rsidR="000D6037">
        <w:rPr>
          <w:iCs/>
          <w:sz w:val="22"/>
          <w:szCs w:val="22"/>
        </w:rPr>
        <w:t>görülmekle birlikte</w:t>
      </w:r>
      <w:r w:rsidRPr="00110D85">
        <w:rPr>
          <w:iCs/>
          <w:sz w:val="22"/>
          <w:szCs w:val="22"/>
        </w:rPr>
        <w:t>, OECD ülkeleri</w:t>
      </w:r>
      <w:r w:rsidR="000D6037">
        <w:rPr>
          <w:iCs/>
          <w:sz w:val="22"/>
          <w:szCs w:val="22"/>
        </w:rPr>
        <w:t xml:space="preserve"> genç işsizlik oranları</w:t>
      </w:r>
      <w:r w:rsidRPr="00110D85">
        <w:rPr>
          <w:iCs/>
          <w:sz w:val="22"/>
          <w:szCs w:val="22"/>
        </w:rPr>
        <w:t xml:space="preserve"> arasında ikinci sırada yer almaktadır (OECD, 2020). </w:t>
      </w:r>
    </w:p>
    <w:p w:rsidR="007F1466" w:rsidRDefault="007F1466" w:rsidP="00BA22E2">
      <w:pPr>
        <w:spacing w:line="360" w:lineRule="auto"/>
        <w:jc w:val="both"/>
        <w:rPr>
          <w:iCs/>
          <w:sz w:val="22"/>
          <w:szCs w:val="22"/>
        </w:rPr>
      </w:pPr>
    </w:p>
    <w:p w:rsidR="00614AE0" w:rsidRDefault="0090135C" w:rsidP="00BA22E2">
      <w:pPr>
        <w:spacing w:line="360" w:lineRule="auto"/>
        <w:jc w:val="both"/>
        <w:rPr>
          <w:iCs/>
          <w:sz w:val="22"/>
          <w:szCs w:val="22"/>
        </w:rPr>
      </w:pPr>
      <w:r>
        <w:rPr>
          <w:iCs/>
          <w:sz w:val="22"/>
          <w:szCs w:val="22"/>
        </w:rPr>
        <w:t>Literatürde Okun yasası olarak adlandırılan ve ekonomik büyüme ve işsizlik oranı arasındaki kanıtlanmış olan ilişki bu araştırmada s</w:t>
      </w:r>
      <w:r w:rsidR="007F1466" w:rsidRPr="007F1466">
        <w:rPr>
          <w:iCs/>
          <w:sz w:val="22"/>
          <w:szCs w:val="22"/>
        </w:rPr>
        <w:t xml:space="preserve">on </w:t>
      </w:r>
      <w:r>
        <w:rPr>
          <w:iCs/>
          <w:sz w:val="22"/>
          <w:szCs w:val="22"/>
        </w:rPr>
        <w:t>yirmi</w:t>
      </w:r>
      <w:r w:rsidR="007F1466" w:rsidRPr="007F1466">
        <w:rPr>
          <w:iCs/>
          <w:sz w:val="22"/>
          <w:szCs w:val="22"/>
        </w:rPr>
        <w:t xml:space="preserve"> yılda </w:t>
      </w:r>
      <w:r>
        <w:rPr>
          <w:iCs/>
          <w:sz w:val="22"/>
          <w:szCs w:val="22"/>
        </w:rPr>
        <w:t>kırılgan beşli olarak adlandırılan ülkelerin</w:t>
      </w:r>
      <w:r w:rsidR="007F1466" w:rsidRPr="007F1466">
        <w:rPr>
          <w:iCs/>
          <w:sz w:val="22"/>
          <w:szCs w:val="22"/>
        </w:rPr>
        <w:t xml:space="preserve"> makroekonomik </w:t>
      </w:r>
      <w:r>
        <w:rPr>
          <w:iCs/>
          <w:sz w:val="22"/>
          <w:szCs w:val="22"/>
        </w:rPr>
        <w:t>göstergelerde yaşanan</w:t>
      </w:r>
      <w:r w:rsidR="007F1466" w:rsidRPr="007F1466">
        <w:rPr>
          <w:iCs/>
          <w:sz w:val="22"/>
          <w:szCs w:val="22"/>
        </w:rPr>
        <w:t xml:space="preserve"> kırılganlığın </w:t>
      </w:r>
      <w:r>
        <w:rPr>
          <w:iCs/>
          <w:sz w:val="22"/>
          <w:szCs w:val="22"/>
        </w:rPr>
        <w:t>genç işsizlik oranını azaltma üzerindeki</w:t>
      </w:r>
      <w:r w:rsidR="007F1466" w:rsidRPr="007F1466">
        <w:rPr>
          <w:iCs/>
          <w:sz w:val="22"/>
          <w:szCs w:val="22"/>
        </w:rPr>
        <w:t xml:space="preserve"> etkisi </w:t>
      </w:r>
      <w:r w:rsidR="00A21C34">
        <w:rPr>
          <w:iCs/>
          <w:sz w:val="22"/>
          <w:szCs w:val="22"/>
        </w:rPr>
        <w:t xml:space="preserve">bakımından </w:t>
      </w:r>
      <w:r w:rsidR="007F1466" w:rsidRPr="007F1466">
        <w:rPr>
          <w:iCs/>
          <w:sz w:val="22"/>
          <w:szCs w:val="22"/>
        </w:rPr>
        <w:t xml:space="preserve">oldukça tartışmalıdır. </w:t>
      </w:r>
      <w:r w:rsidR="00A21C34">
        <w:rPr>
          <w:iCs/>
          <w:sz w:val="22"/>
          <w:szCs w:val="22"/>
        </w:rPr>
        <w:t>Bu nedenle Okun yasası ile kanıtlanan bu</w:t>
      </w:r>
      <w:r w:rsidR="007F1466" w:rsidRPr="007F1466">
        <w:rPr>
          <w:iCs/>
          <w:sz w:val="22"/>
          <w:szCs w:val="22"/>
        </w:rPr>
        <w:t xml:space="preserve"> ilişkinin, </w:t>
      </w:r>
      <w:r w:rsidR="00A21C34">
        <w:rPr>
          <w:iCs/>
          <w:sz w:val="22"/>
          <w:szCs w:val="22"/>
        </w:rPr>
        <w:t xml:space="preserve">kırılgan beşli ülke </w:t>
      </w:r>
      <w:r w:rsidR="007F1466" w:rsidRPr="007F1466">
        <w:rPr>
          <w:iCs/>
          <w:sz w:val="22"/>
          <w:szCs w:val="22"/>
        </w:rPr>
        <w:t xml:space="preserve">açısından </w:t>
      </w:r>
      <w:r w:rsidR="00A21C34">
        <w:rPr>
          <w:iCs/>
          <w:sz w:val="22"/>
          <w:szCs w:val="22"/>
        </w:rPr>
        <w:t>genç işsizlik oranı bakımından geçerli olup olmadığı sorusunu</w:t>
      </w:r>
      <w:r w:rsidR="007F1466" w:rsidRPr="007F1466">
        <w:rPr>
          <w:iCs/>
          <w:sz w:val="22"/>
          <w:szCs w:val="22"/>
        </w:rPr>
        <w:t xml:space="preserve"> cevaplamak ve </w:t>
      </w:r>
      <w:r w:rsidR="00A21C34">
        <w:rPr>
          <w:iCs/>
          <w:sz w:val="22"/>
          <w:szCs w:val="22"/>
        </w:rPr>
        <w:t>genç işsizlik oranını</w:t>
      </w:r>
      <w:r w:rsidR="007F1466" w:rsidRPr="007F1466">
        <w:rPr>
          <w:iCs/>
          <w:sz w:val="22"/>
          <w:szCs w:val="22"/>
        </w:rPr>
        <w:t xml:space="preserve"> nasıl etkilediğini </w:t>
      </w:r>
      <w:r w:rsidR="00A21C34">
        <w:rPr>
          <w:iCs/>
          <w:sz w:val="22"/>
          <w:szCs w:val="22"/>
        </w:rPr>
        <w:t>belirleyebilmek</w:t>
      </w:r>
      <w:r w:rsidR="007F1466" w:rsidRPr="007F1466">
        <w:rPr>
          <w:iCs/>
          <w:sz w:val="22"/>
          <w:szCs w:val="22"/>
        </w:rPr>
        <w:t xml:space="preserve"> için makroekonomik </w:t>
      </w:r>
      <w:r w:rsidR="00A21C34">
        <w:rPr>
          <w:iCs/>
          <w:sz w:val="22"/>
          <w:szCs w:val="22"/>
        </w:rPr>
        <w:t>alt göstergeler</w:t>
      </w:r>
      <w:r w:rsidR="007F1466" w:rsidRPr="007F1466">
        <w:rPr>
          <w:iCs/>
          <w:sz w:val="22"/>
          <w:szCs w:val="22"/>
        </w:rPr>
        <w:t xml:space="preserve"> analiz </w:t>
      </w:r>
      <w:r w:rsidR="00A21C34">
        <w:rPr>
          <w:iCs/>
          <w:sz w:val="22"/>
          <w:szCs w:val="22"/>
        </w:rPr>
        <w:t>edilmelidir.</w:t>
      </w:r>
    </w:p>
    <w:p w:rsidR="00667305" w:rsidRDefault="00667305" w:rsidP="00BA22E2">
      <w:pPr>
        <w:spacing w:line="360" w:lineRule="auto"/>
        <w:jc w:val="both"/>
        <w:rPr>
          <w:iCs/>
          <w:sz w:val="22"/>
          <w:szCs w:val="22"/>
        </w:rPr>
      </w:pPr>
    </w:p>
    <w:p w:rsidR="005C4DDA" w:rsidRPr="009A739A" w:rsidRDefault="009A739A" w:rsidP="009A739A">
      <w:pPr>
        <w:pStyle w:val="ListeParagraf"/>
        <w:numPr>
          <w:ilvl w:val="0"/>
          <w:numId w:val="1"/>
        </w:numPr>
        <w:spacing w:line="360" w:lineRule="auto"/>
        <w:jc w:val="both"/>
        <w:rPr>
          <w:b/>
          <w:sz w:val="22"/>
          <w:szCs w:val="22"/>
        </w:rPr>
      </w:pPr>
      <w:r w:rsidRPr="009A739A">
        <w:rPr>
          <w:b/>
          <w:sz w:val="22"/>
          <w:szCs w:val="22"/>
        </w:rPr>
        <w:t xml:space="preserve">LİTERATÜR </w:t>
      </w:r>
    </w:p>
    <w:p w:rsidR="00A24E2A" w:rsidRDefault="00A24E2A" w:rsidP="00A24E2A">
      <w:pPr>
        <w:spacing w:line="360" w:lineRule="auto"/>
        <w:jc w:val="both"/>
        <w:rPr>
          <w:iCs/>
          <w:sz w:val="22"/>
          <w:szCs w:val="22"/>
        </w:rPr>
      </w:pPr>
      <w:bookmarkStart w:id="1" w:name="_Toc66699356"/>
    </w:p>
    <w:p w:rsidR="00033E0D" w:rsidRDefault="00033E0D" w:rsidP="002A290D">
      <w:pPr>
        <w:spacing w:line="360" w:lineRule="auto"/>
        <w:jc w:val="both"/>
        <w:rPr>
          <w:iCs/>
          <w:sz w:val="22"/>
          <w:szCs w:val="22"/>
        </w:rPr>
      </w:pPr>
      <w:r>
        <w:rPr>
          <w:iCs/>
          <w:sz w:val="22"/>
          <w:szCs w:val="22"/>
        </w:rPr>
        <w:t xml:space="preserve">Literatürde işsizliğin belirleyicilerini saptamaya yönelik birçok çalışma bulunmaktadır. Gerçekleştirilen çalışmaların büyük bir kısmında işsizlik ekonomik büyüme oranı, </w:t>
      </w:r>
      <w:r w:rsidRPr="00A24E2A">
        <w:rPr>
          <w:iCs/>
          <w:sz w:val="22"/>
          <w:szCs w:val="22"/>
        </w:rPr>
        <w:t xml:space="preserve">doğrudan yabancı </w:t>
      </w:r>
      <w:r>
        <w:rPr>
          <w:iCs/>
          <w:sz w:val="22"/>
          <w:szCs w:val="22"/>
        </w:rPr>
        <w:t>yatırımlar, enflasyon, ihracat, döviz kuru gibi faktörlerle belirlenmeye çalışılmakta</w:t>
      </w:r>
      <w:r w:rsidR="002A290D">
        <w:rPr>
          <w:iCs/>
          <w:sz w:val="22"/>
          <w:szCs w:val="22"/>
        </w:rPr>
        <w:t xml:space="preserve">dır. </w:t>
      </w:r>
      <w:r>
        <w:rPr>
          <w:iCs/>
          <w:sz w:val="22"/>
          <w:szCs w:val="22"/>
        </w:rPr>
        <w:t xml:space="preserve"> </w:t>
      </w:r>
      <w:r w:rsidR="002A290D" w:rsidRPr="002A290D">
        <w:rPr>
          <w:iCs/>
          <w:sz w:val="22"/>
          <w:szCs w:val="22"/>
        </w:rPr>
        <w:t>Genç işsizliği ile ilgili olarak AB ve ABD için yapılmış ça</w:t>
      </w:r>
      <w:r w:rsidR="002A290D">
        <w:rPr>
          <w:iCs/>
          <w:sz w:val="22"/>
          <w:szCs w:val="22"/>
        </w:rPr>
        <w:t xml:space="preserve">lışmalar olmakla birlikte kırılgan beş </w:t>
      </w:r>
      <w:r w:rsidR="002A290D" w:rsidRPr="002A290D">
        <w:rPr>
          <w:iCs/>
          <w:sz w:val="22"/>
          <w:szCs w:val="22"/>
        </w:rPr>
        <w:t xml:space="preserve">ülkeleri için </w:t>
      </w:r>
      <w:r w:rsidR="002A290D">
        <w:rPr>
          <w:iCs/>
          <w:sz w:val="22"/>
          <w:szCs w:val="22"/>
        </w:rPr>
        <w:t>sınırlı</w:t>
      </w:r>
      <w:r w:rsidR="002A290D" w:rsidRPr="002A290D">
        <w:rPr>
          <w:iCs/>
          <w:sz w:val="22"/>
          <w:szCs w:val="22"/>
        </w:rPr>
        <w:t xml:space="preserve"> çalışma olmadığı görülmüştür.</w:t>
      </w:r>
    </w:p>
    <w:p w:rsidR="00A24E2A" w:rsidRDefault="00A24E2A" w:rsidP="00A24E2A">
      <w:pPr>
        <w:spacing w:line="360" w:lineRule="auto"/>
        <w:jc w:val="both"/>
        <w:rPr>
          <w:iCs/>
          <w:sz w:val="22"/>
          <w:szCs w:val="22"/>
        </w:rPr>
      </w:pPr>
    </w:p>
    <w:p w:rsidR="00A24E2A" w:rsidRDefault="00A24E2A" w:rsidP="00A24E2A">
      <w:pPr>
        <w:spacing w:line="360" w:lineRule="auto"/>
        <w:jc w:val="both"/>
        <w:rPr>
          <w:iCs/>
          <w:sz w:val="22"/>
          <w:szCs w:val="22"/>
        </w:rPr>
      </w:pPr>
      <w:r>
        <w:rPr>
          <w:iCs/>
          <w:sz w:val="22"/>
          <w:szCs w:val="22"/>
        </w:rPr>
        <w:t xml:space="preserve">Okun yasası, </w:t>
      </w:r>
      <w:r w:rsidRPr="00A24E2A">
        <w:rPr>
          <w:iCs/>
          <w:sz w:val="22"/>
          <w:szCs w:val="22"/>
        </w:rPr>
        <w:t>ekonomi</w:t>
      </w:r>
      <w:r>
        <w:rPr>
          <w:iCs/>
          <w:sz w:val="22"/>
          <w:szCs w:val="22"/>
        </w:rPr>
        <w:t>k büyümenin artmasıyla</w:t>
      </w:r>
      <w:r w:rsidRPr="00A24E2A">
        <w:rPr>
          <w:iCs/>
          <w:sz w:val="22"/>
          <w:szCs w:val="22"/>
        </w:rPr>
        <w:t xml:space="preserve"> istihdam oranının artacağını </w:t>
      </w:r>
      <w:r>
        <w:rPr>
          <w:iCs/>
          <w:sz w:val="22"/>
          <w:szCs w:val="22"/>
        </w:rPr>
        <w:t xml:space="preserve">belirtmektedir. </w:t>
      </w:r>
      <w:r w:rsidRPr="00A24E2A">
        <w:rPr>
          <w:iCs/>
          <w:sz w:val="22"/>
          <w:szCs w:val="22"/>
        </w:rPr>
        <w:t xml:space="preserve"> </w:t>
      </w:r>
      <w:r w:rsidR="002372C5">
        <w:rPr>
          <w:iCs/>
          <w:sz w:val="22"/>
          <w:szCs w:val="22"/>
        </w:rPr>
        <w:t>Ayrıca</w:t>
      </w:r>
      <w:r w:rsidRPr="00A24E2A">
        <w:rPr>
          <w:iCs/>
          <w:sz w:val="22"/>
          <w:szCs w:val="22"/>
        </w:rPr>
        <w:t xml:space="preserve"> Okun Yasası ış</w:t>
      </w:r>
      <w:r w:rsidR="002372C5">
        <w:rPr>
          <w:iCs/>
          <w:sz w:val="22"/>
          <w:szCs w:val="22"/>
        </w:rPr>
        <w:t>ığında Clark ve Summers (</w:t>
      </w:r>
      <w:r w:rsidRPr="00A24E2A">
        <w:rPr>
          <w:iCs/>
          <w:sz w:val="22"/>
          <w:szCs w:val="22"/>
        </w:rPr>
        <w:t>1982</w:t>
      </w:r>
      <w:r w:rsidR="002372C5">
        <w:rPr>
          <w:iCs/>
          <w:sz w:val="22"/>
          <w:szCs w:val="22"/>
        </w:rPr>
        <w:t>), Hess ve diğerleri</w:t>
      </w:r>
      <w:r w:rsidRPr="00A24E2A">
        <w:rPr>
          <w:iCs/>
          <w:sz w:val="22"/>
          <w:szCs w:val="22"/>
        </w:rPr>
        <w:t xml:space="preserve"> </w:t>
      </w:r>
      <w:r w:rsidR="002372C5">
        <w:rPr>
          <w:iCs/>
          <w:sz w:val="22"/>
          <w:szCs w:val="22"/>
        </w:rPr>
        <w:t>(</w:t>
      </w:r>
      <w:r w:rsidRPr="00A24E2A">
        <w:rPr>
          <w:iCs/>
          <w:sz w:val="22"/>
          <w:szCs w:val="22"/>
        </w:rPr>
        <w:t>1994</w:t>
      </w:r>
      <w:r w:rsidR="002372C5">
        <w:rPr>
          <w:iCs/>
          <w:sz w:val="22"/>
          <w:szCs w:val="22"/>
        </w:rPr>
        <w:t>)</w:t>
      </w:r>
      <w:r w:rsidRPr="00A24E2A">
        <w:rPr>
          <w:iCs/>
          <w:sz w:val="22"/>
          <w:szCs w:val="22"/>
        </w:rPr>
        <w:t xml:space="preserve">, O'Higgins </w:t>
      </w:r>
      <w:r w:rsidR="002372C5">
        <w:rPr>
          <w:iCs/>
          <w:sz w:val="22"/>
          <w:szCs w:val="22"/>
        </w:rPr>
        <w:t>(</w:t>
      </w:r>
      <w:r w:rsidRPr="00A24E2A">
        <w:rPr>
          <w:iCs/>
          <w:sz w:val="22"/>
          <w:szCs w:val="22"/>
        </w:rPr>
        <w:t xml:space="preserve">1997) </w:t>
      </w:r>
      <w:r w:rsidR="002372C5">
        <w:rPr>
          <w:iCs/>
          <w:sz w:val="22"/>
          <w:szCs w:val="22"/>
        </w:rPr>
        <w:t>çalışmalarında ekonomik büyümenin</w:t>
      </w:r>
      <w:r w:rsidRPr="00A24E2A">
        <w:rPr>
          <w:iCs/>
          <w:sz w:val="22"/>
          <w:szCs w:val="22"/>
        </w:rPr>
        <w:t xml:space="preserve"> genç işsizl</w:t>
      </w:r>
      <w:r w:rsidR="002372C5">
        <w:rPr>
          <w:iCs/>
          <w:sz w:val="22"/>
          <w:szCs w:val="22"/>
        </w:rPr>
        <w:t xml:space="preserve">iğinin temel belirleyicileri arasında olduğunu tespit etmişlerdir. </w:t>
      </w:r>
      <w:r w:rsidRPr="00A24E2A">
        <w:rPr>
          <w:iCs/>
          <w:sz w:val="22"/>
          <w:szCs w:val="22"/>
        </w:rPr>
        <w:t>Ayr</w:t>
      </w:r>
      <w:r w:rsidR="002372C5">
        <w:rPr>
          <w:iCs/>
          <w:sz w:val="22"/>
          <w:szCs w:val="22"/>
        </w:rPr>
        <w:t>ıca Caporale (2014), Bayrak ve Tatlı (</w:t>
      </w:r>
      <w:r w:rsidRPr="00A24E2A">
        <w:rPr>
          <w:iCs/>
          <w:sz w:val="22"/>
          <w:szCs w:val="22"/>
        </w:rPr>
        <w:t>2016</w:t>
      </w:r>
      <w:r w:rsidR="002372C5">
        <w:rPr>
          <w:iCs/>
          <w:sz w:val="22"/>
          <w:szCs w:val="22"/>
        </w:rPr>
        <w:t>) ve Bruno vd. (2017) tarafından yapılan çalışmalarda</w:t>
      </w:r>
      <w:r w:rsidRPr="00A24E2A">
        <w:rPr>
          <w:iCs/>
          <w:sz w:val="22"/>
          <w:szCs w:val="22"/>
        </w:rPr>
        <w:t xml:space="preserve"> GSYİH ile genç işsizliği arasında açıkça var olan olumsuz ilişki nedeniyle GSYİH'nın genç işsizliğinin b</w:t>
      </w:r>
      <w:r w:rsidR="002372C5">
        <w:rPr>
          <w:iCs/>
          <w:sz w:val="22"/>
          <w:szCs w:val="22"/>
        </w:rPr>
        <w:t>ir belirleyicisi olduğu sonucuna</w:t>
      </w:r>
      <w:r w:rsidRPr="00A24E2A">
        <w:rPr>
          <w:iCs/>
          <w:sz w:val="22"/>
          <w:szCs w:val="22"/>
        </w:rPr>
        <w:t xml:space="preserve"> var</w:t>
      </w:r>
      <w:r w:rsidR="002372C5">
        <w:rPr>
          <w:iCs/>
          <w:sz w:val="22"/>
          <w:szCs w:val="22"/>
        </w:rPr>
        <w:t>ıl</w:t>
      </w:r>
      <w:r w:rsidRPr="00A24E2A">
        <w:rPr>
          <w:iCs/>
          <w:sz w:val="22"/>
          <w:szCs w:val="22"/>
        </w:rPr>
        <w:t xml:space="preserve">mıştır. </w:t>
      </w:r>
    </w:p>
    <w:p w:rsidR="003B0D40" w:rsidRDefault="003B0D40" w:rsidP="00A24E2A">
      <w:pPr>
        <w:spacing w:line="360" w:lineRule="auto"/>
        <w:jc w:val="both"/>
        <w:rPr>
          <w:iCs/>
          <w:sz w:val="22"/>
          <w:szCs w:val="22"/>
        </w:rPr>
      </w:pPr>
    </w:p>
    <w:p w:rsidR="00033E0D" w:rsidRDefault="00033E0D" w:rsidP="00033E0D">
      <w:pPr>
        <w:spacing w:line="360" w:lineRule="auto"/>
        <w:jc w:val="both"/>
        <w:rPr>
          <w:iCs/>
          <w:sz w:val="22"/>
          <w:szCs w:val="22"/>
        </w:rPr>
      </w:pPr>
      <w:r>
        <w:rPr>
          <w:iCs/>
          <w:sz w:val="22"/>
          <w:szCs w:val="22"/>
        </w:rPr>
        <w:t>O’Higgins (2003), geçiş ve gelişmekte olan ülke ekonomilerinde genç işgücü piyasasının özelliklerini araştırmıştır. Geçiş ülkelerinde ve gelişmekte olan ülkelerde genç işsizliğinin, işgücü piyasası koşullarından ve demografik faktörlerden önemli ölçüde etkilendiği sonucunu elde etmiştir. Çalışan nüfus içinde gençlerin oranının düşük olduğunu ve uzun dönemli işsizler arasında özellikle eğitimli genç işsizlerin bulunduğunu ifade etmiştir.</w:t>
      </w:r>
    </w:p>
    <w:p w:rsidR="00033E0D" w:rsidRDefault="00033E0D" w:rsidP="00033E0D">
      <w:pPr>
        <w:spacing w:line="360" w:lineRule="auto"/>
        <w:jc w:val="both"/>
        <w:rPr>
          <w:iCs/>
          <w:sz w:val="22"/>
          <w:szCs w:val="22"/>
        </w:rPr>
      </w:pPr>
    </w:p>
    <w:p w:rsidR="00033E0D" w:rsidRDefault="00033E0D" w:rsidP="00033E0D">
      <w:pPr>
        <w:spacing w:line="360" w:lineRule="auto"/>
        <w:jc w:val="both"/>
        <w:rPr>
          <w:iCs/>
          <w:sz w:val="22"/>
          <w:szCs w:val="22"/>
        </w:rPr>
      </w:pPr>
      <w:r w:rsidRPr="00D379C3">
        <w:rPr>
          <w:iCs/>
          <w:sz w:val="22"/>
          <w:szCs w:val="22"/>
        </w:rPr>
        <w:t>Sayın (2011), eğitim ve büyümenin genç işsizliğine etkisini araştırdığı çalışmasında, incelenen değişkenler arasında genç işsizliğinden ortaöğretim okullaşma oranına, ortaöğretim okullaşma oranından büyüme oranına, genç işsizliği ve ortaöğretim okullaşma oranından yükseköğretim okullaşma oranına doğru bir nedenselliğin olduğu; genç işsizliğini uzun dönemde kendisinden sonra en çok etkileyen değişkenin, büyüme ve yükseköğretim okullaşma oranı olduğu bulgusuna ulaşmıştır.</w:t>
      </w:r>
    </w:p>
    <w:p w:rsidR="00033E0D" w:rsidRDefault="00033E0D" w:rsidP="00033E0D">
      <w:pPr>
        <w:spacing w:line="360" w:lineRule="auto"/>
        <w:jc w:val="both"/>
        <w:rPr>
          <w:iCs/>
          <w:sz w:val="22"/>
          <w:szCs w:val="22"/>
        </w:rPr>
      </w:pPr>
    </w:p>
    <w:p w:rsidR="00033E0D" w:rsidRDefault="00033E0D" w:rsidP="00033E0D">
      <w:pPr>
        <w:spacing w:line="360" w:lineRule="auto"/>
        <w:jc w:val="both"/>
        <w:rPr>
          <w:iCs/>
          <w:sz w:val="22"/>
          <w:szCs w:val="22"/>
        </w:rPr>
      </w:pPr>
      <w:r>
        <w:rPr>
          <w:iCs/>
          <w:sz w:val="22"/>
          <w:szCs w:val="22"/>
        </w:rPr>
        <w:t>Kabaklarlı ve Gür (2011), Türkiye’de genç işsizliği sorunu ve ekonomik belirleyicileri eş-bütünleşme analizi ile araştırılmış ve genç işsizlik oranı ile reel GSYİH, reel yatırımlar, verimlilik ve enflasyon değişkenleri arasında uzun dönem bir ilişki bulmuşlardır.</w:t>
      </w:r>
    </w:p>
    <w:p w:rsidR="00033E0D" w:rsidRDefault="00033E0D" w:rsidP="00033E0D">
      <w:pPr>
        <w:autoSpaceDE w:val="0"/>
        <w:autoSpaceDN w:val="0"/>
        <w:adjustRightInd w:val="0"/>
        <w:spacing w:line="360" w:lineRule="auto"/>
        <w:jc w:val="both"/>
        <w:rPr>
          <w:iCs/>
          <w:sz w:val="22"/>
          <w:szCs w:val="22"/>
        </w:rPr>
      </w:pPr>
    </w:p>
    <w:p w:rsidR="00033E0D" w:rsidRDefault="00033E0D" w:rsidP="00033E0D">
      <w:pPr>
        <w:autoSpaceDE w:val="0"/>
        <w:autoSpaceDN w:val="0"/>
        <w:adjustRightInd w:val="0"/>
        <w:spacing w:line="360" w:lineRule="auto"/>
        <w:jc w:val="both"/>
        <w:rPr>
          <w:iCs/>
          <w:sz w:val="22"/>
          <w:szCs w:val="22"/>
        </w:rPr>
      </w:pPr>
      <w:r w:rsidRPr="00D301F1">
        <w:rPr>
          <w:iCs/>
          <w:sz w:val="22"/>
          <w:szCs w:val="22"/>
        </w:rPr>
        <w:t>Ball, Jalles ve Loungani (2015) dokuz gelişmiş ülkenin 1989’dan itibaren alınan verileri ile işsizlik ve çıktı tahminlerini Okun yasası çerçevesinde değerlendirdikleri çalışmalarında, Okun yasası ile tutarlı olarak reel GSMH büyümesi ile işsizlik oranındaki değişimin negatif korelasyona sahip olduğu sonucuna ulaşmışlardır.</w:t>
      </w:r>
    </w:p>
    <w:p w:rsidR="001E11B8" w:rsidRDefault="001E11B8" w:rsidP="00033E0D">
      <w:pPr>
        <w:autoSpaceDE w:val="0"/>
        <w:autoSpaceDN w:val="0"/>
        <w:adjustRightInd w:val="0"/>
        <w:spacing w:line="360" w:lineRule="auto"/>
        <w:jc w:val="both"/>
        <w:rPr>
          <w:iCs/>
          <w:sz w:val="22"/>
          <w:szCs w:val="22"/>
        </w:rPr>
      </w:pPr>
    </w:p>
    <w:p w:rsidR="00D40F70" w:rsidRDefault="00D40F70" w:rsidP="00D40F70">
      <w:pPr>
        <w:autoSpaceDE w:val="0"/>
        <w:autoSpaceDN w:val="0"/>
        <w:adjustRightInd w:val="0"/>
        <w:spacing w:line="360" w:lineRule="auto"/>
        <w:jc w:val="both"/>
        <w:rPr>
          <w:iCs/>
          <w:sz w:val="22"/>
          <w:szCs w:val="22"/>
        </w:rPr>
      </w:pPr>
      <w:r>
        <w:rPr>
          <w:iCs/>
          <w:sz w:val="22"/>
          <w:szCs w:val="22"/>
        </w:rPr>
        <w:t xml:space="preserve">Tanga ve Pehlivanoğlu (2016) çalışmasında </w:t>
      </w:r>
      <w:r w:rsidRPr="00D40F70">
        <w:rPr>
          <w:iCs/>
          <w:sz w:val="22"/>
          <w:szCs w:val="22"/>
        </w:rPr>
        <w:t xml:space="preserve">Brezilya, Rusya, Hindistan, </w:t>
      </w:r>
      <w:r>
        <w:rPr>
          <w:iCs/>
          <w:sz w:val="22"/>
          <w:szCs w:val="22"/>
        </w:rPr>
        <w:t xml:space="preserve">Çin, Güney Afrika ve Türkiye ülkelerinde Okun yasasının </w:t>
      </w:r>
      <w:r w:rsidRPr="00D40F70">
        <w:rPr>
          <w:iCs/>
          <w:sz w:val="22"/>
          <w:szCs w:val="22"/>
        </w:rPr>
        <w:t xml:space="preserve">geçerli </w:t>
      </w:r>
      <w:r>
        <w:rPr>
          <w:iCs/>
          <w:sz w:val="22"/>
          <w:szCs w:val="22"/>
        </w:rPr>
        <w:t xml:space="preserve">olup olmadığını kontrol etmek amacıyla 1990-2014 dönemi verileri ile </w:t>
      </w:r>
      <w:r w:rsidRPr="00D40F70">
        <w:rPr>
          <w:iCs/>
          <w:sz w:val="22"/>
          <w:szCs w:val="22"/>
        </w:rPr>
        <w:t xml:space="preserve">Engle granger eş bütünleşme testi ve Tamamen Değiştirilmiş OLS </w:t>
      </w:r>
      <w:r>
        <w:rPr>
          <w:iCs/>
          <w:sz w:val="22"/>
          <w:szCs w:val="22"/>
        </w:rPr>
        <w:t>tekniğini kullanmıştır.</w:t>
      </w:r>
      <w:r w:rsidR="00456B93">
        <w:rPr>
          <w:iCs/>
          <w:sz w:val="22"/>
          <w:szCs w:val="22"/>
        </w:rPr>
        <w:t xml:space="preserve"> Elde edilen sonuçlar</w:t>
      </w:r>
      <w:r w:rsidRPr="00D40F70">
        <w:rPr>
          <w:iCs/>
          <w:sz w:val="22"/>
          <w:szCs w:val="22"/>
        </w:rPr>
        <w:t xml:space="preserve"> Okun'un yasa yorumunun bazı gelişmekte olan ülkelerde geçerli olmayabileceğini Okun yasasının Türkiye, Güney Afrika ve Brezilya</w:t>
      </w:r>
      <w:r w:rsidR="00456B93">
        <w:rPr>
          <w:iCs/>
          <w:sz w:val="22"/>
          <w:szCs w:val="22"/>
        </w:rPr>
        <w:t xml:space="preserve"> için geçerli olmadığını göstermektedir.</w:t>
      </w:r>
    </w:p>
    <w:p w:rsidR="007653F3" w:rsidRDefault="007653F3" w:rsidP="00D40F70">
      <w:pPr>
        <w:autoSpaceDE w:val="0"/>
        <w:autoSpaceDN w:val="0"/>
        <w:adjustRightInd w:val="0"/>
        <w:spacing w:line="360" w:lineRule="auto"/>
        <w:jc w:val="both"/>
        <w:rPr>
          <w:iCs/>
          <w:sz w:val="22"/>
          <w:szCs w:val="22"/>
        </w:rPr>
      </w:pPr>
    </w:p>
    <w:p w:rsidR="007653F3" w:rsidRDefault="007653F3" w:rsidP="007653F3">
      <w:pPr>
        <w:autoSpaceDE w:val="0"/>
        <w:autoSpaceDN w:val="0"/>
        <w:adjustRightInd w:val="0"/>
        <w:spacing w:line="360" w:lineRule="auto"/>
        <w:jc w:val="both"/>
        <w:rPr>
          <w:iCs/>
          <w:sz w:val="22"/>
          <w:szCs w:val="22"/>
        </w:rPr>
      </w:pPr>
      <w:r>
        <w:rPr>
          <w:iCs/>
          <w:sz w:val="22"/>
          <w:szCs w:val="22"/>
        </w:rPr>
        <w:t>Çondur ve Bölükbaş (2017</w:t>
      </w:r>
      <w:r w:rsidRPr="00D379C3">
        <w:rPr>
          <w:iCs/>
          <w:sz w:val="22"/>
          <w:szCs w:val="22"/>
        </w:rPr>
        <w:t xml:space="preserve">) </w:t>
      </w:r>
      <w:r>
        <w:rPr>
          <w:iCs/>
          <w:sz w:val="22"/>
          <w:szCs w:val="22"/>
        </w:rPr>
        <w:t xml:space="preserve">çalışmasında </w:t>
      </w:r>
      <w:r w:rsidRPr="007653F3">
        <w:rPr>
          <w:iCs/>
          <w:sz w:val="22"/>
          <w:szCs w:val="22"/>
        </w:rPr>
        <w:t xml:space="preserve">1991-2016 yılları arasında, Türkiye’de eğitim harcamaları ve ekonomik büyüme ile genç </w:t>
      </w:r>
      <w:r>
        <w:rPr>
          <w:iCs/>
          <w:sz w:val="22"/>
          <w:szCs w:val="22"/>
        </w:rPr>
        <w:t>işsizlik arasındaki ilişkiyi en küçük kareler yöntemi ile ele almış ve</w:t>
      </w:r>
      <w:r w:rsidRPr="007653F3">
        <w:rPr>
          <w:iCs/>
          <w:sz w:val="22"/>
          <w:szCs w:val="22"/>
        </w:rPr>
        <w:t xml:space="preserve"> eğitim harcamalarının GSYH’daki payındaki bir artış genç işsizliği artırırken, GSHY’daki büyümenin işsi</w:t>
      </w:r>
      <w:r>
        <w:rPr>
          <w:iCs/>
          <w:sz w:val="22"/>
          <w:szCs w:val="22"/>
        </w:rPr>
        <w:t>zliği azalttığı sonucunu elde etmişlerdir.</w:t>
      </w:r>
    </w:p>
    <w:p w:rsidR="00D40F70" w:rsidRDefault="00D40F70" w:rsidP="00033E0D">
      <w:pPr>
        <w:autoSpaceDE w:val="0"/>
        <w:autoSpaceDN w:val="0"/>
        <w:adjustRightInd w:val="0"/>
        <w:spacing w:line="360" w:lineRule="auto"/>
        <w:jc w:val="both"/>
        <w:rPr>
          <w:iCs/>
          <w:sz w:val="22"/>
          <w:szCs w:val="22"/>
        </w:rPr>
      </w:pPr>
    </w:p>
    <w:p w:rsidR="001E11B8" w:rsidRDefault="001E11B8" w:rsidP="00033E0D">
      <w:pPr>
        <w:autoSpaceDE w:val="0"/>
        <w:autoSpaceDN w:val="0"/>
        <w:adjustRightInd w:val="0"/>
        <w:spacing w:line="360" w:lineRule="auto"/>
        <w:jc w:val="both"/>
        <w:rPr>
          <w:iCs/>
          <w:sz w:val="22"/>
          <w:szCs w:val="22"/>
        </w:rPr>
      </w:pPr>
      <w:r>
        <w:rPr>
          <w:iCs/>
          <w:sz w:val="22"/>
          <w:szCs w:val="22"/>
        </w:rPr>
        <w:t xml:space="preserve">Akkuş ve Topuz (2019) çalışmasın 1980-2016 yılı verilerini kullanarak kırılgan beş ülke için işsizliğin seyrini </w:t>
      </w:r>
      <w:r w:rsidRPr="001E11B8">
        <w:rPr>
          <w:iCs/>
          <w:sz w:val="22"/>
          <w:szCs w:val="22"/>
        </w:rPr>
        <w:t>geleneksel ve kırılmalı birim kök testleri ile incelenmektedir.</w:t>
      </w:r>
      <w:r>
        <w:rPr>
          <w:iCs/>
          <w:sz w:val="22"/>
          <w:szCs w:val="22"/>
        </w:rPr>
        <w:t xml:space="preserve"> </w:t>
      </w:r>
      <w:r w:rsidRPr="001E11B8">
        <w:rPr>
          <w:iCs/>
          <w:sz w:val="22"/>
          <w:szCs w:val="22"/>
        </w:rPr>
        <w:t xml:space="preserve">Elde edilen sonuçlar işsizlik oranlarının, doğal işsizlik oranı etrafında bir salınım gerçekleştirmediği ve yaşanan şokların işsizlik üzerinde geçici değil kalıcı etkiler yarattığı </w:t>
      </w:r>
      <w:r w:rsidR="00AB79CD">
        <w:rPr>
          <w:iCs/>
          <w:sz w:val="22"/>
          <w:szCs w:val="22"/>
        </w:rPr>
        <w:t>göstermek</w:t>
      </w:r>
      <w:r w:rsidR="00AB79CD" w:rsidRPr="001E11B8">
        <w:rPr>
          <w:iCs/>
          <w:sz w:val="22"/>
          <w:szCs w:val="22"/>
        </w:rPr>
        <w:t>tedir</w:t>
      </w:r>
      <w:r w:rsidRPr="001E11B8">
        <w:rPr>
          <w:iCs/>
          <w:sz w:val="22"/>
          <w:szCs w:val="22"/>
        </w:rPr>
        <w:t>. Bu nedenle ele alınan ülkelerde hükümetlerin işsizlik ile ilgili yürütülen politikalara aktif müdahale etmeleri beklenmektedir.</w:t>
      </w:r>
    </w:p>
    <w:p w:rsidR="002A290D" w:rsidRDefault="002A290D" w:rsidP="00033E0D">
      <w:pPr>
        <w:autoSpaceDE w:val="0"/>
        <w:autoSpaceDN w:val="0"/>
        <w:adjustRightInd w:val="0"/>
        <w:spacing w:line="360" w:lineRule="auto"/>
        <w:jc w:val="both"/>
        <w:rPr>
          <w:iCs/>
          <w:sz w:val="22"/>
          <w:szCs w:val="22"/>
        </w:rPr>
      </w:pPr>
    </w:p>
    <w:p w:rsidR="00033E0D" w:rsidRDefault="002A290D" w:rsidP="00AB79CD">
      <w:pPr>
        <w:autoSpaceDE w:val="0"/>
        <w:autoSpaceDN w:val="0"/>
        <w:adjustRightInd w:val="0"/>
        <w:spacing w:line="360" w:lineRule="auto"/>
        <w:jc w:val="both"/>
        <w:rPr>
          <w:iCs/>
          <w:sz w:val="22"/>
          <w:szCs w:val="22"/>
        </w:rPr>
      </w:pPr>
      <w:r>
        <w:rPr>
          <w:iCs/>
          <w:sz w:val="22"/>
          <w:szCs w:val="22"/>
        </w:rPr>
        <w:t xml:space="preserve">İzgi ve Konu (2019) çalışmasında </w:t>
      </w:r>
      <w:r w:rsidRPr="00AB79CD">
        <w:rPr>
          <w:iCs/>
          <w:sz w:val="22"/>
          <w:szCs w:val="22"/>
        </w:rPr>
        <w:t xml:space="preserve">1997-2017 verileri ile BRICS ülkeleri ve Türkiye için genç işsizliğini belirleyen unsurları analiz edilmiştir. </w:t>
      </w:r>
      <w:r w:rsidR="00AB79CD" w:rsidRPr="00AB79CD">
        <w:rPr>
          <w:iCs/>
          <w:sz w:val="22"/>
          <w:szCs w:val="22"/>
        </w:rPr>
        <w:t>C</w:t>
      </w:r>
      <w:r w:rsidRPr="00AB79CD">
        <w:rPr>
          <w:iCs/>
          <w:sz w:val="22"/>
          <w:szCs w:val="22"/>
        </w:rPr>
        <w:t>insiyete göre genç işsizliği ayrı ayrı ortalama grup (mg) ve havuzlanmış ortalama grup (pmg) yöntemleri ile tahmin</w:t>
      </w:r>
      <w:r w:rsidR="00AB79CD" w:rsidRPr="00AB79CD">
        <w:rPr>
          <w:iCs/>
          <w:sz w:val="22"/>
          <w:szCs w:val="22"/>
        </w:rPr>
        <w:t xml:space="preserve"> edilmiştir</w:t>
      </w:r>
      <w:r w:rsidRPr="00AB79CD">
        <w:rPr>
          <w:iCs/>
          <w:sz w:val="22"/>
          <w:szCs w:val="22"/>
        </w:rPr>
        <w:t>.</w:t>
      </w:r>
      <w:r w:rsidR="00AB79CD" w:rsidRPr="00AB79CD">
        <w:rPr>
          <w:iCs/>
          <w:sz w:val="22"/>
          <w:szCs w:val="22"/>
        </w:rPr>
        <w:t>Elde edilen somnuçlar</w:t>
      </w:r>
      <w:r w:rsidRPr="00AB79CD">
        <w:rPr>
          <w:iCs/>
          <w:sz w:val="22"/>
          <w:szCs w:val="22"/>
        </w:rPr>
        <w:t xml:space="preserve"> nüfus büyüme oranı ve tüketim harcamalarındaki artış erkek genç işsizliği üzerinde negatif yönde anlamlı </w:t>
      </w:r>
      <w:r w:rsidR="00AB79CD" w:rsidRPr="00AB79CD">
        <w:rPr>
          <w:iCs/>
          <w:sz w:val="22"/>
          <w:szCs w:val="22"/>
        </w:rPr>
        <w:t>olduğunu göstermektedir.</w:t>
      </w:r>
    </w:p>
    <w:p w:rsidR="00AB79CD" w:rsidRDefault="00AB79CD" w:rsidP="00AB79CD">
      <w:pPr>
        <w:autoSpaceDE w:val="0"/>
        <w:autoSpaceDN w:val="0"/>
        <w:adjustRightInd w:val="0"/>
        <w:spacing w:line="360" w:lineRule="auto"/>
        <w:jc w:val="both"/>
        <w:rPr>
          <w:iCs/>
          <w:sz w:val="22"/>
          <w:szCs w:val="22"/>
        </w:rPr>
      </w:pPr>
    </w:p>
    <w:p w:rsidR="001E11B8" w:rsidRDefault="001E11B8" w:rsidP="001E11B8">
      <w:pPr>
        <w:autoSpaceDE w:val="0"/>
        <w:autoSpaceDN w:val="0"/>
        <w:adjustRightInd w:val="0"/>
        <w:spacing w:line="360" w:lineRule="auto"/>
        <w:jc w:val="both"/>
        <w:rPr>
          <w:iCs/>
          <w:sz w:val="22"/>
          <w:szCs w:val="22"/>
        </w:rPr>
      </w:pPr>
      <w:r>
        <w:rPr>
          <w:iCs/>
          <w:sz w:val="22"/>
          <w:szCs w:val="22"/>
        </w:rPr>
        <w:t xml:space="preserve">Kırca ve Canbay (2020) çalışmasında kırılgan beşli olarak adlandırılan ülkelerde 1991-2019 yılı verilerini kullanarak işsizlik ve enflasyon arasındaki ilişkiyi araştırmışlardır. Konya (2006) </w:t>
      </w:r>
      <w:r w:rsidRPr="001E11B8">
        <w:rPr>
          <w:iCs/>
          <w:sz w:val="22"/>
          <w:szCs w:val="22"/>
        </w:rPr>
        <w:t xml:space="preserve">panel bootsrap nedensellik testi sonucunda Hindistan’da işsizlikten enflasyona doğru Türkiye’de ise enflasyondan işsizliğe doğru negatif nedensellik ilişkisi tespit edilmiştir.  </w:t>
      </w:r>
    </w:p>
    <w:p w:rsidR="00BB68D1" w:rsidRDefault="00BB68D1" w:rsidP="001E11B8">
      <w:pPr>
        <w:autoSpaceDE w:val="0"/>
        <w:autoSpaceDN w:val="0"/>
        <w:adjustRightInd w:val="0"/>
        <w:spacing w:line="360" w:lineRule="auto"/>
        <w:jc w:val="both"/>
        <w:rPr>
          <w:iCs/>
          <w:sz w:val="22"/>
          <w:szCs w:val="22"/>
        </w:rPr>
      </w:pPr>
    </w:p>
    <w:p w:rsidR="00BB68D1" w:rsidRDefault="00BB68D1" w:rsidP="00BB68D1">
      <w:pPr>
        <w:autoSpaceDE w:val="0"/>
        <w:autoSpaceDN w:val="0"/>
        <w:adjustRightInd w:val="0"/>
        <w:spacing w:line="360" w:lineRule="auto"/>
        <w:jc w:val="both"/>
        <w:rPr>
          <w:iCs/>
          <w:sz w:val="22"/>
          <w:szCs w:val="22"/>
        </w:rPr>
      </w:pPr>
      <w:r>
        <w:rPr>
          <w:iCs/>
          <w:sz w:val="22"/>
          <w:szCs w:val="22"/>
        </w:rPr>
        <w:t xml:space="preserve">Kormaz ve Daştan (2020) çalışmasında </w:t>
      </w:r>
      <w:r w:rsidRPr="00BB68D1">
        <w:rPr>
          <w:iCs/>
          <w:sz w:val="22"/>
          <w:szCs w:val="22"/>
        </w:rPr>
        <w:t>Türkiye’ye yapılan doğrudan yabancı</w:t>
      </w:r>
      <w:r>
        <w:rPr>
          <w:iCs/>
          <w:sz w:val="22"/>
          <w:szCs w:val="22"/>
        </w:rPr>
        <w:t xml:space="preserve"> sermaye</w:t>
      </w:r>
      <w:r w:rsidRPr="00BB68D1">
        <w:rPr>
          <w:iCs/>
          <w:sz w:val="22"/>
          <w:szCs w:val="22"/>
        </w:rPr>
        <w:t xml:space="preserve"> yatırımları  ile  işsizlik  oranı  arasındaki  </w:t>
      </w:r>
      <w:r>
        <w:rPr>
          <w:iCs/>
          <w:sz w:val="22"/>
          <w:szCs w:val="22"/>
        </w:rPr>
        <w:t xml:space="preserve">uzun dönemli </w:t>
      </w:r>
      <w:r w:rsidRPr="00BB68D1">
        <w:rPr>
          <w:iCs/>
          <w:sz w:val="22"/>
          <w:szCs w:val="22"/>
        </w:rPr>
        <w:t>ilişki  2005</w:t>
      </w:r>
      <w:r>
        <w:rPr>
          <w:iCs/>
          <w:sz w:val="22"/>
          <w:szCs w:val="22"/>
        </w:rPr>
        <w:t>-2019 dönemi  için</w:t>
      </w:r>
      <w:r w:rsidRPr="00BB68D1">
        <w:rPr>
          <w:iCs/>
          <w:sz w:val="22"/>
          <w:szCs w:val="22"/>
        </w:rPr>
        <w:t xml:space="preserve"> yapısal kırılmaları dikkate alan Maki eşbütünleşme testi ile araştırılmıştır. </w:t>
      </w:r>
      <w:r>
        <w:rPr>
          <w:iCs/>
          <w:sz w:val="22"/>
          <w:szCs w:val="22"/>
        </w:rPr>
        <w:t xml:space="preserve">Elde edilen sonuçlar </w:t>
      </w:r>
      <w:r w:rsidRPr="00BB68D1">
        <w:rPr>
          <w:iCs/>
          <w:sz w:val="22"/>
          <w:szCs w:val="22"/>
        </w:rPr>
        <w:t>iki değişken arasında uzun dönemli bir ilişkinin var olmadığı gözlenmiştir.</w:t>
      </w:r>
      <w:r>
        <w:rPr>
          <w:rFonts w:ascii="Arial" w:hAnsi="Arial" w:cs="Arial"/>
          <w:sz w:val="21"/>
          <w:szCs w:val="21"/>
          <w:shd w:val="clear" w:color="auto" w:fill="FFFFFF"/>
        </w:rPr>
        <w:t xml:space="preserve"> </w:t>
      </w:r>
      <w:r w:rsidRPr="00BB68D1">
        <w:rPr>
          <w:iCs/>
          <w:sz w:val="22"/>
          <w:szCs w:val="22"/>
        </w:rPr>
        <w:br/>
      </w:r>
    </w:p>
    <w:p w:rsidR="0073595A" w:rsidRDefault="0073595A" w:rsidP="0073595A">
      <w:pPr>
        <w:autoSpaceDE w:val="0"/>
        <w:autoSpaceDN w:val="0"/>
        <w:adjustRightInd w:val="0"/>
        <w:spacing w:line="360" w:lineRule="auto"/>
        <w:jc w:val="both"/>
        <w:rPr>
          <w:iCs/>
          <w:sz w:val="22"/>
          <w:szCs w:val="22"/>
        </w:rPr>
      </w:pPr>
      <w:r>
        <w:rPr>
          <w:iCs/>
          <w:sz w:val="22"/>
          <w:szCs w:val="22"/>
        </w:rPr>
        <w:t xml:space="preserve">Mkombe ve arkadaşları (2020) çalışmasında ise </w:t>
      </w:r>
      <w:r w:rsidRPr="0073595A">
        <w:rPr>
          <w:iCs/>
          <w:sz w:val="22"/>
          <w:szCs w:val="22"/>
        </w:rPr>
        <w:t xml:space="preserve">1994-2017 dönemi Güney Afrika Kalkınma Topluluğu bölgesindeki genç işsizliği üzerindeki </w:t>
      </w:r>
      <w:r>
        <w:rPr>
          <w:iCs/>
          <w:sz w:val="22"/>
          <w:szCs w:val="22"/>
        </w:rPr>
        <w:t xml:space="preserve">doğrudan yabancı yatırımların etkisi </w:t>
      </w:r>
      <w:r w:rsidRPr="0073595A">
        <w:rPr>
          <w:iCs/>
          <w:sz w:val="22"/>
          <w:szCs w:val="22"/>
        </w:rPr>
        <w:t xml:space="preserve">Uygulanabilir Genelleştirilmiş En Küçük Kareler (FGLS-Parks) </w:t>
      </w:r>
      <w:r>
        <w:rPr>
          <w:iCs/>
          <w:sz w:val="22"/>
          <w:szCs w:val="22"/>
        </w:rPr>
        <w:t>tekniği ile incelenmiş</w:t>
      </w:r>
      <w:r w:rsidRPr="0073595A">
        <w:rPr>
          <w:iCs/>
          <w:sz w:val="22"/>
          <w:szCs w:val="22"/>
        </w:rPr>
        <w:t xml:space="preserve">, </w:t>
      </w:r>
      <w:r>
        <w:rPr>
          <w:iCs/>
          <w:sz w:val="22"/>
          <w:szCs w:val="22"/>
        </w:rPr>
        <w:t>doğrudan yabancı yatırımların</w:t>
      </w:r>
      <w:r w:rsidRPr="0073595A">
        <w:rPr>
          <w:iCs/>
          <w:sz w:val="22"/>
          <w:szCs w:val="22"/>
        </w:rPr>
        <w:t xml:space="preserve"> </w:t>
      </w:r>
      <w:r>
        <w:rPr>
          <w:iCs/>
          <w:sz w:val="22"/>
          <w:szCs w:val="22"/>
        </w:rPr>
        <w:t>bu bölgedeki</w:t>
      </w:r>
      <w:r w:rsidRPr="0073595A">
        <w:rPr>
          <w:iCs/>
          <w:sz w:val="22"/>
          <w:szCs w:val="22"/>
        </w:rPr>
        <w:t xml:space="preserve"> genç işsizliği</w:t>
      </w:r>
      <w:r>
        <w:rPr>
          <w:iCs/>
          <w:sz w:val="22"/>
          <w:szCs w:val="22"/>
        </w:rPr>
        <w:t>ni</w:t>
      </w:r>
      <w:r w:rsidRPr="0073595A">
        <w:rPr>
          <w:iCs/>
          <w:sz w:val="22"/>
          <w:szCs w:val="22"/>
        </w:rPr>
        <w:t xml:space="preserve"> azaltmada önemsiz bir etkisi olduğunu göstermektedir.</w:t>
      </w:r>
    </w:p>
    <w:p w:rsidR="001E11B8" w:rsidRDefault="001E11B8" w:rsidP="00A24E2A">
      <w:pPr>
        <w:spacing w:line="360" w:lineRule="auto"/>
        <w:jc w:val="both"/>
        <w:rPr>
          <w:iCs/>
          <w:sz w:val="22"/>
          <w:szCs w:val="22"/>
        </w:rPr>
      </w:pPr>
    </w:p>
    <w:p w:rsidR="00A24E2A" w:rsidRDefault="008A3714" w:rsidP="00A24E2A">
      <w:pPr>
        <w:spacing w:line="360" w:lineRule="auto"/>
        <w:jc w:val="both"/>
        <w:rPr>
          <w:iCs/>
          <w:sz w:val="22"/>
          <w:szCs w:val="22"/>
        </w:rPr>
      </w:pPr>
      <w:r w:rsidRPr="008A3714">
        <w:rPr>
          <w:iCs/>
          <w:sz w:val="22"/>
          <w:szCs w:val="22"/>
        </w:rPr>
        <w:t xml:space="preserve">Yapılan literatür taraması </w:t>
      </w:r>
      <w:r w:rsidR="00A24E2A" w:rsidRPr="008A3714">
        <w:rPr>
          <w:iCs/>
          <w:sz w:val="22"/>
          <w:szCs w:val="22"/>
        </w:rPr>
        <w:t>enflasyon ve büyüme gibi makroekonomik değişkenler</w:t>
      </w:r>
      <w:r w:rsidRPr="008A3714">
        <w:rPr>
          <w:iCs/>
          <w:sz w:val="22"/>
          <w:szCs w:val="22"/>
        </w:rPr>
        <w:t>in</w:t>
      </w:r>
      <w:r w:rsidR="00A24E2A" w:rsidRPr="008A3714">
        <w:rPr>
          <w:iCs/>
          <w:sz w:val="22"/>
          <w:szCs w:val="22"/>
        </w:rPr>
        <w:t xml:space="preserve"> işsizli</w:t>
      </w:r>
      <w:r w:rsidRPr="008A3714">
        <w:rPr>
          <w:iCs/>
          <w:sz w:val="22"/>
          <w:szCs w:val="22"/>
        </w:rPr>
        <w:t xml:space="preserve">k üzerinde etkisinin bulunduğunu </w:t>
      </w:r>
      <w:r w:rsidR="00A24E2A" w:rsidRPr="008A3714">
        <w:rPr>
          <w:iCs/>
          <w:sz w:val="22"/>
          <w:szCs w:val="22"/>
        </w:rPr>
        <w:t xml:space="preserve">ve </w:t>
      </w:r>
      <w:r w:rsidRPr="008A3714">
        <w:rPr>
          <w:iCs/>
          <w:sz w:val="22"/>
          <w:szCs w:val="22"/>
        </w:rPr>
        <w:t xml:space="preserve">bu etkinin </w:t>
      </w:r>
      <w:r w:rsidR="00A24E2A" w:rsidRPr="008A3714">
        <w:rPr>
          <w:iCs/>
          <w:sz w:val="22"/>
          <w:szCs w:val="22"/>
        </w:rPr>
        <w:t>ülkeden</w:t>
      </w:r>
      <w:r w:rsidRPr="008A3714">
        <w:rPr>
          <w:iCs/>
          <w:sz w:val="22"/>
          <w:szCs w:val="22"/>
        </w:rPr>
        <w:t xml:space="preserve"> ülkeye </w:t>
      </w:r>
      <w:r>
        <w:rPr>
          <w:iCs/>
          <w:sz w:val="22"/>
          <w:szCs w:val="22"/>
        </w:rPr>
        <w:t>değiştiğini göstermektedir</w:t>
      </w:r>
      <w:r w:rsidR="00A24E2A" w:rsidRPr="008A3714">
        <w:rPr>
          <w:iCs/>
          <w:sz w:val="22"/>
          <w:szCs w:val="22"/>
        </w:rPr>
        <w:t xml:space="preserve">. Ayrıca çalışma kapsamındaki </w:t>
      </w:r>
      <w:r w:rsidR="00516DFD">
        <w:rPr>
          <w:iCs/>
          <w:sz w:val="22"/>
          <w:szCs w:val="22"/>
        </w:rPr>
        <w:t>kırılgan ülkeler</w:t>
      </w:r>
      <w:r>
        <w:rPr>
          <w:iCs/>
          <w:sz w:val="22"/>
          <w:szCs w:val="22"/>
        </w:rPr>
        <w:t xml:space="preserve"> genç işsizlik sorununu çözme amacıyla</w:t>
      </w:r>
      <w:r w:rsidR="00A24E2A" w:rsidRPr="008A3714">
        <w:rPr>
          <w:iCs/>
          <w:sz w:val="22"/>
          <w:szCs w:val="22"/>
        </w:rPr>
        <w:t xml:space="preserve"> </w:t>
      </w:r>
      <w:r w:rsidR="00516DFD">
        <w:rPr>
          <w:iCs/>
          <w:sz w:val="22"/>
          <w:szCs w:val="22"/>
        </w:rPr>
        <w:t xml:space="preserve">belirledikleri </w:t>
      </w:r>
      <w:r>
        <w:rPr>
          <w:iCs/>
          <w:sz w:val="22"/>
          <w:szCs w:val="22"/>
        </w:rPr>
        <w:t>politika</w:t>
      </w:r>
      <w:r w:rsidR="00516DFD">
        <w:rPr>
          <w:iCs/>
          <w:sz w:val="22"/>
          <w:szCs w:val="22"/>
        </w:rPr>
        <w:t xml:space="preserve"> hedefleri ve bu hedeflere ulaşabilmek için genç nüfus</w:t>
      </w:r>
      <w:r w:rsidR="00A24E2A" w:rsidRPr="008A3714">
        <w:rPr>
          <w:iCs/>
          <w:sz w:val="22"/>
          <w:szCs w:val="22"/>
        </w:rPr>
        <w:t xml:space="preserve"> ve demografik </w:t>
      </w:r>
      <w:r w:rsidR="00516DFD">
        <w:rPr>
          <w:iCs/>
          <w:sz w:val="22"/>
          <w:szCs w:val="22"/>
        </w:rPr>
        <w:t>fırsat penceres</w:t>
      </w:r>
      <w:r w:rsidR="00A24E2A" w:rsidRPr="008A3714">
        <w:rPr>
          <w:iCs/>
          <w:sz w:val="22"/>
          <w:szCs w:val="22"/>
        </w:rPr>
        <w:t xml:space="preserve">i </w:t>
      </w:r>
      <w:r w:rsidR="00516DFD">
        <w:rPr>
          <w:iCs/>
          <w:sz w:val="22"/>
          <w:szCs w:val="22"/>
        </w:rPr>
        <w:t xml:space="preserve">avantajına sahiptir. </w:t>
      </w:r>
    </w:p>
    <w:p w:rsidR="00A24E2A" w:rsidRPr="00A24E2A" w:rsidRDefault="00A24E2A" w:rsidP="00A24E2A">
      <w:pPr>
        <w:spacing w:line="360" w:lineRule="auto"/>
        <w:jc w:val="both"/>
        <w:rPr>
          <w:iCs/>
          <w:sz w:val="22"/>
          <w:szCs w:val="22"/>
        </w:rPr>
      </w:pPr>
    </w:p>
    <w:bookmarkEnd w:id="1"/>
    <w:p w:rsidR="005C4DDA" w:rsidRPr="009C693A" w:rsidRDefault="005C4DDA" w:rsidP="005C4DDA">
      <w:pPr>
        <w:pStyle w:val="ListeParagraf"/>
        <w:numPr>
          <w:ilvl w:val="0"/>
          <w:numId w:val="1"/>
        </w:numPr>
        <w:spacing w:line="360" w:lineRule="auto"/>
        <w:jc w:val="both"/>
        <w:rPr>
          <w:i/>
          <w:sz w:val="22"/>
          <w:szCs w:val="22"/>
        </w:rPr>
      </w:pPr>
      <w:r w:rsidRPr="00692D6F">
        <w:rPr>
          <w:b/>
          <w:sz w:val="22"/>
          <w:szCs w:val="22"/>
        </w:rPr>
        <w:t xml:space="preserve">METODOLOJİ </w:t>
      </w:r>
    </w:p>
    <w:p w:rsidR="008B0C28" w:rsidRDefault="008B0C28" w:rsidP="008B0C28">
      <w:pPr>
        <w:spacing w:line="360" w:lineRule="auto"/>
        <w:jc w:val="both"/>
        <w:rPr>
          <w:sz w:val="22"/>
          <w:szCs w:val="22"/>
        </w:rPr>
      </w:pPr>
    </w:p>
    <w:p w:rsidR="008B0C28" w:rsidRPr="00AE67A3" w:rsidRDefault="007A4029" w:rsidP="008B0C28">
      <w:pPr>
        <w:spacing w:line="360" w:lineRule="auto"/>
        <w:jc w:val="both"/>
      </w:pPr>
      <w:r>
        <w:rPr>
          <w:sz w:val="22"/>
          <w:szCs w:val="22"/>
        </w:rPr>
        <w:t xml:space="preserve">Bu çalışmada genç işsizliğin makroekonomik belirleyicileri literatürde de sıklıkla kullanılan </w:t>
      </w:r>
      <w:r w:rsidR="008B0C28" w:rsidRPr="008B0C28">
        <w:rPr>
          <w:sz w:val="22"/>
          <w:szCs w:val="22"/>
        </w:rPr>
        <w:t>GSYİH</w:t>
      </w:r>
      <w:r w:rsidR="008B0C28">
        <w:rPr>
          <w:sz w:val="22"/>
          <w:szCs w:val="22"/>
        </w:rPr>
        <w:t xml:space="preserve"> büyüme oranı</w:t>
      </w:r>
      <w:r w:rsidR="008B0C28" w:rsidRPr="008B0C28">
        <w:rPr>
          <w:sz w:val="22"/>
          <w:szCs w:val="22"/>
        </w:rPr>
        <w:t xml:space="preserve">, </w:t>
      </w:r>
      <w:r w:rsidR="008B0C28">
        <w:rPr>
          <w:sz w:val="22"/>
          <w:szCs w:val="22"/>
        </w:rPr>
        <w:t>enflasyon</w:t>
      </w:r>
      <w:r w:rsidR="008B0C28" w:rsidRPr="008B0C28">
        <w:rPr>
          <w:sz w:val="22"/>
          <w:szCs w:val="22"/>
        </w:rPr>
        <w:t xml:space="preserve">, </w:t>
      </w:r>
      <w:r w:rsidR="008B0C28">
        <w:rPr>
          <w:sz w:val="22"/>
          <w:szCs w:val="22"/>
        </w:rPr>
        <w:t xml:space="preserve">doğrudan yabancı yatırımlar, nüfus artış hızı </w:t>
      </w:r>
      <w:r w:rsidR="008B0C28" w:rsidRPr="008B0C28">
        <w:rPr>
          <w:sz w:val="22"/>
          <w:szCs w:val="22"/>
        </w:rPr>
        <w:t xml:space="preserve">ve </w:t>
      </w:r>
      <w:r w:rsidR="008B0C28">
        <w:rPr>
          <w:sz w:val="22"/>
          <w:szCs w:val="22"/>
        </w:rPr>
        <w:t>ekonomik özgürlük indeksi</w:t>
      </w:r>
      <w:r>
        <w:rPr>
          <w:sz w:val="22"/>
          <w:szCs w:val="22"/>
        </w:rPr>
        <w:t xml:space="preserve"> kapsamında ele alınmıştır. </w:t>
      </w:r>
      <w:r w:rsidR="008B0C28" w:rsidRPr="008B0C28">
        <w:rPr>
          <w:sz w:val="22"/>
          <w:szCs w:val="22"/>
        </w:rPr>
        <w:t xml:space="preserve"> </w:t>
      </w:r>
      <w:r w:rsidR="00EE61CB">
        <w:rPr>
          <w:iCs/>
          <w:sz w:val="22"/>
          <w:szCs w:val="22"/>
        </w:rPr>
        <w:t>Bir ülkede e</w:t>
      </w:r>
      <w:r w:rsidR="00EE61CB" w:rsidRPr="00A24E2A">
        <w:rPr>
          <w:iCs/>
          <w:sz w:val="22"/>
          <w:szCs w:val="22"/>
        </w:rPr>
        <w:t>konomi</w:t>
      </w:r>
      <w:r w:rsidR="00EE61CB">
        <w:rPr>
          <w:iCs/>
          <w:sz w:val="22"/>
          <w:szCs w:val="22"/>
        </w:rPr>
        <w:t xml:space="preserve">k büyümenin artmasıyla istihdam oranının artacağını açıklayan Okun teorisi ışığında ekonomik büyüme oranı çalışmaya dahil edilen ilk göstergedir. </w:t>
      </w:r>
      <w:r w:rsidR="00EE61CB" w:rsidRPr="00EE61CB">
        <w:rPr>
          <w:iCs/>
          <w:sz w:val="22"/>
          <w:szCs w:val="22"/>
        </w:rPr>
        <w:t>İşsizlik ile enflasyon arasındaki ilişki</w:t>
      </w:r>
      <w:r w:rsidR="00EE61CB">
        <w:rPr>
          <w:iCs/>
          <w:sz w:val="22"/>
          <w:szCs w:val="22"/>
        </w:rPr>
        <w:t>yi ele alan Philips eğrisi ile</w:t>
      </w:r>
      <w:r w:rsidR="00EE61CB" w:rsidRPr="00EE61CB">
        <w:rPr>
          <w:iCs/>
          <w:sz w:val="22"/>
          <w:szCs w:val="22"/>
        </w:rPr>
        <w:t xml:space="preserve"> artan istihdam olana</w:t>
      </w:r>
      <w:r w:rsidR="00EE61CB">
        <w:rPr>
          <w:iCs/>
          <w:sz w:val="22"/>
          <w:szCs w:val="22"/>
        </w:rPr>
        <w:t>klarının toplam arzı artırması ve dolayısıyla</w:t>
      </w:r>
      <w:r w:rsidR="00EE61CB" w:rsidRPr="00EE61CB">
        <w:rPr>
          <w:iCs/>
          <w:sz w:val="22"/>
          <w:szCs w:val="22"/>
        </w:rPr>
        <w:t xml:space="preserve"> daha büyük bir toplam talep artışı meydana getirdiğinde düşme eğ</w:t>
      </w:r>
      <w:r w:rsidR="00EE61CB">
        <w:rPr>
          <w:iCs/>
          <w:sz w:val="22"/>
          <w:szCs w:val="22"/>
        </w:rPr>
        <w:t xml:space="preserve">ilimine giren fiyatlar olarak açıklamaktadır </w:t>
      </w:r>
      <w:r w:rsidR="00EE61CB" w:rsidRPr="00EE61CB">
        <w:rPr>
          <w:iCs/>
          <w:sz w:val="22"/>
          <w:szCs w:val="22"/>
        </w:rPr>
        <w:t>(Şentürk ve Akbaş, 2014: 5829). Bu nedenle enflasyon oranı da modele dahil edil</w:t>
      </w:r>
      <w:r w:rsidR="00EE61CB">
        <w:rPr>
          <w:iCs/>
          <w:sz w:val="22"/>
          <w:szCs w:val="22"/>
        </w:rPr>
        <w:t xml:space="preserve">en ikinci gösterge olmuştur. </w:t>
      </w:r>
      <w:r w:rsidR="00EE61CB" w:rsidRPr="00EE61CB">
        <w:rPr>
          <w:iCs/>
          <w:sz w:val="22"/>
          <w:szCs w:val="22"/>
        </w:rPr>
        <w:t xml:space="preserve"> Doğrudan yabancı yatırımlar gittikleri ülkelerde yeni işler yaratma ve işsizliği azaltma potansiyeline sahip olması nedeniyle ülkeye giriş olarak doğrudan yabancı yatırımların GSYH’ya oranı ve ülkenin işgücü yaratma potansiyeli modele nüfus büyüme hızı ile dâhil edilmiştir.</w:t>
      </w:r>
      <w:r w:rsidR="00EE61CB">
        <w:t xml:space="preserve"> </w:t>
      </w:r>
      <w:r w:rsidR="00E93ED5">
        <w:t>Ekonomik özgürlük e</w:t>
      </w:r>
      <w:r w:rsidR="00AE67A3">
        <w:rPr>
          <w:iCs/>
          <w:sz w:val="22"/>
          <w:szCs w:val="22"/>
        </w:rPr>
        <w:t>ndeksi devlet</w:t>
      </w:r>
      <w:r w:rsidR="00E93ED5" w:rsidRPr="00E93ED5">
        <w:rPr>
          <w:iCs/>
          <w:sz w:val="22"/>
          <w:szCs w:val="22"/>
        </w:rPr>
        <w:t xml:space="preserve"> kurumlarının ve </w:t>
      </w:r>
      <w:r w:rsidR="00AE67A3">
        <w:rPr>
          <w:iCs/>
          <w:sz w:val="22"/>
          <w:szCs w:val="22"/>
        </w:rPr>
        <w:t>yürütülen politikaların koruyucu işlevini</w:t>
      </w:r>
      <w:r w:rsidR="00E93ED5" w:rsidRPr="00E93ED5">
        <w:rPr>
          <w:iCs/>
          <w:sz w:val="22"/>
          <w:szCs w:val="22"/>
        </w:rPr>
        <w:t xml:space="preserve"> ne ölçüde </w:t>
      </w:r>
      <w:r w:rsidR="00AE67A3">
        <w:rPr>
          <w:iCs/>
          <w:sz w:val="22"/>
          <w:szCs w:val="22"/>
        </w:rPr>
        <w:t>yerine getirebildiğini</w:t>
      </w:r>
      <w:r w:rsidR="00E93ED5" w:rsidRPr="00E93ED5">
        <w:rPr>
          <w:iCs/>
          <w:sz w:val="22"/>
          <w:szCs w:val="22"/>
        </w:rPr>
        <w:t xml:space="preserve"> ve bireylerin kendi ekonomik kararlarını verme özgürlü</w:t>
      </w:r>
      <w:r w:rsidR="00AE67A3">
        <w:rPr>
          <w:iCs/>
          <w:sz w:val="22"/>
          <w:szCs w:val="22"/>
        </w:rPr>
        <w:t>ğünü ölçmek için tasarlanmış bir endeks olması nedeniyle modele dahil edilmiştir. Oluşturulan göstergelere a</w:t>
      </w:r>
      <w:r w:rsidR="008B0C28">
        <w:rPr>
          <w:sz w:val="22"/>
          <w:szCs w:val="22"/>
        </w:rPr>
        <w:t>it 2000-2018 yılı verileri</w:t>
      </w:r>
      <w:r w:rsidR="000B2859">
        <w:rPr>
          <w:sz w:val="22"/>
          <w:szCs w:val="22"/>
        </w:rPr>
        <w:t xml:space="preserve"> </w:t>
      </w:r>
      <w:r w:rsidR="00AE67A3">
        <w:rPr>
          <w:sz w:val="22"/>
          <w:szCs w:val="22"/>
        </w:rPr>
        <w:t>kullanılarak</w:t>
      </w:r>
      <w:r w:rsidR="000B2859">
        <w:rPr>
          <w:sz w:val="22"/>
          <w:szCs w:val="22"/>
        </w:rPr>
        <w:t xml:space="preserve"> </w:t>
      </w:r>
      <w:r w:rsidR="00AE67A3">
        <w:rPr>
          <w:sz w:val="22"/>
          <w:szCs w:val="22"/>
        </w:rPr>
        <w:t>belirlenen makroekonomik göstergelerin</w:t>
      </w:r>
      <w:r w:rsidR="00AE67A3" w:rsidRPr="008B0C28">
        <w:rPr>
          <w:sz w:val="22"/>
          <w:szCs w:val="22"/>
        </w:rPr>
        <w:t xml:space="preserve"> – işgücü piyasası göstergelerini belirleyen diğer faktörler yanında – </w:t>
      </w:r>
      <w:r w:rsidR="00AE67A3">
        <w:rPr>
          <w:sz w:val="22"/>
          <w:szCs w:val="22"/>
        </w:rPr>
        <w:t xml:space="preserve">genç işsizlik oranı üzerinde anlamlı bir etkisi bulunup bulunmadığı sorusuna </w:t>
      </w:r>
      <w:r w:rsidR="00AE67A3" w:rsidRPr="008B0C28">
        <w:rPr>
          <w:sz w:val="22"/>
          <w:szCs w:val="22"/>
        </w:rPr>
        <w:t xml:space="preserve">regresyon analizi çerçevesinde panel veri tahmin yöntemleri ile </w:t>
      </w:r>
      <w:r w:rsidR="00AE67A3">
        <w:rPr>
          <w:sz w:val="22"/>
          <w:szCs w:val="22"/>
        </w:rPr>
        <w:t xml:space="preserve">cevap aranmıştır. </w:t>
      </w:r>
      <w:r w:rsidR="00AE67A3" w:rsidRPr="008B0C28">
        <w:rPr>
          <w:sz w:val="22"/>
          <w:szCs w:val="22"/>
        </w:rPr>
        <w:t xml:space="preserve"> </w:t>
      </w:r>
      <w:r w:rsidR="00AE67A3">
        <w:rPr>
          <w:sz w:val="22"/>
          <w:szCs w:val="22"/>
        </w:rPr>
        <w:t xml:space="preserve">Analizlerde </w:t>
      </w:r>
      <w:r w:rsidR="004B0523">
        <w:rPr>
          <w:sz w:val="22"/>
          <w:szCs w:val="22"/>
        </w:rPr>
        <w:t>Stata 16</w:t>
      </w:r>
      <w:r w:rsidR="000B2859">
        <w:rPr>
          <w:sz w:val="22"/>
          <w:szCs w:val="22"/>
        </w:rPr>
        <w:t xml:space="preserve">.0 programı </w:t>
      </w:r>
      <w:r w:rsidR="00AE67A3">
        <w:rPr>
          <w:sz w:val="22"/>
          <w:szCs w:val="22"/>
        </w:rPr>
        <w:t>kullanılmıştır.</w:t>
      </w:r>
    </w:p>
    <w:p w:rsidR="00490C27" w:rsidRDefault="00490C27" w:rsidP="008B0C28">
      <w:pPr>
        <w:spacing w:line="360" w:lineRule="auto"/>
        <w:jc w:val="both"/>
        <w:rPr>
          <w:sz w:val="22"/>
          <w:szCs w:val="22"/>
        </w:rPr>
      </w:pPr>
    </w:p>
    <w:p w:rsidR="00A72D07" w:rsidRDefault="00A72D07" w:rsidP="008B0C28">
      <w:pPr>
        <w:spacing w:line="360" w:lineRule="auto"/>
        <w:jc w:val="both"/>
        <w:rPr>
          <w:sz w:val="22"/>
          <w:szCs w:val="22"/>
        </w:rPr>
      </w:pPr>
    </w:p>
    <w:p w:rsidR="00490C27" w:rsidRDefault="004B0523" w:rsidP="008B0C28">
      <w:pPr>
        <w:spacing w:line="360" w:lineRule="auto"/>
        <w:jc w:val="both"/>
        <w:rPr>
          <w:sz w:val="22"/>
          <w:szCs w:val="22"/>
        </w:rPr>
      </w:pPr>
      <w:r>
        <w:rPr>
          <w:sz w:val="22"/>
          <w:szCs w:val="22"/>
        </w:rPr>
        <w:lastRenderedPageBreak/>
        <w:t>Çizelge</w:t>
      </w:r>
      <w:r w:rsidR="00490C27">
        <w:rPr>
          <w:sz w:val="22"/>
          <w:szCs w:val="22"/>
        </w:rPr>
        <w:t xml:space="preserve"> 4.1. Analizlere dahil edilen ülkeler</w:t>
      </w:r>
    </w:p>
    <w:tbl>
      <w:tblPr>
        <w:tblStyle w:val="TabloKlavuzu"/>
        <w:tblW w:w="0" w:type="auto"/>
        <w:tblLook w:val="04A0" w:firstRow="1" w:lastRow="0" w:firstColumn="1" w:lastColumn="0" w:noHBand="0" w:noVBand="1"/>
      </w:tblPr>
      <w:tblGrid>
        <w:gridCol w:w="1812"/>
        <w:gridCol w:w="1812"/>
        <w:gridCol w:w="1812"/>
        <w:gridCol w:w="1813"/>
        <w:gridCol w:w="1813"/>
      </w:tblGrid>
      <w:tr w:rsidR="00490C27" w:rsidTr="00490C27">
        <w:tc>
          <w:tcPr>
            <w:tcW w:w="1812" w:type="dxa"/>
          </w:tcPr>
          <w:p w:rsidR="00490C27" w:rsidRDefault="00490C27" w:rsidP="008B0C28">
            <w:pPr>
              <w:spacing w:line="360" w:lineRule="auto"/>
              <w:jc w:val="both"/>
              <w:rPr>
                <w:sz w:val="22"/>
                <w:szCs w:val="22"/>
              </w:rPr>
            </w:pPr>
            <w:r>
              <w:rPr>
                <w:sz w:val="22"/>
                <w:szCs w:val="22"/>
              </w:rPr>
              <w:t>Brezilya</w:t>
            </w:r>
          </w:p>
        </w:tc>
        <w:tc>
          <w:tcPr>
            <w:tcW w:w="1812" w:type="dxa"/>
          </w:tcPr>
          <w:p w:rsidR="00490C27" w:rsidRDefault="00490C27" w:rsidP="008B0C28">
            <w:pPr>
              <w:spacing w:line="360" w:lineRule="auto"/>
              <w:jc w:val="both"/>
              <w:rPr>
                <w:sz w:val="22"/>
                <w:szCs w:val="22"/>
              </w:rPr>
            </w:pPr>
            <w:r>
              <w:rPr>
                <w:sz w:val="22"/>
                <w:szCs w:val="22"/>
              </w:rPr>
              <w:t>Endonezya</w:t>
            </w:r>
          </w:p>
        </w:tc>
        <w:tc>
          <w:tcPr>
            <w:tcW w:w="1812" w:type="dxa"/>
          </w:tcPr>
          <w:p w:rsidR="00490C27" w:rsidRDefault="00490C27" w:rsidP="008B0C28">
            <w:pPr>
              <w:spacing w:line="360" w:lineRule="auto"/>
              <w:jc w:val="both"/>
              <w:rPr>
                <w:sz w:val="22"/>
                <w:szCs w:val="22"/>
              </w:rPr>
            </w:pPr>
            <w:r>
              <w:rPr>
                <w:sz w:val="22"/>
                <w:szCs w:val="22"/>
              </w:rPr>
              <w:t>Hindistan</w:t>
            </w:r>
          </w:p>
        </w:tc>
        <w:tc>
          <w:tcPr>
            <w:tcW w:w="1813" w:type="dxa"/>
          </w:tcPr>
          <w:p w:rsidR="00490C27" w:rsidRDefault="00490C27" w:rsidP="008B0C28">
            <w:pPr>
              <w:spacing w:line="360" w:lineRule="auto"/>
              <w:jc w:val="both"/>
              <w:rPr>
                <w:sz w:val="22"/>
                <w:szCs w:val="22"/>
              </w:rPr>
            </w:pPr>
            <w:r>
              <w:rPr>
                <w:sz w:val="22"/>
                <w:szCs w:val="22"/>
              </w:rPr>
              <w:t>Türkiye</w:t>
            </w:r>
          </w:p>
        </w:tc>
        <w:tc>
          <w:tcPr>
            <w:tcW w:w="1813" w:type="dxa"/>
          </w:tcPr>
          <w:p w:rsidR="00490C27" w:rsidRDefault="00490C27" w:rsidP="008B0C28">
            <w:pPr>
              <w:spacing w:line="360" w:lineRule="auto"/>
              <w:jc w:val="both"/>
              <w:rPr>
                <w:sz w:val="22"/>
                <w:szCs w:val="22"/>
              </w:rPr>
            </w:pPr>
            <w:r>
              <w:rPr>
                <w:sz w:val="22"/>
                <w:szCs w:val="22"/>
              </w:rPr>
              <w:t>Güney Afrika</w:t>
            </w:r>
          </w:p>
        </w:tc>
      </w:tr>
    </w:tbl>
    <w:p w:rsidR="00490C27" w:rsidRDefault="00490C27" w:rsidP="008B0C28">
      <w:pPr>
        <w:spacing w:line="360" w:lineRule="auto"/>
        <w:jc w:val="both"/>
        <w:rPr>
          <w:sz w:val="22"/>
          <w:szCs w:val="22"/>
        </w:rPr>
      </w:pPr>
    </w:p>
    <w:p w:rsidR="00490C27" w:rsidRDefault="00490C27" w:rsidP="008B0C28">
      <w:pPr>
        <w:spacing w:line="360" w:lineRule="auto"/>
        <w:jc w:val="both"/>
        <w:rPr>
          <w:sz w:val="22"/>
          <w:szCs w:val="22"/>
        </w:rPr>
      </w:pPr>
      <w:r>
        <w:rPr>
          <w:sz w:val="22"/>
          <w:szCs w:val="22"/>
        </w:rPr>
        <w:t>Çalışmada kullanılan makroekonomik göstergeler, göstergelere ilişkin kısaltmalar ve veri kaynaklarına ilişkin açıklamalar Tablo 4.2’de verilmektedir.</w:t>
      </w:r>
    </w:p>
    <w:p w:rsidR="004B0523" w:rsidRDefault="004B0523" w:rsidP="008B0C28">
      <w:pPr>
        <w:spacing w:line="360" w:lineRule="auto"/>
        <w:jc w:val="both"/>
        <w:rPr>
          <w:sz w:val="22"/>
          <w:szCs w:val="22"/>
        </w:rPr>
      </w:pPr>
    </w:p>
    <w:p w:rsidR="004B0523" w:rsidRDefault="004B0523" w:rsidP="008B0C28">
      <w:pPr>
        <w:spacing w:line="360" w:lineRule="auto"/>
        <w:jc w:val="both"/>
        <w:rPr>
          <w:sz w:val="22"/>
          <w:szCs w:val="22"/>
        </w:rPr>
      </w:pPr>
      <w:r>
        <w:rPr>
          <w:sz w:val="22"/>
          <w:szCs w:val="22"/>
        </w:rPr>
        <w:t>Çizelge 4.2. Çalışmada Kullanılan Göstergeler</w:t>
      </w:r>
    </w:p>
    <w:tbl>
      <w:tblPr>
        <w:tblStyle w:val="TabloKlavuzu"/>
        <w:tblW w:w="0" w:type="auto"/>
        <w:tblLook w:val="04A0" w:firstRow="1" w:lastRow="0" w:firstColumn="1" w:lastColumn="0" w:noHBand="0" w:noVBand="1"/>
      </w:tblPr>
      <w:tblGrid>
        <w:gridCol w:w="3964"/>
        <w:gridCol w:w="2077"/>
        <w:gridCol w:w="2034"/>
      </w:tblGrid>
      <w:tr w:rsidR="00043012" w:rsidTr="007A4029">
        <w:tc>
          <w:tcPr>
            <w:tcW w:w="3964" w:type="dxa"/>
          </w:tcPr>
          <w:p w:rsidR="00043012" w:rsidRDefault="00043012" w:rsidP="008B0C28">
            <w:pPr>
              <w:spacing w:line="360" w:lineRule="auto"/>
              <w:jc w:val="both"/>
              <w:rPr>
                <w:sz w:val="22"/>
                <w:szCs w:val="22"/>
              </w:rPr>
            </w:pPr>
            <w:r>
              <w:rPr>
                <w:sz w:val="22"/>
                <w:szCs w:val="22"/>
              </w:rPr>
              <w:t>Gösterge</w:t>
            </w:r>
          </w:p>
        </w:tc>
        <w:tc>
          <w:tcPr>
            <w:tcW w:w="2077" w:type="dxa"/>
          </w:tcPr>
          <w:p w:rsidR="00043012" w:rsidRDefault="00043012" w:rsidP="008B0C28">
            <w:pPr>
              <w:spacing w:line="360" w:lineRule="auto"/>
              <w:jc w:val="both"/>
              <w:rPr>
                <w:sz w:val="22"/>
                <w:szCs w:val="22"/>
              </w:rPr>
            </w:pPr>
            <w:r>
              <w:rPr>
                <w:sz w:val="22"/>
                <w:szCs w:val="22"/>
              </w:rPr>
              <w:t xml:space="preserve">Kısaltma </w:t>
            </w:r>
          </w:p>
        </w:tc>
        <w:tc>
          <w:tcPr>
            <w:tcW w:w="2034" w:type="dxa"/>
          </w:tcPr>
          <w:p w:rsidR="00043012" w:rsidRDefault="00043012" w:rsidP="008B0C28">
            <w:pPr>
              <w:spacing w:line="360" w:lineRule="auto"/>
              <w:jc w:val="both"/>
              <w:rPr>
                <w:sz w:val="22"/>
                <w:szCs w:val="22"/>
              </w:rPr>
            </w:pPr>
            <w:r>
              <w:rPr>
                <w:sz w:val="22"/>
                <w:szCs w:val="22"/>
              </w:rPr>
              <w:t>Kaynak</w:t>
            </w:r>
          </w:p>
        </w:tc>
      </w:tr>
      <w:tr w:rsidR="00043012" w:rsidTr="007A4029">
        <w:tc>
          <w:tcPr>
            <w:tcW w:w="3964" w:type="dxa"/>
          </w:tcPr>
          <w:p w:rsidR="00043012" w:rsidRDefault="00760092" w:rsidP="008B0C28">
            <w:pPr>
              <w:spacing w:line="360" w:lineRule="auto"/>
              <w:jc w:val="both"/>
              <w:rPr>
                <w:sz w:val="22"/>
                <w:szCs w:val="22"/>
              </w:rPr>
            </w:pPr>
            <w:r>
              <w:rPr>
                <w:sz w:val="22"/>
                <w:szCs w:val="22"/>
              </w:rPr>
              <w:t>Büyüme Oranı</w:t>
            </w:r>
          </w:p>
        </w:tc>
        <w:tc>
          <w:tcPr>
            <w:tcW w:w="2077" w:type="dxa"/>
          </w:tcPr>
          <w:p w:rsidR="00043012" w:rsidRDefault="007A4029" w:rsidP="008B0C28">
            <w:pPr>
              <w:spacing w:line="360" w:lineRule="auto"/>
              <w:jc w:val="both"/>
              <w:rPr>
                <w:sz w:val="22"/>
                <w:szCs w:val="22"/>
              </w:rPr>
            </w:pPr>
            <w:r>
              <w:rPr>
                <w:sz w:val="22"/>
                <w:szCs w:val="22"/>
              </w:rPr>
              <w:t>GR</w:t>
            </w:r>
          </w:p>
        </w:tc>
        <w:tc>
          <w:tcPr>
            <w:tcW w:w="2034" w:type="dxa"/>
          </w:tcPr>
          <w:p w:rsidR="00043012" w:rsidRDefault="007A4029" w:rsidP="008B0C28">
            <w:pPr>
              <w:spacing w:line="360" w:lineRule="auto"/>
              <w:jc w:val="both"/>
              <w:rPr>
                <w:sz w:val="22"/>
                <w:szCs w:val="22"/>
              </w:rPr>
            </w:pPr>
            <w:r>
              <w:rPr>
                <w:sz w:val="22"/>
                <w:szCs w:val="22"/>
              </w:rPr>
              <w:t>Dünya Bankası</w:t>
            </w:r>
          </w:p>
        </w:tc>
      </w:tr>
      <w:tr w:rsidR="00043012" w:rsidTr="007A4029">
        <w:tc>
          <w:tcPr>
            <w:tcW w:w="3964" w:type="dxa"/>
          </w:tcPr>
          <w:p w:rsidR="00043012" w:rsidRDefault="00760092" w:rsidP="008B0C28">
            <w:pPr>
              <w:spacing w:line="360" w:lineRule="auto"/>
              <w:jc w:val="both"/>
              <w:rPr>
                <w:sz w:val="22"/>
                <w:szCs w:val="22"/>
              </w:rPr>
            </w:pPr>
            <w:r>
              <w:rPr>
                <w:sz w:val="22"/>
                <w:szCs w:val="22"/>
              </w:rPr>
              <w:t>Enflasyon Oranı</w:t>
            </w:r>
          </w:p>
        </w:tc>
        <w:tc>
          <w:tcPr>
            <w:tcW w:w="2077" w:type="dxa"/>
          </w:tcPr>
          <w:p w:rsidR="00043012" w:rsidRDefault="007A4029" w:rsidP="008B0C28">
            <w:pPr>
              <w:spacing w:line="360" w:lineRule="auto"/>
              <w:jc w:val="both"/>
              <w:rPr>
                <w:sz w:val="22"/>
                <w:szCs w:val="22"/>
              </w:rPr>
            </w:pPr>
            <w:r>
              <w:rPr>
                <w:sz w:val="22"/>
                <w:szCs w:val="22"/>
              </w:rPr>
              <w:t>INF</w:t>
            </w:r>
          </w:p>
        </w:tc>
        <w:tc>
          <w:tcPr>
            <w:tcW w:w="2034" w:type="dxa"/>
          </w:tcPr>
          <w:p w:rsidR="00043012" w:rsidRDefault="007A4029" w:rsidP="008B0C28">
            <w:pPr>
              <w:spacing w:line="360" w:lineRule="auto"/>
              <w:jc w:val="both"/>
              <w:rPr>
                <w:sz w:val="22"/>
                <w:szCs w:val="22"/>
              </w:rPr>
            </w:pPr>
            <w:r>
              <w:rPr>
                <w:sz w:val="22"/>
                <w:szCs w:val="22"/>
              </w:rPr>
              <w:t>OECD</w:t>
            </w:r>
          </w:p>
        </w:tc>
      </w:tr>
      <w:tr w:rsidR="00043012" w:rsidTr="007A4029">
        <w:tc>
          <w:tcPr>
            <w:tcW w:w="3964" w:type="dxa"/>
          </w:tcPr>
          <w:p w:rsidR="00043012" w:rsidRDefault="00760092" w:rsidP="008B0C28">
            <w:pPr>
              <w:spacing w:line="360" w:lineRule="auto"/>
              <w:jc w:val="both"/>
              <w:rPr>
                <w:sz w:val="22"/>
                <w:szCs w:val="22"/>
              </w:rPr>
            </w:pPr>
            <w:r>
              <w:rPr>
                <w:sz w:val="22"/>
                <w:szCs w:val="22"/>
              </w:rPr>
              <w:t xml:space="preserve">Doğrudan Yabancı Yatırımlar –Net </w:t>
            </w:r>
            <w:r w:rsidR="007A4029">
              <w:rPr>
                <w:sz w:val="22"/>
                <w:szCs w:val="22"/>
              </w:rPr>
              <w:t>giriş</w:t>
            </w:r>
          </w:p>
        </w:tc>
        <w:tc>
          <w:tcPr>
            <w:tcW w:w="2077" w:type="dxa"/>
          </w:tcPr>
          <w:p w:rsidR="00043012" w:rsidRDefault="007A4029" w:rsidP="008B0C28">
            <w:pPr>
              <w:spacing w:line="360" w:lineRule="auto"/>
              <w:jc w:val="both"/>
              <w:rPr>
                <w:sz w:val="22"/>
                <w:szCs w:val="22"/>
              </w:rPr>
            </w:pPr>
            <w:r>
              <w:rPr>
                <w:sz w:val="22"/>
                <w:szCs w:val="22"/>
              </w:rPr>
              <w:t>FDI</w:t>
            </w:r>
          </w:p>
        </w:tc>
        <w:tc>
          <w:tcPr>
            <w:tcW w:w="2034" w:type="dxa"/>
          </w:tcPr>
          <w:p w:rsidR="00043012" w:rsidRDefault="007A4029" w:rsidP="008B0C28">
            <w:pPr>
              <w:spacing w:line="360" w:lineRule="auto"/>
              <w:jc w:val="both"/>
              <w:rPr>
                <w:sz w:val="22"/>
                <w:szCs w:val="22"/>
              </w:rPr>
            </w:pPr>
            <w:r>
              <w:rPr>
                <w:sz w:val="22"/>
                <w:szCs w:val="22"/>
              </w:rPr>
              <w:t>Dünya Bankası</w:t>
            </w:r>
          </w:p>
        </w:tc>
      </w:tr>
      <w:tr w:rsidR="00043012" w:rsidTr="007A4029">
        <w:tc>
          <w:tcPr>
            <w:tcW w:w="3964" w:type="dxa"/>
          </w:tcPr>
          <w:p w:rsidR="00043012" w:rsidRDefault="00760092" w:rsidP="008B0C28">
            <w:pPr>
              <w:spacing w:line="360" w:lineRule="auto"/>
              <w:jc w:val="both"/>
              <w:rPr>
                <w:sz w:val="22"/>
                <w:szCs w:val="22"/>
              </w:rPr>
            </w:pPr>
            <w:r>
              <w:rPr>
                <w:sz w:val="22"/>
                <w:szCs w:val="22"/>
              </w:rPr>
              <w:t>Nüfus Artış Hızı</w:t>
            </w:r>
          </w:p>
        </w:tc>
        <w:tc>
          <w:tcPr>
            <w:tcW w:w="2077" w:type="dxa"/>
          </w:tcPr>
          <w:p w:rsidR="00043012" w:rsidRDefault="007A4029" w:rsidP="008B0C28">
            <w:pPr>
              <w:spacing w:line="360" w:lineRule="auto"/>
              <w:jc w:val="both"/>
              <w:rPr>
                <w:sz w:val="22"/>
                <w:szCs w:val="22"/>
              </w:rPr>
            </w:pPr>
            <w:r>
              <w:rPr>
                <w:sz w:val="22"/>
                <w:szCs w:val="22"/>
              </w:rPr>
              <w:t>POP</w:t>
            </w:r>
          </w:p>
        </w:tc>
        <w:tc>
          <w:tcPr>
            <w:tcW w:w="2034" w:type="dxa"/>
          </w:tcPr>
          <w:p w:rsidR="00043012" w:rsidRDefault="007A4029" w:rsidP="008B0C28">
            <w:pPr>
              <w:spacing w:line="360" w:lineRule="auto"/>
              <w:jc w:val="both"/>
              <w:rPr>
                <w:sz w:val="22"/>
                <w:szCs w:val="22"/>
              </w:rPr>
            </w:pPr>
            <w:r>
              <w:rPr>
                <w:sz w:val="22"/>
                <w:szCs w:val="22"/>
              </w:rPr>
              <w:t>Dünya Bankası</w:t>
            </w:r>
          </w:p>
        </w:tc>
      </w:tr>
      <w:tr w:rsidR="00043012" w:rsidTr="007A4029">
        <w:tc>
          <w:tcPr>
            <w:tcW w:w="3964" w:type="dxa"/>
          </w:tcPr>
          <w:p w:rsidR="00043012" w:rsidRDefault="00760092" w:rsidP="008B0C28">
            <w:pPr>
              <w:spacing w:line="360" w:lineRule="auto"/>
              <w:jc w:val="both"/>
              <w:rPr>
                <w:sz w:val="22"/>
                <w:szCs w:val="22"/>
              </w:rPr>
            </w:pPr>
            <w:r>
              <w:rPr>
                <w:sz w:val="22"/>
                <w:szCs w:val="22"/>
              </w:rPr>
              <w:t>Ekonomik Özgürlük Endeks</w:t>
            </w:r>
          </w:p>
        </w:tc>
        <w:tc>
          <w:tcPr>
            <w:tcW w:w="2077" w:type="dxa"/>
          </w:tcPr>
          <w:p w:rsidR="00043012" w:rsidRDefault="007A4029" w:rsidP="008B0C28">
            <w:pPr>
              <w:spacing w:line="360" w:lineRule="auto"/>
              <w:jc w:val="both"/>
              <w:rPr>
                <w:sz w:val="22"/>
                <w:szCs w:val="22"/>
              </w:rPr>
            </w:pPr>
            <w:r>
              <w:rPr>
                <w:sz w:val="22"/>
                <w:szCs w:val="22"/>
              </w:rPr>
              <w:t>EFI</w:t>
            </w:r>
          </w:p>
        </w:tc>
        <w:tc>
          <w:tcPr>
            <w:tcW w:w="2034" w:type="dxa"/>
          </w:tcPr>
          <w:p w:rsidR="00043012" w:rsidRDefault="007A4029" w:rsidP="008B0C28">
            <w:pPr>
              <w:spacing w:line="360" w:lineRule="auto"/>
              <w:jc w:val="both"/>
              <w:rPr>
                <w:sz w:val="22"/>
                <w:szCs w:val="22"/>
              </w:rPr>
            </w:pPr>
            <w:r>
              <w:rPr>
                <w:sz w:val="22"/>
                <w:szCs w:val="22"/>
              </w:rPr>
              <w:t>Fraser Institue</w:t>
            </w:r>
          </w:p>
        </w:tc>
      </w:tr>
      <w:tr w:rsidR="00043012" w:rsidTr="007A4029">
        <w:tc>
          <w:tcPr>
            <w:tcW w:w="3964" w:type="dxa"/>
          </w:tcPr>
          <w:p w:rsidR="00043012" w:rsidRDefault="00C357C8" w:rsidP="008B0C28">
            <w:pPr>
              <w:spacing w:line="360" w:lineRule="auto"/>
              <w:jc w:val="both"/>
              <w:rPr>
                <w:sz w:val="22"/>
                <w:szCs w:val="22"/>
              </w:rPr>
            </w:pPr>
            <w:r>
              <w:rPr>
                <w:sz w:val="22"/>
                <w:szCs w:val="22"/>
              </w:rPr>
              <w:t>Genç İşsizlik Oranı</w:t>
            </w:r>
          </w:p>
        </w:tc>
        <w:tc>
          <w:tcPr>
            <w:tcW w:w="2077" w:type="dxa"/>
          </w:tcPr>
          <w:p w:rsidR="00043012" w:rsidRDefault="007A4029" w:rsidP="008B0C28">
            <w:pPr>
              <w:spacing w:line="360" w:lineRule="auto"/>
              <w:jc w:val="both"/>
              <w:rPr>
                <w:sz w:val="22"/>
                <w:szCs w:val="22"/>
              </w:rPr>
            </w:pPr>
            <w:r>
              <w:rPr>
                <w:sz w:val="22"/>
                <w:szCs w:val="22"/>
              </w:rPr>
              <w:t>YUR</w:t>
            </w:r>
          </w:p>
        </w:tc>
        <w:tc>
          <w:tcPr>
            <w:tcW w:w="2034" w:type="dxa"/>
          </w:tcPr>
          <w:p w:rsidR="00043012" w:rsidRDefault="007A4029" w:rsidP="008B0C28">
            <w:pPr>
              <w:spacing w:line="360" w:lineRule="auto"/>
              <w:jc w:val="both"/>
              <w:rPr>
                <w:sz w:val="22"/>
                <w:szCs w:val="22"/>
              </w:rPr>
            </w:pPr>
            <w:r>
              <w:rPr>
                <w:sz w:val="22"/>
                <w:szCs w:val="22"/>
              </w:rPr>
              <w:t>Dünya Bankası</w:t>
            </w:r>
          </w:p>
        </w:tc>
      </w:tr>
    </w:tbl>
    <w:p w:rsidR="00043012" w:rsidRDefault="00043012" w:rsidP="008B0C28">
      <w:pPr>
        <w:spacing w:line="360" w:lineRule="auto"/>
        <w:jc w:val="both"/>
        <w:rPr>
          <w:sz w:val="22"/>
          <w:szCs w:val="22"/>
        </w:rPr>
      </w:pPr>
    </w:p>
    <w:p w:rsidR="00E23B1E" w:rsidRDefault="00E23B1E" w:rsidP="008B0C28">
      <w:pPr>
        <w:spacing w:line="360" w:lineRule="auto"/>
        <w:jc w:val="both"/>
        <w:rPr>
          <w:sz w:val="22"/>
          <w:szCs w:val="22"/>
        </w:rPr>
      </w:pPr>
      <w:r>
        <w:rPr>
          <w:sz w:val="22"/>
          <w:szCs w:val="22"/>
        </w:rPr>
        <w:t>Bu bilgiler doğrultusunda ele alınan araştırma modeli</w:t>
      </w:r>
      <w:r w:rsidR="00CB0D5D">
        <w:rPr>
          <w:sz w:val="22"/>
          <w:szCs w:val="22"/>
        </w:rPr>
        <w:t xml:space="preserve"> genel olarak</w:t>
      </w:r>
      <w:r>
        <w:rPr>
          <w:sz w:val="22"/>
          <w:szCs w:val="22"/>
        </w:rPr>
        <w:t xml:space="preserve"> eşitlik 3.1</w:t>
      </w:r>
      <w:r w:rsidR="00CB0D5D">
        <w:rPr>
          <w:sz w:val="22"/>
          <w:szCs w:val="22"/>
        </w:rPr>
        <w:t xml:space="preserve"> </w:t>
      </w:r>
      <w:r>
        <w:rPr>
          <w:sz w:val="22"/>
          <w:szCs w:val="22"/>
        </w:rPr>
        <w:t>şeklinde ifade edilebilir.</w:t>
      </w:r>
    </w:p>
    <w:p w:rsidR="00E23B1E" w:rsidRDefault="00E23B1E" w:rsidP="007A4029">
      <w:pPr>
        <w:spacing w:before="360" w:after="360"/>
        <w:jc w:val="both"/>
        <w:rPr>
          <w:sz w:val="22"/>
          <w:szCs w:val="22"/>
        </w:rPr>
      </w:pPr>
      <w:r>
        <w:rPr>
          <w:sz w:val="22"/>
          <w:szCs w:val="22"/>
        </w:rPr>
        <w:t>YUR</w:t>
      </w:r>
      <w:r w:rsidRPr="00E23B1E">
        <w:rPr>
          <w:sz w:val="22"/>
          <w:szCs w:val="22"/>
        </w:rPr>
        <w:t>=f (</w:t>
      </w:r>
      <w:r>
        <w:rPr>
          <w:sz w:val="22"/>
          <w:szCs w:val="22"/>
        </w:rPr>
        <w:t>GR, INF, FDI, POP, EFI</w:t>
      </w:r>
      <w:r w:rsidRPr="00E23B1E">
        <w:rPr>
          <w:sz w:val="22"/>
          <w:szCs w:val="22"/>
        </w:rPr>
        <w:t>)</w:t>
      </w:r>
      <w:r>
        <w:rPr>
          <w:sz w:val="22"/>
          <w:szCs w:val="22"/>
        </w:rPr>
        <w:t xml:space="preserve">    (3.1)</w:t>
      </w:r>
    </w:p>
    <w:p w:rsidR="007A4029" w:rsidRDefault="007A4029" w:rsidP="00A97C1D">
      <w:pPr>
        <w:spacing w:line="360" w:lineRule="auto"/>
        <w:jc w:val="both"/>
        <w:rPr>
          <w:sz w:val="22"/>
          <w:szCs w:val="22"/>
        </w:rPr>
      </w:pPr>
      <w:r w:rsidRPr="00A97C1D">
        <w:rPr>
          <w:sz w:val="22"/>
          <w:szCs w:val="22"/>
        </w:rPr>
        <w:t>Panel veri seti, hem zaman serisi hem de yatay kesit verilerinin bir araya gelmesiyle elde edilir. Belirli bir zaman süresi içerisinde örneklemleri yinelenen bir yatay kesit verisinden oluşması nedeniyle yatay kesit ve zaman olmak üzere iki boyut içerir. Panel veri setinde N tane birim ve her bir birime karşılık T adet gözlem yer alır. Kendine has özellikleri olan birçok yatay kesit biriminin yer aldığı panel veri setinde birimlerin özelliklerini yansıtan değişkenler birim etki olarak adlandırılır. Birim etki, birimlere göre değişirken zamana göre sabit bir değişkendir. Zaman boyutu ise zaman etkisi olarak adlandırılır ve bu etki birimlere göre sabit iken zamana göre değişen bir de</w:t>
      </w:r>
      <w:r w:rsidR="004B0523">
        <w:rPr>
          <w:sz w:val="22"/>
          <w:szCs w:val="22"/>
        </w:rPr>
        <w:t>ğişkendir (Wooldridge, 2002:</w:t>
      </w:r>
      <w:r w:rsidRPr="00A97C1D">
        <w:rPr>
          <w:sz w:val="22"/>
          <w:szCs w:val="22"/>
        </w:rPr>
        <w:t>177). Panel veri seti ile değişkenler arasındaki ilişkiler incelenirken hem yatay kesit birimleri arasında hem de zamanlar arası farklılıklar dikkate alınır.</w:t>
      </w:r>
    </w:p>
    <w:p w:rsidR="009C693A" w:rsidRPr="00A97C1D" w:rsidRDefault="009C693A" w:rsidP="00A97C1D">
      <w:pPr>
        <w:spacing w:line="360" w:lineRule="auto"/>
        <w:jc w:val="both"/>
        <w:rPr>
          <w:sz w:val="22"/>
          <w:szCs w:val="22"/>
        </w:rPr>
      </w:pPr>
    </w:p>
    <w:p w:rsidR="007A4029" w:rsidRDefault="007A4029" w:rsidP="00A97C1D">
      <w:pPr>
        <w:spacing w:line="360" w:lineRule="auto"/>
        <w:jc w:val="both"/>
        <w:rPr>
          <w:sz w:val="22"/>
          <w:szCs w:val="22"/>
        </w:rPr>
      </w:pPr>
      <w:r w:rsidRPr="00A97C1D">
        <w:rPr>
          <w:sz w:val="22"/>
          <w:szCs w:val="22"/>
        </w:rPr>
        <w:t>Özellikle ekonomik araştırmalarda panel veri seti kullanımı, geleneksel yatay kesit veya zaman serisi kullanımına göre büyük avantajlar sağlar. Panel veri setleri araştırmacılara çok sayıda veri göstergesi sağlayarak serbestlik derecesini artırıp açıklayıcı değişkenler arasındaki doğrusallığı azaltarak ekonometrik tahminlerin etkinliğini arttıır.  Daha önemlisi boylamsal veriler bir araştırmacının yatay kesit veya zaman serisi veri setleri kullanılarak ele alamayacağı bir dizi önemli ekonomik soruyu analiz etmesine imkân sağlar. Panel veri modelleri, hem yatay kesit hem de zaman serisi içermesi nedeniyle daha karmaşıktır ancak basit bir şekilde tespit edilemeyen etkileri daha iyi tanımlayabilir ve ölçebilir (Baltagi, 2005:4-7; Gujarati, 2003:637-638; Hsiao, 2003: 1-7).</w:t>
      </w:r>
    </w:p>
    <w:p w:rsidR="009C693A" w:rsidRPr="00A97C1D" w:rsidRDefault="009C693A" w:rsidP="00A97C1D">
      <w:pPr>
        <w:spacing w:line="360" w:lineRule="auto"/>
        <w:jc w:val="both"/>
        <w:rPr>
          <w:sz w:val="22"/>
          <w:szCs w:val="22"/>
        </w:rPr>
      </w:pPr>
    </w:p>
    <w:p w:rsidR="00CB0D5D" w:rsidRDefault="003B0706" w:rsidP="00A97C1D">
      <w:pPr>
        <w:spacing w:line="360" w:lineRule="auto"/>
        <w:jc w:val="both"/>
        <w:rPr>
          <w:sz w:val="22"/>
          <w:szCs w:val="22"/>
        </w:rPr>
      </w:pPr>
      <m:oMath>
        <m:sSub>
          <m:sSubPr>
            <m:ctrlPr>
              <w:rPr>
                <w:rFonts w:ascii="Cambria Math" w:hAnsi="Cambria Math" w:cs="Cambria Math"/>
                <w:sz w:val="22"/>
                <w:szCs w:val="22"/>
              </w:rPr>
            </m:ctrlPr>
          </m:sSubPr>
          <m:e>
            <m:r>
              <w:rPr>
                <w:rFonts w:ascii="Cambria Math" w:hAnsi="Cambria Math" w:cs="Cambria Math"/>
                <w:sz w:val="22"/>
                <w:szCs w:val="22"/>
              </w:rPr>
              <m:t>Y</m:t>
            </m:r>
          </m:e>
          <m:sub>
            <m:r>
              <w:rPr>
                <w:rFonts w:ascii="Cambria Math" w:hAnsi="Cambria Math" w:cs="Cambria Math"/>
                <w:sz w:val="22"/>
                <w:szCs w:val="22"/>
              </w:rPr>
              <m:t>it</m:t>
            </m:r>
          </m:sub>
        </m:sSub>
      </m:oMath>
      <w:r w:rsidR="00CB0D5D" w:rsidRPr="00A97C1D">
        <w:rPr>
          <w:sz w:val="22"/>
          <w:szCs w:val="22"/>
        </w:rPr>
        <w:t xml:space="preserve">  ’nin i. birim (</w:t>
      </w:r>
      <m:oMath>
        <m:r>
          <w:rPr>
            <w:rFonts w:ascii="Cambria Math" w:hAnsi="Cambria Math" w:cs="Cambria Math"/>
            <w:sz w:val="22"/>
            <w:szCs w:val="22"/>
          </w:rPr>
          <m:t>i</m:t>
        </m:r>
        <m:r>
          <m:rPr>
            <m:sty m:val="p"/>
          </m:rPr>
          <w:rPr>
            <w:rFonts w:ascii="Cambria Math" w:hAnsi="Cambria Math"/>
            <w:sz w:val="22"/>
            <w:szCs w:val="22"/>
          </w:rPr>
          <m:t xml:space="preserve">=1, … , </m:t>
        </m:r>
        <m:r>
          <w:rPr>
            <w:rFonts w:ascii="Cambria Math" w:hAnsi="Cambria Math" w:cs="Cambria Math"/>
            <w:sz w:val="22"/>
            <w:szCs w:val="22"/>
          </w:rPr>
          <m:t>N</m:t>
        </m:r>
      </m:oMath>
      <w:r w:rsidR="00CB0D5D" w:rsidRPr="00A97C1D">
        <w:rPr>
          <w:sz w:val="22"/>
          <w:szCs w:val="22"/>
        </w:rPr>
        <w:t>) için t zaman dönenimde (</w:t>
      </w:r>
      <m:oMath>
        <m:r>
          <w:rPr>
            <w:rFonts w:ascii="Cambria Math" w:hAnsi="Cambria Math" w:cs="Cambria Math"/>
            <w:sz w:val="22"/>
            <w:szCs w:val="22"/>
          </w:rPr>
          <m:t>t</m:t>
        </m:r>
        <m:r>
          <m:rPr>
            <m:sty m:val="p"/>
          </m:rPr>
          <w:rPr>
            <w:rFonts w:ascii="Cambria Math" w:hAnsi="Cambria Math"/>
            <w:sz w:val="22"/>
            <w:szCs w:val="22"/>
          </w:rPr>
          <m:t xml:space="preserve">=1, …, </m:t>
        </m:r>
        <m:r>
          <w:rPr>
            <w:rFonts w:ascii="Cambria Math" w:hAnsi="Cambria Math"/>
            <w:sz w:val="22"/>
            <w:szCs w:val="22"/>
          </w:rPr>
          <m:t>T</m:t>
        </m:r>
      </m:oMath>
      <w:r w:rsidR="00CB0D5D" w:rsidRPr="00A97C1D">
        <w:rPr>
          <w:sz w:val="22"/>
          <w:szCs w:val="22"/>
        </w:rPr>
        <w:t xml:space="preserve">) aldığı değeri gösterdiği k tane açıklayıcı değişkenli genel bir panel veri modeli Eşitlik (3.2)’te verildiği gibidir.  </w:t>
      </w:r>
    </w:p>
    <w:p w:rsidR="009C693A" w:rsidRPr="00A97C1D" w:rsidRDefault="009C693A" w:rsidP="00A97C1D">
      <w:pPr>
        <w:spacing w:line="360" w:lineRule="auto"/>
        <w:jc w:val="both"/>
        <w:rPr>
          <w:sz w:val="22"/>
          <w:szCs w:val="22"/>
        </w:rPr>
      </w:pPr>
    </w:p>
    <w:p w:rsidR="00CB0D5D" w:rsidRPr="00A97C1D" w:rsidRDefault="003B0706" w:rsidP="009C693A">
      <w:pPr>
        <w:spacing w:line="360" w:lineRule="auto"/>
        <w:jc w:val="right"/>
        <w:rPr>
          <w:sz w:val="22"/>
          <w:szCs w:val="22"/>
        </w:rPr>
      </w:pPr>
      <m:oMath>
        <m:sSub>
          <m:sSubPr>
            <m:ctrlPr>
              <w:rPr>
                <w:rFonts w:ascii="Cambria Math" w:hAnsi="Cambria Math" w:cs="Cambria Math"/>
                <w:sz w:val="22"/>
                <w:szCs w:val="22"/>
              </w:rPr>
            </m:ctrlPr>
          </m:sSubPr>
          <m:e>
            <m:r>
              <w:rPr>
                <w:rFonts w:ascii="Cambria Math" w:hAnsi="Cambria Math" w:cs="Cambria Math"/>
                <w:sz w:val="22"/>
                <w:szCs w:val="22"/>
              </w:rPr>
              <m:t>Y</m:t>
            </m:r>
          </m:e>
          <m:sub>
            <m:r>
              <w:rPr>
                <w:rFonts w:ascii="Cambria Math" w:hAnsi="Cambria Math" w:cs="Cambria Math"/>
                <w:sz w:val="22"/>
                <w:szCs w:val="22"/>
              </w:rPr>
              <m:t>it</m:t>
            </m:r>
          </m:sub>
        </m:sSub>
        <m:r>
          <m:rPr>
            <m:sty m:val="p"/>
          </m:rPr>
          <w:rPr>
            <w:rFonts w:ascii="Cambria Math" w:hAnsi="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α</m:t>
            </m:r>
          </m:e>
          <m:sub>
            <m:r>
              <w:rPr>
                <w:rFonts w:ascii="Cambria Math" w:hAnsi="Cambria Math" w:cs="Cambria Math"/>
                <w:sz w:val="22"/>
                <w:szCs w:val="22"/>
              </w:rPr>
              <m:t>it</m:t>
            </m:r>
          </m:sub>
        </m:sSub>
        <m:r>
          <m:rPr>
            <m:sty m:val="p"/>
          </m:rPr>
          <w:rPr>
            <w:rFonts w:ascii="Cambria Math" w:hAnsi="Cambria Math"/>
            <w:sz w:val="22"/>
            <w:szCs w:val="22"/>
          </w:rPr>
          <m:t xml:space="preserve"> + </m:t>
        </m:r>
        <m:sSub>
          <m:sSubPr>
            <m:ctrlPr>
              <w:rPr>
                <w:rFonts w:ascii="Cambria Math" w:hAnsi="Cambria Math" w:cs="Cambria Math"/>
                <w:sz w:val="22"/>
                <w:szCs w:val="22"/>
              </w:rPr>
            </m:ctrlPr>
          </m:sSubPr>
          <m:e>
            <m:r>
              <w:rPr>
                <w:rFonts w:ascii="Cambria Math" w:hAnsi="Cambria Math" w:cs="Cambria Math"/>
                <w:sz w:val="22"/>
                <w:szCs w:val="22"/>
              </w:rPr>
              <m:t>β</m:t>
            </m:r>
          </m:e>
          <m:sub>
            <m:r>
              <m:rPr>
                <m:sty m:val="p"/>
              </m:rPr>
              <w:rPr>
                <w:rFonts w:ascii="Cambria Math" w:hAnsi="Cambria Math" w:cs="Cambria Math"/>
                <w:sz w:val="22"/>
                <w:szCs w:val="22"/>
              </w:rPr>
              <m:t>k</m:t>
            </m:r>
            <m:r>
              <w:rPr>
                <w:rFonts w:ascii="Cambria Math" w:hAnsi="Cambria Math" w:cs="Cambria Math"/>
                <w:sz w:val="22"/>
                <w:szCs w:val="22"/>
              </w:rPr>
              <m:t>it</m:t>
            </m:r>
          </m:sub>
        </m:sSub>
        <m:sSub>
          <m:sSubPr>
            <m:ctrlPr>
              <w:rPr>
                <w:rFonts w:ascii="Cambria Math" w:hAnsi="Cambria Math" w:cs="Cambria Math"/>
                <w:sz w:val="22"/>
                <w:szCs w:val="22"/>
              </w:rPr>
            </m:ctrlPr>
          </m:sSubPr>
          <m:e>
            <m:r>
              <w:rPr>
                <w:rFonts w:ascii="Cambria Math" w:hAnsi="Cambria Math" w:cs="Cambria Math"/>
                <w:sz w:val="22"/>
                <w:szCs w:val="22"/>
              </w:rPr>
              <m:t>X</m:t>
            </m:r>
          </m:e>
          <m:sub>
            <m:r>
              <m:rPr>
                <m:sty m:val="p"/>
              </m:rPr>
              <w:rPr>
                <w:rFonts w:ascii="Cambria Math" w:hAnsi="Cambria Math" w:cs="Cambria Math"/>
                <w:sz w:val="22"/>
                <w:szCs w:val="22"/>
              </w:rPr>
              <m:t>k</m:t>
            </m:r>
            <m:r>
              <w:rPr>
                <w:rFonts w:ascii="Cambria Math" w:hAnsi="Cambria Math" w:cs="Cambria Math"/>
                <w:sz w:val="22"/>
                <w:szCs w:val="22"/>
              </w:rPr>
              <m:t>it</m:t>
            </m:r>
          </m:sub>
        </m:sSub>
        <m:r>
          <m:rPr>
            <m:sty m:val="p"/>
          </m:rPr>
          <w:rPr>
            <w:rFonts w:ascii="Cambria Math" w:hAnsi="Cambria Math"/>
            <w:sz w:val="22"/>
            <w:szCs w:val="22"/>
          </w:rPr>
          <m:t xml:space="preserve"> + </m:t>
        </m:r>
        <m:sSub>
          <m:sSubPr>
            <m:ctrlPr>
              <w:rPr>
                <w:rFonts w:ascii="Cambria Math" w:hAnsi="Cambria Math" w:cs="Cambria Math"/>
                <w:sz w:val="22"/>
                <w:szCs w:val="22"/>
              </w:rPr>
            </m:ctrlPr>
          </m:sSubPr>
          <m:e>
            <m:r>
              <w:rPr>
                <w:rFonts w:ascii="Cambria Math" w:hAnsi="Cambria Math" w:cs="Cambria Math"/>
                <w:sz w:val="22"/>
                <w:szCs w:val="22"/>
              </w:rPr>
              <m:t>u</m:t>
            </m:r>
          </m:e>
          <m:sub>
            <m:r>
              <w:rPr>
                <w:rFonts w:ascii="Cambria Math" w:hAnsi="Cambria Math" w:cs="Cambria Math"/>
                <w:sz w:val="22"/>
                <w:szCs w:val="22"/>
              </w:rPr>
              <m:t>it</m:t>
            </m:r>
          </m:sub>
        </m:sSub>
      </m:oMath>
      <w:r w:rsidR="00CB0D5D" w:rsidRPr="00A97C1D">
        <w:rPr>
          <w:sz w:val="22"/>
          <w:szCs w:val="22"/>
        </w:rPr>
        <w:tab/>
      </w:r>
      <w:r w:rsidR="00CB0D5D" w:rsidRPr="00A97C1D">
        <w:rPr>
          <w:sz w:val="22"/>
          <w:szCs w:val="22"/>
        </w:rPr>
        <w:tab/>
        <w:t xml:space="preserve">                                       (3.2)</w:t>
      </w:r>
    </w:p>
    <w:p w:rsidR="00CB0D5D" w:rsidRPr="00A97C1D" w:rsidRDefault="00CB0D5D" w:rsidP="00A97C1D">
      <w:pPr>
        <w:spacing w:line="360" w:lineRule="auto"/>
        <w:jc w:val="both"/>
        <w:rPr>
          <w:sz w:val="22"/>
          <w:szCs w:val="22"/>
        </w:rPr>
      </w:pPr>
      <w:r w:rsidRPr="00A97C1D">
        <w:rPr>
          <w:sz w:val="22"/>
          <w:szCs w:val="22"/>
        </w:rPr>
        <w:t xml:space="preserve">Burada </w:t>
      </w:r>
      <m:oMath>
        <m:sSub>
          <m:sSubPr>
            <m:ctrlPr>
              <w:rPr>
                <w:rFonts w:ascii="Cambria Math" w:hAnsi="Cambria Math" w:cs="Cambria Math"/>
                <w:sz w:val="22"/>
                <w:szCs w:val="22"/>
              </w:rPr>
            </m:ctrlPr>
          </m:sSubPr>
          <m:e>
            <m:r>
              <w:rPr>
                <w:rFonts w:ascii="Cambria Math" w:hAnsi="Cambria Math" w:cs="Cambria Math"/>
                <w:sz w:val="22"/>
                <w:szCs w:val="22"/>
              </w:rPr>
              <m:t>u</m:t>
            </m:r>
          </m:e>
          <m:sub>
            <m:r>
              <w:rPr>
                <w:rFonts w:ascii="Cambria Math" w:hAnsi="Cambria Math" w:cs="Cambria Math"/>
                <w:sz w:val="22"/>
                <w:szCs w:val="22"/>
              </w:rPr>
              <m:t>it</m:t>
            </m:r>
          </m:sub>
        </m:sSub>
      </m:oMath>
      <w:r w:rsidRPr="00A97C1D">
        <w:rPr>
          <w:sz w:val="22"/>
          <w:szCs w:val="22"/>
        </w:rPr>
        <w:t xml:space="preserve"> hata terimini ifade etmekte ve tüm zaman ve tüm birimlerde </w:t>
      </w:r>
      <w:r w:rsidRPr="00A97C1D">
        <w:rPr>
          <w:rFonts w:ascii="Cambria Math" w:hAnsi="Cambria Math" w:cs="Cambria Math"/>
          <w:sz w:val="22"/>
          <w:szCs w:val="22"/>
        </w:rPr>
        <w:t>𝑢𝑖𝑡</w:t>
      </w:r>
      <w:r w:rsidRPr="00A97C1D">
        <w:rPr>
          <w:sz w:val="22"/>
          <w:szCs w:val="22"/>
        </w:rPr>
        <w:t>~</w:t>
      </w:r>
      <w:r w:rsidRPr="00A97C1D">
        <w:rPr>
          <w:rFonts w:ascii="Cambria Math" w:hAnsi="Cambria Math" w:cs="Cambria Math"/>
          <w:sz w:val="22"/>
          <w:szCs w:val="22"/>
        </w:rPr>
        <w:t>𝑁</w:t>
      </w:r>
      <w:r w:rsidRPr="00A97C1D">
        <w:rPr>
          <w:sz w:val="22"/>
          <w:szCs w:val="22"/>
        </w:rPr>
        <w:t xml:space="preserve">(0, </w:t>
      </w:r>
      <m:oMath>
        <m:sSubSup>
          <m:sSubSupPr>
            <m:ctrlPr>
              <w:rPr>
                <w:rFonts w:ascii="Cambria Math" w:hAnsi="Cambria Math"/>
                <w:sz w:val="22"/>
                <w:szCs w:val="22"/>
              </w:rPr>
            </m:ctrlPr>
          </m:sSubSupPr>
          <m:e>
            <m:r>
              <w:rPr>
                <w:rFonts w:ascii="Cambria Math" w:hAnsi="Cambria Math"/>
                <w:sz w:val="22"/>
                <w:szCs w:val="22"/>
              </w:rPr>
              <m:t>σ</m:t>
            </m:r>
          </m:e>
          <m:sub>
            <m:r>
              <w:rPr>
                <w:rFonts w:ascii="Cambria Math" w:hAnsi="Cambria Math"/>
                <w:sz w:val="22"/>
                <w:szCs w:val="22"/>
              </w:rPr>
              <m:t>u</m:t>
            </m:r>
          </m:sub>
          <m:sup>
            <m:r>
              <m:rPr>
                <m:sty m:val="p"/>
              </m:rPr>
              <w:rPr>
                <w:rFonts w:ascii="Cambria Math" w:hAnsi="Cambria Math"/>
                <w:sz w:val="22"/>
                <w:szCs w:val="22"/>
              </w:rPr>
              <m:t>2</m:t>
            </m:r>
          </m:sup>
        </m:sSubSup>
      </m:oMath>
      <w:r w:rsidRPr="00A97C1D">
        <w:rPr>
          <w:sz w:val="22"/>
          <w:szCs w:val="22"/>
        </w:rPr>
        <w:t xml:space="preserve">) dağılmına sahiptir. </w:t>
      </w:r>
      <m:oMath>
        <m:sSub>
          <m:sSubPr>
            <m:ctrlPr>
              <w:rPr>
                <w:rFonts w:ascii="Cambria Math" w:hAnsi="Cambria Math" w:cs="Cambria Math"/>
                <w:sz w:val="22"/>
                <w:szCs w:val="22"/>
              </w:rPr>
            </m:ctrlPr>
          </m:sSubPr>
          <m:e>
            <m:r>
              <w:rPr>
                <w:rFonts w:ascii="Cambria Math" w:hAnsi="Cambria Math" w:cs="Cambria Math"/>
                <w:sz w:val="22"/>
                <w:szCs w:val="22"/>
              </w:rPr>
              <m:t>Y</m:t>
            </m:r>
          </m:e>
          <m:sub>
            <m:r>
              <w:rPr>
                <w:rFonts w:ascii="Cambria Math" w:hAnsi="Cambria Math" w:cs="Cambria Math"/>
                <w:sz w:val="22"/>
                <w:szCs w:val="22"/>
              </w:rPr>
              <m:t>it</m:t>
            </m:r>
          </m:sub>
        </m:sSub>
      </m:oMath>
      <w:r w:rsidRPr="00A97C1D">
        <w:rPr>
          <w:sz w:val="22"/>
          <w:szCs w:val="22"/>
        </w:rPr>
        <w:t xml:space="preserve">, </w:t>
      </w:r>
      <w:r w:rsidRPr="00A97C1D">
        <w:rPr>
          <w:rFonts w:ascii="Cambria Math" w:hAnsi="Cambria Math" w:cs="Cambria Math"/>
          <w:sz w:val="22"/>
          <w:szCs w:val="22"/>
        </w:rPr>
        <w:t>𝑖</w:t>
      </w:r>
      <w:r w:rsidRPr="00A97C1D">
        <w:rPr>
          <w:sz w:val="22"/>
          <w:szCs w:val="22"/>
        </w:rPr>
        <w:t xml:space="preserve">’nci yatay kesit biriminin </w:t>
      </w:r>
      <w:r w:rsidRPr="00A97C1D">
        <w:rPr>
          <w:rFonts w:ascii="Cambria Math" w:hAnsi="Cambria Math" w:cs="Cambria Math"/>
          <w:sz w:val="22"/>
          <w:szCs w:val="22"/>
        </w:rPr>
        <w:t>𝑡</w:t>
      </w:r>
      <w:r w:rsidRPr="00A97C1D">
        <w:rPr>
          <w:sz w:val="22"/>
          <w:szCs w:val="22"/>
        </w:rPr>
        <w:t xml:space="preserve"> zamanında bağımlı değişken değerini, </w:t>
      </w:r>
      <m:oMath>
        <m:sSub>
          <m:sSubPr>
            <m:ctrlPr>
              <w:rPr>
                <w:rFonts w:ascii="Cambria Math" w:hAnsi="Cambria Math" w:cs="Cambria Math"/>
                <w:sz w:val="22"/>
                <w:szCs w:val="22"/>
              </w:rPr>
            </m:ctrlPr>
          </m:sSubPr>
          <m:e>
            <m:r>
              <w:rPr>
                <w:rFonts w:ascii="Cambria Math" w:hAnsi="Cambria Math" w:cs="Cambria Math"/>
                <w:sz w:val="22"/>
                <w:szCs w:val="22"/>
              </w:rPr>
              <m:t>X</m:t>
            </m:r>
          </m:e>
          <m:sub>
            <m:r>
              <m:rPr>
                <m:sty m:val="p"/>
              </m:rPr>
              <w:rPr>
                <w:rFonts w:ascii="Cambria Math" w:hAnsi="Cambria Math" w:cs="Cambria Math"/>
                <w:sz w:val="22"/>
                <w:szCs w:val="22"/>
              </w:rPr>
              <m:t>1</m:t>
            </m:r>
            <m:r>
              <w:rPr>
                <w:rFonts w:ascii="Cambria Math" w:hAnsi="Cambria Math" w:cs="Cambria Math"/>
                <w:sz w:val="22"/>
                <w:szCs w:val="22"/>
              </w:rPr>
              <m:t>it</m:t>
            </m:r>
          </m:sub>
        </m:sSub>
        <m:r>
          <m:rPr>
            <m:sty m:val="p"/>
          </m:rPr>
          <w:rPr>
            <w:rFonts w:ascii="Cambria Math" w:hAnsi="Cambria Math" w:cs="Cambria Math"/>
            <w:sz w:val="22"/>
            <w:szCs w:val="22"/>
          </w:rPr>
          <m:t>,….</m:t>
        </m:r>
      </m:oMath>
      <w:r w:rsidRPr="00A97C1D">
        <w:rPr>
          <w:sz w:val="22"/>
          <w:szCs w:val="22"/>
        </w:rPr>
        <w:t xml:space="preserve">, </w:t>
      </w:r>
      <m:oMath>
        <m:sSub>
          <m:sSubPr>
            <m:ctrlPr>
              <w:rPr>
                <w:rFonts w:ascii="Cambria Math" w:hAnsi="Cambria Math" w:cs="Cambria Math"/>
                <w:sz w:val="22"/>
                <w:szCs w:val="22"/>
              </w:rPr>
            </m:ctrlPr>
          </m:sSubPr>
          <m:e>
            <m:r>
              <w:rPr>
                <w:rFonts w:ascii="Cambria Math" w:hAnsi="Cambria Math" w:cs="Cambria Math"/>
                <w:sz w:val="22"/>
                <w:szCs w:val="22"/>
              </w:rPr>
              <m:t>X</m:t>
            </m:r>
          </m:e>
          <m:sub>
            <m:r>
              <w:rPr>
                <w:rFonts w:ascii="Cambria Math" w:hAnsi="Cambria Math" w:cs="Cambria Math"/>
                <w:sz w:val="22"/>
                <w:szCs w:val="22"/>
              </w:rPr>
              <m:t>kit</m:t>
            </m:r>
          </m:sub>
        </m:sSub>
      </m:oMath>
      <w:r w:rsidRPr="00A97C1D">
        <w:rPr>
          <w:sz w:val="22"/>
          <w:szCs w:val="22"/>
        </w:rPr>
        <w:t xml:space="preserve"> k tane bağımsız değişkenin t zamanına ait i’nci birim değerini, </w:t>
      </w:r>
      <m:oMath>
        <m:sSub>
          <m:sSubPr>
            <m:ctrlPr>
              <w:rPr>
                <w:rFonts w:ascii="Cambria Math" w:hAnsi="Cambria Math" w:cs="Cambria Math"/>
                <w:sz w:val="22"/>
                <w:szCs w:val="22"/>
              </w:rPr>
            </m:ctrlPr>
          </m:sSubPr>
          <m:e>
            <m:r>
              <w:rPr>
                <w:rFonts w:ascii="Cambria Math" w:hAnsi="Cambria Math" w:cs="Cambria Math"/>
                <w:sz w:val="22"/>
                <w:szCs w:val="22"/>
              </w:rPr>
              <m:t>β</m:t>
            </m:r>
          </m:e>
          <m:sub>
            <m:r>
              <m:rPr>
                <m:sty m:val="p"/>
              </m:rPr>
              <w:rPr>
                <w:rFonts w:ascii="Cambria Math" w:hAnsi="Cambria Math" w:cs="Cambria Math"/>
                <w:sz w:val="22"/>
                <w:szCs w:val="22"/>
              </w:rPr>
              <m:t>k</m:t>
            </m:r>
            <m:r>
              <w:rPr>
                <w:rFonts w:ascii="Cambria Math" w:hAnsi="Cambria Math" w:cs="Cambria Math"/>
                <w:sz w:val="22"/>
                <w:szCs w:val="22"/>
              </w:rPr>
              <m:t>it</m:t>
            </m:r>
          </m:sub>
        </m:sSub>
      </m:oMath>
      <w:r w:rsidRPr="00A97C1D">
        <w:rPr>
          <w:sz w:val="22"/>
          <w:szCs w:val="22"/>
        </w:rPr>
        <w:t xml:space="preserve"> ise eğim katsayılarını göstermektedir  (Baltagi, 2005:11). </w:t>
      </w:r>
    </w:p>
    <w:p w:rsidR="00A97C1D" w:rsidRDefault="00CB0D5D" w:rsidP="00A97C1D">
      <w:pPr>
        <w:spacing w:line="360" w:lineRule="auto"/>
        <w:jc w:val="both"/>
        <w:rPr>
          <w:sz w:val="22"/>
          <w:szCs w:val="22"/>
        </w:rPr>
      </w:pPr>
      <w:r w:rsidRPr="00A97C1D">
        <w:rPr>
          <w:sz w:val="22"/>
          <w:szCs w:val="22"/>
        </w:rPr>
        <w:t>Panel veri modelleri klasik model, sabit katsayılı modeller ve tesadüfi katsayılı model olmak üzere üç gruba ayrılmaktadır.</w:t>
      </w:r>
      <w:r w:rsidR="00A97C1D" w:rsidRPr="00A97C1D">
        <w:rPr>
          <w:sz w:val="22"/>
          <w:szCs w:val="22"/>
        </w:rPr>
        <w:t xml:space="preserve"> Klasik modelde birim etkisinin ve zaman etkisinin olmadığı varsayılır bu nedenle tüm birimler için tek bir model tahmin edilir. Sabit etkiler modelinde, sabit terimi birimlere veya zamana ya da hem birimlere hem de zamana göre değişmekte eğim katsayıları ise tüm birimlerde ve zamanda aynı kalmaktadır.  Böylelikle birimlerin davranışlarındaki farklılıklar sabit terimde ortaya çıkan farklılıklarla açıklanmaktadır  (Pazarlıoğlu ve Güler, 2007:38). Sabit etkiler modeli için genel gösterim eşitlik (3.3) şeklinde olmaktadır. </w:t>
      </w:r>
    </w:p>
    <w:p w:rsidR="00CC14B3" w:rsidRPr="00A97C1D" w:rsidRDefault="00CC14B3" w:rsidP="00A97C1D">
      <w:pPr>
        <w:spacing w:line="360" w:lineRule="auto"/>
        <w:jc w:val="both"/>
        <w:rPr>
          <w:sz w:val="22"/>
          <w:szCs w:val="22"/>
        </w:rPr>
      </w:pPr>
    </w:p>
    <w:p w:rsidR="00A97C1D" w:rsidRPr="00CC14B3" w:rsidRDefault="003B0706" w:rsidP="00A97C1D">
      <w:pPr>
        <w:spacing w:line="360" w:lineRule="auto"/>
        <w:jc w:val="both"/>
        <w:rPr>
          <w:sz w:val="22"/>
          <w:szCs w:val="22"/>
        </w:rPr>
      </w:pPr>
      <m:oMathPara>
        <m:oMathParaPr>
          <m:jc m:val="right"/>
        </m:oMathParaPr>
        <m:oMath>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it</m:t>
              </m:r>
            </m:sub>
          </m:sSub>
          <m:r>
            <m:rPr>
              <m:sty m:val="p"/>
            </m:rPr>
            <w:rPr>
              <w:rFonts w:ascii="Cambria Math" w:hAnsi="Cambria Math"/>
              <w:sz w:val="22"/>
              <w:szCs w:val="22"/>
            </w:rPr>
            <m:t>=</m:t>
          </m:r>
          <m:r>
            <w:rPr>
              <w:rFonts w:ascii="Cambria Math" w:hAnsi="Cambria Math"/>
              <w:sz w:val="22"/>
              <w:szCs w:val="22"/>
            </w:rPr>
            <m:t>α</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1</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X</m:t>
              </m:r>
            </m:e>
            <m:sub>
              <m:r>
                <m:rPr>
                  <m:sty m:val="p"/>
                </m:rPr>
                <w:rPr>
                  <w:rFonts w:ascii="Cambria Math" w:hAnsi="Cambria Math"/>
                  <w:sz w:val="22"/>
                  <w:szCs w:val="22"/>
                </w:rPr>
                <m:t>1</m:t>
              </m:r>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1</m:t>
              </m:r>
              <m:r>
                <w:rPr>
                  <w:rFonts w:ascii="Cambria Math" w:hAnsi="Cambria Math"/>
                  <w:sz w:val="22"/>
                  <w:szCs w:val="22"/>
                </w:rPr>
                <m:t>it</m:t>
              </m:r>
            </m:sub>
          </m:sSub>
          <m:sSub>
            <m:sSubPr>
              <m:ctrlPr>
                <w:rPr>
                  <w:rFonts w:ascii="Cambria Math" w:hAnsi="Cambria Math"/>
                  <w:sz w:val="22"/>
                  <w:szCs w:val="22"/>
                </w:rPr>
              </m:ctrlPr>
            </m:sSubPr>
            <m:e>
              <m:r>
                <w:rPr>
                  <w:rFonts w:ascii="Cambria Math" w:hAnsi="Cambria Math"/>
                  <w:sz w:val="22"/>
                  <w:szCs w:val="22"/>
                </w:rPr>
                <m:t>X</m:t>
              </m:r>
            </m:e>
            <m:sub>
              <m:r>
                <m:rPr>
                  <m:sty m:val="p"/>
                </m:rPr>
                <w:rPr>
                  <w:rFonts w:ascii="Cambria Math" w:hAnsi="Cambria Math"/>
                  <w:sz w:val="22"/>
                  <w:szCs w:val="22"/>
                </w:rPr>
                <m:t>1</m:t>
              </m:r>
              <m:r>
                <w:rPr>
                  <w:rFonts w:ascii="Cambria Math" w:hAnsi="Cambria Math"/>
                  <w:sz w:val="22"/>
                  <w:szCs w:val="22"/>
                </w:rPr>
                <m:t>it</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rPr>
                <m:t>kit</m:t>
              </m:r>
            </m:sub>
          </m:sSub>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kit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it</m:t>
              </m:r>
            </m:sub>
          </m:sSub>
          <m:r>
            <m:rPr>
              <m:sty m:val="p"/>
            </m:rPr>
            <w:rPr>
              <w:rFonts w:ascii="Cambria Math" w:hAnsi="Cambria Math"/>
              <w:sz w:val="22"/>
              <w:szCs w:val="22"/>
            </w:rPr>
            <m:t xml:space="preserve">                           (3.3)</m:t>
          </m:r>
        </m:oMath>
      </m:oMathPara>
    </w:p>
    <w:p w:rsidR="00CC14B3" w:rsidRPr="00A97C1D" w:rsidRDefault="00CC14B3" w:rsidP="00A97C1D">
      <w:pPr>
        <w:spacing w:line="360" w:lineRule="auto"/>
        <w:jc w:val="both"/>
        <w:rPr>
          <w:sz w:val="22"/>
          <w:szCs w:val="22"/>
        </w:rPr>
      </w:pPr>
    </w:p>
    <w:p w:rsidR="00A97C1D" w:rsidRDefault="00A97C1D" w:rsidP="00A97C1D">
      <w:pPr>
        <w:spacing w:line="360" w:lineRule="auto"/>
        <w:jc w:val="both"/>
        <w:rPr>
          <w:sz w:val="22"/>
          <w:szCs w:val="22"/>
        </w:rPr>
      </w:pPr>
      <w:r w:rsidRPr="00A97C1D">
        <w:rPr>
          <w:sz w:val="22"/>
          <w:szCs w:val="22"/>
        </w:rPr>
        <w:t xml:space="preserve">Tesadüfi etkiler modeli her bir yatay kesit ve zamana ait sabit bir katsayının bulunmadığı ve bu etkilerin rastsal bir değişken olarak ele alındığı modellerdir. Kurulan modelde bağımlı değişken üzerinde etkisi bulunan ancak modele yer almayan bağımsız değişkenlere ait etkilerin hata teriminde rastgele bir şekilde yer alacağı varsayılır. Bu modelde gözlenemeyen rastsal etki terimi ile birlikte gözlenemeyen rastsal zaman etki terimi de modelde yer alır. </w:t>
      </w:r>
    </w:p>
    <w:p w:rsidR="00CC14B3" w:rsidRPr="00A97C1D" w:rsidRDefault="00CC14B3" w:rsidP="00A97C1D">
      <w:pPr>
        <w:spacing w:line="360" w:lineRule="auto"/>
        <w:jc w:val="both"/>
        <w:rPr>
          <w:sz w:val="22"/>
          <w:szCs w:val="22"/>
        </w:rPr>
      </w:pPr>
    </w:p>
    <w:p w:rsidR="00A97C1D" w:rsidRPr="00A97C1D" w:rsidRDefault="003B0706" w:rsidP="00CC14B3">
      <w:pPr>
        <w:spacing w:line="360" w:lineRule="auto"/>
        <w:jc w:val="right"/>
        <w:rPr>
          <w:sz w:val="22"/>
          <w:szCs w:val="22"/>
        </w:rPr>
      </w:pPr>
      <m:oMath>
        <m:sSub>
          <m:sSubPr>
            <m:ctrlPr>
              <w:rPr>
                <w:rFonts w:ascii="Cambria Math" w:hAnsi="Cambria Math" w:cs="Cambria Math"/>
                <w:sz w:val="22"/>
                <w:szCs w:val="22"/>
              </w:rPr>
            </m:ctrlPr>
          </m:sSubPr>
          <m:e>
            <m:r>
              <w:rPr>
                <w:rFonts w:ascii="Cambria Math" w:hAnsi="Cambria Math" w:cs="Cambria Math"/>
                <w:sz w:val="22"/>
                <w:szCs w:val="22"/>
              </w:rPr>
              <m:t>y</m:t>
            </m:r>
          </m:e>
          <m:sub>
            <m:r>
              <w:rPr>
                <w:rFonts w:ascii="Cambria Math" w:hAnsi="Cambria Math" w:cs="Cambria Math"/>
                <w:sz w:val="22"/>
                <w:szCs w:val="22"/>
              </w:rPr>
              <m:t>it</m:t>
            </m:r>
          </m:sub>
        </m:sSub>
        <m:r>
          <m:rPr>
            <m:sty m:val="p"/>
          </m:rPr>
          <w:rPr>
            <w:rFonts w:ascii="Cambria Math" w:hAnsi="Cambria Math"/>
            <w:sz w:val="22"/>
            <w:szCs w:val="22"/>
          </w:rPr>
          <m:t>=</m:t>
        </m:r>
        <m:r>
          <w:rPr>
            <w:rFonts w:ascii="Cambria Math" w:hAnsi="Cambria Math" w:cs="Cambria Math"/>
            <w:sz w:val="22"/>
            <w:szCs w:val="22"/>
          </w:rPr>
          <m:t>α</m:t>
        </m:r>
        <m:r>
          <m:rPr>
            <m:sty m:val="p"/>
          </m:rPr>
          <w:rPr>
            <w:rFonts w:ascii="Cambria Math" w:hAnsi="Cambria Math"/>
            <w:sz w:val="22"/>
            <w:szCs w:val="22"/>
          </w:rPr>
          <m:t>+β</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it</m:t>
            </m:r>
          </m:sub>
        </m:sSub>
        <m:r>
          <m:rPr>
            <m:sty m:val="p"/>
          </m:rPr>
          <w:rPr>
            <w:rFonts w:ascii="Cambria Math" w:hAnsi="Cambria Math"/>
            <w:sz w:val="22"/>
            <w:szCs w:val="22"/>
          </w:rPr>
          <m:t xml:space="preserve"> +</m:t>
        </m:r>
        <m:sSub>
          <m:sSubPr>
            <m:ctrlPr>
              <w:rPr>
                <w:rFonts w:ascii="Cambria Math" w:hAnsi="Cambria Math" w:cs="Cambria Math"/>
                <w:sz w:val="22"/>
                <w:szCs w:val="22"/>
              </w:rPr>
            </m:ctrlPr>
          </m:sSubPr>
          <m:e>
            <m:r>
              <w:rPr>
                <w:rFonts w:ascii="Cambria Math" w:hAnsi="Cambria Math" w:cs="Cambria Math"/>
                <w:sz w:val="22"/>
                <w:szCs w:val="22"/>
              </w:rPr>
              <m:t>u</m:t>
            </m:r>
          </m:e>
          <m:sub>
            <m:r>
              <w:rPr>
                <w:rFonts w:ascii="Cambria Math" w:hAnsi="Cambria Math" w:cs="Cambria Math"/>
                <w:sz w:val="22"/>
                <w:szCs w:val="22"/>
              </w:rPr>
              <m:t>it</m:t>
            </m:r>
          </m:sub>
        </m:sSub>
        <m:r>
          <m:rPr>
            <m:sty m:val="p"/>
          </m:rPr>
          <w:rPr>
            <w:rFonts w:ascii="Cambria Math" w:hAnsi="Cambria Math"/>
            <w:sz w:val="22"/>
            <w:szCs w:val="22"/>
          </w:rPr>
          <m:t xml:space="preserve"> </m:t>
        </m:r>
        <m:r>
          <m:rPr>
            <m:sty m:val="p"/>
          </m:rPr>
          <w:rPr>
            <w:rFonts w:ascii="Cambria Math" w:hAnsi="Cambria Math" w:cs="Cambria Math"/>
            <w:sz w:val="22"/>
            <w:szCs w:val="22"/>
          </w:rPr>
          <m:t xml:space="preserve">             </m:t>
        </m:r>
      </m:oMath>
      <w:r w:rsidR="00A97C1D" w:rsidRPr="00A97C1D">
        <w:rPr>
          <w:sz w:val="22"/>
          <w:szCs w:val="22"/>
        </w:rPr>
        <w:t xml:space="preserve">                </w:t>
      </w:r>
      <w:r w:rsidR="00CC14B3">
        <w:rPr>
          <w:sz w:val="22"/>
          <w:szCs w:val="22"/>
        </w:rPr>
        <w:t xml:space="preserve">        </w:t>
      </w:r>
      <w:r w:rsidR="00A97C1D" w:rsidRPr="00A97C1D">
        <w:rPr>
          <w:sz w:val="22"/>
          <w:szCs w:val="22"/>
        </w:rPr>
        <w:t xml:space="preserve">                     (3.4)</w:t>
      </w:r>
    </w:p>
    <w:p w:rsidR="00A97C1D" w:rsidRPr="00A97C1D" w:rsidRDefault="003B0706" w:rsidP="00A97C1D">
      <w:pPr>
        <w:spacing w:line="360" w:lineRule="auto"/>
        <w:jc w:val="both"/>
        <w:rPr>
          <w:sz w:val="22"/>
          <w:szCs w:val="22"/>
        </w:rPr>
      </w:pPr>
      <m:oMathPara>
        <m:oMath>
          <m:sSub>
            <m:sSubPr>
              <m:ctrlPr>
                <w:rPr>
                  <w:rFonts w:ascii="Cambria Math" w:hAnsi="Cambria Math" w:cs="Cambria Math"/>
                  <w:sz w:val="22"/>
                  <w:szCs w:val="22"/>
                </w:rPr>
              </m:ctrlPr>
            </m:sSubPr>
            <m:e>
              <m:r>
                <w:rPr>
                  <w:rFonts w:ascii="Cambria Math" w:hAnsi="Cambria Math" w:cs="Cambria Math"/>
                  <w:sz w:val="22"/>
                  <w:szCs w:val="22"/>
                </w:rPr>
                <m:t>u</m:t>
              </m:r>
            </m:e>
            <m:sub>
              <m:r>
                <w:rPr>
                  <w:rFonts w:ascii="Cambria Math" w:hAnsi="Cambria Math" w:cs="Cambria Math"/>
                  <w:sz w:val="22"/>
                  <w:szCs w:val="22"/>
                </w:rPr>
                <m:t>it</m:t>
              </m:r>
            </m:sub>
          </m:sSub>
          <m:r>
            <m:rPr>
              <m:sty m:val="p"/>
            </m:rPr>
            <w:rPr>
              <w:rFonts w:ascii="Cambria Math" w:hAnsi="Cambria Math" w:cs="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μ</m:t>
              </m:r>
            </m:e>
            <m:sub>
              <m:r>
                <w:rPr>
                  <w:rFonts w:ascii="Cambria Math" w:hAnsi="Cambria Math" w:cs="Cambria Math"/>
                  <w:sz w:val="22"/>
                  <w:szCs w:val="22"/>
                </w:rPr>
                <m:t>i</m:t>
              </m:r>
            </m:sub>
          </m:sSub>
          <m:r>
            <m:rPr>
              <m:sty m:val="p"/>
            </m:rPr>
            <w:rPr>
              <w:rFonts w:ascii="Cambria Math" w:hAnsi="Cambria Math" w:cs="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λ</m:t>
              </m:r>
            </m:e>
            <m:sub>
              <m:r>
                <w:rPr>
                  <w:rFonts w:ascii="Cambria Math" w:hAnsi="Cambria Math" w:cs="Cambria Math"/>
                  <w:sz w:val="22"/>
                  <w:szCs w:val="22"/>
                </w:rPr>
                <m:t>t</m:t>
              </m:r>
            </m:sub>
          </m:sSub>
          <m:r>
            <m:rPr>
              <m:sty m:val="p"/>
            </m:rPr>
            <w:rPr>
              <w:rFonts w:ascii="Cambria Math" w:hAnsi="Cambria Math" w:cs="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v</m:t>
              </m:r>
            </m:e>
            <m:sub>
              <m:r>
                <w:rPr>
                  <w:rFonts w:ascii="Cambria Math" w:hAnsi="Cambria Math" w:cs="Cambria Math"/>
                  <w:sz w:val="22"/>
                  <w:szCs w:val="22"/>
                </w:rPr>
                <m:t>it</m:t>
              </m:r>
            </m:sub>
          </m:sSub>
        </m:oMath>
      </m:oMathPara>
    </w:p>
    <w:p w:rsidR="00A97C1D" w:rsidRDefault="003B0706" w:rsidP="00CC14B3">
      <w:pPr>
        <w:spacing w:line="360" w:lineRule="auto"/>
        <w:jc w:val="right"/>
        <w:rPr>
          <w:sz w:val="22"/>
          <w:szCs w:val="22"/>
        </w:rPr>
      </w:pPr>
      <m:oMath>
        <m:sSub>
          <m:sSubPr>
            <m:ctrlPr>
              <w:rPr>
                <w:rFonts w:ascii="Cambria Math" w:hAnsi="Cambria Math" w:cs="Cambria Math"/>
                <w:sz w:val="22"/>
                <w:szCs w:val="22"/>
              </w:rPr>
            </m:ctrlPr>
          </m:sSubPr>
          <m:e>
            <m:r>
              <w:rPr>
                <w:rFonts w:ascii="Cambria Math" w:hAnsi="Cambria Math" w:cs="Cambria Math"/>
                <w:sz w:val="22"/>
                <w:szCs w:val="22"/>
              </w:rPr>
              <m:t>y</m:t>
            </m:r>
          </m:e>
          <m:sub>
            <m:r>
              <w:rPr>
                <w:rFonts w:ascii="Cambria Math" w:hAnsi="Cambria Math" w:cs="Cambria Math"/>
                <w:sz w:val="22"/>
                <w:szCs w:val="22"/>
              </w:rPr>
              <m:t>it</m:t>
            </m:r>
          </m:sub>
        </m:sSub>
        <m:r>
          <m:rPr>
            <m:sty m:val="p"/>
          </m:rPr>
          <w:rPr>
            <w:rFonts w:ascii="Cambria Math" w:hAnsi="Cambria Math"/>
            <w:sz w:val="22"/>
            <w:szCs w:val="22"/>
          </w:rPr>
          <m:t>=</m:t>
        </m:r>
        <m:r>
          <w:rPr>
            <w:rFonts w:ascii="Cambria Math" w:hAnsi="Cambria Math" w:cs="Cambria Math"/>
            <w:sz w:val="22"/>
            <w:szCs w:val="22"/>
          </w:rPr>
          <m:t>α</m:t>
        </m:r>
        <m:r>
          <m:rPr>
            <m:sty m:val="p"/>
          </m:rPr>
          <w:rPr>
            <w:rFonts w:ascii="Cambria Math" w:hAnsi="Cambria Math" w:cs="Cambria Math"/>
            <w:sz w:val="22"/>
            <w:szCs w:val="22"/>
          </w:rPr>
          <m:t>+</m:t>
        </m:r>
        <m:r>
          <m:rPr>
            <m:sty m:val="p"/>
          </m:rPr>
          <w:rPr>
            <w:rFonts w:ascii="Cambria Math" w:hAnsi="Cambria Math"/>
            <w:sz w:val="22"/>
            <w:szCs w:val="22"/>
          </w:rPr>
          <m:t>β</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it</m:t>
            </m:r>
          </m:sub>
        </m:sSub>
        <m:r>
          <m:rPr>
            <m:sty m:val="p"/>
          </m:rPr>
          <w:rPr>
            <w:rFonts w:ascii="Cambria Math" w:hAnsi="Cambria Math" w:cs="Cambria Math"/>
            <w:sz w:val="22"/>
            <w:szCs w:val="22"/>
          </w:rPr>
          <m:t xml:space="preserve">+ </m:t>
        </m:r>
        <m:sSub>
          <m:sSubPr>
            <m:ctrlPr>
              <w:rPr>
                <w:rFonts w:ascii="Cambria Math" w:hAnsi="Cambria Math" w:cs="Cambria Math"/>
                <w:sz w:val="22"/>
                <w:szCs w:val="22"/>
              </w:rPr>
            </m:ctrlPr>
          </m:sSubPr>
          <m:e>
            <m:r>
              <w:rPr>
                <w:rFonts w:ascii="Cambria Math" w:hAnsi="Cambria Math" w:cs="Cambria Math"/>
                <w:sz w:val="22"/>
                <w:szCs w:val="22"/>
              </w:rPr>
              <m:t>μ</m:t>
            </m:r>
          </m:e>
          <m:sub>
            <m:r>
              <w:rPr>
                <w:rFonts w:ascii="Cambria Math" w:hAnsi="Cambria Math" w:cs="Cambria Math"/>
                <w:sz w:val="22"/>
                <w:szCs w:val="22"/>
              </w:rPr>
              <m:t>i</m:t>
            </m:r>
          </m:sub>
        </m:sSub>
        <m:r>
          <m:rPr>
            <m:sty m:val="p"/>
          </m:rPr>
          <w:rPr>
            <w:rFonts w:ascii="Cambria Math" w:hAnsi="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λ</m:t>
            </m:r>
          </m:e>
          <m:sub>
            <m:r>
              <w:rPr>
                <w:rFonts w:ascii="Cambria Math" w:hAnsi="Cambria Math" w:cs="Cambria Math"/>
                <w:sz w:val="22"/>
                <w:szCs w:val="22"/>
              </w:rPr>
              <m:t>t</m:t>
            </m:r>
          </m:sub>
        </m:sSub>
        <m:r>
          <m:rPr>
            <m:sty m:val="p"/>
          </m:rPr>
          <w:rPr>
            <w:rFonts w:ascii="Cambria Math" w:hAnsi="Cambria Math"/>
            <w:sz w:val="22"/>
            <w:szCs w:val="22"/>
          </w:rPr>
          <m:t>+</m:t>
        </m:r>
        <m:sSub>
          <m:sSubPr>
            <m:ctrlPr>
              <w:rPr>
                <w:rFonts w:ascii="Cambria Math" w:hAnsi="Cambria Math" w:cs="Cambria Math"/>
                <w:sz w:val="22"/>
                <w:szCs w:val="22"/>
              </w:rPr>
            </m:ctrlPr>
          </m:sSubPr>
          <m:e>
            <m:r>
              <w:rPr>
                <w:rFonts w:ascii="Cambria Math" w:hAnsi="Cambria Math" w:cs="Cambria Math"/>
                <w:sz w:val="22"/>
                <w:szCs w:val="22"/>
              </w:rPr>
              <m:t>v</m:t>
            </m:r>
          </m:e>
          <m:sub>
            <m:r>
              <w:rPr>
                <w:rFonts w:ascii="Cambria Math" w:hAnsi="Cambria Math" w:cs="Cambria Math"/>
                <w:sz w:val="22"/>
                <w:szCs w:val="22"/>
              </w:rPr>
              <m:t>it</m:t>
            </m:r>
            <m:r>
              <m:rPr>
                <m:sty m:val="p"/>
              </m:rPr>
              <w:rPr>
                <w:rFonts w:ascii="Cambria Math" w:hAnsi="Cambria Math" w:cs="Cambria Math"/>
                <w:sz w:val="22"/>
                <w:szCs w:val="22"/>
              </w:rPr>
              <m:t xml:space="preserve"> </m:t>
            </m:r>
          </m:sub>
        </m:sSub>
        <m:r>
          <m:rPr>
            <m:sty m:val="p"/>
          </m:rPr>
          <w:rPr>
            <w:rFonts w:ascii="Cambria Math" w:hAnsi="Cambria Math"/>
            <w:sz w:val="22"/>
            <w:szCs w:val="22"/>
          </w:rPr>
          <m:t xml:space="preserve">              </m:t>
        </m:r>
        <m:r>
          <w:rPr>
            <w:rFonts w:ascii="Cambria Math" w:hAnsi="Cambria Math" w:cs="Cambria Math"/>
            <w:sz w:val="22"/>
            <w:szCs w:val="22"/>
          </w:rPr>
          <m:t>i</m:t>
        </m:r>
        <m:r>
          <m:rPr>
            <m:sty m:val="p"/>
          </m:rPr>
          <w:rPr>
            <w:rFonts w:ascii="Cambria Math" w:hAnsi="Cambria Math"/>
            <w:sz w:val="22"/>
            <w:szCs w:val="22"/>
          </w:rPr>
          <m:t xml:space="preserve"> = 1, … , </m:t>
        </m:r>
        <m:r>
          <w:rPr>
            <w:rFonts w:ascii="Cambria Math" w:hAnsi="Cambria Math" w:cs="Cambria Math"/>
            <w:sz w:val="22"/>
            <w:szCs w:val="22"/>
          </w:rPr>
          <m:t>N</m:t>
        </m:r>
        <m:r>
          <m:rPr>
            <m:sty m:val="p"/>
          </m:rPr>
          <w:rPr>
            <w:rFonts w:ascii="Cambria Math" w:hAnsi="Cambria Math"/>
            <w:sz w:val="22"/>
            <w:szCs w:val="22"/>
          </w:rPr>
          <m:t xml:space="preserve"> ; </m:t>
        </m:r>
        <m:r>
          <w:rPr>
            <w:rFonts w:ascii="Cambria Math" w:hAnsi="Cambria Math" w:cs="Cambria Math"/>
            <w:sz w:val="22"/>
            <w:szCs w:val="22"/>
          </w:rPr>
          <m:t>t</m:t>
        </m:r>
        <m:r>
          <m:rPr>
            <m:sty m:val="p"/>
          </m:rPr>
          <w:rPr>
            <w:rFonts w:ascii="Cambria Math" w:hAnsi="Cambria Math"/>
            <w:sz w:val="22"/>
            <w:szCs w:val="22"/>
          </w:rPr>
          <m:t xml:space="preserve"> = 1, … , </m:t>
        </m:r>
        <m:r>
          <w:rPr>
            <w:rFonts w:ascii="Cambria Math" w:hAnsi="Cambria Math"/>
            <w:sz w:val="22"/>
            <w:szCs w:val="22"/>
          </w:rPr>
          <m:t>T</m:t>
        </m:r>
      </m:oMath>
      <w:r w:rsidR="00A97C1D" w:rsidRPr="00A97C1D">
        <w:rPr>
          <w:sz w:val="22"/>
          <w:szCs w:val="22"/>
        </w:rPr>
        <w:t xml:space="preserve">                (3.5)</w:t>
      </w:r>
    </w:p>
    <w:p w:rsidR="00CC14B3" w:rsidRPr="00A97C1D" w:rsidRDefault="00CC14B3" w:rsidP="00CC14B3">
      <w:pPr>
        <w:spacing w:line="360" w:lineRule="auto"/>
        <w:jc w:val="right"/>
        <w:rPr>
          <w:sz w:val="22"/>
          <w:szCs w:val="22"/>
        </w:rPr>
      </w:pPr>
    </w:p>
    <w:p w:rsidR="00A97C1D" w:rsidRDefault="00A97C1D" w:rsidP="00A97C1D">
      <w:pPr>
        <w:spacing w:line="360" w:lineRule="auto"/>
        <w:jc w:val="both"/>
        <w:rPr>
          <w:sz w:val="22"/>
          <w:szCs w:val="22"/>
        </w:rPr>
      </w:pPr>
      <w:r w:rsidRPr="00A97C1D">
        <w:rPr>
          <w:sz w:val="22"/>
          <w:szCs w:val="22"/>
        </w:rPr>
        <w:t>Tesadüfi etkiler modelinde birimlere veya birimlere ve zaman göre oluşan farklılıklar sabit etkiler modelinde yaşanılan serbestlik derecesi sorunun aşabilmek için hata teriminin bir parçası olarak yer almaktadır.</w:t>
      </w:r>
    </w:p>
    <w:p w:rsidR="00DB73E0" w:rsidRDefault="00DB73E0" w:rsidP="00A97C1D">
      <w:pPr>
        <w:spacing w:line="360" w:lineRule="auto"/>
        <w:jc w:val="both"/>
        <w:rPr>
          <w:sz w:val="22"/>
          <w:szCs w:val="22"/>
        </w:rPr>
      </w:pPr>
    </w:p>
    <w:p w:rsidR="00DB73E0" w:rsidRDefault="00DB73E0" w:rsidP="00DB73E0">
      <w:pPr>
        <w:spacing w:line="360" w:lineRule="auto"/>
        <w:jc w:val="both"/>
        <w:rPr>
          <w:sz w:val="22"/>
          <w:szCs w:val="22"/>
        </w:rPr>
      </w:pPr>
      <w:r w:rsidRPr="00D04920">
        <w:rPr>
          <w:sz w:val="22"/>
          <w:szCs w:val="22"/>
        </w:rPr>
        <w:t>Panel veri modellerinden havuzlanmış model, sabit etkiler ve tesadüfi etkiler modellerinden hangisinin kullanılacağına karar vermek amacıyla Hausman testi, Breusc</w:t>
      </w:r>
      <w:r w:rsidR="00D04920">
        <w:rPr>
          <w:sz w:val="22"/>
          <w:szCs w:val="22"/>
        </w:rPr>
        <w:t xml:space="preserve">h-Pagan testi ve Chow testleri geliştirilmiştir. </w:t>
      </w:r>
      <w:r w:rsidRPr="00D04920">
        <w:rPr>
          <w:sz w:val="22"/>
          <w:szCs w:val="22"/>
        </w:rPr>
        <w:t xml:space="preserve">Breush-Pagan Testi ile havuz model ile tesadüfi etkiler modeli arasında, Hausmann Testi </w:t>
      </w:r>
      <w:r w:rsidRPr="00D04920">
        <w:rPr>
          <w:sz w:val="22"/>
          <w:szCs w:val="22"/>
        </w:rPr>
        <w:lastRenderedPageBreak/>
        <w:t>ile sabit etkiler modeli ile tesadüfi etkiler modeli arasında, Chow Testi ile ise havuzlanmış model ile sabit etkiler mode</w:t>
      </w:r>
      <w:r w:rsidR="00D04920">
        <w:rPr>
          <w:sz w:val="22"/>
          <w:szCs w:val="22"/>
        </w:rPr>
        <w:t xml:space="preserve">li arasında seçim yapılabilmesini sağlamaktadır. </w:t>
      </w:r>
    </w:p>
    <w:p w:rsidR="004245D2" w:rsidRDefault="004245D2" w:rsidP="00DB73E0">
      <w:pPr>
        <w:spacing w:line="360" w:lineRule="auto"/>
        <w:jc w:val="both"/>
        <w:rPr>
          <w:sz w:val="22"/>
          <w:szCs w:val="22"/>
        </w:rPr>
      </w:pPr>
    </w:p>
    <w:p w:rsidR="004245D2" w:rsidRDefault="004245D2" w:rsidP="004245D2">
      <w:pPr>
        <w:spacing w:line="360" w:lineRule="auto"/>
        <w:jc w:val="both"/>
        <w:rPr>
          <w:sz w:val="22"/>
          <w:szCs w:val="22"/>
        </w:rPr>
      </w:pPr>
      <w:r w:rsidRPr="004245D2">
        <w:rPr>
          <w:sz w:val="22"/>
          <w:szCs w:val="22"/>
        </w:rPr>
        <w:t xml:space="preserve">Çalışmada gerçekleştirilen analizlerden güvenilir sonuçlar elde edebilmek için panel veri modellerine ilişkin temel varsayımların sınanması gerekir. Bu kapsamda farklı yayılım, otokorelasyon ve yatay kesit bağımlılığına ilişkin varsayımlar </w:t>
      </w:r>
      <w:r>
        <w:rPr>
          <w:sz w:val="22"/>
          <w:szCs w:val="22"/>
        </w:rPr>
        <w:t xml:space="preserve">irdelenmesi gerekmektedir. Bunlardan ilki </w:t>
      </w:r>
      <w:r w:rsidRPr="004245D2">
        <w:rPr>
          <w:sz w:val="22"/>
          <w:szCs w:val="22"/>
        </w:rPr>
        <w:t xml:space="preserve">yatay kesit bağımlılığı </w:t>
      </w:r>
      <w:r>
        <w:rPr>
          <w:sz w:val="22"/>
          <w:szCs w:val="22"/>
        </w:rPr>
        <w:t xml:space="preserve">olup </w:t>
      </w:r>
      <w:r w:rsidRPr="004245D2">
        <w:rPr>
          <w:sz w:val="22"/>
          <w:szCs w:val="22"/>
        </w:rPr>
        <w:t>günümüz makroekonomik koşulları göz önüne alındığında birimlerin herhangi birinde ortaya çıkan makroekonomik şoktan paneli oluşturan diğer birimlerin etkileneceği varsayımına dayanmaktadır.  Seriler arasında yatay kesit bağımlılığı dikkate alınmadan analiz yapılması elde edilecek sonuçların sapmalı ve tutarsız olmasına neden olacaktır (Mercan, 2014:235; Breusch and Pagan, 1980; Pesaran, 2004)</w:t>
      </w:r>
      <w:r>
        <w:rPr>
          <w:sz w:val="22"/>
          <w:szCs w:val="22"/>
        </w:rPr>
        <w:t xml:space="preserve">. </w:t>
      </w:r>
      <w:r w:rsidRPr="004245D2">
        <w:rPr>
          <w:sz w:val="22"/>
          <w:szCs w:val="22"/>
        </w:rPr>
        <w:t>Yatay kesit bağımlılığı Berusch-Pagan (1980) LM testi, Pesaran (2004) CD testi, Friedman Testi ve Frees testleriyle incelenebilmektedir.</w:t>
      </w:r>
      <w:r>
        <w:rPr>
          <w:sz w:val="22"/>
          <w:szCs w:val="22"/>
        </w:rPr>
        <w:t xml:space="preserve"> </w:t>
      </w:r>
    </w:p>
    <w:p w:rsidR="004245D2" w:rsidRDefault="004245D2" w:rsidP="004245D2">
      <w:pPr>
        <w:spacing w:line="360" w:lineRule="auto"/>
        <w:jc w:val="both"/>
        <w:rPr>
          <w:sz w:val="22"/>
          <w:szCs w:val="22"/>
        </w:rPr>
      </w:pPr>
    </w:p>
    <w:p w:rsidR="009C693A" w:rsidRDefault="004245D2" w:rsidP="009C693A">
      <w:pPr>
        <w:spacing w:line="360" w:lineRule="auto"/>
        <w:jc w:val="both"/>
        <w:rPr>
          <w:sz w:val="22"/>
          <w:szCs w:val="22"/>
        </w:rPr>
      </w:pPr>
      <w:r w:rsidRPr="004245D2">
        <w:rPr>
          <w:sz w:val="22"/>
          <w:szCs w:val="22"/>
        </w:rPr>
        <w:t xml:space="preserve">Kurulan panel veri modelinde </w:t>
      </w:r>
      <w:r>
        <w:rPr>
          <w:sz w:val="22"/>
          <w:szCs w:val="22"/>
        </w:rPr>
        <w:t>varyansın birimlere göre değişiklik gösterip göstermediğini yani farklı yayılım varlığını</w:t>
      </w:r>
      <w:r w:rsidRPr="004245D2">
        <w:rPr>
          <w:sz w:val="22"/>
          <w:szCs w:val="22"/>
        </w:rPr>
        <w:t xml:space="preserve"> test etmeye yönelik geliştirilen farklı testler sabit etkili ve tesadüfi etkili modellere göre farklılık göstermektedir. Değiştirilmiş Wald testi sabit etkiler modeli kapsamında yaygın olarak kullanılmakta iken Breusch- Pagan Lagrange Çarpanı testi ve Levene, Brown ve Forsythe testi tesadüfi etkiler modelleri kapsamında yaygın olarak kullanılan testlerdendir. </w:t>
      </w:r>
    </w:p>
    <w:p w:rsidR="009C693A" w:rsidRDefault="009C693A" w:rsidP="009C693A">
      <w:pPr>
        <w:spacing w:line="360" w:lineRule="auto"/>
        <w:jc w:val="both"/>
        <w:rPr>
          <w:sz w:val="22"/>
          <w:szCs w:val="22"/>
        </w:rPr>
      </w:pPr>
    </w:p>
    <w:p w:rsidR="009C693A" w:rsidRPr="009C693A" w:rsidRDefault="009C693A" w:rsidP="009C693A">
      <w:pPr>
        <w:spacing w:line="360" w:lineRule="auto"/>
        <w:jc w:val="both"/>
        <w:rPr>
          <w:sz w:val="22"/>
          <w:szCs w:val="22"/>
        </w:rPr>
      </w:pPr>
      <w:r>
        <w:rPr>
          <w:sz w:val="22"/>
          <w:szCs w:val="22"/>
        </w:rPr>
        <w:t>Son olarak p</w:t>
      </w:r>
      <w:r w:rsidRPr="009C693A">
        <w:rPr>
          <w:sz w:val="22"/>
          <w:szCs w:val="22"/>
        </w:rPr>
        <w:t>anel veri analizinde otokorelasyon problemini test etmeye yönelik kullanılan testler arasında Baltagi-Wu’nun Yerel En İyi Değişmez Testi, Bhargava, Franzini ve Narendranathan’ın Durbin Watson Testi ve Lagrange Çarpanı, Genişletilmiş Lagrange Çarpanı ve Wooldridge F testleri yer al</w:t>
      </w:r>
      <w:r>
        <w:rPr>
          <w:sz w:val="22"/>
          <w:szCs w:val="22"/>
        </w:rPr>
        <w:t>maktadır. Genel bir test olması</w:t>
      </w:r>
      <w:r w:rsidRPr="009C693A">
        <w:rPr>
          <w:sz w:val="22"/>
          <w:szCs w:val="22"/>
        </w:rPr>
        <w:t xml:space="preserve"> nedeniyle Wooldridge F testi diğer testlere göre daha üstündür. </w:t>
      </w:r>
    </w:p>
    <w:p w:rsidR="004245D2" w:rsidRDefault="004245D2" w:rsidP="004245D2">
      <w:pPr>
        <w:spacing w:line="360" w:lineRule="auto"/>
        <w:jc w:val="both"/>
        <w:rPr>
          <w:sz w:val="22"/>
          <w:szCs w:val="22"/>
        </w:rPr>
      </w:pPr>
    </w:p>
    <w:p w:rsidR="004245D2" w:rsidRDefault="009C693A" w:rsidP="004245D2">
      <w:pPr>
        <w:spacing w:line="360" w:lineRule="auto"/>
        <w:jc w:val="both"/>
        <w:rPr>
          <w:sz w:val="22"/>
          <w:szCs w:val="22"/>
        </w:rPr>
      </w:pPr>
      <w:r>
        <w:rPr>
          <w:sz w:val="22"/>
          <w:szCs w:val="22"/>
        </w:rPr>
        <w:t>Temel varsayım testlerinin yapılmasının ardından f</w:t>
      </w:r>
      <w:r w:rsidRPr="009C693A">
        <w:rPr>
          <w:sz w:val="22"/>
          <w:szCs w:val="22"/>
        </w:rPr>
        <w:t>arklı yayılım, otokorelasyon ve yatay kesit bağımlılığı sorunlarından biri veya birkaçı tespit edildikten sonra bu sorunları modelden yok edilmesi gerekmektedir. Bu nedenle parametre tahminlerinde değişiklik yapılmadan standart hatalar düzeltilerek dirençli (robust) standart hatalar elde edilmelidir</w:t>
      </w:r>
      <w:r>
        <w:rPr>
          <w:sz w:val="22"/>
          <w:szCs w:val="22"/>
        </w:rPr>
        <w:t>.</w:t>
      </w:r>
    </w:p>
    <w:p w:rsidR="00801846" w:rsidRPr="00CD1F27" w:rsidRDefault="00801846" w:rsidP="005C4DDA">
      <w:pPr>
        <w:spacing w:line="360" w:lineRule="auto"/>
        <w:jc w:val="both"/>
        <w:rPr>
          <w:i/>
          <w:sz w:val="22"/>
          <w:szCs w:val="22"/>
        </w:rPr>
      </w:pPr>
    </w:p>
    <w:p w:rsidR="005C4DDA" w:rsidRPr="00A72D07" w:rsidRDefault="005C4DDA" w:rsidP="005C4DDA">
      <w:pPr>
        <w:pStyle w:val="ListeParagraf"/>
        <w:numPr>
          <w:ilvl w:val="0"/>
          <w:numId w:val="1"/>
        </w:numPr>
        <w:spacing w:line="360" w:lineRule="auto"/>
        <w:jc w:val="both"/>
        <w:rPr>
          <w:sz w:val="22"/>
          <w:szCs w:val="22"/>
        </w:rPr>
      </w:pPr>
      <w:r w:rsidRPr="00CD1F27">
        <w:rPr>
          <w:b/>
          <w:sz w:val="22"/>
          <w:szCs w:val="22"/>
        </w:rPr>
        <w:t xml:space="preserve">BULGULAR, TARTIŞMA ve SONUÇ </w:t>
      </w:r>
    </w:p>
    <w:p w:rsidR="00A72D07" w:rsidRPr="005B1244" w:rsidRDefault="00A72D07" w:rsidP="00A72D07">
      <w:pPr>
        <w:pStyle w:val="ListeParagraf"/>
        <w:spacing w:line="360" w:lineRule="auto"/>
        <w:ind w:left="928"/>
        <w:jc w:val="both"/>
        <w:rPr>
          <w:sz w:val="22"/>
          <w:szCs w:val="22"/>
        </w:rPr>
      </w:pPr>
    </w:p>
    <w:p w:rsidR="00193BC7" w:rsidRDefault="00193BC7" w:rsidP="00C61654">
      <w:pPr>
        <w:spacing w:line="360" w:lineRule="auto"/>
        <w:jc w:val="both"/>
        <w:rPr>
          <w:sz w:val="22"/>
          <w:szCs w:val="22"/>
        </w:rPr>
      </w:pPr>
      <w:r w:rsidRPr="00C61654">
        <w:rPr>
          <w:sz w:val="22"/>
          <w:szCs w:val="22"/>
        </w:rPr>
        <w:t>Model tahmin sonuçların</w:t>
      </w:r>
      <w:r w:rsidR="003332DA" w:rsidRPr="00C61654">
        <w:rPr>
          <w:sz w:val="22"/>
          <w:szCs w:val="22"/>
        </w:rPr>
        <w:t>a ilişkin bir değerlendirme yapılmadan</w:t>
      </w:r>
      <w:r w:rsidRPr="00C61654">
        <w:rPr>
          <w:sz w:val="22"/>
          <w:szCs w:val="22"/>
        </w:rPr>
        <w:t xml:space="preserve"> önce </w:t>
      </w:r>
      <w:r w:rsidR="003332DA" w:rsidRPr="00C61654">
        <w:rPr>
          <w:sz w:val="22"/>
          <w:szCs w:val="22"/>
        </w:rPr>
        <w:t>modele dahil edilen makroekonomik göstergelerdeki ele alınmış ve Çizelge 5.1’de 2000-2018</w:t>
      </w:r>
      <w:r w:rsidRPr="00C61654">
        <w:rPr>
          <w:sz w:val="22"/>
          <w:szCs w:val="22"/>
        </w:rPr>
        <w:t xml:space="preserve"> yılları için verilmiştir. </w:t>
      </w:r>
      <w:r w:rsidR="00C61654" w:rsidRPr="00C61654">
        <w:rPr>
          <w:sz w:val="22"/>
          <w:szCs w:val="22"/>
        </w:rPr>
        <w:t>Çizelge 5.1’d</w:t>
      </w:r>
      <w:r w:rsidRPr="00C61654">
        <w:rPr>
          <w:sz w:val="22"/>
          <w:szCs w:val="22"/>
        </w:rPr>
        <w:t xml:space="preserve">en izlenebileceği gibi ülkeler içi ortalamalar ülkeler arası ve tüm veri seti için ortalamalardan daha düşük iken gözlemlerin değişkenliğinin bir ölçüsü olan standart sapmalar </w:t>
      </w:r>
      <w:r w:rsidR="00C61654" w:rsidRPr="00C61654">
        <w:rPr>
          <w:sz w:val="22"/>
          <w:szCs w:val="22"/>
        </w:rPr>
        <w:t>genel olarak</w:t>
      </w:r>
      <w:r w:rsidRPr="00C61654">
        <w:rPr>
          <w:sz w:val="22"/>
          <w:szCs w:val="22"/>
        </w:rPr>
        <w:t xml:space="preserve"> tüm veri setin</w:t>
      </w:r>
      <w:r w:rsidR="00C61654" w:rsidRPr="00C61654">
        <w:rPr>
          <w:sz w:val="22"/>
          <w:szCs w:val="22"/>
        </w:rPr>
        <w:t>d</w:t>
      </w:r>
      <w:r w:rsidRPr="00C61654">
        <w:rPr>
          <w:sz w:val="22"/>
          <w:szCs w:val="22"/>
        </w:rPr>
        <w:t>e daha yüksektir. Her bir gösterge için en küçük ve en büyük değerler beklendiği gibi veri seti bir bütün olarak değerlendirildiğinde diğerlerine göre daha küçük</w:t>
      </w:r>
      <w:r w:rsidR="00C61654" w:rsidRPr="00C61654">
        <w:rPr>
          <w:sz w:val="22"/>
          <w:szCs w:val="22"/>
        </w:rPr>
        <w:t>tür.</w:t>
      </w:r>
    </w:p>
    <w:p w:rsidR="00193BC7" w:rsidRPr="00C61654" w:rsidRDefault="00193BC7" w:rsidP="00193BC7">
      <w:pPr>
        <w:pStyle w:val="ResimYazs"/>
        <w:ind w:left="1288" w:hanging="1288"/>
        <w:rPr>
          <w:rFonts w:eastAsia="Times New Roman" w:cs="Times New Roman"/>
          <w:i w:val="0"/>
          <w:iCs w:val="0"/>
          <w:color w:val="auto"/>
          <w:sz w:val="22"/>
          <w:szCs w:val="22"/>
          <w:lang w:eastAsia="tr-TR"/>
        </w:rPr>
      </w:pPr>
      <w:bookmarkStart w:id="2" w:name="_Toc50984966"/>
      <w:bookmarkStart w:id="3" w:name="_Toc50985010"/>
      <w:r w:rsidRPr="00C61654">
        <w:rPr>
          <w:rFonts w:eastAsia="Times New Roman" w:cs="Times New Roman"/>
          <w:i w:val="0"/>
          <w:iCs w:val="0"/>
          <w:color w:val="auto"/>
          <w:sz w:val="22"/>
          <w:szCs w:val="22"/>
          <w:lang w:eastAsia="tr-TR"/>
        </w:rPr>
        <w:lastRenderedPageBreak/>
        <w:t>Çizelge 5.</w:t>
      </w:r>
      <w:r w:rsidR="00C61654" w:rsidRPr="00C61654">
        <w:rPr>
          <w:rFonts w:eastAsia="Times New Roman" w:cs="Times New Roman"/>
          <w:i w:val="0"/>
          <w:iCs w:val="0"/>
          <w:color w:val="auto"/>
          <w:sz w:val="22"/>
          <w:szCs w:val="22"/>
          <w:lang w:eastAsia="tr-TR"/>
        </w:rPr>
        <w:t>1</w:t>
      </w:r>
      <w:r w:rsidRPr="00C61654">
        <w:rPr>
          <w:rFonts w:eastAsia="Times New Roman" w:cs="Times New Roman"/>
          <w:i w:val="0"/>
          <w:iCs w:val="0"/>
          <w:color w:val="auto"/>
          <w:sz w:val="22"/>
          <w:szCs w:val="22"/>
          <w:lang w:eastAsia="tr-TR"/>
        </w:rPr>
        <w:t xml:space="preserve">. Özet İstatistikler – </w:t>
      </w:r>
      <w:r w:rsidR="00C61654" w:rsidRPr="00C61654">
        <w:rPr>
          <w:rFonts w:eastAsia="Times New Roman" w:cs="Times New Roman"/>
          <w:i w:val="0"/>
          <w:iCs w:val="0"/>
          <w:color w:val="auto"/>
          <w:sz w:val="22"/>
          <w:szCs w:val="22"/>
          <w:lang w:eastAsia="tr-TR"/>
        </w:rPr>
        <w:t>Makroekonomik Göstergeler-2000</w:t>
      </w:r>
      <w:r w:rsidRPr="00C61654">
        <w:rPr>
          <w:rFonts w:eastAsia="Times New Roman" w:cs="Times New Roman"/>
          <w:i w:val="0"/>
          <w:iCs w:val="0"/>
          <w:color w:val="auto"/>
          <w:sz w:val="22"/>
          <w:szCs w:val="22"/>
          <w:lang w:eastAsia="tr-TR"/>
        </w:rPr>
        <w:t>-201</w:t>
      </w:r>
      <w:bookmarkEnd w:id="2"/>
      <w:bookmarkEnd w:id="3"/>
      <w:r w:rsidR="00C61654" w:rsidRPr="00C61654">
        <w:rPr>
          <w:rFonts w:eastAsia="Times New Roman" w:cs="Times New Roman"/>
          <w:i w:val="0"/>
          <w:iCs w:val="0"/>
          <w:color w:val="auto"/>
          <w:sz w:val="22"/>
          <w:szCs w:val="22"/>
          <w:lang w:eastAsia="tr-TR"/>
        </w:rPr>
        <w:t>8</w:t>
      </w:r>
    </w:p>
    <w:tbl>
      <w:tblPr>
        <w:tblW w:w="8880" w:type="dxa"/>
        <w:tblLayout w:type="fixed"/>
        <w:tblLook w:val="04A0" w:firstRow="1" w:lastRow="0" w:firstColumn="1" w:lastColumn="0" w:noHBand="0" w:noVBand="1"/>
      </w:tblPr>
      <w:tblGrid>
        <w:gridCol w:w="960"/>
        <w:gridCol w:w="1290"/>
        <w:gridCol w:w="1545"/>
        <w:gridCol w:w="1545"/>
        <w:gridCol w:w="1740"/>
        <w:gridCol w:w="1800"/>
      </w:tblGrid>
      <w:tr w:rsidR="00193BC7" w:rsidRPr="00996CB6" w:rsidTr="002F420E">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Gösterge</w:t>
            </w:r>
          </w:p>
        </w:tc>
        <w:tc>
          <w:tcPr>
            <w:tcW w:w="1290"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545"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r w:rsidRPr="00300642">
              <w:rPr>
                <w:color w:val="000000"/>
                <w:sz w:val="20"/>
                <w:szCs w:val="20"/>
              </w:rPr>
              <w:t>Ortalama</w:t>
            </w:r>
          </w:p>
        </w:tc>
        <w:tc>
          <w:tcPr>
            <w:tcW w:w="1545"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r w:rsidRPr="00996CB6">
              <w:rPr>
                <w:color w:val="000000"/>
                <w:sz w:val="20"/>
                <w:szCs w:val="20"/>
              </w:rPr>
              <w:t>St</w:t>
            </w:r>
            <w:r w:rsidRPr="00300642">
              <w:rPr>
                <w:color w:val="000000"/>
                <w:sz w:val="20"/>
                <w:szCs w:val="20"/>
              </w:rPr>
              <w:t>andart Sapma</w:t>
            </w:r>
          </w:p>
        </w:tc>
        <w:tc>
          <w:tcPr>
            <w:tcW w:w="1740"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r w:rsidRPr="00300642">
              <w:rPr>
                <w:color w:val="000000"/>
                <w:sz w:val="20"/>
                <w:szCs w:val="20"/>
              </w:rPr>
              <w:t>En Küçük Değer</w:t>
            </w:r>
          </w:p>
        </w:tc>
        <w:tc>
          <w:tcPr>
            <w:tcW w:w="1800" w:type="dxa"/>
            <w:tcBorders>
              <w:top w:val="single" w:sz="4" w:space="0" w:color="auto"/>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r w:rsidRPr="00300642">
              <w:rPr>
                <w:color w:val="000000"/>
                <w:sz w:val="20"/>
                <w:szCs w:val="20"/>
              </w:rPr>
              <w:t>En Büyük Değer</w:t>
            </w:r>
          </w:p>
        </w:tc>
      </w:tr>
      <w:tr w:rsidR="00193BC7" w:rsidRPr="00996CB6" w:rsidTr="002F420E">
        <w:trPr>
          <w:trHeight w:val="300"/>
        </w:trPr>
        <w:tc>
          <w:tcPr>
            <w:tcW w:w="8880" w:type="dxa"/>
            <w:gridSpan w:val="6"/>
            <w:tcBorders>
              <w:top w:val="single" w:sz="4" w:space="0" w:color="auto"/>
              <w:left w:val="nil"/>
              <w:bottom w:val="single" w:sz="4" w:space="0" w:color="auto"/>
              <w:right w:val="nil"/>
            </w:tcBorders>
            <w:shd w:val="clear" w:color="auto" w:fill="auto"/>
            <w:noWrap/>
            <w:vAlign w:val="center"/>
          </w:tcPr>
          <w:p w:rsidR="00193BC7" w:rsidRPr="006B5707" w:rsidRDefault="00193BC7" w:rsidP="002F420E">
            <w:pPr>
              <w:jc w:val="center"/>
              <w:rPr>
                <w:i/>
                <w:color w:val="000000"/>
                <w:sz w:val="20"/>
                <w:szCs w:val="20"/>
              </w:rPr>
            </w:pPr>
            <w:r>
              <w:rPr>
                <w:i/>
                <w:color w:val="000000"/>
                <w:sz w:val="20"/>
                <w:szCs w:val="20"/>
              </w:rPr>
              <w:t>Güvenceli Esneklik Göstergeler</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YUR</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25.788</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3D5707">
            <w:pPr>
              <w:jc w:val="center"/>
              <w:rPr>
                <w:color w:val="000000"/>
                <w:sz w:val="20"/>
                <w:szCs w:val="20"/>
              </w:rPr>
            </w:pPr>
            <w:r>
              <w:rPr>
                <w:color w:val="000000"/>
                <w:sz w:val="20"/>
                <w:szCs w:val="20"/>
              </w:rPr>
              <w:t>14.006</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12.79</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60.83</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15.181</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17.975</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52.913</w:t>
            </w:r>
          </w:p>
        </w:tc>
      </w:tr>
      <w:tr w:rsidR="00193BC7" w:rsidRPr="00996CB6"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3.136</w:t>
            </w:r>
          </w:p>
        </w:tc>
        <w:tc>
          <w:tcPr>
            <w:tcW w:w="1740" w:type="dxa"/>
            <w:tcBorders>
              <w:top w:val="nil"/>
              <w:left w:val="nil"/>
              <w:bottom w:val="single" w:sz="4" w:space="0" w:color="auto"/>
              <w:right w:val="nil"/>
            </w:tcBorders>
            <w:shd w:val="clear" w:color="auto" w:fill="auto"/>
            <w:noWrap/>
            <w:vAlign w:val="center"/>
            <w:hideMark/>
          </w:tcPr>
          <w:p w:rsidR="005E4955" w:rsidRPr="00996CB6" w:rsidRDefault="005E4955" w:rsidP="005E4955">
            <w:pPr>
              <w:jc w:val="center"/>
              <w:rPr>
                <w:color w:val="000000"/>
                <w:sz w:val="20"/>
                <w:szCs w:val="20"/>
              </w:rPr>
            </w:pPr>
            <w:r>
              <w:rPr>
                <w:color w:val="000000"/>
                <w:sz w:val="20"/>
                <w:szCs w:val="20"/>
              </w:rPr>
              <w:t>17.684</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35.671</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GR</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4.449</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3.039</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5E4955">
            <w:pPr>
              <w:jc w:val="center"/>
              <w:rPr>
                <w:color w:val="000000"/>
                <w:sz w:val="20"/>
                <w:szCs w:val="20"/>
              </w:rPr>
            </w:pPr>
            <w:r>
              <w:rPr>
                <w:color w:val="000000"/>
                <w:sz w:val="20"/>
                <w:szCs w:val="20"/>
              </w:rPr>
              <w:t>-5.750</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11.200</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1.771</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2.457</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6.592</w:t>
            </w:r>
          </w:p>
        </w:tc>
      </w:tr>
      <w:tr w:rsidR="00193BC7" w:rsidRPr="00996CB6"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2.588</w:t>
            </w:r>
          </w:p>
        </w:tc>
        <w:tc>
          <w:tcPr>
            <w:tcW w:w="174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-6.452</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10.497</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INF</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8.273</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8.499</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-0.692</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54.915</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4.554</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5.359</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16.363</w:t>
            </w:r>
          </w:p>
        </w:tc>
      </w:tr>
      <w:tr w:rsidR="00193BC7" w:rsidRPr="00996CB6"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7.447</w:t>
            </w:r>
          </w:p>
        </w:tc>
        <w:tc>
          <w:tcPr>
            <w:tcW w:w="1740" w:type="dxa"/>
            <w:tcBorders>
              <w:top w:val="nil"/>
              <w:left w:val="nil"/>
              <w:bottom w:val="single" w:sz="4" w:space="0" w:color="auto"/>
              <w:right w:val="nil"/>
            </w:tcBorders>
            <w:shd w:val="clear" w:color="auto" w:fill="auto"/>
            <w:noWrap/>
            <w:vAlign w:val="center"/>
            <w:hideMark/>
          </w:tcPr>
          <w:p w:rsidR="00193BC7" w:rsidRPr="00996CB6" w:rsidRDefault="005E4955" w:rsidP="005E4955">
            <w:pPr>
              <w:jc w:val="center"/>
              <w:rPr>
                <w:color w:val="000000"/>
                <w:sz w:val="20"/>
                <w:szCs w:val="20"/>
              </w:rPr>
            </w:pPr>
            <w:r>
              <w:rPr>
                <w:color w:val="000000"/>
                <w:sz w:val="20"/>
                <w:szCs w:val="20"/>
              </w:rPr>
              <w:t>-.</w:t>
            </w:r>
            <w:r w:rsidR="00193BC7">
              <w:rPr>
                <w:color w:val="000000"/>
                <w:sz w:val="20"/>
                <w:szCs w:val="20"/>
              </w:rPr>
              <w:t>1.</w:t>
            </w:r>
            <w:r>
              <w:rPr>
                <w:color w:val="000000"/>
                <w:sz w:val="20"/>
                <w:szCs w:val="20"/>
              </w:rPr>
              <w:t>838</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46.825</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FDI</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3D5707">
            <w:pPr>
              <w:jc w:val="center"/>
              <w:rPr>
                <w:color w:val="000000"/>
                <w:sz w:val="20"/>
                <w:szCs w:val="20"/>
              </w:rPr>
            </w:pPr>
            <w:r>
              <w:rPr>
                <w:color w:val="000000"/>
                <w:sz w:val="20"/>
                <w:szCs w:val="20"/>
              </w:rPr>
              <w:t>2.613</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2.084</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-2.757</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10.055</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1.722</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1.219</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5.359</w:t>
            </w:r>
          </w:p>
        </w:tc>
      </w:tr>
      <w:tr w:rsidR="00193BC7" w:rsidRPr="00996CB6"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1.395</w:t>
            </w:r>
          </w:p>
        </w:tc>
        <w:tc>
          <w:tcPr>
            <w:tcW w:w="1740" w:type="dxa"/>
            <w:tcBorders>
              <w:top w:val="nil"/>
              <w:left w:val="nil"/>
              <w:bottom w:val="single" w:sz="4" w:space="0" w:color="auto"/>
              <w:right w:val="nil"/>
            </w:tcBorders>
            <w:shd w:val="clear" w:color="auto" w:fill="auto"/>
            <w:noWrap/>
            <w:vAlign w:val="center"/>
            <w:hideMark/>
          </w:tcPr>
          <w:p w:rsidR="00193BC7" w:rsidRPr="00996CB6" w:rsidRDefault="00193BC7" w:rsidP="005E4955">
            <w:pPr>
              <w:jc w:val="center"/>
              <w:rPr>
                <w:color w:val="000000"/>
                <w:sz w:val="20"/>
                <w:szCs w:val="20"/>
              </w:rPr>
            </w:pPr>
            <w:r>
              <w:rPr>
                <w:color w:val="000000"/>
                <w:sz w:val="20"/>
                <w:szCs w:val="20"/>
              </w:rPr>
              <w:t>-</w:t>
            </w:r>
            <w:r w:rsidR="005E4955">
              <w:rPr>
                <w:color w:val="000000"/>
                <w:sz w:val="20"/>
                <w:szCs w:val="20"/>
              </w:rPr>
              <w:t>3.438</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-1.838</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POP</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4.620</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6.785</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0.783</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22.22</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7.467</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1.027</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17.975</w:t>
            </w:r>
          </w:p>
        </w:tc>
      </w:tr>
      <w:tr w:rsidR="00193BC7" w:rsidRPr="00996CB6"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0.981</w:t>
            </w:r>
          </w:p>
        </w:tc>
        <w:tc>
          <w:tcPr>
            <w:tcW w:w="174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-0.564</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8.865</w:t>
            </w:r>
          </w:p>
        </w:tc>
      </w:tr>
      <w:tr w:rsidR="00193BC7" w:rsidRPr="00996CB6" w:rsidTr="002F420E">
        <w:trPr>
          <w:trHeight w:val="300"/>
        </w:trPr>
        <w:tc>
          <w:tcPr>
            <w:tcW w:w="96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Pr>
                <w:color w:val="000000"/>
                <w:sz w:val="20"/>
                <w:szCs w:val="20"/>
              </w:rPr>
              <w:t>EFI</w:t>
            </w:r>
          </w:p>
        </w:tc>
        <w:tc>
          <w:tcPr>
            <w:tcW w:w="1290" w:type="dxa"/>
            <w:tcBorders>
              <w:top w:val="single" w:sz="4" w:space="0" w:color="auto"/>
              <w:left w:val="nil"/>
              <w:bottom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Tüm veri</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3D5707" w:rsidP="002F420E">
            <w:pPr>
              <w:jc w:val="center"/>
              <w:rPr>
                <w:color w:val="000000"/>
                <w:sz w:val="20"/>
                <w:szCs w:val="20"/>
              </w:rPr>
            </w:pPr>
            <w:r>
              <w:rPr>
                <w:color w:val="000000"/>
                <w:sz w:val="20"/>
                <w:szCs w:val="20"/>
              </w:rPr>
              <w:t>6.567</w:t>
            </w:r>
          </w:p>
        </w:tc>
        <w:tc>
          <w:tcPr>
            <w:tcW w:w="1545" w:type="dxa"/>
            <w:tcBorders>
              <w:top w:val="single" w:sz="4" w:space="0" w:color="auto"/>
              <w:left w:val="nil"/>
              <w:bottom w:val="nil"/>
              <w:right w:val="nil"/>
            </w:tcBorders>
            <w:shd w:val="clear" w:color="auto" w:fill="auto"/>
            <w:noWrap/>
            <w:vAlign w:val="center"/>
            <w:hideMark/>
          </w:tcPr>
          <w:p w:rsidR="00193BC7" w:rsidRPr="00996CB6" w:rsidRDefault="003D5707" w:rsidP="002F420E">
            <w:pPr>
              <w:jc w:val="center"/>
              <w:rPr>
                <w:color w:val="000000"/>
                <w:sz w:val="20"/>
                <w:szCs w:val="20"/>
              </w:rPr>
            </w:pPr>
            <w:r>
              <w:rPr>
                <w:color w:val="000000"/>
                <w:sz w:val="20"/>
                <w:szCs w:val="20"/>
              </w:rPr>
              <w:t>0.366</w:t>
            </w:r>
          </w:p>
        </w:tc>
        <w:tc>
          <w:tcPr>
            <w:tcW w:w="174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5.54</w:t>
            </w:r>
          </w:p>
        </w:tc>
        <w:tc>
          <w:tcPr>
            <w:tcW w:w="1800" w:type="dxa"/>
            <w:tcBorders>
              <w:top w:val="single" w:sz="4" w:space="0" w:color="auto"/>
              <w:left w:val="nil"/>
              <w:bottom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7.39</w:t>
            </w:r>
          </w:p>
        </w:tc>
      </w:tr>
      <w:tr w:rsidR="00193BC7" w:rsidRPr="00996CB6" w:rsidTr="002F420E">
        <w:trPr>
          <w:trHeight w:val="300"/>
        </w:trPr>
        <w:tc>
          <w:tcPr>
            <w:tcW w:w="96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arası</w:t>
            </w:r>
          </w:p>
        </w:tc>
        <w:tc>
          <w:tcPr>
            <w:tcW w:w="1545" w:type="dxa"/>
            <w:tcBorders>
              <w:top w:val="nil"/>
              <w:left w:val="nil"/>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right w:val="nil"/>
            </w:tcBorders>
            <w:shd w:val="clear" w:color="auto" w:fill="auto"/>
            <w:noWrap/>
            <w:vAlign w:val="center"/>
            <w:hideMark/>
          </w:tcPr>
          <w:p w:rsidR="00193BC7" w:rsidRPr="00996CB6" w:rsidRDefault="003D5707" w:rsidP="002F420E">
            <w:pPr>
              <w:jc w:val="center"/>
              <w:rPr>
                <w:color w:val="000000"/>
                <w:sz w:val="20"/>
                <w:szCs w:val="20"/>
              </w:rPr>
            </w:pPr>
            <w:r>
              <w:rPr>
                <w:color w:val="000000"/>
                <w:sz w:val="20"/>
                <w:szCs w:val="20"/>
              </w:rPr>
              <w:t>0.185</w:t>
            </w:r>
          </w:p>
        </w:tc>
        <w:tc>
          <w:tcPr>
            <w:tcW w:w="174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6.384</w:t>
            </w:r>
          </w:p>
        </w:tc>
        <w:tc>
          <w:tcPr>
            <w:tcW w:w="1800" w:type="dxa"/>
            <w:tcBorders>
              <w:top w:val="nil"/>
              <w:left w:val="nil"/>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6.819</w:t>
            </w:r>
          </w:p>
        </w:tc>
      </w:tr>
      <w:tr w:rsidR="00193BC7" w:rsidRPr="00300642" w:rsidTr="002F420E">
        <w:trPr>
          <w:trHeight w:val="300"/>
        </w:trPr>
        <w:tc>
          <w:tcPr>
            <w:tcW w:w="96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rsidR="00193BC7" w:rsidRPr="00996CB6" w:rsidRDefault="00193BC7" w:rsidP="002F420E">
            <w:pPr>
              <w:rPr>
                <w:color w:val="000000"/>
                <w:sz w:val="20"/>
                <w:szCs w:val="20"/>
              </w:rPr>
            </w:pPr>
            <w:r w:rsidRPr="00300642">
              <w:rPr>
                <w:color w:val="000000"/>
                <w:sz w:val="20"/>
                <w:szCs w:val="20"/>
              </w:rPr>
              <w:t>Ülkeler içi</w:t>
            </w:r>
          </w:p>
        </w:tc>
        <w:tc>
          <w:tcPr>
            <w:tcW w:w="1545" w:type="dxa"/>
            <w:tcBorders>
              <w:top w:val="nil"/>
              <w:left w:val="nil"/>
              <w:bottom w:val="single" w:sz="4" w:space="0" w:color="auto"/>
              <w:right w:val="nil"/>
            </w:tcBorders>
            <w:shd w:val="clear" w:color="auto" w:fill="auto"/>
            <w:noWrap/>
            <w:vAlign w:val="center"/>
            <w:hideMark/>
          </w:tcPr>
          <w:p w:rsidR="00193BC7" w:rsidRPr="00996CB6" w:rsidRDefault="00193BC7" w:rsidP="002F420E">
            <w:pPr>
              <w:jc w:val="center"/>
              <w:rPr>
                <w:color w:val="000000"/>
                <w:sz w:val="20"/>
                <w:szCs w:val="20"/>
              </w:rPr>
            </w:pPr>
          </w:p>
        </w:tc>
        <w:tc>
          <w:tcPr>
            <w:tcW w:w="1545" w:type="dxa"/>
            <w:tcBorders>
              <w:top w:val="nil"/>
              <w:left w:val="nil"/>
              <w:bottom w:val="single" w:sz="4" w:space="0" w:color="auto"/>
              <w:right w:val="nil"/>
            </w:tcBorders>
            <w:shd w:val="clear" w:color="auto" w:fill="auto"/>
            <w:noWrap/>
            <w:vAlign w:val="center"/>
            <w:hideMark/>
          </w:tcPr>
          <w:p w:rsidR="00193BC7" w:rsidRPr="00996CB6" w:rsidRDefault="003D5707" w:rsidP="002F420E">
            <w:pPr>
              <w:jc w:val="center"/>
              <w:rPr>
                <w:color w:val="000000"/>
                <w:sz w:val="20"/>
                <w:szCs w:val="20"/>
              </w:rPr>
            </w:pPr>
            <w:r>
              <w:rPr>
                <w:color w:val="000000"/>
                <w:sz w:val="20"/>
                <w:szCs w:val="20"/>
              </w:rPr>
              <w:t>0.325</w:t>
            </w:r>
          </w:p>
        </w:tc>
        <w:tc>
          <w:tcPr>
            <w:tcW w:w="174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5.555</w:t>
            </w:r>
          </w:p>
        </w:tc>
        <w:tc>
          <w:tcPr>
            <w:tcW w:w="1800" w:type="dxa"/>
            <w:tcBorders>
              <w:top w:val="nil"/>
              <w:left w:val="nil"/>
              <w:bottom w:val="single" w:sz="4" w:space="0" w:color="auto"/>
              <w:right w:val="nil"/>
            </w:tcBorders>
            <w:shd w:val="clear" w:color="auto" w:fill="auto"/>
            <w:noWrap/>
            <w:vAlign w:val="center"/>
            <w:hideMark/>
          </w:tcPr>
          <w:p w:rsidR="00193BC7" w:rsidRPr="00996CB6" w:rsidRDefault="005E4955" w:rsidP="002F420E">
            <w:pPr>
              <w:jc w:val="center"/>
              <w:rPr>
                <w:color w:val="000000"/>
                <w:sz w:val="20"/>
                <w:szCs w:val="20"/>
              </w:rPr>
            </w:pPr>
            <w:r>
              <w:rPr>
                <w:color w:val="000000"/>
                <w:sz w:val="20"/>
                <w:szCs w:val="20"/>
              </w:rPr>
              <w:t>7.276</w:t>
            </w:r>
          </w:p>
        </w:tc>
      </w:tr>
    </w:tbl>
    <w:p w:rsidR="00193BC7" w:rsidRDefault="00193BC7" w:rsidP="005C4DDA">
      <w:pPr>
        <w:spacing w:line="360" w:lineRule="auto"/>
        <w:ind w:firstLine="540"/>
        <w:jc w:val="both"/>
        <w:rPr>
          <w:iCs/>
          <w:sz w:val="22"/>
          <w:szCs w:val="22"/>
        </w:rPr>
      </w:pPr>
    </w:p>
    <w:p w:rsidR="003D3791" w:rsidRPr="00E54496" w:rsidRDefault="003D3791" w:rsidP="003D3791">
      <w:pPr>
        <w:spacing w:line="360" w:lineRule="auto"/>
        <w:jc w:val="both"/>
        <w:rPr>
          <w:sz w:val="22"/>
          <w:szCs w:val="22"/>
        </w:rPr>
      </w:pPr>
      <w:r w:rsidRPr="00E54496">
        <w:rPr>
          <w:sz w:val="22"/>
          <w:szCs w:val="22"/>
        </w:rPr>
        <w:t>Bu çalışmada en genel haliyle tahmin modeli –  i. ülke için t döneminde her makroekonomik belirleyici gösteg</w:t>
      </w:r>
      <w:r>
        <w:rPr>
          <w:sz w:val="22"/>
          <w:szCs w:val="22"/>
        </w:rPr>
        <w:t>eleri göstermek üzere eşitlik (5.1</w:t>
      </w:r>
      <w:r w:rsidRPr="00E54496">
        <w:rPr>
          <w:sz w:val="22"/>
          <w:szCs w:val="22"/>
        </w:rPr>
        <w:t xml:space="preserve">) ile tanımlanmıştır. </w:t>
      </w:r>
    </w:p>
    <w:p w:rsidR="003D3791" w:rsidRPr="00E54496" w:rsidRDefault="003D3791" w:rsidP="003D3791">
      <w:pPr>
        <w:spacing w:line="360" w:lineRule="auto"/>
        <w:jc w:val="both"/>
        <w:rPr>
          <w:sz w:val="22"/>
          <w:szCs w:val="22"/>
        </w:rPr>
      </w:pPr>
    </w:p>
    <w:p w:rsidR="003D3791" w:rsidRPr="00E23B1E" w:rsidRDefault="003B0706" w:rsidP="003D3791">
      <w:pPr>
        <w:spacing w:line="360" w:lineRule="auto"/>
        <w:jc w:val="right"/>
        <w:rPr>
          <w:sz w:val="22"/>
          <w:szCs w:val="22"/>
        </w:rPr>
      </w:pPr>
      <m:oMath>
        <m:sSub>
          <m:sSubPr>
            <m:ctrlPr>
              <w:rPr>
                <w:rFonts w:ascii="Cambria Math" w:hAnsi="Cambria Math"/>
                <w:sz w:val="22"/>
                <w:szCs w:val="22"/>
              </w:rPr>
            </m:ctrlPr>
          </m:sSubPr>
          <m:e>
            <m:r>
              <w:rPr>
                <w:rFonts w:ascii="Cambria Math" w:hAnsi="Cambria Math"/>
                <w:sz w:val="22"/>
                <w:szCs w:val="22"/>
              </w:rPr>
              <m:t>YUR</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GR</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INF</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FDI</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4</m:t>
            </m:r>
          </m:sub>
        </m:sSub>
        <m:sSub>
          <m:sSubPr>
            <m:ctrlPr>
              <w:rPr>
                <w:rFonts w:ascii="Cambria Math" w:hAnsi="Cambria Math"/>
                <w:sz w:val="22"/>
                <w:szCs w:val="22"/>
              </w:rPr>
            </m:ctrlPr>
          </m:sSubPr>
          <m:e>
            <m:r>
              <w:rPr>
                <w:rFonts w:ascii="Cambria Math" w:hAnsi="Cambria Math"/>
                <w:sz w:val="22"/>
                <w:szCs w:val="22"/>
              </w:rPr>
              <m:t>POP</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β</m:t>
            </m:r>
          </m:e>
          <m:sub>
            <m:r>
              <m:rPr>
                <m:sty m:val="p"/>
              </m:rPr>
              <w:rPr>
                <w:rFonts w:ascii="Cambria Math" w:hAnsi="Cambria Math"/>
                <w:sz w:val="22"/>
                <w:szCs w:val="22"/>
              </w:rPr>
              <m:t>5</m:t>
            </m:r>
          </m:sub>
        </m:sSub>
        <m:sSub>
          <m:sSubPr>
            <m:ctrlPr>
              <w:rPr>
                <w:rFonts w:ascii="Cambria Math" w:hAnsi="Cambria Math"/>
                <w:sz w:val="22"/>
                <w:szCs w:val="22"/>
              </w:rPr>
            </m:ctrlPr>
          </m:sSubPr>
          <m:e>
            <m:r>
              <w:rPr>
                <w:rFonts w:ascii="Cambria Math" w:hAnsi="Cambria Math"/>
                <w:sz w:val="22"/>
                <w:szCs w:val="22"/>
              </w:rPr>
              <m:t>EFI</m:t>
            </m:r>
          </m:e>
          <m:sub>
            <m:r>
              <w:rPr>
                <w:rFonts w:ascii="Cambria Math" w:hAnsi="Cambria Math"/>
                <w:sz w:val="22"/>
                <w:szCs w:val="22"/>
              </w:rPr>
              <m:t>it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it</m:t>
            </m:r>
          </m:sub>
        </m:sSub>
        <m:r>
          <m:rPr>
            <m:sty m:val="p"/>
          </m:rPr>
          <w:rPr>
            <w:rFonts w:ascii="Cambria Math" w:hAnsi="Cambria Math"/>
            <w:sz w:val="22"/>
            <w:szCs w:val="22"/>
          </w:rPr>
          <m:t xml:space="preserve">                   (5.1)</m:t>
        </m:r>
      </m:oMath>
      <w:r w:rsidR="003D3791" w:rsidRPr="00E54496">
        <w:rPr>
          <w:sz w:val="22"/>
          <w:szCs w:val="22"/>
        </w:rPr>
        <w:t xml:space="preserve">                                                                                 </w:t>
      </w:r>
    </w:p>
    <w:p w:rsidR="003D3791" w:rsidRPr="008B0C28" w:rsidRDefault="003D3791" w:rsidP="003D3791">
      <w:pPr>
        <w:spacing w:line="360" w:lineRule="auto"/>
        <w:jc w:val="both"/>
        <w:rPr>
          <w:sz w:val="22"/>
          <w:szCs w:val="22"/>
        </w:rPr>
      </w:pPr>
    </w:p>
    <w:p w:rsidR="003D3791" w:rsidRDefault="003D3791" w:rsidP="003D3791">
      <w:pPr>
        <w:spacing w:line="360" w:lineRule="auto"/>
        <w:jc w:val="both"/>
        <w:rPr>
          <w:sz w:val="22"/>
          <w:szCs w:val="22"/>
        </w:rPr>
      </w:pPr>
      <w:r w:rsidRPr="00524AFD">
        <w:rPr>
          <w:sz w:val="22"/>
          <w:szCs w:val="22"/>
        </w:rPr>
        <w:t xml:space="preserve">Makroekonomik göstergelerinin genç işsizlik oranına olan etkisini incelemek amacıyla kurulan modeller için Havuzlanmış En Küçük Kareler (HEKK), Sabit Etkiler ve Rassal Etkiler yöntemleriyle tahminler yapılmıştır. F testi sonucu tüm modellerde de klasik modelin geçersiz olduğunu ve modelde birim ve/veya zaman etkilerinin var olduğunu göstermektedir. </w:t>
      </w:r>
    </w:p>
    <w:p w:rsidR="00580C36" w:rsidRDefault="00580C36" w:rsidP="003D3791">
      <w:pPr>
        <w:spacing w:line="360" w:lineRule="auto"/>
        <w:jc w:val="both"/>
        <w:rPr>
          <w:sz w:val="22"/>
          <w:szCs w:val="22"/>
        </w:rPr>
      </w:pPr>
    </w:p>
    <w:p w:rsidR="003D3791" w:rsidRDefault="00580C36" w:rsidP="00580C36">
      <w:pPr>
        <w:spacing w:line="360" w:lineRule="auto"/>
        <w:jc w:val="both"/>
        <w:rPr>
          <w:sz w:val="22"/>
          <w:szCs w:val="22"/>
        </w:rPr>
      </w:pPr>
      <w:r w:rsidRPr="00C61654">
        <w:rPr>
          <w:i/>
          <w:iCs/>
          <w:sz w:val="22"/>
          <w:szCs w:val="22"/>
        </w:rPr>
        <w:t>Çizelge 5.</w:t>
      </w:r>
      <w:r w:rsidR="004B7ED1">
        <w:rPr>
          <w:i/>
          <w:iCs/>
          <w:sz w:val="22"/>
          <w:szCs w:val="22"/>
        </w:rPr>
        <w:t>2</w:t>
      </w:r>
      <w:r w:rsidRPr="00C61654">
        <w:rPr>
          <w:i/>
          <w:iCs/>
          <w:sz w:val="22"/>
          <w:szCs w:val="22"/>
        </w:rPr>
        <w:t xml:space="preserve">. </w:t>
      </w:r>
      <w:r>
        <w:rPr>
          <w:i/>
          <w:iCs/>
          <w:sz w:val="22"/>
          <w:szCs w:val="22"/>
        </w:rPr>
        <w:t>Birim ve Zaman Etkiler Testi</w:t>
      </w:r>
    </w:p>
    <w:tbl>
      <w:tblPr>
        <w:tblStyle w:val="TabloKlavuzu"/>
        <w:tblW w:w="0" w:type="auto"/>
        <w:tblLook w:val="04A0" w:firstRow="1" w:lastRow="0" w:firstColumn="1" w:lastColumn="0" w:noHBand="0" w:noVBand="1"/>
      </w:tblPr>
      <w:tblGrid>
        <w:gridCol w:w="3020"/>
        <w:gridCol w:w="3021"/>
        <w:gridCol w:w="3021"/>
      </w:tblGrid>
      <w:tr w:rsidR="003D3791" w:rsidTr="003D3791">
        <w:tc>
          <w:tcPr>
            <w:tcW w:w="3020" w:type="dxa"/>
          </w:tcPr>
          <w:p w:rsidR="003D3791" w:rsidRDefault="003D3791" w:rsidP="003D3791">
            <w:pPr>
              <w:spacing w:line="360" w:lineRule="auto"/>
              <w:jc w:val="both"/>
              <w:rPr>
                <w:sz w:val="22"/>
                <w:szCs w:val="22"/>
              </w:rPr>
            </w:pPr>
            <w:r>
              <w:rPr>
                <w:sz w:val="22"/>
                <w:szCs w:val="22"/>
              </w:rPr>
              <w:t>Etki</w:t>
            </w:r>
          </w:p>
        </w:tc>
        <w:tc>
          <w:tcPr>
            <w:tcW w:w="3021" w:type="dxa"/>
          </w:tcPr>
          <w:p w:rsidR="003D3791" w:rsidRDefault="003D3791" w:rsidP="003D3791">
            <w:pPr>
              <w:spacing w:line="360" w:lineRule="auto"/>
              <w:jc w:val="both"/>
              <w:rPr>
                <w:sz w:val="22"/>
                <w:szCs w:val="22"/>
              </w:rPr>
            </w:pPr>
            <w:r>
              <w:rPr>
                <w:sz w:val="22"/>
                <w:szCs w:val="22"/>
              </w:rPr>
              <w:t>F Test</w:t>
            </w:r>
          </w:p>
        </w:tc>
        <w:tc>
          <w:tcPr>
            <w:tcW w:w="3021" w:type="dxa"/>
          </w:tcPr>
          <w:p w:rsidR="003D3791" w:rsidRDefault="004B7ED1" w:rsidP="003D3791">
            <w:pPr>
              <w:spacing w:line="360" w:lineRule="auto"/>
              <w:jc w:val="both"/>
              <w:rPr>
                <w:sz w:val="22"/>
                <w:szCs w:val="22"/>
              </w:rPr>
            </w:pPr>
            <w:r>
              <w:rPr>
                <w:sz w:val="22"/>
                <w:szCs w:val="22"/>
              </w:rPr>
              <w:t>Olasılık</w:t>
            </w:r>
          </w:p>
        </w:tc>
      </w:tr>
      <w:tr w:rsidR="003D3791" w:rsidTr="003D3791">
        <w:tc>
          <w:tcPr>
            <w:tcW w:w="3020" w:type="dxa"/>
          </w:tcPr>
          <w:p w:rsidR="003D3791" w:rsidRDefault="003D3791" w:rsidP="003D3791">
            <w:pPr>
              <w:spacing w:line="360" w:lineRule="auto"/>
              <w:jc w:val="both"/>
              <w:rPr>
                <w:sz w:val="22"/>
                <w:szCs w:val="22"/>
              </w:rPr>
            </w:pPr>
            <w:r>
              <w:rPr>
                <w:sz w:val="22"/>
                <w:szCs w:val="22"/>
              </w:rPr>
              <w:t>Bitim Etki</w:t>
            </w:r>
          </w:p>
        </w:tc>
        <w:tc>
          <w:tcPr>
            <w:tcW w:w="3021" w:type="dxa"/>
          </w:tcPr>
          <w:p w:rsidR="003D3791" w:rsidRDefault="003D3791" w:rsidP="003D3791">
            <w:pPr>
              <w:spacing w:line="360" w:lineRule="auto"/>
              <w:jc w:val="both"/>
              <w:rPr>
                <w:sz w:val="22"/>
                <w:szCs w:val="22"/>
              </w:rPr>
            </w:pPr>
            <w:r>
              <w:rPr>
                <w:sz w:val="22"/>
                <w:szCs w:val="22"/>
              </w:rPr>
              <w:t>74.94</w:t>
            </w:r>
          </w:p>
        </w:tc>
        <w:tc>
          <w:tcPr>
            <w:tcW w:w="3021" w:type="dxa"/>
          </w:tcPr>
          <w:p w:rsidR="003D3791" w:rsidRDefault="003D3791" w:rsidP="003D3791">
            <w:pPr>
              <w:spacing w:line="360" w:lineRule="auto"/>
              <w:jc w:val="both"/>
              <w:rPr>
                <w:sz w:val="22"/>
                <w:szCs w:val="22"/>
              </w:rPr>
            </w:pPr>
            <w:r>
              <w:rPr>
                <w:sz w:val="22"/>
                <w:szCs w:val="22"/>
              </w:rPr>
              <w:t>0.000</w:t>
            </w:r>
            <w:r w:rsidR="004B7ED1">
              <w:rPr>
                <w:sz w:val="22"/>
                <w:szCs w:val="22"/>
              </w:rPr>
              <w:t>0</w:t>
            </w:r>
          </w:p>
        </w:tc>
      </w:tr>
      <w:tr w:rsidR="003D3791" w:rsidTr="003D3791">
        <w:tc>
          <w:tcPr>
            <w:tcW w:w="3020" w:type="dxa"/>
          </w:tcPr>
          <w:p w:rsidR="003D3791" w:rsidRDefault="003D3791" w:rsidP="003D3791">
            <w:pPr>
              <w:spacing w:line="360" w:lineRule="auto"/>
              <w:jc w:val="both"/>
              <w:rPr>
                <w:sz w:val="22"/>
                <w:szCs w:val="22"/>
              </w:rPr>
            </w:pPr>
            <w:r>
              <w:rPr>
                <w:sz w:val="22"/>
                <w:szCs w:val="22"/>
              </w:rPr>
              <w:t>Zaman Etkisi</w:t>
            </w:r>
          </w:p>
        </w:tc>
        <w:tc>
          <w:tcPr>
            <w:tcW w:w="3021" w:type="dxa"/>
          </w:tcPr>
          <w:p w:rsidR="003D3791" w:rsidRDefault="003D3791" w:rsidP="003D3791">
            <w:pPr>
              <w:spacing w:line="360" w:lineRule="auto"/>
              <w:jc w:val="both"/>
              <w:rPr>
                <w:sz w:val="22"/>
                <w:szCs w:val="22"/>
              </w:rPr>
            </w:pPr>
            <w:r>
              <w:rPr>
                <w:sz w:val="22"/>
                <w:szCs w:val="22"/>
              </w:rPr>
              <w:t>1.76</w:t>
            </w:r>
          </w:p>
        </w:tc>
        <w:tc>
          <w:tcPr>
            <w:tcW w:w="3021" w:type="dxa"/>
          </w:tcPr>
          <w:p w:rsidR="003D3791" w:rsidRDefault="003D3791" w:rsidP="003D3791">
            <w:pPr>
              <w:spacing w:line="360" w:lineRule="auto"/>
              <w:jc w:val="both"/>
              <w:rPr>
                <w:sz w:val="22"/>
                <w:szCs w:val="22"/>
              </w:rPr>
            </w:pPr>
            <w:r>
              <w:rPr>
                <w:sz w:val="22"/>
                <w:szCs w:val="22"/>
              </w:rPr>
              <w:t>0.1297</w:t>
            </w:r>
          </w:p>
        </w:tc>
      </w:tr>
    </w:tbl>
    <w:p w:rsidR="003D3791" w:rsidRDefault="003D3791" w:rsidP="003D3791">
      <w:pPr>
        <w:spacing w:line="360" w:lineRule="auto"/>
        <w:jc w:val="both"/>
        <w:rPr>
          <w:sz w:val="22"/>
          <w:szCs w:val="22"/>
        </w:rPr>
      </w:pPr>
    </w:p>
    <w:p w:rsidR="003D3791" w:rsidRDefault="003D3791" w:rsidP="003D3791">
      <w:pPr>
        <w:spacing w:line="360" w:lineRule="auto"/>
        <w:jc w:val="both"/>
        <w:rPr>
          <w:sz w:val="22"/>
          <w:szCs w:val="22"/>
        </w:rPr>
      </w:pPr>
      <w:r w:rsidRPr="00524AFD">
        <w:rPr>
          <w:sz w:val="22"/>
          <w:szCs w:val="22"/>
        </w:rPr>
        <w:t>Bu durum havuzlanmış en küçük kareler modeli kullanımının uygun olmadığını sabit etkiler modeli veya rassal etkiler modeli kullanımının daha uygun olduğun</w:t>
      </w:r>
      <w:r>
        <w:rPr>
          <w:sz w:val="22"/>
          <w:szCs w:val="22"/>
        </w:rPr>
        <w:t xml:space="preserve">u göstermektedir. Çalışmada </w:t>
      </w:r>
      <w:r w:rsidRPr="00524AFD">
        <w:rPr>
          <w:sz w:val="22"/>
          <w:szCs w:val="22"/>
        </w:rPr>
        <w:t xml:space="preserve">modele ilişkin </w:t>
      </w:r>
      <w:r w:rsidRPr="00524AFD">
        <w:rPr>
          <w:sz w:val="22"/>
          <w:szCs w:val="22"/>
        </w:rPr>
        <w:lastRenderedPageBreak/>
        <w:t xml:space="preserve">sabit etkiler modeli ve tesadüfi etkiler modelinden uygun olan modelin seçilmesi için Hausmann testi uygulanmış ve </w:t>
      </w:r>
      <w:r>
        <w:rPr>
          <w:sz w:val="22"/>
          <w:szCs w:val="22"/>
        </w:rPr>
        <w:t>model</w:t>
      </w:r>
      <w:r w:rsidRPr="00524AFD">
        <w:rPr>
          <w:sz w:val="22"/>
          <w:szCs w:val="22"/>
        </w:rPr>
        <w:t xml:space="preserve"> için sabit etkiler modelinin geçerli olduğu sonucu elde edilmiştir.  </w:t>
      </w:r>
    </w:p>
    <w:p w:rsidR="004B7ED1" w:rsidRDefault="004B7ED1" w:rsidP="003D3791">
      <w:pPr>
        <w:spacing w:line="360" w:lineRule="auto"/>
        <w:jc w:val="both"/>
        <w:rPr>
          <w:sz w:val="22"/>
          <w:szCs w:val="22"/>
        </w:rPr>
      </w:pPr>
    </w:p>
    <w:p w:rsidR="004B7ED1" w:rsidRDefault="004B7ED1" w:rsidP="003D3791">
      <w:pPr>
        <w:spacing w:line="360" w:lineRule="auto"/>
        <w:jc w:val="both"/>
        <w:rPr>
          <w:sz w:val="22"/>
          <w:szCs w:val="22"/>
        </w:rPr>
      </w:pPr>
      <w:r w:rsidRPr="00C61654">
        <w:rPr>
          <w:i/>
          <w:iCs/>
          <w:sz w:val="22"/>
          <w:szCs w:val="22"/>
        </w:rPr>
        <w:t>Çizelge 5.</w:t>
      </w:r>
      <w:r>
        <w:rPr>
          <w:i/>
          <w:iCs/>
          <w:sz w:val="22"/>
          <w:szCs w:val="22"/>
        </w:rPr>
        <w:t>3</w:t>
      </w:r>
      <w:r w:rsidRPr="00C61654">
        <w:rPr>
          <w:i/>
          <w:iCs/>
          <w:sz w:val="22"/>
          <w:szCs w:val="22"/>
        </w:rPr>
        <w:t xml:space="preserve">. </w:t>
      </w:r>
      <w:r>
        <w:rPr>
          <w:i/>
          <w:iCs/>
          <w:sz w:val="22"/>
          <w:szCs w:val="22"/>
        </w:rPr>
        <w:t>Hausman Testi</w:t>
      </w:r>
    </w:p>
    <w:tbl>
      <w:tblPr>
        <w:tblStyle w:val="TabloKlavuzu"/>
        <w:tblW w:w="0" w:type="auto"/>
        <w:tblLook w:val="04A0" w:firstRow="1" w:lastRow="0" w:firstColumn="1" w:lastColumn="0" w:noHBand="0" w:noVBand="1"/>
      </w:tblPr>
      <w:tblGrid>
        <w:gridCol w:w="3020"/>
        <w:gridCol w:w="3021"/>
      </w:tblGrid>
      <w:tr w:rsidR="004B7ED1" w:rsidTr="004B7ED1">
        <w:tc>
          <w:tcPr>
            <w:tcW w:w="3020" w:type="dxa"/>
          </w:tcPr>
          <w:p w:rsidR="004B7ED1" w:rsidRDefault="004B7ED1" w:rsidP="003D3791">
            <w:pPr>
              <w:spacing w:line="360" w:lineRule="auto"/>
              <w:jc w:val="both"/>
              <w:rPr>
                <w:sz w:val="22"/>
                <w:szCs w:val="22"/>
              </w:rPr>
            </w:pPr>
            <w:r>
              <w:rPr>
                <w:sz w:val="22"/>
                <w:szCs w:val="22"/>
              </w:rPr>
              <w:t>Chi-Square Test İstatistiği</w:t>
            </w:r>
          </w:p>
        </w:tc>
        <w:tc>
          <w:tcPr>
            <w:tcW w:w="3021" w:type="dxa"/>
          </w:tcPr>
          <w:p w:rsidR="004B7ED1" w:rsidRDefault="004B7ED1" w:rsidP="003D3791">
            <w:pPr>
              <w:spacing w:line="360" w:lineRule="auto"/>
              <w:jc w:val="both"/>
              <w:rPr>
                <w:sz w:val="22"/>
                <w:szCs w:val="22"/>
              </w:rPr>
            </w:pPr>
            <w:r>
              <w:rPr>
                <w:sz w:val="22"/>
                <w:szCs w:val="22"/>
              </w:rPr>
              <w:t>81.55</w:t>
            </w:r>
          </w:p>
        </w:tc>
      </w:tr>
      <w:tr w:rsidR="004B7ED1" w:rsidTr="004B7ED1">
        <w:tc>
          <w:tcPr>
            <w:tcW w:w="3020" w:type="dxa"/>
          </w:tcPr>
          <w:p w:rsidR="004B7ED1" w:rsidRDefault="004B7ED1" w:rsidP="003D3791">
            <w:pPr>
              <w:spacing w:line="360" w:lineRule="auto"/>
              <w:jc w:val="both"/>
              <w:rPr>
                <w:sz w:val="22"/>
                <w:szCs w:val="22"/>
              </w:rPr>
            </w:pPr>
            <w:r>
              <w:rPr>
                <w:sz w:val="22"/>
                <w:szCs w:val="22"/>
              </w:rPr>
              <w:t>Probability</w:t>
            </w:r>
          </w:p>
        </w:tc>
        <w:tc>
          <w:tcPr>
            <w:tcW w:w="3021" w:type="dxa"/>
          </w:tcPr>
          <w:p w:rsidR="004B7ED1" w:rsidRDefault="004B7ED1" w:rsidP="003D3791">
            <w:pPr>
              <w:spacing w:line="360" w:lineRule="auto"/>
              <w:jc w:val="both"/>
              <w:rPr>
                <w:sz w:val="22"/>
                <w:szCs w:val="22"/>
              </w:rPr>
            </w:pPr>
            <w:r>
              <w:rPr>
                <w:sz w:val="22"/>
                <w:szCs w:val="22"/>
              </w:rPr>
              <w:t>0.000</w:t>
            </w:r>
          </w:p>
        </w:tc>
      </w:tr>
    </w:tbl>
    <w:p w:rsidR="004B7ED1" w:rsidRDefault="004B7ED1" w:rsidP="003D3791">
      <w:pPr>
        <w:spacing w:line="360" w:lineRule="auto"/>
        <w:jc w:val="both"/>
        <w:rPr>
          <w:sz w:val="22"/>
          <w:szCs w:val="22"/>
        </w:rPr>
      </w:pPr>
    </w:p>
    <w:p w:rsidR="004B7ED1" w:rsidRDefault="003D3791" w:rsidP="003D3791">
      <w:pPr>
        <w:spacing w:line="360" w:lineRule="auto"/>
        <w:jc w:val="both"/>
        <w:rPr>
          <w:sz w:val="22"/>
          <w:szCs w:val="22"/>
        </w:rPr>
      </w:pPr>
      <w:r w:rsidRPr="00524AFD">
        <w:rPr>
          <w:sz w:val="22"/>
          <w:szCs w:val="22"/>
        </w:rPr>
        <w:t xml:space="preserve">Bağımsız değişkenlerin modelde yer alan bağımlı değişkenler tarafından açıklama gücü R2,  birim etki varyansının toplam varyansa oranı rho katsayısı ile ele alınmıştır. Rho katsayısı </w:t>
      </w:r>
      <w:r>
        <w:rPr>
          <w:sz w:val="22"/>
          <w:szCs w:val="22"/>
        </w:rPr>
        <w:t>modelde</w:t>
      </w:r>
      <w:r w:rsidRPr="00524AFD">
        <w:rPr>
          <w:sz w:val="22"/>
          <w:szCs w:val="22"/>
        </w:rPr>
        <w:t xml:space="preserve"> oldukça yüksektir </w:t>
      </w:r>
      <w:r w:rsidR="004B7ED1">
        <w:rPr>
          <w:sz w:val="22"/>
          <w:szCs w:val="22"/>
        </w:rPr>
        <w:t xml:space="preserve">(0.969) </w:t>
      </w:r>
      <w:r w:rsidRPr="00524AFD">
        <w:rPr>
          <w:sz w:val="22"/>
          <w:szCs w:val="22"/>
        </w:rPr>
        <w:t xml:space="preserve">ve buna bağlı olarak modellerde kuvvetli bir birim etki olduğu söylenebilir. </w:t>
      </w:r>
    </w:p>
    <w:p w:rsidR="002F420E" w:rsidRDefault="002F420E" w:rsidP="003D3791">
      <w:pPr>
        <w:spacing w:line="360" w:lineRule="auto"/>
        <w:jc w:val="both"/>
        <w:rPr>
          <w:sz w:val="22"/>
          <w:szCs w:val="22"/>
        </w:rPr>
      </w:pPr>
    </w:p>
    <w:p w:rsidR="00E56CDB" w:rsidRDefault="00E56CDB" w:rsidP="00E56CDB">
      <w:pPr>
        <w:spacing w:line="360" w:lineRule="auto"/>
        <w:jc w:val="both"/>
        <w:rPr>
          <w:sz w:val="22"/>
          <w:szCs w:val="22"/>
        </w:rPr>
      </w:pPr>
      <w:r w:rsidRPr="00C61654">
        <w:rPr>
          <w:i/>
          <w:iCs/>
          <w:sz w:val="22"/>
          <w:szCs w:val="22"/>
        </w:rPr>
        <w:t>Çizelge 5.</w:t>
      </w:r>
      <w:r>
        <w:rPr>
          <w:i/>
          <w:iCs/>
          <w:sz w:val="22"/>
          <w:szCs w:val="22"/>
        </w:rPr>
        <w:t>4</w:t>
      </w:r>
      <w:r w:rsidRPr="00C61654">
        <w:rPr>
          <w:i/>
          <w:iCs/>
          <w:sz w:val="22"/>
          <w:szCs w:val="22"/>
        </w:rPr>
        <w:t xml:space="preserve">. </w:t>
      </w:r>
      <w:r>
        <w:rPr>
          <w:i/>
          <w:iCs/>
          <w:sz w:val="22"/>
          <w:szCs w:val="22"/>
        </w:rPr>
        <w:t>Model Tahmin Sonuçları</w:t>
      </w:r>
    </w:p>
    <w:tbl>
      <w:tblPr>
        <w:tblStyle w:val="TabloKlavuzu"/>
        <w:tblW w:w="0" w:type="auto"/>
        <w:tblLayout w:type="fixed"/>
        <w:tblLook w:val="04A0" w:firstRow="1" w:lastRow="0" w:firstColumn="1" w:lastColumn="0" w:noHBand="0" w:noVBand="1"/>
      </w:tblPr>
      <w:tblGrid>
        <w:gridCol w:w="1737"/>
        <w:gridCol w:w="1806"/>
        <w:gridCol w:w="1126"/>
        <w:gridCol w:w="1138"/>
        <w:gridCol w:w="1114"/>
        <w:gridCol w:w="1019"/>
        <w:gridCol w:w="1122"/>
      </w:tblGrid>
      <w:tr w:rsidR="002F420E" w:rsidRPr="001C44A9" w:rsidTr="00CC68FB">
        <w:trPr>
          <w:trHeight w:val="340"/>
        </w:trPr>
        <w:tc>
          <w:tcPr>
            <w:tcW w:w="1737" w:type="dxa"/>
          </w:tcPr>
          <w:p w:rsidR="002F420E" w:rsidRPr="001C44A9" w:rsidRDefault="002F420E" w:rsidP="003D3791">
            <w:pPr>
              <w:spacing w:line="360" w:lineRule="auto"/>
              <w:jc w:val="both"/>
              <w:rPr>
                <w:sz w:val="20"/>
                <w:szCs w:val="22"/>
              </w:rPr>
            </w:pPr>
          </w:p>
        </w:tc>
        <w:tc>
          <w:tcPr>
            <w:tcW w:w="1806" w:type="dxa"/>
          </w:tcPr>
          <w:p w:rsidR="002F420E" w:rsidRPr="001C44A9" w:rsidRDefault="002F420E" w:rsidP="003D3791">
            <w:pPr>
              <w:spacing w:line="360" w:lineRule="auto"/>
              <w:jc w:val="both"/>
              <w:rPr>
                <w:sz w:val="20"/>
                <w:szCs w:val="22"/>
              </w:rPr>
            </w:pPr>
            <w:r w:rsidRPr="001C44A9">
              <w:rPr>
                <w:sz w:val="20"/>
                <w:szCs w:val="22"/>
              </w:rPr>
              <w:t>Sabit Terim</w:t>
            </w:r>
          </w:p>
        </w:tc>
        <w:tc>
          <w:tcPr>
            <w:tcW w:w="1126" w:type="dxa"/>
          </w:tcPr>
          <w:p w:rsidR="002F420E" w:rsidRPr="001C44A9" w:rsidRDefault="002F420E" w:rsidP="003D3791">
            <w:pPr>
              <w:spacing w:line="360" w:lineRule="auto"/>
              <w:jc w:val="both"/>
              <w:rPr>
                <w:sz w:val="20"/>
                <w:szCs w:val="22"/>
              </w:rPr>
            </w:pPr>
            <w:r w:rsidRPr="001C44A9">
              <w:rPr>
                <w:sz w:val="20"/>
                <w:szCs w:val="22"/>
              </w:rPr>
              <w:t>GR</w:t>
            </w:r>
          </w:p>
        </w:tc>
        <w:tc>
          <w:tcPr>
            <w:tcW w:w="1138" w:type="dxa"/>
          </w:tcPr>
          <w:p w:rsidR="002F420E" w:rsidRPr="001C44A9" w:rsidRDefault="002F420E" w:rsidP="003D3791">
            <w:pPr>
              <w:spacing w:line="360" w:lineRule="auto"/>
              <w:jc w:val="both"/>
              <w:rPr>
                <w:sz w:val="20"/>
                <w:szCs w:val="22"/>
              </w:rPr>
            </w:pPr>
            <w:r w:rsidRPr="001C44A9">
              <w:rPr>
                <w:sz w:val="20"/>
                <w:szCs w:val="22"/>
              </w:rPr>
              <w:t>INF</w:t>
            </w:r>
          </w:p>
        </w:tc>
        <w:tc>
          <w:tcPr>
            <w:tcW w:w="1114" w:type="dxa"/>
          </w:tcPr>
          <w:p w:rsidR="002F420E" w:rsidRPr="001C44A9" w:rsidRDefault="002F420E" w:rsidP="003D3791">
            <w:pPr>
              <w:spacing w:line="360" w:lineRule="auto"/>
              <w:jc w:val="both"/>
              <w:rPr>
                <w:sz w:val="20"/>
                <w:szCs w:val="22"/>
              </w:rPr>
            </w:pPr>
            <w:r w:rsidRPr="001C44A9">
              <w:rPr>
                <w:sz w:val="20"/>
                <w:szCs w:val="22"/>
              </w:rPr>
              <w:t>FDI</w:t>
            </w:r>
          </w:p>
        </w:tc>
        <w:tc>
          <w:tcPr>
            <w:tcW w:w="1019" w:type="dxa"/>
          </w:tcPr>
          <w:p w:rsidR="002F420E" w:rsidRPr="001C44A9" w:rsidRDefault="002F420E" w:rsidP="003D3791">
            <w:pPr>
              <w:spacing w:line="360" w:lineRule="auto"/>
              <w:jc w:val="both"/>
              <w:rPr>
                <w:sz w:val="20"/>
                <w:szCs w:val="22"/>
              </w:rPr>
            </w:pPr>
            <w:r w:rsidRPr="001C44A9">
              <w:rPr>
                <w:sz w:val="20"/>
                <w:szCs w:val="22"/>
              </w:rPr>
              <w:t>POP</w:t>
            </w:r>
          </w:p>
        </w:tc>
        <w:tc>
          <w:tcPr>
            <w:tcW w:w="1122" w:type="dxa"/>
          </w:tcPr>
          <w:p w:rsidR="002F420E" w:rsidRPr="001C44A9" w:rsidRDefault="002F420E" w:rsidP="003D3791">
            <w:pPr>
              <w:spacing w:line="360" w:lineRule="auto"/>
              <w:jc w:val="both"/>
              <w:rPr>
                <w:sz w:val="20"/>
                <w:szCs w:val="22"/>
              </w:rPr>
            </w:pPr>
            <w:r w:rsidRPr="001C44A9">
              <w:rPr>
                <w:sz w:val="20"/>
                <w:szCs w:val="22"/>
              </w:rPr>
              <w:t>EFI</w:t>
            </w:r>
          </w:p>
        </w:tc>
      </w:tr>
      <w:tr w:rsidR="002F420E" w:rsidRPr="001C44A9" w:rsidTr="00CC68FB">
        <w:trPr>
          <w:trHeight w:val="340"/>
        </w:trPr>
        <w:tc>
          <w:tcPr>
            <w:tcW w:w="1737" w:type="dxa"/>
          </w:tcPr>
          <w:p w:rsidR="002F420E" w:rsidRPr="001C44A9" w:rsidRDefault="002F420E" w:rsidP="003D3791">
            <w:pPr>
              <w:spacing w:line="360" w:lineRule="auto"/>
              <w:jc w:val="both"/>
              <w:rPr>
                <w:sz w:val="20"/>
                <w:szCs w:val="22"/>
              </w:rPr>
            </w:pPr>
            <w:r w:rsidRPr="001C44A9">
              <w:rPr>
                <w:sz w:val="20"/>
                <w:szCs w:val="22"/>
              </w:rPr>
              <w:t>Katsayı</w:t>
            </w:r>
          </w:p>
        </w:tc>
        <w:tc>
          <w:tcPr>
            <w:tcW w:w="1806" w:type="dxa"/>
          </w:tcPr>
          <w:p w:rsidR="002F420E" w:rsidRPr="001C44A9" w:rsidRDefault="002F420E" w:rsidP="002F420E">
            <w:pPr>
              <w:spacing w:line="360" w:lineRule="auto"/>
              <w:jc w:val="both"/>
              <w:rPr>
                <w:sz w:val="20"/>
                <w:szCs w:val="22"/>
              </w:rPr>
            </w:pPr>
            <w:r w:rsidRPr="001C44A9">
              <w:rPr>
                <w:sz w:val="20"/>
                <w:szCs w:val="22"/>
              </w:rPr>
              <w:t>0.366</w:t>
            </w:r>
            <w:r w:rsidRPr="00044091">
              <w:rPr>
                <w:sz w:val="20"/>
                <w:szCs w:val="22"/>
                <w:vertAlign w:val="superscript"/>
              </w:rPr>
              <w:t>***</w:t>
            </w:r>
          </w:p>
        </w:tc>
        <w:tc>
          <w:tcPr>
            <w:tcW w:w="1126" w:type="dxa"/>
          </w:tcPr>
          <w:p w:rsidR="002F420E" w:rsidRPr="001C44A9" w:rsidRDefault="001A11ED" w:rsidP="003D3791">
            <w:pPr>
              <w:spacing w:line="360" w:lineRule="auto"/>
              <w:jc w:val="both"/>
              <w:rPr>
                <w:sz w:val="20"/>
                <w:szCs w:val="22"/>
              </w:rPr>
            </w:pPr>
            <w:r>
              <w:rPr>
                <w:sz w:val="20"/>
                <w:szCs w:val="22"/>
              </w:rPr>
              <w:t>-0.062</w:t>
            </w:r>
          </w:p>
        </w:tc>
        <w:tc>
          <w:tcPr>
            <w:tcW w:w="1138" w:type="dxa"/>
          </w:tcPr>
          <w:p w:rsidR="002F420E" w:rsidRPr="001C44A9" w:rsidRDefault="00211C1B" w:rsidP="003D3791">
            <w:pPr>
              <w:spacing w:line="360" w:lineRule="auto"/>
              <w:jc w:val="both"/>
              <w:rPr>
                <w:sz w:val="20"/>
                <w:szCs w:val="22"/>
              </w:rPr>
            </w:pPr>
            <w:r w:rsidRPr="001C44A9">
              <w:rPr>
                <w:sz w:val="20"/>
                <w:szCs w:val="22"/>
              </w:rPr>
              <w:t>-0.601</w:t>
            </w:r>
            <w:r w:rsidR="001C44A9" w:rsidRPr="00044091">
              <w:rPr>
                <w:sz w:val="20"/>
                <w:szCs w:val="22"/>
                <w:vertAlign w:val="superscript"/>
              </w:rPr>
              <w:t>**</w:t>
            </w:r>
          </w:p>
        </w:tc>
        <w:tc>
          <w:tcPr>
            <w:tcW w:w="1114" w:type="dxa"/>
          </w:tcPr>
          <w:p w:rsidR="002F420E" w:rsidRPr="001C44A9" w:rsidRDefault="00CC68FB" w:rsidP="003D3791">
            <w:pPr>
              <w:spacing w:line="360" w:lineRule="auto"/>
              <w:jc w:val="both"/>
              <w:rPr>
                <w:sz w:val="20"/>
                <w:szCs w:val="22"/>
              </w:rPr>
            </w:pPr>
            <w:r w:rsidRPr="001C44A9">
              <w:rPr>
                <w:sz w:val="20"/>
                <w:szCs w:val="22"/>
              </w:rPr>
              <w:t>-0.124</w:t>
            </w:r>
          </w:p>
        </w:tc>
        <w:tc>
          <w:tcPr>
            <w:tcW w:w="1019" w:type="dxa"/>
          </w:tcPr>
          <w:p w:rsidR="002F420E" w:rsidRPr="001C44A9" w:rsidRDefault="00CC68FB" w:rsidP="003D3791">
            <w:pPr>
              <w:spacing w:line="360" w:lineRule="auto"/>
              <w:jc w:val="both"/>
              <w:rPr>
                <w:sz w:val="20"/>
                <w:szCs w:val="22"/>
              </w:rPr>
            </w:pPr>
            <w:r w:rsidRPr="001C44A9">
              <w:rPr>
                <w:sz w:val="20"/>
                <w:szCs w:val="22"/>
              </w:rPr>
              <w:t>0.664</w:t>
            </w:r>
            <w:r w:rsidR="001C44A9" w:rsidRPr="00044091">
              <w:rPr>
                <w:sz w:val="20"/>
                <w:szCs w:val="22"/>
                <w:vertAlign w:val="superscript"/>
              </w:rPr>
              <w:t>**</w:t>
            </w:r>
          </w:p>
        </w:tc>
        <w:tc>
          <w:tcPr>
            <w:tcW w:w="1122" w:type="dxa"/>
          </w:tcPr>
          <w:p w:rsidR="002F420E" w:rsidRPr="001C44A9" w:rsidRDefault="00CC68FB" w:rsidP="003D3791">
            <w:pPr>
              <w:spacing w:line="360" w:lineRule="auto"/>
              <w:jc w:val="both"/>
              <w:rPr>
                <w:sz w:val="20"/>
                <w:szCs w:val="22"/>
              </w:rPr>
            </w:pPr>
            <w:r w:rsidRPr="001C44A9">
              <w:rPr>
                <w:sz w:val="20"/>
                <w:szCs w:val="22"/>
              </w:rPr>
              <w:t>-0.020</w:t>
            </w:r>
            <w:r w:rsidR="001C44A9" w:rsidRPr="00044091">
              <w:rPr>
                <w:sz w:val="20"/>
                <w:szCs w:val="22"/>
                <w:vertAlign w:val="superscript"/>
              </w:rPr>
              <w:t>***</w:t>
            </w:r>
          </w:p>
        </w:tc>
      </w:tr>
      <w:tr w:rsidR="002F420E" w:rsidRPr="001C44A9" w:rsidTr="00CC68FB">
        <w:trPr>
          <w:trHeight w:val="340"/>
        </w:trPr>
        <w:tc>
          <w:tcPr>
            <w:tcW w:w="1737" w:type="dxa"/>
          </w:tcPr>
          <w:p w:rsidR="002F420E" w:rsidRPr="001C44A9" w:rsidRDefault="002F420E" w:rsidP="003D3791">
            <w:pPr>
              <w:spacing w:line="360" w:lineRule="auto"/>
              <w:jc w:val="both"/>
              <w:rPr>
                <w:sz w:val="20"/>
                <w:szCs w:val="22"/>
              </w:rPr>
            </w:pPr>
            <w:r w:rsidRPr="001C44A9">
              <w:rPr>
                <w:sz w:val="20"/>
                <w:szCs w:val="22"/>
              </w:rPr>
              <w:t>St. Hata</w:t>
            </w:r>
          </w:p>
        </w:tc>
        <w:tc>
          <w:tcPr>
            <w:tcW w:w="1806" w:type="dxa"/>
          </w:tcPr>
          <w:p w:rsidR="002F420E" w:rsidRPr="001C44A9" w:rsidRDefault="002F420E" w:rsidP="003D3791">
            <w:pPr>
              <w:spacing w:line="360" w:lineRule="auto"/>
              <w:jc w:val="both"/>
              <w:rPr>
                <w:sz w:val="20"/>
                <w:szCs w:val="22"/>
              </w:rPr>
            </w:pPr>
            <w:r w:rsidRPr="001C44A9">
              <w:rPr>
                <w:sz w:val="20"/>
                <w:szCs w:val="22"/>
              </w:rPr>
              <w:t>0.100</w:t>
            </w:r>
          </w:p>
        </w:tc>
        <w:tc>
          <w:tcPr>
            <w:tcW w:w="1126" w:type="dxa"/>
          </w:tcPr>
          <w:p w:rsidR="002F420E" w:rsidRPr="001C44A9" w:rsidRDefault="001A11ED" w:rsidP="003D3791">
            <w:pPr>
              <w:spacing w:line="360" w:lineRule="auto"/>
              <w:jc w:val="both"/>
              <w:rPr>
                <w:sz w:val="20"/>
                <w:szCs w:val="22"/>
              </w:rPr>
            </w:pPr>
            <w:r>
              <w:rPr>
                <w:sz w:val="20"/>
                <w:szCs w:val="22"/>
              </w:rPr>
              <w:t>0.130</w:t>
            </w:r>
          </w:p>
        </w:tc>
        <w:tc>
          <w:tcPr>
            <w:tcW w:w="1138" w:type="dxa"/>
          </w:tcPr>
          <w:p w:rsidR="002F420E" w:rsidRPr="001C44A9" w:rsidRDefault="00211C1B" w:rsidP="003D3791">
            <w:pPr>
              <w:spacing w:line="360" w:lineRule="auto"/>
              <w:jc w:val="both"/>
              <w:rPr>
                <w:sz w:val="20"/>
                <w:szCs w:val="22"/>
              </w:rPr>
            </w:pPr>
            <w:r w:rsidRPr="001C44A9">
              <w:rPr>
                <w:sz w:val="20"/>
                <w:szCs w:val="22"/>
              </w:rPr>
              <w:t>0.182</w:t>
            </w:r>
          </w:p>
        </w:tc>
        <w:tc>
          <w:tcPr>
            <w:tcW w:w="1114" w:type="dxa"/>
          </w:tcPr>
          <w:p w:rsidR="002F420E" w:rsidRPr="001C44A9" w:rsidRDefault="00CC68FB" w:rsidP="003D3791">
            <w:pPr>
              <w:spacing w:line="360" w:lineRule="auto"/>
              <w:jc w:val="both"/>
              <w:rPr>
                <w:sz w:val="20"/>
                <w:szCs w:val="22"/>
              </w:rPr>
            </w:pPr>
            <w:r w:rsidRPr="001C44A9">
              <w:rPr>
                <w:sz w:val="20"/>
                <w:szCs w:val="22"/>
              </w:rPr>
              <w:t>0.253</w:t>
            </w:r>
          </w:p>
        </w:tc>
        <w:tc>
          <w:tcPr>
            <w:tcW w:w="1019" w:type="dxa"/>
          </w:tcPr>
          <w:p w:rsidR="002F420E" w:rsidRPr="001C44A9" w:rsidRDefault="00CC68FB" w:rsidP="003D3791">
            <w:pPr>
              <w:spacing w:line="360" w:lineRule="auto"/>
              <w:jc w:val="both"/>
              <w:rPr>
                <w:sz w:val="20"/>
                <w:szCs w:val="22"/>
              </w:rPr>
            </w:pPr>
            <w:r w:rsidRPr="001C44A9">
              <w:rPr>
                <w:sz w:val="20"/>
                <w:szCs w:val="22"/>
              </w:rPr>
              <w:t>0.371</w:t>
            </w:r>
          </w:p>
        </w:tc>
        <w:tc>
          <w:tcPr>
            <w:tcW w:w="1122" w:type="dxa"/>
          </w:tcPr>
          <w:p w:rsidR="002F420E" w:rsidRPr="001C44A9" w:rsidRDefault="00CC68FB" w:rsidP="003D3791">
            <w:pPr>
              <w:spacing w:line="360" w:lineRule="auto"/>
              <w:jc w:val="both"/>
              <w:rPr>
                <w:sz w:val="20"/>
                <w:szCs w:val="22"/>
              </w:rPr>
            </w:pPr>
            <w:r w:rsidRPr="001C44A9">
              <w:rPr>
                <w:sz w:val="20"/>
                <w:szCs w:val="22"/>
              </w:rPr>
              <w:t>0.100</w:t>
            </w:r>
          </w:p>
        </w:tc>
      </w:tr>
      <w:tr w:rsidR="002F420E" w:rsidRPr="001C44A9" w:rsidTr="00CC68FB">
        <w:trPr>
          <w:trHeight w:val="340"/>
        </w:trPr>
        <w:tc>
          <w:tcPr>
            <w:tcW w:w="1737" w:type="dxa"/>
          </w:tcPr>
          <w:p w:rsidR="002F420E" w:rsidRPr="001C44A9" w:rsidRDefault="002F420E" w:rsidP="003D3791">
            <w:pPr>
              <w:spacing w:line="360" w:lineRule="auto"/>
              <w:jc w:val="both"/>
              <w:rPr>
                <w:sz w:val="20"/>
                <w:szCs w:val="22"/>
              </w:rPr>
            </w:pPr>
            <w:r w:rsidRPr="001C44A9">
              <w:rPr>
                <w:sz w:val="20"/>
                <w:szCs w:val="22"/>
              </w:rPr>
              <w:t>t- istatistiği</w:t>
            </w:r>
          </w:p>
        </w:tc>
        <w:tc>
          <w:tcPr>
            <w:tcW w:w="1806" w:type="dxa"/>
          </w:tcPr>
          <w:p w:rsidR="002F420E" w:rsidRPr="001C44A9" w:rsidRDefault="002F420E" w:rsidP="003D3791">
            <w:pPr>
              <w:spacing w:line="360" w:lineRule="auto"/>
              <w:jc w:val="both"/>
              <w:rPr>
                <w:sz w:val="20"/>
                <w:szCs w:val="22"/>
              </w:rPr>
            </w:pPr>
            <w:r w:rsidRPr="001C44A9">
              <w:rPr>
                <w:sz w:val="20"/>
                <w:szCs w:val="22"/>
              </w:rPr>
              <w:t>3.65</w:t>
            </w:r>
          </w:p>
        </w:tc>
        <w:tc>
          <w:tcPr>
            <w:tcW w:w="1126" w:type="dxa"/>
          </w:tcPr>
          <w:p w:rsidR="002F420E" w:rsidRPr="001C44A9" w:rsidRDefault="001A11ED" w:rsidP="003D3791">
            <w:pPr>
              <w:spacing w:line="360" w:lineRule="auto"/>
              <w:jc w:val="both"/>
              <w:rPr>
                <w:sz w:val="20"/>
                <w:szCs w:val="22"/>
              </w:rPr>
            </w:pPr>
            <w:r>
              <w:rPr>
                <w:sz w:val="20"/>
                <w:szCs w:val="22"/>
              </w:rPr>
              <w:t>-0.48</w:t>
            </w:r>
          </w:p>
        </w:tc>
        <w:tc>
          <w:tcPr>
            <w:tcW w:w="1138" w:type="dxa"/>
          </w:tcPr>
          <w:p w:rsidR="002F420E" w:rsidRPr="001C44A9" w:rsidRDefault="002F420E" w:rsidP="00211C1B">
            <w:pPr>
              <w:spacing w:line="360" w:lineRule="auto"/>
              <w:jc w:val="both"/>
              <w:rPr>
                <w:sz w:val="20"/>
                <w:szCs w:val="22"/>
              </w:rPr>
            </w:pPr>
            <w:r w:rsidRPr="001C44A9">
              <w:rPr>
                <w:sz w:val="20"/>
                <w:szCs w:val="22"/>
              </w:rPr>
              <w:t>-</w:t>
            </w:r>
            <w:r w:rsidR="00211C1B" w:rsidRPr="001C44A9">
              <w:rPr>
                <w:sz w:val="20"/>
                <w:szCs w:val="22"/>
              </w:rPr>
              <w:t>1.25</w:t>
            </w:r>
          </w:p>
        </w:tc>
        <w:tc>
          <w:tcPr>
            <w:tcW w:w="1114" w:type="dxa"/>
          </w:tcPr>
          <w:p w:rsidR="002F420E" w:rsidRPr="001C44A9" w:rsidRDefault="00CC68FB" w:rsidP="003D3791">
            <w:pPr>
              <w:spacing w:line="360" w:lineRule="auto"/>
              <w:jc w:val="both"/>
              <w:rPr>
                <w:sz w:val="20"/>
                <w:szCs w:val="22"/>
              </w:rPr>
            </w:pPr>
            <w:r w:rsidRPr="001C44A9">
              <w:rPr>
                <w:sz w:val="20"/>
                <w:szCs w:val="22"/>
              </w:rPr>
              <w:t>-0.49</w:t>
            </w:r>
          </w:p>
        </w:tc>
        <w:tc>
          <w:tcPr>
            <w:tcW w:w="1019" w:type="dxa"/>
          </w:tcPr>
          <w:p w:rsidR="002F420E" w:rsidRPr="001C44A9" w:rsidRDefault="00CC68FB" w:rsidP="003D3791">
            <w:pPr>
              <w:spacing w:line="360" w:lineRule="auto"/>
              <w:jc w:val="both"/>
              <w:rPr>
                <w:sz w:val="20"/>
                <w:szCs w:val="22"/>
              </w:rPr>
            </w:pPr>
            <w:r w:rsidRPr="001C44A9">
              <w:rPr>
                <w:sz w:val="20"/>
                <w:szCs w:val="22"/>
              </w:rPr>
              <w:t>1.79</w:t>
            </w:r>
          </w:p>
        </w:tc>
        <w:tc>
          <w:tcPr>
            <w:tcW w:w="1122" w:type="dxa"/>
          </w:tcPr>
          <w:p w:rsidR="002F420E" w:rsidRPr="001C44A9" w:rsidRDefault="00CC68FB" w:rsidP="003D3791">
            <w:pPr>
              <w:spacing w:line="360" w:lineRule="auto"/>
              <w:jc w:val="both"/>
              <w:rPr>
                <w:sz w:val="20"/>
                <w:szCs w:val="22"/>
              </w:rPr>
            </w:pPr>
            <w:r w:rsidRPr="001C44A9">
              <w:rPr>
                <w:sz w:val="20"/>
                <w:szCs w:val="22"/>
              </w:rPr>
              <w:t>3.65</w:t>
            </w:r>
          </w:p>
        </w:tc>
      </w:tr>
      <w:tr w:rsidR="002F420E" w:rsidRPr="001C44A9" w:rsidTr="00CC68FB">
        <w:trPr>
          <w:trHeight w:val="340"/>
        </w:trPr>
        <w:tc>
          <w:tcPr>
            <w:tcW w:w="1737" w:type="dxa"/>
          </w:tcPr>
          <w:p w:rsidR="002F420E" w:rsidRPr="001C44A9" w:rsidRDefault="002F420E" w:rsidP="003D3791">
            <w:pPr>
              <w:spacing w:line="360" w:lineRule="auto"/>
              <w:jc w:val="both"/>
              <w:rPr>
                <w:sz w:val="20"/>
                <w:szCs w:val="22"/>
              </w:rPr>
            </w:pPr>
            <w:r w:rsidRPr="001C44A9">
              <w:rPr>
                <w:sz w:val="20"/>
                <w:szCs w:val="22"/>
              </w:rPr>
              <w:t>Olasılık</w:t>
            </w:r>
          </w:p>
        </w:tc>
        <w:tc>
          <w:tcPr>
            <w:tcW w:w="1806" w:type="dxa"/>
          </w:tcPr>
          <w:p w:rsidR="002F420E" w:rsidRPr="001C44A9" w:rsidRDefault="002F420E" w:rsidP="003D3791">
            <w:pPr>
              <w:spacing w:line="360" w:lineRule="auto"/>
              <w:jc w:val="both"/>
              <w:rPr>
                <w:sz w:val="20"/>
                <w:szCs w:val="22"/>
              </w:rPr>
            </w:pPr>
            <w:r w:rsidRPr="001C44A9">
              <w:rPr>
                <w:sz w:val="20"/>
                <w:szCs w:val="22"/>
              </w:rPr>
              <w:t>0.000</w:t>
            </w:r>
          </w:p>
        </w:tc>
        <w:tc>
          <w:tcPr>
            <w:tcW w:w="1126" w:type="dxa"/>
          </w:tcPr>
          <w:p w:rsidR="002F420E" w:rsidRPr="001C44A9" w:rsidRDefault="001A11ED" w:rsidP="003D3791">
            <w:pPr>
              <w:spacing w:line="360" w:lineRule="auto"/>
              <w:jc w:val="both"/>
              <w:rPr>
                <w:sz w:val="20"/>
                <w:szCs w:val="22"/>
              </w:rPr>
            </w:pPr>
            <w:r>
              <w:rPr>
                <w:sz w:val="20"/>
                <w:szCs w:val="22"/>
              </w:rPr>
              <w:t>0.636</w:t>
            </w:r>
          </w:p>
        </w:tc>
        <w:tc>
          <w:tcPr>
            <w:tcW w:w="1138" w:type="dxa"/>
          </w:tcPr>
          <w:p w:rsidR="002F420E" w:rsidRPr="001C44A9" w:rsidRDefault="002F420E" w:rsidP="00211C1B">
            <w:pPr>
              <w:spacing w:line="360" w:lineRule="auto"/>
              <w:jc w:val="both"/>
              <w:rPr>
                <w:sz w:val="20"/>
                <w:szCs w:val="22"/>
              </w:rPr>
            </w:pPr>
            <w:r w:rsidRPr="001C44A9">
              <w:rPr>
                <w:sz w:val="20"/>
                <w:szCs w:val="22"/>
              </w:rPr>
              <w:t>0.</w:t>
            </w:r>
            <w:r w:rsidR="00211C1B" w:rsidRPr="001C44A9">
              <w:rPr>
                <w:sz w:val="20"/>
                <w:szCs w:val="22"/>
              </w:rPr>
              <w:t>035</w:t>
            </w:r>
          </w:p>
        </w:tc>
        <w:tc>
          <w:tcPr>
            <w:tcW w:w="1114" w:type="dxa"/>
          </w:tcPr>
          <w:p w:rsidR="002F420E" w:rsidRPr="001C44A9" w:rsidRDefault="00CC68FB" w:rsidP="003D3791">
            <w:pPr>
              <w:spacing w:line="360" w:lineRule="auto"/>
              <w:jc w:val="both"/>
              <w:rPr>
                <w:sz w:val="20"/>
                <w:szCs w:val="22"/>
              </w:rPr>
            </w:pPr>
            <w:r w:rsidRPr="001C44A9">
              <w:rPr>
                <w:sz w:val="20"/>
                <w:szCs w:val="22"/>
              </w:rPr>
              <w:t>0.626</w:t>
            </w:r>
          </w:p>
        </w:tc>
        <w:tc>
          <w:tcPr>
            <w:tcW w:w="1019" w:type="dxa"/>
          </w:tcPr>
          <w:p w:rsidR="002F420E" w:rsidRPr="001C44A9" w:rsidRDefault="00CC68FB" w:rsidP="003D3791">
            <w:pPr>
              <w:spacing w:line="360" w:lineRule="auto"/>
              <w:jc w:val="both"/>
              <w:rPr>
                <w:sz w:val="20"/>
                <w:szCs w:val="22"/>
              </w:rPr>
            </w:pPr>
            <w:r w:rsidRPr="001C44A9">
              <w:rPr>
                <w:sz w:val="20"/>
                <w:szCs w:val="22"/>
              </w:rPr>
              <w:t>0.078</w:t>
            </w:r>
          </w:p>
        </w:tc>
        <w:tc>
          <w:tcPr>
            <w:tcW w:w="1122" w:type="dxa"/>
          </w:tcPr>
          <w:p w:rsidR="002F420E" w:rsidRPr="001C44A9" w:rsidRDefault="00CC68FB" w:rsidP="003D3791">
            <w:pPr>
              <w:spacing w:line="360" w:lineRule="auto"/>
              <w:jc w:val="both"/>
              <w:rPr>
                <w:sz w:val="20"/>
                <w:szCs w:val="22"/>
              </w:rPr>
            </w:pPr>
            <w:r w:rsidRPr="001C44A9">
              <w:rPr>
                <w:sz w:val="20"/>
                <w:szCs w:val="22"/>
              </w:rPr>
              <w:t>0.000</w:t>
            </w:r>
          </w:p>
        </w:tc>
      </w:tr>
    </w:tbl>
    <w:p w:rsidR="002F420E" w:rsidRDefault="00C15E61" w:rsidP="003D3791">
      <w:pPr>
        <w:spacing w:line="360" w:lineRule="auto"/>
        <w:jc w:val="both"/>
        <w:rPr>
          <w:sz w:val="22"/>
          <w:szCs w:val="22"/>
        </w:rPr>
      </w:pPr>
      <w:r w:rsidRPr="00E96332">
        <w:rPr>
          <w:sz w:val="18"/>
          <w:szCs w:val="20"/>
        </w:rPr>
        <w:t xml:space="preserve">*** </w:t>
      </w:r>
      <w:r w:rsidRPr="00E96332">
        <w:rPr>
          <w:i/>
          <w:sz w:val="18"/>
          <w:szCs w:val="20"/>
        </w:rPr>
        <w:t>p</w:t>
      </w:r>
      <w:r w:rsidRPr="00E96332">
        <w:rPr>
          <w:sz w:val="18"/>
          <w:szCs w:val="20"/>
        </w:rPr>
        <w:t xml:space="preserve"> &lt; 0.01, ** </w:t>
      </w:r>
      <w:r w:rsidRPr="00E96332">
        <w:rPr>
          <w:i/>
          <w:sz w:val="18"/>
          <w:szCs w:val="20"/>
        </w:rPr>
        <w:t>p</w:t>
      </w:r>
      <w:r w:rsidRPr="00E96332">
        <w:rPr>
          <w:sz w:val="18"/>
          <w:szCs w:val="20"/>
        </w:rPr>
        <w:t xml:space="preserve"> &lt; 0.05, * </w:t>
      </w:r>
      <w:r w:rsidRPr="00E96332">
        <w:rPr>
          <w:i/>
          <w:sz w:val="18"/>
          <w:szCs w:val="20"/>
        </w:rPr>
        <w:t>p</w:t>
      </w:r>
      <w:r w:rsidRPr="00E96332">
        <w:rPr>
          <w:sz w:val="18"/>
          <w:szCs w:val="20"/>
        </w:rPr>
        <w:t xml:space="preserve"> &lt; 0.10.</w:t>
      </w:r>
    </w:p>
    <w:p w:rsidR="00044091" w:rsidRDefault="00044091" w:rsidP="003D3791">
      <w:pPr>
        <w:spacing w:line="360" w:lineRule="auto"/>
        <w:jc w:val="both"/>
        <w:rPr>
          <w:sz w:val="22"/>
          <w:szCs w:val="22"/>
        </w:rPr>
      </w:pPr>
    </w:p>
    <w:p w:rsidR="00E56CDB" w:rsidRDefault="00E56CDB" w:rsidP="003D3791">
      <w:pPr>
        <w:spacing w:line="360" w:lineRule="auto"/>
        <w:jc w:val="both"/>
        <w:rPr>
          <w:sz w:val="22"/>
          <w:szCs w:val="22"/>
        </w:rPr>
      </w:pPr>
      <w:r>
        <w:rPr>
          <w:sz w:val="22"/>
          <w:szCs w:val="22"/>
        </w:rPr>
        <w:t>Çizelge 5.4. sabit etkiler modeline ait</w:t>
      </w:r>
      <w:r w:rsidRPr="00E56CDB">
        <w:rPr>
          <w:sz w:val="22"/>
          <w:szCs w:val="22"/>
        </w:rPr>
        <w:t xml:space="preserve"> tahmin sonuçlarını içermektedir. Farklı anlamlılık düzeyindeki </w:t>
      </w:r>
      <w:r w:rsidR="001C44A9">
        <w:rPr>
          <w:sz w:val="22"/>
          <w:szCs w:val="22"/>
        </w:rPr>
        <w:t>doğrudan net yatırımlar göstergesi dışında kalan tüm göstergelere ilişkin katsayılar</w:t>
      </w:r>
      <w:r w:rsidRPr="00E56CDB">
        <w:rPr>
          <w:sz w:val="22"/>
          <w:szCs w:val="22"/>
        </w:rPr>
        <w:t xml:space="preserve"> istat</w:t>
      </w:r>
      <w:r w:rsidR="001C44A9">
        <w:rPr>
          <w:sz w:val="22"/>
          <w:szCs w:val="22"/>
        </w:rPr>
        <w:t>istiksel olarak anlamlı bulunmuştur.</w:t>
      </w:r>
      <w:r w:rsidRPr="00E56CDB">
        <w:rPr>
          <w:sz w:val="22"/>
          <w:szCs w:val="22"/>
        </w:rPr>
        <w:t xml:space="preserve"> </w:t>
      </w:r>
      <w:r w:rsidR="001C44A9">
        <w:rPr>
          <w:sz w:val="22"/>
          <w:szCs w:val="22"/>
        </w:rPr>
        <w:t xml:space="preserve">Tahmin </w:t>
      </w:r>
      <w:r w:rsidR="00C15E61">
        <w:rPr>
          <w:sz w:val="22"/>
          <w:szCs w:val="22"/>
        </w:rPr>
        <w:t xml:space="preserve">modelin güvenilirliğini </w:t>
      </w:r>
      <w:r w:rsidRPr="00E56CDB">
        <w:rPr>
          <w:sz w:val="22"/>
          <w:szCs w:val="22"/>
        </w:rPr>
        <w:t xml:space="preserve">belirlemek için </w:t>
      </w:r>
      <w:r w:rsidR="001C44A9">
        <w:rPr>
          <w:sz w:val="22"/>
          <w:szCs w:val="22"/>
        </w:rPr>
        <w:t xml:space="preserve">gerçekleştirilen temel </w:t>
      </w:r>
      <w:r w:rsidR="00C15E61">
        <w:rPr>
          <w:sz w:val="22"/>
          <w:szCs w:val="22"/>
        </w:rPr>
        <w:t>varsayım</w:t>
      </w:r>
      <w:r w:rsidR="001C44A9">
        <w:rPr>
          <w:sz w:val="22"/>
          <w:szCs w:val="22"/>
        </w:rPr>
        <w:t xml:space="preserve"> testlerine ilişkin özet istatistikler Çizelge 5.5.’te verilmiştir.</w:t>
      </w:r>
    </w:p>
    <w:p w:rsidR="001C44A9" w:rsidRDefault="001C44A9" w:rsidP="003D3791">
      <w:pPr>
        <w:spacing w:line="360" w:lineRule="auto"/>
        <w:jc w:val="both"/>
        <w:rPr>
          <w:sz w:val="22"/>
          <w:szCs w:val="22"/>
        </w:rPr>
      </w:pPr>
    </w:p>
    <w:p w:rsidR="001C44A9" w:rsidRDefault="001C44A9" w:rsidP="001C44A9">
      <w:pPr>
        <w:spacing w:line="360" w:lineRule="auto"/>
        <w:jc w:val="both"/>
        <w:rPr>
          <w:sz w:val="22"/>
          <w:szCs w:val="22"/>
        </w:rPr>
      </w:pPr>
      <w:r w:rsidRPr="00C61654">
        <w:rPr>
          <w:i/>
          <w:iCs/>
          <w:sz w:val="22"/>
          <w:szCs w:val="22"/>
        </w:rPr>
        <w:t>Çizelge 5.</w:t>
      </w:r>
      <w:r>
        <w:rPr>
          <w:i/>
          <w:iCs/>
          <w:sz w:val="22"/>
          <w:szCs w:val="22"/>
        </w:rPr>
        <w:t>5</w:t>
      </w:r>
      <w:r w:rsidRPr="00C61654">
        <w:rPr>
          <w:i/>
          <w:iCs/>
          <w:sz w:val="22"/>
          <w:szCs w:val="22"/>
        </w:rPr>
        <w:t xml:space="preserve">. </w:t>
      </w:r>
      <w:r>
        <w:rPr>
          <w:i/>
          <w:iCs/>
          <w:sz w:val="22"/>
          <w:szCs w:val="22"/>
        </w:rPr>
        <w:t>Temel Varsayım Testleri</w:t>
      </w:r>
    </w:p>
    <w:tbl>
      <w:tblPr>
        <w:tblStyle w:val="TabloKlavuzu"/>
        <w:tblW w:w="0" w:type="auto"/>
        <w:tblLook w:val="04A0" w:firstRow="1" w:lastRow="0" w:firstColumn="1" w:lastColumn="0" w:noHBand="0" w:noVBand="1"/>
      </w:tblPr>
      <w:tblGrid>
        <w:gridCol w:w="2441"/>
        <w:gridCol w:w="2941"/>
        <w:gridCol w:w="2268"/>
        <w:gridCol w:w="1412"/>
      </w:tblGrid>
      <w:tr w:rsidR="004B7ED1" w:rsidRPr="00A85FD8" w:rsidTr="005A7650">
        <w:tc>
          <w:tcPr>
            <w:tcW w:w="2441" w:type="dxa"/>
          </w:tcPr>
          <w:p w:rsidR="004B7ED1" w:rsidRPr="00A85FD8" w:rsidRDefault="004B7ED1" w:rsidP="003D3791">
            <w:pPr>
              <w:spacing w:line="360" w:lineRule="auto"/>
              <w:jc w:val="both"/>
              <w:rPr>
                <w:sz w:val="20"/>
                <w:szCs w:val="22"/>
              </w:rPr>
            </w:pPr>
            <w:r w:rsidRPr="00A85FD8">
              <w:rPr>
                <w:sz w:val="20"/>
                <w:szCs w:val="22"/>
              </w:rPr>
              <w:t>Temel Varsayımlar</w:t>
            </w:r>
          </w:p>
        </w:tc>
        <w:tc>
          <w:tcPr>
            <w:tcW w:w="2941" w:type="dxa"/>
          </w:tcPr>
          <w:p w:rsidR="004B7ED1" w:rsidRPr="00A85FD8" w:rsidRDefault="004B7ED1" w:rsidP="003D3791">
            <w:pPr>
              <w:spacing w:line="360" w:lineRule="auto"/>
              <w:jc w:val="both"/>
              <w:rPr>
                <w:sz w:val="20"/>
                <w:szCs w:val="22"/>
              </w:rPr>
            </w:pPr>
            <w:r w:rsidRPr="00A85FD8">
              <w:rPr>
                <w:sz w:val="20"/>
                <w:szCs w:val="22"/>
              </w:rPr>
              <w:t>Kullanılan Test</w:t>
            </w:r>
          </w:p>
        </w:tc>
        <w:tc>
          <w:tcPr>
            <w:tcW w:w="2268" w:type="dxa"/>
          </w:tcPr>
          <w:p w:rsidR="004B7ED1" w:rsidRPr="00A85FD8" w:rsidRDefault="005A7650" w:rsidP="003D3791">
            <w:pPr>
              <w:spacing w:line="360" w:lineRule="auto"/>
              <w:jc w:val="both"/>
              <w:rPr>
                <w:sz w:val="20"/>
                <w:szCs w:val="22"/>
              </w:rPr>
            </w:pPr>
            <w:r w:rsidRPr="00A85FD8">
              <w:rPr>
                <w:sz w:val="20"/>
                <w:szCs w:val="22"/>
              </w:rPr>
              <w:t>Test İstatistiği</w:t>
            </w:r>
          </w:p>
        </w:tc>
        <w:tc>
          <w:tcPr>
            <w:tcW w:w="1412" w:type="dxa"/>
          </w:tcPr>
          <w:p w:rsidR="004B7ED1" w:rsidRPr="00A85FD8" w:rsidRDefault="005A7650" w:rsidP="003D3791">
            <w:pPr>
              <w:spacing w:line="360" w:lineRule="auto"/>
              <w:jc w:val="both"/>
              <w:rPr>
                <w:sz w:val="20"/>
                <w:szCs w:val="22"/>
              </w:rPr>
            </w:pPr>
            <w:r w:rsidRPr="00A85FD8">
              <w:rPr>
                <w:sz w:val="20"/>
                <w:szCs w:val="22"/>
              </w:rPr>
              <w:t xml:space="preserve">Olasılık </w:t>
            </w:r>
          </w:p>
        </w:tc>
      </w:tr>
      <w:tr w:rsidR="004B7ED1" w:rsidRPr="00A85FD8" w:rsidTr="005A7650">
        <w:tc>
          <w:tcPr>
            <w:tcW w:w="2441" w:type="dxa"/>
          </w:tcPr>
          <w:p w:rsidR="004B7ED1" w:rsidRPr="00A85FD8" w:rsidRDefault="004B7ED1" w:rsidP="003D3791">
            <w:pPr>
              <w:spacing w:line="360" w:lineRule="auto"/>
              <w:jc w:val="both"/>
              <w:rPr>
                <w:sz w:val="20"/>
                <w:szCs w:val="22"/>
              </w:rPr>
            </w:pPr>
            <w:r w:rsidRPr="00A85FD8">
              <w:rPr>
                <w:sz w:val="20"/>
                <w:szCs w:val="22"/>
              </w:rPr>
              <w:t>Yatay Kesit Bağımlılığı</w:t>
            </w:r>
          </w:p>
        </w:tc>
        <w:tc>
          <w:tcPr>
            <w:tcW w:w="2941" w:type="dxa"/>
          </w:tcPr>
          <w:p w:rsidR="004B7ED1" w:rsidRPr="00A85FD8" w:rsidRDefault="004B7ED1" w:rsidP="003D3791">
            <w:pPr>
              <w:spacing w:line="360" w:lineRule="auto"/>
              <w:jc w:val="both"/>
              <w:rPr>
                <w:sz w:val="20"/>
                <w:szCs w:val="22"/>
              </w:rPr>
            </w:pPr>
            <w:r w:rsidRPr="00A85FD8">
              <w:rPr>
                <w:sz w:val="20"/>
                <w:szCs w:val="22"/>
              </w:rPr>
              <w:t>Pesaran CD Test</w:t>
            </w:r>
          </w:p>
        </w:tc>
        <w:tc>
          <w:tcPr>
            <w:tcW w:w="2268" w:type="dxa"/>
          </w:tcPr>
          <w:p w:rsidR="004B7ED1" w:rsidRPr="00A85FD8" w:rsidRDefault="005A7650" w:rsidP="003D3791">
            <w:pPr>
              <w:spacing w:line="360" w:lineRule="auto"/>
              <w:jc w:val="both"/>
              <w:rPr>
                <w:sz w:val="20"/>
                <w:szCs w:val="22"/>
              </w:rPr>
            </w:pPr>
            <w:r w:rsidRPr="00A85FD8">
              <w:rPr>
                <w:sz w:val="20"/>
                <w:szCs w:val="22"/>
              </w:rPr>
              <w:t>0.148</w:t>
            </w:r>
          </w:p>
        </w:tc>
        <w:tc>
          <w:tcPr>
            <w:tcW w:w="1412" w:type="dxa"/>
          </w:tcPr>
          <w:p w:rsidR="004B7ED1" w:rsidRPr="00A85FD8" w:rsidRDefault="005A7650" w:rsidP="003D3791">
            <w:pPr>
              <w:spacing w:line="360" w:lineRule="auto"/>
              <w:jc w:val="both"/>
              <w:rPr>
                <w:sz w:val="20"/>
                <w:szCs w:val="22"/>
              </w:rPr>
            </w:pPr>
            <w:r w:rsidRPr="00A85FD8">
              <w:rPr>
                <w:sz w:val="20"/>
                <w:szCs w:val="22"/>
              </w:rPr>
              <w:t>0.882</w:t>
            </w:r>
          </w:p>
        </w:tc>
      </w:tr>
      <w:tr w:rsidR="004B7ED1" w:rsidRPr="00A85FD8" w:rsidTr="005A7650">
        <w:tc>
          <w:tcPr>
            <w:tcW w:w="2441" w:type="dxa"/>
          </w:tcPr>
          <w:p w:rsidR="004B7ED1" w:rsidRPr="00A85FD8" w:rsidRDefault="004B7ED1" w:rsidP="003D3791">
            <w:pPr>
              <w:spacing w:line="360" w:lineRule="auto"/>
              <w:jc w:val="both"/>
              <w:rPr>
                <w:sz w:val="20"/>
                <w:szCs w:val="22"/>
              </w:rPr>
            </w:pPr>
            <w:r w:rsidRPr="00A85FD8">
              <w:rPr>
                <w:sz w:val="20"/>
                <w:szCs w:val="22"/>
              </w:rPr>
              <w:t>Farklı Yayılım</w:t>
            </w:r>
          </w:p>
        </w:tc>
        <w:tc>
          <w:tcPr>
            <w:tcW w:w="2941" w:type="dxa"/>
          </w:tcPr>
          <w:p w:rsidR="004B7ED1" w:rsidRPr="00A85FD8" w:rsidRDefault="004B7ED1" w:rsidP="003D3791">
            <w:pPr>
              <w:spacing w:line="360" w:lineRule="auto"/>
              <w:jc w:val="both"/>
              <w:rPr>
                <w:sz w:val="20"/>
                <w:szCs w:val="22"/>
              </w:rPr>
            </w:pPr>
            <w:r w:rsidRPr="00A85FD8">
              <w:rPr>
                <w:sz w:val="20"/>
                <w:szCs w:val="22"/>
              </w:rPr>
              <w:t>Uyumlaştırılmış Wald Testi</w:t>
            </w:r>
          </w:p>
        </w:tc>
        <w:tc>
          <w:tcPr>
            <w:tcW w:w="2268" w:type="dxa"/>
          </w:tcPr>
          <w:p w:rsidR="004B7ED1" w:rsidRPr="00A85FD8" w:rsidRDefault="005A7650" w:rsidP="003D3791">
            <w:pPr>
              <w:spacing w:line="360" w:lineRule="auto"/>
              <w:jc w:val="both"/>
              <w:rPr>
                <w:sz w:val="20"/>
                <w:szCs w:val="22"/>
              </w:rPr>
            </w:pPr>
            <w:r w:rsidRPr="00A85FD8">
              <w:rPr>
                <w:sz w:val="20"/>
                <w:szCs w:val="22"/>
              </w:rPr>
              <w:t>5744.27</w:t>
            </w:r>
          </w:p>
        </w:tc>
        <w:tc>
          <w:tcPr>
            <w:tcW w:w="1412" w:type="dxa"/>
          </w:tcPr>
          <w:p w:rsidR="004B7ED1" w:rsidRPr="00A85FD8" w:rsidRDefault="005A7650" w:rsidP="003D3791">
            <w:pPr>
              <w:spacing w:line="360" w:lineRule="auto"/>
              <w:jc w:val="both"/>
              <w:rPr>
                <w:sz w:val="20"/>
                <w:szCs w:val="22"/>
              </w:rPr>
            </w:pPr>
            <w:r w:rsidRPr="00A85FD8">
              <w:rPr>
                <w:sz w:val="20"/>
                <w:szCs w:val="22"/>
              </w:rPr>
              <w:t>0.0000</w:t>
            </w:r>
          </w:p>
        </w:tc>
      </w:tr>
      <w:tr w:rsidR="005A7650" w:rsidRPr="00A85FD8" w:rsidTr="005A7650">
        <w:tc>
          <w:tcPr>
            <w:tcW w:w="2441" w:type="dxa"/>
          </w:tcPr>
          <w:p w:rsidR="005A7650" w:rsidRPr="00A85FD8" w:rsidRDefault="005A7650" w:rsidP="005A7650">
            <w:pPr>
              <w:spacing w:line="360" w:lineRule="auto"/>
              <w:jc w:val="both"/>
              <w:rPr>
                <w:sz w:val="20"/>
                <w:szCs w:val="22"/>
              </w:rPr>
            </w:pPr>
            <w:r w:rsidRPr="00A85FD8">
              <w:rPr>
                <w:sz w:val="20"/>
                <w:szCs w:val="22"/>
              </w:rPr>
              <w:t>Otokorelasyon</w:t>
            </w:r>
          </w:p>
        </w:tc>
        <w:tc>
          <w:tcPr>
            <w:tcW w:w="2941" w:type="dxa"/>
          </w:tcPr>
          <w:p w:rsidR="005A7650" w:rsidRPr="00A85FD8" w:rsidRDefault="005A7650" w:rsidP="005A7650">
            <w:pPr>
              <w:spacing w:line="360" w:lineRule="auto"/>
              <w:jc w:val="both"/>
              <w:rPr>
                <w:sz w:val="20"/>
                <w:szCs w:val="22"/>
              </w:rPr>
            </w:pPr>
            <w:r w:rsidRPr="00A85FD8">
              <w:rPr>
                <w:sz w:val="20"/>
                <w:szCs w:val="22"/>
              </w:rPr>
              <w:t>Wooldridge F Testi</w:t>
            </w:r>
          </w:p>
        </w:tc>
        <w:tc>
          <w:tcPr>
            <w:tcW w:w="2268" w:type="dxa"/>
          </w:tcPr>
          <w:p w:rsidR="005A7650" w:rsidRPr="00A85FD8" w:rsidRDefault="005A7650" w:rsidP="005A7650">
            <w:pPr>
              <w:spacing w:line="360" w:lineRule="auto"/>
              <w:jc w:val="both"/>
              <w:rPr>
                <w:sz w:val="20"/>
                <w:szCs w:val="22"/>
              </w:rPr>
            </w:pPr>
            <w:r w:rsidRPr="00A85FD8">
              <w:rPr>
                <w:sz w:val="20"/>
                <w:szCs w:val="22"/>
              </w:rPr>
              <w:t>56.389</w:t>
            </w:r>
          </w:p>
        </w:tc>
        <w:tc>
          <w:tcPr>
            <w:tcW w:w="1412" w:type="dxa"/>
          </w:tcPr>
          <w:p w:rsidR="005A7650" w:rsidRPr="00A85FD8" w:rsidRDefault="005A7650" w:rsidP="005A7650">
            <w:pPr>
              <w:spacing w:line="360" w:lineRule="auto"/>
              <w:jc w:val="both"/>
              <w:rPr>
                <w:sz w:val="20"/>
                <w:szCs w:val="22"/>
              </w:rPr>
            </w:pPr>
            <w:r w:rsidRPr="00A85FD8">
              <w:rPr>
                <w:sz w:val="20"/>
                <w:szCs w:val="22"/>
              </w:rPr>
              <w:t>0.0017</w:t>
            </w:r>
          </w:p>
        </w:tc>
      </w:tr>
    </w:tbl>
    <w:p w:rsidR="004B7ED1" w:rsidRDefault="004B7ED1" w:rsidP="003D3791">
      <w:pPr>
        <w:spacing w:line="360" w:lineRule="auto"/>
        <w:jc w:val="both"/>
        <w:rPr>
          <w:sz w:val="22"/>
          <w:szCs w:val="22"/>
        </w:rPr>
      </w:pPr>
    </w:p>
    <w:p w:rsidR="003D3791" w:rsidRPr="00524AFD" w:rsidRDefault="00C15E61" w:rsidP="003D3791">
      <w:pPr>
        <w:spacing w:line="360" w:lineRule="auto"/>
        <w:jc w:val="both"/>
        <w:rPr>
          <w:sz w:val="22"/>
          <w:szCs w:val="22"/>
        </w:rPr>
      </w:pPr>
      <w:r>
        <w:rPr>
          <w:sz w:val="22"/>
          <w:szCs w:val="22"/>
        </w:rPr>
        <w:t>Tahmin modeline</w:t>
      </w:r>
      <w:r w:rsidR="003D3791" w:rsidRPr="00524AFD">
        <w:rPr>
          <w:sz w:val="22"/>
          <w:szCs w:val="22"/>
        </w:rPr>
        <w:t xml:space="preserve"> ilişkin yatay kesit bağımlılığı Pesaran CD test istatistiği ile incelenmiştir.</w:t>
      </w:r>
      <w:r w:rsidR="003B7592">
        <w:rPr>
          <w:sz w:val="22"/>
          <w:szCs w:val="22"/>
        </w:rPr>
        <w:t xml:space="preserve"> Araştıma </w:t>
      </w:r>
      <w:r w:rsidR="003B7592" w:rsidRPr="003B7592">
        <w:rPr>
          <w:sz w:val="22"/>
          <w:szCs w:val="22"/>
        </w:rPr>
        <w:t>modelinde</w:t>
      </w:r>
      <w:r w:rsidR="003D3791" w:rsidRPr="003B7592">
        <w:rPr>
          <w:sz w:val="22"/>
          <w:szCs w:val="22"/>
        </w:rPr>
        <w:t xml:space="preserve"> yatay kesit bağımlılığı </w:t>
      </w:r>
      <w:r w:rsidR="003B7592" w:rsidRPr="003B7592">
        <w:rPr>
          <w:sz w:val="22"/>
          <w:szCs w:val="22"/>
        </w:rPr>
        <w:t>olmadığı tespit edilmiştir.</w:t>
      </w:r>
      <w:r w:rsidR="003D3791" w:rsidRPr="003B7592">
        <w:rPr>
          <w:sz w:val="22"/>
          <w:szCs w:val="22"/>
        </w:rPr>
        <w:t xml:space="preserve">  Sabit etkiler modelinin geçerli olduğu modeller için farklı yayılım sınaması Uyumlaştırılmış Wald testi ile gerçekleştirilmiş olup varyansın </w:t>
      </w:r>
      <w:r w:rsidR="003D3791" w:rsidRPr="00057601">
        <w:rPr>
          <w:sz w:val="22"/>
          <w:szCs w:val="22"/>
        </w:rPr>
        <w:t xml:space="preserve">birimlere göre değişiklik gösterdiği sonucu elde edilmiştir.  Son olarak otokorelasyon sınaması Wooldridge F Testi ile incelenmiş ve </w:t>
      </w:r>
      <w:r w:rsidR="003B7592" w:rsidRPr="00057601">
        <w:rPr>
          <w:sz w:val="22"/>
          <w:szCs w:val="22"/>
        </w:rPr>
        <w:t xml:space="preserve">kurulan modelde </w:t>
      </w:r>
      <w:r w:rsidR="003D3791" w:rsidRPr="00057601">
        <w:rPr>
          <w:sz w:val="22"/>
          <w:szCs w:val="22"/>
        </w:rPr>
        <w:t xml:space="preserve">otokorelasyon sorunu olduğu tespit edilmiştir. Temel varsayım sınamalarına </w:t>
      </w:r>
      <w:r w:rsidR="003B7592" w:rsidRPr="00057601">
        <w:rPr>
          <w:sz w:val="22"/>
          <w:szCs w:val="22"/>
        </w:rPr>
        <w:t>genç işsizliğin</w:t>
      </w:r>
      <w:r w:rsidR="003D3791" w:rsidRPr="00057601">
        <w:rPr>
          <w:sz w:val="22"/>
          <w:szCs w:val="22"/>
        </w:rPr>
        <w:t xml:space="preserve"> (</w:t>
      </w:r>
      <w:r w:rsidR="003B7592" w:rsidRPr="00057601">
        <w:rPr>
          <w:sz w:val="22"/>
          <w:szCs w:val="22"/>
        </w:rPr>
        <w:t>Y</w:t>
      </w:r>
      <w:r w:rsidR="003D3791" w:rsidRPr="00057601">
        <w:rPr>
          <w:sz w:val="22"/>
          <w:szCs w:val="22"/>
        </w:rPr>
        <w:t>UR</w:t>
      </w:r>
      <w:r w:rsidR="003B7592" w:rsidRPr="00057601">
        <w:rPr>
          <w:sz w:val="22"/>
          <w:szCs w:val="22"/>
        </w:rPr>
        <w:t>) makroekonomik belirleyicilerini tespit etmek amacıyla kurulan model</w:t>
      </w:r>
      <w:r w:rsidR="003D3791" w:rsidRPr="00057601">
        <w:rPr>
          <w:sz w:val="22"/>
          <w:szCs w:val="22"/>
        </w:rPr>
        <w:t xml:space="preserve">de otokorelasyon ve farklı yayılım problemleri bulunmaktadır. Bu </w:t>
      </w:r>
      <w:r w:rsidR="00057601" w:rsidRPr="00057601">
        <w:rPr>
          <w:sz w:val="22"/>
          <w:szCs w:val="22"/>
        </w:rPr>
        <w:t xml:space="preserve">sonuç </w:t>
      </w:r>
      <w:r w:rsidR="00057601" w:rsidRPr="00057601">
        <w:rPr>
          <w:sz w:val="22"/>
          <w:szCs w:val="22"/>
        </w:rPr>
        <w:lastRenderedPageBreak/>
        <w:t>doğrultusunda</w:t>
      </w:r>
      <w:r w:rsidR="003D3791" w:rsidRPr="00057601">
        <w:rPr>
          <w:sz w:val="22"/>
          <w:szCs w:val="22"/>
        </w:rPr>
        <w:t xml:space="preserve"> Robust (Dirençli standart hata) hata tahmin yöntemleri arasından en uygun hata yöntemin Driscoll-Kraay Tahmin Edicisi olduğu tespit edilmiştir.</w:t>
      </w:r>
    </w:p>
    <w:p w:rsidR="00A85FD8" w:rsidRDefault="00A85FD8" w:rsidP="007653F3">
      <w:pPr>
        <w:spacing w:line="360" w:lineRule="auto"/>
        <w:jc w:val="both"/>
        <w:rPr>
          <w:iCs/>
          <w:sz w:val="22"/>
          <w:szCs w:val="22"/>
        </w:rPr>
      </w:pPr>
    </w:p>
    <w:p w:rsidR="00C15E61" w:rsidRDefault="00C15E61" w:rsidP="00C15E61">
      <w:pPr>
        <w:spacing w:line="360" w:lineRule="auto"/>
        <w:jc w:val="both"/>
        <w:rPr>
          <w:sz w:val="22"/>
          <w:szCs w:val="22"/>
        </w:rPr>
      </w:pPr>
      <w:r w:rsidRPr="00C61654">
        <w:rPr>
          <w:i/>
          <w:iCs/>
          <w:sz w:val="22"/>
          <w:szCs w:val="22"/>
        </w:rPr>
        <w:t>Çizelge 5.</w:t>
      </w:r>
      <w:r>
        <w:rPr>
          <w:i/>
          <w:iCs/>
          <w:sz w:val="22"/>
          <w:szCs w:val="22"/>
        </w:rPr>
        <w:t>6</w:t>
      </w:r>
      <w:r w:rsidRPr="00C61654">
        <w:rPr>
          <w:i/>
          <w:iCs/>
          <w:sz w:val="22"/>
          <w:szCs w:val="22"/>
        </w:rPr>
        <w:t xml:space="preserve">. </w:t>
      </w:r>
      <w:r>
        <w:rPr>
          <w:i/>
          <w:iCs/>
          <w:sz w:val="22"/>
          <w:szCs w:val="22"/>
        </w:rPr>
        <w:t xml:space="preserve">Model Tahmin Sonuçları- </w:t>
      </w:r>
      <w:r w:rsidRPr="00C15E61">
        <w:rPr>
          <w:i/>
          <w:iCs/>
          <w:sz w:val="22"/>
          <w:szCs w:val="22"/>
        </w:rPr>
        <w:t>Driscoll-Kraay</w:t>
      </w:r>
      <w:r>
        <w:rPr>
          <w:i/>
          <w:iCs/>
          <w:sz w:val="22"/>
          <w:szCs w:val="22"/>
        </w:rPr>
        <w:t xml:space="preserve"> Dirençli Standat Hata Tahmin Edicisi</w:t>
      </w:r>
    </w:p>
    <w:tbl>
      <w:tblPr>
        <w:tblStyle w:val="TabloKlavuzu"/>
        <w:tblW w:w="0" w:type="auto"/>
        <w:tblLayout w:type="fixed"/>
        <w:tblLook w:val="04A0" w:firstRow="1" w:lastRow="0" w:firstColumn="1" w:lastColumn="0" w:noHBand="0" w:noVBand="1"/>
      </w:tblPr>
      <w:tblGrid>
        <w:gridCol w:w="1737"/>
        <w:gridCol w:w="243"/>
        <w:gridCol w:w="1563"/>
        <w:gridCol w:w="1126"/>
        <w:gridCol w:w="1138"/>
        <w:gridCol w:w="992"/>
        <w:gridCol w:w="122"/>
        <w:gridCol w:w="1019"/>
        <w:gridCol w:w="1122"/>
      </w:tblGrid>
      <w:tr w:rsidR="00C15E61" w:rsidRPr="001C44A9" w:rsidTr="00CF44E7">
        <w:trPr>
          <w:trHeight w:val="340"/>
        </w:trPr>
        <w:tc>
          <w:tcPr>
            <w:tcW w:w="1737" w:type="dxa"/>
          </w:tcPr>
          <w:p w:rsidR="00C15E61" w:rsidRPr="001C44A9" w:rsidRDefault="00C15E61" w:rsidP="00CF44E7">
            <w:pPr>
              <w:spacing w:line="360" w:lineRule="auto"/>
              <w:jc w:val="both"/>
              <w:rPr>
                <w:sz w:val="20"/>
                <w:szCs w:val="22"/>
              </w:rPr>
            </w:pPr>
          </w:p>
        </w:tc>
        <w:tc>
          <w:tcPr>
            <w:tcW w:w="1806" w:type="dxa"/>
            <w:gridSpan w:val="2"/>
          </w:tcPr>
          <w:p w:rsidR="00C15E61" w:rsidRPr="001C44A9" w:rsidRDefault="00C15E61" w:rsidP="00CF44E7">
            <w:pPr>
              <w:spacing w:line="360" w:lineRule="auto"/>
              <w:jc w:val="both"/>
              <w:rPr>
                <w:sz w:val="20"/>
                <w:szCs w:val="22"/>
              </w:rPr>
            </w:pPr>
            <w:r w:rsidRPr="001C44A9">
              <w:rPr>
                <w:sz w:val="20"/>
                <w:szCs w:val="22"/>
              </w:rPr>
              <w:t>Sabit Terim</w:t>
            </w:r>
          </w:p>
        </w:tc>
        <w:tc>
          <w:tcPr>
            <w:tcW w:w="1126" w:type="dxa"/>
          </w:tcPr>
          <w:p w:rsidR="00C15E61" w:rsidRPr="001C44A9" w:rsidRDefault="00C15E61" w:rsidP="00CF44E7">
            <w:pPr>
              <w:spacing w:line="360" w:lineRule="auto"/>
              <w:jc w:val="both"/>
              <w:rPr>
                <w:sz w:val="20"/>
                <w:szCs w:val="22"/>
              </w:rPr>
            </w:pPr>
            <w:r w:rsidRPr="001C44A9">
              <w:rPr>
                <w:sz w:val="20"/>
                <w:szCs w:val="22"/>
              </w:rPr>
              <w:t>GR</w:t>
            </w:r>
          </w:p>
        </w:tc>
        <w:tc>
          <w:tcPr>
            <w:tcW w:w="1138" w:type="dxa"/>
          </w:tcPr>
          <w:p w:rsidR="00C15E61" w:rsidRPr="001C44A9" w:rsidRDefault="00C15E61" w:rsidP="00CF44E7">
            <w:pPr>
              <w:spacing w:line="360" w:lineRule="auto"/>
              <w:jc w:val="both"/>
              <w:rPr>
                <w:sz w:val="20"/>
                <w:szCs w:val="22"/>
              </w:rPr>
            </w:pPr>
            <w:r w:rsidRPr="001C44A9">
              <w:rPr>
                <w:sz w:val="20"/>
                <w:szCs w:val="22"/>
              </w:rPr>
              <w:t>INF</w:t>
            </w:r>
          </w:p>
        </w:tc>
        <w:tc>
          <w:tcPr>
            <w:tcW w:w="1114" w:type="dxa"/>
            <w:gridSpan w:val="2"/>
          </w:tcPr>
          <w:p w:rsidR="00C15E61" w:rsidRPr="001C44A9" w:rsidRDefault="00C15E61" w:rsidP="00CF44E7">
            <w:pPr>
              <w:spacing w:line="360" w:lineRule="auto"/>
              <w:jc w:val="both"/>
              <w:rPr>
                <w:sz w:val="20"/>
                <w:szCs w:val="22"/>
              </w:rPr>
            </w:pPr>
            <w:r w:rsidRPr="001C44A9">
              <w:rPr>
                <w:sz w:val="20"/>
                <w:szCs w:val="22"/>
              </w:rPr>
              <w:t>FDI</w:t>
            </w:r>
          </w:p>
        </w:tc>
        <w:tc>
          <w:tcPr>
            <w:tcW w:w="1019" w:type="dxa"/>
          </w:tcPr>
          <w:p w:rsidR="00C15E61" w:rsidRPr="001C44A9" w:rsidRDefault="00C15E61" w:rsidP="00CF44E7">
            <w:pPr>
              <w:spacing w:line="360" w:lineRule="auto"/>
              <w:jc w:val="both"/>
              <w:rPr>
                <w:sz w:val="20"/>
                <w:szCs w:val="22"/>
              </w:rPr>
            </w:pPr>
            <w:r w:rsidRPr="001C44A9">
              <w:rPr>
                <w:sz w:val="20"/>
                <w:szCs w:val="22"/>
              </w:rPr>
              <w:t>POP</w:t>
            </w:r>
          </w:p>
        </w:tc>
        <w:tc>
          <w:tcPr>
            <w:tcW w:w="1122" w:type="dxa"/>
          </w:tcPr>
          <w:p w:rsidR="00C15E61" w:rsidRPr="001C44A9" w:rsidRDefault="00C15E61" w:rsidP="00CF44E7">
            <w:pPr>
              <w:spacing w:line="360" w:lineRule="auto"/>
              <w:jc w:val="both"/>
              <w:rPr>
                <w:sz w:val="20"/>
                <w:szCs w:val="22"/>
              </w:rPr>
            </w:pPr>
            <w:r w:rsidRPr="001C44A9">
              <w:rPr>
                <w:sz w:val="20"/>
                <w:szCs w:val="22"/>
              </w:rPr>
              <w:t>EFI</w:t>
            </w:r>
          </w:p>
        </w:tc>
      </w:tr>
      <w:tr w:rsidR="00C15E61" w:rsidRPr="001C44A9" w:rsidTr="00CF44E7">
        <w:trPr>
          <w:trHeight w:val="340"/>
        </w:trPr>
        <w:tc>
          <w:tcPr>
            <w:tcW w:w="1737" w:type="dxa"/>
          </w:tcPr>
          <w:p w:rsidR="00C15E61" w:rsidRPr="001C44A9" w:rsidRDefault="00C15E61" w:rsidP="00CF44E7">
            <w:pPr>
              <w:spacing w:line="360" w:lineRule="auto"/>
              <w:jc w:val="both"/>
              <w:rPr>
                <w:sz w:val="20"/>
                <w:szCs w:val="22"/>
              </w:rPr>
            </w:pPr>
            <w:r w:rsidRPr="001C44A9">
              <w:rPr>
                <w:sz w:val="20"/>
                <w:szCs w:val="22"/>
              </w:rPr>
              <w:t>Katsayı</w:t>
            </w:r>
          </w:p>
        </w:tc>
        <w:tc>
          <w:tcPr>
            <w:tcW w:w="1806" w:type="dxa"/>
            <w:gridSpan w:val="2"/>
          </w:tcPr>
          <w:p w:rsidR="00C15E61" w:rsidRPr="001C44A9" w:rsidRDefault="00C15E61" w:rsidP="00CF44E7">
            <w:pPr>
              <w:spacing w:line="360" w:lineRule="auto"/>
              <w:jc w:val="both"/>
              <w:rPr>
                <w:sz w:val="20"/>
                <w:szCs w:val="22"/>
              </w:rPr>
            </w:pPr>
            <w:r w:rsidRPr="001C44A9">
              <w:rPr>
                <w:sz w:val="20"/>
                <w:szCs w:val="22"/>
              </w:rPr>
              <w:t>0.366</w:t>
            </w:r>
            <w:r w:rsidR="00A85FD8">
              <w:rPr>
                <w:sz w:val="20"/>
                <w:szCs w:val="22"/>
                <w:vertAlign w:val="superscript"/>
              </w:rPr>
              <w:t>**</w:t>
            </w:r>
          </w:p>
        </w:tc>
        <w:tc>
          <w:tcPr>
            <w:tcW w:w="1126" w:type="dxa"/>
          </w:tcPr>
          <w:p w:rsidR="00C15E61" w:rsidRPr="001C44A9" w:rsidRDefault="001A11ED" w:rsidP="00CF44E7">
            <w:pPr>
              <w:spacing w:line="360" w:lineRule="auto"/>
              <w:jc w:val="both"/>
              <w:rPr>
                <w:sz w:val="20"/>
                <w:szCs w:val="22"/>
              </w:rPr>
            </w:pPr>
            <w:r>
              <w:rPr>
                <w:sz w:val="20"/>
                <w:szCs w:val="22"/>
              </w:rPr>
              <w:t>-0.062</w:t>
            </w:r>
          </w:p>
        </w:tc>
        <w:tc>
          <w:tcPr>
            <w:tcW w:w="1138" w:type="dxa"/>
          </w:tcPr>
          <w:p w:rsidR="00C15E61" w:rsidRPr="001C44A9" w:rsidRDefault="00C15E61" w:rsidP="00CF44E7">
            <w:pPr>
              <w:spacing w:line="360" w:lineRule="auto"/>
              <w:jc w:val="both"/>
              <w:rPr>
                <w:sz w:val="20"/>
                <w:szCs w:val="22"/>
              </w:rPr>
            </w:pPr>
            <w:r w:rsidRPr="001C44A9">
              <w:rPr>
                <w:sz w:val="20"/>
                <w:szCs w:val="22"/>
              </w:rPr>
              <w:t>-0.601</w:t>
            </w:r>
            <w:r w:rsidRPr="00A85FD8">
              <w:rPr>
                <w:sz w:val="20"/>
                <w:szCs w:val="22"/>
                <w:vertAlign w:val="superscript"/>
              </w:rPr>
              <w:t>**</w:t>
            </w:r>
          </w:p>
        </w:tc>
        <w:tc>
          <w:tcPr>
            <w:tcW w:w="1114" w:type="dxa"/>
            <w:gridSpan w:val="2"/>
          </w:tcPr>
          <w:p w:rsidR="00C15E61" w:rsidRPr="001C44A9" w:rsidRDefault="00C15E61" w:rsidP="00CF44E7">
            <w:pPr>
              <w:spacing w:line="360" w:lineRule="auto"/>
              <w:jc w:val="both"/>
              <w:rPr>
                <w:sz w:val="20"/>
                <w:szCs w:val="22"/>
              </w:rPr>
            </w:pPr>
            <w:r w:rsidRPr="001C44A9">
              <w:rPr>
                <w:sz w:val="20"/>
                <w:szCs w:val="22"/>
              </w:rPr>
              <w:t>-0.124</w:t>
            </w:r>
          </w:p>
        </w:tc>
        <w:tc>
          <w:tcPr>
            <w:tcW w:w="1019" w:type="dxa"/>
          </w:tcPr>
          <w:p w:rsidR="00C15E61" w:rsidRPr="001C44A9" w:rsidRDefault="00C15E61" w:rsidP="00CF44E7">
            <w:pPr>
              <w:spacing w:line="360" w:lineRule="auto"/>
              <w:jc w:val="both"/>
              <w:rPr>
                <w:sz w:val="20"/>
                <w:szCs w:val="22"/>
              </w:rPr>
            </w:pPr>
            <w:r w:rsidRPr="001C44A9">
              <w:rPr>
                <w:sz w:val="20"/>
                <w:szCs w:val="22"/>
              </w:rPr>
              <w:t>0.664</w:t>
            </w:r>
            <w:r w:rsidRPr="00A85FD8">
              <w:rPr>
                <w:sz w:val="20"/>
                <w:szCs w:val="22"/>
                <w:vertAlign w:val="superscript"/>
              </w:rPr>
              <w:t>**</w:t>
            </w:r>
          </w:p>
        </w:tc>
        <w:tc>
          <w:tcPr>
            <w:tcW w:w="1122" w:type="dxa"/>
          </w:tcPr>
          <w:p w:rsidR="00C15E61" w:rsidRPr="001C44A9" w:rsidRDefault="00C15E61" w:rsidP="00A85FD8">
            <w:pPr>
              <w:spacing w:line="360" w:lineRule="auto"/>
              <w:jc w:val="both"/>
              <w:rPr>
                <w:sz w:val="20"/>
                <w:szCs w:val="22"/>
              </w:rPr>
            </w:pPr>
            <w:r w:rsidRPr="001C44A9">
              <w:rPr>
                <w:sz w:val="20"/>
                <w:szCs w:val="22"/>
              </w:rPr>
              <w:t>-0.020</w:t>
            </w:r>
            <w:r w:rsidRPr="00A85FD8">
              <w:rPr>
                <w:sz w:val="20"/>
                <w:szCs w:val="22"/>
                <w:vertAlign w:val="superscript"/>
              </w:rPr>
              <w:t>**</w:t>
            </w:r>
          </w:p>
        </w:tc>
      </w:tr>
      <w:tr w:rsidR="00C15E61" w:rsidRPr="001C44A9" w:rsidTr="00CF44E7">
        <w:trPr>
          <w:trHeight w:val="340"/>
        </w:trPr>
        <w:tc>
          <w:tcPr>
            <w:tcW w:w="1737" w:type="dxa"/>
          </w:tcPr>
          <w:p w:rsidR="00C15E61" w:rsidRPr="001C44A9" w:rsidRDefault="00C15E61" w:rsidP="00CF44E7">
            <w:pPr>
              <w:spacing w:line="360" w:lineRule="auto"/>
              <w:jc w:val="both"/>
              <w:rPr>
                <w:sz w:val="20"/>
                <w:szCs w:val="22"/>
              </w:rPr>
            </w:pPr>
            <w:r w:rsidRPr="001C44A9">
              <w:rPr>
                <w:sz w:val="20"/>
                <w:szCs w:val="22"/>
              </w:rPr>
              <w:t>St. Hata</w:t>
            </w:r>
          </w:p>
        </w:tc>
        <w:tc>
          <w:tcPr>
            <w:tcW w:w="1806" w:type="dxa"/>
            <w:gridSpan w:val="2"/>
          </w:tcPr>
          <w:p w:rsidR="00C15E61" w:rsidRPr="001C44A9" w:rsidRDefault="00C15E61" w:rsidP="00C15E61">
            <w:pPr>
              <w:spacing w:line="360" w:lineRule="auto"/>
              <w:jc w:val="both"/>
              <w:rPr>
                <w:sz w:val="20"/>
                <w:szCs w:val="22"/>
              </w:rPr>
            </w:pPr>
            <w:r w:rsidRPr="001C44A9">
              <w:rPr>
                <w:sz w:val="20"/>
                <w:szCs w:val="22"/>
              </w:rPr>
              <w:t>0.</w:t>
            </w:r>
            <w:r>
              <w:rPr>
                <w:sz w:val="20"/>
                <w:szCs w:val="22"/>
              </w:rPr>
              <w:t>092</w:t>
            </w:r>
          </w:p>
        </w:tc>
        <w:tc>
          <w:tcPr>
            <w:tcW w:w="1126" w:type="dxa"/>
          </w:tcPr>
          <w:p w:rsidR="00C15E61" w:rsidRPr="001C44A9" w:rsidRDefault="00C15E61" w:rsidP="00C15E61">
            <w:pPr>
              <w:spacing w:line="360" w:lineRule="auto"/>
              <w:jc w:val="both"/>
              <w:rPr>
                <w:sz w:val="20"/>
                <w:szCs w:val="22"/>
              </w:rPr>
            </w:pPr>
            <w:r w:rsidRPr="001C44A9">
              <w:rPr>
                <w:sz w:val="20"/>
                <w:szCs w:val="22"/>
              </w:rPr>
              <w:t>0.1</w:t>
            </w:r>
            <w:r>
              <w:rPr>
                <w:sz w:val="20"/>
                <w:szCs w:val="22"/>
              </w:rPr>
              <w:t>41</w:t>
            </w:r>
          </w:p>
        </w:tc>
        <w:tc>
          <w:tcPr>
            <w:tcW w:w="1138" w:type="dxa"/>
          </w:tcPr>
          <w:p w:rsidR="00C15E61" w:rsidRPr="001C44A9" w:rsidRDefault="00C15E61" w:rsidP="00CF44E7">
            <w:pPr>
              <w:spacing w:line="360" w:lineRule="auto"/>
              <w:jc w:val="both"/>
              <w:rPr>
                <w:sz w:val="20"/>
                <w:szCs w:val="22"/>
              </w:rPr>
            </w:pPr>
            <w:r>
              <w:rPr>
                <w:sz w:val="20"/>
                <w:szCs w:val="22"/>
              </w:rPr>
              <w:t>0.204</w:t>
            </w:r>
          </w:p>
        </w:tc>
        <w:tc>
          <w:tcPr>
            <w:tcW w:w="1114" w:type="dxa"/>
            <w:gridSpan w:val="2"/>
          </w:tcPr>
          <w:p w:rsidR="00C15E61" w:rsidRPr="001C44A9" w:rsidRDefault="00C15E61" w:rsidP="00CF44E7">
            <w:pPr>
              <w:spacing w:line="360" w:lineRule="auto"/>
              <w:jc w:val="both"/>
              <w:rPr>
                <w:sz w:val="20"/>
                <w:szCs w:val="22"/>
              </w:rPr>
            </w:pPr>
            <w:r>
              <w:rPr>
                <w:sz w:val="20"/>
                <w:szCs w:val="22"/>
              </w:rPr>
              <w:t>0.329</w:t>
            </w:r>
          </w:p>
        </w:tc>
        <w:tc>
          <w:tcPr>
            <w:tcW w:w="1019" w:type="dxa"/>
          </w:tcPr>
          <w:p w:rsidR="00C15E61" w:rsidRPr="001C44A9" w:rsidRDefault="00C15E61" w:rsidP="00C15E61">
            <w:pPr>
              <w:spacing w:line="360" w:lineRule="auto"/>
              <w:jc w:val="both"/>
              <w:rPr>
                <w:sz w:val="20"/>
                <w:szCs w:val="22"/>
              </w:rPr>
            </w:pPr>
            <w:r w:rsidRPr="001C44A9">
              <w:rPr>
                <w:sz w:val="20"/>
                <w:szCs w:val="22"/>
              </w:rPr>
              <w:t>0.</w:t>
            </w:r>
            <w:r>
              <w:rPr>
                <w:sz w:val="20"/>
                <w:szCs w:val="22"/>
              </w:rPr>
              <w:t>202</w:t>
            </w:r>
          </w:p>
        </w:tc>
        <w:tc>
          <w:tcPr>
            <w:tcW w:w="1122" w:type="dxa"/>
          </w:tcPr>
          <w:p w:rsidR="00C15E61" w:rsidRPr="001C44A9" w:rsidRDefault="00C15E61" w:rsidP="00CF44E7">
            <w:pPr>
              <w:spacing w:line="360" w:lineRule="auto"/>
              <w:jc w:val="both"/>
              <w:rPr>
                <w:sz w:val="20"/>
                <w:szCs w:val="22"/>
              </w:rPr>
            </w:pPr>
            <w:r>
              <w:rPr>
                <w:sz w:val="20"/>
                <w:szCs w:val="22"/>
              </w:rPr>
              <w:t>0.118</w:t>
            </w:r>
          </w:p>
        </w:tc>
      </w:tr>
      <w:tr w:rsidR="00C15E61" w:rsidRPr="001C44A9" w:rsidTr="00CF44E7">
        <w:trPr>
          <w:trHeight w:val="340"/>
        </w:trPr>
        <w:tc>
          <w:tcPr>
            <w:tcW w:w="1737" w:type="dxa"/>
          </w:tcPr>
          <w:p w:rsidR="00C15E61" w:rsidRPr="001C44A9" w:rsidRDefault="00C15E61" w:rsidP="00CF44E7">
            <w:pPr>
              <w:spacing w:line="360" w:lineRule="auto"/>
              <w:jc w:val="both"/>
              <w:rPr>
                <w:sz w:val="20"/>
                <w:szCs w:val="22"/>
              </w:rPr>
            </w:pPr>
            <w:r w:rsidRPr="001C44A9">
              <w:rPr>
                <w:sz w:val="20"/>
                <w:szCs w:val="22"/>
              </w:rPr>
              <w:t>t- istatistiği</w:t>
            </w:r>
          </w:p>
        </w:tc>
        <w:tc>
          <w:tcPr>
            <w:tcW w:w="1806" w:type="dxa"/>
            <w:gridSpan w:val="2"/>
          </w:tcPr>
          <w:p w:rsidR="00C15E61" w:rsidRPr="001C44A9" w:rsidRDefault="00C15E61" w:rsidP="00C15E61">
            <w:pPr>
              <w:spacing w:line="360" w:lineRule="auto"/>
              <w:jc w:val="both"/>
              <w:rPr>
                <w:sz w:val="20"/>
                <w:szCs w:val="22"/>
              </w:rPr>
            </w:pPr>
            <w:r w:rsidRPr="001C44A9">
              <w:rPr>
                <w:sz w:val="20"/>
                <w:szCs w:val="22"/>
              </w:rPr>
              <w:t>3.</w:t>
            </w:r>
            <w:r>
              <w:rPr>
                <w:sz w:val="20"/>
                <w:szCs w:val="22"/>
              </w:rPr>
              <w:t>94</w:t>
            </w:r>
          </w:p>
        </w:tc>
        <w:tc>
          <w:tcPr>
            <w:tcW w:w="1126" w:type="dxa"/>
          </w:tcPr>
          <w:p w:rsidR="00C15E61" w:rsidRPr="001C44A9" w:rsidRDefault="001A11ED" w:rsidP="00CF44E7">
            <w:pPr>
              <w:spacing w:line="360" w:lineRule="auto"/>
              <w:jc w:val="both"/>
              <w:rPr>
                <w:sz w:val="20"/>
                <w:szCs w:val="22"/>
              </w:rPr>
            </w:pPr>
            <w:r>
              <w:rPr>
                <w:sz w:val="20"/>
                <w:szCs w:val="22"/>
              </w:rPr>
              <w:t>-0.44</w:t>
            </w:r>
          </w:p>
        </w:tc>
        <w:tc>
          <w:tcPr>
            <w:tcW w:w="1138" w:type="dxa"/>
          </w:tcPr>
          <w:p w:rsidR="00C15E61" w:rsidRPr="001C44A9" w:rsidRDefault="00C15E61" w:rsidP="00CF44E7">
            <w:pPr>
              <w:spacing w:line="360" w:lineRule="auto"/>
              <w:jc w:val="both"/>
              <w:rPr>
                <w:sz w:val="20"/>
                <w:szCs w:val="22"/>
              </w:rPr>
            </w:pPr>
            <w:r w:rsidRPr="001C44A9">
              <w:rPr>
                <w:sz w:val="20"/>
                <w:szCs w:val="22"/>
              </w:rPr>
              <w:t>-1.</w:t>
            </w:r>
            <w:r>
              <w:rPr>
                <w:sz w:val="20"/>
                <w:szCs w:val="22"/>
              </w:rPr>
              <w:t>65</w:t>
            </w:r>
          </w:p>
        </w:tc>
        <w:tc>
          <w:tcPr>
            <w:tcW w:w="1114" w:type="dxa"/>
            <w:gridSpan w:val="2"/>
          </w:tcPr>
          <w:p w:rsidR="00C15E61" w:rsidRPr="001C44A9" w:rsidRDefault="00C15E61" w:rsidP="00CF44E7">
            <w:pPr>
              <w:spacing w:line="360" w:lineRule="auto"/>
              <w:jc w:val="both"/>
              <w:rPr>
                <w:sz w:val="20"/>
                <w:szCs w:val="22"/>
              </w:rPr>
            </w:pPr>
            <w:r>
              <w:rPr>
                <w:sz w:val="20"/>
                <w:szCs w:val="22"/>
              </w:rPr>
              <w:t>-0.38</w:t>
            </w:r>
          </w:p>
        </w:tc>
        <w:tc>
          <w:tcPr>
            <w:tcW w:w="1019" w:type="dxa"/>
          </w:tcPr>
          <w:p w:rsidR="00C15E61" w:rsidRPr="001C44A9" w:rsidRDefault="00C15E61" w:rsidP="00CF44E7">
            <w:pPr>
              <w:spacing w:line="360" w:lineRule="auto"/>
              <w:jc w:val="both"/>
              <w:rPr>
                <w:sz w:val="20"/>
                <w:szCs w:val="22"/>
              </w:rPr>
            </w:pPr>
            <w:r>
              <w:rPr>
                <w:sz w:val="20"/>
                <w:szCs w:val="22"/>
              </w:rPr>
              <w:t>3.28</w:t>
            </w:r>
          </w:p>
        </w:tc>
        <w:tc>
          <w:tcPr>
            <w:tcW w:w="1122" w:type="dxa"/>
          </w:tcPr>
          <w:p w:rsidR="00C15E61" w:rsidRPr="001C44A9" w:rsidRDefault="00C15E61" w:rsidP="00C15E61">
            <w:pPr>
              <w:spacing w:line="360" w:lineRule="auto"/>
              <w:jc w:val="both"/>
              <w:rPr>
                <w:sz w:val="20"/>
                <w:szCs w:val="22"/>
              </w:rPr>
            </w:pPr>
            <w:r>
              <w:rPr>
                <w:sz w:val="20"/>
                <w:szCs w:val="22"/>
              </w:rPr>
              <w:t>-2.67</w:t>
            </w:r>
          </w:p>
        </w:tc>
      </w:tr>
      <w:tr w:rsidR="00C15E61" w:rsidRPr="001C44A9" w:rsidTr="00CF44E7">
        <w:trPr>
          <w:trHeight w:val="340"/>
        </w:trPr>
        <w:tc>
          <w:tcPr>
            <w:tcW w:w="1737" w:type="dxa"/>
          </w:tcPr>
          <w:p w:rsidR="00C15E61" w:rsidRPr="001C44A9" w:rsidRDefault="00C15E61" w:rsidP="00CF44E7">
            <w:pPr>
              <w:spacing w:line="360" w:lineRule="auto"/>
              <w:jc w:val="both"/>
              <w:rPr>
                <w:sz w:val="20"/>
                <w:szCs w:val="22"/>
              </w:rPr>
            </w:pPr>
            <w:r w:rsidRPr="001C44A9">
              <w:rPr>
                <w:sz w:val="20"/>
                <w:szCs w:val="22"/>
              </w:rPr>
              <w:t>Olasılık</w:t>
            </w:r>
          </w:p>
        </w:tc>
        <w:tc>
          <w:tcPr>
            <w:tcW w:w="1806" w:type="dxa"/>
            <w:gridSpan w:val="2"/>
          </w:tcPr>
          <w:p w:rsidR="00C15E61" w:rsidRPr="001C44A9" w:rsidRDefault="00C15E61" w:rsidP="00CF44E7">
            <w:pPr>
              <w:spacing w:line="360" w:lineRule="auto"/>
              <w:jc w:val="both"/>
              <w:rPr>
                <w:sz w:val="20"/>
                <w:szCs w:val="22"/>
              </w:rPr>
            </w:pPr>
            <w:r>
              <w:rPr>
                <w:sz w:val="20"/>
                <w:szCs w:val="22"/>
              </w:rPr>
              <w:t>0.017</w:t>
            </w:r>
          </w:p>
        </w:tc>
        <w:tc>
          <w:tcPr>
            <w:tcW w:w="1126" w:type="dxa"/>
          </w:tcPr>
          <w:p w:rsidR="00C15E61" w:rsidRPr="001C44A9" w:rsidRDefault="001A11ED" w:rsidP="00CF44E7">
            <w:pPr>
              <w:spacing w:line="360" w:lineRule="auto"/>
              <w:jc w:val="both"/>
              <w:rPr>
                <w:sz w:val="20"/>
                <w:szCs w:val="22"/>
              </w:rPr>
            </w:pPr>
            <w:r>
              <w:rPr>
                <w:sz w:val="20"/>
                <w:szCs w:val="22"/>
              </w:rPr>
              <w:t>0.685</w:t>
            </w:r>
          </w:p>
        </w:tc>
        <w:tc>
          <w:tcPr>
            <w:tcW w:w="1138" w:type="dxa"/>
          </w:tcPr>
          <w:p w:rsidR="00C15E61" w:rsidRPr="001C44A9" w:rsidRDefault="00C15E61" w:rsidP="00CF44E7">
            <w:pPr>
              <w:spacing w:line="360" w:lineRule="auto"/>
              <w:jc w:val="both"/>
              <w:rPr>
                <w:sz w:val="20"/>
                <w:szCs w:val="22"/>
              </w:rPr>
            </w:pPr>
            <w:r w:rsidRPr="001C44A9">
              <w:rPr>
                <w:sz w:val="20"/>
                <w:szCs w:val="22"/>
              </w:rPr>
              <w:t>0.</w:t>
            </w:r>
            <w:r>
              <w:rPr>
                <w:sz w:val="20"/>
                <w:szCs w:val="22"/>
              </w:rPr>
              <w:t>026</w:t>
            </w:r>
          </w:p>
        </w:tc>
        <w:tc>
          <w:tcPr>
            <w:tcW w:w="1114" w:type="dxa"/>
            <w:gridSpan w:val="2"/>
          </w:tcPr>
          <w:p w:rsidR="00C15E61" w:rsidRPr="001C44A9" w:rsidRDefault="00C15E61" w:rsidP="00CF44E7">
            <w:pPr>
              <w:spacing w:line="360" w:lineRule="auto"/>
              <w:jc w:val="both"/>
              <w:rPr>
                <w:sz w:val="20"/>
                <w:szCs w:val="22"/>
              </w:rPr>
            </w:pPr>
            <w:r>
              <w:rPr>
                <w:sz w:val="20"/>
                <w:szCs w:val="22"/>
              </w:rPr>
              <w:t>0.725</w:t>
            </w:r>
          </w:p>
        </w:tc>
        <w:tc>
          <w:tcPr>
            <w:tcW w:w="1019" w:type="dxa"/>
          </w:tcPr>
          <w:p w:rsidR="00C15E61" w:rsidRPr="001C44A9" w:rsidRDefault="00C15E61" w:rsidP="00CF44E7">
            <w:pPr>
              <w:spacing w:line="360" w:lineRule="auto"/>
              <w:jc w:val="both"/>
              <w:rPr>
                <w:sz w:val="20"/>
                <w:szCs w:val="22"/>
              </w:rPr>
            </w:pPr>
            <w:r>
              <w:rPr>
                <w:sz w:val="20"/>
                <w:szCs w:val="22"/>
              </w:rPr>
              <w:t>0.030</w:t>
            </w:r>
          </w:p>
        </w:tc>
        <w:tc>
          <w:tcPr>
            <w:tcW w:w="1122" w:type="dxa"/>
          </w:tcPr>
          <w:p w:rsidR="00C15E61" w:rsidRPr="001C44A9" w:rsidRDefault="00C15E61" w:rsidP="00CF44E7">
            <w:pPr>
              <w:spacing w:line="360" w:lineRule="auto"/>
              <w:jc w:val="both"/>
              <w:rPr>
                <w:sz w:val="20"/>
                <w:szCs w:val="22"/>
              </w:rPr>
            </w:pPr>
            <w:r>
              <w:rPr>
                <w:sz w:val="20"/>
                <w:szCs w:val="22"/>
              </w:rPr>
              <w:t>0.017</w:t>
            </w:r>
          </w:p>
        </w:tc>
      </w:tr>
      <w:tr w:rsidR="00C15E61" w:rsidRPr="001C44A9" w:rsidTr="00CF44E7">
        <w:trPr>
          <w:trHeight w:val="340"/>
        </w:trPr>
        <w:tc>
          <w:tcPr>
            <w:tcW w:w="9062" w:type="dxa"/>
            <w:gridSpan w:val="9"/>
          </w:tcPr>
          <w:p w:rsidR="00C15E61" w:rsidRPr="001C44A9" w:rsidRDefault="00C15E61" w:rsidP="00CF44E7">
            <w:pPr>
              <w:spacing w:line="360" w:lineRule="auto"/>
              <w:jc w:val="both"/>
              <w:rPr>
                <w:sz w:val="20"/>
                <w:szCs w:val="22"/>
              </w:rPr>
            </w:pPr>
            <w:r w:rsidRPr="001C44A9">
              <w:rPr>
                <w:sz w:val="20"/>
                <w:szCs w:val="22"/>
              </w:rPr>
              <w:t>Model Bilgi İstatistikleri</w:t>
            </w:r>
          </w:p>
        </w:tc>
      </w:tr>
      <w:tr w:rsidR="00C15E61" w:rsidRPr="001C44A9" w:rsidTr="00CF44E7">
        <w:trPr>
          <w:trHeight w:val="340"/>
        </w:trPr>
        <w:tc>
          <w:tcPr>
            <w:tcW w:w="1980" w:type="dxa"/>
            <w:gridSpan w:val="2"/>
          </w:tcPr>
          <w:p w:rsidR="00C15E61" w:rsidRPr="001C44A9" w:rsidRDefault="00C15E61" w:rsidP="00CF44E7">
            <w:pPr>
              <w:widowControl w:val="0"/>
              <w:autoSpaceDE w:val="0"/>
              <w:autoSpaceDN w:val="0"/>
              <w:adjustRightInd w:val="0"/>
              <w:rPr>
                <w:sz w:val="20"/>
                <w:szCs w:val="20"/>
              </w:rPr>
            </w:pPr>
            <w:r w:rsidRPr="001C44A9">
              <w:rPr>
                <w:sz w:val="20"/>
                <w:szCs w:val="20"/>
              </w:rPr>
              <w:t>Gözlem Sayısı</w:t>
            </w:r>
          </w:p>
        </w:tc>
        <w:tc>
          <w:tcPr>
            <w:tcW w:w="3827"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95</w:t>
            </w:r>
          </w:p>
        </w:tc>
        <w:tc>
          <w:tcPr>
            <w:tcW w:w="992" w:type="dxa"/>
          </w:tcPr>
          <w:p w:rsidR="00C15E61" w:rsidRPr="001C44A9" w:rsidRDefault="00C15E61" w:rsidP="00CF44E7">
            <w:pPr>
              <w:widowControl w:val="0"/>
              <w:autoSpaceDE w:val="0"/>
              <w:autoSpaceDN w:val="0"/>
              <w:adjustRightInd w:val="0"/>
              <w:rPr>
                <w:sz w:val="20"/>
                <w:szCs w:val="20"/>
              </w:rPr>
            </w:pPr>
            <w:r w:rsidRPr="001C44A9">
              <w:rPr>
                <w:sz w:val="20"/>
                <w:szCs w:val="20"/>
              </w:rPr>
              <w:t>Corr</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0.577</w:t>
            </w:r>
          </w:p>
        </w:tc>
      </w:tr>
      <w:tr w:rsidR="00C15E61" w:rsidRPr="001C44A9" w:rsidTr="00CF44E7">
        <w:trPr>
          <w:trHeight w:val="340"/>
        </w:trPr>
        <w:tc>
          <w:tcPr>
            <w:tcW w:w="1980" w:type="dxa"/>
            <w:gridSpan w:val="2"/>
          </w:tcPr>
          <w:p w:rsidR="00C15E61" w:rsidRPr="001C44A9" w:rsidRDefault="00C15E61" w:rsidP="00CF44E7">
            <w:pPr>
              <w:widowControl w:val="0"/>
              <w:autoSpaceDE w:val="0"/>
              <w:autoSpaceDN w:val="0"/>
              <w:adjustRightInd w:val="0"/>
              <w:rPr>
                <w:sz w:val="20"/>
                <w:szCs w:val="20"/>
              </w:rPr>
            </w:pPr>
            <w:r w:rsidRPr="001C44A9">
              <w:rPr>
                <w:sz w:val="20"/>
                <w:szCs w:val="20"/>
              </w:rPr>
              <w:t>R</w:t>
            </w:r>
            <w:r w:rsidRPr="001C44A9">
              <w:rPr>
                <w:sz w:val="20"/>
                <w:szCs w:val="20"/>
                <w:vertAlign w:val="superscript"/>
              </w:rPr>
              <w:t>2</w:t>
            </w:r>
          </w:p>
        </w:tc>
        <w:tc>
          <w:tcPr>
            <w:tcW w:w="3827"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0.945</w:t>
            </w:r>
          </w:p>
        </w:tc>
        <w:tc>
          <w:tcPr>
            <w:tcW w:w="992" w:type="dxa"/>
          </w:tcPr>
          <w:p w:rsidR="00C15E61" w:rsidRPr="001C44A9" w:rsidRDefault="00C15E61" w:rsidP="00CF44E7">
            <w:pPr>
              <w:widowControl w:val="0"/>
              <w:autoSpaceDE w:val="0"/>
              <w:autoSpaceDN w:val="0"/>
              <w:adjustRightInd w:val="0"/>
              <w:rPr>
                <w:sz w:val="20"/>
                <w:szCs w:val="20"/>
              </w:rPr>
            </w:pPr>
            <w:r w:rsidRPr="001C44A9">
              <w:rPr>
                <w:sz w:val="20"/>
                <w:szCs w:val="20"/>
              </w:rPr>
              <w:t>Sigma</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0.017</w:t>
            </w:r>
          </w:p>
        </w:tc>
      </w:tr>
      <w:tr w:rsidR="00C15E61" w:rsidRPr="001C44A9" w:rsidTr="00CF44E7">
        <w:trPr>
          <w:trHeight w:val="340"/>
        </w:trPr>
        <w:tc>
          <w:tcPr>
            <w:tcW w:w="1980" w:type="dxa"/>
            <w:gridSpan w:val="2"/>
          </w:tcPr>
          <w:p w:rsidR="00C15E61" w:rsidRPr="001C44A9" w:rsidRDefault="00C15E61" w:rsidP="00CF44E7">
            <w:pPr>
              <w:rPr>
                <w:sz w:val="20"/>
              </w:rPr>
            </w:pPr>
            <w:r w:rsidRPr="001C44A9">
              <w:rPr>
                <w:sz w:val="20"/>
                <w:szCs w:val="20"/>
              </w:rPr>
              <w:t>Düzeltilmiş R</w:t>
            </w:r>
            <w:r w:rsidRPr="001C44A9">
              <w:rPr>
                <w:sz w:val="20"/>
                <w:szCs w:val="20"/>
                <w:vertAlign w:val="superscript"/>
              </w:rPr>
              <w:t>2</w:t>
            </w:r>
          </w:p>
        </w:tc>
        <w:tc>
          <w:tcPr>
            <w:tcW w:w="3827" w:type="dxa"/>
            <w:gridSpan w:val="3"/>
            <w:vAlign w:val="center"/>
          </w:tcPr>
          <w:p w:rsidR="00C15E61" w:rsidRPr="001C44A9" w:rsidRDefault="00C15E61" w:rsidP="00CF44E7">
            <w:pPr>
              <w:widowControl w:val="0"/>
              <w:autoSpaceDE w:val="0"/>
              <w:autoSpaceDN w:val="0"/>
              <w:adjustRightInd w:val="0"/>
              <w:rPr>
                <w:sz w:val="20"/>
                <w:szCs w:val="20"/>
              </w:rPr>
            </w:pPr>
            <w:r w:rsidRPr="001C44A9">
              <w:rPr>
                <w:sz w:val="20"/>
                <w:szCs w:val="20"/>
              </w:rPr>
              <w:t>0.756</w:t>
            </w:r>
          </w:p>
        </w:tc>
        <w:tc>
          <w:tcPr>
            <w:tcW w:w="992" w:type="dxa"/>
          </w:tcPr>
          <w:p w:rsidR="00C15E61" w:rsidRPr="001C44A9" w:rsidRDefault="00C15E61" w:rsidP="00CF44E7">
            <w:pPr>
              <w:rPr>
                <w:sz w:val="20"/>
              </w:rPr>
            </w:pPr>
            <w:r w:rsidRPr="001C44A9">
              <w:rPr>
                <w:sz w:val="20"/>
                <w:szCs w:val="20"/>
              </w:rPr>
              <w:t>sigma_e</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0.003</w:t>
            </w:r>
          </w:p>
        </w:tc>
      </w:tr>
      <w:tr w:rsidR="00C15E61" w:rsidRPr="001C44A9" w:rsidTr="00CF44E7">
        <w:trPr>
          <w:trHeight w:val="340"/>
        </w:trPr>
        <w:tc>
          <w:tcPr>
            <w:tcW w:w="1980" w:type="dxa"/>
            <w:gridSpan w:val="2"/>
          </w:tcPr>
          <w:p w:rsidR="00C15E61" w:rsidRPr="001C44A9" w:rsidRDefault="00C15E61" w:rsidP="00CF44E7">
            <w:pPr>
              <w:widowControl w:val="0"/>
              <w:autoSpaceDE w:val="0"/>
              <w:autoSpaceDN w:val="0"/>
              <w:adjustRightInd w:val="0"/>
              <w:rPr>
                <w:sz w:val="20"/>
                <w:szCs w:val="20"/>
              </w:rPr>
            </w:pPr>
            <w:r w:rsidRPr="001C44A9">
              <w:rPr>
                <w:sz w:val="20"/>
                <w:szCs w:val="20"/>
              </w:rPr>
              <w:t>R</w:t>
            </w:r>
            <w:r w:rsidRPr="001C44A9">
              <w:rPr>
                <w:sz w:val="20"/>
                <w:szCs w:val="20"/>
                <w:vertAlign w:val="superscript"/>
              </w:rPr>
              <w:t>2</w:t>
            </w:r>
            <w:r w:rsidRPr="001C44A9">
              <w:rPr>
                <w:sz w:val="20"/>
                <w:szCs w:val="20"/>
              </w:rPr>
              <w:t>_arasında</w:t>
            </w:r>
          </w:p>
        </w:tc>
        <w:tc>
          <w:tcPr>
            <w:tcW w:w="3827"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0.009</w:t>
            </w:r>
          </w:p>
        </w:tc>
        <w:tc>
          <w:tcPr>
            <w:tcW w:w="992" w:type="dxa"/>
          </w:tcPr>
          <w:p w:rsidR="00C15E61" w:rsidRPr="001C44A9" w:rsidRDefault="00C15E61" w:rsidP="00CF44E7">
            <w:pPr>
              <w:widowControl w:val="0"/>
              <w:autoSpaceDE w:val="0"/>
              <w:autoSpaceDN w:val="0"/>
              <w:adjustRightInd w:val="0"/>
              <w:rPr>
                <w:sz w:val="20"/>
                <w:szCs w:val="20"/>
              </w:rPr>
            </w:pPr>
            <w:r w:rsidRPr="001C44A9">
              <w:rPr>
                <w:sz w:val="20"/>
                <w:szCs w:val="20"/>
              </w:rPr>
              <w:t>sigma_u</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0.017</w:t>
            </w:r>
          </w:p>
        </w:tc>
      </w:tr>
      <w:tr w:rsidR="00C15E61" w:rsidRPr="001C44A9" w:rsidTr="00CF44E7">
        <w:trPr>
          <w:trHeight w:val="340"/>
        </w:trPr>
        <w:tc>
          <w:tcPr>
            <w:tcW w:w="1980" w:type="dxa"/>
            <w:gridSpan w:val="2"/>
          </w:tcPr>
          <w:p w:rsidR="00C15E61" w:rsidRPr="001C44A9" w:rsidRDefault="00C15E61" w:rsidP="00CF44E7">
            <w:pPr>
              <w:widowControl w:val="0"/>
              <w:autoSpaceDE w:val="0"/>
              <w:autoSpaceDN w:val="0"/>
              <w:adjustRightInd w:val="0"/>
              <w:rPr>
                <w:sz w:val="20"/>
                <w:szCs w:val="20"/>
              </w:rPr>
            </w:pPr>
            <w:r w:rsidRPr="001C44A9">
              <w:rPr>
                <w:sz w:val="20"/>
                <w:szCs w:val="20"/>
              </w:rPr>
              <w:t>R</w:t>
            </w:r>
            <w:r w:rsidRPr="001C44A9">
              <w:rPr>
                <w:sz w:val="20"/>
                <w:szCs w:val="20"/>
                <w:vertAlign w:val="superscript"/>
              </w:rPr>
              <w:t>2</w:t>
            </w:r>
            <w:r w:rsidRPr="001C44A9">
              <w:rPr>
                <w:sz w:val="20"/>
                <w:szCs w:val="20"/>
              </w:rPr>
              <w:t>_içinde</w:t>
            </w:r>
          </w:p>
        </w:tc>
        <w:tc>
          <w:tcPr>
            <w:tcW w:w="3827"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0.945</w:t>
            </w:r>
          </w:p>
        </w:tc>
        <w:tc>
          <w:tcPr>
            <w:tcW w:w="992" w:type="dxa"/>
          </w:tcPr>
          <w:p w:rsidR="00C15E61" w:rsidRPr="001C44A9" w:rsidRDefault="00C15E61" w:rsidP="00CF44E7">
            <w:pPr>
              <w:widowControl w:val="0"/>
              <w:autoSpaceDE w:val="0"/>
              <w:autoSpaceDN w:val="0"/>
              <w:adjustRightInd w:val="0"/>
              <w:rPr>
                <w:sz w:val="20"/>
                <w:szCs w:val="20"/>
              </w:rPr>
            </w:pPr>
            <w:r w:rsidRPr="001C44A9">
              <w:rPr>
                <w:sz w:val="20"/>
                <w:szCs w:val="20"/>
              </w:rPr>
              <w:t>Ui</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0.017</w:t>
            </w:r>
          </w:p>
        </w:tc>
      </w:tr>
      <w:tr w:rsidR="00C15E61" w:rsidRPr="001C44A9" w:rsidTr="00CF44E7">
        <w:trPr>
          <w:trHeight w:val="340"/>
        </w:trPr>
        <w:tc>
          <w:tcPr>
            <w:tcW w:w="1980" w:type="dxa"/>
            <w:gridSpan w:val="2"/>
          </w:tcPr>
          <w:p w:rsidR="00C15E61" w:rsidRPr="001C44A9" w:rsidRDefault="00C15E61" w:rsidP="00CF44E7">
            <w:pPr>
              <w:rPr>
                <w:sz w:val="20"/>
              </w:rPr>
            </w:pPr>
            <w:r w:rsidRPr="001C44A9">
              <w:rPr>
                <w:sz w:val="20"/>
                <w:szCs w:val="20"/>
              </w:rPr>
              <w:t>Rho</w:t>
            </w:r>
          </w:p>
        </w:tc>
        <w:tc>
          <w:tcPr>
            <w:tcW w:w="3827"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0.969</w:t>
            </w:r>
          </w:p>
        </w:tc>
        <w:tc>
          <w:tcPr>
            <w:tcW w:w="992" w:type="dxa"/>
          </w:tcPr>
          <w:p w:rsidR="00C15E61" w:rsidRPr="001C44A9" w:rsidRDefault="00C15E61" w:rsidP="00CF44E7">
            <w:pPr>
              <w:rPr>
                <w:sz w:val="20"/>
              </w:rPr>
            </w:pPr>
            <w:r w:rsidRPr="001C44A9">
              <w:rPr>
                <w:sz w:val="20"/>
                <w:szCs w:val="20"/>
              </w:rPr>
              <w:t>Rmse</w:t>
            </w:r>
          </w:p>
        </w:tc>
        <w:tc>
          <w:tcPr>
            <w:tcW w:w="2263" w:type="dxa"/>
            <w:gridSpan w:val="3"/>
          </w:tcPr>
          <w:p w:rsidR="00C15E61" w:rsidRPr="001C44A9" w:rsidRDefault="00C15E61" w:rsidP="00CF44E7">
            <w:pPr>
              <w:widowControl w:val="0"/>
              <w:autoSpaceDE w:val="0"/>
              <w:autoSpaceDN w:val="0"/>
              <w:adjustRightInd w:val="0"/>
              <w:rPr>
                <w:sz w:val="20"/>
                <w:szCs w:val="20"/>
              </w:rPr>
            </w:pPr>
            <w:r w:rsidRPr="001C44A9">
              <w:rPr>
                <w:sz w:val="20"/>
                <w:szCs w:val="20"/>
              </w:rPr>
              <w:t>0.031</w:t>
            </w:r>
          </w:p>
        </w:tc>
      </w:tr>
      <w:tr w:rsidR="00B22FEF" w:rsidRPr="001C44A9" w:rsidTr="00CF44E7">
        <w:trPr>
          <w:trHeight w:val="340"/>
        </w:trPr>
        <w:tc>
          <w:tcPr>
            <w:tcW w:w="1980" w:type="dxa"/>
            <w:gridSpan w:val="2"/>
          </w:tcPr>
          <w:p w:rsidR="00B22FEF" w:rsidRPr="001C44A9" w:rsidRDefault="00B22FEF" w:rsidP="00CF44E7">
            <w:pPr>
              <w:rPr>
                <w:sz w:val="20"/>
                <w:szCs w:val="20"/>
              </w:rPr>
            </w:pPr>
            <w:r>
              <w:rPr>
                <w:sz w:val="20"/>
                <w:szCs w:val="20"/>
              </w:rPr>
              <w:t>F</w:t>
            </w:r>
          </w:p>
        </w:tc>
        <w:tc>
          <w:tcPr>
            <w:tcW w:w="3827" w:type="dxa"/>
            <w:gridSpan w:val="3"/>
          </w:tcPr>
          <w:p w:rsidR="00B22FEF" w:rsidRPr="001C44A9" w:rsidRDefault="00B22FEF" w:rsidP="00CF44E7">
            <w:pPr>
              <w:widowControl w:val="0"/>
              <w:autoSpaceDE w:val="0"/>
              <w:autoSpaceDN w:val="0"/>
              <w:adjustRightInd w:val="0"/>
              <w:rPr>
                <w:sz w:val="20"/>
                <w:szCs w:val="20"/>
              </w:rPr>
            </w:pPr>
            <w:r>
              <w:rPr>
                <w:sz w:val="20"/>
                <w:szCs w:val="20"/>
              </w:rPr>
              <w:t>232.63</w:t>
            </w:r>
          </w:p>
        </w:tc>
        <w:tc>
          <w:tcPr>
            <w:tcW w:w="992" w:type="dxa"/>
          </w:tcPr>
          <w:p w:rsidR="00B22FEF" w:rsidRPr="001C44A9" w:rsidRDefault="00B22FEF" w:rsidP="00CF44E7">
            <w:pPr>
              <w:rPr>
                <w:sz w:val="20"/>
                <w:szCs w:val="20"/>
              </w:rPr>
            </w:pPr>
            <w:r>
              <w:rPr>
                <w:sz w:val="20"/>
                <w:szCs w:val="20"/>
              </w:rPr>
              <w:t>F-olasılık</w:t>
            </w:r>
          </w:p>
        </w:tc>
        <w:tc>
          <w:tcPr>
            <w:tcW w:w="2263" w:type="dxa"/>
            <w:gridSpan w:val="3"/>
          </w:tcPr>
          <w:p w:rsidR="00B22FEF" w:rsidRPr="001C44A9" w:rsidRDefault="00B22FEF" w:rsidP="00CF44E7">
            <w:pPr>
              <w:widowControl w:val="0"/>
              <w:autoSpaceDE w:val="0"/>
              <w:autoSpaceDN w:val="0"/>
              <w:adjustRightInd w:val="0"/>
              <w:rPr>
                <w:sz w:val="20"/>
                <w:szCs w:val="20"/>
              </w:rPr>
            </w:pPr>
            <w:r>
              <w:rPr>
                <w:sz w:val="20"/>
                <w:szCs w:val="20"/>
              </w:rPr>
              <w:t>0.000</w:t>
            </w:r>
          </w:p>
        </w:tc>
      </w:tr>
    </w:tbl>
    <w:p w:rsidR="00C15E61" w:rsidRDefault="00A85FD8" w:rsidP="00C15E61">
      <w:pPr>
        <w:spacing w:line="360" w:lineRule="auto"/>
        <w:jc w:val="both"/>
        <w:rPr>
          <w:sz w:val="22"/>
          <w:szCs w:val="22"/>
        </w:rPr>
      </w:pPr>
      <w:r w:rsidRPr="00E96332">
        <w:rPr>
          <w:sz w:val="18"/>
          <w:szCs w:val="20"/>
        </w:rPr>
        <w:t xml:space="preserve">*** </w:t>
      </w:r>
      <w:r w:rsidRPr="00E96332">
        <w:rPr>
          <w:i/>
          <w:sz w:val="18"/>
          <w:szCs w:val="20"/>
        </w:rPr>
        <w:t>p</w:t>
      </w:r>
      <w:r w:rsidRPr="00E96332">
        <w:rPr>
          <w:sz w:val="18"/>
          <w:szCs w:val="20"/>
        </w:rPr>
        <w:t xml:space="preserve"> &lt; 0.01, ** </w:t>
      </w:r>
      <w:r w:rsidRPr="00E96332">
        <w:rPr>
          <w:i/>
          <w:sz w:val="18"/>
          <w:szCs w:val="20"/>
        </w:rPr>
        <w:t>p</w:t>
      </w:r>
      <w:r w:rsidRPr="00E96332">
        <w:rPr>
          <w:sz w:val="18"/>
          <w:szCs w:val="20"/>
        </w:rPr>
        <w:t xml:space="preserve"> &lt; 0.05, * </w:t>
      </w:r>
      <w:r w:rsidRPr="00E96332">
        <w:rPr>
          <w:i/>
          <w:sz w:val="18"/>
          <w:szCs w:val="20"/>
        </w:rPr>
        <w:t>p</w:t>
      </w:r>
      <w:r w:rsidRPr="00E96332">
        <w:rPr>
          <w:sz w:val="18"/>
          <w:szCs w:val="20"/>
        </w:rPr>
        <w:t xml:space="preserve"> &lt; 0.10.</w:t>
      </w:r>
    </w:p>
    <w:p w:rsidR="005C4DDA" w:rsidRDefault="005C4DDA" w:rsidP="002F420E">
      <w:pPr>
        <w:spacing w:line="360" w:lineRule="auto"/>
        <w:jc w:val="both"/>
        <w:rPr>
          <w:iCs/>
          <w:sz w:val="22"/>
          <w:szCs w:val="22"/>
        </w:rPr>
      </w:pPr>
    </w:p>
    <w:p w:rsidR="001A11ED" w:rsidRDefault="001A11ED" w:rsidP="002F420E">
      <w:pPr>
        <w:spacing w:line="360" w:lineRule="auto"/>
        <w:jc w:val="both"/>
        <w:rPr>
          <w:iCs/>
          <w:sz w:val="22"/>
          <w:szCs w:val="22"/>
        </w:rPr>
      </w:pPr>
      <w:r>
        <w:rPr>
          <w:iCs/>
          <w:sz w:val="22"/>
          <w:szCs w:val="22"/>
        </w:rPr>
        <w:t>Çizelge 5.6. bu çalışma kapsamında ele alınan</w:t>
      </w:r>
      <w:r w:rsidRPr="001A11ED">
        <w:rPr>
          <w:iCs/>
          <w:sz w:val="22"/>
          <w:szCs w:val="22"/>
        </w:rPr>
        <w:t xml:space="preserve"> modelin </w:t>
      </w:r>
      <w:r>
        <w:rPr>
          <w:iCs/>
          <w:sz w:val="22"/>
          <w:szCs w:val="22"/>
        </w:rPr>
        <w:t xml:space="preserve">nihai </w:t>
      </w:r>
      <w:r w:rsidRPr="001A11ED">
        <w:rPr>
          <w:iCs/>
          <w:sz w:val="22"/>
          <w:szCs w:val="22"/>
        </w:rPr>
        <w:t>tahmin sonuçlarını göstermekted</w:t>
      </w:r>
      <w:r>
        <w:rPr>
          <w:iCs/>
          <w:sz w:val="22"/>
          <w:szCs w:val="22"/>
        </w:rPr>
        <w:t>ir. Böylece "INF,  POP ve EFI”</w:t>
      </w:r>
      <w:r w:rsidRPr="001A11ED">
        <w:rPr>
          <w:iCs/>
          <w:sz w:val="22"/>
          <w:szCs w:val="22"/>
        </w:rPr>
        <w:t xml:space="preserve"> </w:t>
      </w:r>
      <w:r>
        <w:rPr>
          <w:iCs/>
          <w:sz w:val="22"/>
          <w:szCs w:val="22"/>
        </w:rPr>
        <w:t xml:space="preserve">göstergelerinin </w:t>
      </w:r>
      <w:r w:rsidRPr="001A11ED">
        <w:rPr>
          <w:iCs/>
          <w:sz w:val="22"/>
          <w:szCs w:val="22"/>
        </w:rPr>
        <w:t xml:space="preserve">bağımlı değişken üzerinde istatistiksel olarak anlamlı etkileri olduğu </w:t>
      </w:r>
      <w:r>
        <w:rPr>
          <w:iCs/>
          <w:sz w:val="22"/>
          <w:szCs w:val="22"/>
        </w:rPr>
        <w:t xml:space="preserve">sonucu elde edilmiştir. GR ve FDI göstergesi için ise  </w:t>
      </w:r>
      <w:r w:rsidRPr="001A11ED">
        <w:rPr>
          <w:iCs/>
          <w:sz w:val="22"/>
          <w:szCs w:val="22"/>
        </w:rPr>
        <w:t xml:space="preserve">istatistiksel olarak anlamlı bir katsayı elde edilememiştir. </w:t>
      </w:r>
      <w:r>
        <w:rPr>
          <w:iCs/>
          <w:sz w:val="22"/>
          <w:szCs w:val="22"/>
        </w:rPr>
        <w:t>Tüm sonuçlar bir arada değerlendirildiğinde enflasyon ve ekonomik özgürlük endekslerinde 1 birimlik artı</w:t>
      </w:r>
      <w:r w:rsidRPr="001A11ED">
        <w:rPr>
          <w:iCs/>
          <w:sz w:val="22"/>
          <w:szCs w:val="22"/>
        </w:rPr>
        <w:t xml:space="preserve">ş, </w:t>
      </w:r>
      <w:r>
        <w:rPr>
          <w:iCs/>
          <w:sz w:val="22"/>
          <w:szCs w:val="22"/>
        </w:rPr>
        <w:t xml:space="preserve">genç işsizlik oranında sırasıyla 0.60 ve </w:t>
      </w:r>
      <w:r w:rsidRPr="001A11ED">
        <w:rPr>
          <w:iCs/>
          <w:sz w:val="22"/>
          <w:szCs w:val="22"/>
        </w:rPr>
        <w:t>0</w:t>
      </w:r>
      <w:r>
        <w:rPr>
          <w:iCs/>
          <w:sz w:val="22"/>
          <w:szCs w:val="22"/>
        </w:rPr>
        <w:t xml:space="preserve">.02’lik bir </w:t>
      </w:r>
      <w:r w:rsidR="00B22FEF">
        <w:rPr>
          <w:iCs/>
          <w:sz w:val="22"/>
          <w:szCs w:val="22"/>
        </w:rPr>
        <w:t xml:space="preserve">azalmaya, nüfus artış hızında yaşanacak olan 1 birimlik artış ise genç işsizlik oranında 0.66 birim artışa neden olacaktır. </w:t>
      </w:r>
      <w:r w:rsidRPr="001A11ED">
        <w:rPr>
          <w:iCs/>
          <w:sz w:val="22"/>
          <w:szCs w:val="22"/>
        </w:rPr>
        <w:t xml:space="preserve"> Ayrıca model bilgi</w:t>
      </w:r>
      <w:r w:rsidR="00B22FEF">
        <w:rPr>
          <w:iCs/>
          <w:sz w:val="22"/>
          <w:szCs w:val="22"/>
        </w:rPr>
        <w:t xml:space="preserve"> istatistiklerine</w:t>
      </w:r>
      <w:r w:rsidRPr="001A11ED">
        <w:rPr>
          <w:iCs/>
          <w:sz w:val="22"/>
          <w:szCs w:val="22"/>
        </w:rPr>
        <w:t xml:space="preserve"> göre modelin istatistiksel olarak anlamlı ve kullanılabilir bir makro-ekonometrik model</w:t>
      </w:r>
      <w:r w:rsidR="00B22FEF">
        <w:rPr>
          <w:iCs/>
          <w:sz w:val="22"/>
          <w:szCs w:val="22"/>
        </w:rPr>
        <w:t>dir.</w:t>
      </w:r>
    </w:p>
    <w:p w:rsidR="00924AF4" w:rsidRDefault="00924AF4" w:rsidP="002F420E">
      <w:pPr>
        <w:spacing w:line="360" w:lineRule="auto"/>
        <w:jc w:val="both"/>
        <w:rPr>
          <w:iCs/>
          <w:sz w:val="22"/>
          <w:szCs w:val="22"/>
        </w:rPr>
      </w:pPr>
    </w:p>
    <w:p w:rsidR="00924AF4" w:rsidRDefault="00924AF4" w:rsidP="00A72D07">
      <w:pPr>
        <w:tabs>
          <w:tab w:val="left" w:pos="1572"/>
        </w:tabs>
        <w:spacing w:line="360" w:lineRule="auto"/>
        <w:jc w:val="both"/>
        <w:rPr>
          <w:b/>
          <w:iCs/>
          <w:sz w:val="22"/>
          <w:szCs w:val="22"/>
        </w:rPr>
      </w:pPr>
      <w:r w:rsidRPr="007A7BBE">
        <w:rPr>
          <w:b/>
          <w:iCs/>
          <w:sz w:val="22"/>
          <w:szCs w:val="22"/>
        </w:rPr>
        <w:t>SONUÇ</w:t>
      </w:r>
      <w:r w:rsidR="00A72D07">
        <w:rPr>
          <w:b/>
          <w:iCs/>
          <w:sz w:val="22"/>
          <w:szCs w:val="22"/>
        </w:rPr>
        <w:tab/>
      </w:r>
    </w:p>
    <w:p w:rsidR="00A72D07" w:rsidRPr="007A7BBE" w:rsidRDefault="00A72D07" w:rsidP="00A72D07">
      <w:pPr>
        <w:tabs>
          <w:tab w:val="left" w:pos="1572"/>
        </w:tabs>
        <w:spacing w:line="360" w:lineRule="auto"/>
        <w:jc w:val="both"/>
        <w:rPr>
          <w:b/>
          <w:iCs/>
          <w:sz w:val="22"/>
          <w:szCs w:val="22"/>
        </w:rPr>
      </w:pPr>
    </w:p>
    <w:p w:rsidR="00506B1C" w:rsidRDefault="00152BD3" w:rsidP="0034596B">
      <w:pPr>
        <w:spacing w:line="360" w:lineRule="auto"/>
        <w:jc w:val="both"/>
        <w:rPr>
          <w:iCs/>
          <w:sz w:val="22"/>
          <w:szCs w:val="22"/>
        </w:rPr>
      </w:pPr>
      <w:r>
        <w:rPr>
          <w:iCs/>
          <w:sz w:val="22"/>
          <w:szCs w:val="22"/>
        </w:rPr>
        <w:t>Genç işsizliği önemli bir sorun olarak varlığını devam ettirmektedir. Genç işsizliğini azaltmaya yönelik uygulanacak politikaların ana kaynağı makroekonomik göstergelerdir. Ülkelerin ekonomik durumu, kırılgan ekonomik yapısı işgücü piyasasına yönelik ortaya konulan politikaları olumsuz etkilemektedir.</w:t>
      </w:r>
      <w:r w:rsidR="00506B1C">
        <w:rPr>
          <w:iCs/>
          <w:sz w:val="22"/>
          <w:szCs w:val="22"/>
        </w:rPr>
        <w:t xml:space="preserve"> Bundan dolayı ülkelerin uygulayacakları </w:t>
      </w:r>
      <w:r w:rsidR="00270C16">
        <w:rPr>
          <w:iCs/>
          <w:sz w:val="22"/>
          <w:szCs w:val="22"/>
        </w:rPr>
        <w:t>istihdam politikaları makroekonomik göstergelerle yakından ilişkilidir.</w:t>
      </w:r>
    </w:p>
    <w:p w:rsidR="00A72D07" w:rsidRPr="00270C16" w:rsidRDefault="00A72D07" w:rsidP="0034596B">
      <w:pPr>
        <w:spacing w:line="360" w:lineRule="auto"/>
        <w:jc w:val="both"/>
        <w:rPr>
          <w:iCs/>
          <w:sz w:val="22"/>
          <w:szCs w:val="22"/>
        </w:rPr>
      </w:pPr>
    </w:p>
    <w:p w:rsidR="0034596B" w:rsidRDefault="00ED40D3" w:rsidP="0034596B">
      <w:pPr>
        <w:spacing w:line="360" w:lineRule="auto"/>
        <w:jc w:val="both"/>
        <w:rPr>
          <w:iCs/>
          <w:sz w:val="22"/>
          <w:szCs w:val="22"/>
        </w:rPr>
      </w:pPr>
      <w:r>
        <w:rPr>
          <w:sz w:val="22"/>
          <w:szCs w:val="22"/>
        </w:rPr>
        <w:t xml:space="preserve">Bu çalışmada genç işsizliğin makroekonomik belirleyicileri literatürde de sıklıkla kullanılan </w:t>
      </w:r>
      <w:r w:rsidRPr="008B0C28">
        <w:rPr>
          <w:sz w:val="22"/>
          <w:szCs w:val="22"/>
        </w:rPr>
        <w:t>GSYİH</w:t>
      </w:r>
      <w:r>
        <w:rPr>
          <w:sz w:val="22"/>
          <w:szCs w:val="22"/>
        </w:rPr>
        <w:t xml:space="preserve"> büyüme oranı</w:t>
      </w:r>
      <w:r w:rsidRPr="008B0C28">
        <w:rPr>
          <w:sz w:val="22"/>
          <w:szCs w:val="22"/>
        </w:rPr>
        <w:t xml:space="preserve">, </w:t>
      </w:r>
      <w:r>
        <w:rPr>
          <w:sz w:val="22"/>
          <w:szCs w:val="22"/>
        </w:rPr>
        <w:t>enflasyon</w:t>
      </w:r>
      <w:r w:rsidRPr="008B0C28">
        <w:rPr>
          <w:sz w:val="22"/>
          <w:szCs w:val="22"/>
        </w:rPr>
        <w:t xml:space="preserve">, </w:t>
      </w:r>
      <w:r>
        <w:rPr>
          <w:sz w:val="22"/>
          <w:szCs w:val="22"/>
        </w:rPr>
        <w:t xml:space="preserve">doğrudan yabancı yatırımlar, nüfus artış hızı </w:t>
      </w:r>
      <w:r w:rsidRPr="008B0C28">
        <w:rPr>
          <w:sz w:val="22"/>
          <w:szCs w:val="22"/>
        </w:rPr>
        <w:t xml:space="preserve">ve </w:t>
      </w:r>
      <w:r>
        <w:rPr>
          <w:sz w:val="22"/>
          <w:szCs w:val="22"/>
        </w:rPr>
        <w:t xml:space="preserve">ekonomik özgürlük indeksi </w:t>
      </w:r>
      <w:r>
        <w:rPr>
          <w:sz w:val="22"/>
          <w:szCs w:val="22"/>
        </w:rPr>
        <w:lastRenderedPageBreak/>
        <w:t xml:space="preserve">kapsamında ele alınmıştır. </w:t>
      </w:r>
      <w:r w:rsidR="00506B1C">
        <w:rPr>
          <w:sz w:val="22"/>
          <w:szCs w:val="22"/>
        </w:rPr>
        <w:t>Makroekonomik göstergelerin genç işsizlik oranına etkileri kırılgan beşli olarak adlandırılan Brezilya, Türkiye, Güney Afrika, Hindistan ve Endonezya ülkelerinin 2000-2018 yılları arasındaki veri setleri</w:t>
      </w:r>
      <w:r w:rsidR="00270C16">
        <w:rPr>
          <w:sz w:val="22"/>
          <w:szCs w:val="22"/>
        </w:rPr>
        <w:t xml:space="preserve"> incelenmiştir.</w:t>
      </w:r>
      <w:r w:rsidR="00506B1C">
        <w:rPr>
          <w:sz w:val="22"/>
          <w:szCs w:val="22"/>
        </w:rPr>
        <w:t xml:space="preserve"> </w:t>
      </w:r>
      <w:r w:rsidRPr="00524AFD">
        <w:rPr>
          <w:sz w:val="22"/>
          <w:szCs w:val="22"/>
        </w:rPr>
        <w:t>Makroekonomik göstergelerinin genç işsizlik oranına olan etkisini incelemek amacıyla kurulan modeller için Havuzlanmış En Küçük Kareler (HEKK), Sabit Etkiler ve Rassal Etkiler yöntemleriyle tahminler yapılmıştır.</w:t>
      </w:r>
      <w:r w:rsidR="007F61B9">
        <w:rPr>
          <w:sz w:val="22"/>
          <w:szCs w:val="22"/>
        </w:rPr>
        <w:t xml:space="preserve"> Çalışma kapsamında ele alınan model kapsamında enflasyon oranı(INF), nüfus artış hızı (POP) ve ekonomik özgürlük endeksi (EFI)</w:t>
      </w:r>
      <w:r w:rsidR="00506B1C">
        <w:rPr>
          <w:sz w:val="22"/>
          <w:szCs w:val="22"/>
        </w:rPr>
        <w:t xml:space="preserve"> göstergelerinin genç işsizliği üzerinde anlamlı etkileri olduğu sonucu elde edilmiştir. </w:t>
      </w:r>
      <w:r w:rsidR="00B8489E">
        <w:rPr>
          <w:sz w:val="22"/>
          <w:szCs w:val="22"/>
        </w:rPr>
        <w:t xml:space="preserve">Büyüme oranı (GR), Doğrudan yabancı yatırımlar (FDI) göstergelerinin genç işsizliği üzerinde anlamlı bir katsayı elde edilememiştir. </w:t>
      </w:r>
      <w:r w:rsidR="00506B1C">
        <w:rPr>
          <w:iCs/>
          <w:sz w:val="22"/>
          <w:szCs w:val="22"/>
        </w:rPr>
        <w:t>Model kapsamında elde edilen veriler bir arada değerlendirildiğinde enflasyon ve ekonomik özgürlük endekslerinde 1 birimlik artı</w:t>
      </w:r>
      <w:r w:rsidR="00506B1C" w:rsidRPr="001A11ED">
        <w:rPr>
          <w:iCs/>
          <w:sz w:val="22"/>
          <w:szCs w:val="22"/>
        </w:rPr>
        <w:t xml:space="preserve">ş, </w:t>
      </w:r>
      <w:r w:rsidR="00506B1C">
        <w:rPr>
          <w:iCs/>
          <w:sz w:val="22"/>
          <w:szCs w:val="22"/>
        </w:rPr>
        <w:t xml:space="preserve">genç işsizlik oranında sırasıyla 0.60 ve </w:t>
      </w:r>
      <w:r w:rsidR="00506B1C" w:rsidRPr="001A11ED">
        <w:rPr>
          <w:iCs/>
          <w:sz w:val="22"/>
          <w:szCs w:val="22"/>
        </w:rPr>
        <w:t>0</w:t>
      </w:r>
      <w:r w:rsidR="00506B1C">
        <w:rPr>
          <w:iCs/>
          <w:sz w:val="22"/>
          <w:szCs w:val="22"/>
        </w:rPr>
        <w:t xml:space="preserve">.02’lik bir azalmaya, nüfus artış hızında yaşanacak olan 1 birimlik artış ise genç işsizlik oranında 0.66 birim artışa neden olacaktır. </w:t>
      </w:r>
      <w:r w:rsidR="00506B1C" w:rsidRPr="001A11ED">
        <w:rPr>
          <w:iCs/>
          <w:sz w:val="22"/>
          <w:szCs w:val="22"/>
        </w:rPr>
        <w:t xml:space="preserve"> </w:t>
      </w:r>
    </w:p>
    <w:p w:rsidR="00A72D07" w:rsidRDefault="00A72D07" w:rsidP="0034596B">
      <w:pPr>
        <w:spacing w:line="360" w:lineRule="auto"/>
        <w:jc w:val="both"/>
        <w:rPr>
          <w:iCs/>
          <w:sz w:val="22"/>
          <w:szCs w:val="22"/>
        </w:rPr>
      </w:pPr>
    </w:p>
    <w:p w:rsidR="003B0706" w:rsidRDefault="00F8632D" w:rsidP="0034596B">
      <w:pPr>
        <w:spacing w:line="360" w:lineRule="auto"/>
        <w:jc w:val="both"/>
        <w:rPr>
          <w:sz w:val="22"/>
          <w:szCs w:val="22"/>
        </w:rPr>
      </w:pPr>
      <w:r w:rsidRPr="00F31E6D">
        <w:rPr>
          <w:sz w:val="22"/>
          <w:szCs w:val="22"/>
        </w:rPr>
        <w:t>Kırılgan beşli olarak adlandırılan bu ülkeler ekonomik krizlerden en çok etkilenen ülkeler olmuşlardır. Döviz kuru artışları, işsizlik oranlarındaki artış, yüksek enflasyon bu ülkeleri bir</w:t>
      </w:r>
      <w:r w:rsidR="0052488D">
        <w:rPr>
          <w:sz w:val="22"/>
          <w:szCs w:val="22"/>
        </w:rPr>
        <w:t xml:space="preserve"> </w:t>
      </w:r>
      <w:r w:rsidRPr="00F31E6D">
        <w:rPr>
          <w:sz w:val="22"/>
          <w:szCs w:val="22"/>
        </w:rPr>
        <w:t xml:space="preserve">araya toplayan özelliklerdir. Düşük büyüme oranları </w:t>
      </w:r>
      <w:r w:rsidR="00A07668" w:rsidRPr="00F31E6D">
        <w:rPr>
          <w:sz w:val="22"/>
          <w:szCs w:val="22"/>
        </w:rPr>
        <w:t>bu ülkeler için işsizliğin azal</w:t>
      </w:r>
      <w:r w:rsidRPr="00F31E6D">
        <w:rPr>
          <w:sz w:val="22"/>
          <w:szCs w:val="22"/>
        </w:rPr>
        <w:t xml:space="preserve">masının önündeki engellerden biridir. </w:t>
      </w:r>
      <w:r w:rsidR="0052488D">
        <w:rPr>
          <w:sz w:val="22"/>
          <w:szCs w:val="22"/>
        </w:rPr>
        <w:t>Genç nüfus avantajın</w:t>
      </w:r>
      <w:r w:rsidR="00737A93">
        <w:rPr>
          <w:sz w:val="22"/>
          <w:szCs w:val="22"/>
        </w:rPr>
        <w:t>ı elinde bulunduran bu ülkeler için ekonomik istikrar, ça</w:t>
      </w:r>
      <w:r w:rsidR="0052488D">
        <w:rPr>
          <w:sz w:val="22"/>
          <w:szCs w:val="22"/>
        </w:rPr>
        <w:t xml:space="preserve">lışma hayatını </w:t>
      </w:r>
      <w:r w:rsidR="00A72D07">
        <w:rPr>
          <w:sz w:val="22"/>
          <w:szCs w:val="22"/>
        </w:rPr>
        <w:t>ge</w:t>
      </w:r>
      <w:r w:rsidR="00737A93">
        <w:rPr>
          <w:sz w:val="22"/>
          <w:szCs w:val="22"/>
        </w:rPr>
        <w:t>leceği ve teknolojik gelişimler ışığında eğitim ve istihdam politikalar</w:t>
      </w:r>
      <w:r w:rsidR="003B0706">
        <w:rPr>
          <w:sz w:val="22"/>
          <w:szCs w:val="22"/>
        </w:rPr>
        <w:t xml:space="preserve">ı dizayn </w:t>
      </w:r>
      <w:r w:rsidR="00737A93">
        <w:rPr>
          <w:sz w:val="22"/>
          <w:szCs w:val="22"/>
        </w:rPr>
        <w:t xml:space="preserve">edilmelidir. </w:t>
      </w:r>
      <w:r w:rsidR="00234653">
        <w:rPr>
          <w:sz w:val="22"/>
          <w:szCs w:val="22"/>
        </w:rPr>
        <w:t>Ayrıca etki</w:t>
      </w:r>
      <w:r w:rsidR="003B0706">
        <w:rPr>
          <w:sz w:val="22"/>
          <w:szCs w:val="22"/>
        </w:rPr>
        <w:t>n işgücü piyasası ve istikrarlı bir e</w:t>
      </w:r>
      <w:r w:rsidR="0030107D">
        <w:rPr>
          <w:sz w:val="22"/>
          <w:szCs w:val="22"/>
        </w:rPr>
        <w:t>konomik büyüme sağlanabilmesi genç ve genel işsizlikle mücadelede en önemli hususlardır.</w:t>
      </w:r>
    </w:p>
    <w:p w:rsidR="00C92FE8" w:rsidRPr="002A65D9" w:rsidRDefault="00C92FE8" w:rsidP="0034596B">
      <w:pPr>
        <w:spacing w:line="360" w:lineRule="auto"/>
        <w:jc w:val="both"/>
        <w:rPr>
          <w:sz w:val="22"/>
          <w:szCs w:val="22"/>
        </w:rPr>
      </w:pPr>
    </w:p>
    <w:p w:rsidR="005C4DDA" w:rsidRDefault="005C4DDA" w:rsidP="005C4DDA">
      <w:pPr>
        <w:spacing w:after="120" w:line="360" w:lineRule="auto"/>
        <w:ind w:firstLine="539"/>
        <w:rPr>
          <w:b/>
          <w:iCs/>
          <w:sz w:val="22"/>
          <w:szCs w:val="22"/>
        </w:rPr>
      </w:pPr>
      <w:r w:rsidRPr="00FD42E3">
        <w:rPr>
          <w:b/>
          <w:iCs/>
          <w:sz w:val="22"/>
          <w:szCs w:val="22"/>
        </w:rPr>
        <w:t>KAYNAKÇA</w:t>
      </w:r>
    </w:p>
    <w:p w:rsidR="004B0523" w:rsidRPr="00250779" w:rsidRDefault="00250779" w:rsidP="007653F3">
      <w:pPr>
        <w:spacing w:before="240" w:after="240"/>
        <w:ind w:left="567" w:hanging="567"/>
        <w:jc w:val="both"/>
        <w:rPr>
          <w:sz w:val="22"/>
          <w:szCs w:val="22"/>
        </w:rPr>
      </w:pPr>
      <w:r>
        <w:rPr>
          <w:sz w:val="22"/>
          <w:szCs w:val="22"/>
        </w:rPr>
        <w:t xml:space="preserve">Akkuş, Ö., </w:t>
      </w:r>
      <w:r w:rsidR="004B0523" w:rsidRPr="00250779">
        <w:rPr>
          <w:sz w:val="22"/>
          <w:szCs w:val="22"/>
        </w:rPr>
        <w:t xml:space="preserve">Topuz, S. G. (2019). </w:t>
      </w:r>
      <w:r>
        <w:rPr>
          <w:sz w:val="22"/>
          <w:szCs w:val="22"/>
        </w:rPr>
        <w:t>“</w:t>
      </w:r>
      <w:r w:rsidR="004B0523" w:rsidRPr="00250779">
        <w:rPr>
          <w:sz w:val="22"/>
          <w:szCs w:val="22"/>
        </w:rPr>
        <w:t>Validity of Unemployment Hysteresis: The Most Fragile Five Developing Countries</w:t>
      </w:r>
      <w:r>
        <w:rPr>
          <w:sz w:val="22"/>
          <w:szCs w:val="22"/>
        </w:rPr>
        <w:t>”</w:t>
      </w:r>
      <w:r w:rsidR="004B0523" w:rsidRPr="00250779">
        <w:rPr>
          <w:sz w:val="22"/>
          <w:szCs w:val="22"/>
        </w:rPr>
        <w:t xml:space="preserve">. </w:t>
      </w:r>
      <w:r w:rsidR="004B0523" w:rsidRPr="00250779">
        <w:rPr>
          <w:b/>
          <w:i/>
          <w:sz w:val="22"/>
          <w:szCs w:val="22"/>
        </w:rPr>
        <w:t>Sosyoekonom</w:t>
      </w:r>
      <w:r w:rsidR="004B0523" w:rsidRPr="00250779">
        <w:rPr>
          <w:i/>
          <w:sz w:val="22"/>
          <w:szCs w:val="22"/>
        </w:rPr>
        <w:t>i.</w:t>
      </w:r>
      <w:r w:rsidR="004B0523" w:rsidRPr="00250779">
        <w:rPr>
          <w:sz w:val="22"/>
          <w:szCs w:val="22"/>
        </w:rPr>
        <w:t xml:space="preserve"> </w:t>
      </w:r>
      <w:hyperlink r:id="rId15" w:history="1">
        <w:r w:rsidR="004B0523" w:rsidRPr="00250779">
          <w:rPr>
            <w:sz w:val="22"/>
            <w:szCs w:val="22"/>
          </w:rPr>
          <w:t>https://doi.org/10.17233/sosyoekonomi.2019.01.04</w:t>
        </w:r>
      </w:hyperlink>
    </w:p>
    <w:p w:rsidR="004B0523" w:rsidRDefault="004B0523" w:rsidP="007653F3">
      <w:pPr>
        <w:spacing w:before="240" w:after="240"/>
        <w:ind w:left="567" w:hanging="567"/>
        <w:jc w:val="both"/>
        <w:rPr>
          <w:sz w:val="22"/>
          <w:szCs w:val="22"/>
        </w:rPr>
      </w:pPr>
      <w:r w:rsidRPr="00901BEA">
        <w:rPr>
          <w:sz w:val="22"/>
          <w:szCs w:val="22"/>
        </w:rPr>
        <w:t>Ball, L</w:t>
      </w:r>
      <w:r>
        <w:rPr>
          <w:sz w:val="22"/>
          <w:szCs w:val="22"/>
        </w:rPr>
        <w:t>.</w:t>
      </w:r>
      <w:r w:rsidRPr="00901BEA">
        <w:rPr>
          <w:sz w:val="22"/>
          <w:szCs w:val="22"/>
        </w:rPr>
        <w:t>,Jalles, J</w:t>
      </w:r>
      <w:r>
        <w:rPr>
          <w:sz w:val="22"/>
          <w:szCs w:val="22"/>
        </w:rPr>
        <w:t>.</w:t>
      </w:r>
      <w:r w:rsidRPr="00901BEA">
        <w:rPr>
          <w:sz w:val="22"/>
          <w:szCs w:val="22"/>
        </w:rPr>
        <w:t>T</w:t>
      </w:r>
      <w:r>
        <w:rPr>
          <w:sz w:val="22"/>
          <w:szCs w:val="22"/>
        </w:rPr>
        <w:t>.</w:t>
      </w:r>
      <w:r w:rsidRPr="00901BEA">
        <w:rPr>
          <w:sz w:val="22"/>
          <w:szCs w:val="22"/>
        </w:rPr>
        <w:t>, L</w:t>
      </w:r>
      <w:r>
        <w:rPr>
          <w:sz w:val="22"/>
          <w:szCs w:val="22"/>
        </w:rPr>
        <w:t>oungani</w:t>
      </w:r>
      <w:r w:rsidRPr="00901BEA">
        <w:rPr>
          <w:sz w:val="22"/>
          <w:szCs w:val="22"/>
        </w:rPr>
        <w:t>, P</w:t>
      </w:r>
      <w:r>
        <w:rPr>
          <w:sz w:val="22"/>
          <w:szCs w:val="22"/>
        </w:rPr>
        <w:t>., (2015).</w:t>
      </w:r>
      <w:r w:rsidRPr="00901BEA">
        <w:rPr>
          <w:sz w:val="22"/>
          <w:szCs w:val="22"/>
        </w:rPr>
        <w:t xml:space="preserve"> “Do forecastersbelieve in Okun’sLaw? An assessment of unemploymentandoutputforecasts”, </w:t>
      </w:r>
      <w:r w:rsidRPr="00250779">
        <w:rPr>
          <w:b/>
          <w:i/>
          <w:sz w:val="22"/>
          <w:szCs w:val="22"/>
        </w:rPr>
        <w:t>International Journal of Forecasting</w:t>
      </w:r>
      <w:r w:rsidRPr="00901BEA">
        <w:rPr>
          <w:sz w:val="22"/>
          <w:szCs w:val="22"/>
        </w:rPr>
        <w:t xml:space="preserve">, </w:t>
      </w:r>
      <w:r>
        <w:rPr>
          <w:sz w:val="22"/>
          <w:szCs w:val="22"/>
        </w:rPr>
        <w:t>(</w:t>
      </w:r>
      <w:r w:rsidRPr="00901BEA">
        <w:rPr>
          <w:sz w:val="22"/>
          <w:szCs w:val="22"/>
        </w:rPr>
        <w:t>31</w:t>
      </w:r>
      <w:r>
        <w:rPr>
          <w:sz w:val="22"/>
          <w:szCs w:val="22"/>
        </w:rPr>
        <w:t>):</w:t>
      </w:r>
      <w:r w:rsidRPr="00901BEA">
        <w:rPr>
          <w:sz w:val="22"/>
          <w:szCs w:val="22"/>
        </w:rPr>
        <w:t>176–184</w:t>
      </w:r>
    </w:p>
    <w:p w:rsidR="00250779" w:rsidRDefault="00250779" w:rsidP="00250779">
      <w:pPr>
        <w:spacing w:before="240" w:after="240"/>
        <w:ind w:left="567" w:hanging="567"/>
        <w:jc w:val="both"/>
        <w:rPr>
          <w:sz w:val="22"/>
        </w:rPr>
      </w:pPr>
      <w:r w:rsidRPr="00250779">
        <w:rPr>
          <w:sz w:val="22"/>
        </w:rPr>
        <w:t xml:space="preserve">Baltagi, B.H. (2005). </w:t>
      </w:r>
      <w:r w:rsidRPr="00250779">
        <w:rPr>
          <w:b/>
          <w:i/>
          <w:sz w:val="22"/>
        </w:rPr>
        <w:t>Econometric Analysis of Panel Data</w:t>
      </w:r>
      <w:r w:rsidRPr="00250779">
        <w:rPr>
          <w:sz w:val="22"/>
        </w:rPr>
        <w:t>. 3rd Edition, John Wiley &amp; Sons Inc., New York.</w:t>
      </w:r>
    </w:p>
    <w:p w:rsidR="00332B4F" w:rsidRPr="00250779" w:rsidRDefault="00332B4F" w:rsidP="00250779">
      <w:pPr>
        <w:spacing w:before="240" w:after="240"/>
        <w:ind w:left="567" w:hanging="567"/>
        <w:jc w:val="both"/>
        <w:rPr>
          <w:sz w:val="22"/>
        </w:rPr>
      </w:pPr>
      <w:r w:rsidRPr="00332B4F">
        <w:rPr>
          <w:sz w:val="22"/>
        </w:rPr>
        <w:t xml:space="preserve">Bingöl, U . (2020). </w:t>
      </w:r>
      <w:r w:rsidR="00166C19">
        <w:rPr>
          <w:sz w:val="22"/>
        </w:rPr>
        <w:t>The Macroeconomic Determinants o</w:t>
      </w:r>
      <w:r w:rsidR="00166C19" w:rsidRPr="00332B4F">
        <w:rPr>
          <w:sz w:val="22"/>
        </w:rPr>
        <w:t>f Neet: A Panel Data Analys</w:t>
      </w:r>
      <w:r w:rsidR="00166C19">
        <w:rPr>
          <w:sz w:val="22"/>
        </w:rPr>
        <w:t>is For Fragile Five Countries And Russi</w:t>
      </w:r>
      <w:r w:rsidR="00166C19" w:rsidRPr="00332B4F">
        <w:rPr>
          <w:sz w:val="22"/>
        </w:rPr>
        <w:t>a</w:t>
      </w:r>
      <w:r w:rsidRPr="00332B4F">
        <w:rPr>
          <w:sz w:val="22"/>
        </w:rPr>
        <w:t xml:space="preserve">. </w:t>
      </w:r>
      <w:r w:rsidRPr="00166C19">
        <w:rPr>
          <w:i/>
          <w:sz w:val="22"/>
        </w:rPr>
        <w:t>Yönetim v</w:t>
      </w:r>
      <w:r w:rsidR="00166C19" w:rsidRPr="00166C19">
        <w:rPr>
          <w:i/>
          <w:sz w:val="22"/>
        </w:rPr>
        <w:t>e Ekonomi Araştırmaları Dergisi</w:t>
      </w:r>
      <w:r w:rsidRPr="00332B4F">
        <w:rPr>
          <w:sz w:val="22"/>
        </w:rPr>
        <w:t>, 18 (4) , 173-189 . DOI: 10.11611/yead.822305</w:t>
      </w:r>
      <w:r w:rsidR="00166C19">
        <w:rPr>
          <w:sz w:val="22"/>
        </w:rPr>
        <w:t>.</w:t>
      </w:r>
      <w:bookmarkStart w:id="4" w:name="_GoBack"/>
      <w:bookmarkEnd w:id="4"/>
    </w:p>
    <w:p w:rsidR="00250779" w:rsidRPr="00250779" w:rsidRDefault="003B0706" w:rsidP="00250779">
      <w:pPr>
        <w:spacing w:before="240" w:after="240"/>
        <w:ind w:left="567" w:hanging="567"/>
        <w:jc w:val="both"/>
        <w:rPr>
          <w:sz w:val="22"/>
        </w:rPr>
      </w:pPr>
      <w:hyperlink r:id="rId16" w:history="1">
        <w:r w:rsidR="00250779" w:rsidRPr="00250779">
          <w:rPr>
            <w:sz w:val="22"/>
          </w:rPr>
          <w:t>Breusch</w:t>
        </w:r>
      </w:hyperlink>
      <w:r w:rsidR="00250779" w:rsidRPr="00250779">
        <w:rPr>
          <w:sz w:val="22"/>
        </w:rPr>
        <w:t xml:space="preserve">, T. S.,  Pagan, A. R. (1980). “The Lagrange Multiplier Test and its Applications to Model Specification in Econometrics”, </w:t>
      </w:r>
      <w:r w:rsidR="00250779" w:rsidRPr="00250779">
        <w:rPr>
          <w:b/>
          <w:i/>
          <w:sz w:val="22"/>
        </w:rPr>
        <w:t>The Review of Economic Studies</w:t>
      </w:r>
      <w:r w:rsidR="00250779" w:rsidRPr="00250779">
        <w:rPr>
          <w:sz w:val="22"/>
        </w:rPr>
        <w:t>, 47 (1): 239–253, </w:t>
      </w:r>
      <w:hyperlink r:id="rId17" w:history="1">
        <w:r w:rsidR="00250779" w:rsidRPr="00250779">
          <w:rPr>
            <w:sz w:val="22"/>
          </w:rPr>
          <w:t>https://doi.org/10.2307/2297111</w:t>
        </w:r>
      </w:hyperlink>
      <w:r w:rsidR="00250779" w:rsidRPr="00250779">
        <w:rPr>
          <w:sz w:val="22"/>
        </w:rPr>
        <w:t xml:space="preserve">. </w:t>
      </w:r>
    </w:p>
    <w:p w:rsidR="007653F3" w:rsidRPr="00250779" w:rsidRDefault="007653F3" w:rsidP="007653F3">
      <w:pPr>
        <w:spacing w:before="240" w:after="240"/>
        <w:ind w:left="567" w:hanging="567"/>
        <w:jc w:val="both"/>
        <w:rPr>
          <w:sz w:val="22"/>
        </w:rPr>
      </w:pPr>
      <w:r w:rsidRPr="00250779">
        <w:rPr>
          <w:sz w:val="22"/>
        </w:rPr>
        <w:t xml:space="preserve">Commonwealth (2016). </w:t>
      </w:r>
      <w:r w:rsidRPr="00250779">
        <w:rPr>
          <w:b/>
          <w:i/>
          <w:sz w:val="22"/>
        </w:rPr>
        <w:t>Global Youth Development Index and Report 2016</w:t>
      </w:r>
      <w:r w:rsidRPr="00250779">
        <w:rPr>
          <w:sz w:val="22"/>
        </w:rPr>
        <w:t>, London: Commonwealth Secretariat.</w:t>
      </w:r>
    </w:p>
    <w:p w:rsidR="007653F3" w:rsidRPr="00250779" w:rsidRDefault="007653F3" w:rsidP="007653F3">
      <w:pPr>
        <w:spacing w:before="240" w:after="240"/>
        <w:ind w:left="567" w:hanging="567"/>
        <w:jc w:val="both"/>
        <w:rPr>
          <w:sz w:val="22"/>
        </w:rPr>
      </w:pPr>
      <w:r w:rsidRPr="00250779">
        <w:rPr>
          <w:sz w:val="22"/>
        </w:rPr>
        <w:lastRenderedPageBreak/>
        <w:t xml:space="preserve">Cooper, R. </w:t>
      </w:r>
      <w:r w:rsidR="00250779">
        <w:rPr>
          <w:sz w:val="22"/>
        </w:rPr>
        <w:t>N., Bloom, D. E., Canning, D.,</w:t>
      </w:r>
      <w:r w:rsidRPr="00250779">
        <w:rPr>
          <w:sz w:val="22"/>
        </w:rPr>
        <w:t xml:space="preserve"> Sevilla, J. (2003). </w:t>
      </w:r>
      <w:r w:rsidR="00250779">
        <w:rPr>
          <w:sz w:val="22"/>
        </w:rPr>
        <w:t>“</w:t>
      </w:r>
      <w:r w:rsidRPr="00250779">
        <w:rPr>
          <w:sz w:val="22"/>
        </w:rPr>
        <w:t>The Demographic Dividend: A New Perspective on the Economic Consequences of Population Change</w:t>
      </w:r>
      <w:r w:rsidR="00250779">
        <w:rPr>
          <w:sz w:val="22"/>
        </w:rPr>
        <w:t>”</w:t>
      </w:r>
      <w:r w:rsidRPr="00250779">
        <w:rPr>
          <w:sz w:val="22"/>
        </w:rPr>
        <w:t xml:space="preserve">. </w:t>
      </w:r>
      <w:r w:rsidRPr="00250779">
        <w:rPr>
          <w:b/>
          <w:i/>
          <w:sz w:val="22"/>
        </w:rPr>
        <w:t>Foreign Affairs</w:t>
      </w:r>
      <w:r w:rsidRPr="00250779">
        <w:rPr>
          <w:sz w:val="22"/>
        </w:rPr>
        <w:t xml:space="preserve">. </w:t>
      </w:r>
      <w:hyperlink r:id="rId18" w:history="1">
        <w:r w:rsidRPr="00250779">
          <w:rPr>
            <w:rStyle w:val="Kpr"/>
            <w:sz w:val="22"/>
          </w:rPr>
          <w:t>https://doi.org/10.2307/20033592</w:t>
        </w:r>
      </w:hyperlink>
    </w:p>
    <w:p w:rsidR="007653F3" w:rsidRPr="00250779" w:rsidRDefault="007653F3" w:rsidP="007653F3">
      <w:pPr>
        <w:spacing w:before="240" w:after="240"/>
        <w:ind w:left="567" w:hanging="567"/>
        <w:jc w:val="both"/>
        <w:rPr>
          <w:color w:val="333333"/>
          <w:sz w:val="22"/>
          <w:szCs w:val="22"/>
          <w:shd w:val="clear" w:color="auto" w:fill="FFFFFF"/>
        </w:rPr>
      </w:pPr>
      <w:r w:rsidRPr="00250779">
        <w:rPr>
          <w:color w:val="333333"/>
          <w:sz w:val="22"/>
          <w:szCs w:val="22"/>
          <w:shd w:val="clear" w:color="auto" w:fill="FFFFFF"/>
        </w:rPr>
        <w:t>Ço</w:t>
      </w:r>
      <w:r w:rsidR="00250779">
        <w:rPr>
          <w:color w:val="333333"/>
          <w:sz w:val="22"/>
          <w:szCs w:val="22"/>
          <w:shd w:val="clear" w:color="auto" w:fill="FFFFFF"/>
        </w:rPr>
        <w:t xml:space="preserve">ndur, F., Cömertler Şimşir, N. </w:t>
      </w:r>
      <w:r w:rsidRPr="00250779">
        <w:rPr>
          <w:color w:val="333333"/>
          <w:sz w:val="22"/>
          <w:szCs w:val="22"/>
          <w:shd w:val="clear" w:color="auto" w:fill="FFFFFF"/>
        </w:rPr>
        <w:t xml:space="preserve">(2017). </w:t>
      </w:r>
      <w:r w:rsidR="00250779">
        <w:rPr>
          <w:color w:val="333333"/>
          <w:sz w:val="22"/>
          <w:szCs w:val="22"/>
          <w:shd w:val="clear" w:color="auto" w:fill="FFFFFF"/>
        </w:rPr>
        <w:t>“</w:t>
      </w:r>
      <w:r w:rsidRPr="00250779">
        <w:rPr>
          <w:color w:val="333333"/>
          <w:sz w:val="22"/>
          <w:szCs w:val="22"/>
          <w:shd w:val="clear" w:color="auto" w:fill="FFFFFF"/>
        </w:rPr>
        <w:t>An Analysis of The Relationship Between Educational Expenditures, Economic Growth and Youth Unemployment in Turk</w:t>
      </w:r>
      <w:r w:rsidR="00250779">
        <w:rPr>
          <w:color w:val="333333"/>
          <w:sz w:val="22"/>
          <w:szCs w:val="22"/>
          <w:shd w:val="clear" w:color="auto" w:fill="FFFFFF"/>
        </w:rPr>
        <w:t>ey”</w:t>
      </w:r>
      <w:r w:rsidRPr="00250779">
        <w:rPr>
          <w:color w:val="333333"/>
          <w:sz w:val="22"/>
          <w:szCs w:val="22"/>
          <w:shd w:val="clear" w:color="auto" w:fill="FFFFFF"/>
        </w:rPr>
        <w:t xml:space="preserve">. </w:t>
      </w:r>
      <w:r w:rsidRPr="00250779">
        <w:rPr>
          <w:b/>
          <w:i/>
          <w:color w:val="333333"/>
          <w:sz w:val="22"/>
          <w:szCs w:val="22"/>
          <w:shd w:val="clear" w:color="auto" w:fill="FFFFFF"/>
        </w:rPr>
        <w:t>The Journal of International Scientific Researches</w:t>
      </w:r>
      <w:r w:rsidR="00250779">
        <w:rPr>
          <w:color w:val="333333"/>
          <w:sz w:val="22"/>
          <w:szCs w:val="22"/>
          <w:shd w:val="clear" w:color="auto" w:fill="FFFFFF"/>
        </w:rPr>
        <w:t>,</w:t>
      </w:r>
      <w:r w:rsidRPr="00250779">
        <w:rPr>
          <w:color w:val="333333"/>
          <w:sz w:val="22"/>
          <w:szCs w:val="22"/>
          <w:shd w:val="clear" w:color="auto" w:fill="FFFFFF"/>
        </w:rPr>
        <w:t xml:space="preserve"> 2(6)</w:t>
      </w:r>
      <w:r w:rsidR="00250779">
        <w:rPr>
          <w:color w:val="333333"/>
          <w:sz w:val="22"/>
          <w:szCs w:val="22"/>
          <w:shd w:val="clear" w:color="auto" w:fill="FFFFFF"/>
        </w:rPr>
        <w:t>:44-59 . doi</w:t>
      </w:r>
      <w:r w:rsidRPr="00250779">
        <w:rPr>
          <w:color w:val="333333"/>
          <w:sz w:val="22"/>
          <w:szCs w:val="22"/>
          <w:shd w:val="clear" w:color="auto" w:fill="FFFFFF"/>
        </w:rPr>
        <w:t>: 10.23834/isrjournal.306855</w:t>
      </w:r>
    </w:p>
    <w:p w:rsidR="00250779" w:rsidRPr="00250779" w:rsidRDefault="00250779" w:rsidP="00250779">
      <w:pPr>
        <w:spacing w:before="240" w:after="240"/>
        <w:ind w:left="567" w:hanging="567"/>
        <w:jc w:val="both"/>
        <w:rPr>
          <w:sz w:val="22"/>
        </w:rPr>
      </w:pPr>
      <w:r w:rsidRPr="00250779">
        <w:rPr>
          <w:sz w:val="22"/>
        </w:rPr>
        <w:t xml:space="preserve">Gujarati, D.N. (2003). </w:t>
      </w:r>
      <w:r w:rsidRPr="00250779">
        <w:rPr>
          <w:b/>
          <w:i/>
          <w:sz w:val="22"/>
        </w:rPr>
        <w:t>Basic Econometrics</w:t>
      </w:r>
      <w:r w:rsidRPr="00250779">
        <w:rPr>
          <w:sz w:val="22"/>
        </w:rPr>
        <w:t>. 4th Edition, McGraw-Hill, New York.</w:t>
      </w:r>
    </w:p>
    <w:p w:rsidR="00250779" w:rsidRDefault="00250779" w:rsidP="00250779">
      <w:pPr>
        <w:spacing w:before="240" w:after="240"/>
        <w:ind w:left="567" w:hanging="567"/>
        <w:jc w:val="both"/>
        <w:rPr>
          <w:sz w:val="22"/>
        </w:rPr>
      </w:pPr>
      <w:r w:rsidRPr="00250779">
        <w:rPr>
          <w:sz w:val="22"/>
        </w:rPr>
        <w:t xml:space="preserve">Hsiao, C. (2003). </w:t>
      </w:r>
      <w:r w:rsidRPr="00250779">
        <w:rPr>
          <w:b/>
          <w:i/>
          <w:sz w:val="22"/>
        </w:rPr>
        <w:t>The Analysis of Panel Data</w:t>
      </w:r>
      <w:r w:rsidRPr="00250779">
        <w:rPr>
          <w:sz w:val="22"/>
        </w:rPr>
        <w:t>, Cambridge University Press: Cambridge.</w:t>
      </w:r>
    </w:p>
    <w:p w:rsidR="007653F3" w:rsidRDefault="007653F3" w:rsidP="007653F3">
      <w:pPr>
        <w:spacing w:before="240" w:after="240"/>
        <w:ind w:left="567" w:hanging="567"/>
        <w:jc w:val="both"/>
        <w:rPr>
          <w:sz w:val="22"/>
        </w:rPr>
      </w:pPr>
      <w:r w:rsidRPr="00250779">
        <w:rPr>
          <w:sz w:val="22"/>
        </w:rPr>
        <w:t xml:space="preserve">ILO, (2012). </w:t>
      </w:r>
      <w:r w:rsidRPr="00250779">
        <w:rPr>
          <w:b/>
          <w:i/>
          <w:sz w:val="22"/>
        </w:rPr>
        <w:t>Youth Employment Crisis: Time For Action Highlights of the 2012</w:t>
      </w:r>
      <w:r w:rsidRPr="00250779">
        <w:rPr>
          <w:sz w:val="22"/>
        </w:rPr>
        <w:t xml:space="preserve">, ILc Report, Ilo, Geneva. </w:t>
      </w:r>
    </w:p>
    <w:p w:rsidR="009F5BB9" w:rsidRDefault="009F5BB9" w:rsidP="009F5BB9">
      <w:pPr>
        <w:spacing w:before="240" w:after="240"/>
        <w:ind w:left="567" w:hanging="567"/>
        <w:jc w:val="both"/>
        <w:rPr>
          <w:sz w:val="22"/>
        </w:rPr>
      </w:pPr>
      <w:r>
        <w:t>ILO,  (2013). Global Employment Trends for Youth. A generation at risk, Geneva.</w:t>
      </w:r>
    </w:p>
    <w:p w:rsidR="00EA49A4" w:rsidRPr="00250779" w:rsidRDefault="00EA49A4" w:rsidP="007653F3">
      <w:pPr>
        <w:spacing w:before="240" w:after="240"/>
        <w:ind w:left="567" w:hanging="567"/>
        <w:jc w:val="both"/>
        <w:rPr>
          <w:sz w:val="22"/>
        </w:rPr>
      </w:pPr>
      <w:r>
        <w:rPr>
          <w:sz w:val="22"/>
        </w:rPr>
        <w:t xml:space="preserve">ILO, (2020). </w:t>
      </w:r>
      <w:r w:rsidRPr="00EA49A4">
        <w:rPr>
          <w:b/>
          <w:i/>
          <w:sz w:val="22"/>
        </w:rPr>
        <w:t>Global Employment Trends for Youth 2020: Technology and the future of jobs.</w:t>
      </w:r>
      <w:r w:rsidRPr="00EA49A4">
        <w:rPr>
          <w:sz w:val="22"/>
        </w:rPr>
        <w:t xml:space="preserve"> International La</w:t>
      </w:r>
      <w:r w:rsidR="001E1C6F">
        <w:rPr>
          <w:sz w:val="22"/>
        </w:rPr>
        <w:t>bour Office – Geneva.</w:t>
      </w:r>
    </w:p>
    <w:p w:rsidR="004B0523" w:rsidRPr="00250779" w:rsidRDefault="004B0523" w:rsidP="007653F3">
      <w:pPr>
        <w:spacing w:before="240" w:after="240"/>
        <w:ind w:left="567" w:hanging="567"/>
        <w:jc w:val="both"/>
        <w:rPr>
          <w:sz w:val="22"/>
        </w:rPr>
      </w:pPr>
      <w:r w:rsidRPr="00250779">
        <w:rPr>
          <w:sz w:val="22"/>
        </w:rPr>
        <w:t xml:space="preserve">İzgi, B. B., &amp; Konu, A. (2018). </w:t>
      </w:r>
      <w:r w:rsidR="00250779">
        <w:rPr>
          <w:sz w:val="22"/>
        </w:rPr>
        <w:t>“</w:t>
      </w:r>
      <w:r w:rsidRPr="00250779">
        <w:rPr>
          <w:sz w:val="22"/>
        </w:rPr>
        <w:t>Genç işsizliğini belirleyen unsurlar: BRICS ülkeleri ile Türkiye Panel ARDL Uygulaması</w:t>
      </w:r>
      <w:r w:rsidR="00250779">
        <w:rPr>
          <w:sz w:val="22"/>
        </w:rPr>
        <w:t>”</w:t>
      </w:r>
      <w:r w:rsidRPr="00250779">
        <w:rPr>
          <w:sz w:val="22"/>
        </w:rPr>
        <w:t xml:space="preserve">. </w:t>
      </w:r>
      <w:r w:rsidRPr="00250779">
        <w:rPr>
          <w:b/>
          <w:i/>
          <w:sz w:val="22"/>
        </w:rPr>
        <w:t>Dokuz Eylül Üniversitesi Sosyal Bilimler Enstitüsü Dergisi</w:t>
      </w:r>
      <w:r w:rsidRPr="00250779">
        <w:rPr>
          <w:sz w:val="22"/>
        </w:rPr>
        <w:t>, 21(1), 95-112.</w:t>
      </w:r>
    </w:p>
    <w:p w:rsidR="007653F3" w:rsidRPr="006A3685" w:rsidRDefault="007653F3" w:rsidP="007653F3">
      <w:pPr>
        <w:spacing w:before="240" w:after="240"/>
        <w:ind w:left="567" w:hanging="567"/>
        <w:jc w:val="both"/>
      </w:pPr>
      <w:r w:rsidRPr="00250779">
        <w:rPr>
          <w:sz w:val="22"/>
        </w:rPr>
        <w:t>Kabaklarlı, E</w:t>
      </w:r>
      <w:r w:rsidR="00250779">
        <w:rPr>
          <w:sz w:val="22"/>
        </w:rPr>
        <w:t>.,</w:t>
      </w:r>
      <w:r w:rsidRPr="00250779">
        <w:rPr>
          <w:sz w:val="22"/>
        </w:rPr>
        <w:t xml:space="preserve"> Gür, M</w:t>
      </w:r>
      <w:r w:rsidR="00250779">
        <w:rPr>
          <w:sz w:val="22"/>
        </w:rPr>
        <w:t>.,</w:t>
      </w:r>
      <w:r w:rsidRPr="00250779">
        <w:rPr>
          <w:sz w:val="22"/>
        </w:rPr>
        <w:t xml:space="preserve"> (2011). “Türkiye’de Genç İşsizlik Sorunu ve Ekonomik Belirleyicilerinin Uzun Dönem Eş-Bütünleşme Analizi” </w:t>
      </w:r>
      <w:r w:rsidR="00250779">
        <w:rPr>
          <w:sz w:val="22"/>
        </w:rPr>
        <w:t>[</w:t>
      </w:r>
      <w:r w:rsidRPr="00250779">
        <w:rPr>
          <w:sz w:val="22"/>
        </w:rPr>
        <w:t xml:space="preserve">http://www.tcmb.gov.tr/yeni/iletisimgm/esra_kabaklarli-murat_gur.pdf </w:t>
      </w:r>
      <w:r w:rsidR="00250779">
        <w:rPr>
          <w:sz w:val="22"/>
        </w:rPr>
        <w:t>] Erişim Tarihi: 01.06.2021.</w:t>
      </w:r>
    </w:p>
    <w:p w:rsidR="007653F3" w:rsidRPr="00250779" w:rsidRDefault="007653F3" w:rsidP="007653F3">
      <w:pPr>
        <w:spacing w:before="240" w:after="240"/>
        <w:ind w:left="567" w:hanging="567"/>
        <w:jc w:val="both"/>
        <w:rPr>
          <w:sz w:val="22"/>
        </w:rPr>
      </w:pPr>
      <w:r w:rsidRPr="00250779">
        <w:rPr>
          <w:sz w:val="22"/>
        </w:rPr>
        <w:t xml:space="preserve">Karabıyık, İ., (2009). “Avantaj ve Dezavantajları ile Genç İşsizliğinin Değerlendirilmesi”, </w:t>
      </w:r>
      <w:r w:rsidRPr="00250779">
        <w:rPr>
          <w:b/>
          <w:i/>
          <w:sz w:val="22"/>
        </w:rPr>
        <w:t>Erzincan Üniversitesi Hukuk Fakültesi Dergisi</w:t>
      </w:r>
      <w:r w:rsidRPr="00250779">
        <w:rPr>
          <w:sz w:val="22"/>
        </w:rPr>
        <w:t xml:space="preserve">, 13(3-4):293-320. </w:t>
      </w:r>
    </w:p>
    <w:p w:rsidR="004B0523" w:rsidRPr="00250779" w:rsidRDefault="00250779" w:rsidP="007653F3">
      <w:pPr>
        <w:spacing w:before="240" w:after="240"/>
        <w:ind w:left="567" w:hanging="567"/>
        <w:jc w:val="both"/>
        <w:rPr>
          <w:color w:val="000000" w:themeColor="text1"/>
          <w:sz w:val="22"/>
          <w:szCs w:val="22"/>
          <w:shd w:val="clear" w:color="auto" w:fill="FFFFFF"/>
        </w:rPr>
      </w:pPr>
      <w:r>
        <w:rPr>
          <w:color w:val="000000" w:themeColor="text1"/>
          <w:sz w:val="22"/>
          <w:szCs w:val="22"/>
          <w:shd w:val="clear" w:color="auto" w:fill="FFFFFF"/>
        </w:rPr>
        <w:t>Kırca, M., Canbay, Ş</w:t>
      </w:r>
      <w:r w:rsidR="004B0523" w:rsidRPr="00250779">
        <w:rPr>
          <w:color w:val="000000" w:themeColor="text1"/>
          <w:sz w:val="22"/>
          <w:szCs w:val="22"/>
          <w:shd w:val="clear" w:color="auto" w:fill="FFFFFF"/>
        </w:rPr>
        <w:t>.</w:t>
      </w:r>
      <w:r>
        <w:rPr>
          <w:color w:val="000000" w:themeColor="text1"/>
          <w:sz w:val="22"/>
          <w:szCs w:val="22"/>
          <w:shd w:val="clear" w:color="auto" w:fill="FFFFFF"/>
        </w:rPr>
        <w:t>,</w:t>
      </w:r>
      <w:r w:rsidR="004B0523" w:rsidRPr="00250779">
        <w:rPr>
          <w:color w:val="000000" w:themeColor="text1"/>
          <w:sz w:val="22"/>
          <w:szCs w:val="22"/>
          <w:shd w:val="clear" w:color="auto" w:fill="FFFFFF"/>
        </w:rPr>
        <w:t xml:space="preserve"> (2020). </w:t>
      </w:r>
      <w:r>
        <w:rPr>
          <w:color w:val="000000" w:themeColor="text1"/>
          <w:sz w:val="22"/>
          <w:szCs w:val="22"/>
          <w:shd w:val="clear" w:color="auto" w:fill="FFFFFF"/>
        </w:rPr>
        <w:t>“Kırılgan Beşli Ülkeler İçin Philli</w:t>
      </w:r>
      <w:r w:rsidRPr="00250779">
        <w:rPr>
          <w:color w:val="000000" w:themeColor="text1"/>
          <w:sz w:val="22"/>
          <w:szCs w:val="22"/>
          <w:shd w:val="clear" w:color="auto" w:fill="FFFFFF"/>
        </w:rPr>
        <w:t>ps Eğrisi Analizi</w:t>
      </w:r>
      <w:r>
        <w:rPr>
          <w:color w:val="000000" w:themeColor="text1"/>
          <w:sz w:val="22"/>
          <w:szCs w:val="22"/>
          <w:shd w:val="clear" w:color="auto" w:fill="FFFFFF"/>
        </w:rPr>
        <w:t xml:space="preserve">”, </w:t>
      </w:r>
      <w:r w:rsidR="004B0523" w:rsidRPr="00250779">
        <w:rPr>
          <w:b/>
          <w:color w:val="000000" w:themeColor="text1"/>
          <w:sz w:val="22"/>
          <w:szCs w:val="22"/>
          <w:shd w:val="clear" w:color="auto" w:fill="FFFFFF"/>
        </w:rPr>
        <w:t>İktisadi İdari ve Siyasal Araştırmalar Dergisi</w:t>
      </w:r>
      <w:r w:rsidR="004B0523" w:rsidRPr="00250779">
        <w:rPr>
          <w:color w:val="000000" w:themeColor="text1"/>
          <w:sz w:val="22"/>
          <w:szCs w:val="22"/>
          <w:shd w:val="clear" w:color="auto" w:fill="FFFFFF"/>
        </w:rPr>
        <w:t xml:space="preserve"> , 5</w:t>
      </w:r>
      <w:r>
        <w:rPr>
          <w:color w:val="000000" w:themeColor="text1"/>
          <w:sz w:val="22"/>
          <w:szCs w:val="22"/>
          <w:shd w:val="clear" w:color="auto" w:fill="FFFFFF"/>
        </w:rPr>
        <w:t>(12):</w:t>
      </w:r>
      <w:r w:rsidR="004B0523" w:rsidRPr="00250779">
        <w:rPr>
          <w:color w:val="000000" w:themeColor="text1"/>
          <w:sz w:val="22"/>
          <w:szCs w:val="22"/>
          <w:shd w:val="clear" w:color="auto" w:fill="FFFFFF"/>
        </w:rPr>
        <w:t>130-140</w:t>
      </w:r>
      <w:r>
        <w:rPr>
          <w:color w:val="000000" w:themeColor="text1"/>
          <w:sz w:val="22"/>
          <w:szCs w:val="22"/>
          <w:shd w:val="clear" w:color="auto" w:fill="FFFFFF"/>
        </w:rPr>
        <w:t>. doi</w:t>
      </w:r>
      <w:r w:rsidR="004B0523" w:rsidRPr="00250779">
        <w:rPr>
          <w:color w:val="000000" w:themeColor="text1"/>
          <w:sz w:val="22"/>
          <w:szCs w:val="22"/>
          <w:shd w:val="clear" w:color="auto" w:fill="FFFFFF"/>
        </w:rPr>
        <w:t>:</w:t>
      </w:r>
      <w:r>
        <w:rPr>
          <w:color w:val="000000" w:themeColor="text1"/>
          <w:sz w:val="22"/>
          <w:szCs w:val="22"/>
          <w:shd w:val="clear" w:color="auto" w:fill="FFFFFF"/>
        </w:rPr>
        <w:t xml:space="preserve"> </w:t>
      </w:r>
      <w:r w:rsidR="004B0523" w:rsidRPr="00250779">
        <w:rPr>
          <w:color w:val="000000" w:themeColor="text1"/>
          <w:sz w:val="22"/>
          <w:szCs w:val="22"/>
          <w:shd w:val="clear" w:color="auto" w:fill="FFFFFF"/>
        </w:rPr>
        <w:t>10.25204/iktisad.717391</w:t>
      </w:r>
      <w:r>
        <w:rPr>
          <w:color w:val="000000" w:themeColor="text1"/>
          <w:sz w:val="22"/>
          <w:szCs w:val="22"/>
          <w:shd w:val="clear" w:color="auto" w:fill="FFFFFF"/>
        </w:rPr>
        <w:t>.</w:t>
      </w:r>
    </w:p>
    <w:p w:rsidR="004B0523" w:rsidRPr="00250779" w:rsidRDefault="00644FC6" w:rsidP="004B0523">
      <w:pPr>
        <w:spacing w:before="240" w:after="240"/>
        <w:ind w:left="567" w:hanging="567"/>
        <w:jc w:val="both"/>
        <w:rPr>
          <w:sz w:val="22"/>
          <w:szCs w:val="22"/>
        </w:rPr>
      </w:pPr>
      <w:r>
        <w:rPr>
          <w:sz w:val="22"/>
          <w:szCs w:val="22"/>
        </w:rPr>
        <w:t xml:space="preserve">Korkmaz, Ö., </w:t>
      </w:r>
      <w:r w:rsidR="004B0523" w:rsidRPr="00250779">
        <w:rPr>
          <w:sz w:val="22"/>
          <w:szCs w:val="22"/>
        </w:rPr>
        <w:t>Daştan, B</w:t>
      </w:r>
      <w:r>
        <w:rPr>
          <w:sz w:val="22"/>
          <w:szCs w:val="22"/>
        </w:rPr>
        <w:t xml:space="preserve">., </w:t>
      </w:r>
      <w:r w:rsidR="004B0523" w:rsidRPr="00250779">
        <w:rPr>
          <w:sz w:val="22"/>
          <w:szCs w:val="22"/>
        </w:rPr>
        <w:t xml:space="preserve">(2020). </w:t>
      </w:r>
      <w:r>
        <w:rPr>
          <w:sz w:val="22"/>
          <w:szCs w:val="22"/>
        </w:rPr>
        <w:t>“The Relatıonshıp Between Foreign Di</w:t>
      </w:r>
      <w:r w:rsidRPr="00250779">
        <w:rPr>
          <w:sz w:val="22"/>
          <w:szCs w:val="22"/>
        </w:rPr>
        <w:t>rect Investment And Unemployment On Turkey (2005-2019)</w:t>
      </w:r>
      <w:r>
        <w:rPr>
          <w:sz w:val="22"/>
          <w:szCs w:val="22"/>
        </w:rPr>
        <w:t>”</w:t>
      </w:r>
      <w:r w:rsidRPr="00250779">
        <w:rPr>
          <w:sz w:val="22"/>
          <w:szCs w:val="22"/>
        </w:rPr>
        <w:t xml:space="preserve">. </w:t>
      </w:r>
      <w:r w:rsidR="004B0523" w:rsidRPr="00644FC6">
        <w:rPr>
          <w:b/>
          <w:i/>
          <w:sz w:val="22"/>
          <w:szCs w:val="22"/>
        </w:rPr>
        <w:t>International Journal of Economics, Politics, Humanities &amp; Social Sciences</w:t>
      </w:r>
      <w:r>
        <w:rPr>
          <w:sz w:val="22"/>
          <w:szCs w:val="22"/>
        </w:rPr>
        <w:t>,</w:t>
      </w:r>
      <w:r w:rsidR="004B0523" w:rsidRPr="00644FC6">
        <w:rPr>
          <w:sz w:val="22"/>
          <w:szCs w:val="22"/>
        </w:rPr>
        <w:t xml:space="preserve"> </w:t>
      </w:r>
      <w:r>
        <w:rPr>
          <w:sz w:val="22"/>
          <w:szCs w:val="22"/>
        </w:rPr>
        <w:t xml:space="preserve"> 3(4):</w:t>
      </w:r>
      <w:r w:rsidR="004B0523" w:rsidRPr="00250779">
        <w:rPr>
          <w:sz w:val="22"/>
          <w:szCs w:val="22"/>
        </w:rPr>
        <w:t>260-279.</w:t>
      </w:r>
    </w:p>
    <w:p w:rsidR="004B0523" w:rsidRPr="00250779" w:rsidRDefault="004B0523" w:rsidP="004B0523">
      <w:pPr>
        <w:spacing w:before="240" w:after="240"/>
        <w:ind w:left="567" w:hanging="567"/>
        <w:jc w:val="both"/>
        <w:rPr>
          <w:sz w:val="22"/>
          <w:szCs w:val="22"/>
        </w:rPr>
      </w:pPr>
      <w:r w:rsidRPr="00250779">
        <w:rPr>
          <w:sz w:val="22"/>
          <w:szCs w:val="22"/>
        </w:rPr>
        <w:t>Mkombe,</w:t>
      </w:r>
      <w:r w:rsidR="00644FC6">
        <w:rPr>
          <w:sz w:val="22"/>
          <w:szCs w:val="22"/>
        </w:rPr>
        <w:t xml:space="preserve"> D.,</w:t>
      </w:r>
      <w:r w:rsidRPr="00250779">
        <w:rPr>
          <w:sz w:val="22"/>
          <w:szCs w:val="22"/>
        </w:rPr>
        <w:t xml:space="preserve"> Tufa, </w:t>
      </w:r>
      <w:r w:rsidR="00644FC6">
        <w:rPr>
          <w:sz w:val="22"/>
          <w:szCs w:val="22"/>
        </w:rPr>
        <w:t xml:space="preserve">A.H., </w:t>
      </w:r>
      <w:r w:rsidRPr="00250779">
        <w:rPr>
          <w:sz w:val="22"/>
          <w:szCs w:val="22"/>
        </w:rPr>
        <w:t xml:space="preserve">Alene, </w:t>
      </w:r>
      <w:r w:rsidR="00644FC6">
        <w:rPr>
          <w:sz w:val="22"/>
          <w:szCs w:val="22"/>
        </w:rPr>
        <w:t>A.D.,</w:t>
      </w:r>
      <w:r w:rsidRPr="00250779">
        <w:rPr>
          <w:sz w:val="22"/>
          <w:szCs w:val="22"/>
        </w:rPr>
        <w:t xml:space="preserve"> Manda, </w:t>
      </w:r>
      <w:r w:rsidR="00644FC6">
        <w:rPr>
          <w:sz w:val="22"/>
          <w:szCs w:val="22"/>
        </w:rPr>
        <w:t xml:space="preserve">J., </w:t>
      </w:r>
      <w:r w:rsidRPr="00250779">
        <w:rPr>
          <w:sz w:val="22"/>
          <w:szCs w:val="22"/>
        </w:rPr>
        <w:t xml:space="preserve">Feleke, </w:t>
      </w:r>
      <w:r w:rsidR="00644FC6">
        <w:rPr>
          <w:sz w:val="22"/>
          <w:szCs w:val="22"/>
        </w:rPr>
        <w:t xml:space="preserve">S., </w:t>
      </w:r>
      <w:r w:rsidRPr="00250779">
        <w:rPr>
          <w:sz w:val="22"/>
          <w:szCs w:val="22"/>
        </w:rPr>
        <w:t>Abdoulaye</w:t>
      </w:r>
      <w:r w:rsidR="00644FC6">
        <w:rPr>
          <w:sz w:val="22"/>
          <w:szCs w:val="22"/>
        </w:rPr>
        <w:t xml:space="preserve">, T., </w:t>
      </w:r>
      <w:r w:rsidRPr="00250779">
        <w:rPr>
          <w:sz w:val="22"/>
          <w:szCs w:val="22"/>
        </w:rPr>
        <w:t xml:space="preserve">Manyong </w:t>
      </w:r>
      <w:r w:rsidR="00644FC6">
        <w:rPr>
          <w:sz w:val="22"/>
          <w:szCs w:val="22"/>
        </w:rPr>
        <w:t>V., (2020). “</w:t>
      </w:r>
      <w:r w:rsidRPr="00250779">
        <w:rPr>
          <w:sz w:val="22"/>
          <w:szCs w:val="22"/>
        </w:rPr>
        <w:t>The effects of foreign direct investment on youth unemployment in the Southern African Development Community</w:t>
      </w:r>
      <w:r w:rsidR="00644FC6">
        <w:rPr>
          <w:sz w:val="22"/>
          <w:szCs w:val="22"/>
        </w:rPr>
        <w:t>”</w:t>
      </w:r>
      <w:r w:rsidRPr="00250779">
        <w:rPr>
          <w:sz w:val="22"/>
          <w:szCs w:val="22"/>
        </w:rPr>
        <w:t xml:space="preserve">, </w:t>
      </w:r>
      <w:r w:rsidRPr="00644FC6">
        <w:rPr>
          <w:b/>
          <w:i/>
          <w:sz w:val="22"/>
          <w:szCs w:val="22"/>
        </w:rPr>
        <w:t>Development Southern Africa</w:t>
      </w:r>
      <w:r w:rsidR="00644FC6">
        <w:rPr>
          <w:sz w:val="22"/>
          <w:szCs w:val="22"/>
        </w:rPr>
        <w:t>, doi</w:t>
      </w:r>
      <w:r w:rsidRPr="00250779">
        <w:rPr>
          <w:sz w:val="22"/>
          <w:szCs w:val="22"/>
        </w:rPr>
        <w:t>: 10.1080/0376835X.2020.1796598</w:t>
      </w:r>
      <w:r w:rsidR="00644FC6">
        <w:rPr>
          <w:sz w:val="22"/>
          <w:szCs w:val="22"/>
        </w:rPr>
        <w:t>.</w:t>
      </w:r>
    </w:p>
    <w:p w:rsidR="00250779" w:rsidRDefault="00250779" w:rsidP="00250779">
      <w:pPr>
        <w:spacing w:before="240" w:after="240"/>
        <w:ind w:left="567" w:hanging="567"/>
        <w:jc w:val="both"/>
        <w:rPr>
          <w:sz w:val="22"/>
        </w:rPr>
      </w:pPr>
      <w:r w:rsidRPr="004E4CEA">
        <w:rPr>
          <w:sz w:val="22"/>
        </w:rPr>
        <w:t xml:space="preserve">Mercan, M. (2014). “Feldstein-Horioka Hipotezinin AB-15 ve Turkiye Ekonomisi icin Sinanmasi: Yatay Kesit Bagimliligi Altinda Yapisal Kirilmali Dinamik Panel Veri Analizi”,  </w:t>
      </w:r>
      <w:hyperlink r:id="rId19" w:history="1">
        <w:r w:rsidRPr="004E4CEA">
          <w:rPr>
            <w:b/>
            <w:i/>
            <w:sz w:val="22"/>
          </w:rPr>
          <w:t>Ege Academic Review</w:t>
        </w:r>
      </w:hyperlink>
      <w:r w:rsidRPr="004E4CEA">
        <w:rPr>
          <w:sz w:val="22"/>
        </w:rPr>
        <w:t>, 14(2):231-245.</w:t>
      </w:r>
    </w:p>
    <w:p w:rsidR="00547B95" w:rsidRDefault="00456AE9" w:rsidP="00250779">
      <w:pPr>
        <w:spacing w:before="240" w:after="240"/>
        <w:ind w:left="567" w:hanging="567"/>
        <w:jc w:val="both"/>
        <w:rPr>
          <w:sz w:val="22"/>
        </w:rPr>
      </w:pPr>
      <w:r>
        <w:rPr>
          <w:sz w:val="22"/>
        </w:rPr>
        <w:t>OECD, (2021a)</w:t>
      </w:r>
      <w:r w:rsidR="00547B95">
        <w:rPr>
          <w:sz w:val="22"/>
        </w:rPr>
        <w:t xml:space="preserve">. Youth Unemployment Rate. </w:t>
      </w:r>
      <w:hyperlink r:id="rId20" w:history="1">
        <w:r w:rsidR="00547B95" w:rsidRPr="00AB46DA">
          <w:rPr>
            <w:rStyle w:val="Kpr"/>
            <w:sz w:val="22"/>
          </w:rPr>
          <w:t>www.oecd.org</w:t>
        </w:r>
      </w:hyperlink>
      <w:r w:rsidR="00547B95">
        <w:rPr>
          <w:sz w:val="22"/>
        </w:rPr>
        <w:t>. Erişim Tarihi: 01.07.2021</w:t>
      </w:r>
      <w:r>
        <w:rPr>
          <w:sz w:val="22"/>
        </w:rPr>
        <w:t>.</w:t>
      </w:r>
    </w:p>
    <w:p w:rsidR="00456AE9" w:rsidRPr="004E4CEA" w:rsidRDefault="00456AE9" w:rsidP="00456AE9">
      <w:pPr>
        <w:spacing w:before="240" w:after="240"/>
        <w:ind w:left="567" w:hanging="567"/>
        <w:jc w:val="both"/>
        <w:rPr>
          <w:sz w:val="22"/>
        </w:rPr>
      </w:pPr>
      <w:r>
        <w:rPr>
          <w:sz w:val="22"/>
        </w:rPr>
        <w:t xml:space="preserve">OECD, (2021b). Population Rate. </w:t>
      </w:r>
      <w:hyperlink r:id="rId21" w:history="1">
        <w:r w:rsidRPr="00AB46DA">
          <w:rPr>
            <w:rStyle w:val="Kpr"/>
            <w:sz w:val="22"/>
          </w:rPr>
          <w:t>www.oecd.org</w:t>
        </w:r>
      </w:hyperlink>
      <w:r>
        <w:rPr>
          <w:sz w:val="22"/>
        </w:rPr>
        <w:t>. Erişim Tarihi: 01.07.2021</w:t>
      </w:r>
    </w:p>
    <w:p w:rsidR="00456AE9" w:rsidRPr="004E4CEA" w:rsidRDefault="00456AE9" w:rsidP="00704167">
      <w:pPr>
        <w:spacing w:before="240" w:after="240"/>
        <w:ind w:left="567" w:hanging="567"/>
        <w:jc w:val="both"/>
        <w:rPr>
          <w:sz w:val="22"/>
        </w:rPr>
      </w:pPr>
      <w:r>
        <w:rPr>
          <w:sz w:val="22"/>
        </w:rPr>
        <w:t xml:space="preserve">OECD, (2021c). GDP Growth Rate. </w:t>
      </w:r>
      <w:hyperlink r:id="rId22" w:history="1">
        <w:r w:rsidRPr="00AB46DA">
          <w:rPr>
            <w:rStyle w:val="Kpr"/>
            <w:sz w:val="22"/>
          </w:rPr>
          <w:t>www.oecd.org</w:t>
        </w:r>
      </w:hyperlink>
      <w:r>
        <w:rPr>
          <w:sz w:val="22"/>
        </w:rPr>
        <w:t>. Erişim Tarihi: 01.07.2021</w:t>
      </w:r>
    </w:p>
    <w:p w:rsidR="00250779" w:rsidRPr="004E4CEA" w:rsidRDefault="00250779" w:rsidP="00250779">
      <w:pPr>
        <w:spacing w:before="240" w:after="240"/>
        <w:ind w:left="567" w:hanging="567"/>
        <w:jc w:val="both"/>
        <w:rPr>
          <w:sz w:val="22"/>
        </w:rPr>
      </w:pPr>
      <w:r w:rsidRPr="004E4CEA">
        <w:rPr>
          <w:sz w:val="22"/>
        </w:rPr>
        <w:t xml:space="preserve">Pazarlıoğlu, M.V., Gürler, Ö.K. (2007). “Telekomünikasyon Yatırımları ve Ekonomik Büyüme: Panel Veri Yaklaşımı”. </w:t>
      </w:r>
      <w:r w:rsidRPr="004E4CEA">
        <w:rPr>
          <w:b/>
          <w:i/>
          <w:sz w:val="22"/>
        </w:rPr>
        <w:t>Finans Politik &amp; Ekonomik Yorumlar</w:t>
      </w:r>
      <w:r w:rsidRPr="004E4CEA">
        <w:rPr>
          <w:sz w:val="22"/>
        </w:rPr>
        <w:t>, 44(508), 35-43.</w:t>
      </w:r>
    </w:p>
    <w:p w:rsidR="004B0523" w:rsidRPr="004E4CEA" w:rsidRDefault="004B0523" w:rsidP="004B0523">
      <w:pPr>
        <w:spacing w:before="240" w:after="240"/>
        <w:ind w:left="567" w:hanging="567"/>
        <w:jc w:val="both"/>
        <w:rPr>
          <w:sz w:val="22"/>
        </w:rPr>
      </w:pPr>
      <w:r w:rsidRPr="004E4CEA">
        <w:rPr>
          <w:sz w:val="22"/>
        </w:rPr>
        <w:lastRenderedPageBreak/>
        <w:t>Pehlivanoğl</w:t>
      </w:r>
      <w:r w:rsidR="00BF0BC2">
        <w:rPr>
          <w:sz w:val="22"/>
        </w:rPr>
        <w:t>u, F. A.,</w:t>
      </w:r>
      <w:r w:rsidRPr="004E4CEA">
        <w:rPr>
          <w:sz w:val="22"/>
        </w:rPr>
        <w:t xml:space="preserve"> Tanga, M. (2016). An Analysis on the Validity of Okun's Law: Case of Turkey and BRICS 31 An Analysis on the Validity of Okun's Law: Case of Turkey and BRICS 1. International Journal of Economic Studies.</w:t>
      </w:r>
    </w:p>
    <w:p w:rsidR="00250779" w:rsidRPr="004E4CEA" w:rsidRDefault="00250779" w:rsidP="00250779">
      <w:pPr>
        <w:spacing w:before="240" w:after="240"/>
        <w:ind w:left="567" w:hanging="567"/>
        <w:jc w:val="both"/>
        <w:rPr>
          <w:sz w:val="22"/>
        </w:rPr>
      </w:pPr>
      <w:r w:rsidRPr="004E4CEA">
        <w:rPr>
          <w:sz w:val="22"/>
        </w:rPr>
        <w:t xml:space="preserve">Pesaran, M. H. (2004). </w:t>
      </w:r>
      <w:r w:rsidRPr="004E4CEA">
        <w:rPr>
          <w:b/>
          <w:i/>
          <w:sz w:val="22"/>
        </w:rPr>
        <w:t>General Diagnostic Tests For Cross Section Dependence in Panels</w:t>
      </w:r>
      <w:r w:rsidRPr="004E4CEA">
        <w:rPr>
          <w:sz w:val="22"/>
        </w:rPr>
        <w:t>. CESifo Working Papers. 69.</w:t>
      </w:r>
    </w:p>
    <w:p w:rsidR="007653F3" w:rsidRPr="00BF0BC2" w:rsidRDefault="007653F3" w:rsidP="007653F3">
      <w:pPr>
        <w:spacing w:before="240" w:after="240"/>
        <w:ind w:left="567" w:hanging="567"/>
        <w:jc w:val="both"/>
        <w:rPr>
          <w:sz w:val="22"/>
          <w:szCs w:val="22"/>
        </w:rPr>
      </w:pPr>
      <w:r w:rsidRPr="00BF0BC2">
        <w:rPr>
          <w:sz w:val="22"/>
          <w:szCs w:val="22"/>
        </w:rPr>
        <w:t xml:space="preserve">Pirler, B., (2007). “Genç İşsizliği Sorunu ve Çözmeye Yönelik Politikalar”, </w:t>
      </w:r>
      <w:r w:rsidRPr="00BF0BC2">
        <w:rPr>
          <w:b/>
          <w:i/>
          <w:sz w:val="22"/>
          <w:szCs w:val="22"/>
        </w:rPr>
        <w:t>TİSK Akademi</w:t>
      </w:r>
      <w:r w:rsidRPr="00BF0BC2">
        <w:rPr>
          <w:sz w:val="22"/>
          <w:szCs w:val="22"/>
        </w:rPr>
        <w:t xml:space="preserve"> Özel Sayı -1: 147-156. </w:t>
      </w:r>
    </w:p>
    <w:p w:rsidR="007653F3" w:rsidRPr="00BF0BC2" w:rsidRDefault="007653F3" w:rsidP="00BF0BC2">
      <w:pPr>
        <w:spacing w:before="240" w:after="240"/>
        <w:ind w:left="567" w:hanging="567"/>
        <w:jc w:val="both"/>
        <w:rPr>
          <w:sz w:val="22"/>
          <w:szCs w:val="22"/>
        </w:rPr>
      </w:pPr>
      <w:r w:rsidRPr="00BF0BC2">
        <w:rPr>
          <w:sz w:val="22"/>
          <w:szCs w:val="22"/>
        </w:rPr>
        <w:t xml:space="preserve">O’Higgins, N., (2003). </w:t>
      </w:r>
      <w:r w:rsidR="00BF0BC2">
        <w:rPr>
          <w:sz w:val="22"/>
          <w:szCs w:val="22"/>
        </w:rPr>
        <w:t>“</w:t>
      </w:r>
      <w:r w:rsidRPr="00BF0BC2">
        <w:rPr>
          <w:sz w:val="22"/>
          <w:szCs w:val="22"/>
        </w:rPr>
        <w:t>Trends in the</w:t>
      </w:r>
      <w:r w:rsidR="00BF0BC2">
        <w:rPr>
          <w:sz w:val="22"/>
          <w:szCs w:val="22"/>
        </w:rPr>
        <w:t xml:space="preserve"> </w:t>
      </w:r>
      <w:r w:rsidRPr="00BF0BC2">
        <w:rPr>
          <w:sz w:val="22"/>
          <w:szCs w:val="22"/>
        </w:rPr>
        <w:t>Youth</w:t>
      </w:r>
      <w:r w:rsidR="00BF0BC2">
        <w:rPr>
          <w:sz w:val="22"/>
          <w:szCs w:val="22"/>
        </w:rPr>
        <w:t xml:space="preserve"> </w:t>
      </w:r>
      <w:r w:rsidRPr="00BF0BC2">
        <w:rPr>
          <w:sz w:val="22"/>
          <w:szCs w:val="22"/>
        </w:rPr>
        <w:t>Labour Market in Developing</w:t>
      </w:r>
      <w:r w:rsidR="00BF0BC2">
        <w:rPr>
          <w:sz w:val="22"/>
          <w:szCs w:val="22"/>
        </w:rPr>
        <w:t xml:space="preserve"> </w:t>
      </w:r>
      <w:r w:rsidRPr="00BF0BC2">
        <w:rPr>
          <w:sz w:val="22"/>
          <w:szCs w:val="22"/>
        </w:rPr>
        <w:t>and</w:t>
      </w:r>
      <w:r w:rsidR="00BF0BC2">
        <w:rPr>
          <w:sz w:val="22"/>
          <w:szCs w:val="22"/>
        </w:rPr>
        <w:t xml:space="preserve"> </w:t>
      </w:r>
      <w:r w:rsidRPr="00BF0BC2">
        <w:rPr>
          <w:sz w:val="22"/>
          <w:szCs w:val="22"/>
        </w:rPr>
        <w:t>Transition</w:t>
      </w:r>
      <w:r w:rsidR="00BF0BC2">
        <w:rPr>
          <w:sz w:val="22"/>
          <w:szCs w:val="22"/>
        </w:rPr>
        <w:t xml:space="preserve"> </w:t>
      </w:r>
      <w:r w:rsidRPr="00BF0BC2">
        <w:rPr>
          <w:sz w:val="22"/>
          <w:szCs w:val="22"/>
        </w:rPr>
        <w:t>Countries. Social</w:t>
      </w:r>
      <w:r w:rsidR="00BF0BC2">
        <w:rPr>
          <w:sz w:val="22"/>
          <w:szCs w:val="22"/>
        </w:rPr>
        <w:t xml:space="preserve"> </w:t>
      </w:r>
      <w:r w:rsidRPr="00BF0BC2">
        <w:rPr>
          <w:sz w:val="22"/>
          <w:szCs w:val="22"/>
        </w:rPr>
        <w:t>Protection</w:t>
      </w:r>
      <w:r w:rsidR="00BF0BC2">
        <w:rPr>
          <w:sz w:val="22"/>
          <w:szCs w:val="22"/>
        </w:rPr>
        <w:t xml:space="preserve"> </w:t>
      </w:r>
      <w:r w:rsidRPr="00BF0BC2">
        <w:rPr>
          <w:sz w:val="22"/>
          <w:szCs w:val="22"/>
        </w:rPr>
        <w:t>Unit Human Development Network the World Bank</w:t>
      </w:r>
      <w:r w:rsidR="00BF0BC2">
        <w:rPr>
          <w:sz w:val="22"/>
          <w:szCs w:val="22"/>
        </w:rPr>
        <w:t>”</w:t>
      </w:r>
      <w:r w:rsidRPr="00BF0BC2">
        <w:rPr>
          <w:sz w:val="22"/>
          <w:szCs w:val="22"/>
        </w:rPr>
        <w:t>, Social</w:t>
      </w:r>
      <w:r w:rsidR="00BF0BC2">
        <w:rPr>
          <w:sz w:val="22"/>
          <w:szCs w:val="22"/>
        </w:rPr>
        <w:t xml:space="preserve"> </w:t>
      </w:r>
      <w:r w:rsidRPr="00BF0BC2">
        <w:rPr>
          <w:sz w:val="22"/>
          <w:szCs w:val="22"/>
        </w:rPr>
        <w:t>Protection</w:t>
      </w:r>
      <w:r w:rsidR="00BF0BC2">
        <w:rPr>
          <w:sz w:val="22"/>
          <w:szCs w:val="22"/>
        </w:rPr>
        <w:t xml:space="preserve"> </w:t>
      </w:r>
      <w:r w:rsidRPr="00BF0BC2">
        <w:rPr>
          <w:sz w:val="22"/>
          <w:szCs w:val="22"/>
        </w:rPr>
        <w:t>Discussion</w:t>
      </w:r>
      <w:r w:rsidR="00BF0BC2">
        <w:rPr>
          <w:sz w:val="22"/>
          <w:szCs w:val="22"/>
        </w:rPr>
        <w:t xml:space="preserve"> </w:t>
      </w:r>
      <w:r w:rsidRPr="00BF0BC2">
        <w:rPr>
          <w:sz w:val="22"/>
          <w:szCs w:val="22"/>
        </w:rPr>
        <w:t>Paper Series, 0321.</w:t>
      </w:r>
    </w:p>
    <w:p w:rsidR="007653F3" w:rsidRPr="00BF0BC2" w:rsidRDefault="007653F3" w:rsidP="00BF0BC2">
      <w:pPr>
        <w:spacing w:before="240" w:after="240"/>
        <w:ind w:left="567" w:hanging="567"/>
        <w:jc w:val="both"/>
        <w:rPr>
          <w:sz w:val="22"/>
          <w:szCs w:val="22"/>
        </w:rPr>
      </w:pPr>
      <w:r w:rsidRPr="00BF0BC2">
        <w:rPr>
          <w:sz w:val="22"/>
          <w:szCs w:val="22"/>
        </w:rPr>
        <w:t xml:space="preserve">Sayın, F.,(2011). “Türkiye’de 1988-2010 Döneminde Eğitim ve Büyümenin Genç İşsizliğine Etkisinin Analizi”, </w:t>
      </w:r>
      <w:r w:rsidRPr="00BF0BC2">
        <w:rPr>
          <w:b/>
          <w:i/>
          <w:sz w:val="22"/>
          <w:szCs w:val="22"/>
        </w:rPr>
        <w:t>Dokuz Eylül Üniversitesi Sosyal Bilimler Enstitüsü Dergisi</w:t>
      </w:r>
      <w:r w:rsidRPr="00BF0BC2">
        <w:rPr>
          <w:sz w:val="22"/>
          <w:szCs w:val="22"/>
        </w:rPr>
        <w:t>, 13(4):33-53.</w:t>
      </w:r>
    </w:p>
    <w:p w:rsidR="004B0523" w:rsidRDefault="00BF0BC2" w:rsidP="00BF0BC2">
      <w:pPr>
        <w:spacing w:before="240" w:after="240"/>
        <w:ind w:left="567" w:hanging="567"/>
        <w:jc w:val="both"/>
        <w:rPr>
          <w:sz w:val="22"/>
          <w:szCs w:val="22"/>
        </w:rPr>
      </w:pPr>
      <w:r>
        <w:rPr>
          <w:sz w:val="22"/>
          <w:szCs w:val="22"/>
        </w:rPr>
        <w:t>Senturk, M., Akbas, Y</w:t>
      </w:r>
      <w:r w:rsidR="004B0523" w:rsidRPr="00BF0BC2">
        <w:rPr>
          <w:sz w:val="22"/>
          <w:szCs w:val="22"/>
        </w:rPr>
        <w:t>.</w:t>
      </w:r>
      <w:r>
        <w:rPr>
          <w:sz w:val="22"/>
          <w:szCs w:val="22"/>
        </w:rPr>
        <w:t>,</w:t>
      </w:r>
      <w:r w:rsidR="004B0523" w:rsidRPr="00BF0BC2">
        <w:rPr>
          <w:sz w:val="22"/>
          <w:szCs w:val="22"/>
        </w:rPr>
        <w:t xml:space="preserve"> (2014). </w:t>
      </w:r>
      <w:r>
        <w:rPr>
          <w:sz w:val="22"/>
          <w:szCs w:val="22"/>
        </w:rPr>
        <w:t>“</w:t>
      </w:r>
      <w:r w:rsidRPr="00BF0BC2">
        <w:rPr>
          <w:sz w:val="22"/>
          <w:szCs w:val="22"/>
        </w:rPr>
        <w:t>İşsizlik-Enflasyon Ve Ekonomik Büyüme Arasındaki Karşılıklı İlişkinin De</w:t>
      </w:r>
      <w:r>
        <w:rPr>
          <w:sz w:val="22"/>
          <w:szCs w:val="22"/>
        </w:rPr>
        <w:t>ğerlendirilmesi: Türkiye Örneği”</w:t>
      </w:r>
      <w:r w:rsidR="004B0523" w:rsidRPr="00BF0BC2">
        <w:rPr>
          <w:sz w:val="22"/>
          <w:szCs w:val="22"/>
        </w:rPr>
        <w:t xml:space="preserve">. </w:t>
      </w:r>
      <w:r w:rsidR="004B0523" w:rsidRPr="00BF0BC2">
        <w:rPr>
          <w:b/>
          <w:i/>
          <w:sz w:val="22"/>
          <w:szCs w:val="22"/>
        </w:rPr>
        <w:t>Yaşar Üniversitesi E-Dergisi</w:t>
      </w:r>
      <w:r w:rsidR="004B0523" w:rsidRPr="00BF0BC2">
        <w:rPr>
          <w:sz w:val="22"/>
          <w:szCs w:val="22"/>
        </w:rPr>
        <w:t xml:space="preserve"> , 9</w:t>
      </w:r>
      <w:r>
        <w:rPr>
          <w:sz w:val="22"/>
          <w:szCs w:val="22"/>
        </w:rPr>
        <w:t>(34):</w:t>
      </w:r>
      <w:r w:rsidR="004B0523" w:rsidRPr="00BF0BC2">
        <w:rPr>
          <w:sz w:val="22"/>
          <w:szCs w:val="22"/>
        </w:rPr>
        <w:t xml:space="preserve"> 5820-5832. Retrieved from </w:t>
      </w:r>
      <w:hyperlink r:id="rId23" w:history="1">
        <w:r w:rsidR="004B0523" w:rsidRPr="00BF0BC2">
          <w:rPr>
            <w:sz w:val="22"/>
            <w:szCs w:val="22"/>
          </w:rPr>
          <w:t>https://dergipark.org.tr/tr/pub/jyasar/issue/19148/203256</w:t>
        </w:r>
      </w:hyperlink>
      <w:r w:rsidR="00C50AA2">
        <w:rPr>
          <w:sz w:val="22"/>
          <w:szCs w:val="22"/>
        </w:rPr>
        <w:t>.</w:t>
      </w:r>
    </w:p>
    <w:p w:rsidR="00C50AA2" w:rsidRPr="00BF0BC2" w:rsidRDefault="00C50AA2" w:rsidP="00BF0BC2">
      <w:pPr>
        <w:spacing w:before="240" w:after="240"/>
        <w:ind w:left="567" w:hanging="567"/>
        <w:jc w:val="both"/>
        <w:rPr>
          <w:sz w:val="22"/>
          <w:szCs w:val="22"/>
        </w:rPr>
      </w:pPr>
      <w:r>
        <w:rPr>
          <w:sz w:val="22"/>
          <w:szCs w:val="22"/>
        </w:rPr>
        <w:t>Yazar Aslan, B. (2020). “</w:t>
      </w:r>
      <w:r w:rsidRPr="00C50AA2">
        <w:rPr>
          <w:sz w:val="22"/>
          <w:szCs w:val="22"/>
        </w:rPr>
        <w:t>O</w:t>
      </w:r>
      <w:r>
        <w:rPr>
          <w:sz w:val="22"/>
          <w:szCs w:val="22"/>
        </w:rPr>
        <w:t>ECD</w:t>
      </w:r>
      <w:r w:rsidRPr="00C50AA2">
        <w:rPr>
          <w:sz w:val="22"/>
          <w:szCs w:val="22"/>
        </w:rPr>
        <w:t xml:space="preserve"> Ülkelerinde Güvenceli Esneklik Uygulamaları: Karşılaştırmalı Panel Veri Analizi</w:t>
      </w:r>
      <w:r>
        <w:rPr>
          <w:sz w:val="22"/>
          <w:szCs w:val="22"/>
        </w:rPr>
        <w:t>”, Doktora Tezi, Gazi Üniversitesi Sosyal Bilimler Enstitüsü, Ankara.</w:t>
      </w:r>
    </w:p>
    <w:p w:rsidR="004B0523" w:rsidRPr="00BF0BC2" w:rsidRDefault="00BF0BC2" w:rsidP="00BF0BC2">
      <w:pPr>
        <w:spacing w:before="240" w:after="240"/>
        <w:ind w:left="567" w:hanging="567"/>
        <w:jc w:val="both"/>
        <w:rPr>
          <w:sz w:val="22"/>
          <w:szCs w:val="22"/>
        </w:rPr>
      </w:pPr>
      <w:r>
        <w:rPr>
          <w:sz w:val="22"/>
          <w:szCs w:val="22"/>
        </w:rPr>
        <w:t>Wooldridge, J</w:t>
      </w:r>
      <w:r w:rsidR="004B0523" w:rsidRPr="00BF0BC2">
        <w:rPr>
          <w:sz w:val="22"/>
          <w:szCs w:val="22"/>
        </w:rPr>
        <w:t>.</w:t>
      </w:r>
      <w:r>
        <w:rPr>
          <w:sz w:val="22"/>
          <w:szCs w:val="22"/>
        </w:rPr>
        <w:t>,</w:t>
      </w:r>
      <w:r w:rsidR="004B0523" w:rsidRPr="00BF0BC2">
        <w:rPr>
          <w:sz w:val="22"/>
          <w:szCs w:val="22"/>
        </w:rPr>
        <w:t xml:space="preserve"> (2002). </w:t>
      </w:r>
      <w:r w:rsidR="004B0523" w:rsidRPr="00BF0BC2">
        <w:rPr>
          <w:b/>
          <w:sz w:val="22"/>
          <w:szCs w:val="22"/>
        </w:rPr>
        <w:t>Econometric Analysis of Cross SEction and Panel Data</w:t>
      </w:r>
      <w:r w:rsidR="004B0523" w:rsidRPr="00BF0BC2">
        <w:rPr>
          <w:sz w:val="22"/>
          <w:szCs w:val="22"/>
        </w:rPr>
        <w:t>. MIT Press.</w:t>
      </w:r>
    </w:p>
    <w:p w:rsidR="004B0523" w:rsidRPr="004B0523" w:rsidRDefault="004B0523" w:rsidP="004B0523">
      <w:pPr>
        <w:spacing w:line="360" w:lineRule="auto"/>
        <w:ind w:firstLine="540"/>
        <w:jc w:val="both"/>
        <w:rPr>
          <w:sz w:val="22"/>
          <w:szCs w:val="22"/>
        </w:rPr>
      </w:pPr>
    </w:p>
    <w:p w:rsidR="007653F3" w:rsidRPr="006A3685" w:rsidRDefault="007653F3" w:rsidP="007653F3">
      <w:pPr>
        <w:spacing w:before="240" w:after="240"/>
        <w:ind w:left="567" w:hanging="567"/>
        <w:jc w:val="both"/>
      </w:pPr>
    </w:p>
    <w:p w:rsidR="005C4DDA" w:rsidRPr="00FD42E3" w:rsidRDefault="005C4DDA" w:rsidP="005C4DDA">
      <w:pPr>
        <w:spacing w:after="120" w:line="360" w:lineRule="auto"/>
        <w:ind w:firstLine="539"/>
        <w:rPr>
          <w:b/>
          <w:iCs/>
          <w:sz w:val="22"/>
          <w:szCs w:val="22"/>
        </w:rPr>
      </w:pPr>
    </w:p>
    <w:p w:rsidR="005C4DDA" w:rsidRDefault="005C4DDA" w:rsidP="005C4DDA">
      <w:pPr>
        <w:spacing w:line="360" w:lineRule="auto"/>
        <w:ind w:firstLine="540"/>
        <w:jc w:val="both"/>
        <w:rPr>
          <w:sz w:val="22"/>
          <w:szCs w:val="22"/>
        </w:rPr>
      </w:pPr>
    </w:p>
    <w:p w:rsidR="005C4DDA" w:rsidRDefault="005C4DDA" w:rsidP="005C4DDA">
      <w:pPr>
        <w:spacing w:line="360" w:lineRule="auto"/>
        <w:ind w:firstLine="540"/>
        <w:jc w:val="both"/>
        <w:rPr>
          <w:sz w:val="22"/>
          <w:szCs w:val="22"/>
        </w:rPr>
      </w:pPr>
    </w:p>
    <w:p w:rsidR="00FB683A" w:rsidRDefault="00FB683A"/>
    <w:sectPr w:rsidR="00FB683A" w:rsidSect="00B652E7">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49" w:rsidRDefault="000C4A49" w:rsidP="005C4DDA">
      <w:r>
        <w:separator/>
      </w:r>
    </w:p>
  </w:endnote>
  <w:endnote w:type="continuationSeparator" w:id="0">
    <w:p w:rsidR="000C4A49" w:rsidRDefault="000C4A49" w:rsidP="005C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10124"/>
      <w:docPartObj>
        <w:docPartGallery w:val="Page Numbers (Bottom of Page)"/>
        <w:docPartUnique/>
      </w:docPartObj>
    </w:sdtPr>
    <w:sdtContent>
      <w:p w:rsidR="003B0706" w:rsidRDefault="003B0706">
        <w:pPr>
          <w:pStyle w:val="AltBilgi"/>
          <w:jc w:val="right"/>
        </w:pPr>
        <w:r>
          <w:fldChar w:fldCharType="begin"/>
        </w:r>
        <w:r>
          <w:instrText xml:space="preserve"> PAGE   \* MERGEFORMAT </w:instrText>
        </w:r>
        <w:r>
          <w:fldChar w:fldCharType="separate"/>
        </w:r>
        <w:r w:rsidR="009E4BCC">
          <w:rPr>
            <w:noProof/>
          </w:rPr>
          <w:t>17</w:t>
        </w:r>
        <w:r>
          <w:rPr>
            <w:noProof/>
          </w:rPr>
          <w:fldChar w:fldCharType="end"/>
        </w:r>
      </w:p>
    </w:sdtContent>
  </w:sdt>
  <w:p w:rsidR="003B0706" w:rsidRDefault="003B07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49" w:rsidRDefault="000C4A49" w:rsidP="005C4DDA">
      <w:r>
        <w:separator/>
      </w:r>
    </w:p>
  </w:footnote>
  <w:footnote w:type="continuationSeparator" w:id="0">
    <w:p w:rsidR="000C4A49" w:rsidRDefault="000C4A49" w:rsidP="005C4DDA">
      <w:r>
        <w:continuationSeparator/>
      </w:r>
    </w:p>
  </w:footnote>
  <w:footnote w:id="1">
    <w:p w:rsidR="003B0706" w:rsidRPr="0077359B" w:rsidRDefault="003B0706" w:rsidP="005C4DDA">
      <w:pPr>
        <w:pStyle w:val="DipnotMetni"/>
        <w:rPr>
          <w:sz w:val="16"/>
          <w:szCs w:val="16"/>
        </w:rPr>
      </w:pPr>
      <w:r w:rsidRPr="0077359B">
        <w:rPr>
          <w:rStyle w:val="DipnotBavurusu"/>
          <w:rFonts w:ascii="Times New Roman" w:hAnsi="Times New Roman"/>
          <w:sz w:val="16"/>
          <w:szCs w:val="16"/>
        </w:rPr>
        <w:sym w:font="Symbol" w:char="F02A"/>
      </w:r>
      <w:r w:rsidRPr="0077359B">
        <w:rPr>
          <w:rFonts w:ascii="Times New Roman" w:hAnsi="Times New Roman" w:cs="Times New Roman"/>
          <w:sz w:val="16"/>
          <w:szCs w:val="16"/>
        </w:rPr>
        <w:t xml:space="preserve"> </w:t>
      </w:r>
      <w:r>
        <w:rPr>
          <w:rFonts w:ascii="Times New Roman" w:hAnsi="Times New Roman" w:cs="Times New Roman"/>
          <w:sz w:val="16"/>
          <w:szCs w:val="16"/>
        </w:rPr>
        <w:t>Çalışma ve Sosyal Güvenlik Eğitim ve Araştırma Merkezi, berna.yazar</w:t>
      </w:r>
      <w:r w:rsidRPr="0077359B">
        <w:rPr>
          <w:rFonts w:ascii="Times New Roman" w:hAnsi="Times New Roman" w:cs="Times New Roman"/>
          <w:sz w:val="16"/>
          <w:szCs w:val="16"/>
        </w:rPr>
        <w:t xml:space="preserve"> @</w:t>
      </w:r>
      <w:r>
        <w:rPr>
          <w:rFonts w:ascii="Times New Roman" w:hAnsi="Times New Roman" w:cs="Times New Roman"/>
          <w:sz w:val="16"/>
          <w:szCs w:val="16"/>
        </w:rPr>
        <w:t>ailevecalisma.gov.tr</w:t>
      </w:r>
      <w:r w:rsidRPr="0077359B">
        <w:rPr>
          <w:rFonts w:ascii="Times New Roman" w:hAnsi="Times New Roman" w:cs="Times New Roman"/>
          <w:sz w:val="16"/>
          <w:szCs w:val="16"/>
        </w:rPr>
        <w:t>, Tel:</w:t>
      </w:r>
      <w:r>
        <w:rPr>
          <w:rFonts w:ascii="Times New Roman" w:hAnsi="Times New Roman" w:cs="Times New Roman"/>
          <w:sz w:val="16"/>
          <w:szCs w:val="16"/>
        </w:rPr>
        <w:t xml:space="preserve">03125941428 </w:t>
      </w:r>
    </w:p>
  </w:footnote>
  <w:footnote w:id="2">
    <w:p w:rsidR="003B0706" w:rsidRPr="0077359B" w:rsidRDefault="003B0706" w:rsidP="00475A16">
      <w:pPr>
        <w:pStyle w:val="DipnotMetni"/>
        <w:rPr>
          <w:sz w:val="16"/>
          <w:szCs w:val="16"/>
        </w:rPr>
      </w:pPr>
      <w:r w:rsidRPr="0077359B">
        <w:rPr>
          <w:rStyle w:val="DipnotBavurusu"/>
          <w:rFonts w:ascii="Times New Roman" w:hAnsi="Times New Roman"/>
          <w:sz w:val="16"/>
          <w:szCs w:val="16"/>
        </w:rPr>
        <w:sym w:font="Symbol" w:char="F02A"/>
      </w:r>
      <w:r w:rsidRPr="0077359B">
        <w:rPr>
          <w:rStyle w:val="DipnotBavurusu"/>
          <w:rFonts w:ascii="Times New Roman" w:hAnsi="Times New Roman"/>
          <w:sz w:val="16"/>
          <w:szCs w:val="16"/>
        </w:rPr>
        <w:sym w:font="Symbol" w:char="F02A"/>
      </w:r>
      <w:r w:rsidRPr="0077359B">
        <w:rPr>
          <w:rFonts w:ascii="Times New Roman" w:hAnsi="Times New Roman" w:cs="Times New Roman"/>
          <w:sz w:val="16"/>
          <w:szCs w:val="16"/>
        </w:rPr>
        <w:t xml:space="preserve"> </w:t>
      </w:r>
      <w:r>
        <w:rPr>
          <w:rFonts w:ascii="Times New Roman" w:hAnsi="Times New Roman" w:cs="Times New Roman"/>
          <w:sz w:val="16"/>
          <w:szCs w:val="16"/>
        </w:rPr>
        <w:t>Çalışma ve Sosyal Güvenlik Eğitim ve Araştırma Merkezi, elif.celik</w:t>
      </w:r>
      <w:r w:rsidRPr="0077359B">
        <w:rPr>
          <w:rFonts w:ascii="Times New Roman" w:hAnsi="Times New Roman" w:cs="Times New Roman"/>
          <w:sz w:val="16"/>
          <w:szCs w:val="16"/>
        </w:rPr>
        <w:t>@</w:t>
      </w:r>
      <w:r>
        <w:rPr>
          <w:rFonts w:ascii="Times New Roman" w:hAnsi="Times New Roman" w:cs="Times New Roman"/>
          <w:sz w:val="16"/>
          <w:szCs w:val="16"/>
        </w:rPr>
        <w:t>ailevecalisma.gov.tr</w:t>
      </w:r>
      <w:r w:rsidRPr="0077359B">
        <w:rPr>
          <w:rFonts w:ascii="Times New Roman" w:hAnsi="Times New Roman" w:cs="Times New Roman"/>
          <w:sz w:val="16"/>
          <w:szCs w:val="16"/>
        </w:rPr>
        <w:t>, Tel:</w:t>
      </w:r>
      <w:r>
        <w:rPr>
          <w:rFonts w:ascii="Times New Roman" w:hAnsi="Times New Roman" w:cs="Times New Roman"/>
          <w:sz w:val="16"/>
          <w:szCs w:val="16"/>
        </w:rPr>
        <w:t>03125941520</w:t>
      </w:r>
      <w:r w:rsidRPr="0077359B">
        <w:rPr>
          <w:rFonts w:ascii="Times New Roman" w:hAnsi="Times New Roman" w:cs="Times New Roman"/>
          <w:sz w:val="16"/>
          <w:szCs w:val="16"/>
        </w:rPr>
        <w:t>.</w:t>
      </w:r>
    </w:p>
  </w:footnote>
  <w:footnote w:id="3">
    <w:p w:rsidR="003B0706" w:rsidRPr="0077359B" w:rsidRDefault="003B0706" w:rsidP="001517FC">
      <w:pPr>
        <w:pStyle w:val="DipnotMetni"/>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706" w:rsidRDefault="003B0706">
    <w:pPr>
      <w:pStyle w:val="stBilgi"/>
    </w:pPr>
  </w:p>
  <w:p w:rsidR="003B0706" w:rsidRDefault="003B07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95FD9"/>
    <w:multiLevelType w:val="multilevel"/>
    <w:tmpl w:val="D1B814F2"/>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87"/>
    <w:rsid w:val="00003737"/>
    <w:rsid w:val="000112F0"/>
    <w:rsid w:val="00024307"/>
    <w:rsid w:val="00033E0D"/>
    <w:rsid w:val="00043012"/>
    <w:rsid w:val="00044091"/>
    <w:rsid w:val="00057601"/>
    <w:rsid w:val="00080112"/>
    <w:rsid w:val="000A5BCC"/>
    <w:rsid w:val="000B2859"/>
    <w:rsid w:val="000C03F2"/>
    <w:rsid w:val="000C418E"/>
    <w:rsid w:val="000C4A49"/>
    <w:rsid w:val="000D6037"/>
    <w:rsid w:val="00110D85"/>
    <w:rsid w:val="001517FC"/>
    <w:rsid w:val="00152BD3"/>
    <w:rsid w:val="00166C19"/>
    <w:rsid w:val="00173104"/>
    <w:rsid w:val="00183D62"/>
    <w:rsid w:val="00193BC7"/>
    <w:rsid w:val="001A11ED"/>
    <w:rsid w:val="001C44A9"/>
    <w:rsid w:val="001C7D1B"/>
    <w:rsid w:val="001D74CF"/>
    <w:rsid w:val="001E11B8"/>
    <w:rsid w:val="001E1C6F"/>
    <w:rsid w:val="00205542"/>
    <w:rsid w:val="00211C1B"/>
    <w:rsid w:val="002212D3"/>
    <w:rsid w:val="00234653"/>
    <w:rsid w:val="002372C5"/>
    <w:rsid w:val="00250779"/>
    <w:rsid w:val="00270C16"/>
    <w:rsid w:val="002A134A"/>
    <w:rsid w:val="002A290D"/>
    <w:rsid w:val="002A65D9"/>
    <w:rsid w:val="002C0ADB"/>
    <w:rsid w:val="002F420E"/>
    <w:rsid w:val="0030107D"/>
    <w:rsid w:val="00332B4F"/>
    <w:rsid w:val="003332DA"/>
    <w:rsid w:val="003334F7"/>
    <w:rsid w:val="00334ED4"/>
    <w:rsid w:val="0034596B"/>
    <w:rsid w:val="00374A91"/>
    <w:rsid w:val="00393510"/>
    <w:rsid w:val="003A56E8"/>
    <w:rsid w:val="003B0706"/>
    <w:rsid w:val="003B0D40"/>
    <w:rsid w:val="003B7592"/>
    <w:rsid w:val="003D3791"/>
    <w:rsid w:val="003D5707"/>
    <w:rsid w:val="003F21EF"/>
    <w:rsid w:val="003F26EA"/>
    <w:rsid w:val="004245D2"/>
    <w:rsid w:val="00450C72"/>
    <w:rsid w:val="00454F31"/>
    <w:rsid w:val="00456AE9"/>
    <w:rsid w:val="00456B93"/>
    <w:rsid w:val="0046004C"/>
    <w:rsid w:val="004634B8"/>
    <w:rsid w:val="004669C7"/>
    <w:rsid w:val="00475A16"/>
    <w:rsid w:val="00490A8D"/>
    <w:rsid w:val="00490C27"/>
    <w:rsid w:val="00496C94"/>
    <w:rsid w:val="004A6E3C"/>
    <w:rsid w:val="004B0523"/>
    <w:rsid w:val="004B7ED1"/>
    <w:rsid w:val="004E4CEA"/>
    <w:rsid w:val="004E63F1"/>
    <w:rsid w:val="004F0496"/>
    <w:rsid w:val="00506B1C"/>
    <w:rsid w:val="00516DFD"/>
    <w:rsid w:val="00520AD8"/>
    <w:rsid w:val="0052488D"/>
    <w:rsid w:val="00524AFD"/>
    <w:rsid w:val="005304DE"/>
    <w:rsid w:val="00547B95"/>
    <w:rsid w:val="00566FCF"/>
    <w:rsid w:val="00574F72"/>
    <w:rsid w:val="00576E85"/>
    <w:rsid w:val="00580C36"/>
    <w:rsid w:val="005A7650"/>
    <w:rsid w:val="005C4DDA"/>
    <w:rsid w:val="005D000A"/>
    <w:rsid w:val="005D1A3E"/>
    <w:rsid w:val="005D1F6A"/>
    <w:rsid w:val="005E4955"/>
    <w:rsid w:val="005E4C71"/>
    <w:rsid w:val="006067CA"/>
    <w:rsid w:val="00614AE0"/>
    <w:rsid w:val="00644FC6"/>
    <w:rsid w:val="0066220B"/>
    <w:rsid w:val="00662610"/>
    <w:rsid w:val="00667305"/>
    <w:rsid w:val="00684844"/>
    <w:rsid w:val="006A163B"/>
    <w:rsid w:val="006E457A"/>
    <w:rsid w:val="006F4F67"/>
    <w:rsid w:val="007017F6"/>
    <w:rsid w:val="00704167"/>
    <w:rsid w:val="0073595A"/>
    <w:rsid w:val="00737A93"/>
    <w:rsid w:val="00760092"/>
    <w:rsid w:val="007653F3"/>
    <w:rsid w:val="00782992"/>
    <w:rsid w:val="007A4029"/>
    <w:rsid w:val="007A7BBE"/>
    <w:rsid w:val="007B0BF2"/>
    <w:rsid w:val="007E45B7"/>
    <w:rsid w:val="007F1466"/>
    <w:rsid w:val="007F61B9"/>
    <w:rsid w:val="00801846"/>
    <w:rsid w:val="00823231"/>
    <w:rsid w:val="00850271"/>
    <w:rsid w:val="008A3714"/>
    <w:rsid w:val="008A573F"/>
    <w:rsid w:val="008B0C28"/>
    <w:rsid w:val="008D4761"/>
    <w:rsid w:val="0090135C"/>
    <w:rsid w:val="00910B72"/>
    <w:rsid w:val="00924AF4"/>
    <w:rsid w:val="00927F23"/>
    <w:rsid w:val="0095194D"/>
    <w:rsid w:val="00975159"/>
    <w:rsid w:val="00982787"/>
    <w:rsid w:val="00987171"/>
    <w:rsid w:val="009A739A"/>
    <w:rsid w:val="009B1634"/>
    <w:rsid w:val="009B5BDE"/>
    <w:rsid w:val="009C693A"/>
    <w:rsid w:val="009E4BCC"/>
    <w:rsid w:val="009F5BB9"/>
    <w:rsid w:val="00A07668"/>
    <w:rsid w:val="00A11E12"/>
    <w:rsid w:val="00A14C06"/>
    <w:rsid w:val="00A21C34"/>
    <w:rsid w:val="00A24E2A"/>
    <w:rsid w:val="00A401F4"/>
    <w:rsid w:val="00A556AE"/>
    <w:rsid w:val="00A72D07"/>
    <w:rsid w:val="00A7687B"/>
    <w:rsid w:val="00A85FD8"/>
    <w:rsid w:val="00A86556"/>
    <w:rsid w:val="00A97C1D"/>
    <w:rsid w:val="00AB79CD"/>
    <w:rsid w:val="00AE67A3"/>
    <w:rsid w:val="00B10CB8"/>
    <w:rsid w:val="00B22FEF"/>
    <w:rsid w:val="00B63D30"/>
    <w:rsid w:val="00B652E7"/>
    <w:rsid w:val="00B77DB2"/>
    <w:rsid w:val="00B8489E"/>
    <w:rsid w:val="00B848F4"/>
    <w:rsid w:val="00BA22E2"/>
    <w:rsid w:val="00BB68D1"/>
    <w:rsid w:val="00BC3DCE"/>
    <w:rsid w:val="00BF0BC2"/>
    <w:rsid w:val="00C071A2"/>
    <w:rsid w:val="00C15E61"/>
    <w:rsid w:val="00C357C8"/>
    <w:rsid w:val="00C4630A"/>
    <w:rsid w:val="00C50AA2"/>
    <w:rsid w:val="00C61654"/>
    <w:rsid w:val="00C66858"/>
    <w:rsid w:val="00C92FE8"/>
    <w:rsid w:val="00CB0D5D"/>
    <w:rsid w:val="00CB7C5D"/>
    <w:rsid w:val="00CC14B3"/>
    <w:rsid w:val="00CC68FB"/>
    <w:rsid w:val="00CE4316"/>
    <w:rsid w:val="00CF14DF"/>
    <w:rsid w:val="00CF44E7"/>
    <w:rsid w:val="00D04920"/>
    <w:rsid w:val="00D32BD0"/>
    <w:rsid w:val="00D40F70"/>
    <w:rsid w:val="00D71AC2"/>
    <w:rsid w:val="00DB2B01"/>
    <w:rsid w:val="00DB73E0"/>
    <w:rsid w:val="00DE1E42"/>
    <w:rsid w:val="00E151F8"/>
    <w:rsid w:val="00E23B1E"/>
    <w:rsid w:val="00E3285A"/>
    <w:rsid w:val="00E54496"/>
    <w:rsid w:val="00E56CDB"/>
    <w:rsid w:val="00E64C22"/>
    <w:rsid w:val="00E7715A"/>
    <w:rsid w:val="00E93ED5"/>
    <w:rsid w:val="00EA49A4"/>
    <w:rsid w:val="00EC1B26"/>
    <w:rsid w:val="00ED40D3"/>
    <w:rsid w:val="00EE61CB"/>
    <w:rsid w:val="00F25350"/>
    <w:rsid w:val="00F3071D"/>
    <w:rsid w:val="00F31E6D"/>
    <w:rsid w:val="00F34754"/>
    <w:rsid w:val="00F37084"/>
    <w:rsid w:val="00F430DF"/>
    <w:rsid w:val="00F8632D"/>
    <w:rsid w:val="00FB683A"/>
    <w:rsid w:val="00FC3F2C"/>
    <w:rsid w:val="00FD52F7"/>
    <w:rsid w:val="00FD7E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7D84"/>
  <w15:chartTrackingRefBased/>
  <w15:docId w15:val="{8EC46F6D-AE40-44B3-8218-8FFA21BC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D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5C4DDA"/>
    <w:rPr>
      <w:rFonts w:ascii="Calibri" w:hAnsi="Calibri" w:cs="Calibri"/>
      <w:sz w:val="20"/>
      <w:szCs w:val="20"/>
      <w:lang w:eastAsia="en-US"/>
    </w:rPr>
  </w:style>
  <w:style w:type="character" w:customStyle="1" w:styleId="DipnotMetniChar">
    <w:name w:val="Dipnot Metni Char"/>
    <w:basedOn w:val="VarsaylanParagrafYazTipi"/>
    <w:link w:val="DipnotMetni"/>
    <w:uiPriority w:val="99"/>
    <w:semiHidden/>
    <w:rsid w:val="005C4DDA"/>
    <w:rPr>
      <w:rFonts w:ascii="Calibri" w:eastAsia="Times New Roman" w:hAnsi="Calibri" w:cs="Calibri"/>
      <w:sz w:val="20"/>
      <w:szCs w:val="20"/>
    </w:rPr>
  </w:style>
  <w:style w:type="character" w:styleId="DipnotBavurusu">
    <w:name w:val="footnote reference"/>
    <w:basedOn w:val="VarsaylanParagrafYazTipi"/>
    <w:uiPriority w:val="99"/>
    <w:semiHidden/>
    <w:rsid w:val="005C4DDA"/>
    <w:rPr>
      <w:rFonts w:cs="Times New Roman"/>
      <w:vertAlign w:val="superscript"/>
    </w:rPr>
  </w:style>
  <w:style w:type="paragraph" w:styleId="ListeParagraf">
    <w:name w:val="List Paragraph"/>
    <w:basedOn w:val="Normal"/>
    <w:uiPriority w:val="34"/>
    <w:qFormat/>
    <w:rsid w:val="005C4DDA"/>
    <w:pPr>
      <w:ind w:left="720"/>
      <w:contextualSpacing/>
    </w:pPr>
  </w:style>
  <w:style w:type="paragraph" w:styleId="stBilgi">
    <w:name w:val="header"/>
    <w:basedOn w:val="Normal"/>
    <w:link w:val="stBilgiChar"/>
    <w:uiPriority w:val="99"/>
    <w:semiHidden/>
    <w:unhideWhenUsed/>
    <w:rsid w:val="005C4DDA"/>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semiHidden/>
    <w:rsid w:val="005C4DDA"/>
    <w:rPr>
      <w:rFonts w:eastAsiaTheme="minorEastAsia"/>
      <w:lang w:eastAsia="tr-TR"/>
    </w:rPr>
  </w:style>
  <w:style w:type="paragraph" w:styleId="AltBilgi">
    <w:name w:val="footer"/>
    <w:basedOn w:val="Normal"/>
    <w:link w:val="AltBilgiChar"/>
    <w:uiPriority w:val="99"/>
    <w:unhideWhenUsed/>
    <w:rsid w:val="005C4DDA"/>
    <w:pPr>
      <w:tabs>
        <w:tab w:val="center" w:pos="4536"/>
        <w:tab w:val="right" w:pos="9072"/>
      </w:tabs>
    </w:pPr>
  </w:style>
  <w:style w:type="character" w:customStyle="1" w:styleId="AltBilgiChar">
    <w:name w:val="Alt Bilgi Char"/>
    <w:basedOn w:val="VarsaylanParagrafYazTipi"/>
    <w:link w:val="AltBilgi"/>
    <w:uiPriority w:val="99"/>
    <w:rsid w:val="005C4DDA"/>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5C4DDA"/>
    <w:pPr>
      <w:spacing w:after="200"/>
      <w:jc w:val="both"/>
    </w:pPr>
    <w:rPr>
      <w:rFonts w:eastAsiaTheme="minorHAnsi" w:cstheme="minorBidi"/>
      <w:i/>
      <w:iCs/>
      <w:color w:val="44546A" w:themeColor="text2"/>
      <w:sz w:val="18"/>
      <w:szCs w:val="18"/>
      <w:lang w:eastAsia="en-US"/>
    </w:rPr>
  </w:style>
  <w:style w:type="table" w:styleId="TabloKlavuzu">
    <w:name w:val="Table Grid"/>
    <w:basedOn w:val="NormalTablo"/>
    <w:uiPriority w:val="39"/>
    <w:rsid w:val="005C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5C4D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BB6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2046">
      <w:bodyDiv w:val="1"/>
      <w:marLeft w:val="0"/>
      <w:marRight w:val="0"/>
      <w:marTop w:val="0"/>
      <w:marBottom w:val="0"/>
      <w:divBdr>
        <w:top w:val="none" w:sz="0" w:space="0" w:color="auto"/>
        <w:left w:val="none" w:sz="0" w:space="0" w:color="auto"/>
        <w:bottom w:val="none" w:sz="0" w:space="0" w:color="auto"/>
        <w:right w:val="none" w:sz="0" w:space="0" w:color="auto"/>
      </w:divBdr>
    </w:div>
    <w:div w:id="19602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2307/200335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ecd.org"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2307/229711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www.oec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7233/sosyoekonomi.2019.01.04" TargetMode="External"/><Relationship Id="rId23" Type="http://schemas.openxmlformats.org/officeDocument/2006/relationships/hyperlink" Target="https://dergipark.org.tr/tr/pub/jyasar/issue/19148/203256" TargetMode="External"/><Relationship Id="rId10" Type="http://schemas.openxmlformats.org/officeDocument/2006/relationships/chart" Target="charts/chart3.xml"/><Relationship Id="rId19" Type="http://schemas.openxmlformats.org/officeDocument/2006/relationships/hyperlink" Target="https://econpapers.repec.org/article/egejourn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oecd.org"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RNA\Desktop\tez%20&#231;al&#305;&#351;ma\yeni%20veri%20seti\yeni%20veri%20seti%20i&#351;lemler.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RNA\Downloads\DP_LIVE_26072021000046484.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RNA\Desktop\bildiri\Kopya%20DP_LIVE_26072021000046484.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RNA\Desktop\bildiri\Kopya%20DP_LIVE_26072021000046484.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ERNA\Desktop\bildiri\Kopya%20DP_LIVE_26072021000046484.xls"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ERNA\Desktop\bildiri\Kopya%20DP_LIVE_26072021000046484.xls"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ERNA\Desktop\bildiri\Kopya%20DP_LIVE_26072021000046484.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areaChart>
        <c:grouping val="standard"/>
        <c:varyColors val="0"/>
        <c:ser>
          <c:idx val="1"/>
          <c:order val="1"/>
          <c:tx>
            <c:v>OECD</c:v>
          </c:tx>
          <c:spPr>
            <a:solidFill>
              <a:schemeClr val="dk1">
                <a:tint val="55000"/>
              </a:schemeClr>
            </a:solidFill>
            <a:ln>
              <a:noFill/>
            </a:ln>
            <a:effectLst/>
          </c:spPr>
          <c:val>
            <c:numRef>
              <c:f>'[yeni veri seti işlemler.xls]Grafik 8'!$D$9:$D$44</c:f>
              <c:numCache>
                <c:formatCode>#,##0.0_ ;\-#,##0.0\ </c:formatCode>
                <c:ptCount val="36"/>
                <c:pt idx="0">
                  <c:v>11.71256198904217</c:v>
                </c:pt>
                <c:pt idx="1">
                  <c:v>11.71256198904217</c:v>
                </c:pt>
                <c:pt idx="2">
                  <c:v>11.71256198904217</c:v>
                </c:pt>
                <c:pt idx="3">
                  <c:v>11.71256198904217</c:v>
                </c:pt>
                <c:pt idx="4">
                  <c:v>11.71256198904217</c:v>
                </c:pt>
                <c:pt idx="5">
                  <c:v>11.71256198904217</c:v>
                </c:pt>
                <c:pt idx="6">
                  <c:v>11.71256198904217</c:v>
                </c:pt>
                <c:pt idx="7">
                  <c:v>11.71256198904217</c:v>
                </c:pt>
                <c:pt idx="8">
                  <c:v>11.71256198904217</c:v>
                </c:pt>
                <c:pt idx="9">
                  <c:v>11.71256198904217</c:v>
                </c:pt>
                <c:pt idx="10">
                  <c:v>11.71256198904217</c:v>
                </c:pt>
                <c:pt idx="11">
                  <c:v>11.71256198904217</c:v>
                </c:pt>
                <c:pt idx="12">
                  <c:v>11.71256198904217</c:v>
                </c:pt>
                <c:pt idx="13">
                  <c:v>11.71256198904217</c:v>
                </c:pt>
                <c:pt idx="14">
                  <c:v>11.71256198904217</c:v>
                </c:pt>
                <c:pt idx="15">
                  <c:v>11.71256198904217</c:v>
                </c:pt>
                <c:pt idx="16">
                  <c:v>11.71256198904217</c:v>
                </c:pt>
                <c:pt idx="17">
                  <c:v>11.71256198904217</c:v>
                </c:pt>
                <c:pt idx="18">
                  <c:v>11.71256198904217</c:v>
                </c:pt>
                <c:pt idx="19">
                  <c:v>11.71256198904217</c:v>
                </c:pt>
                <c:pt idx="20">
                  <c:v>11.7</c:v>
                </c:pt>
                <c:pt idx="21">
                  <c:v>11.71256198904217</c:v>
                </c:pt>
                <c:pt idx="22">
                  <c:v>11.71256198904217</c:v>
                </c:pt>
                <c:pt idx="23">
                  <c:v>11.71256198904217</c:v>
                </c:pt>
                <c:pt idx="24">
                  <c:v>11.71256198904217</c:v>
                </c:pt>
                <c:pt idx="25">
                  <c:v>11.71256198904217</c:v>
                </c:pt>
                <c:pt idx="26">
                  <c:v>11.71256198904217</c:v>
                </c:pt>
                <c:pt idx="27">
                  <c:v>11.71256198904217</c:v>
                </c:pt>
                <c:pt idx="28">
                  <c:v>11.71256198904217</c:v>
                </c:pt>
                <c:pt idx="29">
                  <c:v>11.71256198904217</c:v>
                </c:pt>
                <c:pt idx="30">
                  <c:v>11.71256198904217</c:v>
                </c:pt>
                <c:pt idx="31">
                  <c:v>11.71256198904217</c:v>
                </c:pt>
                <c:pt idx="32">
                  <c:v>11.71256198904217</c:v>
                </c:pt>
                <c:pt idx="33">
                  <c:v>11.71256198904217</c:v>
                </c:pt>
                <c:pt idx="34">
                  <c:v>11.71256198904217</c:v>
                </c:pt>
                <c:pt idx="35">
                  <c:v>11.71256198904217</c:v>
                </c:pt>
              </c:numCache>
            </c:numRef>
          </c:val>
          <c:extLst>
            <c:ext xmlns:c16="http://schemas.microsoft.com/office/drawing/2014/chart" uri="{C3380CC4-5D6E-409C-BE32-E72D297353CC}">
              <c16:uniqueId val="{00000000-4A59-40BB-B0B2-CB274A5945D9}"/>
            </c:ext>
          </c:extLst>
        </c:ser>
        <c:dLbls>
          <c:showLegendKey val="0"/>
          <c:showVal val="0"/>
          <c:showCatName val="0"/>
          <c:showSerName val="0"/>
          <c:showPercent val="0"/>
          <c:showBubbleSize val="0"/>
        </c:dLbls>
        <c:axId val="982640352"/>
        <c:axId val="982614784"/>
      </c:areaChart>
      <c:barChart>
        <c:barDir val="col"/>
        <c:grouping val="clustered"/>
        <c:varyColors val="0"/>
        <c:ser>
          <c:idx val="0"/>
          <c:order val="0"/>
          <c:tx>
            <c:v>Genç İşsizlik Oranı</c:v>
          </c:tx>
          <c:spPr>
            <a:solidFill>
              <a:schemeClr val="dk1">
                <a:tint val="88500"/>
              </a:schemeClr>
            </a:solidFill>
            <a:ln>
              <a:noFill/>
            </a:ln>
            <a:effectLst/>
          </c:spPr>
          <c:invertIfNegative val="0"/>
          <c:cat>
            <c:strRef>
              <c:f>'[yeni veri seti işlemler.xls]Grafik 8'!$E$9:$E$44</c:f>
              <c:strCache>
                <c:ptCount val="36"/>
                <c:pt idx="0">
                  <c:v>Avs</c:v>
                </c:pt>
                <c:pt idx="1">
                  <c:v>Avt</c:v>
                </c:pt>
                <c:pt idx="2">
                  <c:v>Bel</c:v>
                </c:pt>
                <c:pt idx="3">
                  <c:v>Kan</c:v>
                </c:pt>
                <c:pt idx="4">
                  <c:v>Şil</c:v>
                </c:pt>
                <c:pt idx="5">
                  <c:v>Çek</c:v>
                </c:pt>
                <c:pt idx="6">
                  <c:v>Dan</c:v>
                </c:pt>
                <c:pt idx="7">
                  <c:v>Est</c:v>
                </c:pt>
                <c:pt idx="8">
                  <c:v>Fin</c:v>
                </c:pt>
                <c:pt idx="9">
                  <c:v>Fra</c:v>
                </c:pt>
                <c:pt idx="10">
                  <c:v>Alm</c:v>
                </c:pt>
                <c:pt idx="11">
                  <c:v>Yun</c:v>
                </c:pt>
                <c:pt idx="12">
                  <c:v>Mac</c:v>
                </c:pt>
                <c:pt idx="13">
                  <c:v>İzl</c:v>
                </c:pt>
                <c:pt idx="14">
                  <c:v>İrl</c:v>
                </c:pt>
                <c:pt idx="15">
                  <c:v>İsr</c:v>
                </c:pt>
                <c:pt idx="16">
                  <c:v>İta</c:v>
                </c:pt>
                <c:pt idx="17">
                  <c:v>Jap</c:v>
                </c:pt>
                <c:pt idx="18">
                  <c:v>Kor</c:v>
                </c:pt>
                <c:pt idx="19">
                  <c:v>Let</c:v>
                </c:pt>
                <c:pt idx="20">
                  <c:v>Lit</c:v>
                </c:pt>
                <c:pt idx="21">
                  <c:v>Lük</c:v>
                </c:pt>
                <c:pt idx="22">
                  <c:v>Mek</c:v>
                </c:pt>
                <c:pt idx="23">
                  <c:v>Hol</c:v>
                </c:pt>
                <c:pt idx="24">
                  <c:v>Yen</c:v>
                </c:pt>
                <c:pt idx="25">
                  <c:v>Nor</c:v>
                </c:pt>
                <c:pt idx="26">
                  <c:v>Pol</c:v>
                </c:pt>
                <c:pt idx="27">
                  <c:v>Por</c:v>
                </c:pt>
                <c:pt idx="28">
                  <c:v>Slo</c:v>
                </c:pt>
                <c:pt idx="29">
                  <c:v>Slo</c:v>
                </c:pt>
                <c:pt idx="30">
                  <c:v>İsp</c:v>
                </c:pt>
                <c:pt idx="31">
                  <c:v>İsv</c:v>
                </c:pt>
                <c:pt idx="32">
                  <c:v>İsv</c:v>
                </c:pt>
                <c:pt idx="33">
                  <c:v>Tür</c:v>
                </c:pt>
                <c:pt idx="34">
                  <c:v>İng</c:v>
                </c:pt>
                <c:pt idx="35">
                  <c:v>ABD</c:v>
                </c:pt>
              </c:strCache>
            </c:strRef>
          </c:cat>
          <c:val>
            <c:numRef>
              <c:f>'[yeni veri seti işlemler.xls]Grafik 8'!$C$9:$C$44</c:f>
              <c:numCache>
                <c:formatCode>#,##0.0_ ;\-#,##0.0\ </c:formatCode>
                <c:ptCount val="36"/>
                <c:pt idx="0">
                  <c:v>11.72759001780785</c:v>
                </c:pt>
                <c:pt idx="1">
                  <c:v>8.5396330650716017</c:v>
                </c:pt>
                <c:pt idx="2">
                  <c:v>14.24133665398446</c:v>
                </c:pt>
                <c:pt idx="3">
                  <c:v>11.020364605919911</c:v>
                </c:pt>
                <c:pt idx="4">
                  <c:v>19.11382824115972</c:v>
                </c:pt>
                <c:pt idx="5">
                  <c:v>5.6283408722932053</c:v>
                </c:pt>
                <c:pt idx="6">
                  <c:v>10.05771211948751</c:v>
                </c:pt>
                <c:pt idx="7">
                  <c:v>10.67876461027522</c:v>
                </c:pt>
                <c:pt idx="8">
                  <c:v>16.28088137105291</c:v>
                </c:pt>
                <c:pt idx="9">
                  <c:v>19.602583215026399</c:v>
                </c:pt>
                <c:pt idx="10">
                  <c:v>5.7669474825189511</c:v>
                </c:pt>
                <c:pt idx="11">
                  <c:v>35.224290485073688</c:v>
                </c:pt>
                <c:pt idx="12">
                  <c:v>11.40607233462527</c:v>
                </c:pt>
                <c:pt idx="13">
                  <c:v>8.7480192648565787</c:v>
                </c:pt>
                <c:pt idx="14">
                  <c:v>12.45785107506449</c:v>
                </c:pt>
                <c:pt idx="15">
                  <c:v>6.6767443286229113</c:v>
                </c:pt>
                <c:pt idx="16">
                  <c:v>29.155844119611629</c:v>
                </c:pt>
                <c:pt idx="17">
                  <c:v>3.660565723793678</c:v>
                </c:pt>
                <c:pt idx="18">
                  <c:v>10.44357750532161</c:v>
                </c:pt>
                <c:pt idx="19">
                  <c:v>12.42166094937873</c:v>
                </c:pt>
                <c:pt idx="20">
                  <c:v>11.9</c:v>
                </c:pt>
                <c:pt idx="21">
                  <c:v>16.986156056689531</c:v>
                </c:pt>
                <c:pt idx="22">
                  <c:v>7.2333427237903898</c:v>
                </c:pt>
                <c:pt idx="23">
                  <c:v>6.7346209014412546</c:v>
                </c:pt>
                <c:pt idx="24">
                  <c:v>11.162116288860609</c:v>
                </c:pt>
                <c:pt idx="25">
                  <c:v>9.9571567593524932</c:v>
                </c:pt>
                <c:pt idx="26">
                  <c:v>9.8734827425776164</c:v>
                </c:pt>
                <c:pt idx="27">
                  <c:v>18.27669309388726</c:v>
                </c:pt>
                <c:pt idx="28">
                  <c:v>16.11216744418056</c:v>
                </c:pt>
                <c:pt idx="29">
                  <c:v>8.1324623607785149</c:v>
                </c:pt>
                <c:pt idx="30">
                  <c:v>32.532398468632891</c:v>
                </c:pt>
                <c:pt idx="31">
                  <c:v>19.981000922772029</c:v>
                </c:pt>
                <c:pt idx="32">
                  <c:v>8.0027745129100811</c:v>
                </c:pt>
                <c:pt idx="33">
                  <c:v>25.409994211846421</c:v>
                </c:pt>
                <c:pt idx="34">
                  <c:v>11.325318282626229</c:v>
                </c:pt>
                <c:pt idx="35">
                  <c:v>8.3918073203110168</c:v>
                </c:pt>
              </c:numCache>
            </c:numRef>
          </c:val>
          <c:extLst>
            <c:ext xmlns:c16="http://schemas.microsoft.com/office/drawing/2014/chart" uri="{C3380CC4-5D6E-409C-BE32-E72D297353CC}">
              <c16:uniqueId val="{00000001-4A59-40BB-B0B2-CB274A5945D9}"/>
            </c:ext>
          </c:extLst>
        </c:ser>
        <c:dLbls>
          <c:showLegendKey val="0"/>
          <c:showVal val="0"/>
          <c:showCatName val="0"/>
          <c:showSerName val="0"/>
          <c:showPercent val="0"/>
          <c:showBubbleSize val="0"/>
        </c:dLbls>
        <c:gapWidth val="219"/>
        <c:axId val="982640352"/>
        <c:axId val="982614784"/>
      </c:barChart>
      <c:catAx>
        <c:axId val="98264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82614784"/>
        <c:crosses val="autoZero"/>
        <c:auto val="1"/>
        <c:lblAlgn val="ctr"/>
        <c:lblOffset val="100"/>
        <c:noMultiLvlLbl val="0"/>
      </c:catAx>
      <c:valAx>
        <c:axId val="982614784"/>
        <c:scaling>
          <c:orientation val="minMax"/>
        </c:scaling>
        <c:delete val="0"/>
        <c:axPos val="l"/>
        <c:majorGridlines>
          <c:spPr>
            <a:ln w="9525" cap="flat" cmpd="sng" algn="ctr">
              <a:solidFill>
                <a:schemeClr val="tx1">
                  <a:lumMod val="15000"/>
                  <a:lumOff val="85000"/>
                </a:schemeClr>
              </a:solidFill>
              <a:round/>
            </a:ln>
            <a:effectLst/>
          </c:spPr>
        </c:majorGridlines>
        <c:numFmt formatCode="#,##0.0_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8264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Sayfa1!$B$1</c:f>
              <c:strCache>
                <c:ptCount val="1"/>
                <c:pt idx="0">
                  <c:v>Türkiye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Sayfa1!$A$2:$A$20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Sayfa1!$B$2:$B$20</c:f>
              <c:numCache>
                <c:formatCode>General</c:formatCode>
                <c:ptCount val="19"/>
                <c:pt idx="0">
                  <c:v>29.452000000000002</c:v>
                </c:pt>
                <c:pt idx="1">
                  <c:v>29.065000000000001</c:v>
                </c:pt>
                <c:pt idx="2">
                  <c:v>28.623999999999999</c:v>
                </c:pt>
                <c:pt idx="3">
                  <c:v>28.143000000000001</c:v>
                </c:pt>
                <c:pt idx="4">
                  <c:v>27.675000000000001</c:v>
                </c:pt>
                <c:pt idx="5">
                  <c:v>27.244</c:v>
                </c:pt>
                <c:pt idx="6">
                  <c:v>26.841000000000001</c:v>
                </c:pt>
                <c:pt idx="7">
                  <c:v>26.472999999999999</c:v>
                </c:pt>
                <c:pt idx="8">
                  <c:v>26.341000000000001</c:v>
                </c:pt>
                <c:pt idx="9">
                  <c:v>26.13</c:v>
                </c:pt>
                <c:pt idx="10">
                  <c:v>25.797999999999998</c:v>
                </c:pt>
                <c:pt idx="11">
                  <c:v>25.44</c:v>
                </c:pt>
                <c:pt idx="12">
                  <c:v>25.103999999999999</c:v>
                </c:pt>
                <c:pt idx="13">
                  <c:v>24.759</c:v>
                </c:pt>
                <c:pt idx="14">
                  <c:v>24.431000000000001</c:v>
                </c:pt>
                <c:pt idx="15">
                  <c:v>24.13</c:v>
                </c:pt>
                <c:pt idx="16">
                  <c:v>23.847999999999999</c:v>
                </c:pt>
                <c:pt idx="17">
                  <c:v>23.632000000000001</c:v>
                </c:pt>
                <c:pt idx="18">
                  <c:v>23.472999999999999</c:v>
                </c:pt>
              </c:numCache>
            </c:numRef>
          </c:val>
          <c:smooth val="0"/>
          <c:extLst>
            <c:ext xmlns:c16="http://schemas.microsoft.com/office/drawing/2014/chart" uri="{C3380CC4-5D6E-409C-BE32-E72D297353CC}">
              <c16:uniqueId val="{00000000-326E-45A5-9A6B-2F2D205EC19F}"/>
            </c:ext>
          </c:extLst>
        </c:ser>
        <c:ser>
          <c:idx val="1"/>
          <c:order val="1"/>
          <c:tx>
            <c:strRef>
              <c:f>Sayfa1!$C$1</c:f>
              <c:strCache>
                <c:ptCount val="1"/>
                <c:pt idx="0">
                  <c:v>Brezilya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Sayfa1!$A$2:$A$20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Sayfa1!$C$2:$C$20</c:f>
              <c:numCache>
                <c:formatCode>General</c:formatCode>
                <c:ptCount val="19"/>
                <c:pt idx="0">
                  <c:v>30.2</c:v>
                </c:pt>
                <c:pt idx="1">
                  <c:v>29.597999999999999</c:v>
                </c:pt>
                <c:pt idx="2">
                  <c:v>28.984999999999999</c:v>
                </c:pt>
                <c:pt idx="3">
                  <c:v>28.393000000000001</c:v>
                </c:pt>
                <c:pt idx="4">
                  <c:v>27.83</c:v>
                </c:pt>
                <c:pt idx="5">
                  <c:v>27.303000000000001</c:v>
                </c:pt>
                <c:pt idx="6">
                  <c:v>26.792000000000002</c:v>
                </c:pt>
                <c:pt idx="7">
                  <c:v>26.276</c:v>
                </c:pt>
                <c:pt idx="8">
                  <c:v>25.762</c:v>
                </c:pt>
                <c:pt idx="9">
                  <c:v>25.238</c:v>
                </c:pt>
                <c:pt idx="10">
                  <c:v>24.690999999999999</c:v>
                </c:pt>
                <c:pt idx="11">
                  <c:v>24.167999999999999</c:v>
                </c:pt>
                <c:pt idx="12">
                  <c:v>23.645</c:v>
                </c:pt>
                <c:pt idx="13">
                  <c:v>23.132000000000001</c:v>
                </c:pt>
                <c:pt idx="14">
                  <c:v>22.670999999999999</c:v>
                </c:pt>
                <c:pt idx="15">
                  <c:v>22.283999999999999</c:v>
                </c:pt>
                <c:pt idx="16">
                  <c:v>21.914000000000001</c:v>
                </c:pt>
                <c:pt idx="17">
                  <c:v>21.605</c:v>
                </c:pt>
                <c:pt idx="18">
                  <c:v>21.347000000000001</c:v>
                </c:pt>
              </c:numCache>
            </c:numRef>
          </c:val>
          <c:smooth val="0"/>
          <c:extLst>
            <c:ext xmlns:c16="http://schemas.microsoft.com/office/drawing/2014/chart" uri="{C3380CC4-5D6E-409C-BE32-E72D297353CC}">
              <c16:uniqueId val="{00000001-326E-45A5-9A6B-2F2D205EC19F}"/>
            </c:ext>
          </c:extLst>
        </c:ser>
        <c:ser>
          <c:idx val="2"/>
          <c:order val="2"/>
          <c:tx>
            <c:strRef>
              <c:f>Sayfa1!$D$1</c:f>
              <c:strCache>
                <c:ptCount val="1"/>
                <c:pt idx="0">
                  <c:v>Hindistan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Sayfa1!$A$2:$A$20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Sayfa1!$D$2:$D$20</c:f>
              <c:numCache>
                <c:formatCode>General</c:formatCode>
                <c:ptCount val="19"/>
                <c:pt idx="0">
                  <c:v>34.734999999999999</c:v>
                </c:pt>
                <c:pt idx="1">
                  <c:v>34.377000000000002</c:v>
                </c:pt>
                <c:pt idx="2">
                  <c:v>33.993000000000002</c:v>
                </c:pt>
                <c:pt idx="3">
                  <c:v>33.593000000000004</c:v>
                </c:pt>
                <c:pt idx="4">
                  <c:v>33.189</c:v>
                </c:pt>
                <c:pt idx="5">
                  <c:v>32.786000000000001</c:v>
                </c:pt>
                <c:pt idx="6">
                  <c:v>32.427999999999997</c:v>
                </c:pt>
                <c:pt idx="7">
                  <c:v>32.067</c:v>
                </c:pt>
                <c:pt idx="8">
                  <c:v>31.698</c:v>
                </c:pt>
                <c:pt idx="9">
                  <c:v>31.309000000000001</c:v>
                </c:pt>
                <c:pt idx="10">
                  <c:v>30.891999999999999</c:v>
                </c:pt>
                <c:pt idx="11">
                  <c:v>30.49</c:v>
                </c:pt>
                <c:pt idx="12">
                  <c:v>30.047000000000001</c:v>
                </c:pt>
                <c:pt idx="13">
                  <c:v>29.577999999999999</c:v>
                </c:pt>
                <c:pt idx="14">
                  <c:v>29.109000000000002</c:v>
                </c:pt>
                <c:pt idx="15">
                  <c:v>28.658000000000001</c:v>
                </c:pt>
                <c:pt idx="16">
                  <c:v>28.195</c:v>
                </c:pt>
                <c:pt idx="17">
                  <c:v>27.783000000000001</c:v>
                </c:pt>
                <c:pt idx="18">
                  <c:v>27.395</c:v>
                </c:pt>
              </c:numCache>
            </c:numRef>
          </c:val>
          <c:smooth val="0"/>
          <c:extLst>
            <c:ext xmlns:c16="http://schemas.microsoft.com/office/drawing/2014/chart" uri="{C3380CC4-5D6E-409C-BE32-E72D297353CC}">
              <c16:uniqueId val="{00000002-326E-45A5-9A6B-2F2D205EC19F}"/>
            </c:ext>
          </c:extLst>
        </c:ser>
        <c:ser>
          <c:idx val="3"/>
          <c:order val="3"/>
          <c:tx>
            <c:strRef>
              <c:f>Sayfa1!$E$1</c:f>
              <c:strCache>
                <c:ptCount val="1"/>
                <c:pt idx="0">
                  <c:v>Endonezya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Sayfa1!$A$2:$A$20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Sayfa1!$E$2:$E$20</c:f>
              <c:numCache>
                <c:formatCode>General</c:formatCode>
                <c:ptCount val="19"/>
                <c:pt idx="0">
                  <c:v>30.686</c:v>
                </c:pt>
                <c:pt idx="1">
                  <c:v>30.465</c:v>
                </c:pt>
                <c:pt idx="2">
                  <c:v>30.311</c:v>
                </c:pt>
                <c:pt idx="3">
                  <c:v>30.207999999999998</c:v>
                </c:pt>
                <c:pt idx="4">
                  <c:v>30.126000000000001</c:v>
                </c:pt>
                <c:pt idx="5">
                  <c:v>30.05</c:v>
                </c:pt>
                <c:pt idx="6">
                  <c:v>29.739000000000001</c:v>
                </c:pt>
                <c:pt idx="7">
                  <c:v>29.469000000000001</c:v>
                </c:pt>
                <c:pt idx="8">
                  <c:v>29.247</c:v>
                </c:pt>
                <c:pt idx="9">
                  <c:v>29.082999999999998</c:v>
                </c:pt>
                <c:pt idx="10">
                  <c:v>28.567</c:v>
                </c:pt>
                <c:pt idx="11">
                  <c:v>28.324999999999999</c:v>
                </c:pt>
                <c:pt idx="12">
                  <c:v>28.074000000000002</c:v>
                </c:pt>
                <c:pt idx="13">
                  <c:v>27.826000000000001</c:v>
                </c:pt>
                <c:pt idx="14">
                  <c:v>27.584</c:v>
                </c:pt>
                <c:pt idx="15">
                  <c:v>27.346</c:v>
                </c:pt>
                <c:pt idx="16">
                  <c:v>27.094999999999999</c:v>
                </c:pt>
                <c:pt idx="17">
                  <c:v>26.841000000000001</c:v>
                </c:pt>
                <c:pt idx="18">
                  <c:v>26.597000000000001</c:v>
                </c:pt>
              </c:numCache>
            </c:numRef>
          </c:val>
          <c:smooth val="0"/>
          <c:extLst>
            <c:ext xmlns:c16="http://schemas.microsoft.com/office/drawing/2014/chart" uri="{C3380CC4-5D6E-409C-BE32-E72D297353CC}">
              <c16:uniqueId val="{00000003-326E-45A5-9A6B-2F2D205EC19F}"/>
            </c:ext>
          </c:extLst>
        </c:ser>
        <c:ser>
          <c:idx val="4"/>
          <c:order val="4"/>
          <c:tx>
            <c:strRef>
              <c:f>Sayfa1!$F$1</c:f>
              <c:strCache>
                <c:ptCount val="1"/>
                <c:pt idx="0">
                  <c:v>Güney Afrika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Sayfa1!$A$2:$A$20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Sayfa1!$F$2:$F$20</c:f>
              <c:numCache>
                <c:formatCode>General</c:formatCode>
                <c:ptCount val="19"/>
                <c:pt idx="0">
                  <c:v>33.609000000000002</c:v>
                </c:pt>
                <c:pt idx="1">
                  <c:v>33.24</c:v>
                </c:pt>
                <c:pt idx="2">
                  <c:v>32.808</c:v>
                </c:pt>
                <c:pt idx="3">
                  <c:v>32.191000000000003</c:v>
                </c:pt>
                <c:pt idx="4">
                  <c:v>31.648</c:v>
                </c:pt>
                <c:pt idx="5">
                  <c:v>31.193999999999999</c:v>
                </c:pt>
                <c:pt idx="6">
                  <c:v>30.824999999999999</c:v>
                </c:pt>
                <c:pt idx="7">
                  <c:v>30.532</c:v>
                </c:pt>
                <c:pt idx="8">
                  <c:v>30.29</c:v>
                </c:pt>
                <c:pt idx="9">
                  <c:v>30.085000000000001</c:v>
                </c:pt>
                <c:pt idx="10">
                  <c:v>29.899000000000001</c:v>
                </c:pt>
                <c:pt idx="11">
                  <c:v>29.760999999999999</c:v>
                </c:pt>
                <c:pt idx="12">
                  <c:v>29.707999999999998</c:v>
                </c:pt>
                <c:pt idx="13">
                  <c:v>29.684999999999999</c:v>
                </c:pt>
                <c:pt idx="14">
                  <c:v>29.646999999999998</c:v>
                </c:pt>
                <c:pt idx="15">
                  <c:v>29.599</c:v>
                </c:pt>
                <c:pt idx="16">
                  <c:v>29.545999999999999</c:v>
                </c:pt>
                <c:pt idx="17">
                  <c:v>29.568000000000001</c:v>
                </c:pt>
                <c:pt idx="18">
                  <c:v>29.524999999999999</c:v>
                </c:pt>
              </c:numCache>
            </c:numRef>
          </c:val>
          <c:smooth val="0"/>
          <c:extLst>
            <c:ext xmlns:c16="http://schemas.microsoft.com/office/drawing/2014/chart" uri="{C3380CC4-5D6E-409C-BE32-E72D297353CC}">
              <c16:uniqueId val="{00000004-326E-45A5-9A6B-2F2D205EC19F}"/>
            </c:ext>
          </c:extLst>
        </c:ser>
        <c:dLbls>
          <c:showLegendKey val="0"/>
          <c:showVal val="0"/>
          <c:showCatName val="0"/>
          <c:showSerName val="0"/>
          <c:showPercent val="0"/>
          <c:showBubbleSize val="0"/>
        </c:dLbls>
        <c:marker val="1"/>
        <c:smooth val="0"/>
        <c:axId val="203240048"/>
        <c:axId val="1"/>
      </c:lineChart>
      <c:catAx>
        <c:axId val="20324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min val="2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240048"/>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a:t>
            </a:r>
            <a:r>
              <a:rPr lang="tr-TR"/>
              <a:t>rezilya</a:t>
            </a:r>
            <a:endParaRPr lang="en-US"/>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Sayfa2!$B$1</c:f>
              <c:strCache>
                <c:ptCount val="1"/>
                <c:pt idx="0">
                  <c:v>Büyüme Oranı</c:v>
                </c:pt>
              </c:strCache>
            </c:strRef>
          </c:tx>
          <c:spPr>
            <a:solidFill>
              <a:schemeClr val="accent1"/>
            </a:solidFill>
            <a:ln>
              <a:noFill/>
            </a:ln>
            <a:effectLst/>
          </c:spPr>
          <c:invertIfNegative val="0"/>
          <c:cat>
            <c:numRef>
              <c:f>Sayfa2!$A$2:$A$20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Sayfa2!$B$2:$B$20</c:f>
              <c:numCache>
                <c:formatCode>0.00</c:formatCode>
                <c:ptCount val="19"/>
                <c:pt idx="0">
                  <c:v>4.3879494430000001</c:v>
                </c:pt>
                <c:pt idx="1">
                  <c:v>1.3898964030000001</c:v>
                </c:pt>
                <c:pt idx="2">
                  <c:v>3.0534618579999999</c:v>
                </c:pt>
                <c:pt idx="3">
                  <c:v>1.1408289979999999</c:v>
                </c:pt>
                <c:pt idx="4">
                  <c:v>5.7599646389999997</c:v>
                </c:pt>
                <c:pt idx="5">
                  <c:v>3.20213138</c:v>
                </c:pt>
                <c:pt idx="6">
                  <c:v>3.9619887220000001</c:v>
                </c:pt>
                <c:pt idx="7">
                  <c:v>6.0698706079999996</c:v>
                </c:pt>
                <c:pt idx="8">
                  <c:v>5.0941954469999997</c:v>
                </c:pt>
                <c:pt idx="9">
                  <c:v>-0.12581199900000001</c:v>
                </c:pt>
                <c:pt idx="10">
                  <c:v>7.5282258300000002</c:v>
                </c:pt>
                <c:pt idx="11">
                  <c:v>3.9744254059999999</c:v>
                </c:pt>
                <c:pt idx="12">
                  <c:v>1.921150318</c:v>
                </c:pt>
                <c:pt idx="13">
                  <c:v>3.0048463050000001</c:v>
                </c:pt>
                <c:pt idx="14">
                  <c:v>0.50395573999999999</c:v>
                </c:pt>
                <c:pt idx="15">
                  <c:v>-3.5457633930000001</c:v>
                </c:pt>
                <c:pt idx="16">
                  <c:v>-3.2759169080000001</c:v>
                </c:pt>
                <c:pt idx="17">
                  <c:v>1.3228690540000001</c:v>
                </c:pt>
                <c:pt idx="18">
                  <c:v>1.3172239990000001</c:v>
                </c:pt>
              </c:numCache>
            </c:numRef>
          </c:val>
          <c:extLst>
            <c:ext xmlns:c16="http://schemas.microsoft.com/office/drawing/2014/chart" uri="{C3380CC4-5D6E-409C-BE32-E72D297353CC}">
              <c16:uniqueId val="{00000000-A899-474E-9319-A16D9A27FAC1}"/>
            </c:ext>
          </c:extLst>
        </c:ser>
        <c:dLbls>
          <c:showLegendKey val="0"/>
          <c:showVal val="0"/>
          <c:showCatName val="0"/>
          <c:showSerName val="0"/>
          <c:showPercent val="0"/>
          <c:showBubbleSize val="0"/>
        </c:dLbls>
        <c:gapWidth val="219"/>
        <c:overlap val="-27"/>
        <c:axId val="463861824"/>
        <c:axId val="463863464"/>
      </c:barChart>
      <c:lineChart>
        <c:grouping val="standard"/>
        <c:varyColors val="0"/>
        <c:ser>
          <c:idx val="1"/>
          <c:order val="1"/>
          <c:tx>
            <c:strRef>
              <c:f>Sayfa2!$Q$1</c:f>
              <c:strCache>
                <c:ptCount val="1"/>
                <c:pt idx="0">
                  <c:v>Genç İşsizlik Oranı</c:v>
                </c:pt>
              </c:strCache>
            </c:strRef>
          </c:tx>
          <c:spPr>
            <a:ln w="28575" cap="rnd">
              <a:solidFill>
                <a:schemeClr val="accent2"/>
              </a:solidFill>
              <a:round/>
            </a:ln>
            <a:effectLst/>
          </c:spPr>
          <c:marker>
            <c:symbol val="none"/>
          </c:marker>
          <c:val>
            <c:numRef>
              <c:f>Sayfa2!$Q$2:$Q$20</c:f>
              <c:numCache>
                <c:formatCode>General</c:formatCode>
                <c:ptCount val="19"/>
                <c:pt idx="0">
                  <c:v>18.479999540000001</c:v>
                </c:pt>
                <c:pt idx="1">
                  <c:v>18.100000380000001</c:v>
                </c:pt>
                <c:pt idx="2">
                  <c:v>18.219999309999999</c:v>
                </c:pt>
                <c:pt idx="3">
                  <c:v>19.239999770000001</c:v>
                </c:pt>
                <c:pt idx="4">
                  <c:v>18.149999619999999</c:v>
                </c:pt>
                <c:pt idx="5">
                  <c:v>19.5</c:v>
                </c:pt>
                <c:pt idx="6">
                  <c:v>17.81999969</c:v>
                </c:pt>
                <c:pt idx="7">
                  <c:v>16.770000459999999</c:v>
                </c:pt>
                <c:pt idx="8">
                  <c:v>15.489999770000001</c:v>
                </c:pt>
                <c:pt idx="9">
                  <c:v>17.809999470000001</c:v>
                </c:pt>
                <c:pt idx="10">
                  <c:v>16.63999939</c:v>
                </c:pt>
                <c:pt idx="11">
                  <c:v>15.40999985</c:v>
                </c:pt>
                <c:pt idx="12">
                  <c:v>15.94999981</c:v>
                </c:pt>
                <c:pt idx="13">
                  <c:v>15.75</c:v>
                </c:pt>
                <c:pt idx="14">
                  <c:v>15.56000042</c:v>
                </c:pt>
                <c:pt idx="15">
                  <c:v>19.61000061</c:v>
                </c:pt>
                <c:pt idx="16">
                  <c:v>26.920000080000001</c:v>
                </c:pt>
                <c:pt idx="17">
                  <c:v>28.969999309999999</c:v>
                </c:pt>
                <c:pt idx="18">
                  <c:v>28.270000459999999</c:v>
                </c:pt>
              </c:numCache>
            </c:numRef>
          </c:val>
          <c:smooth val="0"/>
          <c:extLst>
            <c:ext xmlns:c16="http://schemas.microsoft.com/office/drawing/2014/chart" uri="{C3380CC4-5D6E-409C-BE32-E72D297353CC}">
              <c16:uniqueId val="{00000001-A899-474E-9319-A16D9A27FAC1}"/>
            </c:ext>
          </c:extLst>
        </c:ser>
        <c:dLbls>
          <c:showLegendKey val="0"/>
          <c:showVal val="0"/>
          <c:showCatName val="0"/>
          <c:showSerName val="0"/>
          <c:showPercent val="0"/>
          <c:showBubbleSize val="0"/>
        </c:dLbls>
        <c:marker val="1"/>
        <c:smooth val="0"/>
        <c:axId val="463864120"/>
        <c:axId val="463863136"/>
      </c:lineChart>
      <c:catAx>
        <c:axId val="46386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863464"/>
        <c:crosses val="autoZero"/>
        <c:auto val="1"/>
        <c:lblAlgn val="ctr"/>
        <c:lblOffset val="100"/>
        <c:noMultiLvlLbl val="0"/>
      </c:catAx>
      <c:valAx>
        <c:axId val="463863464"/>
        <c:scaling>
          <c:orientation val="minMax"/>
          <c:max val="8"/>
          <c:min val="-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861824"/>
        <c:crosses val="autoZero"/>
        <c:crossBetween val="between"/>
        <c:majorUnit val="2"/>
      </c:valAx>
      <c:valAx>
        <c:axId val="463863136"/>
        <c:scaling>
          <c:orientation val="minMax"/>
          <c:max val="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864120"/>
        <c:crosses val="max"/>
        <c:crossBetween val="between"/>
        <c:majorUnit val="5"/>
      </c:valAx>
      <c:catAx>
        <c:axId val="463864120"/>
        <c:scaling>
          <c:orientation val="minMax"/>
        </c:scaling>
        <c:delete val="1"/>
        <c:axPos val="b"/>
        <c:numFmt formatCode="General" sourceLinked="1"/>
        <c:majorTickMark val="out"/>
        <c:minorTickMark val="none"/>
        <c:tickLblPos val="nextTo"/>
        <c:crossAx val="463863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Hindistan</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Sayfa2!$C$1</c:f>
              <c:strCache>
                <c:ptCount val="1"/>
                <c:pt idx="0">
                  <c:v>Büyüme Oranı</c:v>
                </c:pt>
              </c:strCache>
            </c:strRef>
          </c:tx>
          <c:spPr>
            <a:solidFill>
              <a:schemeClr val="accent1"/>
            </a:solidFill>
            <a:ln>
              <a:noFill/>
            </a:ln>
            <a:effectLst/>
          </c:spPr>
          <c:invertIfNegative val="0"/>
          <c:cat>
            <c:numRef>
              <c:f>Sayfa2!$A$2:$A$20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Sayfa2!$C$2:$C$20</c:f>
              <c:numCache>
                <c:formatCode>0.00</c:formatCode>
                <c:ptCount val="19"/>
                <c:pt idx="0">
                  <c:v>3.8409911569999999</c:v>
                </c:pt>
                <c:pt idx="1">
                  <c:v>4.8239662640000001</c:v>
                </c:pt>
                <c:pt idx="2">
                  <c:v>3.8039753209999998</c:v>
                </c:pt>
                <c:pt idx="3">
                  <c:v>7.8603814759999997</c:v>
                </c:pt>
                <c:pt idx="4">
                  <c:v>7.9229366130000001</c:v>
                </c:pt>
                <c:pt idx="5">
                  <c:v>7.9234306209999996</c:v>
                </c:pt>
                <c:pt idx="6">
                  <c:v>8.0607325729999992</c:v>
                </c:pt>
                <c:pt idx="7">
                  <c:v>7.6608150650000004</c:v>
                </c:pt>
                <c:pt idx="8">
                  <c:v>3.0866980599999998</c:v>
                </c:pt>
                <c:pt idx="9">
                  <c:v>7.8618888330000001</c:v>
                </c:pt>
                <c:pt idx="10">
                  <c:v>8.4975847019999993</c:v>
                </c:pt>
                <c:pt idx="11">
                  <c:v>5.241344743</c:v>
                </c:pt>
                <c:pt idx="12">
                  <c:v>5.4563589510000003</c:v>
                </c:pt>
                <c:pt idx="13">
                  <c:v>6.3861064010000002</c:v>
                </c:pt>
                <c:pt idx="14">
                  <c:v>7.4102276050000002</c:v>
                </c:pt>
                <c:pt idx="15">
                  <c:v>7.9962534439999997</c:v>
                </c:pt>
                <c:pt idx="16">
                  <c:v>8.2563058439999999</c:v>
                </c:pt>
                <c:pt idx="17">
                  <c:v>7.0438208549999999</c:v>
                </c:pt>
                <c:pt idx="18">
                  <c:v>6.1195868410000003</c:v>
                </c:pt>
              </c:numCache>
            </c:numRef>
          </c:val>
          <c:extLst>
            <c:ext xmlns:c16="http://schemas.microsoft.com/office/drawing/2014/chart" uri="{C3380CC4-5D6E-409C-BE32-E72D297353CC}">
              <c16:uniqueId val="{00000000-4C10-466E-8689-86F2513A32C9}"/>
            </c:ext>
          </c:extLst>
        </c:ser>
        <c:dLbls>
          <c:showLegendKey val="0"/>
          <c:showVal val="0"/>
          <c:showCatName val="0"/>
          <c:showSerName val="0"/>
          <c:showPercent val="0"/>
          <c:showBubbleSize val="0"/>
        </c:dLbls>
        <c:gapWidth val="219"/>
        <c:overlap val="-27"/>
        <c:axId val="463671448"/>
        <c:axId val="463665544"/>
      </c:barChart>
      <c:lineChart>
        <c:grouping val="standard"/>
        <c:varyColors val="0"/>
        <c:ser>
          <c:idx val="1"/>
          <c:order val="1"/>
          <c:tx>
            <c:strRef>
              <c:f>Sayfa2!$R$1</c:f>
              <c:strCache>
                <c:ptCount val="1"/>
                <c:pt idx="0">
                  <c:v>Genç İşsizlik Oranı</c:v>
                </c:pt>
              </c:strCache>
            </c:strRef>
          </c:tx>
          <c:spPr>
            <a:ln w="28575" cap="rnd">
              <a:solidFill>
                <a:schemeClr val="accent2"/>
              </a:solidFill>
              <a:round/>
            </a:ln>
            <a:effectLst/>
          </c:spPr>
          <c:marker>
            <c:symbol val="none"/>
          </c:marker>
          <c:val>
            <c:numRef>
              <c:f>Sayfa2!$R$2:$R$20</c:f>
              <c:numCache>
                <c:formatCode>General</c:formatCode>
                <c:ptCount val="19"/>
                <c:pt idx="0">
                  <c:v>17.979999540000001</c:v>
                </c:pt>
                <c:pt idx="1">
                  <c:v>17.979999540000001</c:v>
                </c:pt>
                <c:pt idx="2">
                  <c:v>18.159999849999998</c:v>
                </c:pt>
                <c:pt idx="3">
                  <c:v>18.299999239999998</c:v>
                </c:pt>
                <c:pt idx="4">
                  <c:v>18.31999969</c:v>
                </c:pt>
                <c:pt idx="5">
                  <c:v>18.299999239999998</c:v>
                </c:pt>
                <c:pt idx="6">
                  <c:v>18.329999919999999</c:v>
                </c:pt>
                <c:pt idx="7">
                  <c:v>18.420000080000001</c:v>
                </c:pt>
                <c:pt idx="8">
                  <c:v>18.620000839999999</c:v>
                </c:pt>
                <c:pt idx="9">
                  <c:v>19.739999770000001</c:v>
                </c:pt>
                <c:pt idx="10">
                  <c:v>20.399999619999999</c:v>
                </c:pt>
                <c:pt idx="11">
                  <c:v>20.809999470000001</c:v>
                </c:pt>
                <c:pt idx="12">
                  <c:v>21.239999770000001</c:v>
                </c:pt>
                <c:pt idx="13">
                  <c:v>21.700000760000002</c:v>
                </c:pt>
                <c:pt idx="14">
                  <c:v>21.989999770000001</c:v>
                </c:pt>
                <c:pt idx="15">
                  <c:v>22.329999919999999</c:v>
                </c:pt>
                <c:pt idx="16">
                  <c:v>22.600000380000001</c:v>
                </c:pt>
                <c:pt idx="17">
                  <c:v>22.719999309999999</c:v>
                </c:pt>
                <c:pt idx="18">
                  <c:v>22.850000380000001</c:v>
                </c:pt>
              </c:numCache>
            </c:numRef>
          </c:val>
          <c:smooth val="0"/>
          <c:extLst>
            <c:ext xmlns:c16="http://schemas.microsoft.com/office/drawing/2014/chart" uri="{C3380CC4-5D6E-409C-BE32-E72D297353CC}">
              <c16:uniqueId val="{00000001-4C10-466E-8689-86F2513A32C9}"/>
            </c:ext>
          </c:extLst>
        </c:ser>
        <c:dLbls>
          <c:showLegendKey val="0"/>
          <c:showVal val="0"/>
          <c:showCatName val="0"/>
          <c:showSerName val="0"/>
          <c:showPercent val="0"/>
          <c:showBubbleSize val="0"/>
        </c:dLbls>
        <c:marker val="1"/>
        <c:smooth val="0"/>
        <c:axId val="463680960"/>
        <c:axId val="463676040"/>
      </c:lineChart>
      <c:catAx>
        <c:axId val="46367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65544"/>
        <c:crosses val="autoZero"/>
        <c:auto val="1"/>
        <c:lblAlgn val="ctr"/>
        <c:lblOffset val="100"/>
        <c:noMultiLvlLbl val="0"/>
      </c:catAx>
      <c:valAx>
        <c:axId val="463665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71448"/>
        <c:crosses val="autoZero"/>
        <c:crossBetween val="between"/>
      </c:valAx>
      <c:valAx>
        <c:axId val="463676040"/>
        <c:scaling>
          <c:orientation val="minMax"/>
          <c:min val="1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80960"/>
        <c:crosses val="max"/>
        <c:crossBetween val="between"/>
      </c:valAx>
      <c:catAx>
        <c:axId val="463680960"/>
        <c:scaling>
          <c:orientation val="minMax"/>
        </c:scaling>
        <c:delete val="1"/>
        <c:axPos val="b"/>
        <c:majorTickMark val="out"/>
        <c:minorTickMark val="none"/>
        <c:tickLblPos val="nextTo"/>
        <c:crossAx val="4636760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End</a:t>
            </a:r>
            <a:r>
              <a:rPr lang="tr-TR"/>
              <a:t>onezya</a:t>
            </a:r>
            <a:endParaRPr lang="en-US"/>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Sayfa2!$D$1</c:f>
              <c:strCache>
                <c:ptCount val="1"/>
                <c:pt idx="0">
                  <c:v>Büyüme Oranı</c:v>
                </c:pt>
              </c:strCache>
            </c:strRef>
          </c:tx>
          <c:spPr>
            <a:solidFill>
              <a:schemeClr val="accent1"/>
            </a:solidFill>
            <a:ln>
              <a:noFill/>
            </a:ln>
            <a:effectLst/>
          </c:spPr>
          <c:invertIfNegative val="0"/>
          <c:cat>
            <c:numRef>
              <c:f>Sayfa2!$A$2:$A$20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Sayfa2!$D$2:$D$20</c:f>
              <c:numCache>
                <c:formatCode>0.00</c:formatCode>
                <c:ptCount val="19"/>
                <c:pt idx="0">
                  <c:v>4.920067747</c:v>
                </c:pt>
                <c:pt idx="1">
                  <c:v>3.6434664470000002</c:v>
                </c:pt>
                <c:pt idx="2">
                  <c:v>4.4994753909999998</c:v>
                </c:pt>
                <c:pt idx="3">
                  <c:v>4.7803691219999997</c:v>
                </c:pt>
                <c:pt idx="4">
                  <c:v>5.0308739449999997</c:v>
                </c:pt>
                <c:pt idx="5">
                  <c:v>5.6925713040000003</c:v>
                </c:pt>
                <c:pt idx="6">
                  <c:v>5.5009517849999998</c:v>
                </c:pt>
                <c:pt idx="7">
                  <c:v>6.3450222270000003</c:v>
                </c:pt>
                <c:pt idx="8">
                  <c:v>6.0137036000000004</c:v>
                </c:pt>
                <c:pt idx="9">
                  <c:v>4.6288711830000002</c:v>
                </c:pt>
                <c:pt idx="10">
                  <c:v>6.2238541810000001</c:v>
                </c:pt>
                <c:pt idx="11">
                  <c:v>6.1697842080000003</c:v>
                </c:pt>
                <c:pt idx="12">
                  <c:v>6.030050653</c:v>
                </c:pt>
                <c:pt idx="13">
                  <c:v>5.557263689</c:v>
                </c:pt>
                <c:pt idx="14">
                  <c:v>5.0066684260000001</c:v>
                </c:pt>
                <c:pt idx="15">
                  <c:v>4.8763223</c:v>
                </c:pt>
                <c:pt idx="16">
                  <c:v>5.0330691830000003</c:v>
                </c:pt>
                <c:pt idx="17">
                  <c:v>5.0697859010000004</c:v>
                </c:pt>
                <c:pt idx="18">
                  <c:v>5.1697056090000002</c:v>
                </c:pt>
              </c:numCache>
            </c:numRef>
          </c:val>
          <c:extLst>
            <c:ext xmlns:c16="http://schemas.microsoft.com/office/drawing/2014/chart" uri="{C3380CC4-5D6E-409C-BE32-E72D297353CC}">
              <c16:uniqueId val="{00000000-157B-4212-A6DB-7606A622C88E}"/>
            </c:ext>
          </c:extLst>
        </c:ser>
        <c:dLbls>
          <c:showLegendKey val="0"/>
          <c:showVal val="0"/>
          <c:showCatName val="0"/>
          <c:showSerName val="0"/>
          <c:showPercent val="0"/>
          <c:showBubbleSize val="0"/>
        </c:dLbls>
        <c:gapWidth val="219"/>
        <c:overlap val="-27"/>
        <c:axId val="584797664"/>
        <c:axId val="584806848"/>
      </c:barChart>
      <c:lineChart>
        <c:grouping val="standard"/>
        <c:varyColors val="0"/>
        <c:ser>
          <c:idx val="1"/>
          <c:order val="1"/>
          <c:tx>
            <c:strRef>
              <c:f>Sayfa2!$S$1</c:f>
              <c:strCache>
                <c:ptCount val="1"/>
                <c:pt idx="0">
                  <c:v>Genç İşsizlik Oranı</c:v>
                </c:pt>
              </c:strCache>
            </c:strRef>
          </c:tx>
          <c:spPr>
            <a:ln w="28575" cap="rnd">
              <a:solidFill>
                <a:schemeClr val="accent2"/>
              </a:solidFill>
              <a:round/>
            </a:ln>
            <a:effectLst/>
          </c:spPr>
          <c:marker>
            <c:symbol val="none"/>
          </c:marker>
          <c:val>
            <c:numRef>
              <c:f>Sayfa2!$S$2:$S$20</c:f>
              <c:numCache>
                <c:formatCode>General</c:formatCode>
                <c:ptCount val="19"/>
                <c:pt idx="0">
                  <c:v>18.579999919999999</c:v>
                </c:pt>
                <c:pt idx="1">
                  <c:v>18.450000760000002</c:v>
                </c:pt>
                <c:pt idx="2">
                  <c:v>20.799999239999998</c:v>
                </c:pt>
                <c:pt idx="3">
                  <c:v>21.079999919999999</c:v>
                </c:pt>
                <c:pt idx="4">
                  <c:v>23.159999849999998</c:v>
                </c:pt>
                <c:pt idx="5">
                  <c:v>25.81999969</c:v>
                </c:pt>
                <c:pt idx="6">
                  <c:v>24.280000690000001</c:v>
                </c:pt>
                <c:pt idx="7">
                  <c:v>22.63999939</c:v>
                </c:pt>
                <c:pt idx="8">
                  <c:v>19.450000760000002</c:v>
                </c:pt>
                <c:pt idx="9">
                  <c:v>18.870000839999999</c:v>
                </c:pt>
                <c:pt idx="10">
                  <c:v>17.540000920000001</c:v>
                </c:pt>
                <c:pt idx="11">
                  <c:v>18.200000760000002</c:v>
                </c:pt>
                <c:pt idx="12">
                  <c:v>15.600000380000001</c:v>
                </c:pt>
                <c:pt idx="13">
                  <c:v>15.81999969</c:v>
                </c:pt>
                <c:pt idx="14">
                  <c:v>15.72000027</c:v>
                </c:pt>
                <c:pt idx="15">
                  <c:v>17.100000380000001</c:v>
                </c:pt>
                <c:pt idx="16">
                  <c:v>15.81999969</c:v>
                </c:pt>
                <c:pt idx="17">
                  <c:v>14.52000046</c:v>
                </c:pt>
                <c:pt idx="18">
                  <c:v>16.120000839999999</c:v>
                </c:pt>
              </c:numCache>
            </c:numRef>
          </c:val>
          <c:smooth val="0"/>
          <c:extLst>
            <c:ext xmlns:c16="http://schemas.microsoft.com/office/drawing/2014/chart" uri="{C3380CC4-5D6E-409C-BE32-E72D297353CC}">
              <c16:uniqueId val="{00000001-157B-4212-A6DB-7606A622C88E}"/>
            </c:ext>
          </c:extLst>
        </c:ser>
        <c:dLbls>
          <c:showLegendKey val="0"/>
          <c:showVal val="0"/>
          <c:showCatName val="0"/>
          <c:showSerName val="0"/>
          <c:showPercent val="0"/>
          <c:showBubbleSize val="0"/>
        </c:dLbls>
        <c:marker val="1"/>
        <c:smooth val="0"/>
        <c:axId val="584811112"/>
        <c:axId val="584817016"/>
      </c:lineChart>
      <c:catAx>
        <c:axId val="5847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4806848"/>
        <c:crosses val="autoZero"/>
        <c:auto val="1"/>
        <c:lblAlgn val="ctr"/>
        <c:lblOffset val="100"/>
        <c:noMultiLvlLbl val="0"/>
      </c:catAx>
      <c:valAx>
        <c:axId val="584806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4797664"/>
        <c:crosses val="autoZero"/>
        <c:crossBetween val="between"/>
      </c:valAx>
      <c:valAx>
        <c:axId val="584817016"/>
        <c:scaling>
          <c:orientation val="minMax"/>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4811112"/>
        <c:crosses val="max"/>
        <c:crossBetween val="between"/>
      </c:valAx>
      <c:catAx>
        <c:axId val="584811112"/>
        <c:scaling>
          <c:orientation val="minMax"/>
        </c:scaling>
        <c:delete val="1"/>
        <c:axPos val="b"/>
        <c:majorTickMark val="out"/>
        <c:minorTickMark val="none"/>
        <c:tickLblPos val="nextTo"/>
        <c:crossAx val="5848170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Güney Afrika</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Sayfa2!$F$1</c:f>
              <c:strCache>
                <c:ptCount val="1"/>
                <c:pt idx="0">
                  <c:v>Büyüme Oranı</c:v>
                </c:pt>
              </c:strCache>
            </c:strRef>
          </c:tx>
          <c:spPr>
            <a:solidFill>
              <a:schemeClr val="accent1"/>
            </a:solidFill>
            <a:ln>
              <a:noFill/>
            </a:ln>
            <a:effectLst/>
          </c:spPr>
          <c:invertIfNegative val="0"/>
          <c:cat>
            <c:numRef>
              <c:f>Sayfa2!$A$2:$A$20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Sayfa2!$F$2:$F$20</c:f>
              <c:numCache>
                <c:formatCode>0.00</c:formatCode>
                <c:ptCount val="19"/>
                <c:pt idx="0">
                  <c:v>6.9332397080000003</c:v>
                </c:pt>
                <c:pt idx="1">
                  <c:v>-5.7500065569999999</c:v>
                </c:pt>
                <c:pt idx="2">
                  <c:v>6.4477220519999996</c:v>
                </c:pt>
                <c:pt idx="3">
                  <c:v>5.7632060689999998</c:v>
                </c:pt>
                <c:pt idx="4">
                  <c:v>9.7959363820000007</c:v>
                </c:pt>
                <c:pt idx="5">
                  <c:v>8.9923049440000007</c:v>
                </c:pt>
                <c:pt idx="6">
                  <c:v>6.9479880859999996</c:v>
                </c:pt>
                <c:pt idx="7">
                  <c:v>5.0435079250000001</c:v>
                </c:pt>
                <c:pt idx="8">
                  <c:v>0.81502457100000003</c:v>
                </c:pt>
                <c:pt idx="9">
                  <c:v>-4.8231539489999999</c:v>
                </c:pt>
                <c:pt idx="10">
                  <c:v>8.427104323</c:v>
                </c:pt>
                <c:pt idx="11">
                  <c:v>11.20011058</c:v>
                </c:pt>
                <c:pt idx="12">
                  <c:v>4.7884927089999998</c:v>
                </c:pt>
                <c:pt idx="13">
                  <c:v>8.4858170019999992</c:v>
                </c:pt>
                <c:pt idx="14">
                  <c:v>4.9397151600000004</c:v>
                </c:pt>
                <c:pt idx="15">
                  <c:v>6.0844868999999999</c:v>
                </c:pt>
                <c:pt idx="16">
                  <c:v>3.323084208</c:v>
                </c:pt>
                <c:pt idx="17">
                  <c:v>7.5019974940000003</c:v>
                </c:pt>
                <c:pt idx="18">
                  <c:v>2.9589667240000002</c:v>
                </c:pt>
              </c:numCache>
            </c:numRef>
          </c:val>
          <c:extLst>
            <c:ext xmlns:c16="http://schemas.microsoft.com/office/drawing/2014/chart" uri="{C3380CC4-5D6E-409C-BE32-E72D297353CC}">
              <c16:uniqueId val="{00000000-169D-474A-BF82-60D6AB7482BA}"/>
            </c:ext>
          </c:extLst>
        </c:ser>
        <c:dLbls>
          <c:showLegendKey val="0"/>
          <c:showVal val="0"/>
          <c:showCatName val="0"/>
          <c:showSerName val="0"/>
          <c:showPercent val="0"/>
          <c:showBubbleSize val="0"/>
        </c:dLbls>
        <c:gapWidth val="219"/>
        <c:overlap val="-27"/>
        <c:axId val="585364872"/>
        <c:axId val="585360608"/>
      </c:barChart>
      <c:lineChart>
        <c:grouping val="standard"/>
        <c:varyColors val="0"/>
        <c:ser>
          <c:idx val="1"/>
          <c:order val="1"/>
          <c:tx>
            <c:strRef>
              <c:f>Sayfa2!$U$1</c:f>
              <c:strCache>
                <c:ptCount val="1"/>
                <c:pt idx="0">
                  <c:v>Genç İşsizlik Oranı</c:v>
                </c:pt>
              </c:strCache>
            </c:strRef>
          </c:tx>
          <c:spPr>
            <a:ln w="28575" cap="rnd">
              <a:solidFill>
                <a:schemeClr val="accent2"/>
              </a:solidFill>
              <a:round/>
            </a:ln>
            <a:effectLst/>
          </c:spPr>
          <c:marker>
            <c:symbol val="none"/>
          </c:marker>
          <c:val>
            <c:numRef>
              <c:f>Sayfa2!$U$2:$U$20</c:f>
              <c:numCache>
                <c:formatCode>General</c:formatCode>
                <c:ptCount val="19"/>
                <c:pt idx="0">
                  <c:v>52.77999878</c:v>
                </c:pt>
                <c:pt idx="1">
                  <c:v>55.409999849999998</c:v>
                </c:pt>
                <c:pt idx="2">
                  <c:v>59.63999939</c:v>
                </c:pt>
                <c:pt idx="3">
                  <c:v>60.83000183</c:v>
                </c:pt>
                <c:pt idx="4">
                  <c:v>56.130001069999999</c:v>
                </c:pt>
                <c:pt idx="5">
                  <c:v>55.770000459999999</c:v>
                </c:pt>
                <c:pt idx="6">
                  <c:v>54.409999849999998</c:v>
                </c:pt>
                <c:pt idx="7">
                  <c:v>52.400001529999997</c:v>
                </c:pt>
                <c:pt idx="8">
                  <c:v>44.810001370000002</c:v>
                </c:pt>
                <c:pt idx="9">
                  <c:v>47.590000150000002</c:v>
                </c:pt>
                <c:pt idx="10">
                  <c:v>50.520000459999999</c:v>
                </c:pt>
                <c:pt idx="11">
                  <c:v>49.790000919999997</c:v>
                </c:pt>
                <c:pt idx="12">
                  <c:v>51.38999939</c:v>
                </c:pt>
                <c:pt idx="13">
                  <c:v>51.310001370000002</c:v>
                </c:pt>
                <c:pt idx="14">
                  <c:v>51.340000150000002</c:v>
                </c:pt>
                <c:pt idx="15">
                  <c:v>50.310001370000002</c:v>
                </c:pt>
                <c:pt idx="16">
                  <c:v>53.630001069999999</c:v>
                </c:pt>
                <c:pt idx="17">
                  <c:v>53.52999878</c:v>
                </c:pt>
                <c:pt idx="18">
                  <c:v>53.770000459999999</c:v>
                </c:pt>
              </c:numCache>
            </c:numRef>
          </c:val>
          <c:smooth val="0"/>
          <c:extLst>
            <c:ext xmlns:c16="http://schemas.microsoft.com/office/drawing/2014/chart" uri="{C3380CC4-5D6E-409C-BE32-E72D297353CC}">
              <c16:uniqueId val="{00000001-169D-474A-BF82-60D6AB7482BA}"/>
            </c:ext>
          </c:extLst>
        </c:ser>
        <c:dLbls>
          <c:showLegendKey val="0"/>
          <c:showVal val="0"/>
          <c:showCatName val="0"/>
          <c:showSerName val="0"/>
          <c:showPercent val="0"/>
          <c:showBubbleSize val="0"/>
        </c:dLbls>
        <c:marker val="1"/>
        <c:smooth val="0"/>
        <c:axId val="585362248"/>
        <c:axId val="585367168"/>
      </c:lineChart>
      <c:catAx>
        <c:axId val="58536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5360608"/>
        <c:crosses val="autoZero"/>
        <c:auto val="1"/>
        <c:lblAlgn val="ctr"/>
        <c:lblOffset val="100"/>
        <c:noMultiLvlLbl val="0"/>
      </c:catAx>
      <c:valAx>
        <c:axId val="58536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5364872"/>
        <c:crosses val="autoZero"/>
        <c:crossBetween val="between"/>
      </c:valAx>
      <c:valAx>
        <c:axId val="585367168"/>
        <c:scaling>
          <c:orientation val="minMax"/>
          <c:max val="65"/>
          <c:min val="2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585362248"/>
        <c:crosses val="max"/>
        <c:crossBetween val="between"/>
      </c:valAx>
      <c:catAx>
        <c:axId val="585362248"/>
        <c:scaling>
          <c:orientation val="minMax"/>
        </c:scaling>
        <c:delete val="1"/>
        <c:axPos val="b"/>
        <c:majorTickMark val="out"/>
        <c:minorTickMark val="none"/>
        <c:tickLblPos val="nextTo"/>
        <c:crossAx val="5853671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Türkiye</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Sayfa2!$E$1</c:f>
              <c:strCache>
                <c:ptCount val="1"/>
                <c:pt idx="0">
                  <c:v>Büyüme Oranı</c:v>
                </c:pt>
              </c:strCache>
            </c:strRef>
          </c:tx>
          <c:spPr>
            <a:solidFill>
              <a:schemeClr val="accent1"/>
            </a:solidFill>
            <a:ln>
              <a:noFill/>
            </a:ln>
            <a:effectLst/>
          </c:spPr>
          <c:invertIfNegative val="0"/>
          <c:cat>
            <c:numRef>
              <c:f>Sayfa2!$A$2:$A$20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Sayfa2!$E$2:$E$20</c:f>
              <c:numCache>
                <c:formatCode>0.00</c:formatCode>
                <c:ptCount val="19"/>
                <c:pt idx="0">
                  <c:v>4.200003476</c:v>
                </c:pt>
                <c:pt idx="1">
                  <c:v>2.6999945670000001</c:v>
                </c:pt>
                <c:pt idx="2">
                  <c:v>3.7003823520000001</c:v>
                </c:pt>
                <c:pt idx="3">
                  <c:v>2.949079137</c:v>
                </c:pt>
                <c:pt idx="4">
                  <c:v>4.5545527449999996</c:v>
                </c:pt>
                <c:pt idx="5">
                  <c:v>5.277056312</c:v>
                </c:pt>
                <c:pt idx="6">
                  <c:v>5.6037976570000003</c:v>
                </c:pt>
                <c:pt idx="7">
                  <c:v>5.3604758910000001</c:v>
                </c:pt>
                <c:pt idx="8">
                  <c:v>3.1910467410000001</c:v>
                </c:pt>
                <c:pt idx="9">
                  <c:v>-1.5380893339999999</c:v>
                </c:pt>
                <c:pt idx="10">
                  <c:v>3.0397308139999999</c:v>
                </c:pt>
                <c:pt idx="11">
                  <c:v>3.284168142</c:v>
                </c:pt>
                <c:pt idx="12">
                  <c:v>2.2133548080000001</c:v>
                </c:pt>
                <c:pt idx="13">
                  <c:v>2.4852004999999999</c:v>
                </c:pt>
                <c:pt idx="14">
                  <c:v>1.8469916040000001</c:v>
                </c:pt>
                <c:pt idx="15">
                  <c:v>1.1937328009999999</c:v>
                </c:pt>
                <c:pt idx="16">
                  <c:v>0.39908792999999998</c:v>
                </c:pt>
                <c:pt idx="17">
                  <c:v>1.4145126260000001</c:v>
                </c:pt>
                <c:pt idx="18">
                  <c:v>0.78705557000000004</c:v>
                </c:pt>
              </c:numCache>
            </c:numRef>
          </c:val>
          <c:extLst>
            <c:ext xmlns:c16="http://schemas.microsoft.com/office/drawing/2014/chart" uri="{C3380CC4-5D6E-409C-BE32-E72D297353CC}">
              <c16:uniqueId val="{00000000-E7E8-44DA-B9B4-DD32B9DD214B}"/>
            </c:ext>
          </c:extLst>
        </c:ser>
        <c:dLbls>
          <c:showLegendKey val="0"/>
          <c:showVal val="0"/>
          <c:showCatName val="0"/>
          <c:showSerName val="0"/>
          <c:showPercent val="0"/>
          <c:showBubbleSize val="0"/>
        </c:dLbls>
        <c:gapWidth val="219"/>
        <c:overlap val="-27"/>
        <c:axId val="463679320"/>
        <c:axId val="463681616"/>
      </c:barChart>
      <c:lineChart>
        <c:grouping val="standard"/>
        <c:varyColors val="0"/>
        <c:ser>
          <c:idx val="1"/>
          <c:order val="1"/>
          <c:tx>
            <c:strRef>
              <c:f>Sayfa2!$T$1</c:f>
              <c:strCache>
                <c:ptCount val="1"/>
                <c:pt idx="0">
                  <c:v>Genç İşsizlik Oranı</c:v>
                </c:pt>
              </c:strCache>
            </c:strRef>
          </c:tx>
          <c:spPr>
            <a:ln w="28575" cap="rnd">
              <a:solidFill>
                <a:schemeClr val="accent2"/>
              </a:solidFill>
              <a:round/>
            </a:ln>
            <a:effectLst/>
          </c:spPr>
          <c:marker>
            <c:symbol val="none"/>
          </c:marker>
          <c:val>
            <c:numRef>
              <c:f>Sayfa2!$T$2:$T$20</c:f>
              <c:numCache>
                <c:formatCode>General</c:formatCode>
                <c:ptCount val="19"/>
                <c:pt idx="0">
                  <c:v>12.789999959999999</c:v>
                </c:pt>
                <c:pt idx="1">
                  <c:v>15.85999966</c:v>
                </c:pt>
                <c:pt idx="2">
                  <c:v>18.719999309999999</c:v>
                </c:pt>
                <c:pt idx="3">
                  <c:v>19.950000760000002</c:v>
                </c:pt>
                <c:pt idx="4">
                  <c:v>20.040000920000001</c:v>
                </c:pt>
                <c:pt idx="5">
                  <c:v>19.36000061</c:v>
                </c:pt>
                <c:pt idx="6">
                  <c:v>15.97999954</c:v>
                </c:pt>
                <c:pt idx="7">
                  <c:v>16.729999540000001</c:v>
                </c:pt>
                <c:pt idx="8">
                  <c:v>17.93000031</c:v>
                </c:pt>
                <c:pt idx="9">
                  <c:v>22.219999309999999</c:v>
                </c:pt>
                <c:pt idx="10">
                  <c:v>19.260000229999999</c:v>
                </c:pt>
                <c:pt idx="11">
                  <c:v>16.31999969</c:v>
                </c:pt>
                <c:pt idx="12">
                  <c:v>15.31000042</c:v>
                </c:pt>
                <c:pt idx="13">
                  <c:v>16.510000229999999</c:v>
                </c:pt>
                <c:pt idx="14">
                  <c:v>17.479999540000001</c:v>
                </c:pt>
                <c:pt idx="15">
                  <c:v>18.129999160000001</c:v>
                </c:pt>
                <c:pt idx="16">
                  <c:v>19.129999160000001</c:v>
                </c:pt>
                <c:pt idx="17">
                  <c:v>20.079999919999999</c:v>
                </c:pt>
                <c:pt idx="18">
                  <c:v>19.729999540000001</c:v>
                </c:pt>
              </c:numCache>
            </c:numRef>
          </c:val>
          <c:smooth val="0"/>
          <c:extLst>
            <c:ext xmlns:c16="http://schemas.microsoft.com/office/drawing/2014/chart" uri="{C3380CC4-5D6E-409C-BE32-E72D297353CC}">
              <c16:uniqueId val="{00000001-E7E8-44DA-B9B4-DD32B9DD214B}"/>
            </c:ext>
          </c:extLst>
        </c:ser>
        <c:dLbls>
          <c:showLegendKey val="0"/>
          <c:showVal val="0"/>
          <c:showCatName val="0"/>
          <c:showSerName val="0"/>
          <c:showPercent val="0"/>
          <c:showBubbleSize val="0"/>
        </c:dLbls>
        <c:marker val="1"/>
        <c:smooth val="0"/>
        <c:axId val="463671120"/>
        <c:axId val="463690144"/>
      </c:lineChart>
      <c:catAx>
        <c:axId val="46367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81616"/>
        <c:crosses val="autoZero"/>
        <c:auto val="1"/>
        <c:lblAlgn val="ctr"/>
        <c:lblOffset val="100"/>
        <c:noMultiLvlLbl val="0"/>
      </c:catAx>
      <c:valAx>
        <c:axId val="463681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79320"/>
        <c:crosses val="autoZero"/>
        <c:crossBetween val="between"/>
      </c:valAx>
      <c:valAx>
        <c:axId val="463690144"/>
        <c:scaling>
          <c:orientation val="minMax"/>
          <c:min val="1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63671120"/>
        <c:crosses val="max"/>
        <c:crossBetween val="between"/>
      </c:valAx>
      <c:catAx>
        <c:axId val="463671120"/>
        <c:scaling>
          <c:orientation val="minMax"/>
        </c:scaling>
        <c:delete val="1"/>
        <c:axPos val="b"/>
        <c:majorTickMark val="out"/>
        <c:minorTickMark val="none"/>
        <c:tickLblPos val="nextTo"/>
        <c:crossAx val="463690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Uya08</b:Tag>
    <b:SourceType>JournalArticle</b:SourceType>
    <b:Guid>{F00DBF75-3217-45BC-A8DE-BB044FFE82D3}</b:Guid>
    <b:Title>Türkiye’de İşsizliğin Özellikleri ve İşsizlikle Mücadele Politikalar</b:Title>
    <b:Year>2008</b:Year>
    <b:JournalName>Sosyal Bilimler Dergisi</b:JournalName>
    <b:Pages>47</b:Pages>
    <b:Author>
      <b:Author>
        <b:NameList>
          <b:Person>
            <b:Last>Uyar Bozdağlıoğlu</b:Last>
            <b:Middle>Yasemin</b:Middle>
            <b:First>E. </b:First>
          </b:Person>
        </b:NameList>
      </b:Author>
    </b:Author>
    <b:RefOrder>4</b:RefOrder>
  </b:Source>
  <b:Source>
    <b:Tag>Pay13</b:Tag>
    <b:SourceType>Book</b:SourceType>
    <b:Guid>{E8B30A79-E2D9-4B89-9394-7B346A473795}</b:Guid>
    <b:Title>Makro İktisat</b:Title>
    <b:Year>2013</b:Year>
    <b:City>İstanbul</b:City>
    <b:Publisher>Türkmen Kitabevi</b:Publisher>
    <b:Author>
      <b:Author>
        <b:NameList>
          <b:Person>
            <b:Last>Paya</b:Last>
            <b:First>M. Merih</b:First>
          </b:Person>
        </b:NameList>
      </b:Author>
    </b:Author>
    <b:RefOrder>20</b:RefOrder>
  </b:Source>
  <b:Source>
    <b:Tag>Orh14</b:Tag>
    <b:SourceType>JournalArticle</b:SourceType>
    <b:Guid>{C6206AE5-A1DB-497F-88DF-0063BA472D44}</b:Guid>
    <b:Title>Emek Teknoloji ve İşsizlik İlişkisi</b:Title>
    <b:Year>2014</b:Year>
    <b:JournalName>ÇSGB Çalışma Dünyası Dergisi</b:JournalName>
    <b:Pages>17</b:Pages>
    <b:Author>
      <b:Author>
        <b:NameList>
          <b:Person>
            <b:Last>Orhan </b:Last>
            <b:First>Serdar</b:First>
          </b:Person>
          <b:Person>
            <b:Last>Savuk</b:Last>
            <b:First>Fatih</b:First>
          </b:Person>
        </b:NameList>
      </b:Author>
    </b:Author>
    <b:RefOrder>21</b:RefOrder>
  </b:Source>
  <b:Source>
    <b:Tag>Küç12</b:Tag>
    <b:SourceType>Misc</b:SourceType>
    <b:Guid>{74378EE0-D9D6-4E04-A605-F4B07AF1526E}</b:Guid>
    <b:Title>Türkiye’de İşsizlik Sigortasının Kapsamı ve İşsizlik ve İstihdam Süresi Açısından Değerlendirilmesi</b:Title>
    <b:Year>20012</b:Year>
    <b:Author>
      <b:Author>
        <b:NameList>
          <b:Person>
            <b:Last>Küçükbayrak</b:Last>
            <b:First>Müşerref</b:First>
          </b:Person>
        </b:NameList>
      </b:Author>
    </b:Author>
    <b:PublicationTitle>Uzmanlık Tezi</b:PublicationTitle>
    <b:City>Ankara</b:City>
    <b:Publisher>Sosyal Sektör ve Koordinasyon Genel Müdürlüğü</b:Publisher>
    <b:RefOrder>30</b:RefOrder>
  </b:Source>
  <b:Source>
    <b:Tag>Biç11</b:Tag>
    <b:SourceType>Book</b:SourceType>
    <b:Guid>{E9F25284-BC51-41C8-AE94-BB59507ECFD3}</b:Guid>
    <b:Title>Çalışma Ekonomisi</b:Title>
    <b:Year>2011</b:Year>
    <b:City>İstanbul</b:City>
    <b:Publisher>Beta Yayınları</b:Publisher>
    <b:Author>
      <b:Author>
        <b:NameList>
          <b:Person>
            <b:Last>Biçerli </b:Last>
            <b:First>M. Kemal</b:First>
          </b:Person>
        </b:NameList>
      </b:Author>
    </b:Author>
    <b:RefOrder>35</b:RefOrder>
  </b:Source>
  <b:Source>
    <b:Tag>Lim06</b:Tag>
    <b:SourceType>Misc</b:SourceType>
    <b:Guid>{541B5455-1BDC-40B4-829F-1D74BE281D29}</b:Guid>
    <b:Title>Mukayeseli Hukuk ve Türk Hukukunda İşsizlik Sigortası</b:Title>
    <b:Year>2006</b:Year>
    <b:PublicationTitle>Doktora Tezi</b:PublicationTitle>
    <b:StateProvince>İzmir</b:StateProvince>
    <b:Publisher>Dokuz Eylül Üniversitesi Sosyal Bilimler Enstitüsü</b:Publisher>
    <b:Author>
      <b:Author>
        <b:NameList>
          <b:Person>
            <b:Last>Limoncuoğlu </b:Last>
            <b:Middle>Alp</b:Middle>
            <b:First>Siyami </b:First>
          </b:Person>
        </b:NameList>
      </b:Author>
    </b:Author>
    <b:RefOrder>40</b:RefOrder>
  </b:Source>
</b:Sources>
</file>

<file path=customXml/itemProps1.xml><?xml version="1.0" encoding="utf-8"?>
<ds:datastoreItem xmlns:ds="http://schemas.openxmlformats.org/officeDocument/2006/customXml" ds:itemID="{F11B51AD-C3CD-4458-A4C0-D7B9B9C7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6375</Words>
  <Characters>36338</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c:creator>
  <cp:keywords/>
  <dc:description/>
  <cp:lastModifiedBy>BERNA</cp:lastModifiedBy>
  <cp:revision>2</cp:revision>
  <dcterms:created xsi:type="dcterms:W3CDTF">2021-07-31T19:52:00Z</dcterms:created>
  <dcterms:modified xsi:type="dcterms:W3CDTF">2021-07-31T19:52:00Z</dcterms:modified>
</cp:coreProperties>
</file>