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C74" w:rsidRDefault="00D66C74" w:rsidP="00D66C74">
      <w:pPr>
        <w:spacing w:after="0" w:line="240" w:lineRule="auto"/>
        <w:jc w:val="center"/>
        <w:rPr>
          <w:rFonts w:ascii="Times New Roman" w:hAnsi="Times New Roman" w:cs="Times New Roman"/>
          <w:b/>
          <w:sz w:val="24"/>
        </w:rPr>
      </w:pPr>
      <w:r w:rsidRPr="0066352E">
        <w:rPr>
          <w:rFonts w:ascii="Times New Roman" w:hAnsi="Times New Roman" w:cs="Times New Roman"/>
          <w:b/>
          <w:sz w:val="24"/>
        </w:rPr>
        <w:t>SALGIN SÜRECİNDE UZAKTAN EĞİTİM UYGULAMALARINA İLİŞKİN GÜMRÜK VERGİLERİ İSTİSNASININ TEŞVİK POLİTİKALARI VE ÖRNEK BİR PROJE ÜZERİNDEN DEĞERLENDİRİLMESİ</w:t>
      </w:r>
    </w:p>
    <w:p w:rsidR="00D66C74" w:rsidRDefault="00D66C74" w:rsidP="00D66C74">
      <w:pPr>
        <w:spacing w:after="0" w:line="240" w:lineRule="auto"/>
        <w:jc w:val="center"/>
        <w:rPr>
          <w:rFonts w:ascii="Times New Roman" w:hAnsi="Times New Roman" w:cs="Times New Roman"/>
          <w:b/>
          <w:sz w:val="24"/>
        </w:rPr>
      </w:pPr>
    </w:p>
    <w:p w:rsidR="00D66C74" w:rsidRDefault="00D66C74" w:rsidP="00D66C74">
      <w:pPr>
        <w:spacing w:after="0" w:line="240" w:lineRule="auto"/>
        <w:jc w:val="center"/>
        <w:rPr>
          <w:rFonts w:ascii="Times New Roman" w:hAnsi="Times New Roman" w:cs="Times New Roman"/>
          <w:b/>
          <w:sz w:val="24"/>
        </w:rPr>
      </w:pPr>
      <w:r>
        <w:rPr>
          <w:rFonts w:ascii="Times New Roman" w:hAnsi="Times New Roman" w:cs="Times New Roman"/>
          <w:b/>
          <w:sz w:val="24"/>
        </w:rPr>
        <w:t>Prof. Dr. Engin HEPAKSAZ</w:t>
      </w:r>
      <w:r>
        <w:rPr>
          <w:rStyle w:val="DipnotBavurusu"/>
          <w:rFonts w:ascii="Times New Roman" w:hAnsi="Times New Roman" w:cs="Times New Roman"/>
          <w:b/>
          <w:sz w:val="24"/>
        </w:rPr>
        <w:footnoteReference w:id="1"/>
      </w:r>
    </w:p>
    <w:p w:rsidR="00D66C74" w:rsidRDefault="00D66C74" w:rsidP="00D66C74">
      <w:pPr>
        <w:spacing w:after="0" w:line="240" w:lineRule="auto"/>
        <w:jc w:val="center"/>
        <w:rPr>
          <w:rFonts w:ascii="Times New Roman" w:hAnsi="Times New Roman" w:cs="Times New Roman"/>
          <w:b/>
          <w:sz w:val="24"/>
        </w:rPr>
      </w:pPr>
      <w:r>
        <w:rPr>
          <w:rFonts w:ascii="Times New Roman" w:hAnsi="Times New Roman" w:cs="Times New Roman"/>
          <w:b/>
          <w:sz w:val="24"/>
        </w:rPr>
        <w:t>Göksel ÇETİNKOL</w:t>
      </w:r>
      <w:r>
        <w:rPr>
          <w:rStyle w:val="DipnotBavurusu"/>
          <w:rFonts w:ascii="Times New Roman" w:hAnsi="Times New Roman" w:cs="Times New Roman"/>
          <w:b/>
          <w:sz w:val="24"/>
        </w:rPr>
        <w:footnoteReference w:id="2"/>
      </w:r>
    </w:p>
    <w:p w:rsidR="00D66C74" w:rsidRDefault="00D66C74" w:rsidP="00D66C74">
      <w:pPr>
        <w:jc w:val="center"/>
        <w:rPr>
          <w:rFonts w:ascii="Times New Roman" w:hAnsi="Times New Roman" w:cs="Times New Roman"/>
          <w:b/>
          <w:sz w:val="24"/>
        </w:rPr>
      </w:pPr>
    </w:p>
    <w:p w:rsidR="00D66C74" w:rsidRPr="003A61A5" w:rsidRDefault="00D66C74" w:rsidP="00D66C74">
      <w:pPr>
        <w:jc w:val="both"/>
        <w:rPr>
          <w:rFonts w:ascii="Times New Roman" w:hAnsi="Times New Roman" w:cs="Times New Roman"/>
          <w:b/>
          <w:sz w:val="24"/>
        </w:rPr>
      </w:pPr>
      <w:r w:rsidRPr="003A61A5">
        <w:rPr>
          <w:rFonts w:ascii="Times New Roman" w:hAnsi="Times New Roman" w:cs="Times New Roman"/>
          <w:b/>
          <w:sz w:val="24"/>
        </w:rPr>
        <w:tab/>
        <w:t>ÖZET</w:t>
      </w:r>
    </w:p>
    <w:p w:rsidR="00D66C74" w:rsidRDefault="00D66C74" w:rsidP="00D66C74">
      <w:pPr>
        <w:ind w:firstLine="708"/>
        <w:jc w:val="both"/>
        <w:rPr>
          <w:rFonts w:ascii="Times New Roman" w:hAnsi="Times New Roman" w:cs="Times New Roman"/>
          <w:sz w:val="24"/>
        </w:rPr>
      </w:pPr>
      <w:r>
        <w:rPr>
          <w:rFonts w:ascii="Times New Roman" w:hAnsi="Times New Roman" w:cs="Times New Roman"/>
          <w:sz w:val="24"/>
        </w:rPr>
        <w:t xml:space="preserve">Devletin ekonomiye aktif bir şekilde müdahale etmesi fikri esasen Merkantilizm ile birlikte doğmuş olsa da, özellikle 1929 Krizi sonrasında önem kazanan </w:t>
      </w:r>
      <w:proofErr w:type="spellStart"/>
      <w:r>
        <w:rPr>
          <w:rFonts w:ascii="Times New Roman" w:hAnsi="Times New Roman" w:cs="Times New Roman"/>
          <w:sz w:val="24"/>
        </w:rPr>
        <w:t>Keynesyen</w:t>
      </w:r>
      <w:proofErr w:type="spellEnd"/>
      <w:r>
        <w:rPr>
          <w:rFonts w:ascii="Times New Roman" w:hAnsi="Times New Roman" w:cs="Times New Roman"/>
          <w:sz w:val="24"/>
        </w:rPr>
        <w:t xml:space="preserve"> görüş ile birlikte modern maliye politikası söylemi yaygınlaşmış, böylelikle ekonomiye müdahale edilmesi uygulamaları tekrardan popülerlik kazanmıştır. </w:t>
      </w:r>
    </w:p>
    <w:p w:rsidR="00D66C74" w:rsidRDefault="00D66C74" w:rsidP="00D66C74">
      <w:pPr>
        <w:ind w:firstLine="708"/>
        <w:jc w:val="both"/>
        <w:rPr>
          <w:rFonts w:ascii="Times New Roman" w:hAnsi="Times New Roman" w:cs="Times New Roman"/>
          <w:sz w:val="24"/>
        </w:rPr>
      </w:pPr>
      <w:r>
        <w:rPr>
          <w:rFonts w:ascii="Times New Roman" w:hAnsi="Times New Roman" w:cs="Times New Roman"/>
          <w:sz w:val="24"/>
        </w:rPr>
        <w:t xml:space="preserve">Ekonomiye müdahale etmek amacıyla kullanılan iktisat politikası </w:t>
      </w:r>
      <w:r w:rsidRPr="004176E8">
        <w:rPr>
          <w:rFonts w:ascii="Times New Roman" w:hAnsi="Times New Roman" w:cs="Times New Roman"/>
          <w:sz w:val="24"/>
        </w:rPr>
        <w:t>araçları</w:t>
      </w:r>
      <w:r w:rsidRPr="00B059B1">
        <w:rPr>
          <w:rFonts w:ascii="Times New Roman" w:hAnsi="Times New Roman" w:cs="Times New Roman"/>
          <w:color w:val="FF0000"/>
          <w:sz w:val="24"/>
        </w:rPr>
        <w:t xml:space="preserve"> </w:t>
      </w:r>
      <w:r>
        <w:rPr>
          <w:rFonts w:ascii="Times New Roman" w:hAnsi="Times New Roman" w:cs="Times New Roman"/>
          <w:sz w:val="24"/>
        </w:rPr>
        <w:t xml:space="preserve">genel olarak üç unsurdan meydana gelmektedir. Bunlar; para politikası, dış ticaret politikası ve maliye politikasıdır. Teşvik politikası da maliye politikasının bir aracı olarak karşımıza çıkmaktadır. </w:t>
      </w:r>
      <w:r w:rsidRPr="004176E8">
        <w:rPr>
          <w:rFonts w:ascii="Times New Roman" w:hAnsi="Times New Roman" w:cs="Times New Roman"/>
          <w:sz w:val="24"/>
        </w:rPr>
        <w:t>Vergi politikasının önemli birer unsuru olarak muafiyet ve istisna uygulamaları, yatırım indirimi uygulamaları, parasal ve tarımsal desteklemeler, faiz desteklemeleri ve çeşitli girdi desteklemeleri gibi</w:t>
      </w:r>
      <w:r w:rsidRPr="00B059B1">
        <w:rPr>
          <w:rFonts w:ascii="Times New Roman" w:hAnsi="Times New Roman" w:cs="Times New Roman"/>
          <w:color w:val="FF0000"/>
          <w:sz w:val="24"/>
        </w:rPr>
        <w:t xml:space="preserve"> </w:t>
      </w:r>
      <w:r>
        <w:rPr>
          <w:rFonts w:ascii="Times New Roman" w:hAnsi="Times New Roman" w:cs="Times New Roman"/>
          <w:sz w:val="24"/>
        </w:rPr>
        <w:t>teşvik uygulamaları sayesinde devlet etkin bir şekilde ekonomiye müdahale etmekte,  desteklenmesi öngörülen sektör veya ekonomik faaliyetler özendirilmektedir.</w:t>
      </w:r>
    </w:p>
    <w:p w:rsidR="00D66C74" w:rsidRPr="004176E8" w:rsidRDefault="00D66C74" w:rsidP="00D66C74">
      <w:pPr>
        <w:ind w:firstLine="708"/>
        <w:jc w:val="both"/>
        <w:rPr>
          <w:rFonts w:ascii="Times New Roman" w:hAnsi="Times New Roman" w:cs="Times New Roman"/>
          <w:sz w:val="24"/>
        </w:rPr>
      </w:pPr>
      <w:r>
        <w:rPr>
          <w:rFonts w:ascii="Times New Roman" w:hAnsi="Times New Roman" w:cs="Times New Roman"/>
          <w:sz w:val="24"/>
        </w:rPr>
        <w:t xml:space="preserve">Çin’in </w:t>
      </w:r>
      <w:proofErr w:type="spellStart"/>
      <w:r>
        <w:rPr>
          <w:rFonts w:ascii="Times New Roman" w:hAnsi="Times New Roman" w:cs="Times New Roman"/>
          <w:sz w:val="24"/>
        </w:rPr>
        <w:t>Wuhan</w:t>
      </w:r>
      <w:proofErr w:type="spellEnd"/>
      <w:r>
        <w:rPr>
          <w:rFonts w:ascii="Times New Roman" w:hAnsi="Times New Roman" w:cs="Times New Roman"/>
          <w:sz w:val="24"/>
        </w:rPr>
        <w:t xml:space="preserve"> eyaletinde çıktığı kabul edilerek, 13.01.2020’de tanımlanan “yeni korona virüs hastalığı (Covid-19)”</w:t>
      </w:r>
      <w:proofErr w:type="spellStart"/>
      <w:r>
        <w:rPr>
          <w:rFonts w:ascii="Times New Roman" w:hAnsi="Times New Roman" w:cs="Times New Roman"/>
          <w:sz w:val="24"/>
        </w:rPr>
        <w:t>nın</w:t>
      </w:r>
      <w:proofErr w:type="spellEnd"/>
      <w:r>
        <w:rPr>
          <w:rFonts w:ascii="Times New Roman" w:hAnsi="Times New Roman" w:cs="Times New Roman"/>
          <w:sz w:val="24"/>
        </w:rPr>
        <w:t xml:space="preserve"> yol açtığı küresel salgın, </w:t>
      </w:r>
      <w:r w:rsidRPr="004176E8">
        <w:rPr>
          <w:rFonts w:ascii="Times New Roman" w:hAnsi="Times New Roman" w:cs="Times New Roman"/>
          <w:sz w:val="24"/>
        </w:rPr>
        <w:t>tüm dünyada olduğu gibi ülkemizde de etkisi</w:t>
      </w:r>
      <w:r w:rsidR="00E36E95">
        <w:rPr>
          <w:rFonts w:ascii="Times New Roman" w:hAnsi="Times New Roman" w:cs="Times New Roman"/>
          <w:sz w:val="24"/>
        </w:rPr>
        <w:t>ni</w:t>
      </w:r>
      <w:bookmarkStart w:id="0" w:name="_GoBack"/>
      <w:bookmarkEnd w:id="0"/>
      <w:r w:rsidRPr="004176E8">
        <w:rPr>
          <w:rFonts w:ascii="Times New Roman" w:hAnsi="Times New Roman" w:cs="Times New Roman"/>
          <w:sz w:val="24"/>
        </w:rPr>
        <w:t xml:space="preserve"> göstermeye devam etmektedir. Bu gibi olağanüstü dönemlerde bir taraftan teşvik politikaları önem kazanırken, diğer taraftan bir takım hukuki düzenlemeler yapılmakta ve vatandaşlara transfer harcaması niteliğinde çeşitli gelir desteklerinde bulunulmaya çalışılmaktadır. Gelinen noktada aniden hayatımıza giren salgının günlük hayatımızın her alanında olduğu gibi eğitim sistemlerinde de bir dizi değişikliğe yol açması, eğitim ve öğretimin uzaktan ve verimli olarak yapılabilmesi açısından da bazı gereklilikleri beraberinde getirmiş/getirmektedir. İlköğretim öğrencileri nazarında, bu gerekliliklerin başında tablet ve internet erişimi gelmektedir.</w:t>
      </w:r>
    </w:p>
    <w:p w:rsidR="00D66C74" w:rsidRDefault="00D66C74" w:rsidP="00D66C74">
      <w:pPr>
        <w:ind w:firstLine="708"/>
        <w:jc w:val="both"/>
        <w:rPr>
          <w:rFonts w:ascii="Times New Roman" w:hAnsi="Times New Roman" w:cs="Times New Roman"/>
          <w:sz w:val="24"/>
        </w:rPr>
      </w:pPr>
      <w:r>
        <w:rPr>
          <w:rFonts w:ascii="Times New Roman" w:hAnsi="Times New Roman" w:cs="Times New Roman"/>
          <w:sz w:val="24"/>
        </w:rPr>
        <w:t xml:space="preserve">Etkilerini göstermekte olan </w:t>
      </w:r>
      <w:r w:rsidRPr="004176E8">
        <w:rPr>
          <w:rFonts w:ascii="Times New Roman" w:hAnsi="Times New Roman" w:cs="Times New Roman"/>
          <w:sz w:val="24"/>
        </w:rPr>
        <w:t>küresel salgınla etkin mücadele sürecinde, öteden beri süregelen veya yeni projelerin uygulamaya konulması önem arz etmektedir. Eğitim alanında bu projeler içerisinde yer alan</w:t>
      </w:r>
      <w:r>
        <w:rPr>
          <w:rFonts w:ascii="Times New Roman" w:hAnsi="Times New Roman" w:cs="Times New Roman"/>
          <w:sz w:val="24"/>
        </w:rPr>
        <w:t xml:space="preserve"> Fatih Projesi, diğer bir deyişle “</w:t>
      </w:r>
      <w:r w:rsidRPr="003A61A5">
        <w:rPr>
          <w:rFonts w:ascii="Times New Roman" w:hAnsi="Times New Roman" w:cs="Times New Roman"/>
          <w:sz w:val="24"/>
        </w:rPr>
        <w:t xml:space="preserve">Fırsatları Arttırma ve Teknolojiyi İyileştirme Hareketi </w:t>
      </w:r>
      <w:proofErr w:type="spellStart"/>
      <w:r w:rsidRPr="003A61A5">
        <w:rPr>
          <w:rFonts w:ascii="Times New Roman" w:hAnsi="Times New Roman" w:cs="Times New Roman"/>
          <w:sz w:val="24"/>
        </w:rPr>
        <w:t>Projesi</w:t>
      </w:r>
      <w:r>
        <w:rPr>
          <w:rFonts w:ascii="Times New Roman" w:hAnsi="Times New Roman" w:cs="Times New Roman"/>
          <w:sz w:val="24"/>
        </w:rPr>
        <w:t>”ne</w:t>
      </w:r>
      <w:proofErr w:type="spellEnd"/>
      <w:r>
        <w:rPr>
          <w:rFonts w:ascii="Times New Roman" w:hAnsi="Times New Roman" w:cs="Times New Roman"/>
          <w:sz w:val="24"/>
        </w:rPr>
        <w:t xml:space="preserve"> 2010 yılında başlanmış ve 2012 yılında pilot uygulamalarına geçilmiştir. Bu proje ile </w:t>
      </w:r>
      <w:r w:rsidRPr="00A2343A">
        <w:rPr>
          <w:rFonts w:ascii="Times New Roman" w:hAnsi="Times New Roman" w:cs="Times New Roman"/>
          <w:sz w:val="24"/>
        </w:rPr>
        <w:t>eğitim ve öğretimde fırsat eşitliğini sağlamak ve okullardaki teknolojiyi iyileştirmek amacıyla bilişim teknolojileri araçlarının</w:t>
      </w:r>
      <w:r>
        <w:rPr>
          <w:rFonts w:ascii="Times New Roman" w:hAnsi="Times New Roman" w:cs="Times New Roman"/>
          <w:sz w:val="24"/>
        </w:rPr>
        <w:t xml:space="preserve"> eğitim</w:t>
      </w:r>
      <w:r w:rsidRPr="00A2343A">
        <w:rPr>
          <w:rFonts w:ascii="Times New Roman" w:hAnsi="Times New Roman" w:cs="Times New Roman"/>
          <w:sz w:val="24"/>
        </w:rPr>
        <w:t xml:space="preserve"> </w:t>
      </w:r>
      <w:r>
        <w:rPr>
          <w:rFonts w:ascii="Times New Roman" w:hAnsi="Times New Roman" w:cs="Times New Roman"/>
          <w:sz w:val="24"/>
        </w:rPr>
        <w:t xml:space="preserve">ve öğretim </w:t>
      </w:r>
      <w:r w:rsidRPr="00A2343A">
        <w:rPr>
          <w:rFonts w:ascii="Times New Roman" w:hAnsi="Times New Roman" w:cs="Times New Roman"/>
          <w:sz w:val="24"/>
        </w:rPr>
        <w:t>sürecinde daha fazla duyu organına hitap ed</w:t>
      </w:r>
      <w:r>
        <w:rPr>
          <w:rFonts w:ascii="Times New Roman" w:hAnsi="Times New Roman" w:cs="Times New Roman"/>
          <w:sz w:val="24"/>
        </w:rPr>
        <w:t>erek derslerin daha</w:t>
      </w:r>
      <w:r w:rsidRPr="00A2343A">
        <w:rPr>
          <w:rFonts w:ascii="Times New Roman" w:hAnsi="Times New Roman" w:cs="Times New Roman"/>
          <w:sz w:val="24"/>
        </w:rPr>
        <w:t xml:space="preserve"> etkin </w:t>
      </w:r>
      <w:r>
        <w:rPr>
          <w:rFonts w:ascii="Times New Roman" w:hAnsi="Times New Roman" w:cs="Times New Roman"/>
          <w:sz w:val="24"/>
        </w:rPr>
        <w:t>yapılması</w:t>
      </w:r>
      <w:r w:rsidRPr="00A2343A">
        <w:rPr>
          <w:rFonts w:ascii="Times New Roman" w:hAnsi="Times New Roman" w:cs="Times New Roman"/>
          <w:sz w:val="24"/>
        </w:rPr>
        <w:t xml:space="preserve"> </w:t>
      </w:r>
      <w:r>
        <w:rPr>
          <w:rFonts w:ascii="Times New Roman" w:hAnsi="Times New Roman" w:cs="Times New Roman"/>
          <w:sz w:val="24"/>
        </w:rPr>
        <w:t xml:space="preserve">amaçlanmıştır. </w:t>
      </w:r>
    </w:p>
    <w:p w:rsidR="00D66C74" w:rsidRDefault="00D66C74" w:rsidP="00D66C74">
      <w:pPr>
        <w:ind w:firstLine="708"/>
        <w:jc w:val="both"/>
        <w:rPr>
          <w:rFonts w:ascii="Times New Roman" w:hAnsi="Times New Roman" w:cs="Times New Roman"/>
          <w:sz w:val="24"/>
        </w:rPr>
      </w:pPr>
      <w:r>
        <w:rPr>
          <w:rFonts w:ascii="Times New Roman" w:hAnsi="Times New Roman" w:cs="Times New Roman"/>
          <w:sz w:val="24"/>
        </w:rPr>
        <w:t xml:space="preserve">Bu kapsamda 3065 sayılı Katma Değer Vergisi Kanunu’na 7061 sayılı </w:t>
      </w:r>
      <w:r w:rsidRPr="004176E8">
        <w:rPr>
          <w:rFonts w:ascii="Times New Roman" w:hAnsi="Times New Roman" w:cs="Times New Roman"/>
          <w:i/>
          <w:sz w:val="24"/>
        </w:rPr>
        <w:t>‘Bazı Vergi Kanunları İle Diğer Bazı Kanunlarda Değişiklik Yapılmasına Dair Kanun’</w:t>
      </w:r>
      <w:r>
        <w:rPr>
          <w:rFonts w:ascii="Times New Roman" w:hAnsi="Times New Roman" w:cs="Times New Roman"/>
          <w:sz w:val="24"/>
        </w:rPr>
        <w:t xml:space="preserve">un 44. maddesi ile </w:t>
      </w:r>
      <w:r>
        <w:rPr>
          <w:rFonts w:ascii="Times New Roman" w:hAnsi="Times New Roman" w:cs="Times New Roman"/>
          <w:sz w:val="24"/>
        </w:rPr>
        <w:lastRenderedPageBreak/>
        <w:t>eklenen geçici 38. madde ile bir dizi istisna ve muafiyet öngörülmüştür. Anılan geçici madde 7061 sayılı Kanun’un yayımı tarihi olan 05.12.2017 tarihinde yürürlüğe girmiştir.</w:t>
      </w:r>
    </w:p>
    <w:p w:rsidR="00D66C74" w:rsidRDefault="00D66C74" w:rsidP="00D66C74">
      <w:pPr>
        <w:ind w:firstLine="708"/>
        <w:jc w:val="both"/>
        <w:rPr>
          <w:rFonts w:ascii="Times New Roman" w:hAnsi="Times New Roman" w:cs="Times New Roman"/>
          <w:sz w:val="24"/>
        </w:rPr>
      </w:pPr>
      <w:r>
        <w:rPr>
          <w:rFonts w:ascii="Times New Roman" w:hAnsi="Times New Roman" w:cs="Times New Roman"/>
          <w:sz w:val="24"/>
        </w:rPr>
        <w:t>Her ne kadar Fatih Projesi’nin hayata geçirilişi ve 3065 sayılı Katma Değer Vergisi Kanunu’nda yapılan bir dizi değişiklik korona virüs salgınının ortaya çıkışından öncesine rastlıyor olsa da, söz konusu proje uygulamaları özelinde getirilen teşvik düzenlemelerinden nihai aşamada faydalanacak olan kesim özellikle ilköğretim çağındaki öğrenciler olduğundan, konular arasında doğrudan bağlantı bulunmaktadır.</w:t>
      </w:r>
    </w:p>
    <w:p w:rsidR="00D66C74" w:rsidRDefault="00D66C74" w:rsidP="00D66C74">
      <w:pPr>
        <w:ind w:firstLine="708"/>
        <w:jc w:val="both"/>
        <w:rPr>
          <w:rFonts w:ascii="Times New Roman" w:hAnsi="Times New Roman" w:cs="Times New Roman"/>
          <w:sz w:val="24"/>
        </w:rPr>
      </w:pPr>
      <w:r w:rsidRPr="004176E8">
        <w:rPr>
          <w:rFonts w:ascii="Times New Roman" w:hAnsi="Times New Roman" w:cs="Times New Roman"/>
          <w:sz w:val="24"/>
        </w:rPr>
        <w:t>Katma Değer Vergisi Kanunu’nun geçici 38. maddesi ile bir teşvik politikası olarak gümrük vergileri ile gümrüklerde alınan fonlardan istisnalar sağlanmasına rağmen, hâlihazırda yapılan ithalatlardan %18 oranında KDV tahsil edilmeye devam edilmektedir. Bu çalışmada KDV’nin istisna kapsamına alınmamış olmasının yapılan sistematik yorum hatasından kaynaklandığı sonucuna ulaşıldığından, sözü edilen yorum hatasının giderilerek KDV Kanunu ile getirilen istisnanın salgın koşullarında eğitimde fırsat eşitliğini tesis etmek amacıyla teşvik politikası aracı olarak daha etkin kullanımına yönelik önerilerde bulunulmaktadır.</w:t>
      </w:r>
    </w:p>
    <w:p w:rsidR="00D66C74" w:rsidRDefault="00D66C74" w:rsidP="00D66C74">
      <w:pPr>
        <w:ind w:firstLine="708"/>
        <w:jc w:val="both"/>
        <w:rPr>
          <w:rFonts w:ascii="Times New Roman" w:hAnsi="Times New Roman" w:cs="Times New Roman"/>
          <w:sz w:val="24"/>
        </w:rPr>
      </w:pPr>
      <w:r w:rsidRPr="00B923D3">
        <w:rPr>
          <w:rFonts w:ascii="Times New Roman" w:hAnsi="Times New Roman" w:cs="Times New Roman"/>
          <w:b/>
          <w:sz w:val="24"/>
        </w:rPr>
        <w:t>Anahtar Kelimeler:</w:t>
      </w:r>
      <w:r>
        <w:rPr>
          <w:rFonts w:ascii="Times New Roman" w:hAnsi="Times New Roman" w:cs="Times New Roman"/>
          <w:b/>
          <w:sz w:val="24"/>
        </w:rPr>
        <w:t xml:space="preserve"> </w:t>
      </w:r>
      <w:r w:rsidRPr="00B923D3">
        <w:rPr>
          <w:rFonts w:ascii="Times New Roman" w:hAnsi="Times New Roman" w:cs="Times New Roman"/>
          <w:sz w:val="24"/>
        </w:rPr>
        <w:t>Teşvik Politikası</w:t>
      </w:r>
      <w:r>
        <w:rPr>
          <w:rFonts w:ascii="Times New Roman" w:hAnsi="Times New Roman" w:cs="Times New Roman"/>
          <w:b/>
          <w:sz w:val="24"/>
        </w:rPr>
        <w:t xml:space="preserve">, </w:t>
      </w:r>
      <w:r>
        <w:rPr>
          <w:rFonts w:ascii="Times New Roman" w:hAnsi="Times New Roman" w:cs="Times New Roman"/>
          <w:sz w:val="24"/>
        </w:rPr>
        <w:t>Fatih Projesi, Sistematik Yorum, Gümrük Vergileri</w:t>
      </w:r>
      <w:r w:rsidR="006A53D1">
        <w:rPr>
          <w:rFonts w:ascii="Times New Roman" w:hAnsi="Times New Roman" w:cs="Times New Roman"/>
          <w:sz w:val="24"/>
        </w:rPr>
        <w:t>, İthalde Alınan KDV</w:t>
      </w:r>
    </w:p>
    <w:p w:rsidR="00D66C74" w:rsidRDefault="00D66C74" w:rsidP="00D66C74">
      <w:pPr>
        <w:ind w:firstLine="708"/>
        <w:jc w:val="both"/>
        <w:rPr>
          <w:rFonts w:ascii="Times New Roman" w:hAnsi="Times New Roman" w:cs="Times New Roman"/>
          <w:sz w:val="24"/>
        </w:rPr>
      </w:pPr>
      <w:r w:rsidRPr="00150ADC">
        <w:rPr>
          <w:rFonts w:ascii="Times New Roman" w:hAnsi="Times New Roman" w:cs="Times New Roman"/>
          <w:b/>
          <w:sz w:val="24"/>
        </w:rPr>
        <w:t xml:space="preserve">JEL Kodu: </w:t>
      </w:r>
      <w:r w:rsidRPr="00150ADC">
        <w:rPr>
          <w:rFonts w:ascii="Times New Roman" w:hAnsi="Times New Roman" w:cs="Times New Roman"/>
          <w:sz w:val="24"/>
        </w:rPr>
        <w:t>E62</w:t>
      </w:r>
      <w:r>
        <w:rPr>
          <w:rFonts w:ascii="Times New Roman" w:hAnsi="Times New Roman" w:cs="Times New Roman"/>
          <w:b/>
          <w:sz w:val="24"/>
        </w:rPr>
        <w:t xml:space="preserve"> - </w:t>
      </w:r>
      <w:r w:rsidRPr="00150ADC">
        <w:rPr>
          <w:rFonts w:ascii="Times New Roman" w:hAnsi="Times New Roman" w:cs="Times New Roman"/>
          <w:sz w:val="24"/>
        </w:rPr>
        <w:t>K34 -  H29 - K39.</w:t>
      </w:r>
    </w:p>
    <w:p w:rsidR="00D66C74" w:rsidRDefault="00D66C74" w:rsidP="00D66C74">
      <w:pPr>
        <w:ind w:firstLine="708"/>
        <w:jc w:val="both"/>
        <w:rPr>
          <w:rFonts w:ascii="Times New Roman" w:hAnsi="Times New Roman" w:cs="Times New Roman"/>
          <w:b/>
          <w:sz w:val="24"/>
        </w:rPr>
      </w:pPr>
      <w:r w:rsidRPr="00E64F2D">
        <w:rPr>
          <w:rFonts w:ascii="Times New Roman" w:hAnsi="Times New Roman" w:cs="Times New Roman"/>
          <w:b/>
          <w:sz w:val="24"/>
        </w:rPr>
        <w:t>AMAÇ</w:t>
      </w:r>
    </w:p>
    <w:p w:rsidR="006A53D1" w:rsidRDefault="006A53D1" w:rsidP="00D66C74">
      <w:pPr>
        <w:ind w:firstLine="708"/>
        <w:jc w:val="both"/>
        <w:rPr>
          <w:rFonts w:ascii="Times New Roman" w:hAnsi="Times New Roman" w:cs="Times New Roman"/>
          <w:sz w:val="24"/>
        </w:rPr>
      </w:pPr>
      <w:r>
        <w:rPr>
          <w:rFonts w:ascii="Times New Roman" w:hAnsi="Times New Roman" w:cs="Times New Roman"/>
          <w:sz w:val="24"/>
        </w:rPr>
        <w:t>Salgın koşullarında eğitimde fırsat eşitliğinin sağlanabilmesi için, bir teşvik politikası aracı olarak getirilen gümrük vergileri istisnasının uygulanmasında yapılması gerekenlerin değerlendirilmesi çalışmanın amacını oluşturmaktadır.</w:t>
      </w:r>
    </w:p>
    <w:p w:rsidR="00D66C74" w:rsidRDefault="00D66C74" w:rsidP="00D66C74">
      <w:pPr>
        <w:ind w:firstLine="708"/>
        <w:jc w:val="both"/>
        <w:rPr>
          <w:rFonts w:ascii="Times New Roman" w:hAnsi="Times New Roman" w:cs="Times New Roman"/>
          <w:b/>
          <w:sz w:val="24"/>
        </w:rPr>
      </w:pPr>
      <w:r w:rsidRPr="00E64F2D">
        <w:rPr>
          <w:rFonts w:ascii="Times New Roman" w:hAnsi="Times New Roman" w:cs="Times New Roman"/>
          <w:b/>
          <w:sz w:val="24"/>
        </w:rPr>
        <w:t>YÖNTEM</w:t>
      </w:r>
    </w:p>
    <w:p w:rsidR="00D66C74" w:rsidRPr="00A8488C" w:rsidRDefault="00D66C74" w:rsidP="00D66C74">
      <w:pPr>
        <w:ind w:firstLine="708"/>
        <w:jc w:val="both"/>
        <w:rPr>
          <w:rFonts w:ascii="Times New Roman" w:hAnsi="Times New Roman" w:cs="Times New Roman"/>
          <w:sz w:val="24"/>
        </w:rPr>
      </w:pPr>
      <w:r>
        <w:rPr>
          <w:rFonts w:ascii="Times New Roman" w:hAnsi="Times New Roman" w:cs="Times New Roman"/>
          <w:sz w:val="24"/>
        </w:rPr>
        <w:t>Fatih P</w:t>
      </w:r>
      <w:r w:rsidRPr="00A8488C">
        <w:rPr>
          <w:rFonts w:ascii="Times New Roman" w:hAnsi="Times New Roman" w:cs="Times New Roman"/>
          <w:sz w:val="24"/>
        </w:rPr>
        <w:t xml:space="preserve">rojesi kapsamında yapılan </w:t>
      </w:r>
      <w:r w:rsidR="006A53D1">
        <w:rPr>
          <w:rFonts w:ascii="Times New Roman" w:hAnsi="Times New Roman" w:cs="Times New Roman"/>
          <w:sz w:val="24"/>
        </w:rPr>
        <w:t xml:space="preserve">bir grup </w:t>
      </w:r>
      <w:r w:rsidRPr="00A8488C">
        <w:rPr>
          <w:rFonts w:ascii="Times New Roman" w:hAnsi="Times New Roman" w:cs="Times New Roman"/>
          <w:sz w:val="24"/>
        </w:rPr>
        <w:t>ithalat işlem</w:t>
      </w:r>
      <w:r w:rsidR="006A53D1">
        <w:rPr>
          <w:rFonts w:ascii="Times New Roman" w:hAnsi="Times New Roman" w:cs="Times New Roman"/>
          <w:sz w:val="24"/>
        </w:rPr>
        <w:t>i ele alınarak, gümrükleme</w:t>
      </w:r>
      <w:r w:rsidRPr="00A8488C">
        <w:rPr>
          <w:rFonts w:ascii="Times New Roman" w:hAnsi="Times New Roman" w:cs="Times New Roman"/>
          <w:sz w:val="24"/>
        </w:rPr>
        <w:t xml:space="preserve"> süreci </w:t>
      </w:r>
      <w:r>
        <w:rPr>
          <w:rFonts w:ascii="Times New Roman" w:hAnsi="Times New Roman" w:cs="Times New Roman"/>
          <w:sz w:val="24"/>
        </w:rPr>
        <w:t xml:space="preserve">ve vergisel durumu </w:t>
      </w:r>
      <w:r w:rsidRPr="00A8488C">
        <w:rPr>
          <w:rFonts w:ascii="Times New Roman" w:hAnsi="Times New Roman" w:cs="Times New Roman"/>
          <w:sz w:val="24"/>
        </w:rPr>
        <w:t>d</w:t>
      </w:r>
      <w:r w:rsidR="006A53D1">
        <w:rPr>
          <w:rFonts w:ascii="Times New Roman" w:hAnsi="Times New Roman" w:cs="Times New Roman"/>
          <w:sz w:val="24"/>
        </w:rPr>
        <w:t xml:space="preserve">etaylı olarak analiz edilmiş; </w:t>
      </w:r>
      <w:r>
        <w:rPr>
          <w:rFonts w:ascii="Times New Roman" w:hAnsi="Times New Roman" w:cs="Times New Roman"/>
          <w:sz w:val="24"/>
        </w:rPr>
        <w:t>3065 sayılı KDV Kanunu, 4458 sayılı Gümrük</w:t>
      </w:r>
      <w:r w:rsidR="006A53D1">
        <w:rPr>
          <w:rFonts w:ascii="Times New Roman" w:hAnsi="Times New Roman" w:cs="Times New Roman"/>
          <w:sz w:val="24"/>
        </w:rPr>
        <w:t xml:space="preserve"> Kanunu ve diğer ilgili mevzuat</w:t>
      </w:r>
      <w:r>
        <w:rPr>
          <w:rFonts w:ascii="Times New Roman" w:hAnsi="Times New Roman" w:cs="Times New Roman"/>
          <w:sz w:val="24"/>
        </w:rPr>
        <w:t xml:space="preserve"> sistematik yoruma</w:t>
      </w:r>
      <w:r w:rsidR="006A53D1">
        <w:rPr>
          <w:rFonts w:ascii="Times New Roman" w:hAnsi="Times New Roman" w:cs="Times New Roman"/>
          <w:sz w:val="24"/>
        </w:rPr>
        <w:t xml:space="preserve"> tabi tutulmuş</w:t>
      </w:r>
      <w:r>
        <w:rPr>
          <w:rFonts w:ascii="Times New Roman" w:hAnsi="Times New Roman" w:cs="Times New Roman"/>
          <w:sz w:val="24"/>
        </w:rPr>
        <w:t xml:space="preserve">, </w:t>
      </w:r>
      <w:r w:rsidR="006A53D1">
        <w:rPr>
          <w:rFonts w:ascii="Times New Roman" w:hAnsi="Times New Roman" w:cs="Times New Roman"/>
          <w:sz w:val="24"/>
        </w:rPr>
        <w:t>aynı zamanda kurgusal bir örnek yardımı ile yapılması gerekenler</w:t>
      </w:r>
      <w:r>
        <w:rPr>
          <w:rFonts w:ascii="Times New Roman" w:hAnsi="Times New Roman" w:cs="Times New Roman"/>
          <w:sz w:val="24"/>
        </w:rPr>
        <w:t xml:space="preserve"> </w:t>
      </w:r>
      <w:r w:rsidR="006A53D1">
        <w:rPr>
          <w:rFonts w:ascii="Times New Roman" w:hAnsi="Times New Roman" w:cs="Times New Roman"/>
          <w:sz w:val="24"/>
        </w:rPr>
        <w:t xml:space="preserve">somut </w:t>
      </w:r>
      <w:r>
        <w:rPr>
          <w:rFonts w:ascii="Times New Roman" w:hAnsi="Times New Roman" w:cs="Times New Roman"/>
          <w:sz w:val="24"/>
        </w:rPr>
        <w:t>olarak ifade edilmiştir.</w:t>
      </w:r>
    </w:p>
    <w:p w:rsidR="00D66C74" w:rsidRDefault="00D66C74" w:rsidP="00D66C74">
      <w:pPr>
        <w:ind w:firstLine="708"/>
        <w:jc w:val="both"/>
        <w:rPr>
          <w:rFonts w:ascii="Times New Roman" w:hAnsi="Times New Roman" w:cs="Times New Roman"/>
          <w:b/>
          <w:sz w:val="24"/>
        </w:rPr>
      </w:pPr>
      <w:r w:rsidRPr="00E64F2D">
        <w:rPr>
          <w:rFonts w:ascii="Times New Roman" w:hAnsi="Times New Roman" w:cs="Times New Roman"/>
          <w:b/>
          <w:sz w:val="24"/>
        </w:rPr>
        <w:t>BULGULAR</w:t>
      </w:r>
    </w:p>
    <w:p w:rsidR="00D66C74" w:rsidRDefault="00D66C74" w:rsidP="00D66C74">
      <w:pPr>
        <w:ind w:firstLine="708"/>
        <w:jc w:val="both"/>
        <w:rPr>
          <w:rFonts w:ascii="Times New Roman" w:hAnsi="Times New Roman" w:cs="Times New Roman"/>
          <w:sz w:val="24"/>
        </w:rPr>
      </w:pPr>
      <w:r>
        <w:rPr>
          <w:rFonts w:ascii="Times New Roman" w:hAnsi="Times New Roman" w:cs="Times New Roman"/>
          <w:sz w:val="24"/>
        </w:rPr>
        <w:t>An itibarıyla KDV Kanunu’nun geçici 38. maddesinin (ç) fıkrası</w:t>
      </w:r>
      <w:r w:rsidR="006A53D1">
        <w:rPr>
          <w:rFonts w:ascii="Times New Roman" w:hAnsi="Times New Roman" w:cs="Times New Roman"/>
          <w:sz w:val="24"/>
        </w:rPr>
        <w:t>nda</w:t>
      </w:r>
      <w:r>
        <w:rPr>
          <w:rFonts w:ascii="Times New Roman" w:hAnsi="Times New Roman" w:cs="Times New Roman"/>
          <w:sz w:val="24"/>
        </w:rPr>
        <w:t xml:space="preserve"> açıkça ithalde alınan KDV</w:t>
      </w:r>
      <w:r w:rsidR="006A53D1">
        <w:rPr>
          <w:rFonts w:ascii="Times New Roman" w:hAnsi="Times New Roman" w:cs="Times New Roman"/>
          <w:sz w:val="24"/>
        </w:rPr>
        <w:t xml:space="preserve"> ile Damga Vergisi</w:t>
      </w:r>
      <w:r>
        <w:rPr>
          <w:rFonts w:ascii="Times New Roman" w:hAnsi="Times New Roman" w:cs="Times New Roman"/>
          <w:sz w:val="24"/>
        </w:rPr>
        <w:t>’nin istisna edildiği vurgula</w:t>
      </w:r>
      <w:r w:rsidR="006A53D1">
        <w:rPr>
          <w:rFonts w:ascii="Times New Roman" w:hAnsi="Times New Roman" w:cs="Times New Roman"/>
          <w:sz w:val="24"/>
        </w:rPr>
        <w:t>n</w:t>
      </w:r>
      <w:r>
        <w:rPr>
          <w:rFonts w:ascii="Times New Roman" w:hAnsi="Times New Roman" w:cs="Times New Roman"/>
          <w:sz w:val="24"/>
        </w:rPr>
        <w:t>sa da yorum farkı nedeni ile gümrük idaresince halen % 18 oranında KDV</w:t>
      </w:r>
      <w:r w:rsidR="006A53D1">
        <w:rPr>
          <w:rFonts w:ascii="Times New Roman" w:hAnsi="Times New Roman" w:cs="Times New Roman"/>
          <w:sz w:val="24"/>
        </w:rPr>
        <w:t xml:space="preserve"> ile Damga Vergisi</w:t>
      </w:r>
      <w:r>
        <w:rPr>
          <w:rFonts w:ascii="Times New Roman" w:hAnsi="Times New Roman" w:cs="Times New Roman"/>
          <w:sz w:val="24"/>
        </w:rPr>
        <w:t xml:space="preserve"> hesaplanmakta ve tahsil edilmektedir. </w:t>
      </w:r>
    </w:p>
    <w:p w:rsidR="00D66C74" w:rsidRDefault="00D66C74" w:rsidP="00D66C74">
      <w:pPr>
        <w:ind w:firstLine="708"/>
        <w:jc w:val="both"/>
        <w:rPr>
          <w:rFonts w:ascii="Times New Roman" w:hAnsi="Times New Roman" w:cs="Times New Roman"/>
          <w:b/>
          <w:sz w:val="24"/>
        </w:rPr>
      </w:pPr>
      <w:r w:rsidRPr="00E64F2D">
        <w:rPr>
          <w:rFonts w:ascii="Times New Roman" w:hAnsi="Times New Roman" w:cs="Times New Roman"/>
          <w:b/>
          <w:sz w:val="24"/>
        </w:rPr>
        <w:t>SONUÇ</w:t>
      </w:r>
    </w:p>
    <w:p w:rsidR="00D66C74" w:rsidRDefault="00D66C74" w:rsidP="00D66C74">
      <w:pPr>
        <w:ind w:firstLine="708"/>
        <w:jc w:val="both"/>
        <w:rPr>
          <w:rFonts w:ascii="Times New Roman" w:hAnsi="Times New Roman" w:cs="Times New Roman"/>
          <w:sz w:val="24"/>
        </w:rPr>
      </w:pPr>
      <w:r>
        <w:rPr>
          <w:rFonts w:ascii="Times New Roman" w:hAnsi="Times New Roman" w:cs="Times New Roman"/>
          <w:sz w:val="24"/>
        </w:rPr>
        <w:t>Yapılan araştırma</w:t>
      </w:r>
      <w:r w:rsidR="009C16CF">
        <w:rPr>
          <w:rFonts w:ascii="Times New Roman" w:hAnsi="Times New Roman" w:cs="Times New Roman"/>
          <w:sz w:val="24"/>
        </w:rPr>
        <w:t xml:space="preserve"> ile</w:t>
      </w:r>
      <w:r>
        <w:rPr>
          <w:rFonts w:ascii="Times New Roman" w:hAnsi="Times New Roman" w:cs="Times New Roman"/>
          <w:sz w:val="24"/>
        </w:rPr>
        <w:t xml:space="preserve"> yürürlükte olan mevzuat gereği Fatih Projesi kapsamında projenin alt yüklenicisi konumundaki firmalarca yapılan ithalatlardan KDV</w:t>
      </w:r>
      <w:r w:rsidR="006A53D1">
        <w:rPr>
          <w:rFonts w:ascii="Times New Roman" w:hAnsi="Times New Roman" w:cs="Times New Roman"/>
          <w:sz w:val="24"/>
        </w:rPr>
        <w:t xml:space="preserve"> ile Damga Vergisi</w:t>
      </w:r>
      <w:r w:rsidR="009C16CF">
        <w:rPr>
          <w:rFonts w:ascii="Times New Roman" w:hAnsi="Times New Roman" w:cs="Times New Roman"/>
          <w:sz w:val="24"/>
        </w:rPr>
        <w:t xml:space="preserve"> tahsil edilmemesi gerektiği</w:t>
      </w:r>
      <w:r w:rsidR="009C16CF" w:rsidRPr="009C16CF">
        <w:rPr>
          <w:rFonts w:ascii="Times New Roman" w:hAnsi="Times New Roman" w:cs="Times New Roman"/>
          <w:sz w:val="24"/>
        </w:rPr>
        <w:t xml:space="preserve"> </w:t>
      </w:r>
      <w:r w:rsidR="009C16CF">
        <w:rPr>
          <w:rFonts w:ascii="Times New Roman" w:hAnsi="Times New Roman" w:cs="Times New Roman"/>
          <w:sz w:val="24"/>
        </w:rPr>
        <w:t>sonucuna ulaşılmıştır.</w:t>
      </w:r>
    </w:p>
    <w:p w:rsidR="006A53D1" w:rsidRDefault="006A53D1" w:rsidP="00D66C74">
      <w:pPr>
        <w:ind w:firstLine="708"/>
        <w:jc w:val="both"/>
        <w:rPr>
          <w:rFonts w:ascii="Times New Roman" w:hAnsi="Times New Roman" w:cs="Times New Roman"/>
          <w:sz w:val="24"/>
        </w:rPr>
      </w:pPr>
    </w:p>
    <w:p w:rsidR="006A53D1" w:rsidRDefault="006A53D1" w:rsidP="00D66C74">
      <w:pPr>
        <w:ind w:firstLine="708"/>
        <w:jc w:val="both"/>
        <w:rPr>
          <w:rFonts w:ascii="Times New Roman" w:hAnsi="Times New Roman" w:cs="Times New Roman"/>
          <w:sz w:val="24"/>
        </w:rPr>
      </w:pPr>
    </w:p>
    <w:p w:rsidR="006A53D1" w:rsidRDefault="006A53D1" w:rsidP="00D66C74">
      <w:pPr>
        <w:ind w:firstLine="708"/>
        <w:jc w:val="both"/>
        <w:rPr>
          <w:rFonts w:ascii="Times New Roman" w:hAnsi="Times New Roman" w:cs="Times New Roman"/>
          <w:sz w:val="24"/>
        </w:rPr>
      </w:pPr>
    </w:p>
    <w:p w:rsidR="006A53D1" w:rsidRDefault="006A53D1" w:rsidP="00D66C74">
      <w:pPr>
        <w:ind w:firstLine="708"/>
        <w:jc w:val="both"/>
        <w:rPr>
          <w:rFonts w:ascii="Times New Roman" w:hAnsi="Times New Roman" w:cs="Times New Roman"/>
          <w:sz w:val="24"/>
        </w:rPr>
      </w:pPr>
    </w:p>
    <w:p w:rsidR="00D66C74" w:rsidRDefault="00D66C74" w:rsidP="00D66C74">
      <w:pPr>
        <w:ind w:firstLine="708"/>
        <w:jc w:val="center"/>
        <w:rPr>
          <w:rFonts w:ascii="Times New Roman" w:hAnsi="Times New Roman" w:cs="Times New Roman"/>
          <w:b/>
          <w:sz w:val="24"/>
        </w:rPr>
      </w:pPr>
      <w:r w:rsidRPr="00E45607">
        <w:rPr>
          <w:rFonts w:ascii="Times New Roman" w:hAnsi="Times New Roman" w:cs="Times New Roman"/>
          <w:b/>
          <w:sz w:val="24"/>
        </w:rPr>
        <w:lastRenderedPageBreak/>
        <w:t>ASSESSMENT OF THE EXEMPTION FROM CUSTOMS DUTIES ON DISTANCE EDUCATION PRACTICES IN THE EPIDEMIC PROCESS THROUGH INCENTIVE POLICIES AND AN EXAMPLE PROJECT</w:t>
      </w:r>
    </w:p>
    <w:p w:rsidR="00D66C74" w:rsidRDefault="00D66C74" w:rsidP="00D66C74">
      <w:pPr>
        <w:ind w:firstLine="708"/>
        <w:jc w:val="both"/>
        <w:rPr>
          <w:rFonts w:ascii="Times New Roman" w:hAnsi="Times New Roman" w:cs="Times New Roman"/>
          <w:b/>
          <w:sz w:val="24"/>
        </w:rPr>
      </w:pPr>
      <w:r w:rsidRPr="005356A1">
        <w:rPr>
          <w:rFonts w:ascii="Times New Roman" w:hAnsi="Times New Roman" w:cs="Times New Roman"/>
          <w:b/>
          <w:sz w:val="24"/>
        </w:rPr>
        <w:t>ABSTRACT</w:t>
      </w:r>
    </w:p>
    <w:p w:rsidR="00D66C74" w:rsidRPr="000D11C0" w:rsidRDefault="00D66C74" w:rsidP="00D66C74">
      <w:pPr>
        <w:ind w:firstLine="708"/>
        <w:jc w:val="both"/>
        <w:rPr>
          <w:rFonts w:ascii="Times New Roman" w:hAnsi="Times New Roman" w:cs="Times New Roman"/>
          <w:sz w:val="24"/>
          <w:lang w:val="en-GB"/>
        </w:rPr>
      </w:pPr>
      <w:r w:rsidRPr="000D11C0">
        <w:rPr>
          <w:rFonts w:ascii="Times New Roman" w:hAnsi="Times New Roman" w:cs="Times New Roman"/>
          <w:sz w:val="24"/>
          <w:lang w:val="en-GB"/>
        </w:rPr>
        <w:t xml:space="preserve">Although the idea of an active state intervention in the economy was originally born with </w:t>
      </w:r>
      <w:proofErr w:type="spellStart"/>
      <w:r w:rsidRPr="000D11C0">
        <w:rPr>
          <w:rFonts w:ascii="Times New Roman" w:hAnsi="Times New Roman" w:cs="Times New Roman"/>
          <w:sz w:val="24"/>
          <w:lang w:val="en-GB"/>
        </w:rPr>
        <w:t>Merkantilism</w:t>
      </w:r>
      <w:proofErr w:type="spellEnd"/>
      <w:r w:rsidRPr="000D11C0">
        <w:rPr>
          <w:rFonts w:ascii="Times New Roman" w:hAnsi="Times New Roman" w:cs="Times New Roman"/>
          <w:sz w:val="24"/>
          <w:lang w:val="en-GB"/>
        </w:rPr>
        <w:t>, the modern fiscal policy discourse became widespread, especially with the Keynesian view that gained prominence in the aftermath of the 1929 Crisis, so that the practices of intervening in the economy became popular again.</w:t>
      </w:r>
    </w:p>
    <w:p w:rsidR="00D66C74" w:rsidRDefault="00D66C74" w:rsidP="00D66C74">
      <w:pPr>
        <w:ind w:firstLine="708"/>
        <w:jc w:val="both"/>
        <w:rPr>
          <w:rFonts w:ascii="Times New Roman" w:hAnsi="Times New Roman" w:cs="Times New Roman"/>
          <w:sz w:val="24"/>
          <w:lang w:val="en-GB"/>
        </w:rPr>
      </w:pPr>
      <w:r w:rsidRPr="005356A1">
        <w:rPr>
          <w:rFonts w:ascii="Times New Roman" w:hAnsi="Times New Roman" w:cs="Times New Roman"/>
          <w:sz w:val="24"/>
          <w:lang w:val="en-GB"/>
        </w:rPr>
        <w:t xml:space="preserve">The economic policy instruments used to interfere with the economy consist of three elements in general. These are; monetary policy is foreign trade policy and fiscal policy. </w:t>
      </w:r>
      <w:r>
        <w:rPr>
          <w:rFonts w:ascii="Times New Roman" w:hAnsi="Times New Roman" w:cs="Times New Roman"/>
          <w:sz w:val="24"/>
          <w:lang w:val="en-GB"/>
        </w:rPr>
        <w:t>Incentive</w:t>
      </w:r>
      <w:r w:rsidRPr="005356A1">
        <w:rPr>
          <w:rFonts w:ascii="Times New Roman" w:hAnsi="Times New Roman" w:cs="Times New Roman"/>
          <w:sz w:val="24"/>
          <w:lang w:val="en-GB"/>
        </w:rPr>
        <w:t xml:space="preserve"> policy also comes across as an instrument of fiscal policy. Through </w:t>
      </w:r>
      <w:r>
        <w:rPr>
          <w:rFonts w:ascii="Times New Roman" w:hAnsi="Times New Roman" w:cs="Times New Roman"/>
          <w:sz w:val="24"/>
          <w:lang w:val="en-GB"/>
        </w:rPr>
        <w:t>incentive</w:t>
      </w:r>
      <w:r w:rsidRPr="005356A1">
        <w:rPr>
          <w:rFonts w:ascii="Times New Roman" w:hAnsi="Times New Roman" w:cs="Times New Roman"/>
          <w:sz w:val="24"/>
          <w:lang w:val="en-GB"/>
        </w:rPr>
        <w:t xml:space="preserve"> practices such as exemption and exception practices, investment reduction practices, monetary and agricultural supports, interest support and various input supports, the state is effectively intervening in the economy, encouraging the sector or economic activities that are projected to be supported.</w:t>
      </w:r>
    </w:p>
    <w:p w:rsidR="00D66C74" w:rsidRDefault="00D66C74" w:rsidP="00D66C74">
      <w:pPr>
        <w:ind w:firstLine="708"/>
        <w:jc w:val="both"/>
        <w:rPr>
          <w:rFonts w:ascii="Times New Roman" w:hAnsi="Times New Roman" w:cs="Times New Roman"/>
          <w:sz w:val="24"/>
          <w:lang w:val="en-GB"/>
        </w:rPr>
      </w:pPr>
      <w:r w:rsidRPr="005356A1">
        <w:rPr>
          <w:rFonts w:ascii="Times New Roman" w:hAnsi="Times New Roman" w:cs="Times New Roman"/>
          <w:sz w:val="24"/>
          <w:lang w:val="en-GB"/>
        </w:rPr>
        <w:t xml:space="preserve">The global epidemic caused by the "new </w:t>
      </w:r>
      <w:r>
        <w:rPr>
          <w:rFonts w:ascii="Times New Roman" w:hAnsi="Times New Roman" w:cs="Times New Roman"/>
          <w:sz w:val="24"/>
          <w:lang w:val="en-GB"/>
        </w:rPr>
        <w:t>corona virus disease (Covid-19)</w:t>
      </w:r>
      <w:r w:rsidRPr="005356A1">
        <w:rPr>
          <w:rFonts w:ascii="Times New Roman" w:hAnsi="Times New Roman" w:cs="Times New Roman"/>
          <w:sz w:val="24"/>
          <w:lang w:val="en-GB"/>
        </w:rPr>
        <w:t>" identified in 13.01.2020, has continued to have as much impact on our country as it has all over the world. In such extraordinary times, incentive policies have become important, while on the other hand, a number of legal adjustments have been made and various income contributions have been made to citizens as transfer expenditures. The epidemic that suddenly entered our lives at this point has led to a number of changes in education systems as well as in all aspects of our daily lives, and has brought with it some requirements for the remote and efficient implementation of education and training. In the eyes of elementary students, tablet and internet access are among the top requirements.</w:t>
      </w:r>
    </w:p>
    <w:p w:rsidR="00D66C74" w:rsidRDefault="00D66C74" w:rsidP="00D66C74">
      <w:pPr>
        <w:ind w:firstLine="708"/>
        <w:jc w:val="both"/>
        <w:rPr>
          <w:rFonts w:ascii="Times New Roman" w:hAnsi="Times New Roman" w:cs="Times New Roman"/>
          <w:sz w:val="24"/>
          <w:lang w:val="en-GB"/>
        </w:rPr>
      </w:pPr>
      <w:r w:rsidRPr="005356A1">
        <w:rPr>
          <w:rFonts w:ascii="Times New Roman" w:hAnsi="Times New Roman" w:cs="Times New Roman"/>
          <w:sz w:val="24"/>
          <w:lang w:val="en-GB"/>
        </w:rPr>
        <w:t xml:space="preserve">In the process of effectively tackling the global epidemic, which is showing its effects, it is important to implement projects that have been ongoing or new since then. In the field of education, the </w:t>
      </w:r>
      <w:proofErr w:type="spellStart"/>
      <w:r w:rsidRPr="005356A1">
        <w:rPr>
          <w:rFonts w:ascii="Times New Roman" w:hAnsi="Times New Roman" w:cs="Times New Roman"/>
          <w:sz w:val="24"/>
          <w:lang w:val="en-GB"/>
        </w:rPr>
        <w:t>Fatih</w:t>
      </w:r>
      <w:proofErr w:type="spellEnd"/>
      <w:r w:rsidRPr="005356A1">
        <w:rPr>
          <w:rFonts w:ascii="Times New Roman" w:hAnsi="Times New Roman" w:cs="Times New Roman"/>
          <w:sz w:val="24"/>
          <w:lang w:val="en-GB"/>
        </w:rPr>
        <w:t xml:space="preserve"> Project, or "Movement to Increase Opportunities and Improve Technology" was started in 2010 and piloted in 2012. This project aims to make courses more effective by addressing more sensory bodies in the education and training process of IT technologies to ensure equal opportunity in education and education and improve technology in schools.</w:t>
      </w:r>
    </w:p>
    <w:p w:rsidR="00D66C74" w:rsidRDefault="00D66C74" w:rsidP="00D66C74">
      <w:pPr>
        <w:ind w:firstLine="708"/>
        <w:jc w:val="both"/>
        <w:rPr>
          <w:rFonts w:ascii="Times New Roman" w:hAnsi="Times New Roman" w:cs="Times New Roman"/>
          <w:sz w:val="24"/>
          <w:lang w:val="en-GB"/>
        </w:rPr>
      </w:pPr>
      <w:r w:rsidRPr="005356A1">
        <w:rPr>
          <w:rFonts w:ascii="Times New Roman" w:hAnsi="Times New Roman" w:cs="Times New Roman"/>
          <w:sz w:val="24"/>
          <w:lang w:val="en-GB"/>
        </w:rPr>
        <w:t xml:space="preserve">Within this scope, the 3065 of "Law on the Amendment of Certain Tax Laws and Other Laws" No. 7061 to Value Added Tax Law No. 44. provisional 38 added with its clause. A number of exceptions and exemptions were stipulated with the clause. The provisional Article 7061 was </w:t>
      </w:r>
      <w:r>
        <w:rPr>
          <w:rFonts w:ascii="Times New Roman" w:hAnsi="Times New Roman" w:cs="Times New Roman"/>
          <w:sz w:val="24"/>
          <w:lang w:val="en-GB"/>
        </w:rPr>
        <w:t>came into force</w:t>
      </w:r>
      <w:r w:rsidRPr="005356A1">
        <w:rPr>
          <w:rFonts w:ascii="Times New Roman" w:hAnsi="Times New Roman" w:cs="Times New Roman"/>
          <w:sz w:val="24"/>
          <w:lang w:val="en-GB"/>
        </w:rPr>
        <w:t xml:space="preserve"> on 05.12.2017.</w:t>
      </w:r>
    </w:p>
    <w:p w:rsidR="00D66C74" w:rsidRDefault="00D66C74" w:rsidP="00D66C74">
      <w:pPr>
        <w:ind w:firstLine="708"/>
        <w:jc w:val="both"/>
        <w:rPr>
          <w:rFonts w:ascii="Times New Roman" w:hAnsi="Times New Roman" w:cs="Times New Roman"/>
          <w:sz w:val="24"/>
          <w:lang w:val="en-GB"/>
        </w:rPr>
      </w:pPr>
      <w:r>
        <w:rPr>
          <w:rFonts w:ascii="Times New Roman" w:hAnsi="Times New Roman" w:cs="Times New Roman"/>
          <w:sz w:val="24"/>
          <w:lang w:val="en-GB"/>
        </w:rPr>
        <w:t>Even t</w:t>
      </w:r>
      <w:r w:rsidRPr="005356A1">
        <w:rPr>
          <w:rFonts w:ascii="Times New Roman" w:hAnsi="Times New Roman" w:cs="Times New Roman"/>
          <w:sz w:val="24"/>
          <w:lang w:val="en-GB"/>
        </w:rPr>
        <w:t xml:space="preserve">hough the implementation of the </w:t>
      </w:r>
      <w:proofErr w:type="spellStart"/>
      <w:r w:rsidRPr="005356A1">
        <w:rPr>
          <w:rFonts w:ascii="Times New Roman" w:hAnsi="Times New Roman" w:cs="Times New Roman"/>
          <w:sz w:val="24"/>
          <w:lang w:val="en-GB"/>
        </w:rPr>
        <w:t>Fatih</w:t>
      </w:r>
      <w:proofErr w:type="spellEnd"/>
      <w:r w:rsidRPr="005356A1">
        <w:rPr>
          <w:rFonts w:ascii="Times New Roman" w:hAnsi="Times New Roman" w:cs="Times New Roman"/>
          <w:sz w:val="24"/>
          <w:lang w:val="en-GB"/>
        </w:rPr>
        <w:t xml:space="preserve"> Project and a series of changes to the Value Added Tax Act no. 3065 preceded the outbreak of the corona virus, there is a direct connection between the issues, especially as students of primary age will benefit from the incentive arrangements introduced in the particular project applications.</w:t>
      </w:r>
    </w:p>
    <w:p w:rsidR="00D66C74" w:rsidRDefault="00D66C74" w:rsidP="00D66C74">
      <w:pPr>
        <w:ind w:firstLine="708"/>
        <w:jc w:val="both"/>
        <w:rPr>
          <w:rFonts w:ascii="Times New Roman" w:hAnsi="Times New Roman" w:cs="Times New Roman"/>
          <w:sz w:val="24"/>
          <w:lang w:val="en-GB"/>
        </w:rPr>
      </w:pPr>
      <w:r w:rsidRPr="005356A1">
        <w:rPr>
          <w:rFonts w:ascii="Times New Roman" w:hAnsi="Times New Roman" w:cs="Times New Roman"/>
          <w:sz w:val="24"/>
          <w:lang w:val="en-GB"/>
        </w:rPr>
        <w:t xml:space="preserve">Provisional 38 of the Value Added Tax Act. </w:t>
      </w:r>
      <w:r>
        <w:rPr>
          <w:rFonts w:ascii="Times New Roman" w:hAnsi="Times New Roman" w:cs="Times New Roman"/>
          <w:sz w:val="24"/>
          <w:lang w:val="en-GB"/>
        </w:rPr>
        <w:t>a</w:t>
      </w:r>
      <w:r w:rsidRPr="005356A1">
        <w:rPr>
          <w:rFonts w:ascii="Times New Roman" w:hAnsi="Times New Roman" w:cs="Times New Roman"/>
          <w:sz w:val="24"/>
          <w:lang w:val="en-GB"/>
        </w:rPr>
        <w:t xml:space="preserve">lthough exceptions are provided for funds received at customs through customs duties as an incentive policy with its clause, VAT is still being charged at 18% on imports already made. Since this study concluded that the lack of VAT under exception was due to a systematic interpretation error, recommendations are made for </w:t>
      </w:r>
      <w:r w:rsidRPr="005356A1">
        <w:rPr>
          <w:rFonts w:ascii="Times New Roman" w:hAnsi="Times New Roman" w:cs="Times New Roman"/>
          <w:sz w:val="24"/>
          <w:lang w:val="en-GB"/>
        </w:rPr>
        <w:lastRenderedPageBreak/>
        <w:t>the more effective use of the exception introduced by the VAT Act as an incentive policy tool to establish equality of opportunity in education in epidemic conditions.</w:t>
      </w:r>
    </w:p>
    <w:p w:rsidR="00D66C74" w:rsidRDefault="00D66C74" w:rsidP="00D66C74">
      <w:pPr>
        <w:ind w:firstLine="708"/>
        <w:jc w:val="both"/>
        <w:rPr>
          <w:rFonts w:ascii="Times New Roman" w:hAnsi="Times New Roman" w:cs="Times New Roman"/>
          <w:sz w:val="24"/>
          <w:lang w:val="en-GB"/>
        </w:rPr>
      </w:pPr>
      <w:r w:rsidRPr="00150ADC">
        <w:rPr>
          <w:rFonts w:ascii="Times New Roman" w:hAnsi="Times New Roman" w:cs="Times New Roman"/>
          <w:b/>
          <w:sz w:val="24"/>
          <w:lang w:val="en-GB"/>
        </w:rPr>
        <w:t>Keywords:</w:t>
      </w:r>
      <w:r>
        <w:rPr>
          <w:rFonts w:ascii="Times New Roman" w:hAnsi="Times New Roman" w:cs="Times New Roman"/>
          <w:b/>
          <w:sz w:val="24"/>
          <w:lang w:val="en-GB"/>
        </w:rPr>
        <w:t xml:space="preserve"> </w:t>
      </w:r>
      <w:r>
        <w:rPr>
          <w:rFonts w:ascii="Times New Roman" w:hAnsi="Times New Roman" w:cs="Times New Roman"/>
          <w:sz w:val="24"/>
          <w:lang w:val="en-GB"/>
        </w:rPr>
        <w:t xml:space="preserve">Incentive Policies, </w:t>
      </w:r>
      <w:proofErr w:type="spellStart"/>
      <w:r>
        <w:rPr>
          <w:rFonts w:ascii="Times New Roman" w:hAnsi="Times New Roman" w:cs="Times New Roman"/>
          <w:sz w:val="24"/>
          <w:lang w:val="en-GB"/>
        </w:rPr>
        <w:t>Fatih</w:t>
      </w:r>
      <w:proofErr w:type="spellEnd"/>
      <w:r>
        <w:rPr>
          <w:rFonts w:ascii="Times New Roman" w:hAnsi="Times New Roman" w:cs="Times New Roman"/>
          <w:sz w:val="24"/>
          <w:lang w:val="en-GB"/>
        </w:rPr>
        <w:t xml:space="preserve"> Project, </w:t>
      </w:r>
      <w:proofErr w:type="spellStart"/>
      <w:r>
        <w:rPr>
          <w:rFonts w:ascii="Times New Roman" w:hAnsi="Times New Roman" w:cs="Times New Roman"/>
          <w:sz w:val="24"/>
          <w:lang w:val="en-GB"/>
        </w:rPr>
        <w:t>Systematical</w:t>
      </w:r>
      <w:proofErr w:type="spellEnd"/>
      <w:r>
        <w:rPr>
          <w:rFonts w:ascii="Times New Roman" w:hAnsi="Times New Roman" w:cs="Times New Roman"/>
          <w:sz w:val="24"/>
          <w:lang w:val="en-GB"/>
        </w:rPr>
        <w:t xml:space="preserve"> I</w:t>
      </w:r>
      <w:r w:rsidRPr="00150ADC">
        <w:rPr>
          <w:rFonts w:ascii="Times New Roman" w:hAnsi="Times New Roman" w:cs="Times New Roman"/>
          <w:sz w:val="24"/>
          <w:lang w:val="en-GB"/>
        </w:rPr>
        <w:t>nterpretation</w:t>
      </w:r>
      <w:r>
        <w:rPr>
          <w:rFonts w:ascii="Times New Roman" w:hAnsi="Times New Roman" w:cs="Times New Roman"/>
          <w:sz w:val="24"/>
          <w:lang w:val="en-GB"/>
        </w:rPr>
        <w:t xml:space="preserve">, </w:t>
      </w:r>
      <w:r>
        <w:rPr>
          <w:rFonts w:ascii="Times New Roman" w:hAnsi="Times New Roman" w:cs="Times New Roman"/>
          <w:sz w:val="24"/>
          <w:lang w:val="en-GB"/>
        </w:rPr>
        <w:tab/>
        <w:t>Customs D</w:t>
      </w:r>
      <w:r w:rsidRPr="00150ADC">
        <w:rPr>
          <w:rFonts w:ascii="Times New Roman" w:hAnsi="Times New Roman" w:cs="Times New Roman"/>
          <w:sz w:val="24"/>
          <w:lang w:val="en-GB"/>
        </w:rPr>
        <w:t>uties</w:t>
      </w:r>
      <w:r w:rsidR="006A53D1">
        <w:rPr>
          <w:rFonts w:ascii="Times New Roman" w:hAnsi="Times New Roman" w:cs="Times New Roman"/>
          <w:sz w:val="24"/>
          <w:lang w:val="en-GB"/>
        </w:rPr>
        <w:t>, VAT on import</w:t>
      </w:r>
    </w:p>
    <w:p w:rsidR="00D66C74" w:rsidRDefault="00D66C74" w:rsidP="00D66C74">
      <w:pPr>
        <w:ind w:firstLine="708"/>
        <w:jc w:val="both"/>
        <w:rPr>
          <w:rFonts w:ascii="Times New Roman" w:hAnsi="Times New Roman" w:cs="Times New Roman"/>
          <w:sz w:val="24"/>
        </w:rPr>
      </w:pPr>
      <w:r w:rsidRPr="00FD41AA">
        <w:rPr>
          <w:rFonts w:ascii="Times New Roman" w:hAnsi="Times New Roman" w:cs="Times New Roman"/>
          <w:b/>
          <w:sz w:val="24"/>
          <w:lang w:val="en-GB"/>
        </w:rPr>
        <w:t>JEL Classification Codes:</w:t>
      </w:r>
      <w:r>
        <w:rPr>
          <w:rFonts w:ascii="Times New Roman" w:hAnsi="Times New Roman" w:cs="Times New Roman"/>
          <w:b/>
          <w:sz w:val="24"/>
          <w:lang w:val="en-GB"/>
        </w:rPr>
        <w:t xml:space="preserve"> </w:t>
      </w:r>
      <w:r w:rsidRPr="00150ADC">
        <w:rPr>
          <w:rFonts w:ascii="Times New Roman" w:hAnsi="Times New Roman" w:cs="Times New Roman"/>
          <w:sz w:val="24"/>
        </w:rPr>
        <w:t>E62</w:t>
      </w:r>
      <w:r>
        <w:rPr>
          <w:rFonts w:ascii="Times New Roman" w:hAnsi="Times New Roman" w:cs="Times New Roman"/>
          <w:b/>
          <w:sz w:val="24"/>
        </w:rPr>
        <w:t xml:space="preserve"> - </w:t>
      </w:r>
      <w:r w:rsidRPr="00150ADC">
        <w:rPr>
          <w:rFonts w:ascii="Times New Roman" w:hAnsi="Times New Roman" w:cs="Times New Roman"/>
          <w:sz w:val="24"/>
        </w:rPr>
        <w:t>K34 -  H29 - K39.</w:t>
      </w:r>
    </w:p>
    <w:p w:rsidR="006C25D4" w:rsidRDefault="006C25D4"/>
    <w:sectPr w:rsidR="006C25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10C" w:rsidRDefault="006F310C" w:rsidP="00D66C74">
      <w:pPr>
        <w:spacing w:after="0" w:line="240" w:lineRule="auto"/>
      </w:pPr>
      <w:r>
        <w:separator/>
      </w:r>
    </w:p>
  </w:endnote>
  <w:endnote w:type="continuationSeparator" w:id="0">
    <w:p w:rsidR="006F310C" w:rsidRDefault="006F310C" w:rsidP="00D66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10C" w:rsidRDefault="006F310C" w:rsidP="00D66C74">
      <w:pPr>
        <w:spacing w:after="0" w:line="240" w:lineRule="auto"/>
      </w:pPr>
      <w:r>
        <w:separator/>
      </w:r>
    </w:p>
  </w:footnote>
  <w:footnote w:type="continuationSeparator" w:id="0">
    <w:p w:rsidR="006F310C" w:rsidRDefault="006F310C" w:rsidP="00D66C74">
      <w:pPr>
        <w:spacing w:after="0" w:line="240" w:lineRule="auto"/>
      </w:pPr>
      <w:r>
        <w:continuationSeparator/>
      </w:r>
    </w:p>
  </w:footnote>
  <w:footnote w:id="1">
    <w:p w:rsidR="00D66C74" w:rsidRDefault="00D66C74" w:rsidP="00D66C74">
      <w:pPr>
        <w:pStyle w:val="DipnotMetni"/>
        <w:jc w:val="both"/>
      </w:pPr>
      <w:r>
        <w:rPr>
          <w:rStyle w:val="DipnotBavurusu"/>
        </w:rPr>
        <w:footnoteRef/>
      </w:r>
      <w:r>
        <w:t xml:space="preserve"> </w:t>
      </w:r>
      <w:r w:rsidRPr="00D77965">
        <w:rPr>
          <w:rFonts w:ascii="Times New Roman" w:hAnsi="Times New Roman" w:cs="Times New Roman"/>
        </w:rPr>
        <w:t xml:space="preserve">Öğretim Üyesi, İzmir </w:t>
      </w:r>
      <w:proofErr w:type="gramStart"/>
      <w:r w:rsidRPr="00D77965">
        <w:rPr>
          <w:rFonts w:ascii="Times New Roman" w:hAnsi="Times New Roman" w:cs="Times New Roman"/>
        </w:rPr>
        <w:t>Katip</w:t>
      </w:r>
      <w:proofErr w:type="gramEnd"/>
      <w:r w:rsidRPr="00D77965">
        <w:rPr>
          <w:rFonts w:ascii="Times New Roman" w:hAnsi="Times New Roman" w:cs="Times New Roman"/>
        </w:rPr>
        <w:t xml:space="preserve"> Çelebi Üniversitesi İktisadi ve İdari Bilimler Fakültesi, Mali Hukuk Ana Bi</w:t>
      </w:r>
      <w:r>
        <w:rPr>
          <w:rFonts w:ascii="Times New Roman" w:hAnsi="Times New Roman" w:cs="Times New Roman"/>
        </w:rPr>
        <w:t xml:space="preserve">lim Dalı, Maliye Bölüm Başkanı. </w:t>
      </w:r>
      <w:proofErr w:type="gramStart"/>
      <w:r>
        <w:rPr>
          <w:rFonts w:ascii="Times New Roman" w:hAnsi="Times New Roman" w:cs="Times New Roman"/>
        </w:rPr>
        <w:t>engin</w:t>
      </w:r>
      <w:proofErr w:type="gramEnd"/>
      <w:r>
        <w:rPr>
          <w:rFonts w:ascii="Times New Roman" w:hAnsi="Times New Roman" w:cs="Times New Roman"/>
        </w:rPr>
        <w:t>.hepaksaz@ikc.edu.tr</w:t>
      </w:r>
      <w:r w:rsidRPr="00D77965">
        <w:rPr>
          <w:rFonts w:ascii="Times New Roman" w:hAnsi="Times New Roman" w:cs="Times New Roman"/>
        </w:rPr>
        <w:t>, ORCID:</w:t>
      </w:r>
      <w:r>
        <w:rPr>
          <w:rFonts w:ascii="Times New Roman" w:hAnsi="Times New Roman" w:cs="Times New Roman"/>
        </w:rPr>
        <w:t xml:space="preserve"> 0000-0003-4383-4091</w:t>
      </w:r>
      <w:r w:rsidRPr="00D77965">
        <w:rPr>
          <w:rFonts w:ascii="Times New Roman" w:hAnsi="Times New Roman" w:cs="Times New Roman"/>
        </w:rPr>
        <w:t>, C</w:t>
      </w:r>
      <w:r>
        <w:rPr>
          <w:rFonts w:ascii="Times New Roman" w:hAnsi="Times New Roman" w:cs="Times New Roman"/>
        </w:rPr>
        <w:t>ep</w:t>
      </w:r>
      <w:r w:rsidRPr="00D77965">
        <w:rPr>
          <w:rFonts w:ascii="Times New Roman" w:hAnsi="Times New Roman" w:cs="Times New Roman"/>
        </w:rPr>
        <w:t xml:space="preserve"> N</w:t>
      </w:r>
      <w:r>
        <w:rPr>
          <w:rFonts w:ascii="Times New Roman" w:hAnsi="Times New Roman" w:cs="Times New Roman"/>
        </w:rPr>
        <w:t>o</w:t>
      </w:r>
      <w:r w:rsidRPr="00D77965">
        <w:rPr>
          <w:rFonts w:ascii="Times New Roman" w:hAnsi="Times New Roman" w:cs="Times New Roman"/>
        </w:rPr>
        <w:t>: 5462271680.</w:t>
      </w:r>
    </w:p>
  </w:footnote>
  <w:footnote w:id="2">
    <w:p w:rsidR="00D66C74" w:rsidRDefault="00D66C74" w:rsidP="00D66C74">
      <w:pPr>
        <w:pStyle w:val="DipnotMetni"/>
        <w:jc w:val="both"/>
      </w:pPr>
      <w:r>
        <w:rPr>
          <w:rStyle w:val="DipnotBavurusu"/>
        </w:rPr>
        <w:footnoteRef/>
      </w:r>
      <w:r>
        <w:t xml:space="preserve"> </w:t>
      </w:r>
      <w:r w:rsidRPr="00D77965">
        <w:rPr>
          <w:rFonts w:ascii="Times New Roman" w:hAnsi="Times New Roman" w:cs="Times New Roman"/>
        </w:rPr>
        <w:t>Ticaret Müfettişi</w:t>
      </w:r>
      <w:r>
        <w:rPr>
          <w:rFonts w:ascii="Times New Roman" w:hAnsi="Times New Roman" w:cs="Times New Roman"/>
        </w:rPr>
        <w:t xml:space="preserve">, </w:t>
      </w:r>
      <w:r w:rsidRPr="00D77965">
        <w:rPr>
          <w:rFonts w:ascii="Times New Roman" w:hAnsi="Times New Roman" w:cs="Times New Roman"/>
        </w:rPr>
        <w:t xml:space="preserve">Ticaret Bakanlığı Rehberlik ve Teftiş Başkanlığı, İzmir </w:t>
      </w:r>
      <w:proofErr w:type="gramStart"/>
      <w:r w:rsidRPr="00D77965">
        <w:rPr>
          <w:rFonts w:ascii="Times New Roman" w:hAnsi="Times New Roman" w:cs="Times New Roman"/>
        </w:rPr>
        <w:t>Katip</w:t>
      </w:r>
      <w:proofErr w:type="gramEnd"/>
      <w:r w:rsidRPr="00D77965">
        <w:rPr>
          <w:rFonts w:ascii="Times New Roman" w:hAnsi="Times New Roman" w:cs="Times New Roman"/>
        </w:rPr>
        <w:t xml:space="preserve"> Çelebi Üniversitesi Maliye ve Mali Yönetim Doktora Öğrencisi</w:t>
      </w:r>
      <w:r>
        <w:rPr>
          <w:rFonts w:ascii="Times New Roman" w:hAnsi="Times New Roman" w:cs="Times New Roman"/>
        </w:rPr>
        <w:t xml:space="preserve">, </w:t>
      </w:r>
      <w:hyperlink r:id="rId1" w:history="1">
        <w:r w:rsidRPr="00E912A6">
          <w:rPr>
            <w:rStyle w:val="Kpr"/>
            <w:rFonts w:ascii="Times New Roman" w:hAnsi="Times New Roman" w:cs="Times New Roman"/>
            <w:color w:val="auto"/>
            <w:u w:val="none"/>
          </w:rPr>
          <w:t>g.cetinkol@ticaret.gov.tr</w:t>
        </w:r>
      </w:hyperlink>
      <w:r w:rsidRPr="00D77965">
        <w:rPr>
          <w:rFonts w:ascii="Times New Roman" w:hAnsi="Times New Roman" w:cs="Times New Roman"/>
        </w:rPr>
        <w:t>, ORCID: 0000-0003-2852-8459, Cep No: 5542650435.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1C"/>
    <w:rsid w:val="00087ED7"/>
    <w:rsid w:val="000B0C1C"/>
    <w:rsid w:val="004B7BBE"/>
    <w:rsid w:val="004F4594"/>
    <w:rsid w:val="006A53D1"/>
    <w:rsid w:val="006C25D4"/>
    <w:rsid w:val="006E6865"/>
    <w:rsid w:val="006F310C"/>
    <w:rsid w:val="00920474"/>
    <w:rsid w:val="009C16CF"/>
    <w:rsid w:val="00D66C74"/>
    <w:rsid w:val="00E36E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CA68"/>
  <w15:chartTrackingRefBased/>
  <w15:docId w15:val="{907A7059-415C-4B20-851C-125347B3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C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66C74"/>
    <w:rPr>
      <w:color w:val="0563C1" w:themeColor="hyperlink"/>
      <w:u w:val="single"/>
    </w:rPr>
  </w:style>
  <w:style w:type="paragraph" w:styleId="DipnotMetni">
    <w:name w:val="footnote text"/>
    <w:basedOn w:val="Normal"/>
    <w:link w:val="DipnotMetniChar"/>
    <w:uiPriority w:val="99"/>
    <w:semiHidden/>
    <w:unhideWhenUsed/>
    <w:rsid w:val="00D66C7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66C74"/>
    <w:rPr>
      <w:sz w:val="20"/>
      <w:szCs w:val="20"/>
    </w:rPr>
  </w:style>
  <w:style w:type="character" w:styleId="DipnotBavurusu">
    <w:name w:val="footnote reference"/>
    <w:basedOn w:val="VarsaylanParagrafYazTipi"/>
    <w:uiPriority w:val="99"/>
    <w:semiHidden/>
    <w:unhideWhenUsed/>
    <w:rsid w:val="00D66C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g.cetinkol@ticaret.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ERSOY</dc:creator>
  <cp:keywords/>
  <dc:description/>
  <cp:lastModifiedBy>15752732192</cp:lastModifiedBy>
  <cp:revision>3</cp:revision>
  <dcterms:created xsi:type="dcterms:W3CDTF">2021-06-01T08:54:00Z</dcterms:created>
  <dcterms:modified xsi:type="dcterms:W3CDTF">2021-06-01T09:03:00Z</dcterms:modified>
</cp:coreProperties>
</file>