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27C74" w14:textId="690DC790" w:rsidR="00D85663" w:rsidRPr="006251C3" w:rsidRDefault="00B83763" w:rsidP="00D85663">
      <w:pPr>
        <w:spacing w:after="460" w:line="240" w:lineRule="auto"/>
        <w:jc w:val="center"/>
        <w:rPr>
          <w:rFonts w:ascii="Times New Roman" w:hAnsi="Times New Roman" w:cs="Times New Roman"/>
          <w:b/>
          <w:sz w:val="24"/>
          <w:szCs w:val="24"/>
        </w:rPr>
      </w:pPr>
      <w:sdt>
        <w:sdtPr>
          <w:rPr>
            <w:rFonts w:ascii="Times New Roman" w:hAnsi="Times New Roman" w:cs="Times New Roman"/>
            <w:b/>
          </w:rPr>
          <w:id w:val="1580782608"/>
          <w:placeholder>
            <w:docPart w:val="5F7D95AB3D1046988295B187489439C6"/>
          </w:placeholder>
        </w:sdtPr>
        <w:sdtEndPr>
          <w:rPr>
            <w:sz w:val="24"/>
            <w:szCs w:val="24"/>
          </w:rPr>
        </w:sdtEndPr>
        <w:sdtContent>
          <w:sdt>
            <w:sdtPr>
              <w:rPr>
                <w:rFonts w:ascii="Times New Roman" w:hAnsi="Times New Roman" w:cs="Times New Roman"/>
                <w:b/>
                <w:bCs/>
                <w:sz w:val="24"/>
                <w:szCs w:val="24"/>
                <w:lang w:val="en-US"/>
              </w:rPr>
              <w:alias w:val="MAKALE BAŞLIĞI (BÜYÜK HARFLERLE)"/>
              <w:tag w:val="MAKALE BAŞLIĞI (BÜYÜK HARFLERLE)"/>
              <w:id w:val="-974751456"/>
              <w:placeholder>
                <w:docPart w:val="5F7D95AB3D1046988295B187489439C6"/>
              </w:placeholder>
              <w15:color w:val="000000"/>
              <w:text/>
            </w:sdtPr>
            <w:sdtContent>
              <w:r w:rsidR="00C32A52" w:rsidRPr="006251C3">
                <w:rPr>
                  <w:rFonts w:ascii="Times New Roman" w:hAnsi="Times New Roman" w:cs="Times New Roman"/>
                  <w:b/>
                  <w:bCs/>
                  <w:sz w:val="24"/>
                  <w:szCs w:val="24"/>
                  <w:lang w:val="en-US"/>
                </w:rPr>
                <w:t>FİNANSAL OLMAYAN PERFORMANS</w:t>
              </w:r>
              <w:r w:rsidR="00D85663" w:rsidRPr="006251C3">
                <w:rPr>
                  <w:rFonts w:ascii="Times New Roman" w:hAnsi="Times New Roman" w:cs="Times New Roman"/>
                  <w:b/>
                  <w:bCs/>
                  <w:sz w:val="24"/>
                  <w:szCs w:val="24"/>
                  <w:lang w:val="en-US"/>
                </w:rPr>
                <w:t xml:space="preserve"> </w:t>
              </w:r>
              <w:r w:rsidR="005B1FBD" w:rsidRPr="006251C3">
                <w:rPr>
                  <w:rFonts w:ascii="Times New Roman" w:hAnsi="Times New Roman" w:cs="Times New Roman"/>
                  <w:b/>
                  <w:bCs/>
                  <w:sz w:val="24"/>
                  <w:szCs w:val="24"/>
                  <w:lang w:val="en-US"/>
                </w:rPr>
                <w:t xml:space="preserve">SONUÇLARI </w:t>
              </w:r>
              <w:r w:rsidR="00D85663" w:rsidRPr="006251C3">
                <w:rPr>
                  <w:rFonts w:ascii="Times New Roman" w:hAnsi="Times New Roman" w:cs="Times New Roman"/>
                  <w:b/>
                  <w:bCs/>
                  <w:sz w:val="24"/>
                  <w:szCs w:val="24"/>
                  <w:lang w:val="en-US"/>
                </w:rPr>
                <w:t>İLE YÖNETİM KURULU YAPISI ARASINDAK</w:t>
              </w:r>
              <w:r w:rsidR="005B1FBD" w:rsidRPr="006251C3">
                <w:rPr>
                  <w:rFonts w:ascii="Times New Roman" w:hAnsi="Times New Roman" w:cs="Times New Roman"/>
                  <w:b/>
                  <w:bCs/>
                  <w:sz w:val="24"/>
                  <w:szCs w:val="24"/>
                  <w:lang w:val="en-US"/>
                </w:rPr>
                <w:t>İ</w:t>
              </w:r>
              <w:r w:rsidR="00D85663" w:rsidRPr="006251C3">
                <w:rPr>
                  <w:rFonts w:ascii="Times New Roman" w:hAnsi="Times New Roman" w:cs="Times New Roman"/>
                  <w:b/>
                  <w:bCs/>
                  <w:sz w:val="24"/>
                  <w:szCs w:val="24"/>
                  <w:lang w:val="en-US"/>
                </w:rPr>
                <w:t xml:space="preserve"> İLİŞKİ</w:t>
              </w:r>
              <w:r w:rsidR="00487D62" w:rsidRPr="006251C3">
                <w:rPr>
                  <w:rFonts w:ascii="Times New Roman" w:hAnsi="Times New Roman" w:cs="Times New Roman"/>
                  <w:b/>
                  <w:bCs/>
                  <w:sz w:val="24"/>
                  <w:szCs w:val="24"/>
                  <w:lang w:val="en-US"/>
                </w:rPr>
                <w:t>NİN İNCELENMESİ</w:t>
              </w:r>
              <w:r w:rsidR="00D85663" w:rsidRPr="006251C3">
                <w:rPr>
                  <w:rFonts w:ascii="Times New Roman" w:hAnsi="Times New Roman" w:cs="Times New Roman"/>
                  <w:b/>
                  <w:bCs/>
                  <w:sz w:val="24"/>
                  <w:szCs w:val="24"/>
                  <w:lang w:val="en-US"/>
                </w:rPr>
                <w:t xml:space="preserve">: </w:t>
              </w:r>
              <w:r w:rsidR="005B1FBD" w:rsidRPr="006251C3">
                <w:rPr>
                  <w:rFonts w:ascii="Times New Roman" w:hAnsi="Times New Roman" w:cs="Times New Roman"/>
                  <w:b/>
                  <w:bCs/>
                  <w:sz w:val="24"/>
                  <w:szCs w:val="24"/>
                  <w:lang w:val="en-US"/>
                </w:rPr>
                <w:t xml:space="preserve">BORSA İSTANBUL </w:t>
              </w:r>
              <w:r w:rsidR="00D85663" w:rsidRPr="006251C3">
                <w:rPr>
                  <w:rFonts w:ascii="Times New Roman" w:hAnsi="Times New Roman" w:cs="Times New Roman"/>
                  <w:b/>
                  <w:bCs/>
                  <w:sz w:val="24"/>
                  <w:szCs w:val="24"/>
                  <w:lang w:val="en-US"/>
                </w:rPr>
                <w:t xml:space="preserve">MEVDUAT BANKALARI </w:t>
              </w:r>
              <w:r w:rsidR="000853F5">
                <w:rPr>
                  <w:rFonts w:ascii="Times New Roman" w:hAnsi="Times New Roman" w:cs="Times New Roman"/>
                  <w:b/>
                  <w:bCs/>
                  <w:sz w:val="24"/>
                  <w:szCs w:val="24"/>
                  <w:lang w:val="en-US"/>
                </w:rPr>
                <w:t>ÖRNEĞİ</w:t>
              </w:r>
            </w:sdtContent>
          </w:sdt>
        </w:sdtContent>
      </w:sdt>
    </w:p>
    <w:p w14:paraId="155D6295" w14:textId="77777777" w:rsidR="00D85663" w:rsidRPr="006251C3" w:rsidRDefault="00B83763" w:rsidP="00D85663">
      <w:pPr>
        <w:spacing w:before="460"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alias w:val="Yazar Adı"/>
          <w:tag w:val="Yazar Adı"/>
          <w:id w:val="1027375946"/>
          <w:placeholder>
            <w:docPart w:val="5F7D95AB3D1046988295B187489439C6"/>
          </w:placeholder>
        </w:sdtPr>
        <w:sdtEndPr>
          <w:rPr>
            <w:color w:val="FFFFFF" w:themeColor="background1"/>
          </w:rPr>
        </w:sdtEndPr>
        <w:sdtContent>
          <w:r w:rsidR="00D85663" w:rsidRPr="006251C3">
            <w:rPr>
              <w:rFonts w:ascii="Times New Roman" w:hAnsi="Times New Roman" w:cs="Times New Roman"/>
              <w:b/>
              <w:sz w:val="24"/>
              <w:szCs w:val="24"/>
            </w:rPr>
            <w:t xml:space="preserve">Dr. </w:t>
          </w:r>
          <w:proofErr w:type="spellStart"/>
          <w:r w:rsidR="00D85663" w:rsidRPr="006251C3">
            <w:rPr>
              <w:rFonts w:ascii="Times New Roman" w:hAnsi="Times New Roman" w:cs="Times New Roman"/>
              <w:b/>
              <w:sz w:val="24"/>
              <w:szCs w:val="24"/>
            </w:rPr>
            <w:t>Öğr</w:t>
          </w:r>
          <w:proofErr w:type="spellEnd"/>
          <w:r w:rsidR="00D85663" w:rsidRPr="006251C3">
            <w:rPr>
              <w:rFonts w:ascii="Times New Roman" w:hAnsi="Times New Roman" w:cs="Times New Roman"/>
              <w:b/>
              <w:sz w:val="24"/>
              <w:szCs w:val="24"/>
            </w:rPr>
            <w:t>. Üyesi Burcu Gürol*</w:t>
          </w:r>
          <w:r w:rsidR="00D85663" w:rsidRPr="006251C3">
            <w:rPr>
              <w:rStyle w:val="DipnotBavurusu"/>
              <w:rFonts w:ascii="Times New Roman" w:hAnsi="Times New Roman" w:cs="Times New Roman"/>
              <w:b/>
              <w:color w:val="FFFFFF" w:themeColor="background1"/>
              <w:sz w:val="24"/>
              <w:szCs w:val="24"/>
            </w:rPr>
            <w:footnoteReference w:id="1"/>
          </w:r>
        </w:sdtContent>
      </w:sdt>
    </w:p>
    <w:p w14:paraId="3A9BAC18" w14:textId="77777777" w:rsidR="00D85663" w:rsidRPr="006251C3" w:rsidRDefault="00D85663" w:rsidP="00D85663">
      <w:pPr>
        <w:spacing w:after="0" w:line="240" w:lineRule="auto"/>
        <w:jc w:val="center"/>
        <w:rPr>
          <w:rFonts w:ascii="Times New Roman" w:hAnsi="Times New Roman" w:cs="Times New Roman"/>
          <w:color w:val="000000" w:themeColor="text1"/>
          <w:sz w:val="24"/>
          <w:szCs w:val="24"/>
        </w:rPr>
      </w:pPr>
    </w:p>
    <w:p w14:paraId="0125F6E1" w14:textId="77777777" w:rsidR="00D85663" w:rsidRPr="00A678B3" w:rsidRDefault="00D85663" w:rsidP="00D85663">
      <w:pPr>
        <w:spacing w:before="120" w:after="120" w:line="240" w:lineRule="auto"/>
        <w:jc w:val="both"/>
        <w:rPr>
          <w:rFonts w:ascii="Times New Roman" w:hAnsi="Times New Roman" w:cs="Times New Roman"/>
          <w:b/>
          <w:iCs/>
        </w:rPr>
      </w:pPr>
      <w:r w:rsidRPr="006251C3">
        <w:rPr>
          <w:rFonts w:ascii="Times New Roman" w:hAnsi="Times New Roman" w:cs="Times New Roman"/>
          <w:b/>
          <w:iCs/>
          <w:sz w:val="24"/>
          <w:szCs w:val="24"/>
        </w:rPr>
        <w:tab/>
        <w:t>Öz</w:t>
      </w:r>
      <w:r w:rsidRPr="00A678B3">
        <w:rPr>
          <w:rFonts w:ascii="Times New Roman" w:hAnsi="Times New Roman" w:cs="Times New Roman"/>
          <w:b/>
          <w:iCs/>
        </w:rPr>
        <w:tab/>
      </w:r>
    </w:p>
    <w:p w14:paraId="287CC745" w14:textId="48547C21" w:rsidR="00D85663" w:rsidRPr="006251C3" w:rsidRDefault="00D85663" w:rsidP="006251C3">
      <w:pPr>
        <w:spacing w:line="240" w:lineRule="auto"/>
        <w:ind w:firstLine="708"/>
        <w:jc w:val="both"/>
        <w:rPr>
          <w:rFonts w:ascii="Times New Roman" w:hAnsi="Times New Roman" w:cs="Times New Roman"/>
          <w:iCs/>
          <w:sz w:val="18"/>
          <w:szCs w:val="18"/>
        </w:rPr>
      </w:pPr>
      <w:r w:rsidRPr="006251C3">
        <w:rPr>
          <w:rFonts w:ascii="Times New Roman" w:hAnsi="Times New Roman" w:cs="Times New Roman"/>
          <w:iCs/>
          <w:sz w:val="18"/>
          <w:szCs w:val="18"/>
        </w:rPr>
        <w:t>Günümüz</w:t>
      </w:r>
      <w:r w:rsidR="003D4D01" w:rsidRPr="006251C3">
        <w:rPr>
          <w:rFonts w:ascii="Times New Roman" w:hAnsi="Times New Roman" w:cs="Times New Roman"/>
          <w:iCs/>
          <w:sz w:val="18"/>
          <w:szCs w:val="18"/>
        </w:rPr>
        <w:t xml:space="preserve">de </w:t>
      </w:r>
      <w:r w:rsidRPr="006251C3">
        <w:rPr>
          <w:rFonts w:ascii="Times New Roman" w:hAnsi="Times New Roman" w:cs="Times New Roman"/>
          <w:iCs/>
          <w:sz w:val="18"/>
          <w:szCs w:val="18"/>
        </w:rPr>
        <w:t>paydaşlar, işletmenin finansal performans sonuçları yanında finansal olmayan performans sonuçlarının da kendilerine sunulmasını beklemektedirler. Bu beklentinin karşılanması amacıyla başlatılan sürdürülebilirlik raporlaması, raporlamayı yapan işletmeye bu beklentinin karşılanmasının yanında, pozitif imaj, itibar, kolay kaynak bulma gibi başka avantajlar da sağlamaktadır. Sürdürülebilirlik raporları üzerinden hesaplanan ESG (</w:t>
      </w:r>
      <w:proofErr w:type="spellStart"/>
      <w:r w:rsidRPr="006251C3">
        <w:rPr>
          <w:rFonts w:ascii="Times New Roman" w:hAnsi="Times New Roman" w:cs="Times New Roman"/>
          <w:iCs/>
          <w:sz w:val="18"/>
          <w:szCs w:val="18"/>
        </w:rPr>
        <w:t>Environmental</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Social</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and</w:t>
      </w:r>
      <w:proofErr w:type="spellEnd"/>
      <w:r w:rsidRPr="006251C3">
        <w:rPr>
          <w:rFonts w:ascii="Times New Roman" w:hAnsi="Times New Roman" w:cs="Times New Roman"/>
          <w:iCs/>
          <w:sz w:val="18"/>
          <w:szCs w:val="18"/>
        </w:rPr>
        <w:t xml:space="preserve"> </w:t>
      </w:r>
      <w:proofErr w:type="spellStart"/>
      <w:r w:rsidRPr="006251C3">
        <w:rPr>
          <w:rFonts w:ascii="Times New Roman" w:hAnsi="Times New Roman" w:cs="Times New Roman"/>
          <w:iCs/>
          <w:sz w:val="18"/>
          <w:szCs w:val="18"/>
        </w:rPr>
        <w:t>Governance</w:t>
      </w:r>
      <w:proofErr w:type="spellEnd"/>
      <w:r w:rsidRPr="006251C3">
        <w:rPr>
          <w:rFonts w:ascii="Times New Roman" w:hAnsi="Times New Roman" w:cs="Times New Roman"/>
          <w:iCs/>
          <w:sz w:val="18"/>
          <w:szCs w:val="18"/>
        </w:rPr>
        <w:t xml:space="preserve">) skorları ise işletmelerin finansal olmayan performanslarının bir ölçüsü olarak kabul edilmektedir. </w:t>
      </w:r>
      <w:r w:rsidR="005B5C5B" w:rsidRPr="006251C3">
        <w:rPr>
          <w:rFonts w:ascii="Times New Roman" w:hAnsi="Times New Roman" w:cs="Times New Roman"/>
          <w:iCs/>
          <w:sz w:val="18"/>
          <w:szCs w:val="18"/>
        </w:rPr>
        <w:t xml:space="preserve">Skorlar Bloomberg tarafından, işletmelerin sürdürülebilirlik rapor içeriklerine bakılarak, belirlenen 120 kritere göre hesaplanmaktadır. Farklı sektörler için farklı kriterler mevcuttur. Bu sebeple skorlar aynı sektördeki farklı kuruluşları karşılaştırmak amacıyla kullanılabilir. </w:t>
      </w:r>
      <w:r w:rsidRPr="006251C3">
        <w:rPr>
          <w:rFonts w:ascii="Times New Roman" w:hAnsi="Times New Roman" w:cs="Times New Roman"/>
          <w:iCs/>
          <w:sz w:val="18"/>
          <w:szCs w:val="18"/>
        </w:rPr>
        <w:t xml:space="preserve">Yönetim kurullarının finansal performans sonuçları üzerinde etkisi olduğu gibi finansal olmayan performans sonuçları üzerinde de etkisi bulunmaktadır. Bu çalışmada Borsa İstanbul Sürdürülebilirlik Endeksinde yer alan mevduat bankalarının </w:t>
      </w:r>
      <w:r w:rsidR="005B5C5B" w:rsidRPr="006251C3">
        <w:rPr>
          <w:rFonts w:ascii="Times New Roman" w:hAnsi="Times New Roman" w:cs="Times New Roman"/>
          <w:iCs/>
          <w:sz w:val="18"/>
          <w:szCs w:val="18"/>
        </w:rPr>
        <w:t xml:space="preserve">2014-2018 yılları arasındaki </w:t>
      </w:r>
      <w:r w:rsidRPr="006251C3">
        <w:rPr>
          <w:rFonts w:ascii="Times New Roman" w:hAnsi="Times New Roman" w:cs="Times New Roman"/>
          <w:iCs/>
          <w:sz w:val="18"/>
          <w:szCs w:val="18"/>
        </w:rPr>
        <w:t>ESG skorları ile yönetim kurulu özellikleri arasındaki ilişki analiz edilmiş</w:t>
      </w:r>
      <w:r w:rsidR="00917D44" w:rsidRPr="006251C3">
        <w:rPr>
          <w:rFonts w:ascii="Times New Roman" w:hAnsi="Times New Roman" w:cs="Times New Roman"/>
          <w:iCs/>
          <w:sz w:val="18"/>
          <w:szCs w:val="18"/>
        </w:rPr>
        <w:t>tir. Çalışmanın bankalar özelinde yapılmasının sebebi sürdürülebilirlik raporlamasının bankaların ihtiyaç duyduğu güven için çok önemli olması</w:t>
      </w:r>
      <w:r w:rsidR="005B5C5B" w:rsidRPr="006251C3">
        <w:rPr>
          <w:rFonts w:ascii="Times New Roman" w:hAnsi="Times New Roman" w:cs="Times New Roman"/>
          <w:iCs/>
          <w:sz w:val="18"/>
          <w:szCs w:val="18"/>
        </w:rPr>
        <w:t xml:space="preserve"> ve özellikle 2008 finansal krizinden sonra daha fazla paydaş tarafından takip edilmesidir.</w:t>
      </w:r>
      <w:r w:rsidR="00917D44" w:rsidRPr="006251C3">
        <w:rPr>
          <w:rFonts w:ascii="Times New Roman" w:hAnsi="Times New Roman" w:cs="Times New Roman"/>
          <w:iCs/>
          <w:sz w:val="18"/>
          <w:szCs w:val="18"/>
        </w:rPr>
        <w:t xml:space="preserve"> </w:t>
      </w:r>
      <w:r w:rsidR="00A66754" w:rsidRPr="006251C3">
        <w:rPr>
          <w:rFonts w:ascii="Times New Roman" w:hAnsi="Times New Roman" w:cs="Times New Roman"/>
          <w:iCs/>
          <w:sz w:val="18"/>
          <w:szCs w:val="18"/>
        </w:rPr>
        <w:t>Çalışma sonucunda b</w:t>
      </w:r>
      <w:r w:rsidR="00917D44" w:rsidRPr="006251C3">
        <w:rPr>
          <w:rFonts w:ascii="Times New Roman" w:hAnsi="Times New Roman" w:cs="Times New Roman"/>
          <w:iCs/>
          <w:sz w:val="18"/>
          <w:szCs w:val="18"/>
        </w:rPr>
        <w:t xml:space="preserve">ağımsız değişkenlerden </w:t>
      </w:r>
      <w:r w:rsidRPr="006251C3">
        <w:rPr>
          <w:rFonts w:ascii="Times New Roman" w:hAnsi="Times New Roman" w:cs="Times New Roman"/>
          <w:iCs/>
          <w:sz w:val="18"/>
          <w:szCs w:val="18"/>
        </w:rPr>
        <w:t xml:space="preserve">yönetim kurulu </w:t>
      </w:r>
      <w:r w:rsidR="005B5C5B" w:rsidRPr="006251C3">
        <w:rPr>
          <w:rFonts w:ascii="Times New Roman" w:hAnsi="Times New Roman" w:cs="Times New Roman"/>
          <w:iCs/>
          <w:sz w:val="18"/>
          <w:szCs w:val="18"/>
        </w:rPr>
        <w:t xml:space="preserve">kadın </w:t>
      </w:r>
      <w:r w:rsidR="00E02D8E" w:rsidRPr="006251C3">
        <w:rPr>
          <w:rFonts w:ascii="Times New Roman" w:hAnsi="Times New Roman" w:cs="Times New Roman"/>
          <w:iCs/>
          <w:sz w:val="18"/>
          <w:szCs w:val="18"/>
        </w:rPr>
        <w:t>üye</w:t>
      </w:r>
      <w:r w:rsidR="005B5C5B" w:rsidRPr="006251C3">
        <w:rPr>
          <w:rFonts w:ascii="Times New Roman" w:hAnsi="Times New Roman" w:cs="Times New Roman"/>
          <w:iCs/>
          <w:sz w:val="18"/>
          <w:szCs w:val="18"/>
        </w:rPr>
        <w:t xml:space="preserve"> oranı ile</w:t>
      </w:r>
      <w:r w:rsidR="00E02D8E" w:rsidRPr="006251C3">
        <w:rPr>
          <w:rFonts w:ascii="Times New Roman" w:hAnsi="Times New Roman" w:cs="Times New Roman"/>
          <w:iCs/>
          <w:sz w:val="18"/>
          <w:szCs w:val="18"/>
        </w:rPr>
        <w:t xml:space="preserve"> </w:t>
      </w:r>
      <w:r w:rsidRPr="006251C3">
        <w:rPr>
          <w:rFonts w:ascii="Times New Roman" w:hAnsi="Times New Roman" w:cs="Times New Roman"/>
          <w:iCs/>
          <w:sz w:val="18"/>
          <w:szCs w:val="18"/>
        </w:rPr>
        <w:t>ESG skoru arasında pozitif yönlü, anlamlı ilişki tespit edilmiştir.</w:t>
      </w:r>
      <w:r w:rsidR="005B5C5B" w:rsidRPr="006251C3">
        <w:rPr>
          <w:rFonts w:ascii="Times New Roman" w:hAnsi="Times New Roman" w:cs="Times New Roman"/>
          <w:iCs/>
          <w:sz w:val="18"/>
          <w:szCs w:val="18"/>
        </w:rPr>
        <w:t xml:space="preserve"> Bu durum kadın üyelerin sürdürülebilirliğin 3 </w:t>
      </w:r>
      <w:r w:rsidR="00ED0795" w:rsidRPr="006251C3">
        <w:rPr>
          <w:rFonts w:ascii="Times New Roman" w:hAnsi="Times New Roman" w:cs="Times New Roman"/>
          <w:iCs/>
          <w:sz w:val="18"/>
          <w:szCs w:val="18"/>
        </w:rPr>
        <w:t>boyutu olan çevre, toplum ve yönetişim alanlarında banka yönetimlerine katkı sağladıklarını göstermektedir.</w:t>
      </w:r>
      <w:r w:rsidRPr="006251C3">
        <w:rPr>
          <w:rFonts w:ascii="Times New Roman" w:hAnsi="Times New Roman" w:cs="Times New Roman"/>
          <w:iCs/>
          <w:sz w:val="18"/>
          <w:szCs w:val="18"/>
        </w:rPr>
        <w:t xml:space="preserve"> </w:t>
      </w:r>
      <w:r w:rsidR="00E02D8E" w:rsidRPr="006251C3">
        <w:rPr>
          <w:rFonts w:ascii="Times New Roman" w:hAnsi="Times New Roman" w:cs="Times New Roman"/>
          <w:iCs/>
          <w:sz w:val="18"/>
          <w:szCs w:val="18"/>
        </w:rPr>
        <w:t xml:space="preserve">Bunun yanında banka büyüklüğü göstergesi olan aktif toplamı ile ESG skoru arasında da pozitif yönlü ve anlamlı ilişki bulunmaktadır. </w:t>
      </w:r>
      <w:r w:rsidR="00ED0795" w:rsidRPr="006251C3">
        <w:rPr>
          <w:rFonts w:ascii="Times New Roman" w:hAnsi="Times New Roman" w:cs="Times New Roman"/>
          <w:iCs/>
          <w:sz w:val="18"/>
          <w:szCs w:val="18"/>
        </w:rPr>
        <w:t xml:space="preserve">Bu da büyük bankaların sürdürülebilirlik raporlaması konusuna daha çok önem verdikleri anlamına gelmektedir. Yönetim kurulu yapısına ilişkin diğer değişkenler olan üye sayısı ve bağımsız üye oranı ile ESG skoru arasında ise anlamlı ilişki yoktur. </w:t>
      </w:r>
    </w:p>
    <w:p w14:paraId="55F55804" w14:textId="7D90EAB4" w:rsidR="00D85663" w:rsidRPr="006251C3" w:rsidRDefault="00D85663" w:rsidP="00D85663">
      <w:pPr>
        <w:spacing w:after="0" w:line="240" w:lineRule="atLeast"/>
        <w:jc w:val="both"/>
        <w:rPr>
          <w:rFonts w:ascii="Times New Roman" w:hAnsi="Times New Roman" w:cs="Times New Roman"/>
          <w:iCs/>
          <w:sz w:val="18"/>
          <w:szCs w:val="18"/>
        </w:rPr>
      </w:pPr>
      <w:r w:rsidRPr="006251C3">
        <w:rPr>
          <w:rFonts w:ascii="Times New Roman" w:hAnsi="Times New Roman" w:cs="Times New Roman"/>
          <w:b/>
          <w:iCs/>
          <w:sz w:val="18"/>
          <w:szCs w:val="18"/>
        </w:rPr>
        <w:t>Anahtar Kelimeler:</w:t>
      </w:r>
      <w:r w:rsidRPr="006251C3">
        <w:rPr>
          <w:rFonts w:ascii="Times New Roman" w:hAnsi="Times New Roman" w:cs="Times New Roman"/>
          <w:iCs/>
          <w:sz w:val="18"/>
          <w:szCs w:val="18"/>
        </w:rPr>
        <w:t xml:space="preserve"> Sürdürülebilirlik Raporlaması, Performans, Banka, ESG</w:t>
      </w:r>
      <w:r w:rsidR="00ED0795" w:rsidRPr="006251C3">
        <w:rPr>
          <w:rFonts w:ascii="Times New Roman" w:hAnsi="Times New Roman" w:cs="Times New Roman"/>
          <w:iCs/>
          <w:sz w:val="18"/>
          <w:szCs w:val="18"/>
        </w:rPr>
        <w:t>, Finansal Olmayan Performans</w:t>
      </w:r>
    </w:p>
    <w:p w14:paraId="403E6E67" w14:textId="77777777" w:rsidR="00D85663" w:rsidRPr="006251C3" w:rsidRDefault="00D85663" w:rsidP="00D85663">
      <w:pPr>
        <w:spacing w:after="0" w:line="240" w:lineRule="atLeast"/>
        <w:jc w:val="both"/>
        <w:rPr>
          <w:rFonts w:ascii="Times New Roman" w:hAnsi="Times New Roman" w:cs="Times New Roman"/>
          <w:sz w:val="18"/>
          <w:szCs w:val="18"/>
        </w:rPr>
      </w:pPr>
      <w:r w:rsidRPr="006251C3">
        <w:rPr>
          <w:rFonts w:ascii="Times New Roman" w:hAnsi="Times New Roman" w:cs="Times New Roman"/>
          <w:b/>
          <w:bCs/>
          <w:iCs/>
          <w:sz w:val="18"/>
          <w:szCs w:val="18"/>
        </w:rPr>
        <w:t>Jel Sınıflandırması:</w:t>
      </w:r>
      <w:r w:rsidRPr="006251C3">
        <w:rPr>
          <w:rFonts w:ascii="Times New Roman" w:hAnsi="Times New Roman" w:cs="Times New Roman"/>
          <w:iCs/>
          <w:sz w:val="18"/>
          <w:szCs w:val="18"/>
        </w:rPr>
        <w:t xml:space="preserve"> </w:t>
      </w:r>
      <w:r w:rsidRPr="006251C3">
        <w:rPr>
          <w:rFonts w:ascii="Times New Roman" w:hAnsi="Times New Roman" w:cs="Times New Roman"/>
          <w:sz w:val="18"/>
          <w:szCs w:val="18"/>
        </w:rPr>
        <w:t>G21, L21, L25, M14</w:t>
      </w:r>
    </w:p>
    <w:p w14:paraId="361E3897" w14:textId="77777777" w:rsidR="00D85663" w:rsidRPr="00A678B3" w:rsidRDefault="00D85663" w:rsidP="00D85663">
      <w:pPr>
        <w:spacing w:after="0" w:line="240" w:lineRule="atLeast"/>
        <w:jc w:val="both"/>
        <w:rPr>
          <w:rFonts w:ascii="Times New Roman" w:hAnsi="Times New Roman" w:cs="Times New Roman"/>
        </w:rPr>
      </w:pPr>
    </w:p>
    <w:sdt>
      <w:sdtPr>
        <w:rPr>
          <w:rStyle w:val="Stil3"/>
          <w:rFonts w:cs="Times New Roman"/>
          <w:i w:val="0"/>
          <w:iCs/>
          <w:sz w:val="24"/>
          <w:szCs w:val="24"/>
        </w:rPr>
        <w:alias w:val="İngilizce Başlık"/>
        <w:tag w:val="İngilizce Başlık"/>
        <w:id w:val="-462264349"/>
        <w:placeholder>
          <w:docPart w:val="1B5F473F68254D99B397A3F8C6B375F7"/>
        </w:placeholder>
        <w:text/>
      </w:sdtPr>
      <w:sdtContent>
        <w:p w14:paraId="406DC429" w14:textId="3BA9C443" w:rsidR="00D85663" w:rsidRPr="006251C3" w:rsidRDefault="005B1FBD" w:rsidP="00D85663">
          <w:pPr>
            <w:spacing w:before="120" w:after="120" w:line="240" w:lineRule="auto"/>
            <w:jc w:val="center"/>
            <w:rPr>
              <w:rFonts w:ascii="Times New Roman" w:hAnsi="Times New Roman" w:cs="Times New Roman"/>
              <w:b/>
              <w:iCs/>
              <w:sz w:val="24"/>
              <w:szCs w:val="24"/>
            </w:rPr>
          </w:pPr>
          <w:r w:rsidRPr="006251C3">
            <w:rPr>
              <w:rStyle w:val="Stil3"/>
              <w:rFonts w:cs="Times New Roman"/>
              <w:i w:val="0"/>
              <w:iCs/>
              <w:sz w:val="24"/>
              <w:szCs w:val="24"/>
            </w:rPr>
            <w:t>ANALYSIS OF THE RELATIONSHIP BETWEEN NON-FINANCIAL PERFORMANCE RESULTS AND BOARD STRUCTURE: BORSA ISTANBUL DEPOSIT BANKS</w:t>
          </w:r>
          <w:r w:rsidR="000853F5">
            <w:rPr>
              <w:rStyle w:val="Stil3"/>
              <w:rFonts w:cs="Times New Roman"/>
              <w:i w:val="0"/>
              <w:iCs/>
              <w:sz w:val="24"/>
              <w:szCs w:val="24"/>
            </w:rPr>
            <w:t>’ SAMPLE</w:t>
          </w:r>
        </w:p>
      </w:sdtContent>
    </w:sdt>
    <w:p w14:paraId="4E0B216D" w14:textId="36ED0E22" w:rsidR="00D85663" w:rsidRPr="006251C3" w:rsidRDefault="00D85663" w:rsidP="00D85663">
      <w:pPr>
        <w:spacing w:before="120" w:after="120" w:line="240" w:lineRule="auto"/>
        <w:ind w:firstLine="708"/>
        <w:jc w:val="both"/>
        <w:rPr>
          <w:rFonts w:ascii="Times New Roman" w:hAnsi="Times New Roman" w:cs="Times New Roman"/>
          <w:b/>
          <w:iCs/>
          <w:sz w:val="24"/>
          <w:szCs w:val="24"/>
        </w:rPr>
      </w:pPr>
      <w:proofErr w:type="spellStart"/>
      <w:r w:rsidRPr="006251C3">
        <w:rPr>
          <w:rFonts w:ascii="Times New Roman" w:hAnsi="Times New Roman" w:cs="Times New Roman"/>
          <w:b/>
          <w:iCs/>
          <w:sz w:val="24"/>
          <w:szCs w:val="24"/>
        </w:rPr>
        <w:t>Abstract</w:t>
      </w:r>
      <w:proofErr w:type="spellEnd"/>
    </w:p>
    <w:p w14:paraId="0385F109" w14:textId="6DEFC088" w:rsidR="00555FC4" w:rsidRPr="006251C3" w:rsidRDefault="00555FC4" w:rsidP="00555FC4">
      <w:pPr>
        <w:spacing w:before="120" w:after="120" w:line="240" w:lineRule="auto"/>
        <w:ind w:firstLine="708"/>
        <w:jc w:val="both"/>
        <w:rPr>
          <w:rFonts w:ascii="Times New Roman" w:hAnsi="Times New Roman" w:cs="Times New Roman"/>
          <w:bCs/>
          <w:iCs/>
          <w:sz w:val="18"/>
          <w:szCs w:val="18"/>
        </w:rPr>
      </w:pPr>
      <w:r w:rsidRPr="006251C3">
        <w:rPr>
          <w:rFonts w:ascii="Times New Roman" w:hAnsi="Times New Roman" w:cs="Times New Roman"/>
          <w:bCs/>
          <w:iCs/>
          <w:sz w:val="18"/>
          <w:szCs w:val="18"/>
        </w:rPr>
        <w:t xml:space="preserve">At </w:t>
      </w:r>
      <w:proofErr w:type="spellStart"/>
      <w:r w:rsidRPr="006251C3">
        <w:rPr>
          <w:rFonts w:ascii="Times New Roman" w:hAnsi="Times New Roman" w:cs="Times New Roman"/>
          <w:bCs/>
          <w:iCs/>
          <w:sz w:val="18"/>
          <w:szCs w:val="18"/>
        </w:rPr>
        <w:t>present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stakeholders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expect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non-financial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performance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results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be </w:t>
      </w:r>
      <w:proofErr w:type="spellStart"/>
      <w:r w:rsidRPr="006251C3">
        <w:rPr>
          <w:rFonts w:ascii="Times New Roman" w:hAnsi="Times New Roman" w:cs="Times New Roman"/>
          <w:bCs/>
          <w:iCs/>
          <w:sz w:val="18"/>
          <w:szCs w:val="18"/>
        </w:rPr>
        <w:t>presented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them</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with</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enterprise's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performance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results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initiated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meet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this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expectation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provides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company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with</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other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advantages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such</w:t>
      </w:r>
      <w:proofErr w:type="spellEnd"/>
      <w:r w:rsidRPr="006251C3">
        <w:rPr>
          <w:rFonts w:ascii="Times New Roman" w:hAnsi="Times New Roman" w:cs="Times New Roman"/>
          <w:bCs/>
          <w:iCs/>
          <w:sz w:val="18"/>
          <w:szCs w:val="18"/>
        </w:rPr>
        <w:t xml:space="preserve"> as </w:t>
      </w:r>
      <w:proofErr w:type="spellStart"/>
      <w:r w:rsidRPr="006251C3">
        <w:rPr>
          <w:rFonts w:ascii="Times New Roman" w:hAnsi="Times New Roman" w:cs="Times New Roman"/>
          <w:bCs/>
          <w:iCs/>
          <w:sz w:val="18"/>
          <w:szCs w:val="18"/>
        </w:rPr>
        <w:t>positive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image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reputation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accessible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resource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finding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meeting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this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expectation</w:t>
      </w:r>
      <w:proofErr w:type="spellEnd"/>
      <w:r w:rsidRPr="006251C3">
        <w:rPr>
          <w:rFonts w:ascii="Times New Roman" w:hAnsi="Times New Roman" w:cs="Times New Roman"/>
          <w:bCs/>
          <w:iCs/>
          <w:sz w:val="18"/>
          <w:szCs w:val="18"/>
        </w:rPr>
        <w:t>. ESG (</w:t>
      </w:r>
      <w:proofErr w:type="spellStart"/>
      <w:r w:rsidRPr="006251C3">
        <w:rPr>
          <w:rFonts w:ascii="Times New Roman" w:hAnsi="Times New Roman" w:cs="Times New Roman"/>
          <w:bCs/>
          <w:iCs/>
          <w:sz w:val="18"/>
          <w:szCs w:val="18"/>
        </w:rPr>
        <w:t>Environmental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Social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Governance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scores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calculated</w:t>
      </w:r>
      <w:proofErr w:type="spellEnd"/>
      <w:r w:rsidRPr="006251C3">
        <w:rPr>
          <w:rFonts w:ascii="Times New Roman" w:hAnsi="Times New Roman" w:cs="Times New Roman"/>
          <w:bCs/>
          <w:iCs/>
          <w:sz w:val="18"/>
          <w:szCs w:val="18"/>
        </w:rPr>
        <w:t xml:space="preserve"> on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accepted</w:t>
      </w:r>
      <w:proofErr w:type="spellEnd"/>
      <w:r w:rsidRPr="006251C3">
        <w:rPr>
          <w:rFonts w:ascii="Times New Roman" w:hAnsi="Times New Roman" w:cs="Times New Roman"/>
          <w:bCs/>
          <w:iCs/>
          <w:sz w:val="18"/>
          <w:szCs w:val="18"/>
        </w:rPr>
        <w:t xml:space="preserve"> as a </w:t>
      </w:r>
      <w:proofErr w:type="spellStart"/>
      <w:r w:rsidRPr="006251C3">
        <w:rPr>
          <w:rFonts w:ascii="Times New Roman" w:hAnsi="Times New Roman" w:cs="Times New Roman"/>
          <w:bCs/>
          <w:iCs/>
          <w:sz w:val="18"/>
          <w:szCs w:val="18"/>
        </w:rPr>
        <w:t>measure</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businesses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non-financial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performance</w:t>
      </w:r>
      <w:proofErr w:type="spellEnd"/>
      <w:r w:rsidRPr="006251C3">
        <w:rPr>
          <w:rFonts w:ascii="Times New Roman" w:hAnsi="Times New Roman" w:cs="Times New Roman"/>
          <w:bCs/>
          <w:iCs/>
          <w:sz w:val="18"/>
          <w:szCs w:val="18"/>
        </w:rPr>
        <w:t xml:space="preserve">. Bloomberg </w:t>
      </w:r>
      <w:proofErr w:type="spellStart"/>
      <w:r w:rsidRPr="006251C3">
        <w:rPr>
          <w:rFonts w:ascii="Times New Roman" w:hAnsi="Times New Roman" w:cs="Times New Roman"/>
          <w:bCs/>
          <w:iCs/>
          <w:sz w:val="18"/>
          <w:szCs w:val="18"/>
        </w:rPr>
        <w:t>calculates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scores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according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120 </w:t>
      </w:r>
      <w:proofErr w:type="spellStart"/>
      <w:r w:rsidRPr="006251C3">
        <w:rPr>
          <w:rFonts w:ascii="Times New Roman" w:hAnsi="Times New Roman" w:cs="Times New Roman"/>
          <w:bCs/>
          <w:iCs/>
          <w:sz w:val="18"/>
          <w:szCs w:val="18"/>
        </w:rPr>
        <w:t>criteria</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determined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looking</w:t>
      </w:r>
      <w:proofErr w:type="spellEnd"/>
      <w:r w:rsidRPr="006251C3">
        <w:rPr>
          <w:rFonts w:ascii="Times New Roman" w:hAnsi="Times New Roman" w:cs="Times New Roman"/>
          <w:bCs/>
          <w:iCs/>
          <w:sz w:val="18"/>
          <w:szCs w:val="18"/>
        </w:rPr>
        <w:t xml:space="preserve"> at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contents</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enterprises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different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criteria</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for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different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sectors</w:t>
      </w:r>
      <w:proofErr w:type="spellEnd"/>
      <w:r w:rsidRPr="006251C3">
        <w:rPr>
          <w:rFonts w:ascii="Times New Roman" w:hAnsi="Times New Roman" w:cs="Times New Roman"/>
          <w:bCs/>
          <w:iCs/>
          <w:sz w:val="18"/>
          <w:szCs w:val="18"/>
        </w:rPr>
        <w:t>.</w:t>
      </w:r>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For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this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reason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scores</w:t>
      </w:r>
      <w:proofErr w:type="spellEnd"/>
      <w:r w:rsidRPr="006251C3">
        <w:rPr>
          <w:rFonts w:ascii="Times New Roman" w:hAnsi="Times New Roman" w:cs="Times New Roman"/>
          <w:bCs/>
          <w:iCs/>
          <w:sz w:val="18"/>
          <w:szCs w:val="18"/>
        </w:rPr>
        <w:t xml:space="preserve"> can be </w:t>
      </w:r>
      <w:proofErr w:type="spellStart"/>
      <w:r w:rsidRPr="006251C3">
        <w:rPr>
          <w:rFonts w:ascii="Times New Roman" w:hAnsi="Times New Roman" w:cs="Times New Roman"/>
          <w:bCs/>
          <w:iCs/>
          <w:sz w:val="18"/>
          <w:szCs w:val="18"/>
        </w:rPr>
        <w:t>used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compare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different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organizations</w:t>
      </w:r>
      <w:proofErr w:type="spellEnd"/>
      <w:r w:rsidRPr="006251C3">
        <w:rPr>
          <w:rFonts w:ascii="Times New Roman" w:hAnsi="Times New Roman" w:cs="Times New Roman"/>
          <w:bCs/>
          <w:iCs/>
          <w:sz w:val="18"/>
          <w:szCs w:val="18"/>
        </w:rPr>
        <w:t xml:space="preserve"> in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same</w:t>
      </w:r>
      <w:proofErr w:type="spellEnd"/>
      <w:r w:rsidRPr="006251C3">
        <w:rPr>
          <w:rFonts w:ascii="Times New Roman" w:hAnsi="Times New Roman" w:cs="Times New Roman"/>
          <w:bCs/>
          <w:iCs/>
          <w:sz w:val="18"/>
          <w:szCs w:val="18"/>
        </w:rPr>
        <w:t xml:space="preserve"> </w:t>
      </w:r>
      <w:proofErr w:type="spellStart"/>
      <w:proofErr w:type="gramStart"/>
      <w:r w:rsidRPr="006251C3">
        <w:rPr>
          <w:rFonts w:ascii="Times New Roman" w:hAnsi="Times New Roman" w:cs="Times New Roman"/>
          <w:bCs/>
          <w:iCs/>
          <w:sz w:val="18"/>
          <w:szCs w:val="18"/>
        </w:rPr>
        <w:t>industry.Boards</w:t>
      </w:r>
      <w:proofErr w:type="spellEnd"/>
      <w:proofErr w:type="gram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directors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have</w:t>
      </w:r>
      <w:proofErr w:type="spellEnd"/>
      <w:r w:rsidRPr="006251C3">
        <w:rPr>
          <w:rFonts w:ascii="Times New Roman" w:hAnsi="Times New Roman" w:cs="Times New Roman"/>
          <w:bCs/>
          <w:iCs/>
          <w:sz w:val="18"/>
          <w:szCs w:val="18"/>
        </w:rPr>
        <w:t xml:space="preserve"> an </w:t>
      </w:r>
      <w:proofErr w:type="spellStart"/>
      <w:r w:rsidRPr="006251C3">
        <w:rPr>
          <w:rFonts w:ascii="Times New Roman" w:hAnsi="Times New Roman" w:cs="Times New Roman"/>
          <w:bCs/>
          <w:iCs/>
          <w:sz w:val="18"/>
          <w:szCs w:val="18"/>
        </w:rPr>
        <w:t>effect</w:t>
      </w:r>
      <w:proofErr w:type="spellEnd"/>
      <w:r w:rsidRPr="006251C3">
        <w:rPr>
          <w:rFonts w:ascii="Times New Roman" w:hAnsi="Times New Roman" w:cs="Times New Roman"/>
          <w:bCs/>
          <w:iCs/>
          <w:sz w:val="18"/>
          <w:szCs w:val="18"/>
        </w:rPr>
        <w:t xml:space="preserve"> on </w:t>
      </w:r>
      <w:proofErr w:type="spellStart"/>
      <w:r w:rsidRPr="006251C3">
        <w:rPr>
          <w:rFonts w:ascii="Times New Roman" w:hAnsi="Times New Roman" w:cs="Times New Roman"/>
          <w:bCs/>
          <w:iCs/>
          <w:sz w:val="18"/>
          <w:szCs w:val="18"/>
        </w:rPr>
        <w:t>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performance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results</w:t>
      </w:r>
      <w:proofErr w:type="spellEnd"/>
      <w:r w:rsidRPr="006251C3">
        <w:rPr>
          <w:rFonts w:ascii="Times New Roman" w:hAnsi="Times New Roman" w:cs="Times New Roman"/>
          <w:bCs/>
          <w:iCs/>
          <w:sz w:val="18"/>
          <w:szCs w:val="18"/>
        </w:rPr>
        <w:t xml:space="preserve"> as </w:t>
      </w:r>
      <w:proofErr w:type="spellStart"/>
      <w:r w:rsidRPr="006251C3">
        <w:rPr>
          <w:rFonts w:ascii="Times New Roman" w:hAnsi="Times New Roman" w:cs="Times New Roman"/>
          <w:bCs/>
          <w:iCs/>
          <w:sz w:val="18"/>
          <w:szCs w:val="18"/>
        </w:rPr>
        <w:t>well</w:t>
      </w:r>
      <w:proofErr w:type="spellEnd"/>
      <w:r w:rsidRPr="006251C3">
        <w:rPr>
          <w:rFonts w:ascii="Times New Roman" w:hAnsi="Times New Roman" w:cs="Times New Roman"/>
          <w:bCs/>
          <w:iCs/>
          <w:sz w:val="18"/>
          <w:szCs w:val="18"/>
        </w:rPr>
        <w:t xml:space="preserve"> as on </w:t>
      </w:r>
      <w:proofErr w:type="spellStart"/>
      <w:r w:rsidRPr="006251C3">
        <w:rPr>
          <w:rFonts w:ascii="Times New Roman" w:hAnsi="Times New Roman" w:cs="Times New Roman"/>
          <w:bCs/>
          <w:iCs/>
          <w:sz w:val="18"/>
          <w:szCs w:val="18"/>
        </w:rPr>
        <w:t>non-financial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performance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results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In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this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study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relationship</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between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ESG </w:t>
      </w:r>
      <w:proofErr w:type="spellStart"/>
      <w:r w:rsidRPr="006251C3">
        <w:rPr>
          <w:rFonts w:ascii="Times New Roman" w:hAnsi="Times New Roman" w:cs="Times New Roman"/>
          <w:bCs/>
          <w:iCs/>
          <w:sz w:val="18"/>
          <w:szCs w:val="18"/>
        </w:rPr>
        <w:t>scores</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deposit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banks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included</w:t>
      </w:r>
      <w:proofErr w:type="spellEnd"/>
      <w:r w:rsidRPr="006251C3">
        <w:rPr>
          <w:rFonts w:ascii="Times New Roman" w:hAnsi="Times New Roman" w:cs="Times New Roman"/>
          <w:bCs/>
          <w:iCs/>
          <w:sz w:val="18"/>
          <w:szCs w:val="18"/>
        </w:rPr>
        <w:t xml:space="preserve"> in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Borsa </w:t>
      </w:r>
      <w:proofErr w:type="spellStart"/>
      <w:r w:rsidRPr="006251C3">
        <w:rPr>
          <w:rFonts w:ascii="Times New Roman" w:hAnsi="Times New Roman" w:cs="Times New Roman"/>
          <w:bCs/>
          <w:iCs/>
          <w:sz w:val="18"/>
          <w:szCs w:val="18"/>
        </w:rPr>
        <w:t>Istanbul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Index </w:t>
      </w:r>
      <w:proofErr w:type="spellStart"/>
      <w:r w:rsidRPr="006251C3">
        <w:rPr>
          <w:rFonts w:ascii="Times New Roman" w:hAnsi="Times New Roman" w:cs="Times New Roman"/>
          <w:bCs/>
          <w:iCs/>
          <w:sz w:val="18"/>
          <w:szCs w:val="18"/>
        </w:rPr>
        <w:t>between</w:t>
      </w:r>
      <w:proofErr w:type="spellEnd"/>
      <w:r w:rsidRPr="006251C3">
        <w:rPr>
          <w:rFonts w:ascii="Times New Roman" w:hAnsi="Times New Roman" w:cs="Times New Roman"/>
          <w:bCs/>
          <w:iCs/>
          <w:sz w:val="18"/>
          <w:szCs w:val="18"/>
        </w:rPr>
        <w:t xml:space="preserve"> 2014-2018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board of </w:t>
      </w:r>
      <w:proofErr w:type="spellStart"/>
      <w:r w:rsidRPr="006251C3">
        <w:rPr>
          <w:rFonts w:ascii="Times New Roman" w:hAnsi="Times New Roman" w:cs="Times New Roman"/>
          <w:bCs/>
          <w:iCs/>
          <w:sz w:val="18"/>
          <w:szCs w:val="18"/>
        </w:rPr>
        <w:t>directors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characteristics</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analyzed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study</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explicitly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conducted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for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banks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because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reporting</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essential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for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trust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needed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banks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followed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more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stakeholders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especially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after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2008 </w:t>
      </w:r>
      <w:proofErr w:type="spellStart"/>
      <w:r w:rsidRPr="006251C3">
        <w:rPr>
          <w:rFonts w:ascii="Times New Roman" w:hAnsi="Times New Roman" w:cs="Times New Roman"/>
          <w:bCs/>
          <w:iCs/>
          <w:sz w:val="18"/>
          <w:szCs w:val="18"/>
        </w:rPr>
        <w:t>financial</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crisis</w:t>
      </w:r>
      <w:proofErr w:type="spellEnd"/>
      <w:r w:rsidRPr="006251C3">
        <w:rPr>
          <w:rFonts w:ascii="Times New Roman" w:hAnsi="Times New Roman" w:cs="Times New Roman"/>
          <w:bCs/>
          <w:iCs/>
          <w:sz w:val="18"/>
          <w:szCs w:val="18"/>
        </w:rPr>
        <w:t xml:space="preserve">. As a </w:t>
      </w:r>
      <w:proofErr w:type="spellStart"/>
      <w:r w:rsidRPr="006251C3">
        <w:rPr>
          <w:rFonts w:ascii="Times New Roman" w:hAnsi="Times New Roman" w:cs="Times New Roman"/>
          <w:bCs/>
          <w:iCs/>
          <w:sz w:val="18"/>
          <w:szCs w:val="18"/>
        </w:rPr>
        <w:t>result</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study</w:t>
      </w:r>
      <w:proofErr w:type="spellEnd"/>
      <w:r w:rsidRPr="006251C3">
        <w:rPr>
          <w:rFonts w:ascii="Times New Roman" w:hAnsi="Times New Roman" w:cs="Times New Roman"/>
          <w:bCs/>
          <w:iCs/>
          <w:sz w:val="18"/>
          <w:szCs w:val="18"/>
        </w:rPr>
        <w:t xml:space="preserve">, a </w:t>
      </w:r>
      <w:proofErr w:type="spellStart"/>
      <w:r w:rsidRPr="006251C3">
        <w:rPr>
          <w:rFonts w:ascii="Times New Roman" w:hAnsi="Times New Roman" w:cs="Times New Roman"/>
          <w:bCs/>
          <w:iCs/>
          <w:sz w:val="18"/>
          <w:szCs w:val="18"/>
        </w:rPr>
        <w:t>positive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significant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relationship</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found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between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female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members</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board of </w:t>
      </w:r>
      <w:proofErr w:type="spellStart"/>
      <w:r w:rsidRPr="006251C3">
        <w:rPr>
          <w:rFonts w:ascii="Times New Roman" w:hAnsi="Times New Roman" w:cs="Times New Roman"/>
          <w:bCs/>
          <w:iCs/>
          <w:sz w:val="18"/>
          <w:szCs w:val="18"/>
        </w:rPr>
        <w:t>directors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ESG </w:t>
      </w:r>
      <w:proofErr w:type="spellStart"/>
      <w:r w:rsidRPr="006251C3">
        <w:rPr>
          <w:rFonts w:ascii="Times New Roman" w:hAnsi="Times New Roman" w:cs="Times New Roman"/>
          <w:bCs/>
          <w:iCs/>
          <w:sz w:val="18"/>
          <w:szCs w:val="18"/>
        </w:rPr>
        <w:t>score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This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result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shows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that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women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members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contribute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bank </w:t>
      </w:r>
      <w:proofErr w:type="spellStart"/>
      <w:r w:rsidRPr="006251C3">
        <w:rPr>
          <w:rFonts w:ascii="Times New Roman" w:hAnsi="Times New Roman" w:cs="Times New Roman"/>
          <w:bCs/>
          <w:iCs/>
          <w:sz w:val="18"/>
          <w:szCs w:val="18"/>
        </w:rPr>
        <w:t>management</w:t>
      </w:r>
      <w:proofErr w:type="spellEnd"/>
      <w:r w:rsidRPr="006251C3">
        <w:rPr>
          <w:rFonts w:ascii="Times New Roman" w:hAnsi="Times New Roman" w:cs="Times New Roman"/>
          <w:bCs/>
          <w:iCs/>
          <w:sz w:val="18"/>
          <w:szCs w:val="18"/>
        </w:rPr>
        <w:t xml:space="preserve"> in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three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dimensions</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environment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society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governance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Also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there</w:t>
      </w:r>
      <w:proofErr w:type="spellEnd"/>
      <w:r w:rsidRPr="006251C3">
        <w:rPr>
          <w:rFonts w:ascii="Times New Roman" w:hAnsi="Times New Roman" w:cs="Times New Roman"/>
          <w:bCs/>
          <w:iCs/>
          <w:sz w:val="18"/>
          <w:szCs w:val="18"/>
        </w:rPr>
        <w:t xml:space="preserve"> is a </w:t>
      </w:r>
      <w:proofErr w:type="spellStart"/>
      <w:r w:rsidRPr="006251C3">
        <w:rPr>
          <w:rFonts w:ascii="Times New Roman" w:hAnsi="Times New Roman" w:cs="Times New Roman"/>
          <w:bCs/>
          <w:iCs/>
          <w:sz w:val="18"/>
          <w:szCs w:val="18"/>
        </w:rPr>
        <w:t>positive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significant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relationship</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between</w:t>
      </w:r>
      <w:proofErr w:type="spellEnd"/>
      <w:r w:rsidRPr="006251C3">
        <w:rPr>
          <w:rFonts w:ascii="Times New Roman" w:hAnsi="Times New Roman" w:cs="Times New Roman"/>
          <w:bCs/>
          <w:iCs/>
          <w:sz w:val="18"/>
          <w:szCs w:val="18"/>
        </w:rPr>
        <w:t xml:space="preserve"> total </w:t>
      </w:r>
      <w:proofErr w:type="spellStart"/>
      <w:r w:rsidRPr="006251C3">
        <w:rPr>
          <w:rFonts w:ascii="Times New Roman" w:hAnsi="Times New Roman" w:cs="Times New Roman"/>
          <w:bCs/>
          <w:iCs/>
          <w:sz w:val="18"/>
          <w:szCs w:val="18"/>
        </w:rPr>
        <w:t>assets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which</w:t>
      </w:r>
      <w:proofErr w:type="spellEnd"/>
      <w:r w:rsidRPr="006251C3">
        <w:rPr>
          <w:rFonts w:ascii="Times New Roman" w:hAnsi="Times New Roman" w:cs="Times New Roman"/>
          <w:bCs/>
          <w:iCs/>
          <w:sz w:val="18"/>
          <w:szCs w:val="18"/>
        </w:rPr>
        <w:t xml:space="preserve"> is an </w:t>
      </w:r>
      <w:proofErr w:type="spellStart"/>
      <w:r w:rsidRPr="006251C3">
        <w:rPr>
          <w:rFonts w:ascii="Times New Roman" w:hAnsi="Times New Roman" w:cs="Times New Roman"/>
          <w:bCs/>
          <w:iCs/>
          <w:sz w:val="18"/>
          <w:szCs w:val="18"/>
        </w:rPr>
        <w:t>indicator</w:t>
      </w:r>
      <w:proofErr w:type="spellEnd"/>
      <w:r w:rsidRPr="006251C3">
        <w:rPr>
          <w:rFonts w:ascii="Times New Roman" w:hAnsi="Times New Roman" w:cs="Times New Roman"/>
          <w:bCs/>
          <w:iCs/>
          <w:sz w:val="18"/>
          <w:szCs w:val="18"/>
        </w:rPr>
        <w:t xml:space="preserve"> of bank size,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ESG </w:t>
      </w:r>
      <w:proofErr w:type="spellStart"/>
      <w:r w:rsidRPr="006251C3">
        <w:rPr>
          <w:rFonts w:ascii="Times New Roman" w:hAnsi="Times New Roman" w:cs="Times New Roman"/>
          <w:bCs/>
          <w:iCs/>
          <w:sz w:val="18"/>
          <w:szCs w:val="18"/>
        </w:rPr>
        <w:t>score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Thus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large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banks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attach</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more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importance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sustainability</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reporting</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There</w:t>
      </w:r>
      <w:proofErr w:type="spellEnd"/>
      <w:r w:rsidRPr="006251C3">
        <w:rPr>
          <w:rFonts w:ascii="Times New Roman" w:hAnsi="Times New Roman" w:cs="Times New Roman"/>
          <w:bCs/>
          <w:iCs/>
          <w:sz w:val="18"/>
          <w:szCs w:val="18"/>
        </w:rPr>
        <w:t xml:space="preserve"> is </w:t>
      </w:r>
      <w:proofErr w:type="spellStart"/>
      <w:r w:rsidRPr="006251C3">
        <w:rPr>
          <w:rFonts w:ascii="Times New Roman" w:hAnsi="Times New Roman" w:cs="Times New Roman"/>
          <w:bCs/>
          <w:iCs/>
          <w:sz w:val="18"/>
          <w:szCs w:val="18"/>
        </w:rPr>
        <w:t>no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significant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relationship</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between</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number</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members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ratio</w:t>
      </w:r>
      <w:proofErr w:type="spellEnd"/>
      <w:r w:rsidRPr="006251C3">
        <w:rPr>
          <w:rFonts w:ascii="Times New Roman" w:hAnsi="Times New Roman" w:cs="Times New Roman"/>
          <w:bCs/>
          <w:iCs/>
          <w:sz w:val="18"/>
          <w:szCs w:val="18"/>
        </w:rPr>
        <w:t xml:space="preserve"> of </w:t>
      </w:r>
      <w:proofErr w:type="spellStart"/>
      <w:r w:rsidRPr="006251C3">
        <w:rPr>
          <w:rFonts w:ascii="Times New Roman" w:hAnsi="Times New Roman" w:cs="Times New Roman"/>
          <w:bCs/>
          <w:iCs/>
          <w:sz w:val="18"/>
          <w:szCs w:val="18"/>
        </w:rPr>
        <w:t>independent</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members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which</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other</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variables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related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to</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board of </w:t>
      </w:r>
      <w:proofErr w:type="spellStart"/>
      <w:r w:rsidRPr="006251C3">
        <w:rPr>
          <w:rFonts w:ascii="Times New Roman" w:hAnsi="Times New Roman" w:cs="Times New Roman"/>
          <w:bCs/>
          <w:iCs/>
          <w:sz w:val="18"/>
          <w:szCs w:val="18"/>
        </w:rPr>
        <w:t>directors</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structure</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and</w:t>
      </w:r>
      <w:proofErr w:type="spellEnd"/>
      <w:r w:rsidRPr="006251C3">
        <w:rPr>
          <w:rFonts w:ascii="Times New Roman" w:hAnsi="Times New Roman" w:cs="Times New Roman"/>
          <w:bCs/>
          <w:iCs/>
          <w:sz w:val="18"/>
          <w:szCs w:val="18"/>
        </w:rPr>
        <w:t xml:space="preserve"> </w:t>
      </w:r>
      <w:proofErr w:type="spellStart"/>
      <w:r w:rsidRPr="006251C3">
        <w:rPr>
          <w:rFonts w:ascii="Times New Roman" w:hAnsi="Times New Roman" w:cs="Times New Roman"/>
          <w:bCs/>
          <w:iCs/>
          <w:sz w:val="18"/>
          <w:szCs w:val="18"/>
        </w:rPr>
        <w:t>the</w:t>
      </w:r>
      <w:proofErr w:type="spellEnd"/>
      <w:r w:rsidRPr="006251C3">
        <w:rPr>
          <w:rFonts w:ascii="Times New Roman" w:hAnsi="Times New Roman" w:cs="Times New Roman"/>
          <w:bCs/>
          <w:iCs/>
          <w:sz w:val="18"/>
          <w:szCs w:val="18"/>
        </w:rPr>
        <w:t xml:space="preserve"> ESG </w:t>
      </w:r>
      <w:proofErr w:type="spellStart"/>
      <w:r w:rsidRPr="006251C3">
        <w:rPr>
          <w:rFonts w:ascii="Times New Roman" w:hAnsi="Times New Roman" w:cs="Times New Roman"/>
          <w:bCs/>
          <w:iCs/>
          <w:sz w:val="18"/>
          <w:szCs w:val="18"/>
        </w:rPr>
        <w:t>score</w:t>
      </w:r>
      <w:proofErr w:type="spellEnd"/>
      <w:r w:rsidRPr="006251C3">
        <w:rPr>
          <w:rFonts w:ascii="Times New Roman" w:hAnsi="Times New Roman" w:cs="Times New Roman"/>
          <w:bCs/>
          <w:iCs/>
          <w:sz w:val="18"/>
          <w:szCs w:val="18"/>
        </w:rPr>
        <w:t>.</w:t>
      </w:r>
    </w:p>
    <w:p w14:paraId="0DFE3F23" w14:textId="77777777" w:rsidR="00C30922" w:rsidRPr="00A678B3" w:rsidRDefault="00C30922" w:rsidP="00D85663">
      <w:pPr>
        <w:spacing w:before="120" w:after="120" w:line="240" w:lineRule="auto"/>
        <w:ind w:firstLine="708"/>
        <w:jc w:val="both"/>
        <w:rPr>
          <w:rFonts w:ascii="Times New Roman" w:hAnsi="Times New Roman" w:cs="Times New Roman"/>
          <w:b/>
          <w:iCs/>
        </w:rPr>
      </w:pPr>
    </w:p>
    <w:p w14:paraId="65CEA1BD" w14:textId="2979249F" w:rsidR="00D85663" w:rsidRPr="00A678B3" w:rsidRDefault="00D85663" w:rsidP="00D85663">
      <w:pPr>
        <w:spacing w:after="0" w:line="240" w:lineRule="auto"/>
        <w:rPr>
          <w:rFonts w:ascii="Times New Roman" w:hAnsi="Times New Roman" w:cs="Times New Roman"/>
          <w:iCs/>
        </w:rPr>
      </w:pPr>
      <w:proofErr w:type="spellStart"/>
      <w:r w:rsidRPr="00A678B3">
        <w:rPr>
          <w:rFonts w:ascii="Times New Roman" w:hAnsi="Times New Roman" w:cs="Times New Roman"/>
          <w:b/>
          <w:iCs/>
        </w:rPr>
        <w:t>Keywords</w:t>
      </w:r>
      <w:proofErr w:type="spellEnd"/>
      <w:r w:rsidRPr="00A678B3">
        <w:rPr>
          <w:rFonts w:ascii="Times New Roman" w:hAnsi="Times New Roman" w:cs="Times New Roman"/>
          <w:b/>
          <w:iCs/>
        </w:rPr>
        <w:t>:</w:t>
      </w:r>
      <w:r w:rsidRPr="00A678B3">
        <w:rPr>
          <w:rFonts w:ascii="Times New Roman" w:hAnsi="Times New Roman" w:cs="Times New Roman"/>
          <w:iCs/>
        </w:rPr>
        <w:t xml:space="preserve"> </w:t>
      </w:r>
      <w:proofErr w:type="spellStart"/>
      <w:r w:rsidRPr="00A678B3">
        <w:rPr>
          <w:rFonts w:ascii="Times New Roman" w:hAnsi="Times New Roman" w:cs="Times New Roman"/>
          <w:iCs/>
        </w:rPr>
        <w:t>Sustainability</w:t>
      </w:r>
      <w:proofErr w:type="spellEnd"/>
      <w:r w:rsidRPr="00A678B3">
        <w:rPr>
          <w:rFonts w:ascii="Times New Roman" w:hAnsi="Times New Roman" w:cs="Times New Roman"/>
          <w:iCs/>
        </w:rPr>
        <w:t xml:space="preserve"> </w:t>
      </w:r>
      <w:proofErr w:type="spellStart"/>
      <w:r w:rsidRPr="00A678B3">
        <w:rPr>
          <w:rFonts w:ascii="Times New Roman" w:hAnsi="Times New Roman" w:cs="Times New Roman"/>
          <w:iCs/>
        </w:rPr>
        <w:t>Reporting</w:t>
      </w:r>
      <w:proofErr w:type="spellEnd"/>
      <w:r w:rsidRPr="00A678B3">
        <w:rPr>
          <w:rFonts w:ascii="Times New Roman" w:hAnsi="Times New Roman" w:cs="Times New Roman"/>
          <w:iCs/>
        </w:rPr>
        <w:t xml:space="preserve">, </w:t>
      </w:r>
      <w:proofErr w:type="spellStart"/>
      <w:r w:rsidRPr="00A678B3">
        <w:rPr>
          <w:rFonts w:ascii="Times New Roman" w:hAnsi="Times New Roman" w:cs="Times New Roman"/>
          <w:iCs/>
        </w:rPr>
        <w:t>Performance</w:t>
      </w:r>
      <w:proofErr w:type="spellEnd"/>
      <w:r w:rsidRPr="00A678B3">
        <w:rPr>
          <w:rFonts w:ascii="Times New Roman" w:hAnsi="Times New Roman" w:cs="Times New Roman"/>
          <w:iCs/>
        </w:rPr>
        <w:t>, Bank, ESG</w:t>
      </w:r>
      <w:r w:rsidR="00ED0795" w:rsidRPr="00A678B3">
        <w:rPr>
          <w:rFonts w:ascii="Times New Roman" w:hAnsi="Times New Roman" w:cs="Times New Roman"/>
          <w:iCs/>
        </w:rPr>
        <w:t xml:space="preserve">, </w:t>
      </w:r>
      <w:proofErr w:type="spellStart"/>
      <w:r w:rsidR="00ED0795" w:rsidRPr="00A678B3">
        <w:rPr>
          <w:rFonts w:ascii="Times New Roman" w:hAnsi="Times New Roman" w:cs="Times New Roman"/>
          <w:iCs/>
        </w:rPr>
        <w:t>Non-financial</w:t>
      </w:r>
      <w:proofErr w:type="spellEnd"/>
      <w:r w:rsidR="00ED0795" w:rsidRPr="00A678B3">
        <w:rPr>
          <w:rFonts w:ascii="Times New Roman" w:hAnsi="Times New Roman" w:cs="Times New Roman"/>
          <w:iCs/>
        </w:rPr>
        <w:t xml:space="preserve"> </w:t>
      </w:r>
      <w:proofErr w:type="spellStart"/>
      <w:r w:rsidR="00ED0795" w:rsidRPr="00A678B3">
        <w:rPr>
          <w:rFonts w:ascii="Times New Roman" w:hAnsi="Times New Roman" w:cs="Times New Roman"/>
          <w:iCs/>
        </w:rPr>
        <w:t>performance</w:t>
      </w:r>
      <w:proofErr w:type="spellEnd"/>
    </w:p>
    <w:p w14:paraId="431FBA6F" w14:textId="7E85F5A1" w:rsidR="00D85663" w:rsidRPr="006251C3" w:rsidRDefault="00D85663" w:rsidP="00D85663">
      <w:pPr>
        <w:spacing w:after="0" w:line="240" w:lineRule="auto"/>
        <w:rPr>
          <w:rFonts w:ascii="Times New Roman" w:hAnsi="Times New Roman" w:cs="Times New Roman"/>
          <w:sz w:val="18"/>
          <w:szCs w:val="18"/>
        </w:rPr>
      </w:pPr>
      <w:r w:rsidRPr="006251C3">
        <w:rPr>
          <w:rFonts w:ascii="Times New Roman" w:hAnsi="Times New Roman" w:cs="Times New Roman"/>
          <w:b/>
          <w:bCs/>
          <w:iCs/>
          <w:sz w:val="18"/>
          <w:szCs w:val="18"/>
        </w:rPr>
        <w:t xml:space="preserve">Jel </w:t>
      </w:r>
      <w:proofErr w:type="spellStart"/>
      <w:r w:rsidRPr="006251C3">
        <w:rPr>
          <w:rFonts w:ascii="Times New Roman" w:hAnsi="Times New Roman" w:cs="Times New Roman"/>
          <w:b/>
          <w:bCs/>
          <w:iCs/>
          <w:sz w:val="18"/>
          <w:szCs w:val="18"/>
        </w:rPr>
        <w:t>Classification</w:t>
      </w:r>
      <w:proofErr w:type="spellEnd"/>
      <w:r w:rsidRPr="006251C3">
        <w:rPr>
          <w:rFonts w:ascii="Times New Roman" w:hAnsi="Times New Roman" w:cs="Times New Roman"/>
          <w:b/>
          <w:bCs/>
          <w:iCs/>
          <w:sz w:val="18"/>
          <w:szCs w:val="18"/>
        </w:rPr>
        <w:t>:</w:t>
      </w:r>
      <w:r w:rsidRPr="006251C3">
        <w:rPr>
          <w:rFonts w:ascii="Times New Roman" w:hAnsi="Times New Roman" w:cs="Times New Roman"/>
          <w:iCs/>
          <w:sz w:val="18"/>
          <w:szCs w:val="18"/>
        </w:rPr>
        <w:t xml:space="preserve"> </w:t>
      </w:r>
      <w:r w:rsidRPr="006251C3">
        <w:rPr>
          <w:rFonts w:ascii="Times New Roman" w:hAnsi="Times New Roman" w:cs="Times New Roman"/>
          <w:sz w:val="18"/>
          <w:szCs w:val="18"/>
        </w:rPr>
        <w:t>G21, L21, L25, M14</w:t>
      </w:r>
    </w:p>
    <w:p w14:paraId="53A48026" w14:textId="77777777" w:rsidR="0077248A" w:rsidRPr="006251C3" w:rsidRDefault="0077248A" w:rsidP="0077248A">
      <w:pPr>
        <w:pStyle w:val="ListeParagraf"/>
        <w:numPr>
          <w:ilvl w:val="0"/>
          <w:numId w:val="2"/>
        </w:numPr>
        <w:spacing w:before="120" w:after="120" w:line="240" w:lineRule="auto"/>
        <w:jc w:val="both"/>
        <w:rPr>
          <w:rFonts w:ascii="Times New Roman" w:hAnsi="Times New Roman" w:cs="Times New Roman"/>
          <w:b/>
          <w:sz w:val="24"/>
          <w:szCs w:val="24"/>
        </w:rPr>
      </w:pPr>
      <w:r w:rsidRPr="006251C3">
        <w:rPr>
          <w:rFonts w:ascii="Times New Roman" w:hAnsi="Times New Roman" w:cs="Times New Roman"/>
          <w:b/>
          <w:sz w:val="24"/>
          <w:szCs w:val="24"/>
        </w:rPr>
        <w:t>Giriş</w:t>
      </w:r>
    </w:p>
    <w:p w14:paraId="68D504D3" w14:textId="77777777"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Günümüz dünyasında paydaşların işletmelerden beklentisi, işletme faaliyetlerinin finansal sonuçları yanında finansal olmayan sonuçlarının da kendilerine sunulmasıdır. Bu beklenti, finansal muhasebenin paydaşların bu talebini karşılamada yetersiz olduğu düşüncesinin oluşmasına neden olmuştur (</w:t>
      </w:r>
      <w:proofErr w:type="spellStart"/>
      <w:r w:rsidRPr="00A678B3">
        <w:rPr>
          <w:rFonts w:ascii="Times New Roman" w:hAnsi="Times New Roman" w:cs="Times New Roman"/>
        </w:rPr>
        <w:t>Wulf</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Niemöller</w:t>
      </w:r>
      <w:proofErr w:type="spellEnd"/>
      <w:r w:rsidRPr="00A678B3">
        <w:rPr>
          <w:rFonts w:ascii="Times New Roman" w:hAnsi="Times New Roman" w:cs="Times New Roman"/>
        </w:rPr>
        <w:t xml:space="preserve"> &amp; </w:t>
      </w:r>
      <w:proofErr w:type="spellStart"/>
      <w:r w:rsidRPr="00A678B3">
        <w:rPr>
          <w:rFonts w:ascii="Times New Roman" w:hAnsi="Times New Roman" w:cs="Times New Roman"/>
        </w:rPr>
        <w:t>Rentzsh</w:t>
      </w:r>
      <w:proofErr w:type="spellEnd"/>
      <w:r w:rsidRPr="00A678B3">
        <w:rPr>
          <w:rFonts w:ascii="Times New Roman" w:hAnsi="Times New Roman" w:cs="Times New Roman"/>
        </w:rPr>
        <w:t>, 2014). Beklentiyi karşılamak amacıyla işletmelerin finansal olmayan bilgilerinin de bir rapor olarak paydaşlara sunulması fikri ortaya atılmış ve işletmeler için hem işletme hem toplum hem de çevre için değer yaratmak odaklı modern bir yönetim yaklaşımı oluşmaya başlamıştır (</w:t>
      </w:r>
      <w:proofErr w:type="spellStart"/>
      <w:r w:rsidRPr="00A678B3">
        <w:rPr>
          <w:rFonts w:ascii="Times New Roman" w:hAnsi="Times New Roman" w:cs="Times New Roman"/>
        </w:rPr>
        <w:t>Buallay</w:t>
      </w:r>
      <w:proofErr w:type="spellEnd"/>
      <w:r w:rsidRPr="00A678B3">
        <w:rPr>
          <w:rFonts w:ascii="Times New Roman" w:hAnsi="Times New Roman" w:cs="Times New Roman"/>
        </w:rPr>
        <w:t>, 2019).</w:t>
      </w:r>
    </w:p>
    <w:p w14:paraId="4F26F662" w14:textId="77777777"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Kökenleri paydaş teorisine dayanan bu yeni yönetim yaklaşımını benimseyen işletmeler, finansal faaliyet sonuçlarının yanında finansal olmayan faaliyet sonuçlarını da sürdürülebilirlik raporu olarak ilgililere sunmaktadırlar. Raporlarda işletme faaliyetleri ve bu faaliyetlerin sonuçları çevresel, toplumsal ve yönetsel (</w:t>
      </w:r>
      <w:proofErr w:type="spellStart"/>
      <w:r w:rsidRPr="00A678B3">
        <w:rPr>
          <w:rFonts w:ascii="Times New Roman" w:hAnsi="Times New Roman" w:cs="Times New Roman"/>
        </w:rPr>
        <w:t>environment</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social</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governance</w:t>
      </w:r>
      <w:proofErr w:type="spellEnd"/>
      <w:r w:rsidRPr="00A678B3">
        <w:rPr>
          <w:rFonts w:ascii="Times New Roman" w:hAnsi="Times New Roman" w:cs="Times New Roman"/>
        </w:rPr>
        <w:t xml:space="preserve">- ESG) boyutları ile açıklanmaktadır. </w:t>
      </w:r>
    </w:p>
    <w:p w14:paraId="24C6DE60" w14:textId="77777777"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Bu raporlamanın oluşmasını tetikleyen asıl neden, paydaşların işletmelerden daha fazla şeffaflık beklemeleridir (Adams, 2015). Sürdürülebilirlik raporlarının hazırlanmasının, paydaşların şeffaflık taleplerinin karşılanmasının yanında, işletmelere de uzun dönemli rekabet avantajı sağlaması beklenmektedir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G., </w:t>
      </w:r>
      <w:proofErr w:type="spellStart"/>
      <w:r w:rsidRPr="00A678B3">
        <w:rPr>
          <w:rFonts w:ascii="Times New Roman" w:hAnsi="Times New Roman" w:cs="Times New Roman"/>
        </w:rPr>
        <w:t>Dell’Atti</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Iannuzzi</w:t>
      </w:r>
      <w:proofErr w:type="spellEnd"/>
      <w:r w:rsidRPr="00A678B3">
        <w:rPr>
          <w:rFonts w:ascii="Times New Roman" w:hAnsi="Times New Roman" w:cs="Times New Roman"/>
        </w:rPr>
        <w:t xml:space="preserve"> &amp; </w:t>
      </w:r>
      <w:proofErr w:type="spellStart"/>
      <w:r w:rsidRPr="00A678B3">
        <w:rPr>
          <w:rFonts w:ascii="Times New Roman" w:hAnsi="Times New Roman" w:cs="Times New Roman"/>
        </w:rPr>
        <w:t>Savioli</w:t>
      </w:r>
      <w:proofErr w:type="spellEnd"/>
      <w:r w:rsidRPr="00A678B3">
        <w:rPr>
          <w:rFonts w:ascii="Times New Roman" w:hAnsi="Times New Roman" w:cs="Times New Roman"/>
        </w:rPr>
        <w:t>, 2018).</w:t>
      </w:r>
    </w:p>
    <w:p w14:paraId="7C4DDB5E" w14:textId="77777777"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 xml:space="preserve">Tıpkı finansal tabloların </w:t>
      </w:r>
      <w:proofErr w:type="spellStart"/>
      <w:r w:rsidRPr="00A678B3">
        <w:rPr>
          <w:rFonts w:ascii="Times New Roman" w:hAnsi="Times New Roman" w:cs="Times New Roman"/>
        </w:rPr>
        <w:t>karşılaştırılabilirliğini</w:t>
      </w:r>
      <w:proofErr w:type="spellEnd"/>
      <w:r w:rsidRPr="00A678B3">
        <w:rPr>
          <w:rFonts w:ascii="Times New Roman" w:hAnsi="Times New Roman" w:cs="Times New Roman"/>
        </w:rPr>
        <w:t xml:space="preserve"> kolaylaştırmak amacıyla Uluslararası Muhasebe ve Finansal Raporlama Standartlarının oluşturulması gibi, sürdürülebilirlik raporlarının anlaşılır ve karşılaştırılabilir olmaları için Global </w:t>
      </w:r>
      <w:proofErr w:type="spellStart"/>
      <w:r w:rsidRPr="00A678B3">
        <w:rPr>
          <w:rFonts w:ascii="Times New Roman" w:hAnsi="Times New Roman" w:cs="Times New Roman"/>
        </w:rPr>
        <w:t>Reporting</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Initiative</w:t>
      </w:r>
      <w:proofErr w:type="spellEnd"/>
      <w:r w:rsidRPr="00A678B3">
        <w:rPr>
          <w:rFonts w:ascii="Times New Roman" w:hAnsi="Times New Roman" w:cs="Times New Roman"/>
        </w:rPr>
        <w:t xml:space="preserve"> (GRI-Küresel Raporlama Girişimi) standartlar oluşturmaktadır. Bunun yanında işletmelerin hazırladıkları sürdürülebilirlik raporları üzerinden sürdürülebilirlik performanslarının ölçümü amacıyla çeşitli </w:t>
      </w:r>
      <w:proofErr w:type="spellStart"/>
      <w:r w:rsidRPr="00A678B3">
        <w:rPr>
          <w:rFonts w:ascii="Times New Roman" w:hAnsi="Times New Roman" w:cs="Times New Roman"/>
        </w:rPr>
        <w:t>skorlama</w:t>
      </w:r>
      <w:proofErr w:type="spellEnd"/>
      <w:r w:rsidRPr="00A678B3">
        <w:rPr>
          <w:rFonts w:ascii="Times New Roman" w:hAnsi="Times New Roman" w:cs="Times New Roman"/>
        </w:rPr>
        <w:t xml:space="preserve"> çalışmalarının yapıldığı görülmektedir. Bloomberg, KLD, EIRIS, SAM, ASR, DJSI gibi şirketler rapor içeriklerini belirledikleri kriterleri baz alarak incelemekte ve ulaştıkları sonuçları paylaşmaktadırlar. </w:t>
      </w:r>
      <w:proofErr w:type="spellStart"/>
      <w:r w:rsidRPr="00A678B3">
        <w:rPr>
          <w:rFonts w:ascii="Times New Roman" w:hAnsi="Times New Roman" w:cs="Times New Roman"/>
        </w:rPr>
        <w:t>Notlandırma</w:t>
      </w:r>
      <w:proofErr w:type="spellEnd"/>
      <w:r w:rsidRPr="00A678B3">
        <w:rPr>
          <w:rFonts w:ascii="Times New Roman" w:hAnsi="Times New Roman" w:cs="Times New Roman"/>
        </w:rPr>
        <w:t xml:space="preserve"> yapılırken en çok bilgiyi paylaşan işletme daha yüksek not almaktadır. </w:t>
      </w:r>
    </w:p>
    <w:p w14:paraId="51E5A4D3" w14:textId="6C0B3D66"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ESG skoru denilen bu skorlar birçok kişi ve kuruluş tarafından takip edilmektedir. Bu sebeple işletmeler raporları hazırlarken yüksek skorlar elde etmeyi amaçlamaktadırlar. Çünkü yüksek ESG skorları işletmelere, paydaşların önemsediği şeffaflı</w:t>
      </w:r>
      <w:r w:rsidR="00A21B0D" w:rsidRPr="00A678B3">
        <w:rPr>
          <w:rFonts w:ascii="Times New Roman" w:hAnsi="Times New Roman" w:cs="Times New Roman"/>
        </w:rPr>
        <w:t>ğın</w:t>
      </w:r>
      <w:r w:rsidRPr="00A678B3">
        <w:rPr>
          <w:rFonts w:ascii="Times New Roman" w:hAnsi="Times New Roman" w:cs="Times New Roman"/>
        </w:rPr>
        <w:t xml:space="preserve"> yanında, itibar, olumlu imaj, marka farklılaşması gibi diğer olumlu sonuçları da getirecek ve işletmeye duyulan güveni artıracaktır (</w:t>
      </w:r>
      <w:proofErr w:type="spellStart"/>
      <w:r w:rsidRPr="00A678B3">
        <w:rPr>
          <w:rFonts w:ascii="Times New Roman" w:hAnsi="Times New Roman" w:cs="Times New Roman"/>
        </w:rPr>
        <w:t>Shen</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Wu</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Cheng</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Fang</w:t>
      </w:r>
      <w:proofErr w:type="spellEnd"/>
      <w:r w:rsidRPr="00A678B3">
        <w:rPr>
          <w:rFonts w:ascii="Times New Roman" w:hAnsi="Times New Roman" w:cs="Times New Roman"/>
        </w:rPr>
        <w:t xml:space="preserve">, 2016). </w:t>
      </w:r>
    </w:p>
    <w:p w14:paraId="71F12045" w14:textId="77777777" w:rsidR="0077248A" w:rsidRPr="00A678B3" w:rsidRDefault="0077248A" w:rsidP="0077248A">
      <w:pPr>
        <w:spacing w:line="240" w:lineRule="auto"/>
        <w:ind w:firstLine="567"/>
        <w:jc w:val="both"/>
        <w:rPr>
          <w:rFonts w:ascii="Times New Roman" w:hAnsi="Times New Roman" w:cs="Times New Roman"/>
        </w:rPr>
      </w:pPr>
      <w:r w:rsidRPr="00A678B3">
        <w:rPr>
          <w:rFonts w:ascii="Times New Roman" w:hAnsi="Times New Roman" w:cs="Times New Roman"/>
        </w:rPr>
        <w:t>Sürdürülebilirlik raporlarının hazırlanmasını teşvik etmek isteyen ülkeler bu konuda çeşitli uygulamalar yapmaya başlamışlardır. Bu uygulamalardan biri de Avrupa ülkeleri ve Amerika Birleşik Devletleri (ABD) uygulamaları örnek alınarak Türkiye’de Borsa İstanbul (BİST) bünyesinde sürdürülebilirlik raporlaması hazırlayan işletmelerin dahil edildiği, Sürdürülebilirlik Endeksinin oluşturulmasıdır. Endeksin amacı şu şekilde açıklanmaktadır</w:t>
      </w:r>
      <w:sdt>
        <w:sdtPr>
          <w:rPr>
            <w:rFonts w:ascii="Times New Roman" w:hAnsi="Times New Roman" w:cs="Times New Roman"/>
          </w:rPr>
          <w:id w:val="-462419783"/>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BIS14 \l 1055 </w:instrText>
          </w:r>
          <w:r w:rsidRPr="00A678B3">
            <w:rPr>
              <w:rFonts w:ascii="Times New Roman" w:hAnsi="Times New Roman" w:cs="Times New Roman"/>
            </w:rPr>
            <w:fldChar w:fldCharType="separate"/>
          </w:r>
          <w:r w:rsidRPr="00A678B3">
            <w:rPr>
              <w:rFonts w:ascii="Times New Roman" w:hAnsi="Times New Roman" w:cs="Times New Roman"/>
              <w:noProof/>
            </w:rPr>
            <w:t xml:space="preserve"> (BIST, 2014)</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p>
    <w:p w14:paraId="4A6FED4E" w14:textId="77777777" w:rsidR="0077248A" w:rsidRPr="00A678B3" w:rsidRDefault="0077248A" w:rsidP="0077248A">
      <w:pPr>
        <w:spacing w:line="240" w:lineRule="auto"/>
        <w:ind w:left="708" w:right="567"/>
        <w:jc w:val="both"/>
        <w:rPr>
          <w:rFonts w:ascii="Times New Roman" w:hAnsi="Times New Roman" w:cs="Times New Roman"/>
        </w:rPr>
      </w:pPr>
      <w:r w:rsidRPr="00A678B3">
        <w:rPr>
          <w:rFonts w:ascii="Times New Roman" w:hAnsi="Times New Roman" w:cs="Times New Roman"/>
        </w:rPr>
        <w:t>“</w:t>
      </w:r>
      <w:r w:rsidRPr="00A678B3">
        <w:rPr>
          <w:rFonts w:ascii="Times New Roman" w:hAnsi="Times New Roman" w:cs="Times New Roman"/>
          <w:i/>
          <w:iCs/>
        </w:rPr>
        <w:t>Şirketlerin küresel ısınma, doğal kaynakların tükenmesi, su kaynaklarının azalması, sağlık, güvenlik, istihdam gibi Türkiye ve dünya için önemli olan sürdürülebilirliğe ilişkin meselelere nasıl yaklaştıklarını ortaya koymakta, yaptıkları faaliyetlerin ve aldıkları kararların bağımsız bir gözle değerlendirilmesini ve bir anlamda tescil edilmesini sağlamaktır</w:t>
      </w:r>
      <w:r w:rsidRPr="00A678B3">
        <w:rPr>
          <w:rFonts w:ascii="Times New Roman" w:hAnsi="Times New Roman" w:cs="Times New Roman"/>
        </w:rPr>
        <w:t xml:space="preserve">.” </w:t>
      </w:r>
    </w:p>
    <w:p w14:paraId="42EF9517"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Endeks oluşturulmadan önce, BİST’ te işlem gören şirketlerin çevreye ilişkin açıklamalarının zayıf düzeyde gerçekleştiği görülmüştür. Endekse dahil edilecek şirketlerin fonlara ulaşım kolaylığı gibi avantajlar sağlayacak olmaları nedeniyle, endeks oluşturulduktan sonra bu alanda açıklamaların arttığı görülmektedir (Kavut, 2010: 43).</w:t>
      </w:r>
    </w:p>
    <w:p w14:paraId="7C375F54"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lastRenderedPageBreak/>
        <w:t xml:space="preserve">Sürdürülebilirlik raporlamasının her geçen gün önemi artarken, işletmenin yönetim yapısı ile ESG skorları arasında ilişki olup olmadığı sorusuna yanıt bulmak isteyen araştırmacılar bu ilişkiye odaklı çalışmalar yapmaya başlamışlardır (Tamimi, </w:t>
      </w:r>
      <w:proofErr w:type="spellStart"/>
      <w:r w:rsidRPr="00A678B3">
        <w:rPr>
          <w:rFonts w:ascii="Times New Roman" w:hAnsi="Times New Roman" w:cs="Times New Roman"/>
        </w:rPr>
        <w:t>Sebastianelli</w:t>
      </w:r>
      <w:proofErr w:type="spellEnd"/>
      <w:r w:rsidRPr="00A678B3">
        <w:rPr>
          <w:rFonts w:ascii="Times New Roman" w:hAnsi="Times New Roman" w:cs="Times New Roman"/>
        </w:rPr>
        <w:t xml:space="preserve">, 2017; </w:t>
      </w:r>
      <w:proofErr w:type="spellStart"/>
      <w:r w:rsidRPr="00A678B3">
        <w:rPr>
          <w:rFonts w:ascii="Times New Roman" w:hAnsi="Times New Roman" w:cs="Times New Roman"/>
        </w:rPr>
        <w:t>Velte</w:t>
      </w:r>
      <w:proofErr w:type="spellEnd"/>
      <w:r w:rsidRPr="00A678B3">
        <w:rPr>
          <w:rFonts w:ascii="Times New Roman" w:hAnsi="Times New Roman" w:cs="Times New Roman"/>
        </w:rPr>
        <w:t xml:space="preserve">, 2016;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vd., 2018). </w:t>
      </w:r>
    </w:p>
    <w:p w14:paraId="35E2D658" w14:textId="6C1A3549"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Bu çalışma da benzer şekilde ESG skorları ile yönetim kurulu yapısı ilişkisi analiz edilmiştir.  Çalışma BİST Sürdürülebilirlik Endeksinde yer alan mevduat bankalarının verileri ile yapılmıştır. Çalışmanın </w:t>
      </w:r>
      <w:r w:rsidR="00201863" w:rsidRPr="00A678B3">
        <w:rPr>
          <w:rFonts w:ascii="Times New Roman" w:hAnsi="Times New Roman" w:cs="Times New Roman"/>
        </w:rPr>
        <w:t xml:space="preserve">Türkiye’de faaliyette bulunan </w:t>
      </w:r>
      <w:r w:rsidRPr="00A678B3">
        <w:rPr>
          <w:rFonts w:ascii="Times New Roman" w:hAnsi="Times New Roman" w:cs="Times New Roman"/>
        </w:rPr>
        <w:t>mevduat bankaları ile sınırlandırılmasının nedenleri şunlardır;</w:t>
      </w:r>
    </w:p>
    <w:p w14:paraId="366F1211" w14:textId="5E14E5E6" w:rsidR="0077248A" w:rsidRPr="00A678B3" w:rsidRDefault="0077248A" w:rsidP="0077248A">
      <w:pPr>
        <w:pStyle w:val="ListeParagraf"/>
        <w:numPr>
          <w:ilvl w:val="0"/>
          <w:numId w:val="5"/>
        </w:numPr>
        <w:spacing w:line="240" w:lineRule="auto"/>
        <w:jc w:val="both"/>
        <w:rPr>
          <w:rFonts w:ascii="Times New Roman" w:hAnsi="Times New Roman" w:cs="Times New Roman"/>
        </w:rPr>
      </w:pPr>
      <w:r w:rsidRPr="00A678B3">
        <w:rPr>
          <w:rFonts w:ascii="Times New Roman" w:hAnsi="Times New Roman" w:cs="Times New Roman"/>
        </w:rPr>
        <w:t xml:space="preserve"> ESG </w:t>
      </w:r>
      <w:proofErr w:type="spellStart"/>
      <w:r w:rsidRPr="00A678B3">
        <w:rPr>
          <w:rFonts w:ascii="Times New Roman" w:hAnsi="Times New Roman" w:cs="Times New Roman"/>
        </w:rPr>
        <w:t>skorlama</w:t>
      </w:r>
      <w:proofErr w:type="spellEnd"/>
      <w:r w:rsidRPr="00A678B3">
        <w:rPr>
          <w:rFonts w:ascii="Times New Roman" w:hAnsi="Times New Roman" w:cs="Times New Roman"/>
        </w:rPr>
        <w:t xml:space="preserve"> kriterlerinin </w:t>
      </w:r>
      <w:proofErr w:type="spellStart"/>
      <w:r w:rsidRPr="00A678B3">
        <w:rPr>
          <w:rFonts w:ascii="Times New Roman" w:hAnsi="Times New Roman" w:cs="Times New Roman"/>
        </w:rPr>
        <w:t>ağırlıklandırmaları</w:t>
      </w:r>
      <w:proofErr w:type="spellEnd"/>
      <w:r w:rsidRPr="00A678B3">
        <w:rPr>
          <w:rFonts w:ascii="Times New Roman" w:hAnsi="Times New Roman" w:cs="Times New Roman"/>
        </w:rPr>
        <w:t xml:space="preserve"> sektörden sektöre farklılık göstermektedir. Bu da bu skorlar ile karşılaştırma yapılacak ise ESG skorlarının ayni sektördeki işletmeleri karşılaştırmak için kullanılmalarının daha uygun olmasıdır </w:t>
      </w:r>
      <w:sdt>
        <w:sdtPr>
          <w:rPr>
            <w:rFonts w:ascii="Times New Roman" w:hAnsi="Times New Roman" w:cs="Times New Roman"/>
          </w:rPr>
          <w:id w:val="16453261"/>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Suz \l 1055  </w:instrText>
          </w:r>
          <w:r w:rsidRPr="00A678B3">
            <w:rPr>
              <w:rFonts w:ascii="Times New Roman" w:hAnsi="Times New Roman" w:cs="Times New Roman"/>
            </w:rPr>
            <w:fldChar w:fldCharType="separate"/>
          </w:r>
          <w:r w:rsidRPr="00A678B3">
            <w:rPr>
              <w:rFonts w:ascii="Times New Roman" w:hAnsi="Times New Roman" w:cs="Times New Roman"/>
              <w:noProof/>
            </w:rPr>
            <w:t>(Suzuki &amp; Levy, 2010)</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p>
    <w:p w14:paraId="735120C2" w14:textId="17397B41" w:rsidR="0077248A" w:rsidRPr="00A678B3" w:rsidRDefault="0077248A" w:rsidP="0077248A">
      <w:pPr>
        <w:pStyle w:val="ListeParagraf"/>
        <w:numPr>
          <w:ilvl w:val="0"/>
          <w:numId w:val="5"/>
        </w:numPr>
        <w:spacing w:line="240" w:lineRule="auto"/>
        <w:jc w:val="both"/>
        <w:rPr>
          <w:rFonts w:ascii="Times New Roman" w:hAnsi="Times New Roman" w:cs="Times New Roman"/>
        </w:rPr>
      </w:pPr>
      <w:r w:rsidRPr="00A678B3">
        <w:rPr>
          <w:rFonts w:ascii="Times New Roman" w:hAnsi="Times New Roman" w:cs="Times New Roman"/>
        </w:rPr>
        <w:t xml:space="preserve">Bunun yanında işletmelerinin yönetim yapılarına odaklı kurumsal yönetim alanında yapılan düzenlemelerde ülke bazında farklılıklar olduğunu görülmektedir. Örneğin yönetim kurulu kadın üye oranı ile ilgili bazı ülkelerde kotalar bulunmaktadır. </w:t>
      </w:r>
    </w:p>
    <w:p w14:paraId="0FA6BB4B" w14:textId="5281CDC0" w:rsidR="00201863" w:rsidRPr="00A678B3" w:rsidRDefault="0077248A" w:rsidP="00201863">
      <w:pPr>
        <w:pStyle w:val="ListeParagraf"/>
        <w:numPr>
          <w:ilvl w:val="0"/>
          <w:numId w:val="5"/>
        </w:numPr>
        <w:spacing w:line="240" w:lineRule="auto"/>
        <w:jc w:val="both"/>
        <w:rPr>
          <w:rFonts w:ascii="Times New Roman" w:hAnsi="Times New Roman" w:cs="Times New Roman"/>
        </w:rPr>
      </w:pPr>
      <w:r w:rsidRPr="00A678B3">
        <w:rPr>
          <w:rFonts w:ascii="Times New Roman" w:hAnsi="Times New Roman" w:cs="Times New Roman"/>
        </w:rPr>
        <w:t xml:space="preserve">Küresel etkiye sahip Büyük Buhran ve 2008 finansal krizi ile 2001 Türk Bankacılık Sistemi Krizi, bankalara duyulan güvenin azalmasına </w:t>
      </w:r>
      <w:r w:rsidR="00201863" w:rsidRPr="00A678B3">
        <w:rPr>
          <w:rFonts w:ascii="Times New Roman" w:hAnsi="Times New Roman" w:cs="Times New Roman"/>
        </w:rPr>
        <w:t>neden olmuş ve faaliyetlerine devam etmek isteyen bankalar güveni yeniden inşa etmeye odaklanmışlardır. S</w:t>
      </w:r>
      <w:r w:rsidRPr="00A678B3">
        <w:rPr>
          <w:rFonts w:ascii="Times New Roman" w:hAnsi="Times New Roman" w:cs="Times New Roman"/>
        </w:rPr>
        <w:t>ürdürülebilirlik raporlamasının sağladığı şeffaflı</w:t>
      </w:r>
      <w:r w:rsidR="00201863" w:rsidRPr="00A678B3">
        <w:rPr>
          <w:rFonts w:ascii="Times New Roman" w:hAnsi="Times New Roman" w:cs="Times New Roman"/>
        </w:rPr>
        <w:t xml:space="preserve">k bankaya </w:t>
      </w:r>
      <w:r w:rsidRPr="00A678B3">
        <w:rPr>
          <w:rFonts w:ascii="Times New Roman" w:hAnsi="Times New Roman" w:cs="Times New Roman"/>
        </w:rPr>
        <w:t>duyulan güven açısından önemli bir yapı taşı olması</w:t>
      </w:r>
      <w:r w:rsidR="00201863" w:rsidRPr="00A678B3">
        <w:rPr>
          <w:rFonts w:ascii="Times New Roman" w:hAnsi="Times New Roman" w:cs="Times New Roman"/>
        </w:rPr>
        <w:t xml:space="preserve">dır </w:t>
      </w:r>
      <w:r w:rsidRPr="00A678B3">
        <w:rPr>
          <w:rFonts w:ascii="Times New Roman" w:hAnsi="Times New Roman" w:cs="Times New Roman"/>
        </w:rPr>
        <w:t>(</w:t>
      </w:r>
      <w:proofErr w:type="spellStart"/>
      <w:r w:rsidRPr="00A678B3">
        <w:rPr>
          <w:rFonts w:ascii="Times New Roman" w:hAnsi="Times New Roman" w:cs="Times New Roman"/>
        </w:rPr>
        <w:t>Flannery</w:t>
      </w:r>
      <w:proofErr w:type="spellEnd"/>
      <w:r w:rsidRPr="00A678B3">
        <w:rPr>
          <w:rFonts w:ascii="Times New Roman" w:hAnsi="Times New Roman" w:cs="Times New Roman"/>
        </w:rPr>
        <w:t xml:space="preserve">, 1998). </w:t>
      </w:r>
    </w:p>
    <w:p w14:paraId="0A62AD70" w14:textId="58BF32F6" w:rsidR="0077248A" w:rsidRPr="00A678B3" w:rsidRDefault="00201863" w:rsidP="00201863">
      <w:pPr>
        <w:pStyle w:val="ListeParagraf"/>
        <w:numPr>
          <w:ilvl w:val="0"/>
          <w:numId w:val="5"/>
        </w:numPr>
        <w:spacing w:line="240" w:lineRule="auto"/>
        <w:jc w:val="both"/>
        <w:rPr>
          <w:rFonts w:ascii="Times New Roman" w:hAnsi="Times New Roman" w:cs="Times New Roman"/>
        </w:rPr>
      </w:pPr>
      <w:r w:rsidRPr="00A678B3">
        <w:rPr>
          <w:rFonts w:ascii="Times New Roman" w:hAnsi="Times New Roman" w:cs="Times New Roman"/>
        </w:rPr>
        <w:t>A</w:t>
      </w:r>
      <w:r w:rsidR="0077248A" w:rsidRPr="00A678B3">
        <w:rPr>
          <w:rFonts w:ascii="Times New Roman" w:hAnsi="Times New Roman" w:cs="Times New Roman"/>
        </w:rPr>
        <w:t xml:space="preserve">simetrik bilgi problemi bankalar için önemli bir problemdir (De </w:t>
      </w:r>
      <w:proofErr w:type="spellStart"/>
      <w:r w:rsidR="0077248A" w:rsidRPr="00A678B3">
        <w:rPr>
          <w:rFonts w:ascii="Times New Roman" w:hAnsi="Times New Roman" w:cs="Times New Roman"/>
        </w:rPr>
        <w:t>Haan</w:t>
      </w:r>
      <w:proofErr w:type="spellEnd"/>
      <w:r w:rsidR="0077248A" w:rsidRPr="00A678B3">
        <w:rPr>
          <w:rFonts w:ascii="Times New Roman" w:hAnsi="Times New Roman" w:cs="Times New Roman"/>
        </w:rPr>
        <w:t xml:space="preserve">, </w:t>
      </w:r>
      <w:proofErr w:type="spellStart"/>
      <w:r w:rsidR="0077248A" w:rsidRPr="00A678B3">
        <w:rPr>
          <w:rFonts w:ascii="Times New Roman" w:hAnsi="Times New Roman" w:cs="Times New Roman"/>
        </w:rPr>
        <w:t>Vlahu</w:t>
      </w:r>
      <w:proofErr w:type="spellEnd"/>
      <w:r w:rsidR="0077248A" w:rsidRPr="00A678B3">
        <w:rPr>
          <w:rFonts w:ascii="Times New Roman" w:hAnsi="Times New Roman" w:cs="Times New Roman"/>
        </w:rPr>
        <w:t xml:space="preserve">, 2015). Sürdürülebilirlik raporları asimetrik bilgi problemi kaynaklı sorunların oluşmasına engel olabilir. </w:t>
      </w:r>
    </w:p>
    <w:p w14:paraId="3A12FD01" w14:textId="7FF70067" w:rsidR="00201863" w:rsidRPr="00A678B3" w:rsidRDefault="00201863" w:rsidP="00201863">
      <w:pPr>
        <w:pStyle w:val="ListeParagraf"/>
        <w:numPr>
          <w:ilvl w:val="0"/>
          <w:numId w:val="5"/>
        </w:numPr>
        <w:spacing w:line="240" w:lineRule="auto"/>
        <w:jc w:val="both"/>
        <w:rPr>
          <w:rFonts w:ascii="Times New Roman" w:hAnsi="Times New Roman" w:cs="Times New Roman"/>
        </w:rPr>
      </w:pPr>
      <w:r w:rsidRPr="00A678B3">
        <w:rPr>
          <w:rFonts w:ascii="Times New Roman" w:hAnsi="Times New Roman" w:cs="Times New Roman"/>
        </w:rPr>
        <w:t>Türkiye özeline bakıldığında</w:t>
      </w:r>
      <w:r w:rsidR="00DA6955" w:rsidRPr="00A678B3">
        <w:rPr>
          <w:rFonts w:ascii="Times New Roman" w:hAnsi="Times New Roman" w:cs="Times New Roman"/>
        </w:rPr>
        <w:t>; 2011-2014 yılları arasında skorları temin edilen banka ve 31 banka dışı kuruluşun ESG skorları ile hesaplanan oranlara göre, bankaların ESG skor ortalamaları sürdürülebilirlik endeksinde yer alan diğer kuruluşların ortalamalarından daha yüksektir.</w:t>
      </w:r>
      <w:r w:rsidRPr="00A678B3">
        <w:rPr>
          <w:rFonts w:ascii="Times New Roman" w:hAnsi="Times New Roman" w:cs="Times New Roman"/>
        </w:rPr>
        <w:t xml:space="preserve"> Bu da bankaların finansal olmayan faaliyet sonuçlarını raporlama konusunda hassasiyetlerini göstermektedir. </w:t>
      </w:r>
    </w:p>
    <w:p w14:paraId="4C0C35AE" w14:textId="0EF3AEFD" w:rsidR="00F7420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ESG skorları işletmeler için finansal olmayan performans ölçüsü kabul edilmektedir </w:t>
      </w:r>
      <w:sdt>
        <w:sdtPr>
          <w:rPr>
            <w:rFonts w:ascii="Times New Roman" w:hAnsi="Times New Roman" w:cs="Times New Roman"/>
          </w:rPr>
          <w:id w:val="2047486136"/>
          <w:citation/>
        </w:sdtPr>
        <w:sdtContent>
          <w:r w:rsidRPr="00A678B3">
            <w:rPr>
              <w:rFonts w:ascii="Times New Roman" w:hAnsi="Times New Roman" w:cs="Times New Roman"/>
            </w:rPr>
            <w:t xml:space="preserve">(Birindelli </w:t>
          </w:r>
          <w:proofErr w:type="gramStart"/>
          <w:r w:rsidRPr="00A678B3">
            <w:rPr>
              <w:rFonts w:ascii="Times New Roman" w:hAnsi="Times New Roman" w:cs="Times New Roman"/>
            </w:rPr>
            <w:t>G. ,</w:t>
          </w:r>
          <w:proofErr w:type="gramEnd"/>
          <w:r w:rsidRPr="00A678B3">
            <w:rPr>
              <w:rFonts w:ascii="Times New Roman" w:hAnsi="Times New Roman" w:cs="Times New Roman"/>
            </w:rPr>
            <w:t xml:space="preserve"> Dell'Atti, Iannuzzi, &amp; Savioli, 2018)</w:t>
          </w:r>
        </w:sdtContent>
      </w:sdt>
      <w:r w:rsidRPr="00A678B3">
        <w:rPr>
          <w:rFonts w:ascii="Times New Roman" w:hAnsi="Times New Roman" w:cs="Times New Roman"/>
        </w:rPr>
        <w:t xml:space="preserve">. Bu görüşten hareketle bu çalışmada işletmelerinin yönetim kurulu yapıları ile finansal olmayan faaliyet sonuçları arasındaki ilişki analiz edilmiştir. </w:t>
      </w:r>
      <w:r w:rsidR="00F7420A" w:rsidRPr="00A678B3">
        <w:rPr>
          <w:rFonts w:ascii="Times New Roman" w:hAnsi="Times New Roman" w:cs="Times New Roman"/>
        </w:rPr>
        <w:t xml:space="preserve">Analizde seçilen değişkenler yönetim kurulunda çeşitliliği gösteren değişkenlerdir. </w:t>
      </w:r>
    </w:p>
    <w:p w14:paraId="06A45804" w14:textId="2A46C679"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Yapılan analiz sonucunda, bankaların yönetim kurulu </w:t>
      </w:r>
      <w:r w:rsidR="005C3625">
        <w:rPr>
          <w:rFonts w:ascii="Times New Roman" w:hAnsi="Times New Roman" w:cs="Times New Roman"/>
        </w:rPr>
        <w:t xml:space="preserve">kadın üye oranları arttıkça </w:t>
      </w:r>
      <w:r w:rsidRPr="00A678B3">
        <w:rPr>
          <w:rFonts w:ascii="Times New Roman" w:hAnsi="Times New Roman" w:cs="Times New Roman"/>
        </w:rPr>
        <w:t>ESG skorlarının arttığı</w:t>
      </w:r>
      <w:r w:rsidR="00F7420A" w:rsidRPr="00A678B3">
        <w:rPr>
          <w:rFonts w:ascii="Times New Roman" w:hAnsi="Times New Roman" w:cs="Times New Roman"/>
        </w:rPr>
        <w:t xml:space="preserve"> görülmüştür. Bunun yanında ESG skorlarının banka büyüklüğü ile de ilişkili olduğu, bankanın varlık toplamı arttıkça ESG skorunun da arttığı tespit edilmiştir. </w:t>
      </w:r>
    </w:p>
    <w:p w14:paraId="69D13903" w14:textId="1C0205E2" w:rsidR="0077248A" w:rsidRPr="006251C3" w:rsidRDefault="0077248A" w:rsidP="003F566A">
      <w:pPr>
        <w:pStyle w:val="ListeParagraf"/>
        <w:numPr>
          <w:ilvl w:val="0"/>
          <w:numId w:val="2"/>
        </w:numPr>
        <w:spacing w:line="240" w:lineRule="auto"/>
        <w:rPr>
          <w:rFonts w:ascii="Times New Roman" w:hAnsi="Times New Roman" w:cs="Times New Roman"/>
          <w:b/>
          <w:bCs/>
          <w:sz w:val="24"/>
          <w:szCs w:val="24"/>
        </w:rPr>
      </w:pPr>
      <w:r w:rsidRPr="006251C3">
        <w:rPr>
          <w:rFonts w:ascii="Times New Roman" w:hAnsi="Times New Roman" w:cs="Times New Roman"/>
          <w:b/>
          <w:bCs/>
          <w:sz w:val="24"/>
          <w:szCs w:val="24"/>
        </w:rPr>
        <w:t>Literatür Çalışması ve Hipotezlerin Oluşturulması</w:t>
      </w:r>
    </w:p>
    <w:p w14:paraId="1A8524B3" w14:textId="39EFFAC6" w:rsidR="0077248A" w:rsidRPr="00A678B3" w:rsidRDefault="0077248A" w:rsidP="0077248A">
      <w:pPr>
        <w:spacing w:line="240" w:lineRule="auto"/>
        <w:ind w:firstLine="709"/>
        <w:jc w:val="both"/>
        <w:rPr>
          <w:rFonts w:ascii="Times New Roman" w:hAnsi="Times New Roman" w:cs="Times New Roman"/>
        </w:rPr>
      </w:pPr>
      <w:r w:rsidRPr="00A678B3">
        <w:rPr>
          <w:rFonts w:ascii="Times New Roman" w:hAnsi="Times New Roman" w:cs="Times New Roman"/>
        </w:rPr>
        <w:t xml:space="preserve">Bankaların kurumsal yönetim değişkenleri ile finansal performansları arasındaki ilişki birçok araştırmacı tarafından analiz edilmiştir </w:t>
      </w:r>
      <w:sdt>
        <w:sdtPr>
          <w:rPr>
            <w:rFonts w:ascii="Times New Roman" w:hAnsi="Times New Roman" w:cs="Times New Roman"/>
          </w:rPr>
          <w:id w:val="32545390"/>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Ada121 \l 1055 </w:instrText>
          </w:r>
          <w:r w:rsidRPr="00A678B3">
            <w:rPr>
              <w:rFonts w:ascii="Times New Roman" w:hAnsi="Times New Roman" w:cs="Times New Roman"/>
            </w:rPr>
            <w:fldChar w:fldCharType="separate"/>
          </w:r>
          <w:r w:rsidRPr="00A678B3">
            <w:rPr>
              <w:rFonts w:ascii="Times New Roman" w:hAnsi="Times New Roman" w:cs="Times New Roman"/>
              <w:noProof/>
            </w:rPr>
            <w:t>(Adams &amp; Mehran, 2012)</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sdt>
        <w:sdtPr>
          <w:rPr>
            <w:rFonts w:ascii="Times New Roman" w:hAnsi="Times New Roman" w:cs="Times New Roman"/>
          </w:rPr>
          <w:id w:val="-1362969657"/>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Pat13 \l 1055 </w:instrText>
          </w:r>
          <w:r w:rsidRPr="00A678B3">
            <w:rPr>
              <w:rFonts w:ascii="Times New Roman" w:hAnsi="Times New Roman" w:cs="Times New Roman"/>
            </w:rPr>
            <w:fldChar w:fldCharType="separate"/>
          </w:r>
          <w:r w:rsidRPr="00A678B3">
            <w:rPr>
              <w:rFonts w:ascii="Times New Roman" w:hAnsi="Times New Roman" w:cs="Times New Roman"/>
              <w:noProof/>
            </w:rPr>
            <w:t>(Pathan &amp; Faff, 2013)</w:t>
          </w:r>
          <w:r w:rsidRPr="00A678B3">
            <w:rPr>
              <w:rFonts w:ascii="Times New Roman" w:hAnsi="Times New Roman" w:cs="Times New Roman"/>
            </w:rPr>
            <w:fldChar w:fldCharType="end"/>
          </w:r>
        </w:sdtContent>
      </w:sdt>
      <w:sdt>
        <w:sdtPr>
          <w:rPr>
            <w:rFonts w:ascii="Times New Roman" w:hAnsi="Times New Roman" w:cs="Times New Roman"/>
          </w:rPr>
          <w:id w:val="290560464"/>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Ayg10 \l 1055 </w:instrText>
          </w:r>
          <w:r w:rsidRPr="00A678B3">
            <w:rPr>
              <w:rFonts w:ascii="Times New Roman" w:hAnsi="Times New Roman" w:cs="Times New Roman"/>
            </w:rPr>
            <w:fldChar w:fldCharType="separate"/>
          </w:r>
          <w:r w:rsidRPr="00A678B3">
            <w:rPr>
              <w:rFonts w:ascii="Times New Roman" w:hAnsi="Times New Roman" w:cs="Times New Roman"/>
              <w:noProof/>
            </w:rPr>
            <w:t xml:space="preserve"> (Aygün, Taşdemir , &amp; Çavdar, 2010)</w:t>
          </w:r>
          <w:r w:rsidRPr="00A678B3">
            <w:rPr>
              <w:rFonts w:ascii="Times New Roman" w:hAnsi="Times New Roman" w:cs="Times New Roman"/>
            </w:rPr>
            <w:fldChar w:fldCharType="end"/>
          </w:r>
        </w:sdtContent>
      </w:sdt>
      <w:sdt>
        <w:sdtPr>
          <w:rPr>
            <w:rFonts w:ascii="Times New Roman" w:hAnsi="Times New Roman" w:cs="Times New Roman"/>
          </w:rPr>
          <w:id w:val="1672135636"/>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Par17 \l 1055 </w:instrText>
          </w:r>
          <w:r w:rsidRPr="00A678B3">
            <w:rPr>
              <w:rFonts w:ascii="Times New Roman" w:hAnsi="Times New Roman" w:cs="Times New Roman"/>
            </w:rPr>
            <w:fldChar w:fldCharType="separate"/>
          </w:r>
          <w:r w:rsidRPr="00A678B3">
            <w:rPr>
              <w:rFonts w:ascii="Times New Roman" w:hAnsi="Times New Roman" w:cs="Times New Roman"/>
              <w:noProof/>
            </w:rPr>
            <w:t xml:space="preserve"> (Parlakkaya &amp; Demirci, 2017)</w:t>
          </w:r>
          <w:r w:rsidRPr="00A678B3">
            <w:rPr>
              <w:rFonts w:ascii="Times New Roman" w:hAnsi="Times New Roman" w:cs="Times New Roman"/>
            </w:rPr>
            <w:fldChar w:fldCharType="end"/>
          </w:r>
        </w:sdtContent>
      </w:sdt>
      <w:sdt>
        <w:sdtPr>
          <w:rPr>
            <w:rFonts w:ascii="Times New Roman" w:hAnsi="Times New Roman" w:cs="Times New Roman"/>
          </w:rPr>
          <w:id w:val="-2081815493"/>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Gür20 \l 1055 </w:instrText>
          </w:r>
          <w:r w:rsidRPr="00A678B3">
            <w:rPr>
              <w:rFonts w:ascii="Times New Roman" w:hAnsi="Times New Roman" w:cs="Times New Roman"/>
            </w:rPr>
            <w:fldChar w:fldCharType="separate"/>
          </w:r>
          <w:r w:rsidRPr="00A678B3">
            <w:rPr>
              <w:rFonts w:ascii="Times New Roman" w:hAnsi="Times New Roman" w:cs="Times New Roman"/>
              <w:noProof/>
            </w:rPr>
            <w:t xml:space="preserve"> (Gürol, 2020)</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proofErr w:type="spellStart"/>
      <w:r w:rsidRPr="00A678B3">
        <w:rPr>
          <w:rFonts w:ascii="Times New Roman" w:hAnsi="Times New Roman" w:cs="Times New Roman"/>
        </w:rPr>
        <w:t>Figankaplan</w:t>
      </w:r>
      <w:proofErr w:type="spellEnd"/>
      <w:r w:rsidRPr="00A678B3">
        <w:rPr>
          <w:rFonts w:ascii="Times New Roman" w:hAnsi="Times New Roman" w:cs="Times New Roman"/>
        </w:rPr>
        <w:t xml:space="preserve">, 2019) (Gümüş, Gümüş, </w:t>
      </w:r>
      <w:proofErr w:type="spellStart"/>
      <w:r w:rsidRPr="00A678B3">
        <w:rPr>
          <w:rFonts w:ascii="Times New Roman" w:hAnsi="Times New Roman" w:cs="Times New Roman"/>
        </w:rPr>
        <w:t>Altunal</w:t>
      </w:r>
      <w:proofErr w:type="spellEnd"/>
      <w:r w:rsidRPr="00A678B3">
        <w:rPr>
          <w:rFonts w:ascii="Times New Roman" w:hAnsi="Times New Roman" w:cs="Times New Roman"/>
        </w:rPr>
        <w:t xml:space="preserve">, 2017) (Işık, İnce, 2016) (Soba, Erem, Ceylan, 2016). Bu çalışmalarda genel olarak bir ya da birkaç finansal performans oranı bağımlı değişken, </w:t>
      </w:r>
      <w:r w:rsidR="00A21B0D" w:rsidRPr="00A678B3">
        <w:rPr>
          <w:rFonts w:ascii="Times New Roman" w:hAnsi="Times New Roman" w:cs="Times New Roman"/>
        </w:rPr>
        <w:t>bankanın</w:t>
      </w:r>
      <w:r w:rsidRPr="00A678B3">
        <w:rPr>
          <w:rFonts w:ascii="Times New Roman" w:hAnsi="Times New Roman" w:cs="Times New Roman"/>
        </w:rPr>
        <w:t xml:space="preserve"> yönetim yapısına ilişkin özellikler bağımsız değişken</w:t>
      </w:r>
      <w:r w:rsidR="00A21B0D" w:rsidRPr="00A678B3">
        <w:rPr>
          <w:rFonts w:ascii="Times New Roman" w:hAnsi="Times New Roman" w:cs="Times New Roman"/>
        </w:rPr>
        <w:t>ler</w:t>
      </w:r>
      <w:r w:rsidRPr="00A678B3">
        <w:rPr>
          <w:rFonts w:ascii="Times New Roman" w:hAnsi="Times New Roman" w:cs="Times New Roman"/>
        </w:rPr>
        <w:t xml:space="preserve"> olarak modellerde yer almışlardır. </w:t>
      </w:r>
    </w:p>
    <w:p w14:paraId="00DD9D21" w14:textId="127AF7FE" w:rsidR="0077248A" w:rsidRPr="00A678B3" w:rsidRDefault="00A21B0D" w:rsidP="0077248A">
      <w:pPr>
        <w:spacing w:line="240" w:lineRule="auto"/>
        <w:ind w:firstLine="708"/>
        <w:jc w:val="both"/>
        <w:rPr>
          <w:rFonts w:ascii="Times New Roman" w:hAnsi="Times New Roman" w:cs="Times New Roman"/>
        </w:rPr>
      </w:pPr>
      <w:r w:rsidRPr="00A678B3">
        <w:rPr>
          <w:rFonts w:ascii="Times New Roman" w:hAnsi="Times New Roman" w:cs="Times New Roman"/>
        </w:rPr>
        <w:t>Finansal p</w:t>
      </w:r>
      <w:r w:rsidR="0077248A" w:rsidRPr="00A678B3">
        <w:rPr>
          <w:rFonts w:ascii="Times New Roman" w:hAnsi="Times New Roman" w:cs="Times New Roman"/>
        </w:rPr>
        <w:t xml:space="preserve">erformansa ilişkin literatürde sıklıkla kullanılan bağımsız değişkenler, Aktif Kârlılık Oranı (Return on </w:t>
      </w:r>
      <w:proofErr w:type="spellStart"/>
      <w:r w:rsidR="0077248A" w:rsidRPr="00A678B3">
        <w:rPr>
          <w:rFonts w:ascii="Times New Roman" w:hAnsi="Times New Roman" w:cs="Times New Roman"/>
        </w:rPr>
        <w:t>Asset</w:t>
      </w:r>
      <w:proofErr w:type="spellEnd"/>
      <w:r w:rsidR="0077248A" w:rsidRPr="00A678B3">
        <w:rPr>
          <w:rFonts w:ascii="Times New Roman" w:hAnsi="Times New Roman" w:cs="Times New Roman"/>
        </w:rPr>
        <w:t xml:space="preserve">-ROA), </w:t>
      </w:r>
      <w:proofErr w:type="spellStart"/>
      <w:r w:rsidR="0077248A" w:rsidRPr="00A678B3">
        <w:rPr>
          <w:rFonts w:ascii="Times New Roman" w:hAnsi="Times New Roman" w:cs="Times New Roman"/>
        </w:rPr>
        <w:t>Özsermaye</w:t>
      </w:r>
      <w:proofErr w:type="spellEnd"/>
      <w:r w:rsidR="0077248A" w:rsidRPr="00A678B3">
        <w:rPr>
          <w:rFonts w:ascii="Times New Roman" w:hAnsi="Times New Roman" w:cs="Times New Roman"/>
        </w:rPr>
        <w:t xml:space="preserve"> Kârlılık Oranı (Return on </w:t>
      </w:r>
      <w:proofErr w:type="spellStart"/>
      <w:r w:rsidR="0077248A" w:rsidRPr="00A678B3">
        <w:rPr>
          <w:rFonts w:ascii="Times New Roman" w:hAnsi="Times New Roman" w:cs="Times New Roman"/>
        </w:rPr>
        <w:t>Equity</w:t>
      </w:r>
      <w:proofErr w:type="spellEnd"/>
      <w:r w:rsidR="0077248A" w:rsidRPr="00A678B3">
        <w:rPr>
          <w:rFonts w:ascii="Times New Roman" w:hAnsi="Times New Roman" w:cs="Times New Roman"/>
        </w:rPr>
        <w:t xml:space="preserve">-ROE), işletmenin Piyasa Değeri Defter Değerine Oranı (Market </w:t>
      </w:r>
      <w:proofErr w:type="spellStart"/>
      <w:r w:rsidR="0077248A" w:rsidRPr="00A678B3">
        <w:rPr>
          <w:rFonts w:ascii="Times New Roman" w:hAnsi="Times New Roman" w:cs="Times New Roman"/>
        </w:rPr>
        <w:t>to</w:t>
      </w:r>
      <w:proofErr w:type="spellEnd"/>
      <w:r w:rsidR="0077248A" w:rsidRPr="00A678B3">
        <w:rPr>
          <w:rFonts w:ascii="Times New Roman" w:hAnsi="Times New Roman" w:cs="Times New Roman"/>
        </w:rPr>
        <w:t xml:space="preserve"> </w:t>
      </w:r>
      <w:proofErr w:type="spellStart"/>
      <w:r w:rsidR="0077248A" w:rsidRPr="00A678B3">
        <w:rPr>
          <w:rFonts w:ascii="Times New Roman" w:hAnsi="Times New Roman" w:cs="Times New Roman"/>
        </w:rPr>
        <w:t>Book</w:t>
      </w:r>
      <w:proofErr w:type="spellEnd"/>
      <w:r w:rsidR="0077248A" w:rsidRPr="00A678B3">
        <w:rPr>
          <w:rFonts w:ascii="Times New Roman" w:hAnsi="Times New Roman" w:cs="Times New Roman"/>
        </w:rPr>
        <w:t xml:space="preserve"> Value-MTB) ve </w:t>
      </w:r>
      <w:proofErr w:type="spellStart"/>
      <w:r w:rsidR="0077248A" w:rsidRPr="00A678B3">
        <w:rPr>
          <w:rFonts w:ascii="Times New Roman" w:hAnsi="Times New Roman" w:cs="Times New Roman"/>
        </w:rPr>
        <w:t>Tobin’s</w:t>
      </w:r>
      <w:proofErr w:type="spellEnd"/>
      <w:r w:rsidR="0077248A" w:rsidRPr="00A678B3">
        <w:rPr>
          <w:rFonts w:ascii="Times New Roman" w:hAnsi="Times New Roman" w:cs="Times New Roman"/>
        </w:rPr>
        <w:t xml:space="preserve"> Q değerleridir. Söz konusu oranlar işletmenin muhasebe ve piyasa bazlı sergilediği performansın göstergeleridir. </w:t>
      </w:r>
    </w:p>
    <w:p w14:paraId="50E1B402" w14:textId="18A466BC" w:rsidR="0077248A" w:rsidRPr="00A678B3" w:rsidRDefault="0077248A" w:rsidP="0077248A">
      <w:pPr>
        <w:spacing w:before="240" w:line="240" w:lineRule="auto"/>
        <w:ind w:firstLine="708"/>
        <w:jc w:val="both"/>
        <w:rPr>
          <w:rFonts w:ascii="Times New Roman" w:hAnsi="Times New Roman" w:cs="Times New Roman"/>
        </w:rPr>
      </w:pPr>
      <w:r w:rsidRPr="00A678B3">
        <w:rPr>
          <w:rFonts w:ascii="Times New Roman" w:hAnsi="Times New Roman" w:cs="Times New Roman"/>
        </w:rPr>
        <w:t xml:space="preserve">Paydaş teorisine göre bugünün dünyasında paydaşların işletmeden beklentileri, işletmenin finansal performansının yanında finansal olmayan performansının da kendilerine sunulmasıdır. Bu beklentiyi </w:t>
      </w:r>
      <w:r w:rsidRPr="00A678B3">
        <w:rPr>
          <w:rFonts w:ascii="Times New Roman" w:hAnsi="Times New Roman" w:cs="Times New Roman"/>
        </w:rPr>
        <w:lastRenderedPageBreak/>
        <w:t xml:space="preserve">karşılamak üzere birçok işletme yönetimi sürdürülebilirlik raporları hazırlamaktadırlar (Adams, 2015; </w:t>
      </w:r>
      <w:proofErr w:type="spellStart"/>
      <w:r w:rsidRPr="00A678B3">
        <w:rPr>
          <w:rFonts w:ascii="Times New Roman" w:hAnsi="Times New Roman" w:cs="Times New Roman"/>
        </w:rPr>
        <w:t>Buallay</w:t>
      </w:r>
      <w:proofErr w:type="spellEnd"/>
      <w:r w:rsidRPr="00A678B3">
        <w:rPr>
          <w:rFonts w:ascii="Times New Roman" w:hAnsi="Times New Roman" w:cs="Times New Roman"/>
        </w:rPr>
        <w:t>, 2019). İşletmeler bu raporları hazırlayarak paydaşlardan gelen bu talebi karşılamakla birlikte, uzun vadede rekabet avantajı sağlayabilmektedirler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vd</w:t>
      </w:r>
      <w:proofErr w:type="spellEnd"/>
      <w:r w:rsidRPr="00A678B3">
        <w:rPr>
          <w:rFonts w:ascii="Times New Roman" w:hAnsi="Times New Roman" w:cs="Times New Roman"/>
        </w:rPr>
        <w:t>, 2018: 2).</w:t>
      </w:r>
    </w:p>
    <w:p w14:paraId="7DC39354" w14:textId="77777777" w:rsidR="0077248A" w:rsidRPr="00A678B3" w:rsidRDefault="0077248A" w:rsidP="0077248A">
      <w:pPr>
        <w:spacing w:before="240" w:line="240" w:lineRule="auto"/>
        <w:ind w:firstLine="708"/>
        <w:jc w:val="both"/>
        <w:rPr>
          <w:rFonts w:ascii="Times New Roman" w:hAnsi="Times New Roman" w:cs="Times New Roman"/>
        </w:rPr>
      </w:pPr>
      <w:r w:rsidRPr="00A678B3">
        <w:rPr>
          <w:rFonts w:ascii="Times New Roman" w:hAnsi="Times New Roman" w:cs="Times New Roman"/>
        </w:rPr>
        <w:t>Bankalar sürdürülebilirlik raporları ile itibarlarını artırabilir, olumlu imaj ve yüksek güven sağlayabilirler (</w:t>
      </w:r>
      <w:proofErr w:type="spellStart"/>
      <w:r w:rsidRPr="00A678B3">
        <w:rPr>
          <w:rFonts w:ascii="Times New Roman" w:hAnsi="Times New Roman" w:cs="Times New Roman"/>
        </w:rPr>
        <w:t>Shen</w:t>
      </w:r>
      <w:proofErr w:type="spellEnd"/>
      <w:r w:rsidRPr="00A678B3">
        <w:rPr>
          <w:rFonts w:ascii="Times New Roman" w:hAnsi="Times New Roman" w:cs="Times New Roman"/>
        </w:rPr>
        <w:t xml:space="preserve"> vd. 2016; </w:t>
      </w:r>
      <w:proofErr w:type="spellStart"/>
      <w:r w:rsidRPr="00A678B3">
        <w:rPr>
          <w:rFonts w:ascii="Times New Roman" w:hAnsi="Times New Roman" w:cs="Times New Roman"/>
        </w:rPr>
        <w:t>Liang</w:t>
      </w:r>
      <w:proofErr w:type="spellEnd"/>
      <w:r w:rsidRPr="00A678B3">
        <w:rPr>
          <w:rFonts w:ascii="Times New Roman" w:hAnsi="Times New Roman" w:cs="Times New Roman"/>
        </w:rPr>
        <w:t xml:space="preserve"> vd., 2018). İtibarı yüksek ve kendisine güvenilen bir banka hedeflerine daha kolay ulaşabilir </w:t>
      </w:r>
      <w:sdt>
        <w:sdtPr>
          <w:rPr>
            <w:rFonts w:ascii="Times New Roman" w:hAnsi="Times New Roman" w:cs="Times New Roman"/>
          </w:rPr>
          <w:id w:val="602472773"/>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CITATION DeH15 \t  \l 1055 </w:instrText>
          </w:r>
          <w:r w:rsidRPr="00A678B3">
            <w:rPr>
              <w:rFonts w:ascii="Times New Roman" w:hAnsi="Times New Roman" w:cs="Times New Roman"/>
            </w:rPr>
            <w:fldChar w:fldCharType="separate"/>
          </w:r>
          <w:r w:rsidRPr="00A678B3">
            <w:rPr>
              <w:rFonts w:ascii="Times New Roman" w:hAnsi="Times New Roman" w:cs="Times New Roman"/>
              <w:noProof/>
            </w:rPr>
            <w:t>(De Haan &amp; Vlahu, 2015)</w:t>
          </w:r>
          <w:r w:rsidRPr="00A678B3">
            <w:rPr>
              <w:rFonts w:ascii="Times New Roman" w:hAnsi="Times New Roman" w:cs="Times New Roman"/>
            </w:rPr>
            <w:fldChar w:fldCharType="end"/>
          </w:r>
        </w:sdtContent>
      </w:sdt>
      <w:r w:rsidRPr="00A678B3">
        <w:rPr>
          <w:rFonts w:ascii="Times New Roman" w:hAnsi="Times New Roman" w:cs="Times New Roman"/>
        </w:rPr>
        <w:t xml:space="preserve"> . Bu sebeple sürdürülebilirlik raporlarının bankalar için önemi artmaktadır. </w:t>
      </w:r>
    </w:p>
    <w:p w14:paraId="52F80AAE" w14:textId="77777777" w:rsidR="0077248A" w:rsidRPr="00A678B3" w:rsidRDefault="0077248A" w:rsidP="0077248A">
      <w:pPr>
        <w:spacing w:before="240" w:line="240" w:lineRule="auto"/>
        <w:ind w:firstLine="708"/>
        <w:jc w:val="both"/>
        <w:rPr>
          <w:rFonts w:ascii="Times New Roman" w:hAnsi="Times New Roman" w:cs="Times New Roman"/>
        </w:rPr>
      </w:pPr>
      <w:r w:rsidRPr="00A678B3">
        <w:rPr>
          <w:rFonts w:ascii="Times New Roman" w:hAnsi="Times New Roman" w:cs="Times New Roman"/>
        </w:rPr>
        <w:t>Şüphesiz bankalar tarafından hazırlanan sürdürülebilirlik raporları banka yöneticilerinin konuya karşı hassasiyetlerine göre şekillenecektir. Bu sebeple bankaların yönetim kurulları, bankanın finansal performansı gibi sürdürülebilirlik performansı üzerinde de önemli bir role sahiptir (</w:t>
      </w:r>
      <w:proofErr w:type="spellStart"/>
      <w:r w:rsidRPr="00A678B3">
        <w:rPr>
          <w:rFonts w:ascii="Times New Roman" w:hAnsi="Times New Roman" w:cs="Times New Roman"/>
        </w:rPr>
        <w:t>Rose</w:t>
      </w:r>
      <w:proofErr w:type="spellEnd"/>
      <w:r w:rsidRPr="00A678B3">
        <w:rPr>
          <w:rFonts w:ascii="Times New Roman" w:hAnsi="Times New Roman" w:cs="Times New Roman"/>
        </w:rPr>
        <w:t xml:space="preserve">, 2005).   </w:t>
      </w:r>
    </w:p>
    <w:p w14:paraId="10BE9725" w14:textId="3B8F89C9" w:rsidR="0077248A" w:rsidRPr="00A678B3" w:rsidRDefault="00A21B0D" w:rsidP="0077248A">
      <w:pPr>
        <w:spacing w:before="240" w:line="240" w:lineRule="auto"/>
        <w:ind w:firstLine="708"/>
        <w:jc w:val="both"/>
        <w:rPr>
          <w:rFonts w:ascii="Times New Roman" w:hAnsi="Times New Roman" w:cs="Times New Roman"/>
        </w:rPr>
      </w:pPr>
      <w:r w:rsidRPr="00A678B3">
        <w:rPr>
          <w:rFonts w:ascii="Times New Roman" w:hAnsi="Times New Roman" w:cs="Times New Roman"/>
        </w:rPr>
        <w:t>Finansal performans bazlı çalışmalara bakıldığında, y</w:t>
      </w:r>
      <w:r w:rsidR="0077248A" w:rsidRPr="00A678B3">
        <w:rPr>
          <w:rFonts w:ascii="Times New Roman" w:hAnsi="Times New Roman" w:cs="Times New Roman"/>
        </w:rPr>
        <w:t xml:space="preserve">abancı literatüre benzer şekilde, yerli literatürdeki çalışmaların sonuçları arasında da bir uyum bulunmamaktadır. Örneğin, bazı çalışmalarda yönetim kurulu üye sayısı arttıkça finansal performansın azaldığı, bazı çalışmalarda ise bunun tam tersi sonuçlara ulaşıldığı görülmektedir. Bunların yanında yönetim kurulu üye sayısı ile finansal performans arasındaki ilişkinin ters U şeklinde bir ilişki olduğu ve bu iki değişken arasında ilişki bulunmadığı yönünde de sonuçlar mevcuttur. </w:t>
      </w:r>
    </w:p>
    <w:p w14:paraId="7AB9296D" w14:textId="77777777" w:rsidR="0077248A" w:rsidRPr="00A678B3" w:rsidRDefault="0077248A" w:rsidP="0077248A">
      <w:pPr>
        <w:spacing w:before="240" w:line="240" w:lineRule="auto"/>
        <w:ind w:firstLine="708"/>
        <w:jc w:val="both"/>
        <w:rPr>
          <w:rFonts w:ascii="Times New Roman" w:hAnsi="Times New Roman" w:cs="Times New Roman"/>
        </w:rPr>
      </w:pPr>
      <w:r w:rsidRPr="00A678B3">
        <w:rPr>
          <w:rFonts w:ascii="Times New Roman" w:hAnsi="Times New Roman" w:cs="Times New Roman"/>
        </w:rPr>
        <w:t>Literatürdeki bu görüş birliği olmama durumu yönetim kurulunda kadın üye oranı ile finansal performans, yönetim kurulu üyelerinin ortalama yaşı ile finansal performans ilişkisi gibi birçok durum için geçerlidir. Farklı gruplar üzerinde yapılan çalışmalarda farklı sonuçlar elde edilmesi sebebiyle bu durum, her grup için aynı çözümün olamayacağını ifade eden “aynı beden herkese uymaz” (</w:t>
      </w:r>
      <w:proofErr w:type="spellStart"/>
      <w:r w:rsidRPr="00A678B3">
        <w:rPr>
          <w:rFonts w:ascii="Times New Roman" w:hAnsi="Times New Roman" w:cs="Times New Roman"/>
        </w:rPr>
        <w:t>one</w:t>
      </w:r>
      <w:proofErr w:type="spellEnd"/>
      <w:r w:rsidRPr="00A678B3">
        <w:rPr>
          <w:rFonts w:ascii="Times New Roman" w:hAnsi="Times New Roman" w:cs="Times New Roman"/>
        </w:rPr>
        <w:t xml:space="preserve"> size </w:t>
      </w:r>
      <w:proofErr w:type="spellStart"/>
      <w:r w:rsidRPr="00A678B3">
        <w:rPr>
          <w:rFonts w:ascii="Times New Roman" w:hAnsi="Times New Roman" w:cs="Times New Roman"/>
        </w:rPr>
        <w:t>does</w:t>
      </w:r>
      <w:proofErr w:type="spellEnd"/>
      <w:r w:rsidRPr="00A678B3">
        <w:rPr>
          <w:rFonts w:ascii="Times New Roman" w:hAnsi="Times New Roman" w:cs="Times New Roman"/>
        </w:rPr>
        <w:t xml:space="preserve"> not fit </w:t>
      </w:r>
      <w:proofErr w:type="spellStart"/>
      <w:r w:rsidRPr="00A678B3">
        <w:rPr>
          <w:rFonts w:ascii="Times New Roman" w:hAnsi="Times New Roman" w:cs="Times New Roman"/>
        </w:rPr>
        <w:t>all</w:t>
      </w:r>
      <w:proofErr w:type="spellEnd"/>
      <w:r w:rsidRPr="00A678B3">
        <w:rPr>
          <w:rFonts w:ascii="Times New Roman" w:hAnsi="Times New Roman" w:cs="Times New Roman"/>
        </w:rPr>
        <w:t>) yaklaşımı ile açıklanmaktadır</w:t>
      </w:r>
      <w:sdt>
        <w:sdtPr>
          <w:rPr>
            <w:rFonts w:ascii="Times New Roman" w:hAnsi="Times New Roman" w:cs="Times New Roman"/>
          </w:rPr>
          <w:id w:val="-1228136115"/>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 CITATION Arc07 \l 1055 </w:instrText>
          </w:r>
          <w:r w:rsidRPr="00A678B3">
            <w:rPr>
              <w:rFonts w:ascii="Times New Roman" w:hAnsi="Times New Roman" w:cs="Times New Roman"/>
            </w:rPr>
            <w:fldChar w:fldCharType="separate"/>
          </w:r>
          <w:r w:rsidRPr="00A678B3">
            <w:rPr>
              <w:rFonts w:ascii="Times New Roman" w:hAnsi="Times New Roman" w:cs="Times New Roman"/>
              <w:noProof/>
            </w:rPr>
            <w:t xml:space="preserve"> (Arcot &amp; Bruno, 2007)</w:t>
          </w:r>
          <w:r w:rsidRPr="00A678B3">
            <w:rPr>
              <w:rFonts w:ascii="Times New Roman" w:hAnsi="Times New Roman" w:cs="Times New Roman"/>
            </w:rPr>
            <w:fldChar w:fldCharType="end"/>
          </w:r>
        </w:sdtContent>
      </w:sdt>
      <w:r w:rsidRPr="00A678B3">
        <w:rPr>
          <w:rFonts w:ascii="Times New Roman" w:hAnsi="Times New Roman" w:cs="Times New Roman"/>
        </w:rPr>
        <w:t xml:space="preserve">. </w:t>
      </w:r>
    </w:p>
    <w:p w14:paraId="2C772346" w14:textId="2DC46958"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Finansal olmayan performans ölçüsü olarak ESG skorunun bağımlı değişken olduğu çalışmalarda da sonuçlar arasında farklılıklar bulunmaktadır. </w:t>
      </w:r>
      <w:proofErr w:type="spellStart"/>
      <w:r w:rsidRPr="00A678B3">
        <w:rPr>
          <w:rFonts w:ascii="Times New Roman" w:hAnsi="Times New Roman" w:cs="Times New Roman"/>
        </w:rPr>
        <w:t>Lagasio</w:t>
      </w:r>
      <w:proofErr w:type="spellEnd"/>
      <w:r w:rsidRPr="00A678B3">
        <w:rPr>
          <w:rFonts w:ascii="Times New Roman" w:hAnsi="Times New Roman" w:cs="Times New Roman"/>
        </w:rPr>
        <w:t xml:space="preserve"> ve </w:t>
      </w:r>
      <w:proofErr w:type="spellStart"/>
      <w:r w:rsidRPr="00A678B3">
        <w:rPr>
          <w:rFonts w:ascii="Times New Roman" w:hAnsi="Times New Roman" w:cs="Times New Roman"/>
        </w:rPr>
        <w:t>Cucari</w:t>
      </w:r>
      <w:proofErr w:type="spellEnd"/>
      <w:r w:rsidRPr="00A678B3">
        <w:rPr>
          <w:rFonts w:ascii="Times New Roman" w:hAnsi="Times New Roman" w:cs="Times New Roman"/>
        </w:rPr>
        <w:t xml:space="preserve"> yaptıkları çalışma sonucunda yönetim kurulu üye sayısı arttıkça, işletmelerin daha fazla </w:t>
      </w:r>
      <w:proofErr w:type="spellStart"/>
      <w:r w:rsidR="00A21B0D" w:rsidRPr="00A678B3">
        <w:rPr>
          <w:rFonts w:ascii="Times New Roman" w:hAnsi="Times New Roman" w:cs="Times New Roman"/>
        </w:rPr>
        <w:t>sürdüürlebilirlik</w:t>
      </w:r>
      <w:proofErr w:type="spellEnd"/>
      <w:r w:rsidR="00A21B0D" w:rsidRPr="00A678B3">
        <w:rPr>
          <w:rFonts w:ascii="Times New Roman" w:hAnsi="Times New Roman" w:cs="Times New Roman"/>
        </w:rPr>
        <w:t xml:space="preserve"> </w:t>
      </w:r>
      <w:r w:rsidRPr="00A678B3">
        <w:rPr>
          <w:rFonts w:ascii="Times New Roman" w:hAnsi="Times New Roman" w:cs="Times New Roman"/>
        </w:rPr>
        <w:t>açıklama</w:t>
      </w:r>
      <w:r w:rsidR="00A21B0D" w:rsidRPr="00A678B3">
        <w:rPr>
          <w:rFonts w:ascii="Times New Roman" w:hAnsi="Times New Roman" w:cs="Times New Roman"/>
        </w:rPr>
        <w:t xml:space="preserve">sı </w:t>
      </w:r>
      <w:r w:rsidRPr="00A678B3">
        <w:rPr>
          <w:rFonts w:ascii="Times New Roman" w:hAnsi="Times New Roman" w:cs="Times New Roman"/>
        </w:rPr>
        <w:t xml:space="preserve">yaptıkları sonucuna ulaşmışlardır (2018). </w:t>
      </w:r>
      <w:proofErr w:type="spellStart"/>
      <w:r w:rsidRPr="00A678B3">
        <w:rPr>
          <w:rFonts w:ascii="Times New Roman" w:hAnsi="Times New Roman" w:cs="Times New Roman"/>
        </w:rPr>
        <w:t>Esa</w:t>
      </w:r>
      <w:proofErr w:type="spellEnd"/>
      <w:r w:rsidRPr="00A678B3">
        <w:rPr>
          <w:rFonts w:ascii="Times New Roman" w:hAnsi="Times New Roman" w:cs="Times New Roman"/>
        </w:rPr>
        <w:t xml:space="preserve"> ve </w:t>
      </w:r>
      <w:proofErr w:type="spellStart"/>
      <w:r w:rsidRPr="00A678B3">
        <w:rPr>
          <w:rFonts w:ascii="Times New Roman" w:hAnsi="Times New Roman" w:cs="Times New Roman"/>
        </w:rPr>
        <w:t>Gzahali</w:t>
      </w:r>
      <w:proofErr w:type="spellEnd"/>
      <w:r w:rsidRPr="00A678B3">
        <w:rPr>
          <w:rFonts w:ascii="Times New Roman" w:hAnsi="Times New Roman" w:cs="Times New Roman"/>
        </w:rPr>
        <w:t xml:space="preserve"> de Malezya işletmelerinden bir örneklem üzerinde yaptıkları çalışma sonucunda kurumsal sosyal sorumluluk açıklamaları ile yönetim kurulu üye sayısı arasında pozitif yönlü ve anlamlı bir ilişki olduğu sonucuna ulaşmışlardır (2012: 292). </w:t>
      </w:r>
      <w:proofErr w:type="spellStart"/>
      <w:r w:rsidRPr="00A678B3">
        <w:rPr>
          <w:rFonts w:ascii="Times New Roman" w:hAnsi="Times New Roman" w:cs="Times New Roman"/>
        </w:rPr>
        <w:t>Allegrini</w:t>
      </w:r>
      <w:proofErr w:type="spellEnd"/>
      <w:r w:rsidRPr="00A678B3">
        <w:rPr>
          <w:rFonts w:ascii="Times New Roman" w:hAnsi="Times New Roman" w:cs="Times New Roman"/>
        </w:rPr>
        <w:t xml:space="preserve"> ve </w:t>
      </w:r>
      <w:proofErr w:type="spellStart"/>
      <w:r w:rsidRPr="00A678B3">
        <w:rPr>
          <w:rFonts w:ascii="Times New Roman" w:hAnsi="Times New Roman" w:cs="Times New Roman"/>
        </w:rPr>
        <w:t>Greco</w:t>
      </w:r>
      <w:proofErr w:type="spellEnd"/>
      <w:r w:rsidRPr="00A678B3">
        <w:rPr>
          <w:rFonts w:ascii="Times New Roman" w:hAnsi="Times New Roman" w:cs="Times New Roman"/>
        </w:rPr>
        <w:t xml:space="preserve"> tarafından İtalya’da borsaya </w:t>
      </w:r>
      <w:proofErr w:type="spellStart"/>
      <w:r w:rsidRPr="00A678B3">
        <w:rPr>
          <w:rFonts w:ascii="Times New Roman" w:hAnsi="Times New Roman" w:cs="Times New Roman"/>
        </w:rPr>
        <w:t>kote</w:t>
      </w:r>
      <w:proofErr w:type="spellEnd"/>
      <w:r w:rsidRPr="00A678B3">
        <w:rPr>
          <w:rFonts w:ascii="Times New Roman" w:hAnsi="Times New Roman" w:cs="Times New Roman"/>
        </w:rPr>
        <w:t xml:space="preserve"> şirketler üzerinde yapılan çalışmanın sonuçları da saydığımız bu çalışmalarla uyumludur (</w:t>
      </w:r>
      <w:proofErr w:type="spellStart"/>
      <w:r w:rsidRPr="00A678B3">
        <w:rPr>
          <w:rFonts w:ascii="Times New Roman" w:hAnsi="Times New Roman" w:cs="Times New Roman"/>
        </w:rPr>
        <w:t>Allegrini</w:t>
      </w:r>
      <w:proofErr w:type="spellEnd"/>
      <w:r w:rsidRPr="00A678B3">
        <w:rPr>
          <w:rFonts w:ascii="Times New Roman" w:hAnsi="Times New Roman" w:cs="Times New Roman"/>
        </w:rPr>
        <w:t xml:space="preserve"> &amp; </w:t>
      </w:r>
      <w:proofErr w:type="spellStart"/>
      <w:r w:rsidRPr="00A678B3">
        <w:rPr>
          <w:rFonts w:ascii="Times New Roman" w:hAnsi="Times New Roman" w:cs="Times New Roman"/>
        </w:rPr>
        <w:t>Greco</w:t>
      </w:r>
      <w:proofErr w:type="spellEnd"/>
      <w:r w:rsidRPr="00A678B3">
        <w:rPr>
          <w:rFonts w:ascii="Times New Roman" w:hAnsi="Times New Roman" w:cs="Times New Roman"/>
        </w:rPr>
        <w:t xml:space="preserve">, 2013). </w:t>
      </w:r>
    </w:p>
    <w:p w14:paraId="719104D3"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Bu çalışmaların sonuçlarından farklı olarak, </w:t>
      </w:r>
      <w:proofErr w:type="spellStart"/>
      <w:r w:rsidRPr="00A678B3">
        <w:rPr>
          <w:rFonts w:ascii="Times New Roman" w:hAnsi="Times New Roman" w:cs="Times New Roman"/>
        </w:rPr>
        <w:t>Giannarakis</w:t>
      </w:r>
      <w:proofErr w:type="spellEnd"/>
      <w:r w:rsidRPr="00A678B3">
        <w:rPr>
          <w:rFonts w:ascii="Times New Roman" w:hAnsi="Times New Roman" w:cs="Times New Roman"/>
        </w:rPr>
        <w:t xml:space="preserve"> yönetim kurulu üye sayısı ile ESG skorları arasında anlamlı bir ilişkiye ulaşamadığını açıklamıştır (</w:t>
      </w:r>
      <w:proofErr w:type="spellStart"/>
      <w:r w:rsidRPr="00A678B3">
        <w:rPr>
          <w:rFonts w:ascii="Times New Roman" w:hAnsi="Times New Roman" w:cs="Times New Roman"/>
        </w:rPr>
        <w:t>Giannarakis</w:t>
      </w:r>
      <w:proofErr w:type="spellEnd"/>
      <w:r w:rsidRPr="00A678B3">
        <w:rPr>
          <w:rFonts w:ascii="Times New Roman" w:hAnsi="Times New Roman" w:cs="Times New Roman"/>
        </w:rPr>
        <w:t xml:space="preserve">, 2014; 569).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vd. Avrupa ve Amerika bankaları verileri ile yaptıkları çalışma sonucunda bankaların yönetim kurulu üye sayıları ile ESG skorları arasında pozitif yönlü ve anlamlı ilişkiye ulaşmışlardır (2018). </w:t>
      </w:r>
    </w:p>
    <w:p w14:paraId="63730F08" w14:textId="73A9C23F" w:rsidR="0077248A" w:rsidRPr="00A678B3" w:rsidRDefault="00A21B0D" w:rsidP="0077248A">
      <w:pPr>
        <w:spacing w:line="240" w:lineRule="auto"/>
        <w:ind w:firstLine="708"/>
        <w:jc w:val="both"/>
        <w:rPr>
          <w:rFonts w:ascii="Times New Roman" w:hAnsi="Times New Roman" w:cs="Times New Roman"/>
        </w:rPr>
      </w:pPr>
      <w:r w:rsidRPr="00A678B3">
        <w:rPr>
          <w:rFonts w:ascii="Times New Roman" w:hAnsi="Times New Roman" w:cs="Times New Roman"/>
        </w:rPr>
        <w:t>Literatürdeki farklı görüşlere karşın, yönetim kurulu üye sayısının artmasının yönetime çok seslilik getirmesi beklentisi ile b</w:t>
      </w:r>
      <w:r w:rsidR="0077248A" w:rsidRPr="00A678B3">
        <w:rPr>
          <w:rFonts w:ascii="Times New Roman" w:hAnsi="Times New Roman" w:cs="Times New Roman"/>
        </w:rPr>
        <w:t>u çalışmada Borsa İstanbul Sürdürülebilirlik Endeksi’nde yer alan mevduat bankalarının yönetim kurulu yapıları ile ESG skorları arasındaki ilişki</w:t>
      </w:r>
      <w:r w:rsidRPr="00A678B3">
        <w:rPr>
          <w:rFonts w:ascii="Times New Roman" w:hAnsi="Times New Roman" w:cs="Times New Roman"/>
        </w:rPr>
        <w:t xml:space="preserve"> için ilk hipotez aşağıdaki şekilde oluşturulmuştur:</w:t>
      </w:r>
    </w:p>
    <w:p w14:paraId="501493D3" w14:textId="77777777" w:rsidR="0077248A" w:rsidRPr="00A678B3" w:rsidRDefault="0077248A" w:rsidP="0077248A">
      <w:pPr>
        <w:spacing w:line="240" w:lineRule="auto"/>
        <w:jc w:val="both"/>
        <w:rPr>
          <w:rFonts w:ascii="Times New Roman" w:hAnsi="Times New Roman" w:cs="Times New Roman"/>
        </w:rPr>
      </w:pPr>
      <w:r w:rsidRPr="00A678B3">
        <w:rPr>
          <w:rFonts w:ascii="Times New Roman" w:hAnsi="Times New Roman" w:cs="Times New Roman"/>
          <w:b/>
          <w:bCs/>
        </w:rPr>
        <w:t>H1</w:t>
      </w:r>
      <w:r w:rsidRPr="00A678B3">
        <w:rPr>
          <w:rFonts w:ascii="Times New Roman" w:hAnsi="Times New Roman" w:cs="Times New Roman"/>
        </w:rPr>
        <w:t>: Sürdürülebilirlik endeksinde yer alan mevduat bankalarının yönetim kurulu üye sayısı arttıkça ESG skorları artmaktadır.</w:t>
      </w:r>
    </w:p>
    <w:p w14:paraId="4077F166"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İşletmenin performansı ile yönetim kurulunda yer alan kadın üye oranı arasındaki ilişki de birçok araştırmacı tarafından analiz edilmiştir. Genel olarak sürdürülebilirlikle ilgili olarak kadınların pozitif katkı sağlamaları beklenmektedir. Bu beklentinin altında yatan neden kadınların doğaya, insana ve toplumsal refaha karşı hassasiyetlerinin yüksek olmasıdır (</w:t>
      </w:r>
      <w:proofErr w:type="spellStart"/>
      <w:r w:rsidRPr="00A678B3">
        <w:rPr>
          <w:rFonts w:ascii="Times New Roman" w:hAnsi="Times New Roman" w:cs="Times New Roman"/>
        </w:rPr>
        <w:t>Eagly</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Johannesen-Schmidt</w:t>
      </w:r>
      <w:proofErr w:type="spellEnd"/>
      <w:r w:rsidRPr="00A678B3">
        <w:rPr>
          <w:rFonts w:ascii="Times New Roman" w:hAnsi="Times New Roman" w:cs="Times New Roman"/>
        </w:rPr>
        <w:t xml:space="preserve">, &amp; Van </w:t>
      </w:r>
      <w:proofErr w:type="spellStart"/>
      <w:r w:rsidRPr="00A678B3">
        <w:rPr>
          <w:rFonts w:ascii="Times New Roman" w:hAnsi="Times New Roman" w:cs="Times New Roman"/>
        </w:rPr>
        <w:t>Engen</w:t>
      </w:r>
      <w:proofErr w:type="spellEnd"/>
      <w:r w:rsidRPr="00A678B3">
        <w:rPr>
          <w:rFonts w:ascii="Times New Roman" w:hAnsi="Times New Roman" w:cs="Times New Roman"/>
        </w:rPr>
        <w:t xml:space="preserve">, 2003: 569). </w:t>
      </w:r>
      <w:proofErr w:type="spellStart"/>
      <w:r w:rsidRPr="00A678B3">
        <w:rPr>
          <w:rFonts w:ascii="Times New Roman" w:hAnsi="Times New Roman" w:cs="Times New Roman"/>
        </w:rPr>
        <w:t>Mc</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Guines</w:t>
      </w:r>
      <w:proofErr w:type="spellEnd"/>
      <w:r w:rsidRPr="00A678B3">
        <w:rPr>
          <w:rFonts w:ascii="Times New Roman" w:hAnsi="Times New Roman" w:cs="Times New Roman"/>
        </w:rPr>
        <w:t xml:space="preserve"> vd. yönetim kurulunda dengeli bir cinsiyet dağılımının işletmenin sürdürülebilirlik </w:t>
      </w:r>
      <w:r w:rsidRPr="00A678B3">
        <w:rPr>
          <w:rFonts w:ascii="Times New Roman" w:hAnsi="Times New Roman" w:cs="Times New Roman"/>
        </w:rPr>
        <w:lastRenderedPageBreak/>
        <w:t xml:space="preserve">performansına olumlu katkı sağlayacağı görüşündedirler (2017). </w:t>
      </w:r>
      <w:proofErr w:type="spellStart"/>
      <w:r w:rsidRPr="00A678B3">
        <w:rPr>
          <w:rFonts w:ascii="Times New Roman" w:hAnsi="Times New Roman" w:cs="Times New Roman"/>
        </w:rPr>
        <w:t>Velte</w:t>
      </w:r>
      <w:proofErr w:type="spellEnd"/>
      <w:r w:rsidRPr="00A678B3">
        <w:rPr>
          <w:rFonts w:ascii="Times New Roman" w:hAnsi="Times New Roman" w:cs="Times New Roman"/>
        </w:rPr>
        <w:t xml:space="preserve">, Almanya ve Avusturya’da borsalara </w:t>
      </w:r>
      <w:proofErr w:type="spellStart"/>
      <w:r w:rsidRPr="00A678B3">
        <w:rPr>
          <w:rFonts w:ascii="Times New Roman" w:hAnsi="Times New Roman" w:cs="Times New Roman"/>
        </w:rPr>
        <w:t>kote</w:t>
      </w:r>
      <w:proofErr w:type="spellEnd"/>
      <w:r w:rsidRPr="00A678B3">
        <w:rPr>
          <w:rFonts w:ascii="Times New Roman" w:hAnsi="Times New Roman" w:cs="Times New Roman"/>
        </w:rPr>
        <w:t xml:space="preserve"> işletmeler üzerinde yaptığı çalışma sonucunda kadın yönetim kurulu üye oranı arttıkça, işletmelerin ESG skorlarının arttığı sonucuna ulaşmıştır (2016).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vd. İtalyan bankaları özelinde yaptıkları çalışmada kadın yönetim kurulu üye sayısı ile ESG skorları arasında ters U şeklinde bir ilişki olduğu sonucuna ulaşmışlardır (2018). Türk bankaları için yönetim kurulu kadın üye oranının ESG skorlarına etki edip etmediğini görmek amacıyla ikinci hipotez aşağıdaki şekilde kurulmuştur:</w:t>
      </w:r>
    </w:p>
    <w:p w14:paraId="5474B789" w14:textId="77777777" w:rsidR="0077248A" w:rsidRPr="00A678B3" w:rsidRDefault="0077248A" w:rsidP="0077248A">
      <w:pPr>
        <w:spacing w:line="240" w:lineRule="auto"/>
        <w:jc w:val="both"/>
        <w:rPr>
          <w:rFonts w:ascii="Times New Roman" w:hAnsi="Times New Roman" w:cs="Times New Roman"/>
        </w:rPr>
      </w:pPr>
      <w:r w:rsidRPr="00A678B3">
        <w:rPr>
          <w:rFonts w:ascii="Times New Roman" w:hAnsi="Times New Roman" w:cs="Times New Roman"/>
          <w:b/>
          <w:bCs/>
        </w:rPr>
        <w:t>H2</w:t>
      </w:r>
      <w:r w:rsidRPr="00A678B3">
        <w:rPr>
          <w:rFonts w:ascii="Times New Roman" w:hAnsi="Times New Roman" w:cs="Times New Roman"/>
        </w:rPr>
        <w:t>: Sürdürülebilirlik Endeksinde yer alan mevduat bankalarının yönetim kurulu kadın üye oranları arttıkça ESG skorları artmaktadır.</w:t>
      </w:r>
    </w:p>
    <w:p w14:paraId="1CB1E8AD" w14:textId="18AC6E4C"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ESG skorlarına etki etmesi beklenen bir diğer yönetim kurulu değişkeni ise yönetim kurulu</w:t>
      </w:r>
      <w:r w:rsidR="00A21B0D" w:rsidRPr="00A678B3">
        <w:rPr>
          <w:rFonts w:ascii="Times New Roman" w:hAnsi="Times New Roman" w:cs="Times New Roman"/>
        </w:rPr>
        <w:t xml:space="preserve"> bağımsız üye oranıdır</w:t>
      </w:r>
      <w:r w:rsidRPr="00A678B3">
        <w:rPr>
          <w:rFonts w:ascii="Times New Roman" w:hAnsi="Times New Roman" w:cs="Times New Roman"/>
        </w:rPr>
        <w:t xml:space="preserve">. </w:t>
      </w:r>
      <w:r w:rsidR="00A21B0D" w:rsidRPr="00A678B3">
        <w:rPr>
          <w:rFonts w:ascii="Times New Roman" w:hAnsi="Times New Roman" w:cs="Times New Roman"/>
        </w:rPr>
        <w:t xml:space="preserve">Bağımsız üye oranının </w:t>
      </w:r>
      <w:r w:rsidRPr="00A678B3">
        <w:rPr>
          <w:rFonts w:ascii="Times New Roman" w:hAnsi="Times New Roman" w:cs="Times New Roman"/>
        </w:rPr>
        <w:t>yüksek olması</w:t>
      </w:r>
      <w:r w:rsidR="00303FA1" w:rsidRPr="00A678B3">
        <w:rPr>
          <w:rFonts w:ascii="Times New Roman" w:hAnsi="Times New Roman" w:cs="Times New Roman"/>
        </w:rPr>
        <w:t>, finansal performansa odalı bağımlı üyelere nazaran bağımsız üyelerin finansal olmayan performans sonuçlarına daha fazla odaklanacaklarının düşünülmesidir.</w:t>
      </w:r>
    </w:p>
    <w:p w14:paraId="2C0687C2" w14:textId="10E4E218" w:rsidR="0077248A" w:rsidRPr="00A678B3" w:rsidRDefault="0077248A" w:rsidP="0077248A">
      <w:pPr>
        <w:spacing w:line="240" w:lineRule="auto"/>
        <w:jc w:val="both"/>
        <w:rPr>
          <w:rFonts w:ascii="Times New Roman" w:hAnsi="Times New Roman" w:cs="Times New Roman"/>
        </w:rPr>
      </w:pPr>
      <w:r w:rsidRPr="00A678B3">
        <w:rPr>
          <w:rFonts w:ascii="Times New Roman" w:hAnsi="Times New Roman" w:cs="Times New Roman"/>
          <w:b/>
          <w:bCs/>
        </w:rPr>
        <w:t xml:space="preserve">H3: </w:t>
      </w:r>
      <w:r w:rsidRPr="00A678B3">
        <w:rPr>
          <w:rFonts w:ascii="Times New Roman" w:hAnsi="Times New Roman" w:cs="Times New Roman"/>
        </w:rPr>
        <w:t xml:space="preserve">Sürdürülebilirlik Endeksinde yer alan mevduat bankalarının yönetim kurulu </w:t>
      </w:r>
      <w:r w:rsidR="003F566A" w:rsidRPr="00A678B3">
        <w:rPr>
          <w:rFonts w:ascii="Times New Roman" w:hAnsi="Times New Roman" w:cs="Times New Roman"/>
        </w:rPr>
        <w:t xml:space="preserve">bağımsız üye oranı </w:t>
      </w:r>
      <w:r w:rsidRPr="00A678B3">
        <w:rPr>
          <w:rFonts w:ascii="Times New Roman" w:hAnsi="Times New Roman" w:cs="Times New Roman"/>
        </w:rPr>
        <w:t xml:space="preserve">arttıkça ESG skorları artmaktadır. </w:t>
      </w:r>
    </w:p>
    <w:p w14:paraId="1192DB72" w14:textId="5A0AEC40" w:rsidR="0077248A" w:rsidRPr="006251C3" w:rsidRDefault="0077248A" w:rsidP="003F566A">
      <w:pPr>
        <w:pStyle w:val="ListeParagraf"/>
        <w:numPr>
          <w:ilvl w:val="0"/>
          <w:numId w:val="2"/>
        </w:numPr>
        <w:tabs>
          <w:tab w:val="left" w:pos="993"/>
        </w:tabs>
        <w:spacing w:before="120" w:after="120" w:line="240" w:lineRule="auto"/>
        <w:jc w:val="both"/>
        <w:rPr>
          <w:rFonts w:ascii="Times New Roman" w:hAnsi="Times New Roman" w:cs="Times New Roman"/>
          <w:b/>
          <w:bCs/>
          <w:sz w:val="24"/>
          <w:szCs w:val="24"/>
        </w:rPr>
      </w:pPr>
      <w:r w:rsidRPr="006251C3">
        <w:rPr>
          <w:rFonts w:ascii="Times New Roman" w:hAnsi="Times New Roman" w:cs="Times New Roman"/>
          <w:b/>
          <w:bCs/>
          <w:sz w:val="24"/>
          <w:szCs w:val="24"/>
        </w:rPr>
        <w:t>Analiz</w:t>
      </w:r>
    </w:p>
    <w:p w14:paraId="49F96035" w14:textId="16CCE130" w:rsidR="0077248A" w:rsidRPr="006251C3" w:rsidRDefault="0077248A" w:rsidP="003F566A">
      <w:pPr>
        <w:pStyle w:val="ListeParagraf"/>
        <w:numPr>
          <w:ilvl w:val="1"/>
          <w:numId w:val="2"/>
        </w:numPr>
        <w:spacing w:line="240" w:lineRule="auto"/>
        <w:rPr>
          <w:rFonts w:ascii="Times New Roman" w:hAnsi="Times New Roman" w:cs="Times New Roman"/>
          <w:b/>
          <w:bCs/>
          <w:sz w:val="24"/>
          <w:szCs w:val="24"/>
        </w:rPr>
      </w:pPr>
      <w:r w:rsidRPr="006251C3">
        <w:rPr>
          <w:rFonts w:ascii="Times New Roman" w:hAnsi="Times New Roman" w:cs="Times New Roman"/>
          <w:b/>
          <w:bCs/>
          <w:sz w:val="24"/>
          <w:szCs w:val="24"/>
        </w:rPr>
        <w:t xml:space="preserve"> Araştırmanın Örneklemi</w:t>
      </w:r>
    </w:p>
    <w:p w14:paraId="7EECA924"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Çalışmada kullanılan ESG skorları ve kurumsal yönetim değişkenlerine ait veri Bloomberg veri tabanından ve Türkiye Bankalar Birliği’nin yayınladığı banka finansal tablolarından elde edilmiştir. </w:t>
      </w:r>
    </w:p>
    <w:p w14:paraId="5821CCC0"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Bloomberg tarafından açıklanan ESG skorları dünya çapında kullanılmakta olan skorlardır. Bloomberg bu skorların hesaplamasını çevre, toplum ve yönetişim alanında belirlediği 120 göstergeyi baz alarak yapmaktadır. Göstergeler, ilgili açıklamanın yapılıp yapılmadığına göre skora yansımaktadır </w:t>
      </w:r>
      <w:sdt>
        <w:sdtPr>
          <w:rPr>
            <w:rFonts w:ascii="Times New Roman" w:hAnsi="Times New Roman" w:cs="Times New Roman"/>
          </w:rPr>
          <w:id w:val="16453260"/>
          <w:citation/>
        </w:sdtPr>
        <w:sdtContent>
          <w:r w:rsidRPr="00A678B3">
            <w:rPr>
              <w:rFonts w:ascii="Times New Roman" w:hAnsi="Times New Roman" w:cs="Times New Roman"/>
            </w:rPr>
            <w:fldChar w:fldCharType="begin"/>
          </w:r>
          <w:r w:rsidRPr="00A678B3">
            <w:rPr>
              <w:rFonts w:ascii="Times New Roman" w:hAnsi="Times New Roman" w:cs="Times New Roman"/>
            </w:rPr>
            <w:instrText xml:space="preserve">CITATION Blo20 \l 1055 </w:instrText>
          </w:r>
          <w:r w:rsidRPr="00A678B3">
            <w:rPr>
              <w:rFonts w:ascii="Times New Roman" w:hAnsi="Times New Roman" w:cs="Times New Roman"/>
            </w:rPr>
            <w:fldChar w:fldCharType="separate"/>
          </w:r>
          <w:r w:rsidRPr="00A678B3">
            <w:rPr>
              <w:rFonts w:ascii="Times New Roman" w:hAnsi="Times New Roman" w:cs="Times New Roman"/>
              <w:noProof/>
            </w:rPr>
            <w:t>(Bloomberg, 2020)</w:t>
          </w:r>
          <w:r w:rsidRPr="00A678B3">
            <w:rPr>
              <w:rFonts w:ascii="Times New Roman" w:hAnsi="Times New Roman" w:cs="Times New Roman"/>
            </w:rPr>
            <w:fldChar w:fldCharType="end"/>
          </w:r>
        </w:sdtContent>
      </w:sdt>
      <w:r w:rsidRPr="00A678B3">
        <w:rPr>
          <w:rFonts w:ascii="Times New Roman" w:hAnsi="Times New Roman" w:cs="Times New Roman"/>
        </w:rPr>
        <w:t xml:space="preserve">. İşletmelerin genel eğilimleri belirtilen üç alana ilişkin sorunlu oldukları alanlarda açıklama yapmamaktır. Bu sebeple bu alandaki göstergelerden düşük skorlar almaktadırlar. </w:t>
      </w:r>
    </w:p>
    <w:p w14:paraId="23B8D990"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Belirlenen 120 gösterge sektörden sektöre farklılık göstermektedir (Suzuki, </w:t>
      </w:r>
      <w:proofErr w:type="spellStart"/>
      <w:r w:rsidRPr="00A678B3">
        <w:rPr>
          <w:rFonts w:ascii="Times New Roman" w:hAnsi="Times New Roman" w:cs="Times New Roman"/>
        </w:rPr>
        <w:t>Levy</w:t>
      </w:r>
      <w:proofErr w:type="spellEnd"/>
      <w:r w:rsidRPr="00A678B3">
        <w:rPr>
          <w:rFonts w:ascii="Times New Roman" w:hAnsi="Times New Roman" w:cs="Times New Roman"/>
        </w:rPr>
        <w:t>, 2010). Örneğin bir tekstil işletmesi ile bir havayolu taşımacılığı işletmesinin değerlendirilmesi farklı ölçütlerle yapılmaktadır. Bu sebeple Bloomberg tarafından hesaplanan skorlar aynı sektördeki farklı işletmelerin finansal olmayan performanslarının karşılaştırılmasında iyi bir göstergedir (</w:t>
      </w:r>
      <w:proofErr w:type="spellStart"/>
      <w:r w:rsidRPr="00A678B3">
        <w:rPr>
          <w:rFonts w:ascii="Times New Roman" w:hAnsi="Times New Roman" w:cs="Times New Roman"/>
        </w:rPr>
        <w:t>Birindelli</w:t>
      </w:r>
      <w:proofErr w:type="spellEnd"/>
      <w:r w:rsidRPr="00A678B3">
        <w:rPr>
          <w:rFonts w:ascii="Times New Roman" w:hAnsi="Times New Roman" w:cs="Times New Roman"/>
        </w:rPr>
        <w:t xml:space="preserve"> vd., 2018). Bununla birlikte finansal olmayan verilerin açıklanması konusunda ülke kaynaklı faktörlerin etkisinin de olduğu unutulmamalıdır (</w:t>
      </w:r>
      <w:proofErr w:type="spellStart"/>
      <w:r w:rsidRPr="00A678B3">
        <w:rPr>
          <w:rFonts w:ascii="Times New Roman" w:hAnsi="Times New Roman" w:cs="Times New Roman"/>
        </w:rPr>
        <w:t>Ioanna</w:t>
      </w:r>
      <w:proofErr w:type="spellEnd"/>
      <w:r w:rsidRPr="00A678B3">
        <w:rPr>
          <w:rFonts w:ascii="Times New Roman" w:hAnsi="Times New Roman" w:cs="Times New Roman"/>
        </w:rPr>
        <w:t xml:space="preserve">, </w:t>
      </w:r>
      <w:proofErr w:type="spellStart"/>
      <w:r w:rsidRPr="00A678B3">
        <w:rPr>
          <w:rFonts w:ascii="Times New Roman" w:hAnsi="Times New Roman" w:cs="Times New Roman"/>
        </w:rPr>
        <w:t>Serafeim</w:t>
      </w:r>
      <w:proofErr w:type="spellEnd"/>
      <w:r w:rsidRPr="00A678B3">
        <w:rPr>
          <w:rFonts w:ascii="Times New Roman" w:hAnsi="Times New Roman" w:cs="Times New Roman"/>
        </w:rPr>
        <w:t xml:space="preserve">, 2017). Örneğin bir ülkenin raporlarda açıklanmasını zorunlu tuttuğu bir durum başka bir ülkede zorunlu olmayabilir. Bu sebeple Bloomberg ESG skorlarının karşılaştırma amaçlı kullanımında ülke ve sektör kısıtlamalarının dikkate alınması daha sağlıklı sonuçlara ulaşılmasını sağlayacaktır. </w:t>
      </w:r>
    </w:p>
    <w:p w14:paraId="057F2DCD"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Bu çalışmada Borsa İstanbul Sürdürülebilirlik Endeksinde yer alan 7 mevduat bankasının 2011-2018 yılları arasındaki verileri kullanılarak bankaların finansal olmayan performansları ile yönetim kurulu yapıları arasındaki ilişki analiz edilmiştir. Çalışma kapsamında yer alan 7 banka Tablo 1’de gösterilmiştir:</w:t>
      </w:r>
    </w:p>
    <w:p w14:paraId="7B0CC5B2" w14:textId="77777777" w:rsidR="0077248A" w:rsidRPr="00A678B3" w:rsidRDefault="0077248A" w:rsidP="0077248A">
      <w:pPr>
        <w:pStyle w:val="ResimYazs"/>
        <w:keepNext/>
        <w:jc w:val="center"/>
        <w:rPr>
          <w:rFonts w:ascii="Times New Roman" w:hAnsi="Times New Roman" w:cs="Times New Roman"/>
          <w:i w:val="0"/>
          <w:iCs w:val="0"/>
          <w:color w:val="auto"/>
          <w:szCs w:val="22"/>
        </w:rPr>
      </w:pPr>
      <w:r w:rsidRPr="00A678B3">
        <w:rPr>
          <w:rFonts w:ascii="Times New Roman" w:hAnsi="Times New Roman" w:cs="Times New Roman"/>
          <w:b/>
          <w:i w:val="0"/>
          <w:iCs w:val="0"/>
          <w:szCs w:val="22"/>
        </w:rPr>
        <w:t>Tablo 1.</w:t>
      </w:r>
      <w:r w:rsidRPr="00A678B3">
        <w:rPr>
          <w:rFonts w:ascii="Times New Roman" w:hAnsi="Times New Roman" w:cs="Times New Roman"/>
          <w:i w:val="0"/>
          <w:iCs w:val="0"/>
          <w:szCs w:val="22"/>
        </w:rPr>
        <w:t xml:space="preserve"> </w:t>
      </w:r>
      <w:r w:rsidRPr="00A678B3">
        <w:rPr>
          <w:rFonts w:ascii="Times New Roman" w:hAnsi="Times New Roman" w:cs="Times New Roman"/>
          <w:b/>
          <w:bCs/>
          <w:i w:val="0"/>
          <w:iCs w:val="0"/>
          <w:color w:val="auto"/>
          <w:szCs w:val="22"/>
        </w:rPr>
        <w:t>Çalışmada yer alan bankalar</w:t>
      </w:r>
    </w:p>
    <w:tbl>
      <w:tblPr>
        <w:tblStyle w:val="DzTablo1"/>
        <w:tblW w:w="0" w:type="auto"/>
        <w:tblLook w:val="04A0" w:firstRow="1" w:lastRow="0" w:firstColumn="1" w:lastColumn="0" w:noHBand="0" w:noVBand="1"/>
      </w:tblPr>
      <w:tblGrid>
        <w:gridCol w:w="316"/>
        <w:gridCol w:w="9148"/>
      </w:tblGrid>
      <w:tr w:rsidR="0077248A" w:rsidRPr="00A678B3" w14:paraId="108F0E61" w14:textId="77777777" w:rsidTr="00B8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 w:type="dxa"/>
          </w:tcPr>
          <w:p w14:paraId="34092EA8"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1</w:t>
            </w:r>
          </w:p>
        </w:tc>
        <w:tc>
          <w:tcPr>
            <w:tcW w:w="9148" w:type="dxa"/>
          </w:tcPr>
          <w:p w14:paraId="5F4FB992" w14:textId="77777777" w:rsidR="0077248A" w:rsidRPr="00A678B3" w:rsidRDefault="0077248A" w:rsidP="00B8376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A678B3">
              <w:rPr>
                <w:rFonts w:ascii="Times New Roman" w:hAnsi="Times New Roman" w:cs="Times New Roman"/>
                <w:b w:val="0"/>
                <w:bCs w:val="0"/>
                <w:sz w:val="20"/>
                <w:szCs w:val="20"/>
              </w:rPr>
              <w:t>Akbank</w:t>
            </w:r>
          </w:p>
        </w:tc>
      </w:tr>
      <w:tr w:rsidR="0077248A" w:rsidRPr="00A678B3" w14:paraId="55263585" w14:textId="77777777" w:rsidTr="00B8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 w:type="dxa"/>
          </w:tcPr>
          <w:p w14:paraId="5B2747C6"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2</w:t>
            </w:r>
          </w:p>
        </w:tc>
        <w:tc>
          <w:tcPr>
            <w:tcW w:w="9148" w:type="dxa"/>
          </w:tcPr>
          <w:p w14:paraId="0CF95B0A"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Türkiye Garanti Bankası A.Ş.</w:t>
            </w:r>
          </w:p>
        </w:tc>
      </w:tr>
      <w:tr w:rsidR="0077248A" w:rsidRPr="00A678B3" w14:paraId="0691C416" w14:textId="77777777" w:rsidTr="00B83763">
        <w:tc>
          <w:tcPr>
            <w:cnfStyle w:val="001000000000" w:firstRow="0" w:lastRow="0" w:firstColumn="1" w:lastColumn="0" w:oddVBand="0" w:evenVBand="0" w:oddHBand="0" w:evenHBand="0" w:firstRowFirstColumn="0" w:firstRowLastColumn="0" w:lastRowFirstColumn="0" w:lastRowLastColumn="0"/>
            <w:tcW w:w="237" w:type="dxa"/>
          </w:tcPr>
          <w:p w14:paraId="35E01392"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3</w:t>
            </w:r>
          </w:p>
        </w:tc>
        <w:tc>
          <w:tcPr>
            <w:tcW w:w="9148" w:type="dxa"/>
          </w:tcPr>
          <w:p w14:paraId="705BA339" w14:textId="77777777"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Halk Bank</w:t>
            </w:r>
          </w:p>
        </w:tc>
      </w:tr>
      <w:tr w:rsidR="0077248A" w:rsidRPr="00A678B3" w14:paraId="75342307" w14:textId="77777777" w:rsidTr="00B8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 w:type="dxa"/>
          </w:tcPr>
          <w:p w14:paraId="211C3591"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4</w:t>
            </w:r>
          </w:p>
        </w:tc>
        <w:tc>
          <w:tcPr>
            <w:tcW w:w="9148" w:type="dxa"/>
          </w:tcPr>
          <w:p w14:paraId="523FD0A5"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İş Bankası</w:t>
            </w:r>
          </w:p>
        </w:tc>
      </w:tr>
      <w:tr w:rsidR="0077248A" w:rsidRPr="00A678B3" w14:paraId="19030C8E" w14:textId="77777777" w:rsidTr="00B83763">
        <w:tc>
          <w:tcPr>
            <w:cnfStyle w:val="001000000000" w:firstRow="0" w:lastRow="0" w:firstColumn="1" w:lastColumn="0" w:oddVBand="0" w:evenVBand="0" w:oddHBand="0" w:evenHBand="0" w:firstRowFirstColumn="0" w:firstRowLastColumn="0" w:lastRowFirstColumn="0" w:lastRowLastColumn="0"/>
            <w:tcW w:w="237" w:type="dxa"/>
          </w:tcPr>
          <w:p w14:paraId="6C30C29E"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5</w:t>
            </w:r>
          </w:p>
        </w:tc>
        <w:tc>
          <w:tcPr>
            <w:tcW w:w="9148" w:type="dxa"/>
          </w:tcPr>
          <w:p w14:paraId="25A72A00" w14:textId="77777777"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Şeker Bank</w:t>
            </w:r>
          </w:p>
        </w:tc>
      </w:tr>
      <w:tr w:rsidR="0077248A" w:rsidRPr="00A678B3" w14:paraId="2661D570" w14:textId="77777777" w:rsidTr="00B8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 w:type="dxa"/>
          </w:tcPr>
          <w:p w14:paraId="25057329"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6</w:t>
            </w:r>
          </w:p>
        </w:tc>
        <w:tc>
          <w:tcPr>
            <w:tcW w:w="9148" w:type="dxa"/>
          </w:tcPr>
          <w:p w14:paraId="5D1FC1FC"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Vakıflar Bankası</w:t>
            </w:r>
          </w:p>
        </w:tc>
      </w:tr>
      <w:tr w:rsidR="0077248A" w:rsidRPr="00A678B3" w14:paraId="59E950BB" w14:textId="77777777" w:rsidTr="00B83763">
        <w:tc>
          <w:tcPr>
            <w:cnfStyle w:val="001000000000" w:firstRow="0" w:lastRow="0" w:firstColumn="1" w:lastColumn="0" w:oddVBand="0" w:evenVBand="0" w:oddHBand="0" w:evenHBand="0" w:firstRowFirstColumn="0" w:firstRowLastColumn="0" w:lastRowFirstColumn="0" w:lastRowLastColumn="0"/>
            <w:tcW w:w="237" w:type="dxa"/>
          </w:tcPr>
          <w:p w14:paraId="1245EAF4" w14:textId="77777777" w:rsidR="0077248A" w:rsidRPr="00A678B3" w:rsidRDefault="0077248A" w:rsidP="00B83763">
            <w:pPr>
              <w:jc w:val="both"/>
              <w:rPr>
                <w:rFonts w:ascii="Times New Roman" w:hAnsi="Times New Roman" w:cs="Times New Roman"/>
                <w:sz w:val="20"/>
                <w:szCs w:val="20"/>
              </w:rPr>
            </w:pPr>
            <w:r w:rsidRPr="00A678B3">
              <w:rPr>
                <w:rFonts w:ascii="Times New Roman" w:hAnsi="Times New Roman" w:cs="Times New Roman"/>
                <w:sz w:val="20"/>
                <w:szCs w:val="20"/>
              </w:rPr>
              <w:t>7</w:t>
            </w:r>
          </w:p>
        </w:tc>
        <w:tc>
          <w:tcPr>
            <w:tcW w:w="9148" w:type="dxa"/>
          </w:tcPr>
          <w:p w14:paraId="1F534E23" w14:textId="77777777"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Yapı Kredi Bankası</w:t>
            </w:r>
          </w:p>
        </w:tc>
      </w:tr>
    </w:tbl>
    <w:p w14:paraId="66CB02BA" w14:textId="77777777" w:rsidR="0077248A" w:rsidRPr="00A678B3" w:rsidRDefault="0077248A" w:rsidP="0077248A">
      <w:pPr>
        <w:spacing w:line="240" w:lineRule="auto"/>
        <w:rPr>
          <w:rFonts w:ascii="Times New Roman" w:hAnsi="Times New Roman" w:cs="Times New Roman"/>
        </w:rPr>
      </w:pPr>
    </w:p>
    <w:p w14:paraId="062FE0F0" w14:textId="77777777" w:rsidR="005C3625" w:rsidRDefault="0077248A" w:rsidP="005C3625">
      <w:pPr>
        <w:spacing w:line="240" w:lineRule="auto"/>
        <w:rPr>
          <w:rFonts w:ascii="Times New Roman" w:hAnsi="Times New Roman" w:cs="Times New Roman"/>
        </w:rPr>
      </w:pPr>
      <w:r w:rsidRPr="00A678B3">
        <w:rPr>
          <w:rFonts w:ascii="Times New Roman" w:hAnsi="Times New Roman" w:cs="Times New Roman"/>
        </w:rPr>
        <w:lastRenderedPageBreak/>
        <w:t>Çalışmada kullanılan değişkenler Tablo 2’de açıklanmıştır.</w:t>
      </w:r>
    </w:p>
    <w:p w14:paraId="0E13DDC5" w14:textId="08D59E8B" w:rsidR="0077248A" w:rsidRPr="005C3625" w:rsidRDefault="0077248A" w:rsidP="005C3625">
      <w:pPr>
        <w:spacing w:line="240" w:lineRule="auto"/>
        <w:jc w:val="center"/>
        <w:rPr>
          <w:rFonts w:ascii="Times New Roman" w:hAnsi="Times New Roman" w:cs="Times New Roman"/>
        </w:rPr>
      </w:pPr>
      <w:r w:rsidRPr="005C3625">
        <w:rPr>
          <w:rFonts w:ascii="Times New Roman" w:hAnsi="Times New Roman" w:cs="Times New Roman"/>
          <w:b/>
          <w:bCs/>
        </w:rPr>
        <w:t>Tablo 2</w:t>
      </w:r>
      <w:r w:rsidRPr="005C3625">
        <w:rPr>
          <w:rFonts w:ascii="Times New Roman" w:hAnsi="Times New Roman" w:cs="Times New Roman"/>
        </w:rPr>
        <w:t xml:space="preserve">. </w:t>
      </w:r>
      <w:r w:rsidRPr="005C3625">
        <w:rPr>
          <w:rFonts w:ascii="Times New Roman" w:hAnsi="Times New Roman" w:cs="Times New Roman"/>
          <w:b/>
          <w:bCs/>
        </w:rPr>
        <w:t>Çalışmada Kullanılan Değişkenler</w:t>
      </w:r>
    </w:p>
    <w:tbl>
      <w:tblPr>
        <w:tblStyle w:val="DzTablo1"/>
        <w:tblW w:w="0" w:type="auto"/>
        <w:tblInd w:w="108" w:type="dxa"/>
        <w:tblLayout w:type="fixed"/>
        <w:tblLook w:val="04A0" w:firstRow="1" w:lastRow="0" w:firstColumn="1" w:lastColumn="0" w:noHBand="0" w:noVBand="1"/>
      </w:tblPr>
      <w:tblGrid>
        <w:gridCol w:w="1701"/>
        <w:gridCol w:w="1001"/>
        <w:gridCol w:w="6512"/>
      </w:tblGrid>
      <w:tr w:rsidR="0077248A" w:rsidRPr="00A678B3" w14:paraId="15D539A9" w14:textId="77777777" w:rsidTr="006E4E95">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702" w:type="dxa"/>
            <w:gridSpan w:val="2"/>
          </w:tcPr>
          <w:p w14:paraId="2B2F91B4" w14:textId="77777777" w:rsidR="0077248A" w:rsidRPr="00A678B3" w:rsidRDefault="0077248A" w:rsidP="00B83763">
            <w:pPr>
              <w:jc w:val="center"/>
              <w:rPr>
                <w:rFonts w:ascii="Times New Roman" w:hAnsi="Times New Roman" w:cs="Times New Roman"/>
                <w:sz w:val="20"/>
                <w:szCs w:val="20"/>
              </w:rPr>
            </w:pPr>
            <w:r w:rsidRPr="00A678B3">
              <w:rPr>
                <w:rFonts w:ascii="Times New Roman" w:hAnsi="Times New Roman" w:cs="Times New Roman"/>
                <w:sz w:val="20"/>
                <w:szCs w:val="20"/>
              </w:rPr>
              <w:t>Değişkenler</w:t>
            </w:r>
          </w:p>
        </w:tc>
        <w:tc>
          <w:tcPr>
            <w:tcW w:w="6512" w:type="dxa"/>
          </w:tcPr>
          <w:p w14:paraId="5AF576A3" w14:textId="77777777" w:rsidR="0077248A" w:rsidRPr="00A678B3" w:rsidRDefault="0077248A" w:rsidP="00B837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Açıklama</w:t>
            </w:r>
          </w:p>
        </w:tc>
      </w:tr>
      <w:tr w:rsidR="0077248A" w:rsidRPr="00A678B3" w14:paraId="4CC78B9A" w14:textId="77777777" w:rsidTr="006E4E9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tcPr>
          <w:p w14:paraId="3011D832" w14:textId="77777777" w:rsidR="0077248A" w:rsidRPr="00A678B3" w:rsidRDefault="0077248A" w:rsidP="00B83763">
            <w:pPr>
              <w:jc w:val="both"/>
              <w:rPr>
                <w:rFonts w:ascii="Times New Roman" w:hAnsi="Times New Roman" w:cs="Times New Roman"/>
                <w:b w:val="0"/>
                <w:bCs w:val="0"/>
                <w:i/>
                <w:iCs/>
                <w:sz w:val="20"/>
                <w:szCs w:val="20"/>
              </w:rPr>
            </w:pPr>
            <w:r w:rsidRPr="00A678B3">
              <w:rPr>
                <w:rFonts w:ascii="Times New Roman" w:hAnsi="Times New Roman" w:cs="Times New Roman"/>
                <w:b w:val="0"/>
                <w:bCs w:val="0"/>
                <w:i/>
                <w:iCs/>
                <w:sz w:val="20"/>
                <w:szCs w:val="20"/>
              </w:rPr>
              <w:t>Bağımlı Değişken</w:t>
            </w:r>
          </w:p>
        </w:tc>
        <w:tc>
          <w:tcPr>
            <w:tcW w:w="1001" w:type="dxa"/>
          </w:tcPr>
          <w:p w14:paraId="379FBACD"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 xml:space="preserve">ESG </w:t>
            </w:r>
          </w:p>
        </w:tc>
        <w:tc>
          <w:tcPr>
            <w:tcW w:w="6512" w:type="dxa"/>
          </w:tcPr>
          <w:p w14:paraId="05CE0CA3"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Şirketin Bloomberg ESG Skorudur</w:t>
            </w:r>
          </w:p>
        </w:tc>
      </w:tr>
      <w:tr w:rsidR="0077248A" w:rsidRPr="00A678B3" w14:paraId="4003BCA2" w14:textId="77777777" w:rsidTr="006E4E95">
        <w:trPr>
          <w:trHeight w:val="374"/>
        </w:trPr>
        <w:tc>
          <w:tcPr>
            <w:cnfStyle w:val="001000000000" w:firstRow="0" w:lastRow="0" w:firstColumn="1" w:lastColumn="0" w:oddVBand="0" w:evenVBand="0" w:oddHBand="0" w:evenHBand="0" w:firstRowFirstColumn="0" w:firstRowLastColumn="0" w:lastRowFirstColumn="0" w:lastRowLastColumn="0"/>
            <w:tcW w:w="1701" w:type="dxa"/>
          </w:tcPr>
          <w:p w14:paraId="1E436A3D" w14:textId="77777777" w:rsidR="0077248A" w:rsidRPr="00A678B3" w:rsidRDefault="0077248A" w:rsidP="00B83763">
            <w:pPr>
              <w:jc w:val="both"/>
              <w:rPr>
                <w:rFonts w:ascii="Times New Roman" w:hAnsi="Times New Roman" w:cs="Times New Roman"/>
                <w:b w:val="0"/>
                <w:bCs w:val="0"/>
                <w:i/>
                <w:iCs/>
                <w:sz w:val="20"/>
                <w:szCs w:val="20"/>
              </w:rPr>
            </w:pPr>
            <w:r w:rsidRPr="00A678B3">
              <w:rPr>
                <w:rFonts w:ascii="Times New Roman" w:hAnsi="Times New Roman" w:cs="Times New Roman"/>
                <w:b w:val="0"/>
                <w:bCs w:val="0"/>
                <w:i/>
                <w:iCs/>
                <w:sz w:val="20"/>
                <w:szCs w:val="20"/>
              </w:rPr>
              <w:t>Bağımsız Değişkenler</w:t>
            </w:r>
          </w:p>
        </w:tc>
        <w:tc>
          <w:tcPr>
            <w:tcW w:w="1001" w:type="dxa"/>
          </w:tcPr>
          <w:p w14:paraId="1B4F7117" w14:textId="77777777"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YKÜS</w:t>
            </w:r>
          </w:p>
        </w:tc>
        <w:tc>
          <w:tcPr>
            <w:tcW w:w="6512" w:type="dxa"/>
          </w:tcPr>
          <w:p w14:paraId="51B24B68" w14:textId="77777777"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Yönetim Kurulu Üye Sayısı</w:t>
            </w:r>
          </w:p>
        </w:tc>
      </w:tr>
      <w:tr w:rsidR="0077248A" w:rsidRPr="00A678B3" w14:paraId="41752982" w14:textId="77777777" w:rsidTr="006E4E9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701" w:type="dxa"/>
          </w:tcPr>
          <w:p w14:paraId="6A68633F" w14:textId="77777777" w:rsidR="0077248A" w:rsidRPr="00A678B3" w:rsidRDefault="0077248A" w:rsidP="00B83763">
            <w:pPr>
              <w:jc w:val="both"/>
              <w:rPr>
                <w:rFonts w:ascii="Times New Roman" w:hAnsi="Times New Roman" w:cs="Times New Roman"/>
                <w:b w:val="0"/>
                <w:bCs w:val="0"/>
                <w:sz w:val="20"/>
                <w:szCs w:val="20"/>
              </w:rPr>
            </w:pPr>
          </w:p>
        </w:tc>
        <w:tc>
          <w:tcPr>
            <w:tcW w:w="1001" w:type="dxa"/>
          </w:tcPr>
          <w:p w14:paraId="41B46445"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KÜO</w:t>
            </w:r>
          </w:p>
        </w:tc>
        <w:tc>
          <w:tcPr>
            <w:tcW w:w="6512" w:type="dxa"/>
          </w:tcPr>
          <w:p w14:paraId="407772A0"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Yönetim Kurulu Kadın Üye Oranı (Yönetim Kurulundaki Kadın Üye Sayısı, Yönetim Kurulu Üye Sayısına Bölünmüştür.)</w:t>
            </w:r>
          </w:p>
        </w:tc>
      </w:tr>
      <w:tr w:rsidR="0077248A" w:rsidRPr="00A678B3" w14:paraId="0DD49A9E" w14:textId="77777777" w:rsidTr="006E4E95">
        <w:trPr>
          <w:trHeight w:val="374"/>
        </w:trPr>
        <w:tc>
          <w:tcPr>
            <w:cnfStyle w:val="001000000000" w:firstRow="0" w:lastRow="0" w:firstColumn="1" w:lastColumn="0" w:oddVBand="0" w:evenVBand="0" w:oddHBand="0" w:evenHBand="0" w:firstRowFirstColumn="0" w:firstRowLastColumn="0" w:lastRowFirstColumn="0" w:lastRowLastColumn="0"/>
            <w:tcW w:w="1701" w:type="dxa"/>
          </w:tcPr>
          <w:p w14:paraId="46C641B5" w14:textId="77777777" w:rsidR="0077248A" w:rsidRPr="00A678B3" w:rsidRDefault="0077248A" w:rsidP="00B83763">
            <w:pPr>
              <w:jc w:val="both"/>
              <w:rPr>
                <w:rFonts w:ascii="Times New Roman" w:hAnsi="Times New Roman" w:cs="Times New Roman"/>
                <w:b w:val="0"/>
                <w:bCs w:val="0"/>
                <w:sz w:val="20"/>
                <w:szCs w:val="20"/>
              </w:rPr>
            </w:pPr>
          </w:p>
        </w:tc>
        <w:tc>
          <w:tcPr>
            <w:tcW w:w="1001" w:type="dxa"/>
          </w:tcPr>
          <w:p w14:paraId="3ED3A2A8" w14:textId="40B8B37B"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YK</w:t>
            </w:r>
            <w:r w:rsidR="003F566A" w:rsidRPr="00A678B3">
              <w:rPr>
                <w:rFonts w:ascii="Times New Roman" w:hAnsi="Times New Roman" w:cs="Times New Roman"/>
                <w:sz w:val="20"/>
                <w:szCs w:val="20"/>
              </w:rPr>
              <w:t>BÜO</w:t>
            </w:r>
          </w:p>
        </w:tc>
        <w:tc>
          <w:tcPr>
            <w:tcW w:w="6512" w:type="dxa"/>
          </w:tcPr>
          <w:p w14:paraId="5813E211" w14:textId="185F2676" w:rsidR="0077248A" w:rsidRPr="00A678B3" w:rsidRDefault="0077248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 xml:space="preserve">Yönetim Kurulu </w:t>
            </w:r>
            <w:r w:rsidR="003F566A" w:rsidRPr="00A678B3">
              <w:rPr>
                <w:rFonts w:ascii="Times New Roman" w:hAnsi="Times New Roman" w:cs="Times New Roman"/>
                <w:sz w:val="20"/>
                <w:szCs w:val="20"/>
              </w:rPr>
              <w:t>Bağımsız Üye Oranı (Yönetim Kurulu Bağımsız Üye Sayısı, Yönetim Kurulu Üye Sayısına Bölünmüştür.)</w:t>
            </w:r>
          </w:p>
        </w:tc>
      </w:tr>
      <w:tr w:rsidR="0077248A" w:rsidRPr="00A678B3" w14:paraId="7DDD15F4" w14:textId="77777777" w:rsidTr="006E4E9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701" w:type="dxa"/>
          </w:tcPr>
          <w:p w14:paraId="303C5D37" w14:textId="77777777" w:rsidR="0077248A" w:rsidRPr="00A678B3" w:rsidRDefault="0077248A" w:rsidP="00B83763">
            <w:pPr>
              <w:jc w:val="both"/>
              <w:rPr>
                <w:rFonts w:ascii="Times New Roman" w:hAnsi="Times New Roman" w:cs="Times New Roman"/>
                <w:b w:val="0"/>
                <w:bCs w:val="0"/>
                <w:i/>
                <w:iCs/>
                <w:sz w:val="20"/>
                <w:szCs w:val="20"/>
              </w:rPr>
            </w:pPr>
            <w:r w:rsidRPr="00A678B3">
              <w:rPr>
                <w:rFonts w:ascii="Times New Roman" w:hAnsi="Times New Roman" w:cs="Times New Roman"/>
                <w:b w:val="0"/>
                <w:bCs w:val="0"/>
                <w:i/>
                <w:iCs/>
                <w:sz w:val="20"/>
                <w:szCs w:val="20"/>
              </w:rPr>
              <w:t>Kontrol Değişkenleri</w:t>
            </w:r>
          </w:p>
        </w:tc>
        <w:tc>
          <w:tcPr>
            <w:tcW w:w="1001" w:type="dxa"/>
          </w:tcPr>
          <w:p w14:paraId="16D0DB34"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TA</w:t>
            </w:r>
          </w:p>
        </w:tc>
        <w:tc>
          <w:tcPr>
            <w:tcW w:w="6512" w:type="dxa"/>
          </w:tcPr>
          <w:p w14:paraId="657613A9" w14:textId="77777777" w:rsidR="0077248A" w:rsidRPr="00A678B3" w:rsidRDefault="0077248A" w:rsidP="00B8376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Aktif Toplamı</w:t>
            </w:r>
          </w:p>
        </w:tc>
      </w:tr>
      <w:tr w:rsidR="0077248A" w:rsidRPr="00A678B3" w14:paraId="212FBB10" w14:textId="77777777" w:rsidTr="006E4E95">
        <w:trPr>
          <w:trHeight w:val="374"/>
        </w:trPr>
        <w:tc>
          <w:tcPr>
            <w:cnfStyle w:val="001000000000" w:firstRow="0" w:lastRow="0" w:firstColumn="1" w:lastColumn="0" w:oddVBand="0" w:evenVBand="0" w:oddHBand="0" w:evenHBand="0" w:firstRowFirstColumn="0" w:firstRowLastColumn="0" w:lastRowFirstColumn="0" w:lastRowLastColumn="0"/>
            <w:tcW w:w="1701" w:type="dxa"/>
          </w:tcPr>
          <w:p w14:paraId="25A0307F" w14:textId="77777777" w:rsidR="0077248A" w:rsidRPr="00A678B3" w:rsidRDefault="0077248A" w:rsidP="00B83763">
            <w:pPr>
              <w:jc w:val="both"/>
              <w:rPr>
                <w:rFonts w:ascii="Times New Roman" w:hAnsi="Times New Roman" w:cs="Times New Roman"/>
                <w:sz w:val="20"/>
                <w:szCs w:val="20"/>
              </w:rPr>
            </w:pPr>
          </w:p>
        </w:tc>
        <w:tc>
          <w:tcPr>
            <w:tcW w:w="1001" w:type="dxa"/>
          </w:tcPr>
          <w:p w14:paraId="0D713F8C" w14:textId="04888AC7" w:rsidR="0077248A" w:rsidRPr="00A678B3" w:rsidRDefault="003F566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FKM</w:t>
            </w:r>
          </w:p>
        </w:tc>
        <w:tc>
          <w:tcPr>
            <w:tcW w:w="6512" w:type="dxa"/>
          </w:tcPr>
          <w:p w14:paraId="4C9F954E" w14:textId="3234AA91" w:rsidR="0077248A" w:rsidRPr="00A678B3" w:rsidRDefault="003F566A" w:rsidP="00B837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678B3">
              <w:rPr>
                <w:rFonts w:ascii="Times New Roman" w:hAnsi="Times New Roman" w:cs="Times New Roman"/>
                <w:sz w:val="20"/>
                <w:szCs w:val="20"/>
              </w:rPr>
              <w:t xml:space="preserve">Faaliyet Kâr Marjı </w:t>
            </w:r>
            <w:r w:rsidR="00CC08BB" w:rsidRPr="00A678B3">
              <w:rPr>
                <w:rFonts w:ascii="Times New Roman" w:hAnsi="Times New Roman" w:cs="Times New Roman"/>
                <w:sz w:val="20"/>
                <w:szCs w:val="20"/>
              </w:rPr>
              <w:t xml:space="preserve">(Banka Faaliyet Kârı Aktif Toplamına Oranlanarak Hesaplanmıştır. </w:t>
            </w:r>
          </w:p>
        </w:tc>
      </w:tr>
    </w:tbl>
    <w:p w14:paraId="5277E1D4" w14:textId="010F09F9" w:rsidR="0077248A" w:rsidRPr="00A678B3" w:rsidRDefault="0077248A" w:rsidP="0077248A">
      <w:pPr>
        <w:spacing w:line="240" w:lineRule="auto"/>
        <w:jc w:val="both"/>
        <w:rPr>
          <w:rFonts w:ascii="Times New Roman" w:hAnsi="Times New Roman" w:cs="Times New Roman"/>
        </w:rPr>
      </w:pPr>
    </w:p>
    <w:p w14:paraId="38FE47E2" w14:textId="038C6E25" w:rsidR="006E4E95" w:rsidRPr="00A678B3" w:rsidRDefault="006E4E95" w:rsidP="0077248A">
      <w:pPr>
        <w:spacing w:line="240" w:lineRule="auto"/>
        <w:jc w:val="both"/>
        <w:rPr>
          <w:rFonts w:ascii="Times New Roman" w:hAnsi="Times New Roman" w:cs="Times New Roman"/>
        </w:rPr>
      </w:pPr>
      <w:r w:rsidRPr="00A678B3">
        <w:rPr>
          <w:rFonts w:ascii="Times New Roman" w:hAnsi="Times New Roman" w:cs="Times New Roman"/>
        </w:rPr>
        <w:t xml:space="preserve">Tabloda görüldüğü üzere modele iki kontrol değişkeni eklenmiştir. Böylelikle sürdürülebilirlik performansı ile banka büyüklüğü ve faaliyet kârlılık oranı arasında ilişki olup olmadığı görülebilmektedir. </w:t>
      </w:r>
    </w:p>
    <w:p w14:paraId="5C1F7062"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Tablo 3’te seçilen değişkenlere ait tanımlayıcı istatistikler yer almaktadır. </w:t>
      </w:r>
    </w:p>
    <w:p w14:paraId="3D274ECC" w14:textId="77777777" w:rsidR="0077248A" w:rsidRPr="00A678B3" w:rsidRDefault="0077248A" w:rsidP="0077248A">
      <w:pPr>
        <w:spacing w:line="240" w:lineRule="auto"/>
        <w:rPr>
          <w:rFonts w:ascii="Times New Roman" w:hAnsi="Times New Roman" w:cs="Times New Roman"/>
          <w:i/>
          <w:iCs/>
          <w:color w:val="44546A" w:themeColor="text2"/>
        </w:rPr>
      </w:pPr>
      <w:r w:rsidRPr="00A678B3">
        <w:rPr>
          <w:rFonts w:ascii="Times New Roman" w:hAnsi="Times New Roman" w:cs="Times New Roman"/>
        </w:rPr>
        <w:br w:type="page"/>
      </w:r>
    </w:p>
    <w:p w14:paraId="2806B0DE" w14:textId="77777777" w:rsidR="0077248A" w:rsidRPr="00A678B3" w:rsidRDefault="0077248A" w:rsidP="0077248A">
      <w:pPr>
        <w:pStyle w:val="ResimYazs"/>
        <w:keepNext/>
        <w:jc w:val="center"/>
        <w:rPr>
          <w:rFonts w:ascii="Times New Roman" w:hAnsi="Times New Roman" w:cs="Times New Roman"/>
          <w:i w:val="0"/>
          <w:iCs w:val="0"/>
          <w:color w:val="auto"/>
          <w:szCs w:val="22"/>
        </w:rPr>
      </w:pPr>
      <w:r w:rsidRPr="00A678B3">
        <w:rPr>
          <w:rFonts w:ascii="Times New Roman" w:hAnsi="Times New Roman" w:cs="Times New Roman"/>
          <w:b/>
          <w:bCs/>
          <w:i w:val="0"/>
          <w:iCs w:val="0"/>
          <w:color w:val="auto"/>
          <w:szCs w:val="22"/>
        </w:rPr>
        <w:lastRenderedPageBreak/>
        <w:t>Tablo 3</w:t>
      </w:r>
      <w:r w:rsidRPr="00A678B3">
        <w:rPr>
          <w:rFonts w:ascii="Times New Roman" w:hAnsi="Times New Roman" w:cs="Times New Roman"/>
          <w:i w:val="0"/>
          <w:iCs w:val="0"/>
          <w:color w:val="auto"/>
          <w:szCs w:val="22"/>
        </w:rPr>
        <w:t xml:space="preserve">. </w:t>
      </w:r>
      <w:r w:rsidRPr="00A678B3">
        <w:rPr>
          <w:rFonts w:ascii="Times New Roman" w:hAnsi="Times New Roman" w:cs="Times New Roman"/>
          <w:b/>
          <w:bCs/>
          <w:i w:val="0"/>
          <w:iCs w:val="0"/>
          <w:color w:val="auto"/>
          <w:szCs w:val="22"/>
        </w:rPr>
        <w:t>Tanımlayıcı İstatistikler</w:t>
      </w:r>
    </w:p>
    <w:tbl>
      <w:tblPr>
        <w:tblStyle w:val="DzTablo1"/>
        <w:tblW w:w="9464" w:type="dxa"/>
        <w:tblLayout w:type="fixed"/>
        <w:tblLook w:val="04A0" w:firstRow="1" w:lastRow="0" w:firstColumn="1" w:lastColumn="0" w:noHBand="0" w:noVBand="1"/>
      </w:tblPr>
      <w:tblGrid>
        <w:gridCol w:w="1577"/>
        <w:gridCol w:w="1577"/>
        <w:gridCol w:w="1578"/>
        <w:gridCol w:w="1577"/>
        <w:gridCol w:w="1577"/>
        <w:gridCol w:w="1578"/>
      </w:tblGrid>
      <w:tr w:rsidR="0077248A" w:rsidRPr="00A678B3" w14:paraId="42E210F2" w14:textId="77777777" w:rsidTr="00B8376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23BBF670" w14:textId="77777777"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Değişkenler</w:t>
            </w:r>
          </w:p>
        </w:tc>
        <w:tc>
          <w:tcPr>
            <w:tcW w:w="1577" w:type="dxa"/>
            <w:noWrap/>
            <w:hideMark/>
          </w:tcPr>
          <w:p w14:paraId="7CE9EC98" w14:textId="77777777" w:rsidR="0077248A" w:rsidRPr="00A678B3" w:rsidRDefault="0077248A" w:rsidP="00B8376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Ortalama</w:t>
            </w:r>
          </w:p>
        </w:tc>
        <w:tc>
          <w:tcPr>
            <w:tcW w:w="1578" w:type="dxa"/>
            <w:noWrap/>
            <w:hideMark/>
          </w:tcPr>
          <w:p w14:paraId="35266F1E" w14:textId="77777777" w:rsidR="0077248A" w:rsidRPr="00A678B3" w:rsidRDefault="0077248A" w:rsidP="00B8376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Ortanca</w:t>
            </w:r>
          </w:p>
        </w:tc>
        <w:tc>
          <w:tcPr>
            <w:tcW w:w="1577" w:type="dxa"/>
            <w:noWrap/>
            <w:hideMark/>
          </w:tcPr>
          <w:p w14:paraId="1E819AF5" w14:textId="77777777" w:rsidR="0077248A" w:rsidRPr="00A678B3" w:rsidRDefault="0077248A" w:rsidP="00B8376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Maksimum</w:t>
            </w:r>
          </w:p>
        </w:tc>
        <w:tc>
          <w:tcPr>
            <w:tcW w:w="1577" w:type="dxa"/>
            <w:noWrap/>
            <w:hideMark/>
          </w:tcPr>
          <w:p w14:paraId="6D22604C" w14:textId="77777777" w:rsidR="0077248A" w:rsidRPr="00A678B3" w:rsidRDefault="0077248A" w:rsidP="00B8376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Minimum</w:t>
            </w:r>
          </w:p>
        </w:tc>
        <w:tc>
          <w:tcPr>
            <w:tcW w:w="1578" w:type="dxa"/>
            <w:noWrap/>
            <w:hideMark/>
          </w:tcPr>
          <w:p w14:paraId="5AD545C2" w14:textId="77777777" w:rsidR="0077248A" w:rsidRPr="00A678B3" w:rsidRDefault="0077248A" w:rsidP="00B8376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Standart Sapma</w:t>
            </w:r>
          </w:p>
        </w:tc>
      </w:tr>
      <w:tr w:rsidR="0077248A" w:rsidRPr="00A678B3" w14:paraId="0DD1C547" w14:textId="77777777" w:rsidTr="00B8376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75B0FC36" w14:textId="77777777"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ESG</w:t>
            </w:r>
          </w:p>
        </w:tc>
        <w:tc>
          <w:tcPr>
            <w:tcW w:w="1577" w:type="dxa"/>
            <w:noWrap/>
            <w:hideMark/>
          </w:tcPr>
          <w:p w14:paraId="21C89DD4" w14:textId="731EC573"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39,17</w:t>
            </w:r>
          </w:p>
        </w:tc>
        <w:tc>
          <w:tcPr>
            <w:tcW w:w="1578" w:type="dxa"/>
            <w:noWrap/>
            <w:hideMark/>
          </w:tcPr>
          <w:p w14:paraId="285B8B62" w14:textId="04CC2A7D"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46,49</w:t>
            </w:r>
          </w:p>
        </w:tc>
        <w:tc>
          <w:tcPr>
            <w:tcW w:w="1577" w:type="dxa"/>
            <w:noWrap/>
            <w:hideMark/>
          </w:tcPr>
          <w:p w14:paraId="5AFEFF5F" w14:textId="77702CC9"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60,96</w:t>
            </w:r>
          </w:p>
        </w:tc>
        <w:tc>
          <w:tcPr>
            <w:tcW w:w="1577" w:type="dxa"/>
            <w:noWrap/>
            <w:hideMark/>
          </w:tcPr>
          <w:p w14:paraId="0397D860" w14:textId="4B866FDA"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9,65</w:t>
            </w:r>
          </w:p>
        </w:tc>
        <w:tc>
          <w:tcPr>
            <w:tcW w:w="1578" w:type="dxa"/>
            <w:noWrap/>
            <w:hideMark/>
          </w:tcPr>
          <w:p w14:paraId="73548DD3" w14:textId="18D00EB6" w:rsidR="0077248A" w:rsidRPr="00A678B3" w:rsidRDefault="0077248A"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w:t>
            </w:r>
            <w:r w:rsidR="00B83763" w:rsidRPr="00A678B3">
              <w:rPr>
                <w:rFonts w:ascii="Times New Roman" w:eastAsia="Times New Roman" w:hAnsi="Times New Roman" w:cs="Times New Roman"/>
                <w:color w:val="000000"/>
                <w:sz w:val="20"/>
                <w:szCs w:val="20"/>
              </w:rPr>
              <w:t>7,73</w:t>
            </w:r>
          </w:p>
        </w:tc>
      </w:tr>
      <w:tr w:rsidR="0077248A" w:rsidRPr="00A678B3" w14:paraId="0228B2C0" w14:textId="77777777" w:rsidTr="00B83763">
        <w:trPr>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4389DE61" w14:textId="77777777"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YKÜS</w:t>
            </w:r>
          </w:p>
        </w:tc>
        <w:tc>
          <w:tcPr>
            <w:tcW w:w="1577" w:type="dxa"/>
            <w:noWrap/>
            <w:hideMark/>
          </w:tcPr>
          <w:p w14:paraId="1B2501D0" w14:textId="359424AB" w:rsidR="0077248A" w:rsidRPr="00A678B3" w:rsidRDefault="0077248A"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10</w:t>
            </w:r>
            <w:r w:rsidR="00B83763" w:rsidRPr="00A678B3">
              <w:rPr>
                <w:rFonts w:ascii="Times New Roman" w:eastAsia="Times New Roman" w:hAnsi="Times New Roman" w:cs="Times New Roman"/>
                <w:color w:val="000000"/>
                <w:sz w:val="20"/>
                <w:szCs w:val="20"/>
              </w:rPr>
              <w:t>,60</w:t>
            </w:r>
          </w:p>
        </w:tc>
        <w:tc>
          <w:tcPr>
            <w:tcW w:w="1578" w:type="dxa"/>
            <w:noWrap/>
            <w:hideMark/>
          </w:tcPr>
          <w:p w14:paraId="75C3427B" w14:textId="2FDBB751" w:rsidR="0077248A" w:rsidRPr="00A678B3" w:rsidRDefault="0077248A"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w:t>
            </w:r>
            <w:r w:rsidR="00B83763" w:rsidRPr="00A678B3">
              <w:rPr>
                <w:rFonts w:ascii="Times New Roman" w:eastAsia="Times New Roman" w:hAnsi="Times New Roman" w:cs="Times New Roman"/>
                <w:color w:val="000000"/>
                <w:sz w:val="20"/>
                <w:szCs w:val="20"/>
              </w:rPr>
              <w:t>1</w:t>
            </w:r>
          </w:p>
        </w:tc>
        <w:tc>
          <w:tcPr>
            <w:tcW w:w="1577" w:type="dxa"/>
            <w:noWrap/>
            <w:hideMark/>
          </w:tcPr>
          <w:p w14:paraId="5EDA522E" w14:textId="681FA5D9"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14</w:t>
            </w:r>
          </w:p>
        </w:tc>
        <w:tc>
          <w:tcPr>
            <w:tcW w:w="1577" w:type="dxa"/>
            <w:noWrap/>
            <w:hideMark/>
          </w:tcPr>
          <w:p w14:paraId="788FA552" w14:textId="705BF55A"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7</w:t>
            </w:r>
          </w:p>
        </w:tc>
        <w:tc>
          <w:tcPr>
            <w:tcW w:w="1578" w:type="dxa"/>
            <w:noWrap/>
            <w:hideMark/>
          </w:tcPr>
          <w:p w14:paraId="39C6293C" w14:textId="73B6D931"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1,56</w:t>
            </w:r>
          </w:p>
        </w:tc>
      </w:tr>
      <w:tr w:rsidR="0077248A" w:rsidRPr="00A678B3" w14:paraId="44CB1036" w14:textId="77777777" w:rsidTr="00B8376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6E5E1BF5" w14:textId="77777777"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KÜO</w:t>
            </w:r>
          </w:p>
        </w:tc>
        <w:tc>
          <w:tcPr>
            <w:tcW w:w="1577" w:type="dxa"/>
            <w:noWrap/>
            <w:hideMark/>
          </w:tcPr>
          <w:p w14:paraId="2B63664A" w14:textId="78E39519"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10,15</w:t>
            </w:r>
          </w:p>
        </w:tc>
        <w:tc>
          <w:tcPr>
            <w:tcW w:w="1578" w:type="dxa"/>
            <w:noWrap/>
            <w:hideMark/>
          </w:tcPr>
          <w:p w14:paraId="1F57FF06" w14:textId="77777777" w:rsidR="0077248A" w:rsidRPr="00A678B3" w:rsidRDefault="0077248A"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10</w:t>
            </w:r>
          </w:p>
        </w:tc>
        <w:tc>
          <w:tcPr>
            <w:tcW w:w="1577" w:type="dxa"/>
            <w:noWrap/>
            <w:hideMark/>
          </w:tcPr>
          <w:p w14:paraId="0DDF505D" w14:textId="0382D849" w:rsidR="0077248A" w:rsidRPr="00A678B3" w:rsidRDefault="0077248A"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w:t>
            </w:r>
            <w:r w:rsidR="00B83763" w:rsidRPr="00A678B3">
              <w:rPr>
                <w:rFonts w:ascii="Times New Roman" w:eastAsia="Times New Roman" w:hAnsi="Times New Roman" w:cs="Times New Roman"/>
                <w:color w:val="000000"/>
                <w:sz w:val="20"/>
                <w:szCs w:val="20"/>
              </w:rPr>
              <w:t>5</w:t>
            </w:r>
          </w:p>
        </w:tc>
        <w:tc>
          <w:tcPr>
            <w:tcW w:w="1577" w:type="dxa"/>
            <w:noWrap/>
            <w:hideMark/>
          </w:tcPr>
          <w:p w14:paraId="4B1AC8B1" w14:textId="77777777" w:rsidR="0077248A" w:rsidRPr="00A678B3" w:rsidRDefault="0077248A"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0</w:t>
            </w:r>
          </w:p>
        </w:tc>
        <w:tc>
          <w:tcPr>
            <w:tcW w:w="1578" w:type="dxa"/>
            <w:noWrap/>
            <w:hideMark/>
          </w:tcPr>
          <w:p w14:paraId="5D91FE06" w14:textId="06498CEE"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7,4</w:t>
            </w:r>
            <w:r w:rsidR="0077248A" w:rsidRPr="00A678B3">
              <w:rPr>
                <w:rFonts w:ascii="Times New Roman" w:eastAsia="Times New Roman" w:hAnsi="Times New Roman" w:cs="Times New Roman"/>
                <w:color w:val="000000"/>
                <w:sz w:val="20"/>
                <w:szCs w:val="20"/>
              </w:rPr>
              <w:t>1</w:t>
            </w:r>
          </w:p>
        </w:tc>
      </w:tr>
      <w:tr w:rsidR="0077248A" w:rsidRPr="00A678B3" w14:paraId="5547146F" w14:textId="77777777" w:rsidTr="00B83763">
        <w:trPr>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3D39ADE7" w14:textId="76FC814B"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w:t>
            </w:r>
            <w:r w:rsidR="00B83763" w:rsidRPr="00A678B3">
              <w:rPr>
                <w:rFonts w:ascii="Times New Roman" w:eastAsia="Times New Roman" w:hAnsi="Times New Roman" w:cs="Times New Roman"/>
                <w:color w:val="000000"/>
                <w:sz w:val="20"/>
                <w:szCs w:val="20"/>
              </w:rPr>
              <w:t>BÜO</w:t>
            </w:r>
          </w:p>
        </w:tc>
        <w:tc>
          <w:tcPr>
            <w:tcW w:w="1577" w:type="dxa"/>
            <w:noWrap/>
            <w:hideMark/>
          </w:tcPr>
          <w:p w14:paraId="68D138ED" w14:textId="16D2B8A5"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30,45</w:t>
            </w:r>
          </w:p>
        </w:tc>
        <w:tc>
          <w:tcPr>
            <w:tcW w:w="1578" w:type="dxa"/>
            <w:noWrap/>
            <w:hideMark/>
          </w:tcPr>
          <w:p w14:paraId="3D81DD46" w14:textId="6CA9D868"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30</w:t>
            </w:r>
          </w:p>
        </w:tc>
        <w:tc>
          <w:tcPr>
            <w:tcW w:w="1577" w:type="dxa"/>
            <w:noWrap/>
            <w:hideMark/>
          </w:tcPr>
          <w:p w14:paraId="3A12A5F7" w14:textId="169B09EE"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42,85</w:t>
            </w:r>
          </w:p>
        </w:tc>
        <w:tc>
          <w:tcPr>
            <w:tcW w:w="1577" w:type="dxa"/>
            <w:noWrap/>
            <w:hideMark/>
          </w:tcPr>
          <w:p w14:paraId="7875BEE8" w14:textId="6C16835A"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21,42</w:t>
            </w:r>
          </w:p>
        </w:tc>
        <w:tc>
          <w:tcPr>
            <w:tcW w:w="1578" w:type="dxa"/>
            <w:noWrap/>
            <w:hideMark/>
          </w:tcPr>
          <w:p w14:paraId="5829C3BD" w14:textId="591EA432"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5,81</w:t>
            </w:r>
          </w:p>
        </w:tc>
      </w:tr>
      <w:tr w:rsidR="0077248A" w:rsidRPr="00A678B3" w14:paraId="46AE9F87" w14:textId="77777777" w:rsidTr="00B83763">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22E7B9F2" w14:textId="77777777" w:rsidR="0077248A" w:rsidRPr="00A678B3" w:rsidRDefault="0077248A"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TA (milyon TL)</w:t>
            </w:r>
          </w:p>
        </w:tc>
        <w:tc>
          <w:tcPr>
            <w:tcW w:w="1577" w:type="dxa"/>
            <w:noWrap/>
            <w:hideMark/>
          </w:tcPr>
          <w:p w14:paraId="2ED547AA" w14:textId="22DAADB1"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256.653</w:t>
            </w:r>
          </w:p>
        </w:tc>
        <w:tc>
          <w:tcPr>
            <w:tcW w:w="1578" w:type="dxa"/>
            <w:noWrap/>
            <w:hideMark/>
          </w:tcPr>
          <w:p w14:paraId="472B1AED" w14:textId="089BCA70"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275.776</w:t>
            </w:r>
          </w:p>
        </w:tc>
        <w:tc>
          <w:tcPr>
            <w:tcW w:w="1577" w:type="dxa"/>
            <w:noWrap/>
            <w:hideMark/>
          </w:tcPr>
          <w:p w14:paraId="5BB4CB97" w14:textId="1D48E1D6"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499.907</w:t>
            </w:r>
          </w:p>
        </w:tc>
        <w:tc>
          <w:tcPr>
            <w:tcW w:w="1577" w:type="dxa"/>
            <w:noWrap/>
            <w:hideMark/>
          </w:tcPr>
          <w:p w14:paraId="41F3435C" w14:textId="7C1C2DE3"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22.272</w:t>
            </w:r>
          </w:p>
        </w:tc>
        <w:tc>
          <w:tcPr>
            <w:tcW w:w="1578" w:type="dxa"/>
            <w:noWrap/>
            <w:hideMark/>
          </w:tcPr>
          <w:p w14:paraId="2C6C02A8" w14:textId="1DF53444" w:rsidR="0077248A" w:rsidRPr="00A678B3" w:rsidRDefault="00B83763" w:rsidP="00B837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122.032</w:t>
            </w:r>
          </w:p>
        </w:tc>
      </w:tr>
      <w:tr w:rsidR="0077248A" w:rsidRPr="00A678B3" w14:paraId="1C980DDA" w14:textId="77777777" w:rsidTr="00B83763">
        <w:trPr>
          <w:trHeight w:val="537"/>
        </w:trPr>
        <w:tc>
          <w:tcPr>
            <w:cnfStyle w:val="001000000000" w:firstRow="0" w:lastRow="0" w:firstColumn="1" w:lastColumn="0" w:oddVBand="0" w:evenVBand="0" w:oddHBand="0" w:evenHBand="0" w:firstRowFirstColumn="0" w:firstRowLastColumn="0" w:lastRowFirstColumn="0" w:lastRowLastColumn="0"/>
            <w:tcW w:w="1577" w:type="dxa"/>
            <w:noWrap/>
            <w:hideMark/>
          </w:tcPr>
          <w:p w14:paraId="342AD63C" w14:textId="3CD7D6E0" w:rsidR="0077248A" w:rsidRPr="00A678B3" w:rsidRDefault="00B83763" w:rsidP="00B8376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FKM</w:t>
            </w:r>
          </w:p>
        </w:tc>
        <w:tc>
          <w:tcPr>
            <w:tcW w:w="1577" w:type="dxa"/>
            <w:noWrap/>
            <w:hideMark/>
          </w:tcPr>
          <w:p w14:paraId="6A698D9E" w14:textId="4E10AA4E"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29,01</w:t>
            </w:r>
          </w:p>
        </w:tc>
        <w:tc>
          <w:tcPr>
            <w:tcW w:w="1578" w:type="dxa"/>
            <w:noWrap/>
            <w:hideMark/>
          </w:tcPr>
          <w:p w14:paraId="6E6ACDB9" w14:textId="0841B2CE"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29,90</w:t>
            </w:r>
          </w:p>
        </w:tc>
        <w:tc>
          <w:tcPr>
            <w:tcW w:w="1577" w:type="dxa"/>
            <w:noWrap/>
            <w:hideMark/>
          </w:tcPr>
          <w:p w14:paraId="12631E8E" w14:textId="3BD6D7E4"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48,75</w:t>
            </w:r>
          </w:p>
        </w:tc>
        <w:tc>
          <w:tcPr>
            <w:tcW w:w="1577" w:type="dxa"/>
            <w:noWrap/>
            <w:hideMark/>
          </w:tcPr>
          <w:p w14:paraId="7F97FA3C" w14:textId="7514CD9F"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5,29</w:t>
            </w:r>
          </w:p>
        </w:tc>
        <w:tc>
          <w:tcPr>
            <w:tcW w:w="1578" w:type="dxa"/>
            <w:noWrap/>
            <w:hideMark/>
          </w:tcPr>
          <w:p w14:paraId="0467C909" w14:textId="28594B16" w:rsidR="0077248A" w:rsidRPr="00A678B3" w:rsidRDefault="00B83763" w:rsidP="00B837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10,42</w:t>
            </w:r>
          </w:p>
        </w:tc>
      </w:tr>
    </w:tbl>
    <w:p w14:paraId="122F6810" w14:textId="77777777" w:rsidR="0077248A" w:rsidRPr="00A678B3" w:rsidRDefault="0077248A" w:rsidP="0077248A">
      <w:pPr>
        <w:spacing w:line="240" w:lineRule="auto"/>
        <w:jc w:val="both"/>
        <w:rPr>
          <w:rFonts w:ascii="Times New Roman" w:hAnsi="Times New Roman" w:cs="Times New Roman"/>
        </w:rPr>
      </w:pPr>
    </w:p>
    <w:p w14:paraId="3FB7DE37" w14:textId="76736694"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Tablo 3’te görüldüğü gibi </w:t>
      </w:r>
      <w:r w:rsidR="00B83763" w:rsidRPr="00A678B3">
        <w:rPr>
          <w:rFonts w:ascii="Times New Roman" w:hAnsi="Times New Roman" w:cs="Times New Roman"/>
        </w:rPr>
        <w:t xml:space="preserve">örneklemde </w:t>
      </w:r>
      <w:r w:rsidRPr="00A678B3">
        <w:rPr>
          <w:rFonts w:ascii="Times New Roman" w:hAnsi="Times New Roman" w:cs="Times New Roman"/>
        </w:rPr>
        <w:t xml:space="preserve">yer alan bankaların </w:t>
      </w:r>
      <w:r w:rsidR="00B83763" w:rsidRPr="00A678B3">
        <w:rPr>
          <w:rFonts w:ascii="Times New Roman" w:hAnsi="Times New Roman" w:cs="Times New Roman"/>
        </w:rPr>
        <w:t xml:space="preserve">2014-2018 yılları </w:t>
      </w:r>
      <w:r w:rsidRPr="00A678B3">
        <w:rPr>
          <w:rFonts w:ascii="Times New Roman" w:hAnsi="Times New Roman" w:cs="Times New Roman"/>
        </w:rPr>
        <w:t xml:space="preserve">ortalama ESG skoru </w:t>
      </w:r>
      <w:r w:rsidR="00B83763" w:rsidRPr="00A678B3">
        <w:rPr>
          <w:rFonts w:ascii="Times New Roman" w:hAnsi="Times New Roman" w:cs="Times New Roman"/>
        </w:rPr>
        <w:t>39,17</w:t>
      </w:r>
      <w:r w:rsidRPr="00A678B3">
        <w:rPr>
          <w:rFonts w:ascii="Times New Roman" w:hAnsi="Times New Roman" w:cs="Times New Roman"/>
        </w:rPr>
        <w:t>’tir. Bankaların ortalama yönetim kurulu üye sayısı 10</w:t>
      </w:r>
      <w:r w:rsidR="00B83763" w:rsidRPr="00A678B3">
        <w:rPr>
          <w:rFonts w:ascii="Times New Roman" w:hAnsi="Times New Roman" w:cs="Times New Roman"/>
        </w:rPr>
        <w:t>,6</w:t>
      </w:r>
      <w:r w:rsidRPr="00A678B3">
        <w:rPr>
          <w:rFonts w:ascii="Times New Roman" w:hAnsi="Times New Roman" w:cs="Times New Roman"/>
        </w:rPr>
        <w:t xml:space="preserve"> iken, bu sayının en çok 1</w:t>
      </w:r>
      <w:r w:rsidR="00B83763" w:rsidRPr="00A678B3">
        <w:rPr>
          <w:rFonts w:ascii="Times New Roman" w:hAnsi="Times New Roman" w:cs="Times New Roman"/>
        </w:rPr>
        <w:t>4</w:t>
      </w:r>
      <w:r w:rsidRPr="00A678B3">
        <w:rPr>
          <w:rFonts w:ascii="Times New Roman" w:hAnsi="Times New Roman" w:cs="Times New Roman"/>
        </w:rPr>
        <w:t xml:space="preserve"> en az </w:t>
      </w:r>
      <w:r w:rsidR="00B83763" w:rsidRPr="00A678B3">
        <w:rPr>
          <w:rFonts w:ascii="Times New Roman" w:hAnsi="Times New Roman" w:cs="Times New Roman"/>
        </w:rPr>
        <w:t>7</w:t>
      </w:r>
      <w:r w:rsidRPr="00A678B3">
        <w:rPr>
          <w:rFonts w:ascii="Times New Roman" w:hAnsi="Times New Roman" w:cs="Times New Roman"/>
        </w:rPr>
        <w:t xml:space="preserve"> olduğu görülmektedir. Yönetim kurullarında yer alan kadınların oranı ortalama %1</w:t>
      </w:r>
      <w:r w:rsidR="00B83763" w:rsidRPr="00A678B3">
        <w:rPr>
          <w:rFonts w:ascii="Times New Roman" w:hAnsi="Times New Roman" w:cs="Times New Roman"/>
        </w:rPr>
        <w:t>0,15</w:t>
      </w:r>
      <w:r w:rsidRPr="00A678B3">
        <w:rPr>
          <w:rFonts w:ascii="Times New Roman" w:hAnsi="Times New Roman" w:cs="Times New Roman"/>
        </w:rPr>
        <w:t xml:space="preserve"> iken bu oranın en yüksek %</w:t>
      </w:r>
      <w:r w:rsidR="00B83763" w:rsidRPr="00A678B3">
        <w:rPr>
          <w:rFonts w:ascii="Times New Roman" w:hAnsi="Times New Roman" w:cs="Times New Roman"/>
        </w:rPr>
        <w:t>25</w:t>
      </w:r>
      <w:r w:rsidRPr="00A678B3">
        <w:rPr>
          <w:rFonts w:ascii="Times New Roman" w:hAnsi="Times New Roman" w:cs="Times New Roman"/>
        </w:rPr>
        <w:t xml:space="preserve"> olduğu görülmektedir. Yönetim kurulu </w:t>
      </w:r>
      <w:r w:rsidR="00B83763" w:rsidRPr="00A678B3">
        <w:rPr>
          <w:rFonts w:ascii="Times New Roman" w:hAnsi="Times New Roman" w:cs="Times New Roman"/>
        </w:rPr>
        <w:t>bağımsız üye oranına bakıldığında ise ortalamanın %30</w:t>
      </w:r>
      <w:r w:rsidR="00076B4C" w:rsidRPr="00A678B3">
        <w:rPr>
          <w:rFonts w:ascii="Times New Roman" w:hAnsi="Times New Roman" w:cs="Times New Roman"/>
        </w:rPr>
        <w:t>,</w:t>
      </w:r>
      <w:r w:rsidR="00B83763" w:rsidRPr="00A678B3">
        <w:rPr>
          <w:rFonts w:ascii="Times New Roman" w:hAnsi="Times New Roman" w:cs="Times New Roman"/>
        </w:rPr>
        <w:t>45 olduğu görülmektedir.</w:t>
      </w:r>
    </w:p>
    <w:p w14:paraId="0BD4CADC"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Tablo 4’te ise değişenlerin birbirleri ile olan ilişkilerini gösteren korelasyon tablosu yer almaktadır. </w:t>
      </w:r>
    </w:p>
    <w:p w14:paraId="7D771C74" w14:textId="75D511A1" w:rsidR="0077248A" w:rsidRPr="00A678B3" w:rsidRDefault="0077248A" w:rsidP="005C3625">
      <w:pPr>
        <w:pStyle w:val="ResimYazs"/>
        <w:keepNext/>
        <w:jc w:val="center"/>
        <w:rPr>
          <w:rFonts w:ascii="Times New Roman" w:hAnsi="Times New Roman" w:cs="Times New Roman"/>
          <w:i w:val="0"/>
          <w:iCs w:val="0"/>
          <w:color w:val="auto"/>
          <w:szCs w:val="22"/>
        </w:rPr>
      </w:pPr>
      <w:r w:rsidRPr="00A678B3">
        <w:rPr>
          <w:rFonts w:ascii="Times New Roman" w:hAnsi="Times New Roman" w:cs="Times New Roman"/>
          <w:b/>
          <w:bCs/>
          <w:i w:val="0"/>
          <w:iCs w:val="0"/>
          <w:color w:val="auto"/>
          <w:szCs w:val="22"/>
        </w:rPr>
        <w:t>Tablo 4. Korelasyon Değerleri Tablosu</w:t>
      </w:r>
    </w:p>
    <w:tbl>
      <w:tblPr>
        <w:tblStyle w:val="DzTablo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352"/>
        <w:gridCol w:w="1352"/>
        <w:gridCol w:w="1352"/>
        <w:gridCol w:w="1352"/>
        <w:gridCol w:w="1352"/>
        <w:gridCol w:w="1352"/>
      </w:tblGrid>
      <w:tr w:rsidR="00DE4FA0" w:rsidRPr="00A678B3" w14:paraId="69B9A7F5" w14:textId="77777777" w:rsidTr="00C35443">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52" w:type="dxa"/>
            <w:noWrap/>
            <w:hideMark/>
          </w:tcPr>
          <w:p w14:paraId="5D8B99BB" w14:textId="77777777" w:rsidR="00DE4FA0" w:rsidRPr="00A678B3" w:rsidRDefault="00DE4FA0" w:rsidP="00B83763">
            <w:pPr>
              <w:jc w:val="center"/>
              <w:rPr>
                <w:rFonts w:ascii="Times New Roman" w:eastAsia="Times New Roman" w:hAnsi="Times New Roman" w:cs="Times New Roman"/>
                <w:b w:val="0"/>
                <w:bCs w:val="0"/>
                <w:i/>
                <w:iCs/>
                <w:color w:val="000000"/>
                <w:sz w:val="20"/>
                <w:szCs w:val="20"/>
              </w:rPr>
            </w:pPr>
          </w:p>
        </w:tc>
        <w:tc>
          <w:tcPr>
            <w:tcW w:w="1352" w:type="dxa"/>
            <w:noWrap/>
            <w:hideMark/>
          </w:tcPr>
          <w:p w14:paraId="4F95840F" w14:textId="77777777"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ESG</w:t>
            </w:r>
          </w:p>
        </w:tc>
        <w:tc>
          <w:tcPr>
            <w:tcW w:w="1352" w:type="dxa"/>
            <w:noWrap/>
            <w:hideMark/>
          </w:tcPr>
          <w:p w14:paraId="35F80738" w14:textId="77777777"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YKÜS</w:t>
            </w:r>
          </w:p>
        </w:tc>
        <w:tc>
          <w:tcPr>
            <w:tcW w:w="1352" w:type="dxa"/>
            <w:noWrap/>
            <w:hideMark/>
          </w:tcPr>
          <w:p w14:paraId="0739CC09" w14:textId="77777777"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KÜO</w:t>
            </w:r>
          </w:p>
        </w:tc>
        <w:tc>
          <w:tcPr>
            <w:tcW w:w="1352" w:type="dxa"/>
            <w:noWrap/>
            <w:hideMark/>
          </w:tcPr>
          <w:p w14:paraId="4F551CD5" w14:textId="248C9219"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YKBÜO</w:t>
            </w:r>
          </w:p>
        </w:tc>
        <w:tc>
          <w:tcPr>
            <w:tcW w:w="1352" w:type="dxa"/>
            <w:noWrap/>
            <w:hideMark/>
          </w:tcPr>
          <w:p w14:paraId="0F3FEDA0" w14:textId="77777777"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TA</w:t>
            </w:r>
          </w:p>
        </w:tc>
        <w:tc>
          <w:tcPr>
            <w:tcW w:w="1352" w:type="dxa"/>
          </w:tcPr>
          <w:p w14:paraId="228BC93A" w14:textId="4BDE5117" w:rsidR="00DE4FA0" w:rsidRPr="00A678B3" w:rsidRDefault="00DE4FA0"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FKM</w:t>
            </w:r>
          </w:p>
        </w:tc>
      </w:tr>
      <w:tr w:rsidR="00C35443" w:rsidRPr="00A678B3" w14:paraId="466133B6" w14:textId="77777777" w:rsidTr="00C3544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26D63B5" w14:textId="77777777"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ESG</w:t>
            </w:r>
          </w:p>
        </w:tc>
        <w:tc>
          <w:tcPr>
            <w:tcW w:w="1352" w:type="dxa"/>
            <w:shd w:val="clear" w:color="auto" w:fill="auto"/>
            <w:noWrap/>
            <w:vAlign w:val="bottom"/>
          </w:tcPr>
          <w:p w14:paraId="0996DA58" w14:textId="40D43069"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c>
          <w:tcPr>
            <w:tcW w:w="1352" w:type="dxa"/>
            <w:shd w:val="clear" w:color="auto" w:fill="auto"/>
            <w:noWrap/>
            <w:vAlign w:val="bottom"/>
          </w:tcPr>
          <w:p w14:paraId="7B430F4C"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352" w:type="dxa"/>
            <w:shd w:val="clear" w:color="auto" w:fill="auto"/>
            <w:noWrap/>
            <w:vAlign w:val="bottom"/>
          </w:tcPr>
          <w:p w14:paraId="56AED2B1"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noWrap/>
            <w:vAlign w:val="bottom"/>
          </w:tcPr>
          <w:p w14:paraId="0BD5A25A"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noWrap/>
            <w:vAlign w:val="bottom"/>
          </w:tcPr>
          <w:p w14:paraId="1DC20634"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vAlign w:val="bottom"/>
          </w:tcPr>
          <w:p w14:paraId="3774B283"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35443" w:rsidRPr="00A678B3" w14:paraId="6093A93C" w14:textId="77777777" w:rsidTr="00C35443">
        <w:trPr>
          <w:trHeight w:val="286"/>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A09BA11" w14:textId="77777777"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YKÜS</w:t>
            </w:r>
          </w:p>
        </w:tc>
        <w:tc>
          <w:tcPr>
            <w:tcW w:w="1352" w:type="dxa"/>
            <w:shd w:val="clear" w:color="auto" w:fill="auto"/>
            <w:noWrap/>
            <w:vAlign w:val="bottom"/>
          </w:tcPr>
          <w:p w14:paraId="0233D5B4" w14:textId="2751F966"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-0.10</w:t>
            </w:r>
          </w:p>
        </w:tc>
        <w:tc>
          <w:tcPr>
            <w:tcW w:w="1352" w:type="dxa"/>
            <w:shd w:val="clear" w:color="auto" w:fill="auto"/>
            <w:noWrap/>
            <w:vAlign w:val="bottom"/>
          </w:tcPr>
          <w:p w14:paraId="1999FE5C" w14:textId="0ED97BF3"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c>
          <w:tcPr>
            <w:tcW w:w="1352" w:type="dxa"/>
            <w:shd w:val="clear" w:color="auto" w:fill="auto"/>
            <w:noWrap/>
            <w:vAlign w:val="bottom"/>
          </w:tcPr>
          <w:p w14:paraId="43BFCA18"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352" w:type="dxa"/>
            <w:shd w:val="clear" w:color="auto" w:fill="auto"/>
            <w:noWrap/>
            <w:vAlign w:val="bottom"/>
          </w:tcPr>
          <w:p w14:paraId="2FB8CDD1"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noWrap/>
            <w:vAlign w:val="bottom"/>
          </w:tcPr>
          <w:p w14:paraId="5FBC8F42"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vAlign w:val="bottom"/>
          </w:tcPr>
          <w:p w14:paraId="5FD0C9FD"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5443" w:rsidRPr="00A678B3" w14:paraId="6849AB7B" w14:textId="77777777" w:rsidTr="00C3544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52" w:type="dxa"/>
            <w:noWrap/>
            <w:hideMark/>
          </w:tcPr>
          <w:p w14:paraId="1BD03BD0" w14:textId="77777777"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KÜO</w:t>
            </w:r>
          </w:p>
        </w:tc>
        <w:tc>
          <w:tcPr>
            <w:tcW w:w="1352" w:type="dxa"/>
            <w:shd w:val="clear" w:color="auto" w:fill="auto"/>
            <w:noWrap/>
            <w:vAlign w:val="bottom"/>
          </w:tcPr>
          <w:p w14:paraId="1E936C50" w14:textId="4874CE1A"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0.14</w:t>
            </w:r>
          </w:p>
        </w:tc>
        <w:tc>
          <w:tcPr>
            <w:tcW w:w="1352" w:type="dxa"/>
            <w:shd w:val="clear" w:color="auto" w:fill="auto"/>
            <w:noWrap/>
            <w:vAlign w:val="bottom"/>
          </w:tcPr>
          <w:p w14:paraId="18AEF30F" w14:textId="44139775"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0.09</w:t>
            </w:r>
          </w:p>
        </w:tc>
        <w:tc>
          <w:tcPr>
            <w:tcW w:w="1352" w:type="dxa"/>
            <w:shd w:val="clear" w:color="auto" w:fill="auto"/>
            <w:noWrap/>
            <w:vAlign w:val="bottom"/>
          </w:tcPr>
          <w:p w14:paraId="0AAF508F" w14:textId="3EA63F71"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c>
          <w:tcPr>
            <w:tcW w:w="1352" w:type="dxa"/>
            <w:shd w:val="clear" w:color="auto" w:fill="auto"/>
            <w:noWrap/>
            <w:vAlign w:val="bottom"/>
          </w:tcPr>
          <w:p w14:paraId="02B223B8"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352" w:type="dxa"/>
            <w:shd w:val="clear" w:color="auto" w:fill="auto"/>
            <w:noWrap/>
            <w:vAlign w:val="bottom"/>
          </w:tcPr>
          <w:p w14:paraId="0710EBF1"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352" w:type="dxa"/>
            <w:shd w:val="clear" w:color="auto" w:fill="auto"/>
            <w:vAlign w:val="bottom"/>
          </w:tcPr>
          <w:p w14:paraId="2F382278"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35443" w:rsidRPr="00A678B3" w14:paraId="7E41574C" w14:textId="77777777" w:rsidTr="00C35443">
        <w:trPr>
          <w:trHeight w:val="286"/>
        </w:trPr>
        <w:tc>
          <w:tcPr>
            <w:cnfStyle w:val="001000000000" w:firstRow="0" w:lastRow="0" w:firstColumn="1" w:lastColumn="0" w:oddVBand="0" w:evenVBand="0" w:oddHBand="0" w:evenHBand="0" w:firstRowFirstColumn="0" w:firstRowLastColumn="0" w:lastRowFirstColumn="0" w:lastRowLastColumn="0"/>
            <w:tcW w:w="1352" w:type="dxa"/>
            <w:noWrap/>
          </w:tcPr>
          <w:p w14:paraId="6D447A37" w14:textId="13EA70D6"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YKBÜO</w:t>
            </w:r>
          </w:p>
        </w:tc>
        <w:tc>
          <w:tcPr>
            <w:tcW w:w="1352" w:type="dxa"/>
            <w:shd w:val="clear" w:color="auto" w:fill="auto"/>
            <w:noWrap/>
            <w:vAlign w:val="bottom"/>
          </w:tcPr>
          <w:p w14:paraId="7711811F" w14:textId="0ADCA706"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0.27</w:t>
            </w:r>
          </w:p>
        </w:tc>
        <w:tc>
          <w:tcPr>
            <w:tcW w:w="1352" w:type="dxa"/>
            <w:shd w:val="clear" w:color="auto" w:fill="auto"/>
            <w:noWrap/>
            <w:vAlign w:val="bottom"/>
          </w:tcPr>
          <w:p w14:paraId="759366E3" w14:textId="4E0043E8"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-0.65</w:t>
            </w:r>
          </w:p>
        </w:tc>
        <w:tc>
          <w:tcPr>
            <w:tcW w:w="1352" w:type="dxa"/>
            <w:shd w:val="clear" w:color="auto" w:fill="auto"/>
            <w:noWrap/>
            <w:vAlign w:val="bottom"/>
          </w:tcPr>
          <w:p w14:paraId="32DF1092" w14:textId="7B39F3FE"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0.19</w:t>
            </w:r>
          </w:p>
        </w:tc>
        <w:tc>
          <w:tcPr>
            <w:tcW w:w="1352" w:type="dxa"/>
            <w:shd w:val="clear" w:color="auto" w:fill="auto"/>
            <w:noWrap/>
            <w:vAlign w:val="bottom"/>
          </w:tcPr>
          <w:p w14:paraId="328B7F7D" w14:textId="795259DF"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c>
          <w:tcPr>
            <w:tcW w:w="1352" w:type="dxa"/>
            <w:shd w:val="clear" w:color="auto" w:fill="auto"/>
            <w:noWrap/>
            <w:vAlign w:val="bottom"/>
          </w:tcPr>
          <w:p w14:paraId="2CA6BF12"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c>
          <w:tcPr>
            <w:tcW w:w="1352" w:type="dxa"/>
            <w:shd w:val="clear" w:color="auto" w:fill="auto"/>
            <w:vAlign w:val="bottom"/>
          </w:tcPr>
          <w:p w14:paraId="13FCD528" w14:textId="77777777"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5443" w:rsidRPr="00A678B3" w14:paraId="171D138C" w14:textId="77777777" w:rsidTr="00C3544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52" w:type="dxa"/>
            <w:noWrap/>
          </w:tcPr>
          <w:p w14:paraId="2BBF0987" w14:textId="69CE3AB1"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TA</w:t>
            </w:r>
          </w:p>
        </w:tc>
        <w:tc>
          <w:tcPr>
            <w:tcW w:w="1352" w:type="dxa"/>
            <w:shd w:val="clear" w:color="auto" w:fill="auto"/>
            <w:noWrap/>
            <w:vAlign w:val="bottom"/>
          </w:tcPr>
          <w:p w14:paraId="5ADD50E4" w14:textId="674EB0ED"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0.16</w:t>
            </w:r>
          </w:p>
        </w:tc>
        <w:tc>
          <w:tcPr>
            <w:tcW w:w="1352" w:type="dxa"/>
            <w:shd w:val="clear" w:color="auto" w:fill="auto"/>
            <w:noWrap/>
            <w:vAlign w:val="bottom"/>
          </w:tcPr>
          <w:p w14:paraId="7775144A" w14:textId="50E66A1C"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-0.15</w:t>
            </w:r>
          </w:p>
        </w:tc>
        <w:tc>
          <w:tcPr>
            <w:tcW w:w="1352" w:type="dxa"/>
            <w:shd w:val="clear" w:color="auto" w:fill="auto"/>
            <w:noWrap/>
            <w:vAlign w:val="bottom"/>
          </w:tcPr>
          <w:p w14:paraId="61985670" w14:textId="3281913C"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0.68</w:t>
            </w:r>
          </w:p>
        </w:tc>
        <w:tc>
          <w:tcPr>
            <w:tcW w:w="1352" w:type="dxa"/>
            <w:shd w:val="clear" w:color="auto" w:fill="auto"/>
            <w:noWrap/>
            <w:vAlign w:val="bottom"/>
          </w:tcPr>
          <w:p w14:paraId="2C38F4C2" w14:textId="2FAD7534"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0.13</w:t>
            </w:r>
          </w:p>
        </w:tc>
        <w:tc>
          <w:tcPr>
            <w:tcW w:w="1352" w:type="dxa"/>
            <w:shd w:val="clear" w:color="auto" w:fill="auto"/>
            <w:noWrap/>
            <w:vAlign w:val="bottom"/>
          </w:tcPr>
          <w:p w14:paraId="201289CD" w14:textId="2C760D88"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c>
          <w:tcPr>
            <w:tcW w:w="1352" w:type="dxa"/>
            <w:shd w:val="clear" w:color="auto" w:fill="auto"/>
            <w:vAlign w:val="bottom"/>
          </w:tcPr>
          <w:p w14:paraId="023D305A" w14:textId="77777777" w:rsidR="00C35443" w:rsidRPr="00A678B3" w:rsidRDefault="00C35443" w:rsidP="00C354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C35443" w:rsidRPr="00A678B3" w14:paraId="00D36DF5" w14:textId="77777777" w:rsidTr="00C35443">
        <w:trPr>
          <w:trHeight w:val="286"/>
        </w:trPr>
        <w:tc>
          <w:tcPr>
            <w:cnfStyle w:val="001000000000" w:firstRow="0" w:lastRow="0" w:firstColumn="1" w:lastColumn="0" w:oddVBand="0" w:evenVBand="0" w:oddHBand="0" w:evenHBand="0" w:firstRowFirstColumn="0" w:firstRowLastColumn="0" w:lastRowFirstColumn="0" w:lastRowLastColumn="0"/>
            <w:tcW w:w="1352" w:type="dxa"/>
            <w:noWrap/>
          </w:tcPr>
          <w:p w14:paraId="51839DB8" w14:textId="3C1CC73A" w:rsidR="00C35443" w:rsidRPr="00A678B3" w:rsidRDefault="00C35443" w:rsidP="00C35443">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FKM</w:t>
            </w:r>
          </w:p>
        </w:tc>
        <w:tc>
          <w:tcPr>
            <w:tcW w:w="1352" w:type="dxa"/>
            <w:shd w:val="clear" w:color="auto" w:fill="auto"/>
            <w:noWrap/>
            <w:vAlign w:val="bottom"/>
          </w:tcPr>
          <w:p w14:paraId="41468DF1" w14:textId="47F1D261"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0.35</w:t>
            </w:r>
          </w:p>
        </w:tc>
        <w:tc>
          <w:tcPr>
            <w:tcW w:w="1352" w:type="dxa"/>
            <w:shd w:val="clear" w:color="auto" w:fill="auto"/>
            <w:noWrap/>
            <w:vAlign w:val="bottom"/>
          </w:tcPr>
          <w:p w14:paraId="4AC02A65" w14:textId="2320A104"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-0.36</w:t>
            </w:r>
          </w:p>
        </w:tc>
        <w:tc>
          <w:tcPr>
            <w:tcW w:w="1352" w:type="dxa"/>
            <w:shd w:val="clear" w:color="auto" w:fill="auto"/>
            <w:noWrap/>
            <w:vAlign w:val="bottom"/>
          </w:tcPr>
          <w:p w14:paraId="49274859" w14:textId="35CDDEC3"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0.38</w:t>
            </w:r>
          </w:p>
        </w:tc>
        <w:tc>
          <w:tcPr>
            <w:tcW w:w="1352" w:type="dxa"/>
            <w:shd w:val="clear" w:color="auto" w:fill="auto"/>
            <w:noWrap/>
            <w:vAlign w:val="bottom"/>
          </w:tcPr>
          <w:p w14:paraId="030F4824" w14:textId="35E79D2E"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0.32</w:t>
            </w:r>
          </w:p>
        </w:tc>
        <w:tc>
          <w:tcPr>
            <w:tcW w:w="1352" w:type="dxa"/>
            <w:shd w:val="clear" w:color="auto" w:fill="auto"/>
            <w:noWrap/>
            <w:vAlign w:val="bottom"/>
          </w:tcPr>
          <w:p w14:paraId="7C4F3D54" w14:textId="1185CC59"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0.58</w:t>
            </w:r>
          </w:p>
        </w:tc>
        <w:tc>
          <w:tcPr>
            <w:tcW w:w="1352" w:type="dxa"/>
            <w:shd w:val="clear" w:color="auto" w:fill="auto"/>
            <w:vAlign w:val="bottom"/>
          </w:tcPr>
          <w:p w14:paraId="06F0BED3" w14:textId="54FD359E" w:rsidR="00C35443" w:rsidRPr="00A678B3" w:rsidRDefault="00C35443" w:rsidP="00C354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678B3">
              <w:rPr>
                <w:rFonts w:ascii="Times New Roman" w:hAnsi="Times New Roman" w:cs="Times New Roman"/>
                <w:color w:val="000000"/>
              </w:rPr>
              <w:t>1.00</w:t>
            </w:r>
          </w:p>
        </w:tc>
      </w:tr>
    </w:tbl>
    <w:p w14:paraId="2767837D" w14:textId="77777777" w:rsidR="0077248A" w:rsidRPr="00A678B3" w:rsidRDefault="0077248A" w:rsidP="0077248A">
      <w:pPr>
        <w:spacing w:line="240" w:lineRule="auto"/>
        <w:jc w:val="both"/>
        <w:rPr>
          <w:rFonts w:ascii="Times New Roman" w:hAnsi="Times New Roman" w:cs="Times New Roman"/>
        </w:rPr>
      </w:pPr>
      <w:r w:rsidRPr="00A678B3">
        <w:rPr>
          <w:rFonts w:ascii="Times New Roman" w:hAnsi="Times New Roman" w:cs="Times New Roman"/>
        </w:rPr>
        <w:t xml:space="preserve"> </w:t>
      </w:r>
    </w:p>
    <w:p w14:paraId="492C1F40" w14:textId="5F5B22CE"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Tablo 4’te yer alan korelasyon değerlerine göre </w:t>
      </w:r>
      <w:r w:rsidR="00C35443" w:rsidRPr="00A678B3">
        <w:rPr>
          <w:rFonts w:ascii="Times New Roman" w:hAnsi="Times New Roman" w:cs="Times New Roman"/>
        </w:rPr>
        <w:t xml:space="preserve">bağımsız değişkenlerden kadın yönetim kurulu üye oranı ile aktif toplamı arasında 0,50 üzerinde korelasyon olduğu görülmektedir. </w:t>
      </w:r>
    </w:p>
    <w:p w14:paraId="3CB7AB5C" w14:textId="37D45F45" w:rsidR="0077248A" w:rsidRPr="006251C3" w:rsidRDefault="0077248A" w:rsidP="006251C3">
      <w:pPr>
        <w:pStyle w:val="ListeParagraf"/>
        <w:numPr>
          <w:ilvl w:val="1"/>
          <w:numId w:val="2"/>
        </w:numPr>
        <w:spacing w:line="240" w:lineRule="auto"/>
        <w:jc w:val="both"/>
        <w:rPr>
          <w:rFonts w:ascii="Times New Roman" w:hAnsi="Times New Roman" w:cs="Times New Roman"/>
          <w:b/>
          <w:bCs/>
          <w:sz w:val="24"/>
          <w:szCs w:val="24"/>
        </w:rPr>
      </w:pPr>
      <w:r w:rsidRPr="006251C3">
        <w:rPr>
          <w:rFonts w:ascii="Times New Roman" w:hAnsi="Times New Roman" w:cs="Times New Roman"/>
          <w:b/>
          <w:bCs/>
          <w:sz w:val="24"/>
          <w:szCs w:val="24"/>
        </w:rPr>
        <w:t>Araştırma Yöntemi</w:t>
      </w:r>
    </w:p>
    <w:p w14:paraId="6D35C721" w14:textId="336EE14C"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Çalışmada bağımlı değişken ile bağımsız değişkenlerin ilişkilerinin analizi için regresyon analizi tekniklerinden “En Küçük Kareler Yöntemi” kullanılmıştır. Analiz E-</w:t>
      </w:r>
      <w:proofErr w:type="spellStart"/>
      <w:r w:rsidRPr="00A678B3">
        <w:rPr>
          <w:rFonts w:ascii="Times New Roman" w:hAnsi="Times New Roman" w:cs="Times New Roman"/>
        </w:rPr>
        <w:t>Views</w:t>
      </w:r>
      <w:proofErr w:type="spellEnd"/>
      <w:r w:rsidRPr="00A678B3">
        <w:rPr>
          <w:rFonts w:ascii="Times New Roman" w:hAnsi="Times New Roman" w:cs="Times New Roman"/>
        </w:rPr>
        <w:t xml:space="preserve"> programı ile yapılmıştır. Regresyon analizi öncesinde veri seti</w:t>
      </w:r>
      <w:r w:rsidR="005E33A9" w:rsidRPr="00A678B3">
        <w:rPr>
          <w:rFonts w:ascii="Times New Roman" w:hAnsi="Times New Roman" w:cs="Times New Roman"/>
        </w:rPr>
        <w:t>ndeki her bir değişken</w:t>
      </w:r>
      <w:r w:rsidRPr="00A678B3">
        <w:rPr>
          <w:rFonts w:ascii="Times New Roman" w:hAnsi="Times New Roman" w:cs="Times New Roman"/>
        </w:rPr>
        <w:t xml:space="preserve"> birim kök testi uygulanarak durağanlık bakımından sınanmış ve durağan olduğu görülmüştür. </w:t>
      </w:r>
    </w:p>
    <w:p w14:paraId="43252D9B"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Çalışmada sürdürülebilirlik endeksinde yer alan bankalar için aşağıda yer alan model kullanılarak bankaların yönetim kurulu yapıları ile ESG skorları arasındaki ilişki analiz edilmiştir. </w:t>
      </w:r>
    </w:p>
    <w:p w14:paraId="6C459BBF" w14:textId="77777777" w:rsidR="006E4E95" w:rsidRPr="00A678B3" w:rsidRDefault="005E33A9" w:rsidP="0077248A">
      <w:pPr>
        <w:spacing w:line="240" w:lineRule="auto"/>
        <w:jc w:val="center"/>
        <w:rPr>
          <w:rFonts w:ascii="Times New Roman" w:eastAsiaTheme="minorEastAsia" w:hAnsi="Times New Roman" w:cs="Times New Roman"/>
        </w:rPr>
      </w:pPr>
      <w:proofErr w:type="spellStart"/>
      <w:proofErr w:type="gramStart"/>
      <w:r w:rsidRPr="00A678B3">
        <w:rPr>
          <w:rFonts w:ascii="Times New Roman" w:hAnsi="Times New Roman" w:cs="Times New Roman"/>
          <w:i/>
        </w:rPr>
        <w:t>log</w:t>
      </w:r>
      <w:proofErr w:type="spellEnd"/>
      <w:proofErr w:type="gramEnd"/>
      <m:oMath>
        <m:r>
          <w:rPr>
            <w:rFonts w:ascii="Cambria Math" w:eastAsiaTheme="minorEastAsia" w:hAnsi="Cambria Math" w:cs="Times New Roman"/>
          </w:rPr>
          <m:t>(</m:t>
        </m:r>
        <m:sSub>
          <m:sSubPr>
            <m:ctrlPr>
              <w:rPr>
                <w:rFonts w:ascii="Cambria Math" w:hAnsi="Cambria Math" w:cs="Times New Roman"/>
              </w:rPr>
            </m:ctrlPr>
          </m:sSubPr>
          <m:e>
            <m:r>
              <w:rPr>
                <w:rFonts w:ascii="Cambria Math" w:hAnsi="Cambria Math" w:cs="Times New Roman"/>
              </w:rPr>
              <m:t>ESG</m:t>
            </m:r>
            <m:r>
              <w:rPr>
                <w:rFonts w:ascii="Cambria Math" w:hAnsi="Cambria Math" w:cs="Times New Roman"/>
              </w:rPr>
              <m:t>)</m:t>
            </m:r>
          </m:e>
          <m:sub>
            <m:r>
              <w:rPr>
                <w:rFonts w:ascii="Cambria Math" w:hAnsi="Cambria Math" w:cs="Times New Roman"/>
              </w:rPr>
              <m:t>t</m:t>
            </m:r>
          </m:sub>
        </m:sSub>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1</m:t>
            </m:r>
          </m:sub>
        </m:sSub>
        <m:sSub>
          <m:sSubPr>
            <m:ctrlPr>
              <w:rPr>
                <w:rFonts w:ascii="Cambria Math" w:hAnsi="Cambria Math" w:cs="Times New Roman"/>
              </w:rPr>
            </m:ctrlPr>
          </m:sSubPr>
          <m:e>
            <m:r>
              <w:rPr>
                <w:rFonts w:ascii="Cambria Math" w:hAnsi="Cambria Math" w:cs="Times New Roman"/>
              </w:rPr>
              <m:t>log</m:t>
            </m:r>
            <m:r>
              <w:rPr>
                <w:rFonts w:ascii="Cambria Math" w:hAnsi="Cambria Math" w:cs="Times New Roman"/>
              </w:rPr>
              <m:t>YK</m:t>
            </m:r>
            <m:r>
              <m:rPr>
                <m:sty m:val="p"/>
              </m:rPr>
              <w:rPr>
                <w:rFonts w:ascii="Cambria Math" w:hAnsi="Cambria Math" w:cs="Times New Roman"/>
              </w:rPr>
              <m:t>Ü</m:t>
            </m:r>
            <m:r>
              <w:rPr>
                <w:rFonts w:ascii="Cambria Math" w:hAnsi="Cambria Math" w:cs="Times New Roman"/>
              </w:rPr>
              <m:t>S</m:t>
            </m:r>
          </m:e>
          <m:sub>
            <m: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rPr>
            </m:ctrlPr>
          </m:sSubPr>
          <m:e>
            <m:r>
              <w:rPr>
                <w:rFonts w:ascii="Cambria Math" w:hAnsi="Cambria Math" w:cs="Times New Roman"/>
              </w:rPr>
              <m:t>K</m:t>
            </m:r>
            <m:r>
              <m:rPr>
                <m:sty m:val="p"/>
              </m:rPr>
              <w:rPr>
                <w:rFonts w:ascii="Cambria Math" w:hAnsi="Cambria Math" w:cs="Times New Roman"/>
              </w:rPr>
              <m:t>Ü</m:t>
            </m:r>
            <m:r>
              <w:rPr>
                <w:rFonts w:ascii="Cambria Math" w:hAnsi="Cambria Math" w:cs="Times New Roman"/>
              </w:rPr>
              <m:t>O</m:t>
            </m:r>
          </m:e>
          <m:sub>
            <m: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3</m:t>
            </m:r>
          </m:sub>
        </m:sSub>
        <m:sSub>
          <m:sSubPr>
            <m:ctrlPr>
              <w:rPr>
                <w:rFonts w:ascii="Cambria Math" w:hAnsi="Cambria Math" w:cs="Times New Roman"/>
              </w:rPr>
            </m:ctrlPr>
          </m:sSubPr>
          <m:e>
            <m:r>
              <w:rPr>
                <w:rFonts w:ascii="Cambria Math" w:hAnsi="Cambria Math" w:cs="Times New Roman"/>
              </w:rPr>
              <m:t>Y</m:t>
            </m:r>
            <m:r>
              <w:rPr>
                <w:rFonts w:ascii="Cambria Math" w:hAnsi="Cambria Math" w:cs="Times New Roman"/>
              </w:rPr>
              <m:t>KBÜO</m:t>
            </m:r>
          </m:e>
          <m:sub>
            <m:r>
              <w:rPr>
                <w:rFonts w:ascii="Cambria Math" w:hAnsi="Cambria Math" w:cs="Times New Roman"/>
              </w:rPr>
              <m:t>t</m:t>
            </m:r>
          </m:sub>
        </m:sSub>
      </m:oMath>
      <w:r w:rsidR="0077248A" w:rsidRPr="00A678B3">
        <w:rPr>
          <w:rFonts w:ascii="Times New Roman" w:hAnsi="Times New Roman" w:cs="Times New Roman"/>
        </w:rPr>
        <w:t xml:space="preserve"> + </w:t>
      </w:r>
      <m:oMath>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5</m:t>
            </m:r>
          </m:sub>
        </m:sSub>
        <m:sSub>
          <m:sSubPr>
            <m:ctrlPr>
              <w:rPr>
                <w:rFonts w:ascii="Cambria Math" w:hAnsi="Cambria Math" w:cs="Times New Roman"/>
              </w:rPr>
            </m:ctrlPr>
          </m:sSubPr>
          <m:e>
            <m:r>
              <w:rPr>
                <w:rFonts w:ascii="Cambria Math" w:hAnsi="Cambria Math" w:cs="Times New Roman"/>
              </w:rPr>
              <m:t>log</m:t>
            </m:r>
            <m:r>
              <w:rPr>
                <w:rFonts w:ascii="Cambria Math" w:hAnsi="Cambria Math" w:cs="Times New Roman"/>
              </w:rPr>
              <m:t>TA</m:t>
            </m:r>
          </m:e>
          <m:sub>
            <m:r>
              <w:rPr>
                <w:rFonts w:ascii="Cambria Math" w:hAnsi="Cambria Math" w:cs="Times New Roman"/>
              </w:rPr>
              <m:t>t</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β</m:t>
            </m:r>
          </m:e>
          <m:sub>
            <m:r>
              <m:rPr>
                <m:sty m:val="p"/>
              </m:rPr>
              <w:rPr>
                <w:rFonts w:ascii="Cambria Math" w:hAnsi="Cambria Math" w:cs="Times New Roman"/>
              </w:rPr>
              <m:t>6</m:t>
            </m:r>
          </m:sub>
        </m:sSub>
        <m:sSub>
          <m:sSubPr>
            <m:ctrlPr>
              <w:rPr>
                <w:rFonts w:ascii="Cambria Math" w:hAnsi="Cambria Math" w:cs="Times New Roman"/>
              </w:rPr>
            </m:ctrlPr>
          </m:sSubPr>
          <m:e>
            <m:r>
              <w:rPr>
                <w:rFonts w:ascii="Cambria Math" w:hAnsi="Cambria Math" w:cs="Times New Roman"/>
              </w:rPr>
              <m:t>FKM</m:t>
            </m:r>
          </m:e>
          <m:sub>
            <m:r>
              <w:rPr>
                <w:rFonts w:ascii="Cambria Math" w:hAnsi="Cambria Math" w:cs="Times New Roman"/>
              </w:rPr>
              <m:t>t</m:t>
            </m:r>
          </m:sub>
        </m:sSub>
        <m:r>
          <m:rPr>
            <m:sty m:val="p"/>
          </m:rPr>
          <w:rPr>
            <w:rFonts w:ascii="Cambria Math" w:hAnsi="Cambria Math" w:cs="Times New Roman"/>
          </w:rPr>
          <m:t>+ ∈</m:t>
        </m:r>
      </m:oMath>
      <w:r w:rsidR="0077248A" w:rsidRPr="00A678B3">
        <w:rPr>
          <w:rFonts w:ascii="Times New Roman" w:eastAsiaTheme="minorEastAsia" w:hAnsi="Times New Roman" w:cs="Times New Roman"/>
        </w:rPr>
        <w:t xml:space="preserve"> </w:t>
      </w:r>
    </w:p>
    <w:p w14:paraId="04536D74" w14:textId="7A0350F4" w:rsidR="0077248A" w:rsidRPr="00A678B3" w:rsidRDefault="0077248A" w:rsidP="006E4E95">
      <w:pPr>
        <w:spacing w:line="240" w:lineRule="auto"/>
        <w:rPr>
          <w:rFonts w:ascii="Times New Roman" w:hAnsi="Times New Roman" w:cs="Times New Roman"/>
        </w:rPr>
      </w:pPr>
      <w:r w:rsidRPr="00A678B3">
        <w:rPr>
          <w:rFonts w:ascii="Times New Roman" w:eastAsiaTheme="minorEastAsia" w:hAnsi="Times New Roman" w:cs="Times New Roman"/>
        </w:rPr>
        <w:lastRenderedPageBreak/>
        <w:t xml:space="preserve">                                                                                         </w:t>
      </w:r>
    </w:p>
    <w:p w14:paraId="395DF546" w14:textId="77777777" w:rsidR="0077248A" w:rsidRPr="006251C3" w:rsidRDefault="0077248A" w:rsidP="006251C3">
      <w:pPr>
        <w:pStyle w:val="ListeParagraf"/>
        <w:numPr>
          <w:ilvl w:val="1"/>
          <w:numId w:val="2"/>
        </w:numPr>
        <w:spacing w:line="240" w:lineRule="auto"/>
        <w:ind w:left="1276" w:hanging="425"/>
        <w:jc w:val="both"/>
        <w:rPr>
          <w:rFonts w:ascii="Times New Roman" w:hAnsi="Times New Roman" w:cs="Times New Roman"/>
          <w:b/>
          <w:bCs/>
          <w:sz w:val="24"/>
          <w:szCs w:val="24"/>
        </w:rPr>
      </w:pPr>
      <w:r w:rsidRPr="006251C3">
        <w:rPr>
          <w:rFonts w:ascii="Times New Roman" w:hAnsi="Times New Roman" w:cs="Times New Roman"/>
          <w:b/>
          <w:bCs/>
          <w:sz w:val="24"/>
          <w:szCs w:val="24"/>
        </w:rPr>
        <w:t>Bulgular</w:t>
      </w:r>
    </w:p>
    <w:p w14:paraId="64974E27"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Yapılan regresyon analizi sonucunda Tablo 5’te yer alan sonuçlara ulaşılmıştır. </w:t>
      </w:r>
    </w:p>
    <w:p w14:paraId="1B9E1233" w14:textId="77777777" w:rsidR="0077248A" w:rsidRPr="00A678B3" w:rsidRDefault="0077248A" w:rsidP="0077248A">
      <w:pPr>
        <w:pStyle w:val="ResimYazs"/>
        <w:keepNext/>
        <w:jc w:val="center"/>
        <w:rPr>
          <w:rFonts w:ascii="Times New Roman" w:hAnsi="Times New Roman" w:cs="Times New Roman"/>
          <w:b/>
          <w:bCs/>
          <w:i w:val="0"/>
          <w:iCs w:val="0"/>
          <w:color w:val="auto"/>
          <w:szCs w:val="22"/>
        </w:rPr>
      </w:pPr>
      <w:r w:rsidRPr="00A678B3">
        <w:rPr>
          <w:rFonts w:ascii="Times New Roman" w:hAnsi="Times New Roman" w:cs="Times New Roman"/>
          <w:b/>
          <w:bCs/>
          <w:i w:val="0"/>
          <w:iCs w:val="0"/>
          <w:color w:val="auto"/>
          <w:szCs w:val="22"/>
        </w:rPr>
        <w:t>Tablo 5. Analiz Sonuçları</w:t>
      </w:r>
    </w:p>
    <w:tbl>
      <w:tblPr>
        <w:tblStyle w:val="DzTablo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gridCol w:w="2366"/>
      </w:tblGrid>
      <w:tr w:rsidR="0077248A" w:rsidRPr="00A678B3" w14:paraId="663A6221" w14:textId="77777777" w:rsidTr="00076B4C">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1A2CF4D0" w14:textId="77777777" w:rsidR="0077248A" w:rsidRPr="00A678B3" w:rsidRDefault="0077248A" w:rsidP="00B83763">
            <w:pPr>
              <w:rPr>
                <w:rFonts w:ascii="Times New Roman" w:eastAsia="Times New Roman" w:hAnsi="Times New Roman" w:cs="Times New Roman"/>
                <w:b w:val="0"/>
                <w:bCs w:val="0"/>
                <w:i/>
                <w:iCs/>
                <w:color w:val="000000"/>
                <w:sz w:val="20"/>
                <w:szCs w:val="20"/>
              </w:rPr>
            </w:pPr>
            <w:r w:rsidRPr="00A678B3">
              <w:rPr>
                <w:rFonts w:ascii="Times New Roman" w:eastAsia="Times New Roman" w:hAnsi="Times New Roman" w:cs="Times New Roman"/>
                <w:i/>
                <w:iCs/>
                <w:color w:val="000000"/>
                <w:sz w:val="20"/>
                <w:szCs w:val="20"/>
              </w:rPr>
              <w:t>Değişkenler</w:t>
            </w:r>
          </w:p>
        </w:tc>
        <w:tc>
          <w:tcPr>
            <w:tcW w:w="2366" w:type="dxa"/>
            <w:shd w:val="clear" w:color="auto" w:fill="auto"/>
            <w:noWrap/>
            <w:hideMark/>
          </w:tcPr>
          <w:p w14:paraId="49B89193" w14:textId="77777777" w:rsidR="0077248A" w:rsidRPr="00A678B3" w:rsidRDefault="0077248A" w:rsidP="00B8376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Katsayılar</w:t>
            </w:r>
          </w:p>
        </w:tc>
        <w:tc>
          <w:tcPr>
            <w:tcW w:w="2366" w:type="dxa"/>
            <w:shd w:val="clear" w:color="auto" w:fill="auto"/>
          </w:tcPr>
          <w:p w14:paraId="48B58F37" w14:textId="77777777" w:rsidR="0077248A" w:rsidRPr="00A678B3" w:rsidRDefault="0077248A" w:rsidP="00B83763">
            <w:pPr>
              <w:tabs>
                <w:tab w:val="left" w:pos="552"/>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roofErr w:type="gramStart"/>
            <w:r w:rsidRPr="00A678B3">
              <w:rPr>
                <w:rFonts w:ascii="Times New Roman" w:eastAsia="Times New Roman" w:hAnsi="Times New Roman" w:cs="Times New Roman"/>
                <w:color w:val="000000"/>
                <w:sz w:val="20"/>
                <w:szCs w:val="20"/>
              </w:rPr>
              <w:t>t</w:t>
            </w:r>
            <w:proofErr w:type="gramEnd"/>
            <w:r w:rsidRPr="00A678B3">
              <w:rPr>
                <w:rFonts w:ascii="Times New Roman" w:eastAsia="Times New Roman" w:hAnsi="Times New Roman" w:cs="Times New Roman"/>
                <w:color w:val="000000"/>
                <w:sz w:val="20"/>
                <w:szCs w:val="20"/>
              </w:rPr>
              <w:t xml:space="preserve"> değerleri</w:t>
            </w:r>
          </w:p>
        </w:tc>
        <w:tc>
          <w:tcPr>
            <w:tcW w:w="2366" w:type="dxa"/>
            <w:shd w:val="clear" w:color="auto" w:fill="auto"/>
          </w:tcPr>
          <w:p w14:paraId="78441083" w14:textId="77777777" w:rsidR="0077248A" w:rsidRPr="00A678B3" w:rsidRDefault="0077248A" w:rsidP="00B83763">
            <w:pPr>
              <w:tabs>
                <w:tab w:val="left" w:pos="552"/>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Olasılık</w:t>
            </w:r>
          </w:p>
        </w:tc>
      </w:tr>
      <w:tr w:rsidR="00076B4C" w:rsidRPr="00A678B3" w14:paraId="41C7713B" w14:textId="77777777" w:rsidTr="00076B4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68D38598"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C</w:t>
            </w:r>
          </w:p>
        </w:tc>
        <w:tc>
          <w:tcPr>
            <w:tcW w:w="2366" w:type="dxa"/>
            <w:shd w:val="clear" w:color="auto" w:fill="auto"/>
            <w:noWrap/>
            <w:vAlign w:val="bottom"/>
          </w:tcPr>
          <w:p w14:paraId="15B910DB" w14:textId="059A4D57"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b/>
                <w:bCs/>
                <w:color w:val="000000"/>
              </w:rPr>
              <w:t>-8.17</w:t>
            </w:r>
          </w:p>
        </w:tc>
        <w:tc>
          <w:tcPr>
            <w:tcW w:w="2366" w:type="dxa"/>
            <w:shd w:val="clear" w:color="auto" w:fill="auto"/>
            <w:vAlign w:val="bottom"/>
          </w:tcPr>
          <w:p w14:paraId="77C865F7" w14:textId="6C6F9BC1"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-4.38</w:t>
            </w:r>
          </w:p>
        </w:tc>
        <w:tc>
          <w:tcPr>
            <w:tcW w:w="2366" w:type="dxa"/>
            <w:shd w:val="clear" w:color="auto" w:fill="auto"/>
            <w:vAlign w:val="bottom"/>
          </w:tcPr>
          <w:p w14:paraId="5DFCAEB6" w14:textId="27E42256"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0.00</w:t>
            </w:r>
          </w:p>
        </w:tc>
      </w:tr>
      <w:tr w:rsidR="00076B4C" w:rsidRPr="00A678B3" w14:paraId="38F396C4" w14:textId="77777777" w:rsidTr="00076B4C">
        <w:trPr>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1B4FBA9B"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YKÜS</w:t>
            </w:r>
          </w:p>
        </w:tc>
        <w:tc>
          <w:tcPr>
            <w:tcW w:w="2366" w:type="dxa"/>
            <w:shd w:val="clear" w:color="auto" w:fill="auto"/>
            <w:noWrap/>
            <w:vAlign w:val="bottom"/>
          </w:tcPr>
          <w:p w14:paraId="5CB67B70" w14:textId="0B95B928"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-0.54</w:t>
            </w:r>
          </w:p>
        </w:tc>
        <w:tc>
          <w:tcPr>
            <w:tcW w:w="2366" w:type="dxa"/>
            <w:shd w:val="clear" w:color="auto" w:fill="auto"/>
            <w:vAlign w:val="bottom"/>
          </w:tcPr>
          <w:p w14:paraId="5FAA5B31" w14:textId="10B72E22"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-1.20</w:t>
            </w:r>
          </w:p>
        </w:tc>
        <w:tc>
          <w:tcPr>
            <w:tcW w:w="2366" w:type="dxa"/>
            <w:shd w:val="clear" w:color="auto" w:fill="auto"/>
            <w:vAlign w:val="bottom"/>
          </w:tcPr>
          <w:p w14:paraId="25794909" w14:textId="76061654"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0.24</w:t>
            </w:r>
          </w:p>
        </w:tc>
      </w:tr>
      <w:tr w:rsidR="00076B4C" w:rsidRPr="00A678B3" w14:paraId="7777A98F" w14:textId="77777777" w:rsidTr="00076B4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73EBB564"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KÜO</w:t>
            </w:r>
          </w:p>
        </w:tc>
        <w:tc>
          <w:tcPr>
            <w:tcW w:w="2366" w:type="dxa"/>
            <w:shd w:val="clear" w:color="auto" w:fill="auto"/>
            <w:noWrap/>
            <w:vAlign w:val="bottom"/>
          </w:tcPr>
          <w:p w14:paraId="349AB584" w14:textId="09ECF001"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b/>
                <w:bCs/>
                <w:color w:val="000000"/>
              </w:rPr>
              <w:t>0.04</w:t>
            </w:r>
          </w:p>
        </w:tc>
        <w:tc>
          <w:tcPr>
            <w:tcW w:w="2366" w:type="dxa"/>
            <w:shd w:val="clear" w:color="auto" w:fill="auto"/>
            <w:vAlign w:val="bottom"/>
          </w:tcPr>
          <w:p w14:paraId="2E3249EB" w14:textId="5E717AEF"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2.43</w:t>
            </w:r>
          </w:p>
        </w:tc>
        <w:tc>
          <w:tcPr>
            <w:tcW w:w="2366" w:type="dxa"/>
            <w:shd w:val="clear" w:color="auto" w:fill="auto"/>
            <w:vAlign w:val="bottom"/>
          </w:tcPr>
          <w:p w14:paraId="5A4A825A" w14:textId="62939398"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0.02</w:t>
            </w:r>
          </w:p>
        </w:tc>
      </w:tr>
      <w:tr w:rsidR="00076B4C" w:rsidRPr="00A678B3" w14:paraId="40BAAAAA" w14:textId="77777777" w:rsidTr="00076B4C">
        <w:trPr>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44B0BE3F" w14:textId="54E937B5"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YKBÜO</w:t>
            </w:r>
          </w:p>
        </w:tc>
        <w:tc>
          <w:tcPr>
            <w:tcW w:w="2366" w:type="dxa"/>
            <w:shd w:val="clear" w:color="auto" w:fill="auto"/>
            <w:noWrap/>
            <w:vAlign w:val="bottom"/>
          </w:tcPr>
          <w:p w14:paraId="4B7F54EC" w14:textId="61BFF9E1"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0.00</w:t>
            </w:r>
          </w:p>
        </w:tc>
        <w:tc>
          <w:tcPr>
            <w:tcW w:w="2366" w:type="dxa"/>
            <w:shd w:val="clear" w:color="auto" w:fill="auto"/>
            <w:vAlign w:val="bottom"/>
          </w:tcPr>
          <w:p w14:paraId="6EE9B9FF" w14:textId="4285FF96"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-0.07</w:t>
            </w:r>
          </w:p>
        </w:tc>
        <w:tc>
          <w:tcPr>
            <w:tcW w:w="2366" w:type="dxa"/>
            <w:shd w:val="clear" w:color="auto" w:fill="auto"/>
            <w:vAlign w:val="bottom"/>
          </w:tcPr>
          <w:p w14:paraId="17916ACB" w14:textId="52920A74"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0.95</w:t>
            </w:r>
          </w:p>
        </w:tc>
      </w:tr>
      <w:tr w:rsidR="00076B4C" w:rsidRPr="00A678B3" w14:paraId="089C00FD" w14:textId="77777777" w:rsidTr="00076B4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54320915"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TA</w:t>
            </w:r>
          </w:p>
        </w:tc>
        <w:tc>
          <w:tcPr>
            <w:tcW w:w="2366" w:type="dxa"/>
            <w:shd w:val="clear" w:color="auto" w:fill="auto"/>
            <w:noWrap/>
            <w:vAlign w:val="bottom"/>
          </w:tcPr>
          <w:p w14:paraId="1E9355DB" w14:textId="1CE20A54"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b/>
                <w:bCs/>
                <w:color w:val="000000"/>
              </w:rPr>
              <w:t>1.12</w:t>
            </w:r>
          </w:p>
        </w:tc>
        <w:tc>
          <w:tcPr>
            <w:tcW w:w="2366" w:type="dxa"/>
            <w:shd w:val="clear" w:color="auto" w:fill="auto"/>
            <w:vAlign w:val="bottom"/>
          </w:tcPr>
          <w:p w14:paraId="15516344" w14:textId="29AAF263"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6.78</w:t>
            </w:r>
          </w:p>
        </w:tc>
        <w:tc>
          <w:tcPr>
            <w:tcW w:w="2366" w:type="dxa"/>
            <w:shd w:val="clear" w:color="auto" w:fill="auto"/>
            <w:vAlign w:val="bottom"/>
          </w:tcPr>
          <w:p w14:paraId="6E59DDB9" w14:textId="47A7F4FC"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0.00</w:t>
            </w:r>
          </w:p>
        </w:tc>
      </w:tr>
      <w:tr w:rsidR="00076B4C" w:rsidRPr="00A678B3" w14:paraId="545934DC" w14:textId="77777777" w:rsidTr="00076B4C">
        <w:trPr>
          <w:trHeight w:val="282"/>
        </w:trPr>
        <w:tc>
          <w:tcPr>
            <w:cnfStyle w:val="001000000000" w:firstRow="0" w:lastRow="0" w:firstColumn="1" w:lastColumn="0" w:oddVBand="0" w:evenVBand="0" w:oddHBand="0" w:evenHBand="0" w:firstRowFirstColumn="0" w:firstRowLastColumn="0" w:lastRowFirstColumn="0" w:lastRowLastColumn="0"/>
            <w:tcW w:w="2366" w:type="dxa"/>
            <w:shd w:val="clear" w:color="auto" w:fill="auto"/>
            <w:noWrap/>
            <w:hideMark/>
          </w:tcPr>
          <w:p w14:paraId="63DEAA46" w14:textId="31E2AE09"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FKM</w:t>
            </w:r>
          </w:p>
        </w:tc>
        <w:tc>
          <w:tcPr>
            <w:tcW w:w="2366" w:type="dxa"/>
            <w:shd w:val="clear" w:color="auto" w:fill="auto"/>
            <w:noWrap/>
            <w:vAlign w:val="bottom"/>
          </w:tcPr>
          <w:p w14:paraId="70371A64" w14:textId="26B2E6F9"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0.01</w:t>
            </w:r>
          </w:p>
        </w:tc>
        <w:tc>
          <w:tcPr>
            <w:tcW w:w="2366" w:type="dxa"/>
            <w:shd w:val="clear" w:color="auto" w:fill="auto"/>
            <w:vAlign w:val="bottom"/>
          </w:tcPr>
          <w:p w14:paraId="0CFC5BCD" w14:textId="1E219217"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hAnsi="Times New Roman" w:cs="Times New Roman"/>
                <w:color w:val="000000"/>
              </w:rPr>
              <w:t>0.59</w:t>
            </w:r>
          </w:p>
        </w:tc>
        <w:tc>
          <w:tcPr>
            <w:tcW w:w="2366" w:type="dxa"/>
            <w:shd w:val="clear" w:color="auto" w:fill="auto"/>
            <w:vAlign w:val="bottom"/>
          </w:tcPr>
          <w:p w14:paraId="485A897C" w14:textId="116E3028"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hAnsi="Times New Roman" w:cs="Times New Roman"/>
                <w:color w:val="000000"/>
              </w:rPr>
              <w:t>0.56</w:t>
            </w:r>
          </w:p>
        </w:tc>
      </w:tr>
      <w:tr w:rsidR="00076B4C" w:rsidRPr="00A678B3" w14:paraId="00A18945" w14:textId="77777777" w:rsidTr="00076B4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732" w:type="dxa"/>
            <w:gridSpan w:val="2"/>
            <w:shd w:val="clear" w:color="auto" w:fill="auto"/>
            <w:noWrap/>
          </w:tcPr>
          <w:p w14:paraId="0246EBE8"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R²</w:t>
            </w:r>
          </w:p>
        </w:tc>
        <w:tc>
          <w:tcPr>
            <w:tcW w:w="4732" w:type="dxa"/>
            <w:gridSpan w:val="2"/>
            <w:shd w:val="clear" w:color="auto" w:fill="auto"/>
            <w:noWrap/>
          </w:tcPr>
          <w:p w14:paraId="75D4D2A2" w14:textId="690506A7"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eastAsia="Times New Roman" w:hAnsi="Times New Roman" w:cs="Times New Roman"/>
                <w:b/>
                <w:bCs/>
                <w:color w:val="000000"/>
                <w:sz w:val="20"/>
                <w:szCs w:val="20"/>
              </w:rPr>
              <w:t>0,49</w:t>
            </w:r>
          </w:p>
        </w:tc>
      </w:tr>
      <w:tr w:rsidR="00076B4C" w:rsidRPr="00A678B3" w14:paraId="30A273AF" w14:textId="77777777" w:rsidTr="00076B4C">
        <w:trPr>
          <w:trHeight w:val="282"/>
        </w:trPr>
        <w:tc>
          <w:tcPr>
            <w:cnfStyle w:val="001000000000" w:firstRow="0" w:lastRow="0" w:firstColumn="1" w:lastColumn="0" w:oddVBand="0" w:evenVBand="0" w:oddHBand="0" w:evenHBand="0" w:firstRowFirstColumn="0" w:firstRowLastColumn="0" w:lastRowFirstColumn="0" w:lastRowLastColumn="0"/>
            <w:tcW w:w="4732" w:type="dxa"/>
            <w:gridSpan w:val="2"/>
            <w:shd w:val="clear" w:color="auto" w:fill="auto"/>
            <w:noWrap/>
          </w:tcPr>
          <w:p w14:paraId="501BBC36"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 İstatistiği</w:t>
            </w:r>
          </w:p>
        </w:tc>
        <w:tc>
          <w:tcPr>
            <w:tcW w:w="4732" w:type="dxa"/>
            <w:gridSpan w:val="2"/>
            <w:shd w:val="clear" w:color="auto" w:fill="auto"/>
            <w:noWrap/>
          </w:tcPr>
          <w:p w14:paraId="53103A89" w14:textId="72A8674C" w:rsidR="00076B4C" w:rsidRPr="00A678B3" w:rsidRDefault="00076B4C" w:rsidP="00076B4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5,69</w:t>
            </w:r>
          </w:p>
        </w:tc>
      </w:tr>
      <w:tr w:rsidR="00076B4C" w:rsidRPr="00A678B3" w14:paraId="508BADD9" w14:textId="77777777" w:rsidTr="00076B4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732" w:type="dxa"/>
            <w:gridSpan w:val="2"/>
            <w:shd w:val="clear" w:color="auto" w:fill="auto"/>
            <w:noWrap/>
          </w:tcPr>
          <w:p w14:paraId="633CD936" w14:textId="77777777" w:rsidR="00076B4C" w:rsidRPr="00A678B3" w:rsidRDefault="00076B4C" w:rsidP="00076B4C">
            <w:pPr>
              <w:rPr>
                <w:rFonts w:ascii="Times New Roman" w:eastAsia="Times New Roman" w:hAnsi="Times New Roman" w:cs="Times New Roman"/>
                <w:color w:val="000000"/>
                <w:sz w:val="20"/>
                <w:szCs w:val="20"/>
              </w:rPr>
            </w:pPr>
            <w:r w:rsidRPr="00A678B3">
              <w:rPr>
                <w:rFonts w:ascii="Times New Roman" w:eastAsia="Times New Roman" w:hAnsi="Times New Roman" w:cs="Times New Roman"/>
                <w:color w:val="000000"/>
                <w:sz w:val="20"/>
                <w:szCs w:val="20"/>
              </w:rPr>
              <w:t>F İstatistiği Olasılığı</w:t>
            </w:r>
          </w:p>
        </w:tc>
        <w:tc>
          <w:tcPr>
            <w:tcW w:w="4732" w:type="dxa"/>
            <w:gridSpan w:val="2"/>
            <w:shd w:val="clear" w:color="auto" w:fill="auto"/>
            <w:noWrap/>
          </w:tcPr>
          <w:p w14:paraId="3065E840" w14:textId="782B25CF" w:rsidR="00076B4C" w:rsidRPr="00A678B3" w:rsidRDefault="00076B4C" w:rsidP="00076B4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r w:rsidRPr="00A678B3">
              <w:rPr>
                <w:rFonts w:ascii="Times New Roman" w:eastAsia="Times New Roman" w:hAnsi="Times New Roman" w:cs="Times New Roman"/>
                <w:b/>
                <w:bCs/>
                <w:color w:val="000000"/>
                <w:sz w:val="20"/>
                <w:szCs w:val="20"/>
              </w:rPr>
              <w:t>0,0009</w:t>
            </w:r>
          </w:p>
        </w:tc>
      </w:tr>
    </w:tbl>
    <w:p w14:paraId="19994C6E" w14:textId="77777777" w:rsidR="0077248A" w:rsidRPr="00A678B3" w:rsidRDefault="0077248A" w:rsidP="0077248A">
      <w:pPr>
        <w:spacing w:line="240" w:lineRule="auto"/>
        <w:jc w:val="both"/>
        <w:rPr>
          <w:rFonts w:ascii="Times New Roman" w:hAnsi="Times New Roman" w:cs="Times New Roman"/>
        </w:rPr>
      </w:pPr>
    </w:p>
    <w:p w14:paraId="2915CF56" w14:textId="4EB4721B"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E-</w:t>
      </w:r>
      <w:proofErr w:type="spellStart"/>
      <w:r w:rsidRPr="00A678B3">
        <w:rPr>
          <w:rFonts w:ascii="Times New Roman" w:hAnsi="Times New Roman" w:cs="Times New Roman"/>
        </w:rPr>
        <w:t>Views</w:t>
      </w:r>
      <w:proofErr w:type="spellEnd"/>
      <w:r w:rsidRPr="00A678B3">
        <w:rPr>
          <w:rFonts w:ascii="Times New Roman" w:hAnsi="Times New Roman" w:cs="Times New Roman"/>
        </w:rPr>
        <w:t xml:space="preserve"> programında en küçük kareler yöntemi uygulanarak yapılan analiz sonucunda modelin F istatistiği olasılığı 0</w:t>
      </w:r>
      <w:r w:rsidR="00076B4C" w:rsidRPr="00A678B3">
        <w:rPr>
          <w:rFonts w:ascii="Times New Roman" w:hAnsi="Times New Roman" w:cs="Times New Roman"/>
        </w:rPr>
        <w:t>,0009</w:t>
      </w:r>
      <w:r w:rsidRPr="00A678B3">
        <w:rPr>
          <w:rFonts w:ascii="Times New Roman" w:hAnsi="Times New Roman" w:cs="Times New Roman"/>
        </w:rPr>
        <w:t xml:space="preserve"> çıkmıştır. Bu oran modelin 0.01 güven düzeyinde anlamlı olduğunu anlamına gelmektedir. Modelin R² değeri 0.</w:t>
      </w:r>
      <w:r w:rsidR="00C14776" w:rsidRPr="00A678B3">
        <w:rPr>
          <w:rFonts w:ascii="Times New Roman" w:hAnsi="Times New Roman" w:cs="Times New Roman"/>
        </w:rPr>
        <w:t>49</w:t>
      </w:r>
      <w:r w:rsidRPr="00A678B3">
        <w:rPr>
          <w:rFonts w:ascii="Times New Roman" w:hAnsi="Times New Roman" w:cs="Times New Roman"/>
        </w:rPr>
        <w:t>’</w:t>
      </w:r>
      <w:r w:rsidR="00C14776" w:rsidRPr="00A678B3">
        <w:rPr>
          <w:rFonts w:ascii="Times New Roman" w:hAnsi="Times New Roman" w:cs="Times New Roman"/>
        </w:rPr>
        <w:t>dur</w:t>
      </w:r>
      <w:r w:rsidRPr="00A678B3">
        <w:rPr>
          <w:rFonts w:ascii="Times New Roman" w:hAnsi="Times New Roman" w:cs="Times New Roman"/>
        </w:rPr>
        <w:t>. Bu değer modelde yer alan bağımsız değişkenlerin bağımlı değişkeni ne oranda açıkladığını göstermektedir. Buna göre modelde yer alan bağımsız değişkenler bağımlı değişkeni %</w:t>
      </w:r>
      <w:r w:rsidR="00C14776" w:rsidRPr="00A678B3">
        <w:rPr>
          <w:rFonts w:ascii="Times New Roman" w:hAnsi="Times New Roman" w:cs="Times New Roman"/>
        </w:rPr>
        <w:t>49</w:t>
      </w:r>
      <w:r w:rsidRPr="00A678B3">
        <w:rPr>
          <w:rFonts w:ascii="Times New Roman" w:hAnsi="Times New Roman" w:cs="Times New Roman"/>
        </w:rPr>
        <w:t xml:space="preserve"> oranında açıklamaktadırlar. </w:t>
      </w:r>
    </w:p>
    <w:p w14:paraId="44BFD2A2" w14:textId="3604AC64"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Model içerisinde yer alan bağımsız değişkenlerden bağımlı değişken ile anlamlı ilişkisi olan değişkenler yönetim kurulu kadın üye oranı ile</w:t>
      </w:r>
      <w:r w:rsidR="00C14776" w:rsidRPr="00A678B3">
        <w:rPr>
          <w:rFonts w:ascii="Times New Roman" w:hAnsi="Times New Roman" w:cs="Times New Roman"/>
        </w:rPr>
        <w:t xml:space="preserve"> banka büyüklüğünü gösteren toplam aktif değişkenidir</w:t>
      </w:r>
      <w:r w:rsidRPr="00A678B3">
        <w:rPr>
          <w:rFonts w:ascii="Times New Roman" w:hAnsi="Times New Roman" w:cs="Times New Roman"/>
        </w:rPr>
        <w:t>.</w:t>
      </w:r>
    </w:p>
    <w:p w14:paraId="0E007A21" w14:textId="77777777" w:rsidR="0077248A" w:rsidRPr="006251C3" w:rsidRDefault="0077248A" w:rsidP="006251C3">
      <w:pPr>
        <w:pStyle w:val="ListeParagraf"/>
        <w:numPr>
          <w:ilvl w:val="0"/>
          <w:numId w:val="2"/>
        </w:numPr>
        <w:spacing w:line="240" w:lineRule="auto"/>
        <w:ind w:left="993" w:hanging="284"/>
        <w:jc w:val="both"/>
        <w:rPr>
          <w:rFonts w:ascii="Times New Roman" w:hAnsi="Times New Roman" w:cs="Times New Roman"/>
          <w:b/>
          <w:sz w:val="24"/>
          <w:szCs w:val="24"/>
        </w:rPr>
      </w:pPr>
      <w:r w:rsidRPr="006251C3">
        <w:rPr>
          <w:rFonts w:ascii="Times New Roman" w:hAnsi="Times New Roman" w:cs="Times New Roman"/>
          <w:b/>
          <w:sz w:val="24"/>
          <w:szCs w:val="24"/>
        </w:rPr>
        <w:t>Sonuç</w:t>
      </w:r>
      <w:r w:rsidRPr="006251C3">
        <w:rPr>
          <w:rFonts w:ascii="Times New Roman" w:hAnsi="Times New Roman" w:cs="Times New Roman"/>
          <w:b/>
          <w:sz w:val="24"/>
          <w:szCs w:val="24"/>
        </w:rPr>
        <w:tab/>
      </w:r>
      <w:r w:rsidRPr="006251C3">
        <w:rPr>
          <w:rFonts w:ascii="Times New Roman" w:hAnsi="Times New Roman" w:cs="Times New Roman"/>
          <w:b/>
          <w:sz w:val="24"/>
          <w:szCs w:val="24"/>
        </w:rPr>
        <w:tab/>
      </w:r>
    </w:p>
    <w:p w14:paraId="4359FF55" w14:textId="77777777"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Bugünün dünyasında paydaşların işletmelerden beklentileri finansal faaliyet sonuçlarının yanında finansal olmayan faaliyet sonuçlarının da kendilerine sunulmasıdır. Finansal olmayan faaliyet sonuçları kapsamında işletmenin içinde olduğu dünyaya ve topluma karşı hassasiyetinin ve kurumsal yönetime ilişkin bilgiler yer almaktadır. Bu konularda özen gösteren ve içinde bulunduğu toplum ve dünya için değer yaratmaya odaklanan işletmelerin daha uzun sürelerde faaliyetlerini sürdürmeleri beklenmektedir. Bu nedenle işletmeler finansal olmayan faaliyetlerine ilişkin sonuçları sürdürülebilirlik raporları olarak paydaşlarına açıklamaktadırlar. </w:t>
      </w:r>
    </w:p>
    <w:p w14:paraId="6EA53452" w14:textId="31B3871F" w:rsidR="0077248A" w:rsidRPr="00A678B3" w:rsidRDefault="0077248A" w:rsidP="0077248A">
      <w:pPr>
        <w:spacing w:line="240" w:lineRule="auto"/>
        <w:ind w:firstLine="708"/>
        <w:jc w:val="both"/>
        <w:rPr>
          <w:rFonts w:ascii="Times New Roman" w:hAnsi="Times New Roman" w:cs="Times New Roman"/>
        </w:rPr>
      </w:pPr>
      <w:r w:rsidRPr="00A678B3">
        <w:rPr>
          <w:rFonts w:ascii="Times New Roman" w:hAnsi="Times New Roman" w:cs="Times New Roman"/>
        </w:rPr>
        <w:t xml:space="preserve">Bloomberg, EIRIS, KLD gibi kuruluşlar işletmelerin açıkladıkları sürdürülebilirlik raporları üzerinden ESG </w:t>
      </w:r>
      <w:proofErr w:type="spellStart"/>
      <w:r w:rsidRPr="00A678B3">
        <w:rPr>
          <w:rFonts w:ascii="Times New Roman" w:hAnsi="Times New Roman" w:cs="Times New Roman"/>
        </w:rPr>
        <w:t>skorlaması</w:t>
      </w:r>
      <w:proofErr w:type="spellEnd"/>
      <w:r w:rsidRPr="00A678B3">
        <w:rPr>
          <w:rFonts w:ascii="Times New Roman" w:hAnsi="Times New Roman" w:cs="Times New Roman"/>
        </w:rPr>
        <w:t xml:space="preserve"> yapmaktadırlar. Bu </w:t>
      </w:r>
      <w:r w:rsidR="005C3625">
        <w:rPr>
          <w:rFonts w:ascii="Times New Roman" w:hAnsi="Times New Roman" w:cs="Times New Roman"/>
        </w:rPr>
        <w:t>skorlar</w:t>
      </w:r>
      <w:r w:rsidRPr="00A678B3">
        <w:rPr>
          <w:rFonts w:ascii="Times New Roman" w:hAnsi="Times New Roman" w:cs="Times New Roman"/>
        </w:rPr>
        <w:t xml:space="preserve"> işletmelerin ilgili konulara ilişkin açıklama düzeylerini göstermekte ve finansal olmayan performansın ölçüsü kabul edilmektedir. Bu çalışmada kullanılan Bloomberg ESG skorları, belirlenen sektör bazlı kriterlere göre yapılmakta ve böylelikle aynı sektörde yer alan işletmelerin ESG performanslarının kıyaslanmasına imkân vermektedir. </w:t>
      </w:r>
    </w:p>
    <w:p w14:paraId="43B95701" w14:textId="23726F24" w:rsidR="00866E8A" w:rsidRPr="00A678B3" w:rsidRDefault="0077248A" w:rsidP="00866E8A">
      <w:pPr>
        <w:spacing w:line="240" w:lineRule="auto"/>
        <w:ind w:firstLine="708"/>
        <w:jc w:val="both"/>
        <w:rPr>
          <w:rFonts w:ascii="Times New Roman" w:hAnsi="Times New Roman" w:cs="Times New Roman"/>
        </w:rPr>
      </w:pPr>
      <w:r w:rsidRPr="00A678B3">
        <w:rPr>
          <w:rFonts w:ascii="Times New Roman" w:hAnsi="Times New Roman" w:cs="Times New Roman"/>
        </w:rPr>
        <w:t>Borsa İstanbul Sürdürülebilirlik Endeksi’nde yer alan 7 mevduat bankasının 201</w:t>
      </w:r>
      <w:r w:rsidR="00866E8A" w:rsidRPr="00A678B3">
        <w:rPr>
          <w:rFonts w:ascii="Times New Roman" w:hAnsi="Times New Roman" w:cs="Times New Roman"/>
        </w:rPr>
        <w:t>4</w:t>
      </w:r>
      <w:r w:rsidRPr="00A678B3">
        <w:rPr>
          <w:rFonts w:ascii="Times New Roman" w:hAnsi="Times New Roman" w:cs="Times New Roman"/>
        </w:rPr>
        <w:t xml:space="preserve">-2018 yılları arasındaki ESG skorları ile yönetim kurulu yapılarına ilişkin değişkenlerin ilişkisinin analiz edildiği bu çalışma sonucunda, </w:t>
      </w:r>
      <w:r w:rsidR="00866E8A" w:rsidRPr="00A678B3">
        <w:rPr>
          <w:rFonts w:ascii="Times New Roman" w:hAnsi="Times New Roman" w:cs="Times New Roman"/>
        </w:rPr>
        <w:t xml:space="preserve">yönetim kurullarında kadın üye oranının artmasının finansal olmayan performans sonuçlarını yani </w:t>
      </w:r>
      <w:r w:rsidRPr="00A678B3">
        <w:rPr>
          <w:rFonts w:ascii="Times New Roman" w:hAnsi="Times New Roman" w:cs="Times New Roman"/>
        </w:rPr>
        <w:t>ESG skorların</w:t>
      </w:r>
      <w:r w:rsidR="00866E8A" w:rsidRPr="00A678B3">
        <w:rPr>
          <w:rFonts w:ascii="Times New Roman" w:hAnsi="Times New Roman" w:cs="Times New Roman"/>
        </w:rPr>
        <w:t>ı artırdığı görülmektedir</w:t>
      </w:r>
      <w:r w:rsidRPr="00A678B3">
        <w:rPr>
          <w:rFonts w:ascii="Times New Roman" w:hAnsi="Times New Roman" w:cs="Times New Roman"/>
        </w:rPr>
        <w:t>. Bu durum</w:t>
      </w:r>
      <w:r w:rsidR="00866E8A" w:rsidRPr="00A678B3">
        <w:rPr>
          <w:rFonts w:ascii="Times New Roman" w:hAnsi="Times New Roman" w:cs="Times New Roman"/>
        </w:rPr>
        <w:t xml:space="preserve"> kadın üyelerin sürdürebilirliğin 3 boyutu olan çevre, toplum ve yönetişim alanında kadınların banka yönetimlerine olumlu katkı sağlayabileceklerini göstermektedir. </w:t>
      </w:r>
    </w:p>
    <w:p w14:paraId="55A5EE5D" w14:textId="02D0F2A9" w:rsidR="0077248A" w:rsidRPr="00A678B3" w:rsidRDefault="00866E8A" w:rsidP="001778A1">
      <w:pPr>
        <w:spacing w:line="240" w:lineRule="auto"/>
        <w:ind w:firstLine="708"/>
        <w:jc w:val="both"/>
        <w:rPr>
          <w:rFonts w:ascii="Times New Roman" w:hAnsi="Times New Roman" w:cs="Times New Roman"/>
        </w:rPr>
      </w:pPr>
      <w:r w:rsidRPr="00A678B3">
        <w:rPr>
          <w:rFonts w:ascii="Times New Roman" w:hAnsi="Times New Roman" w:cs="Times New Roman"/>
        </w:rPr>
        <w:lastRenderedPageBreak/>
        <w:t xml:space="preserve">Diğer bir değişken olan banka büyüklüğü ile </w:t>
      </w:r>
      <w:r w:rsidR="0077248A" w:rsidRPr="00A678B3">
        <w:rPr>
          <w:rFonts w:ascii="Times New Roman" w:hAnsi="Times New Roman" w:cs="Times New Roman"/>
        </w:rPr>
        <w:t xml:space="preserve">ESG skoru arasındaki ilişki </w:t>
      </w:r>
      <w:r w:rsidRPr="00A678B3">
        <w:rPr>
          <w:rFonts w:ascii="Times New Roman" w:hAnsi="Times New Roman" w:cs="Times New Roman"/>
        </w:rPr>
        <w:t xml:space="preserve">de pozitif </w:t>
      </w:r>
      <w:r w:rsidR="0077248A" w:rsidRPr="00A678B3">
        <w:rPr>
          <w:rFonts w:ascii="Times New Roman" w:hAnsi="Times New Roman" w:cs="Times New Roman"/>
        </w:rPr>
        <w:t xml:space="preserve">yönlüdür. </w:t>
      </w:r>
      <w:r w:rsidRPr="00A678B3">
        <w:rPr>
          <w:rFonts w:ascii="Times New Roman" w:hAnsi="Times New Roman" w:cs="Times New Roman"/>
        </w:rPr>
        <w:t xml:space="preserve">Bu da daha büyük bankaların sürdürülebilirlik performansı konusuna daha hassasiyetle yöneldiklerini göstermektedir. Sürdürülebilirlik yabancı literatürde çok sayıda araştırmacının üzerinde yoğunlaştığı konular arasında yer almaktadır. Literatürde kabul gören “aynı beden herkese uymaz” yaklaşımı farklı ülkeler ve farklı sektörler için yeni çalışmaların yapılması gerektiğine işaret etmektedir. </w:t>
      </w:r>
    </w:p>
    <w:p w14:paraId="41C1B721" w14:textId="4EBB6919" w:rsidR="0077248A" w:rsidRPr="006251C3" w:rsidRDefault="0077248A" w:rsidP="0077248A">
      <w:pPr>
        <w:spacing w:line="240" w:lineRule="auto"/>
        <w:rPr>
          <w:rFonts w:ascii="Times New Roman" w:hAnsi="Times New Roman" w:cs="Times New Roman"/>
          <w:b/>
          <w:sz w:val="24"/>
          <w:szCs w:val="24"/>
        </w:rPr>
      </w:pPr>
      <w:r w:rsidRPr="006251C3">
        <w:rPr>
          <w:rFonts w:ascii="Times New Roman" w:hAnsi="Times New Roman" w:cs="Times New Roman"/>
          <w:b/>
          <w:sz w:val="24"/>
          <w:szCs w:val="24"/>
        </w:rPr>
        <w:t>Kaynakça</w:t>
      </w:r>
    </w:p>
    <w:sdt>
      <w:sdtPr>
        <w:rPr>
          <w:rFonts w:ascii="Times New Roman" w:hAnsi="Times New Roman" w:cs="Times New Roman"/>
        </w:rPr>
        <w:id w:val="111145805"/>
        <w:bibliography/>
      </w:sdtPr>
      <w:sdtEndPr>
        <w:rPr>
          <w:lang w:val="tr-TR"/>
        </w:rPr>
      </w:sdtEndPr>
      <w:sdtContent>
        <w:p w14:paraId="3F9B537E"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Adams, C. (2013). </w:t>
          </w:r>
          <w:proofErr w:type="spellStart"/>
          <w:r w:rsidRPr="00845B93">
            <w:rPr>
              <w:rFonts w:ascii="Times New Roman" w:hAnsi="Times New Roman" w:cs="Times New Roman"/>
              <w:sz w:val="20"/>
              <w:szCs w:val="20"/>
              <w:lang w:val="tr-TR"/>
            </w:rPr>
            <w:t>Understanding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Integrated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Reporting</w:t>
          </w:r>
          <w:proofErr w:type="spellEnd"/>
          <w:r w:rsidRPr="00845B93">
            <w:rPr>
              <w:rFonts w:ascii="Times New Roman" w:hAnsi="Times New Roman" w:cs="Times New Roman"/>
              <w:sz w:val="20"/>
              <w:szCs w:val="20"/>
              <w:lang w:val="tr-TR"/>
            </w:rPr>
            <w:t xml:space="preserve">. New York: </w:t>
          </w:r>
          <w:proofErr w:type="spellStart"/>
          <w:r w:rsidRPr="00845B93">
            <w:rPr>
              <w:rFonts w:ascii="Times New Roman" w:hAnsi="Times New Roman" w:cs="Times New Roman"/>
              <w:sz w:val="20"/>
              <w:szCs w:val="20"/>
              <w:lang w:val="tr-TR"/>
            </w:rPr>
            <w:t>Routledge</w:t>
          </w:r>
          <w:proofErr w:type="spellEnd"/>
          <w:r w:rsidRPr="00845B93">
            <w:rPr>
              <w:rFonts w:ascii="Times New Roman" w:hAnsi="Times New Roman" w:cs="Times New Roman"/>
              <w:sz w:val="20"/>
              <w:szCs w:val="20"/>
              <w:lang w:val="tr-TR"/>
            </w:rPr>
            <w:t>.</w:t>
          </w:r>
          <w:r w:rsidRPr="00845B93">
            <w:rPr>
              <w:rFonts w:ascii="Times New Roman" w:hAnsi="Times New Roman" w:cs="Times New Roman"/>
              <w:sz w:val="20"/>
              <w:szCs w:val="20"/>
              <w:lang w:val="tr-TR"/>
            </w:rPr>
            <w:fldChar w:fldCharType="begin"/>
          </w:r>
          <w:r w:rsidRPr="00845B93">
            <w:rPr>
              <w:rFonts w:ascii="Times New Roman" w:hAnsi="Times New Roman" w:cs="Times New Roman"/>
              <w:sz w:val="20"/>
              <w:szCs w:val="20"/>
              <w:lang w:val="tr-TR"/>
            </w:rPr>
            <w:instrText xml:space="preserve"> BIBLIOGRAPHY </w:instrText>
          </w:r>
          <w:r w:rsidRPr="00845B93">
            <w:rPr>
              <w:rFonts w:ascii="Times New Roman" w:hAnsi="Times New Roman" w:cs="Times New Roman"/>
              <w:sz w:val="20"/>
              <w:szCs w:val="20"/>
              <w:lang w:val="tr-TR"/>
            </w:rPr>
            <w:fldChar w:fldCharType="separate"/>
          </w:r>
        </w:p>
        <w:p w14:paraId="44DECED5"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Adams, R. B., &amp; </w:t>
          </w:r>
          <w:proofErr w:type="spellStart"/>
          <w:r w:rsidRPr="00845B93">
            <w:rPr>
              <w:rFonts w:ascii="Times New Roman" w:hAnsi="Times New Roman" w:cs="Times New Roman"/>
              <w:sz w:val="20"/>
              <w:szCs w:val="20"/>
              <w:lang w:val="tr-TR"/>
            </w:rPr>
            <w:t>Mehran</w:t>
          </w:r>
          <w:proofErr w:type="spellEnd"/>
          <w:r w:rsidRPr="00845B93">
            <w:rPr>
              <w:rFonts w:ascii="Times New Roman" w:hAnsi="Times New Roman" w:cs="Times New Roman"/>
              <w:sz w:val="20"/>
              <w:szCs w:val="20"/>
              <w:lang w:val="tr-TR"/>
            </w:rPr>
            <w:t xml:space="preserve">, H. (2012). Bank board </w:t>
          </w:r>
          <w:proofErr w:type="spellStart"/>
          <w:r w:rsidRPr="00845B93">
            <w:rPr>
              <w:rFonts w:ascii="Times New Roman" w:hAnsi="Times New Roman" w:cs="Times New Roman"/>
              <w:sz w:val="20"/>
              <w:szCs w:val="20"/>
              <w:lang w:val="tr-TR"/>
            </w:rPr>
            <w:t>structure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for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large</w:t>
          </w:r>
          <w:proofErr w:type="spellEnd"/>
          <w:r w:rsidRPr="00845B93">
            <w:rPr>
              <w:rFonts w:ascii="Times New Roman" w:hAnsi="Times New Roman" w:cs="Times New Roman"/>
              <w:sz w:val="20"/>
              <w:szCs w:val="20"/>
              <w:lang w:val="tr-TR"/>
            </w:rPr>
            <w:t xml:space="preserve"> bank holding </w:t>
          </w:r>
          <w:proofErr w:type="spellStart"/>
          <w:r w:rsidRPr="00845B93">
            <w:rPr>
              <w:rFonts w:ascii="Times New Roman" w:hAnsi="Times New Roman" w:cs="Times New Roman"/>
              <w:sz w:val="20"/>
              <w:szCs w:val="20"/>
              <w:lang w:val="tr-TR"/>
            </w:rPr>
            <w:t>companies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Financial </w:t>
          </w:r>
          <w:proofErr w:type="spellStart"/>
          <w:r w:rsidRPr="00845B93">
            <w:rPr>
              <w:rFonts w:ascii="Times New Roman" w:hAnsi="Times New Roman" w:cs="Times New Roman"/>
              <w:sz w:val="20"/>
              <w:szCs w:val="20"/>
              <w:lang w:val="tr-TR"/>
            </w:rPr>
            <w:t>Intermediation</w:t>
          </w:r>
          <w:proofErr w:type="spellEnd"/>
          <w:r w:rsidRPr="00845B93">
            <w:rPr>
              <w:rFonts w:ascii="Times New Roman" w:hAnsi="Times New Roman" w:cs="Times New Roman"/>
              <w:sz w:val="20"/>
              <w:szCs w:val="20"/>
              <w:lang w:val="tr-TR"/>
            </w:rPr>
            <w:t>, 243-267.</w:t>
          </w:r>
        </w:p>
        <w:p w14:paraId="32B194DA"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Allegrini</w:t>
          </w:r>
          <w:proofErr w:type="spellEnd"/>
          <w:r w:rsidRPr="00845B93">
            <w:rPr>
              <w:rFonts w:ascii="Times New Roman" w:hAnsi="Times New Roman" w:cs="Times New Roman"/>
              <w:sz w:val="20"/>
              <w:szCs w:val="20"/>
              <w:lang w:val="tr-TR"/>
            </w:rPr>
            <w:t xml:space="preserve">, M., &amp; </w:t>
          </w:r>
          <w:proofErr w:type="spellStart"/>
          <w:r w:rsidRPr="00845B93">
            <w:rPr>
              <w:rFonts w:ascii="Times New Roman" w:hAnsi="Times New Roman" w:cs="Times New Roman"/>
              <w:sz w:val="20"/>
              <w:szCs w:val="20"/>
              <w:lang w:val="tr-TR"/>
            </w:rPr>
            <w:t>Greco</w:t>
          </w:r>
          <w:proofErr w:type="spellEnd"/>
          <w:r w:rsidRPr="00845B93">
            <w:rPr>
              <w:rFonts w:ascii="Times New Roman" w:hAnsi="Times New Roman" w:cs="Times New Roman"/>
              <w:sz w:val="20"/>
              <w:szCs w:val="20"/>
              <w:lang w:val="tr-TR"/>
            </w:rPr>
            <w:t xml:space="preserve">, G. (2013).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Boards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Audit</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Commitees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Voluntary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Disclosure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from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Italian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listed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companies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Management </w:t>
          </w:r>
          <w:proofErr w:type="spellStart"/>
          <w:r w:rsidRPr="00845B93">
            <w:rPr>
              <w:rFonts w:ascii="Times New Roman" w:hAnsi="Times New Roman" w:cs="Times New Roman"/>
              <w:sz w:val="20"/>
              <w:szCs w:val="20"/>
              <w:lang w:val="tr-TR"/>
            </w:rPr>
            <w:t>Studies</w:t>
          </w:r>
          <w:proofErr w:type="spellEnd"/>
          <w:r w:rsidRPr="00845B93">
            <w:rPr>
              <w:rFonts w:ascii="Times New Roman" w:hAnsi="Times New Roman" w:cs="Times New Roman"/>
              <w:sz w:val="20"/>
              <w:szCs w:val="20"/>
              <w:lang w:val="tr-TR"/>
            </w:rPr>
            <w:t>, 1089-1112.</w:t>
          </w:r>
        </w:p>
        <w:p w14:paraId="61A83002"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Anderson</w:t>
          </w:r>
          <w:proofErr w:type="spellEnd"/>
          <w:r w:rsidRPr="00845B93">
            <w:rPr>
              <w:rFonts w:ascii="Times New Roman" w:hAnsi="Times New Roman" w:cs="Times New Roman"/>
              <w:sz w:val="20"/>
              <w:szCs w:val="20"/>
              <w:lang w:val="tr-TR"/>
            </w:rPr>
            <w:t xml:space="preserve">, R. C., </w:t>
          </w:r>
          <w:proofErr w:type="spellStart"/>
          <w:r w:rsidRPr="00845B93">
            <w:rPr>
              <w:rFonts w:ascii="Times New Roman" w:hAnsi="Times New Roman" w:cs="Times New Roman"/>
              <w:sz w:val="20"/>
              <w:szCs w:val="20"/>
              <w:lang w:val="tr-TR"/>
            </w:rPr>
            <w:t>Mansi</w:t>
          </w:r>
          <w:proofErr w:type="spellEnd"/>
          <w:r w:rsidRPr="00845B93">
            <w:rPr>
              <w:rFonts w:ascii="Times New Roman" w:hAnsi="Times New Roman" w:cs="Times New Roman"/>
              <w:sz w:val="20"/>
              <w:szCs w:val="20"/>
              <w:lang w:val="tr-TR"/>
            </w:rPr>
            <w:t xml:space="preserve">, S. A., &amp; </w:t>
          </w:r>
          <w:proofErr w:type="spellStart"/>
          <w:r w:rsidRPr="00845B93">
            <w:rPr>
              <w:rFonts w:ascii="Times New Roman" w:hAnsi="Times New Roman" w:cs="Times New Roman"/>
              <w:sz w:val="20"/>
              <w:szCs w:val="20"/>
              <w:lang w:val="tr-TR"/>
            </w:rPr>
            <w:t>Reeb</w:t>
          </w:r>
          <w:proofErr w:type="spellEnd"/>
          <w:r w:rsidRPr="00845B93">
            <w:rPr>
              <w:rFonts w:ascii="Times New Roman" w:hAnsi="Times New Roman" w:cs="Times New Roman"/>
              <w:sz w:val="20"/>
              <w:szCs w:val="20"/>
              <w:lang w:val="tr-TR"/>
            </w:rPr>
            <w:t xml:space="preserve">, D. M. (2004). Board </w:t>
          </w:r>
          <w:proofErr w:type="spellStart"/>
          <w:r w:rsidRPr="00845B93">
            <w:rPr>
              <w:rFonts w:ascii="Times New Roman" w:hAnsi="Times New Roman" w:cs="Times New Roman"/>
              <w:sz w:val="20"/>
              <w:szCs w:val="20"/>
              <w:lang w:val="tr-TR"/>
            </w:rPr>
            <w:t>Characteristics</w:t>
          </w:r>
          <w:proofErr w:type="spellEnd"/>
          <w:r w:rsidRPr="00845B93">
            <w:rPr>
              <w:rFonts w:ascii="Times New Roman" w:hAnsi="Times New Roman" w:cs="Times New Roman"/>
              <w:sz w:val="20"/>
              <w:szCs w:val="20"/>
              <w:lang w:val="tr-TR"/>
            </w:rPr>
            <w:t xml:space="preserve">, Accounting Report </w:t>
          </w:r>
          <w:proofErr w:type="spellStart"/>
          <w:r w:rsidRPr="00845B93">
            <w:rPr>
              <w:rFonts w:ascii="Times New Roman" w:hAnsi="Times New Roman" w:cs="Times New Roman"/>
              <w:sz w:val="20"/>
              <w:szCs w:val="20"/>
              <w:lang w:val="tr-TR"/>
            </w:rPr>
            <w:t>Integrity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Cost</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Debt</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w:t>
          </w:r>
        </w:p>
        <w:p w14:paraId="0C469B24"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Arcot</w:t>
          </w:r>
          <w:proofErr w:type="spellEnd"/>
          <w:r w:rsidRPr="00845B93">
            <w:rPr>
              <w:rFonts w:ascii="Times New Roman" w:hAnsi="Times New Roman" w:cs="Times New Roman"/>
              <w:sz w:val="20"/>
              <w:szCs w:val="20"/>
              <w:lang w:val="tr-TR"/>
            </w:rPr>
            <w:t xml:space="preserve">, S., &amp; </w:t>
          </w:r>
          <w:proofErr w:type="spellStart"/>
          <w:r w:rsidRPr="00845B93">
            <w:rPr>
              <w:rFonts w:ascii="Times New Roman" w:hAnsi="Times New Roman" w:cs="Times New Roman"/>
              <w:sz w:val="20"/>
              <w:szCs w:val="20"/>
              <w:lang w:val="tr-TR"/>
            </w:rPr>
            <w:t>Bruno</w:t>
          </w:r>
          <w:proofErr w:type="spellEnd"/>
          <w:r w:rsidRPr="00845B93">
            <w:rPr>
              <w:rFonts w:ascii="Times New Roman" w:hAnsi="Times New Roman" w:cs="Times New Roman"/>
              <w:sz w:val="20"/>
              <w:szCs w:val="20"/>
              <w:lang w:val="tr-TR"/>
            </w:rPr>
            <w:t xml:space="preserve">, V. (2007). </w:t>
          </w:r>
          <w:proofErr w:type="spellStart"/>
          <w:r w:rsidRPr="00845B93">
            <w:rPr>
              <w:rFonts w:ascii="Times New Roman" w:hAnsi="Times New Roman" w:cs="Times New Roman"/>
              <w:sz w:val="20"/>
              <w:szCs w:val="20"/>
              <w:lang w:val="tr-TR"/>
            </w:rPr>
            <w:t>One</w:t>
          </w:r>
          <w:proofErr w:type="spellEnd"/>
          <w:r w:rsidRPr="00845B93">
            <w:rPr>
              <w:rFonts w:ascii="Times New Roman" w:hAnsi="Times New Roman" w:cs="Times New Roman"/>
              <w:sz w:val="20"/>
              <w:szCs w:val="20"/>
              <w:lang w:val="tr-TR"/>
            </w:rPr>
            <w:t xml:space="preserve"> Size </w:t>
          </w:r>
          <w:proofErr w:type="spellStart"/>
          <w:r w:rsidRPr="00845B93">
            <w:rPr>
              <w:rFonts w:ascii="Times New Roman" w:hAnsi="Times New Roman" w:cs="Times New Roman"/>
              <w:sz w:val="20"/>
              <w:szCs w:val="20"/>
              <w:lang w:val="tr-TR"/>
            </w:rPr>
            <w:t>Does</w:t>
          </w:r>
          <w:proofErr w:type="spellEnd"/>
          <w:r w:rsidRPr="00845B93">
            <w:rPr>
              <w:rFonts w:ascii="Times New Roman" w:hAnsi="Times New Roman" w:cs="Times New Roman"/>
              <w:sz w:val="20"/>
              <w:szCs w:val="20"/>
              <w:lang w:val="tr-TR"/>
            </w:rPr>
            <w:t xml:space="preserve"> Not Fit </w:t>
          </w:r>
          <w:proofErr w:type="spellStart"/>
          <w:r w:rsidRPr="00845B93">
            <w:rPr>
              <w:rFonts w:ascii="Times New Roman" w:hAnsi="Times New Roman" w:cs="Times New Roman"/>
              <w:sz w:val="20"/>
              <w:szCs w:val="20"/>
              <w:lang w:val="tr-TR"/>
            </w:rPr>
            <w:t>All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After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All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from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1st </w:t>
          </w:r>
          <w:proofErr w:type="spellStart"/>
          <w:r w:rsidRPr="00845B93">
            <w:rPr>
              <w:rFonts w:ascii="Times New Roman" w:hAnsi="Times New Roman" w:cs="Times New Roman"/>
              <w:sz w:val="20"/>
              <w:szCs w:val="20"/>
              <w:lang w:val="tr-TR"/>
            </w:rPr>
            <w:t>Annual</w:t>
          </w:r>
          <w:proofErr w:type="spellEnd"/>
          <w:r w:rsidRPr="00845B93">
            <w:rPr>
              <w:rFonts w:ascii="Times New Roman" w:hAnsi="Times New Roman" w:cs="Times New Roman"/>
              <w:sz w:val="20"/>
              <w:szCs w:val="20"/>
              <w:lang w:val="tr-TR"/>
            </w:rPr>
            <w:t xml:space="preserve"> Conference on </w:t>
          </w:r>
          <w:proofErr w:type="spellStart"/>
          <w:r w:rsidRPr="00845B93">
            <w:rPr>
              <w:rFonts w:ascii="Times New Roman" w:hAnsi="Times New Roman" w:cs="Times New Roman"/>
              <w:sz w:val="20"/>
              <w:szCs w:val="20"/>
              <w:lang w:val="tr-TR"/>
            </w:rPr>
            <w:t>Empirical</w:t>
          </w:r>
          <w:proofErr w:type="spellEnd"/>
          <w:r w:rsidRPr="00845B93">
            <w:rPr>
              <w:rFonts w:ascii="Times New Roman" w:hAnsi="Times New Roman" w:cs="Times New Roman"/>
              <w:sz w:val="20"/>
              <w:szCs w:val="20"/>
              <w:lang w:val="tr-TR"/>
            </w:rPr>
            <w:t xml:space="preserve"> Legal </w:t>
          </w:r>
          <w:proofErr w:type="spellStart"/>
          <w:r w:rsidRPr="00845B93">
            <w:rPr>
              <w:rFonts w:ascii="Times New Roman" w:hAnsi="Times New Roman" w:cs="Times New Roman"/>
              <w:sz w:val="20"/>
              <w:szCs w:val="20"/>
              <w:lang w:val="tr-TR"/>
            </w:rPr>
            <w:t>Studies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Forthcoming</w:t>
          </w:r>
          <w:proofErr w:type="spellEnd"/>
          <w:r w:rsidRPr="00845B93">
            <w:rPr>
              <w:rFonts w:ascii="Times New Roman" w:hAnsi="Times New Roman" w:cs="Times New Roman"/>
              <w:sz w:val="20"/>
              <w:szCs w:val="20"/>
              <w:lang w:val="tr-TR"/>
            </w:rPr>
            <w:t>. SSRN.</w:t>
          </w:r>
        </w:p>
        <w:p w14:paraId="0BBA6276" w14:textId="5C449979"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Aygün, M., Taşdemir, A., &amp; Çavdar, E. (2010). Banka Performansı Üzerinde Yönetim Kurulu Büyüklüğünün Etkisi. Atatürk Üniversitesi İktisadi ve İdari Bilimler Dergisi, 67-78.</w:t>
          </w:r>
        </w:p>
        <w:p w14:paraId="08600D0E"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Birindelli</w:t>
          </w:r>
          <w:proofErr w:type="spellEnd"/>
          <w:r w:rsidRPr="00845B93">
            <w:rPr>
              <w:rFonts w:ascii="Times New Roman" w:hAnsi="Times New Roman" w:cs="Times New Roman"/>
              <w:sz w:val="20"/>
              <w:szCs w:val="20"/>
              <w:lang w:val="tr-TR"/>
            </w:rPr>
            <w:t xml:space="preserve">, G., </w:t>
          </w:r>
          <w:proofErr w:type="spellStart"/>
          <w:r w:rsidRPr="00845B93">
            <w:rPr>
              <w:rFonts w:ascii="Times New Roman" w:hAnsi="Times New Roman" w:cs="Times New Roman"/>
              <w:sz w:val="20"/>
              <w:szCs w:val="20"/>
              <w:lang w:val="tr-TR"/>
            </w:rPr>
            <w:t>Dell'Atti</w:t>
          </w:r>
          <w:proofErr w:type="spellEnd"/>
          <w:r w:rsidRPr="00845B93">
            <w:rPr>
              <w:rFonts w:ascii="Times New Roman" w:hAnsi="Times New Roman" w:cs="Times New Roman"/>
              <w:sz w:val="20"/>
              <w:szCs w:val="20"/>
              <w:lang w:val="tr-TR"/>
            </w:rPr>
            <w:t xml:space="preserve">, S., Antonia, P., &amp; </w:t>
          </w:r>
          <w:proofErr w:type="spellStart"/>
          <w:r w:rsidRPr="00845B93">
            <w:rPr>
              <w:rFonts w:ascii="Times New Roman" w:hAnsi="Times New Roman" w:cs="Times New Roman"/>
              <w:sz w:val="20"/>
              <w:szCs w:val="20"/>
              <w:lang w:val="tr-TR"/>
            </w:rPr>
            <w:t>Savioli</w:t>
          </w:r>
          <w:proofErr w:type="spellEnd"/>
          <w:r w:rsidRPr="00845B93">
            <w:rPr>
              <w:rFonts w:ascii="Times New Roman" w:hAnsi="Times New Roman" w:cs="Times New Roman"/>
              <w:sz w:val="20"/>
              <w:szCs w:val="20"/>
              <w:lang w:val="tr-TR"/>
            </w:rPr>
            <w:t xml:space="preserve">, M. (2018). </w:t>
          </w:r>
          <w:proofErr w:type="spellStart"/>
          <w:r w:rsidRPr="00845B93">
            <w:rPr>
              <w:rFonts w:ascii="Times New Roman" w:hAnsi="Times New Roman" w:cs="Times New Roman"/>
              <w:sz w:val="20"/>
              <w:szCs w:val="20"/>
              <w:lang w:val="tr-TR"/>
            </w:rPr>
            <w:t>Composition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Activity of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Board of Directors: </w:t>
          </w:r>
          <w:proofErr w:type="spellStart"/>
          <w:r w:rsidRPr="00845B93">
            <w:rPr>
              <w:rFonts w:ascii="Times New Roman" w:hAnsi="Times New Roman" w:cs="Times New Roman"/>
              <w:sz w:val="20"/>
              <w:szCs w:val="20"/>
              <w:lang w:val="tr-TR"/>
            </w:rPr>
            <w:t>Impact</w:t>
          </w:r>
          <w:proofErr w:type="spellEnd"/>
          <w:r w:rsidRPr="00845B93">
            <w:rPr>
              <w:rFonts w:ascii="Times New Roman" w:hAnsi="Times New Roman" w:cs="Times New Roman"/>
              <w:sz w:val="20"/>
              <w:szCs w:val="20"/>
              <w:lang w:val="tr-TR"/>
            </w:rPr>
            <w:t xml:space="preserve"> on ESG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in </w:t>
          </w:r>
          <w:proofErr w:type="spellStart"/>
          <w:r w:rsidRPr="00845B93">
            <w:rPr>
              <w:rFonts w:ascii="Times New Roman" w:hAnsi="Times New Roman" w:cs="Times New Roman"/>
              <w:sz w:val="20"/>
              <w:szCs w:val="20"/>
              <w:lang w:val="tr-TR"/>
            </w:rPr>
            <w:t>Banking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System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Sustainability</w:t>
          </w:r>
          <w:proofErr w:type="spellEnd"/>
          <w:r w:rsidRPr="00845B93">
            <w:rPr>
              <w:rFonts w:ascii="Times New Roman" w:hAnsi="Times New Roman" w:cs="Times New Roman"/>
              <w:sz w:val="20"/>
              <w:szCs w:val="20"/>
              <w:lang w:val="tr-TR"/>
            </w:rPr>
            <w:t>.</w:t>
          </w:r>
        </w:p>
        <w:p w14:paraId="67E190CC"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BIST. (2014, Kasım 03). Borsa İstanbul. www.borsaistanbul.com: https://www.borsaistanbul.com/endeksler/bist-pay-endeksleri/surdurulebilirlik-endeksi adresinden alındı</w:t>
          </w:r>
        </w:p>
        <w:p w14:paraId="537CE396"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Bloomberg. (2020). bloomberg.com. </w:t>
          </w:r>
          <w:proofErr w:type="spellStart"/>
          <w:r w:rsidRPr="00845B93">
            <w:rPr>
              <w:rFonts w:ascii="Times New Roman" w:hAnsi="Times New Roman" w:cs="Times New Roman"/>
              <w:sz w:val="20"/>
              <w:szCs w:val="20"/>
              <w:lang w:val="tr-TR"/>
            </w:rPr>
            <w:t>March</w:t>
          </w:r>
          <w:proofErr w:type="spellEnd"/>
          <w:r w:rsidRPr="00845B93">
            <w:rPr>
              <w:rFonts w:ascii="Times New Roman" w:hAnsi="Times New Roman" w:cs="Times New Roman"/>
              <w:sz w:val="20"/>
              <w:szCs w:val="20"/>
              <w:lang w:val="tr-TR"/>
            </w:rPr>
            <w:t xml:space="preserve"> 11, 2020 tarihinde www.bloomberg.com: https://www.bloomberg.com/impact/products/esg-data/ adresinden alındı</w:t>
          </w:r>
        </w:p>
        <w:p w14:paraId="7933C688"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Buallay</w:t>
          </w:r>
          <w:proofErr w:type="spellEnd"/>
          <w:r w:rsidRPr="00845B93">
            <w:rPr>
              <w:rFonts w:ascii="Times New Roman" w:hAnsi="Times New Roman" w:cs="Times New Roman"/>
              <w:sz w:val="20"/>
              <w:szCs w:val="20"/>
              <w:lang w:val="tr-TR"/>
            </w:rPr>
            <w:t xml:space="preserve">, A. (2019). Is </w:t>
          </w:r>
          <w:proofErr w:type="spellStart"/>
          <w:r w:rsidRPr="00845B93">
            <w:rPr>
              <w:rFonts w:ascii="Times New Roman" w:hAnsi="Times New Roman" w:cs="Times New Roman"/>
              <w:sz w:val="20"/>
              <w:szCs w:val="20"/>
              <w:lang w:val="tr-TR"/>
            </w:rPr>
            <w:t>sustainability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reporting</w:t>
          </w:r>
          <w:proofErr w:type="spellEnd"/>
          <w:r w:rsidRPr="00845B93">
            <w:rPr>
              <w:rFonts w:ascii="Times New Roman" w:hAnsi="Times New Roman" w:cs="Times New Roman"/>
              <w:sz w:val="20"/>
              <w:szCs w:val="20"/>
              <w:lang w:val="tr-TR"/>
            </w:rPr>
            <w:t xml:space="preserve"> (ESG) </w:t>
          </w:r>
          <w:proofErr w:type="spellStart"/>
          <w:r w:rsidRPr="00845B93">
            <w:rPr>
              <w:rFonts w:ascii="Times New Roman" w:hAnsi="Times New Roman" w:cs="Times New Roman"/>
              <w:sz w:val="20"/>
              <w:szCs w:val="20"/>
              <w:lang w:val="tr-TR"/>
            </w:rPr>
            <w:t>associated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with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from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European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banking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sector</w:t>
          </w:r>
          <w:proofErr w:type="spellEnd"/>
          <w:r w:rsidRPr="00845B93">
            <w:rPr>
              <w:rFonts w:ascii="Times New Roman" w:hAnsi="Times New Roman" w:cs="Times New Roman"/>
              <w:sz w:val="20"/>
              <w:szCs w:val="20"/>
              <w:lang w:val="tr-TR"/>
            </w:rPr>
            <w:t xml:space="preserve">. Management of </w:t>
          </w:r>
          <w:proofErr w:type="spellStart"/>
          <w:r w:rsidRPr="00845B93">
            <w:rPr>
              <w:rFonts w:ascii="Times New Roman" w:hAnsi="Times New Roman" w:cs="Times New Roman"/>
              <w:sz w:val="20"/>
              <w:szCs w:val="20"/>
              <w:lang w:val="tr-TR"/>
            </w:rPr>
            <w:t>Environmental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Quality</w:t>
          </w:r>
          <w:proofErr w:type="spellEnd"/>
          <w:r w:rsidRPr="00845B93">
            <w:rPr>
              <w:rFonts w:ascii="Times New Roman" w:hAnsi="Times New Roman" w:cs="Times New Roman"/>
              <w:sz w:val="20"/>
              <w:szCs w:val="20"/>
              <w:lang w:val="tr-TR"/>
            </w:rPr>
            <w:t>, 98-115.</w:t>
          </w:r>
        </w:p>
        <w:p w14:paraId="525455D4"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De </w:t>
          </w:r>
          <w:proofErr w:type="spellStart"/>
          <w:r w:rsidRPr="00845B93">
            <w:rPr>
              <w:rFonts w:ascii="Times New Roman" w:hAnsi="Times New Roman" w:cs="Times New Roman"/>
              <w:sz w:val="20"/>
              <w:szCs w:val="20"/>
              <w:lang w:val="tr-TR"/>
            </w:rPr>
            <w:t>Haan</w:t>
          </w:r>
          <w:proofErr w:type="spellEnd"/>
          <w:r w:rsidRPr="00845B93">
            <w:rPr>
              <w:rFonts w:ascii="Times New Roman" w:hAnsi="Times New Roman" w:cs="Times New Roman"/>
              <w:sz w:val="20"/>
              <w:szCs w:val="20"/>
              <w:lang w:val="tr-TR"/>
            </w:rPr>
            <w:t xml:space="preserve">, J., &amp; </w:t>
          </w:r>
          <w:proofErr w:type="spellStart"/>
          <w:r w:rsidRPr="00845B93">
            <w:rPr>
              <w:rFonts w:ascii="Times New Roman" w:hAnsi="Times New Roman" w:cs="Times New Roman"/>
              <w:sz w:val="20"/>
              <w:szCs w:val="20"/>
              <w:lang w:val="tr-TR"/>
            </w:rPr>
            <w:t>Vlahu</w:t>
          </w:r>
          <w:proofErr w:type="spellEnd"/>
          <w:r w:rsidRPr="00845B93">
            <w:rPr>
              <w:rFonts w:ascii="Times New Roman" w:hAnsi="Times New Roman" w:cs="Times New Roman"/>
              <w:sz w:val="20"/>
              <w:szCs w:val="20"/>
              <w:lang w:val="tr-TR"/>
            </w:rPr>
            <w:t xml:space="preserve">, R. (2015).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banks</w:t>
          </w:r>
          <w:proofErr w:type="spellEnd"/>
          <w:r w:rsidRPr="00845B93">
            <w:rPr>
              <w:rFonts w:ascii="Times New Roman" w:hAnsi="Times New Roman" w:cs="Times New Roman"/>
              <w:sz w:val="20"/>
              <w:szCs w:val="20"/>
              <w:lang w:val="tr-TR"/>
            </w:rPr>
            <w:t xml:space="preserve">: A </w:t>
          </w:r>
          <w:proofErr w:type="spellStart"/>
          <w:r w:rsidRPr="00845B93">
            <w:rPr>
              <w:rFonts w:ascii="Times New Roman" w:hAnsi="Times New Roman" w:cs="Times New Roman"/>
              <w:sz w:val="20"/>
              <w:szCs w:val="20"/>
              <w:lang w:val="tr-TR"/>
            </w:rPr>
            <w:t>survey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Economic</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Survey</w:t>
          </w:r>
          <w:proofErr w:type="spellEnd"/>
          <w:r w:rsidRPr="00845B93">
            <w:rPr>
              <w:rFonts w:ascii="Times New Roman" w:hAnsi="Times New Roman" w:cs="Times New Roman"/>
              <w:sz w:val="20"/>
              <w:szCs w:val="20"/>
              <w:lang w:val="tr-TR"/>
            </w:rPr>
            <w:t>.</w:t>
          </w:r>
        </w:p>
        <w:p w14:paraId="086D7AC3"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Eagly</w:t>
          </w:r>
          <w:proofErr w:type="spellEnd"/>
          <w:r w:rsidRPr="00845B93">
            <w:rPr>
              <w:rFonts w:ascii="Times New Roman" w:hAnsi="Times New Roman" w:cs="Times New Roman"/>
              <w:sz w:val="20"/>
              <w:szCs w:val="20"/>
              <w:lang w:val="tr-TR"/>
            </w:rPr>
            <w:t xml:space="preserve">, A. H., </w:t>
          </w:r>
          <w:proofErr w:type="spellStart"/>
          <w:r w:rsidRPr="00845B93">
            <w:rPr>
              <w:rFonts w:ascii="Times New Roman" w:hAnsi="Times New Roman" w:cs="Times New Roman"/>
              <w:sz w:val="20"/>
              <w:szCs w:val="20"/>
              <w:lang w:val="tr-TR"/>
            </w:rPr>
            <w:t>Johannesen-Schmidt</w:t>
          </w:r>
          <w:proofErr w:type="spellEnd"/>
          <w:r w:rsidRPr="00845B93">
            <w:rPr>
              <w:rFonts w:ascii="Times New Roman" w:hAnsi="Times New Roman" w:cs="Times New Roman"/>
              <w:sz w:val="20"/>
              <w:szCs w:val="20"/>
              <w:lang w:val="tr-TR"/>
            </w:rPr>
            <w:t xml:space="preserve">, M. C., &amp; Van </w:t>
          </w:r>
          <w:proofErr w:type="spellStart"/>
          <w:r w:rsidRPr="00845B93">
            <w:rPr>
              <w:rFonts w:ascii="Times New Roman" w:hAnsi="Times New Roman" w:cs="Times New Roman"/>
              <w:sz w:val="20"/>
              <w:szCs w:val="20"/>
              <w:lang w:val="tr-TR"/>
            </w:rPr>
            <w:t>Engen</w:t>
          </w:r>
          <w:proofErr w:type="spellEnd"/>
          <w:r w:rsidRPr="00845B93">
            <w:rPr>
              <w:rFonts w:ascii="Times New Roman" w:hAnsi="Times New Roman" w:cs="Times New Roman"/>
              <w:sz w:val="20"/>
              <w:szCs w:val="20"/>
              <w:lang w:val="tr-TR"/>
            </w:rPr>
            <w:t xml:space="preserve">, M. L. (2003). </w:t>
          </w:r>
          <w:proofErr w:type="spellStart"/>
          <w:r w:rsidRPr="00845B93">
            <w:rPr>
              <w:rFonts w:ascii="Times New Roman" w:hAnsi="Times New Roman" w:cs="Times New Roman"/>
              <w:sz w:val="20"/>
              <w:szCs w:val="20"/>
              <w:lang w:val="tr-TR"/>
            </w:rPr>
            <w:t>Transformational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Transactional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Laissez-faire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Leadership</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Styles</w:t>
          </w:r>
          <w:proofErr w:type="spellEnd"/>
          <w:r w:rsidRPr="00845B93">
            <w:rPr>
              <w:rFonts w:ascii="Times New Roman" w:hAnsi="Times New Roman" w:cs="Times New Roman"/>
              <w:sz w:val="20"/>
              <w:szCs w:val="20"/>
              <w:lang w:val="tr-TR"/>
            </w:rPr>
            <w:t>: a meta-</w:t>
          </w:r>
          <w:proofErr w:type="spellStart"/>
          <w:r w:rsidRPr="00845B93">
            <w:rPr>
              <w:rFonts w:ascii="Times New Roman" w:hAnsi="Times New Roman" w:cs="Times New Roman"/>
              <w:sz w:val="20"/>
              <w:szCs w:val="20"/>
              <w:lang w:val="tr-TR"/>
            </w:rPr>
            <w:t>analysis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comparing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women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men. </w:t>
          </w:r>
          <w:proofErr w:type="spellStart"/>
          <w:r w:rsidRPr="00845B93">
            <w:rPr>
              <w:rFonts w:ascii="Times New Roman" w:hAnsi="Times New Roman" w:cs="Times New Roman"/>
              <w:sz w:val="20"/>
              <w:szCs w:val="20"/>
              <w:lang w:val="tr-TR"/>
            </w:rPr>
            <w:t>Phychological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Bulletin</w:t>
          </w:r>
          <w:proofErr w:type="spellEnd"/>
          <w:r w:rsidRPr="00845B93">
            <w:rPr>
              <w:rFonts w:ascii="Times New Roman" w:hAnsi="Times New Roman" w:cs="Times New Roman"/>
              <w:sz w:val="20"/>
              <w:szCs w:val="20"/>
              <w:lang w:val="tr-TR"/>
            </w:rPr>
            <w:t>, 569-591.</w:t>
          </w:r>
        </w:p>
        <w:p w14:paraId="6B0B4F06"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Esa</w:t>
          </w:r>
          <w:proofErr w:type="spellEnd"/>
          <w:r w:rsidRPr="00845B93">
            <w:rPr>
              <w:rFonts w:ascii="Times New Roman" w:hAnsi="Times New Roman" w:cs="Times New Roman"/>
              <w:sz w:val="20"/>
              <w:szCs w:val="20"/>
              <w:lang w:val="tr-TR"/>
            </w:rPr>
            <w:t xml:space="preserve">, E., &amp; </w:t>
          </w:r>
          <w:proofErr w:type="spellStart"/>
          <w:r w:rsidRPr="00845B93">
            <w:rPr>
              <w:rFonts w:ascii="Times New Roman" w:hAnsi="Times New Roman" w:cs="Times New Roman"/>
              <w:sz w:val="20"/>
              <w:szCs w:val="20"/>
              <w:lang w:val="tr-TR"/>
            </w:rPr>
            <w:t>Ghazali</w:t>
          </w:r>
          <w:proofErr w:type="spellEnd"/>
          <w:r w:rsidRPr="00845B93">
            <w:rPr>
              <w:rFonts w:ascii="Times New Roman" w:hAnsi="Times New Roman" w:cs="Times New Roman"/>
              <w:sz w:val="20"/>
              <w:szCs w:val="20"/>
              <w:lang w:val="tr-TR"/>
            </w:rPr>
            <w:t xml:space="preserve">, N. A. (2012).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in </w:t>
          </w:r>
          <w:proofErr w:type="spellStart"/>
          <w:r w:rsidRPr="00845B93">
            <w:rPr>
              <w:rFonts w:ascii="Times New Roman" w:hAnsi="Times New Roman" w:cs="Times New Roman"/>
              <w:sz w:val="20"/>
              <w:szCs w:val="20"/>
              <w:lang w:val="tr-TR"/>
            </w:rPr>
            <w:t>Malaysian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governmnt-linked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companies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292-305.</w:t>
          </w:r>
        </w:p>
        <w:p w14:paraId="2BE37E42"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Figankaplan</w:t>
          </w:r>
          <w:proofErr w:type="spellEnd"/>
          <w:r w:rsidRPr="00845B93">
            <w:rPr>
              <w:rFonts w:ascii="Times New Roman" w:hAnsi="Times New Roman" w:cs="Times New Roman"/>
              <w:sz w:val="20"/>
              <w:szCs w:val="20"/>
              <w:lang w:val="tr-TR"/>
            </w:rPr>
            <w:t xml:space="preserve">, T., Bankaların Kurumsal Yönetim Uygulamaları ile Finansal Performansları Arasındaki İlişki: Bir Panel Veri Analizi, Bankacılar Dergisi, 114-128. </w:t>
          </w:r>
        </w:p>
        <w:p w14:paraId="516F852A"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Flannery</w:t>
          </w:r>
          <w:proofErr w:type="spellEnd"/>
          <w:r w:rsidRPr="00845B93">
            <w:rPr>
              <w:rFonts w:ascii="Times New Roman" w:hAnsi="Times New Roman" w:cs="Times New Roman"/>
              <w:sz w:val="20"/>
              <w:szCs w:val="20"/>
              <w:lang w:val="tr-TR"/>
            </w:rPr>
            <w:t xml:space="preserve">, M. (1998). Using Market Information in </w:t>
          </w:r>
          <w:proofErr w:type="spellStart"/>
          <w:r w:rsidRPr="00845B93">
            <w:rPr>
              <w:rFonts w:ascii="Times New Roman" w:hAnsi="Times New Roman" w:cs="Times New Roman"/>
              <w:sz w:val="20"/>
              <w:szCs w:val="20"/>
              <w:lang w:val="tr-TR"/>
            </w:rPr>
            <w:t>Prudential</w:t>
          </w:r>
          <w:proofErr w:type="spellEnd"/>
          <w:r w:rsidRPr="00845B93">
            <w:rPr>
              <w:rFonts w:ascii="Times New Roman" w:hAnsi="Times New Roman" w:cs="Times New Roman"/>
              <w:sz w:val="20"/>
              <w:szCs w:val="20"/>
              <w:lang w:val="tr-TR"/>
            </w:rPr>
            <w:t xml:space="preserve"> Bank </w:t>
          </w:r>
          <w:proofErr w:type="spellStart"/>
          <w:r w:rsidRPr="00845B93">
            <w:rPr>
              <w:rFonts w:ascii="Times New Roman" w:hAnsi="Times New Roman" w:cs="Times New Roman"/>
              <w:sz w:val="20"/>
              <w:szCs w:val="20"/>
              <w:lang w:val="tr-TR"/>
            </w:rPr>
            <w:t>Supervision</w:t>
          </w:r>
          <w:proofErr w:type="spellEnd"/>
          <w:r w:rsidRPr="00845B93">
            <w:rPr>
              <w:rFonts w:ascii="Times New Roman" w:hAnsi="Times New Roman" w:cs="Times New Roman"/>
              <w:sz w:val="20"/>
              <w:szCs w:val="20"/>
              <w:lang w:val="tr-TR"/>
            </w:rPr>
            <w:t xml:space="preserve">: A </w:t>
          </w:r>
          <w:proofErr w:type="spellStart"/>
          <w:r w:rsidRPr="00845B93">
            <w:rPr>
              <w:rFonts w:ascii="Times New Roman" w:hAnsi="Times New Roman" w:cs="Times New Roman"/>
              <w:sz w:val="20"/>
              <w:szCs w:val="20"/>
              <w:lang w:val="tr-TR"/>
            </w:rPr>
            <w:t>review</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U.S. </w:t>
          </w:r>
          <w:proofErr w:type="spellStart"/>
          <w:r w:rsidRPr="00845B93">
            <w:rPr>
              <w:rFonts w:ascii="Times New Roman" w:hAnsi="Times New Roman" w:cs="Times New Roman"/>
              <w:sz w:val="20"/>
              <w:szCs w:val="20"/>
              <w:lang w:val="tr-TR"/>
            </w:rPr>
            <w:t>Emprical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Money, </w:t>
          </w:r>
          <w:proofErr w:type="spellStart"/>
          <w:r w:rsidRPr="00845B93">
            <w:rPr>
              <w:rFonts w:ascii="Times New Roman" w:hAnsi="Times New Roman" w:cs="Times New Roman"/>
              <w:sz w:val="20"/>
              <w:szCs w:val="20"/>
              <w:lang w:val="tr-TR"/>
            </w:rPr>
            <w:t>Credit</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Banking</w:t>
          </w:r>
          <w:proofErr w:type="spellEnd"/>
          <w:r w:rsidRPr="00845B93">
            <w:rPr>
              <w:rFonts w:ascii="Times New Roman" w:hAnsi="Times New Roman" w:cs="Times New Roman"/>
              <w:sz w:val="20"/>
              <w:szCs w:val="20"/>
              <w:lang w:val="tr-TR"/>
            </w:rPr>
            <w:t>, 273-305.</w:t>
          </w:r>
        </w:p>
        <w:p w14:paraId="3E547845"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Giannarakis</w:t>
          </w:r>
          <w:proofErr w:type="spellEnd"/>
          <w:r w:rsidRPr="00845B93">
            <w:rPr>
              <w:rFonts w:ascii="Times New Roman" w:hAnsi="Times New Roman" w:cs="Times New Roman"/>
              <w:sz w:val="20"/>
              <w:szCs w:val="20"/>
              <w:lang w:val="tr-TR"/>
            </w:rPr>
            <w:t xml:space="preserve">, G. (2014).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financial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characteristics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effects</w:t>
          </w:r>
          <w:proofErr w:type="spellEnd"/>
          <w:r w:rsidRPr="00845B93">
            <w:rPr>
              <w:rFonts w:ascii="Times New Roman" w:hAnsi="Times New Roman" w:cs="Times New Roman"/>
              <w:sz w:val="20"/>
              <w:szCs w:val="20"/>
              <w:lang w:val="tr-TR"/>
            </w:rPr>
            <w:t xml:space="preserve"> on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extent</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disclosure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569-590.</w:t>
          </w:r>
        </w:p>
        <w:p w14:paraId="4996CB01"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Gümüş, G. K., Gümüş, Y., &amp; </w:t>
          </w:r>
          <w:proofErr w:type="spellStart"/>
          <w:r w:rsidRPr="00845B93">
            <w:rPr>
              <w:rFonts w:ascii="Times New Roman" w:hAnsi="Times New Roman" w:cs="Times New Roman"/>
              <w:sz w:val="20"/>
              <w:szCs w:val="20"/>
              <w:lang w:val="tr-TR"/>
            </w:rPr>
            <w:t>Altunal</w:t>
          </w:r>
          <w:proofErr w:type="spellEnd"/>
          <w:r w:rsidRPr="00845B93">
            <w:rPr>
              <w:rFonts w:ascii="Times New Roman" w:hAnsi="Times New Roman" w:cs="Times New Roman"/>
              <w:sz w:val="20"/>
              <w:szCs w:val="20"/>
              <w:lang w:val="tr-TR"/>
            </w:rPr>
            <w:t>, I. (2017). Bankacılık Sektöründe Kurumsal Yönetim ve Performans İlişkisi: Türkiye Kazakistan Örneği. Kastamonu Üniversitesi İktisadi ve İdari Bilimler Fakültesi Dergisi, 104-121.</w:t>
          </w:r>
        </w:p>
        <w:p w14:paraId="38F6BA55"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Gürol, B. (2020). Bankalarda Kurumsal Yönetim ve Türk Bankacılık Sisteminde Kurumsal Yönetim Uygulamaları ile Performans İlişkisinin İncelenmesi. Ankara: Gazi Kitabevi.</w:t>
          </w:r>
        </w:p>
        <w:p w14:paraId="6C5727F7"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lastRenderedPageBreak/>
            <w:t>Ioannou</w:t>
          </w:r>
          <w:proofErr w:type="spellEnd"/>
          <w:r w:rsidRPr="00845B93">
            <w:rPr>
              <w:rFonts w:ascii="Times New Roman" w:hAnsi="Times New Roman" w:cs="Times New Roman"/>
              <w:sz w:val="20"/>
              <w:szCs w:val="20"/>
              <w:lang w:val="tr-TR"/>
            </w:rPr>
            <w:t xml:space="preserve">, I., &amp; </w:t>
          </w:r>
          <w:proofErr w:type="spellStart"/>
          <w:r w:rsidRPr="00845B93">
            <w:rPr>
              <w:rFonts w:ascii="Times New Roman" w:hAnsi="Times New Roman" w:cs="Times New Roman"/>
              <w:sz w:val="20"/>
              <w:szCs w:val="20"/>
              <w:lang w:val="tr-TR"/>
            </w:rPr>
            <w:t>Serafeim</w:t>
          </w:r>
          <w:proofErr w:type="spellEnd"/>
          <w:r w:rsidRPr="00845B93">
            <w:rPr>
              <w:rFonts w:ascii="Times New Roman" w:hAnsi="Times New Roman" w:cs="Times New Roman"/>
              <w:sz w:val="20"/>
              <w:szCs w:val="20"/>
              <w:lang w:val="tr-TR"/>
            </w:rPr>
            <w:t xml:space="preserve">, G. (2017).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consequences</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mandatory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sustainability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reporting</w:t>
          </w:r>
          <w:proofErr w:type="spellEnd"/>
          <w:r w:rsidRPr="00845B93">
            <w:rPr>
              <w:rFonts w:ascii="Times New Roman" w:hAnsi="Times New Roman" w:cs="Times New Roman"/>
              <w:sz w:val="20"/>
              <w:szCs w:val="20"/>
              <w:lang w:val="tr-TR"/>
            </w:rPr>
            <w:t xml:space="preserve">. Harvard Business School </w:t>
          </w:r>
          <w:proofErr w:type="spellStart"/>
          <w:r w:rsidRPr="00845B93">
            <w:rPr>
              <w:rFonts w:ascii="Times New Roman" w:hAnsi="Times New Roman" w:cs="Times New Roman"/>
              <w:sz w:val="20"/>
              <w:szCs w:val="20"/>
              <w:lang w:val="tr-TR"/>
            </w:rPr>
            <w:t>Research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Working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Paper</w:t>
          </w:r>
          <w:proofErr w:type="spellEnd"/>
          <w:r w:rsidRPr="00845B93">
            <w:rPr>
              <w:rFonts w:ascii="Times New Roman" w:hAnsi="Times New Roman" w:cs="Times New Roman"/>
              <w:sz w:val="20"/>
              <w:szCs w:val="20"/>
              <w:lang w:val="tr-TR"/>
            </w:rPr>
            <w:t>. https://ssrn.com/abstract=1799589.</w:t>
          </w:r>
        </w:p>
        <w:p w14:paraId="66A52DCF"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Işık, Ö., &amp; İnce, A. R. (2016). Board size, Board </w:t>
          </w:r>
          <w:proofErr w:type="spellStart"/>
          <w:r w:rsidRPr="00845B93">
            <w:rPr>
              <w:rFonts w:ascii="Times New Roman" w:hAnsi="Times New Roman" w:cs="Times New Roman"/>
              <w:sz w:val="20"/>
              <w:szCs w:val="20"/>
              <w:lang w:val="tr-TR"/>
            </w:rPr>
            <w:t>Composition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An </w:t>
          </w:r>
          <w:proofErr w:type="spellStart"/>
          <w:r w:rsidRPr="00845B93">
            <w:rPr>
              <w:rFonts w:ascii="Times New Roman" w:hAnsi="Times New Roman" w:cs="Times New Roman"/>
              <w:sz w:val="20"/>
              <w:szCs w:val="20"/>
              <w:lang w:val="tr-TR"/>
            </w:rPr>
            <w:t>Investigation</w:t>
          </w:r>
          <w:proofErr w:type="spellEnd"/>
          <w:r w:rsidRPr="00845B93">
            <w:rPr>
              <w:rFonts w:ascii="Times New Roman" w:hAnsi="Times New Roman" w:cs="Times New Roman"/>
              <w:sz w:val="20"/>
              <w:szCs w:val="20"/>
              <w:lang w:val="tr-TR"/>
            </w:rPr>
            <w:t xml:space="preserve"> on </w:t>
          </w:r>
          <w:proofErr w:type="spellStart"/>
          <w:r w:rsidRPr="00845B93">
            <w:rPr>
              <w:rFonts w:ascii="Times New Roman" w:hAnsi="Times New Roman" w:cs="Times New Roman"/>
              <w:sz w:val="20"/>
              <w:szCs w:val="20"/>
              <w:lang w:val="tr-TR"/>
            </w:rPr>
            <w:t>Turkish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Banks</w:t>
          </w:r>
          <w:proofErr w:type="spellEnd"/>
          <w:r w:rsidRPr="00845B93">
            <w:rPr>
              <w:rFonts w:ascii="Times New Roman" w:hAnsi="Times New Roman" w:cs="Times New Roman"/>
              <w:sz w:val="20"/>
              <w:szCs w:val="20"/>
              <w:lang w:val="tr-TR"/>
            </w:rPr>
            <w:t xml:space="preserve">. International Business </w:t>
          </w:r>
          <w:proofErr w:type="spellStart"/>
          <w:r w:rsidRPr="00845B93">
            <w:rPr>
              <w:rFonts w:ascii="Times New Roman" w:hAnsi="Times New Roman" w:cs="Times New Roman"/>
              <w:sz w:val="20"/>
              <w:szCs w:val="20"/>
              <w:lang w:val="tr-TR"/>
            </w:rPr>
            <w:t>Research</w:t>
          </w:r>
          <w:proofErr w:type="spellEnd"/>
          <w:r w:rsidRPr="00845B93">
            <w:rPr>
              <w:rFonts w:ascii="Times New Roman" w:hAnsi="Times New Roman" w:cs="Times New Roman"/>
              <w:sz w:val="20"/>
              <w:szCs w:val="20"/>
              <w:lang w:val="tr-TR"/>
            </w:rPr>
            <w:t>, 74-84.</w:t>
          </w:r>
        </w:p>
        <w:p w14:paraId="69DB3A6F"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Kavut, L. (2010). Kurumsal Yönetim, Kurumsal Sosyal Sorumluluk ve Çevresel Açıklamaların İncelenmesi. İstanbul Üniversitesi İşletme Fakültesi İşletme İktisadı Enstitüsü Yönetim Dergisi, 9-43.</w:t>
          </w:r>
        </w:p>
        <w:p w14:paraId="1A5DA52B"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Lagasio</w:t>
          </w:r>
          <w:proofErr w:type="spellEnd"/>
          <w:r w:rsidRPr="00845B93">
            <w:rPr>
              <w:rFonts w:ascii="Times New Roman" w:hAnsi="Times New Roman" w:cs="Times New Roman"/>
              <w:sz w:val="20"/>
              <w:szCs w:val="20"/>
              <w:lang w:val="tr-TR"/>
            </w:rPr>
            <w:t xml:space="preserve">, V., &amp; </w:t>
          </w:r>
          <w:proofErr w:type="spellStart"/>
          <w:r w:rsidRPr="00845B93">
            <w:rPr>
              <w:rFonts w:ascii="Times New Roman" w:hAnsi="Times New Roman" w:cs="Times New Roman"/>
              <w:sz w:val="20"/>
              <w:szCs w:val="20"/>
              <w:lang w:val="tr-TR"/>
            </w:rPr>
            <w:t>Cucari</w:t>
          </w:r>
          <w:proofErr w:type="spellEnd"/>
          <w:r w:rsidRPr="00845B93">
            <w:rPr>
              <w:rFonts w:ascii="Times New Roman" w:hAnsi="Times New Roman" w:cs="Times New Roman"/>
              <w:sz w:val="20"/>
              <w:szCs w:val="20"/>
              <w:lang w:val="tr-TR"/>
            </w:rPr>
            <w:t xml:space="preserve">, N. (2018).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Environmental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Disclosure</w:t>
          </w:r>
          <w:proofErr w:type="spellEnd"/>
          <w:r w:rsidRPr="00845B93">
            <w:rPr>
              <w:rFonts w:ascii="Times New Roman" w:hAnsi="Times New Roman" w:cs="Times New Roman"/>
              <w:sz w:val="20"/>
              <w:szCs w:val="20"/>
              <w:lang w:val="tr-TR"/>
            </w:rPr>
            <w:t>: A Meta-</w:t>
          </w:r>
          <w:proofErr w:type="spellStart"/>
          <w:r w:rsidRPr="00845B93">
            <w:rPr>
              <w:rFonts w:ascii="Times New Roman" w:hAnsi="Times New Roman" w:cs="Times New Roman"/>
              <w:sz w:val="20"/>
              <w:szCs w:val="20"/>
              <w:lang w:val="tr-TR"/>
            </w:rPr>
            <w:t>Analytical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Review</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Environmental</w:t>
          </w:r>
          <w:proofErr w:type="spellEnd"/>
          <w:r w:rsidRPr="00845B93">
            <w:rPr>
              <w:rFonts w:ascii="Times New Roman" w:hAnsi="Times New Roman" w:cs="Times New Roman"/>
              <w:sz w:val="20"/>
              <w:szCs w:val="20"/>
              <w:lang w:val="tr-TR"/>
            </w:rPr>
            <w:t xml:space="preserve"> Management, 701-711.</w:t>
          </w:r>
        </w:p>
        <w:p w14:paraId="15962B3B"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Mc</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Guiness</w:t>
          </w:r>
          <w:proofErr w:type="spellEnd"/>
          <w:r w:rsidRPr="00845B93">
            <w:rPr>
              <w:rFonts w:ascii="Times New Roman" w:hAnsi="Times New Roman" w:cs="Times New Roman"/>
              <w:sz w:val="20"/>
              <w:szCs w:val="20"/>
              <w:lang w:val="tr-TR"/>
            </w:rPr>
            <w:t xml:space="preserve">, P. B., </w:t>
          </w:r>
          <w:proofErr w:type="spellStart"/>
          <w:r w:rsidRPr="00845B93">
            <w:rPr>
              <w:rFonts w:ascii="Times New Roman" w:hAnsi="Times New Roman" w:cs="Times New Roman"/>
              <w:sz w:val="20"/>
              <w:szCs w:val="20"/>
              <w:lang w:val="tr-TR"/>
            </w:rPr>
            <w:t>Vieito</w:t>
          </w:r>
          <w:proofErr w:type="spellEnd"/>
          <w:r w:rsidRPr="00845B93">
            <w:rPr>
              <w:rFonts w:ascii="Times New Roman" w:hAnsi="Times New Roman" w:cs="Times New Roman"/>
              <w:sz w:val="20"/>
              <w:szCs w:val="20"/>
              <w:lang w:val="tr-TR"/>
            </w:rPr>
            <w:t xml:space="preserve">, J. P., &amp; </w:t>
          </w:r>
          <w:proofErr w:type="spellStart"/>
          <w:r w:rsidRPr="00845B93">
            <w:rPr>
              <w:rFonts w:ascii="Times New Roman" w:hAnsi="Times New Roman" w:cs="Times New Roman"/>
              <w:sz w:val="20"/>
              <w:szCs w:val="20"/>
              <w:lang w:val="tr-TR"/>
            </w:rPr>
            <w:t>Wang</w:t>
          </w:r>
          <w:proofErr w:type="spellEnd"/>
          <w:r w:rsidRPr="00845B93">
            <w:rPr>
              <w:rFonts w:ascii="Times New Roman" w:hAnsi="Times New Roman" w:cs="Times New Roman"/>
              <w:sz w:val="20"/>
              <w:szCs w:val="20"/>
              <w:lang w:val="tr-TR"/>
            </w:rPr>
            <w:t xml:space="preserve">, M. (2017).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role of board </w:t>
          </w:r>
          <w:proofErr w:type="spellStart"/>
          <w:r w:rsidRPr="00845B93">
            <w:rPr>
              <w:rFonts w:ascii="Times New Roman" w:hAnsi="Times New Roman" w:cs="Times New Roman"/>
              <w:sz w:val="20"/>
              <w:szCs w:val="20"/>
              <w:lang w:val="tr-TR"/>
            </w:rPr>
            <w:t>gender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foreign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ownership</w:t>
          </w:r>
          <w:proofErr w:type="spellEnd"/>
          <w:r w:rsidRPr="00845B93">
            <w:rPr>
              <w:rFonts w:ascii="Times New Roman" w:hAnsi="Times New Roman" w:cs="Times New Roman"/>
              <w:sz w:val="20"/>
              <w:szCs w:val="20"/>
              <w:lang w:val="tr-TR"/>
            </w:rPr>
            <w:t xml:space="preserve"> in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CSR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Chinese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listed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firms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Finance, 75-99.</w:t>
          </w:r>
        </w:p>
        <w:p w14:paraId="3D052A49"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Parlakkaya</w:t>
          </w:r>
          <w:proofErr w:type="spellEnd"/>
          <w:r w:rsidRPr="00845B93">
            <w:rPr>
              <w:rFonts w:ascii="Times New Roman" w:hAnsi="Times New Roman" w:cs="Times New Roman"/>
              <w:sz w:val="20"/>
              <w:szCs w:val="20"/>
              <w:lang w:val="tr-TR"/>
            </w:rPr>
            <w:t xml:space="preserve">, R., &amp; Demirci, N. M. (2017). Türkiye'de Faaliyet Gösteren Katılım Bankalarında Kurumsal Yönetim ve Performans İlişkisi. Elektronik </w:t>
          </w:r>
          <w:proofErr w:type="spellStart"/>
          <w:r w:rsidRPr="00845B93">
            <w:rPr>
              <w:rFonts w:ascii="Times New Roman" w:hAnsi="Times New Roman" w:cs="Times New Roman"/>
              <w:sz w:val="20"/>
              <w:szCs w:val="20"/>
              <w:lang w:val="tr-TR"/>
            </w:rPr>
            <w:t>Turkish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Studies</w:t>
          </w:r>
          <w:proofErr w:type="spellEnd"/>
          <w:r w:rsidRPr="00845B93">
            <w:rPr>
              <w:rFonts w:ascii="Times New Roman" w:hAnsi="Times New Roman" w:cs="Times New Roman"/>
              <w:sz w:val="20"/>
              <w:szCs w:val="20"/>
              <w:lang w:val="tr-TR"/>
            </w:rPr>
            <w:t>, 147-162.</w:t>
          </w:r>
        </w:p>
        <w:p w14:paraId="0A3400AC"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Pathan</w:t>
          </w:r>
          <w:proofErr w:type="spellEnd"/>
          <w:r w:rsidRPr="00845B93">
            <w:rPr>
              <w:rFonts w:ascii="Times New Roman" w:hAnsi="Times New Roman" w:cs="Times New Roman"/>
              <w:sz w:val="20"/>
              <w:szCs w:val="20"/>
              <w:lang w:val="tr-TR"/>
            </w:rPr>
            <w:t xml:space="preserve">, S., &amp; </w:t>
          </w:r>
          <w:proofErr w:type="spellStart"/>
          <w:r w:rsidRPr="00845B93">
            <w:rPr>
              <w:rFonts w:ascii="Times New Roman" w:hAnsi="Times New Roman" w:cs="Times New Roman"/>
              <w:sz w:val="20"/>
              <w:szCs w:val="20"/>
              <w:lang w:val="tr-TR"/>
            </w:rPr>
            <w:t>Faff</w:t>
          </w:r>
          <w:proofErr w:type="spellEnd"/>
          <w:r w:rsidRPr="00845B93">
            <w:rPr>
              <w:rFonts w:ascii="Times New Roman" w:hAnsi="Times New Roman" w:cs="Times New Roman"/>
              <w:sz w:val="20"/>
              <w:szCs w:val="20"/>
              <w:lang w:val="tr-TR"/>
            </w:rPr>
            <w:t xml:space="preserve">, R. (2013). </w:t>
          </w:r>
          <w:proofErr w:type="spellStart"/>
          <w:r w:rsidRPr="00845B93">
            <w:rPr>
              <w:rFonts w:ascii="Times New Roman" w:hAnsi="Times New Roman" w:cs="Times New Roman"/>
              <w:sz w:val="20"/>
              <w:szCs w:val="20"/>
              <w:lang w:val="tr-TR"/>
            </w:rPr>
            <w:t>Does</w:t>
          </w:r>
          <w:proofErr w:type="spellEnd"/>
          <w:r w:rsidRPr="00845B93">
            <w:rPr>
              <w:rFonts w:ascii="Times New Roman" w:hAnsi="Times New Roman" w:cs="Times New Roman"/>
              <w:sz w:val="20"/>
              <w:szCs w:val="20"/>
              <w:lang w:val="tr-TR"/>
            </w:rPr>
            <w:t xml:space="preserve"> board </w:t>
          </w:r>
          <w:proofErr w:type="spellStart"/>
          <w:r w:rsidRPr="00845B93">
            <w:rPr>
              <w:rFonts w:ascii="Times New Roman" w:hAnsi="Times New Roman" w:cs="Times New Roman"/>
              <w:sz w:val="20"/>
              <w:szCs w:val="20"/>
              <w:lang w:val="tr-TR"/>
            </w:rPr>
            <w:t>structure</w:t>
          </w:r>
          <w:proofErr w:type="spellEnd"/>
          <w:r w:rsidRPr="00845B93">
            <w:rPr>
              <w:rFonts w:ascii="Times New Roman" w:hAnsi="Times New Roman" w:cs="Times New Roman"/>
              <w:sz w:val="20"/>
              <w:szCs w:val="20"/>
              <w:lang w:val="tr-TR"/>
            </w:rPr>
            <w:t xml:space="preserve"> in </w:t>
          </w:r>
          <w:proofErr w:type="spellStart"/>
          <w:r w:rsidRPr="00845B93">
            <w:rPr>
              <w:rFonts w:ascii="Times New Roman" w:hAnsi="Times New Roman" w:cs="Times New Roman"/>
              <w:sz w:val="20"/>
              <w:szCs w:val="20"/>
              <w:lang w:val="tr-TR"/>
            </w:rPr>
            <w:t>banks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really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affect</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their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Banking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Finance, 1573-1579.</w:t>
          </w:r>
        </w:p>
        <w:p w14:paraId="080A8B46"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Rose</w:t>
          </w:r>
          <w:proofErr w:type="spellEnd"/>
          <w:r w:rsidRPr="00845B93">
            <w:rPr>
              <w:rFonts w:ascii="Times New Roman" w:hAnsi="Times New Roman" w:cs="Times New Roman"/>
              <w:sz w:val="20"/>
              <w:szCs w:val="20"/>
              <w:lang w:val="tr-TR"/>
            </w:rPr>
            <w:t xml:space="preserve">, C. (2005).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Composition</w:t>
          </w:r>
          <w:proofErr w:type="spellEnd"/>
          <w:r w:rsidRPr="00845B93">
            <w:rPr>
              <w:rFonts w:ascii="Times New Roman" w:hAnsi="Times New Roman" w:cs="Times New Roman"/>
              <w:sz w:val="20"/>
              <w:szCs w:val="20"/>
              <w:lang w:val="tr-TR"/>
            </w:rPr>
            <w:t xml:space="preserve"> of Semi-</w:t>
          </w:r>
          <w:proofErr w:type="spellStart"/>
          <w:r w:rsidRPr="00845B93">
            <w:rPr>
              <w:rFonts w:ascii="Times New Roman" w:hAnsi="Times New Roman" w:cs="Times New Roman"/>
              <w:sz w:val="20"/>
              <w:szCs w:val="20"/>
              <w:lang w:val="tr-TR"/>
            </w:rPr>
            <w:t>Two</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TierCorporate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Boards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Firm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an International </w:t>
          </w:r>
          <w:proofErr w:type="spellStart"/>
          <w:r w:rsidRPr="00845B93">
            <w:rPr>
              <w:rFonts w:ascii="Times New Roman" w:hAnsi="Times New Roman" w:cs="Times New Roman"/>
              <w:sz w:val="20"/>
              <w:szCs w:val="20"/>
              <w:lang w:val="tr-TR"/>
            </w:rPr>
            <w:t>Review</w:t>
          </w:r>
          <w:proofErr w:type="spellEnd"/>
          <w:r w:rsidRPr="00845B93">
            <w:rPr>
              <w:rFonts w:ascii="Times New Roman" w:hAnsi="Times New Roman" w:cs="Times New Roman"/>
              <w:sz w:val="20"/>
              <w:szCs w:val="20"/>
              <w:lang w:val="tr-TR"/>
            </w:rPr>
            <w:t>, 691-701.</w:t>
          </w:r>
        </w:p>
        <w:p w14:paraId="178DA62B"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Shen</w:t>
          </w:r>
          <w:proofErr w:type="spellEnd"/>
          <w:r w:rsidRPr="00845B93">
            <w:rPr>
              <w:rFonts w:ascii="Times New Roman" w:hAnsi="Times New Roman" w:cs="Times New Roman"/>
              <w:sz w:val="20"/>
              <w:szCs w:val="20"/>
              <w:lang w:val="tr-TR"/>
            </w:rPr>
            <w:t xml:space="preserve">, C. H., </w:t>
          </w:r>
          <w:proofErr w:type="spellStart"/>
          <w:r w:rsidRPr="00845B93">
            <w:rPr>
              <w:rFonts w:ascii="Times New Roman" w:hAnsi="Times New Roman" w:cs="Times New Roman"/>
              <w:sz w:val="20"/>
              <w:szCs w:val="20"/>
              <w:lang w:val="tr-TR"/>
            </w:rPr>
            <w:t>Wu</w:t>
          </w:r>
          <w:proofErr w:type="spellEnd"/>
          <w:r w:rsidRPr="00845B93">
            <w:rPr>
              <w:rFonts w:ascii="Times New Roman" w:hAnsi="Times New Roman" w:cs="Times New Roman"/>
              <w:sz w:val="20"/>
              <w:szCs w:val="20"/>
              <w:lang w:val="tr-TR"/>
            </w:rPr>
            <w:t xml:space="preserve">, M. W., </w:t>
          </w:r>
          <w:proofErr w:type="spellStart"/>
          <w:r w:rsidRPr="00845B93">
            <w:rPr>
              <w:rFonts w:ascii="Times New Roman" w:hAnsi="Times New Roman" w:cs="Times New Roman"/>
              <w:sz w:val="20"/>
              <w:szCs w:val="20"/>
              <w:lang w:val="tr-TR"/>
            </w:rPr>
            <w:t>Chen</w:t>
          </w:r>
          <w:proofErr w:type="spellEnd"/>
          <w:r w:rsidRPr="00845B93">
            <w:rPr>
              <w:rFonts w:ascii="Times New Roman" w:hAnsi="Times New Roman" w:cs="Times New Roman"/>
              <w:sz w:val="20"/>
              <w:szCs w:val="20"/>
              <w:lang w:val="tr-TR"/>
            </w:rPr>
            <w:t xml:space="preserve">, T. H., &amp; </w:t>
          </w:r>
          <w:proofErr w:type="spellStart"/>
          <w:r w:rsidRPr="00845B93">
            <w:rPr>
              <w:rFonts w:ascii="Times New Roman" w:hAnsi="Times New Roman" w:cs="Times New Roman"/>
              <w:sz w:val="20"/>
              <w:szCs w:val="20"/>
              <w:lang w:val="tr-TR"/>
            </w:rPr>
            <w:t>Fang</w:t>
          </w:r>
          <w:proofErr w:type="spellEnd"/>
          <w:r w:rsidRPr="00845B93">
            <w:rPr>
              <w:rFonts w:ascii="Times New Roman" w:hAnsi="Times New Roman" w:cs="Times New Roman"/>
              <w:sz w:val="20"/>
              <w:szCs w:val="20"/>
              <w:lang w:val="tr-TR"/>
            </w:rPr>
            <w:t xml:space="preserve">, H. (2016). </w:t>
          </w:r>
          <w:proofErr w:type="spellStart"/>
          <w:r w:rsidRPr="00845B93">
            <w:rPr>
              <w:rFonts w:ascii="Times New Roman" w:hAnsi="Times New Roman" w:cs="Times New Roman"/>
              <w:sz w:val="20"/>
              <w:szCs w:val="20"/>
              <w:lang w:val="tr-TR"/>
            </w:rPr>
            <w:t>To</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engage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or</w:t>
          </w:r>
          <w:proofErr w:type="spellEnd"/>
          <w:r w:rsidRPr="00845B93">
            <w:rPr>
              <w:rFonts w:ascii="Times New Roman" w:hAnsi="Times New Roman" w:cs="Times New Roman"/>
              <w:sz w:val="20"/>
              <w:szCs w:val="20"/>
              <w:lang w:val="tr-TR"/>
            </w:rPr>
            <w:t xml:space="preserve"> not </w:t>
          </w:r>
          <w:proofErr w:type="spellStart"/>
          <w:r w:rsidRPr="00845B93">
            <w:rPr>
              <w:rFonts w:ascii="Times New Roman" w:hAnsi="Times New Roman" w:cs="Times New Roman"/>
              <w:sz w:val="20"/>
              <w:szCs w:val="20"/>
              <w:lang w:val="tr-TR"/>
            </w:rPr>
            <w:t>to</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engage</w:t>
          </w:r>
          <w:proofErr w:type="spellEnd"/>
          <w:r w:rsidRPr="00845B93">
            <w:rPr>
              <w:rFonts w:ascii="Times New Roman" w:hAnsi="Times New Roman" w:cs="Times New Roman"/>
              <w:sz w:val="20"/>
              <w:szCs w:val="20"/>
              <w:lang w:val="tr-TR"/>
            </w:rPr>
            <w:t xml:space="preserve"> in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social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Emprical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evidence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from</w:t>
          </w:r>
          <w:proofErr w:type="spellEnd"/>
          <w:r w:rsidRPr="00845B93">
            <w:rPr>
              <w:rFonts w:ascii="Times New Roman" w:hAnsi="Times New Roman" w:cs="Times New Roman"/>
              <w:sz w:val="20"/>
              <w:szCs w:val="20"/>
              <w:lang w:val="tr-TR"/>
            </w:rPr>
            <w:t xml:space="preserve"> global </w:t>
          </w:r>
          <w:proofErr w:type="spellStart"/>
          <w:r w:rsidRPr="00845B93">
            <w:rPr>
              <w:rFonts w:ascii="Times New Roman" w:hAnsi="Times New Roman" w:cs="Times New Roman"/>
              <w:sz w:val="20"/>
              <w:szCs w:val="20"/>
              <w:lang w:val="tr-TR"/>
            </w:rPr>
            <w:t>banking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sector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Economic</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Modelling</w:t>
          </w:r>
          <w:proofErr w:type="spellEnd"/>
          <w:r w:rsidRPr="00845B93">
            <w:rPr>
              <w:rFonts w:ascii="Times New Roman" w:hAnsi="Times New Roman" w:cs="Times New Roman"/>
              <w:sz w:val="20"/>
              <w:szCs w:val="20"/>
              <w:lang w:val="tr-TR"/>
            </w:rPr>
            <w:t>, 207-225.</w:t>
          </w:r>
        </w:p>
        <w:p w14:paraId="302C79C4"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Soba, M., Erem, I., &amp; Ceylan, F. (2016).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Impact</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Practises</w:t>
          </w:r>
          <w:proofErr w:type="spellEnd"/>
          <w:r w:rsidRPr="00845B93">
            <w:rPr>
              <w:rFonts w:ascii="Times New Roman" w:hAnsi="Times New Roman" w:cs="Times New Roman"/>
              <w:sz w:val="20"/>
              <w:szCs w:val="20"/>
              <w:lang w:val="tr-TR"/>
            </w:rPr>
            <w:t xml:space="preserve"> on Bank </w:t>
          </w:r>
          <w:proofErr w:type="spellStart"/>
          <w:r w:rsidRPr="00845B93">
            <w:rPr>
              <w:rFonts w:ascii="Times New Roman" w:hAnsi="Times New Roman" w:cs="Times New Roman"/>
              <w:sz w:val="20"/>
              <w:szCs w:val="20"/>
              <w:lang w:val="tr-TR"/>
            </w:rPr>
            <w:t>Efficiency</w:t>
          </w:r>
          <w:proofErr w:type="spellEnd"/>
          <w:r w:rsidRPr="00845B93">
            <w:rPr>
              <w:rFonts w:ascii="Times New Roman" w:hAnsi="Times New Roman" w:cs="Times New Roman"/>
              <w:sz w:val="20"/>
              <w:szCs w:val="20"/>
              <w:lang w:val="tr-TR"/>
            </w:rPr>
            <w:t xml:space="preserve">: A </w:t>
          </w:r>
          <w:proofErr w:type="spellStart"/>
          <w:r w:rsidRPr="00845B93">
            <w:rPr>
              <w:rFonts w:ascii="Times New Roman" w:hAnsi="Times New Roman" w:cs="Times New Roman"/>
              <w:sz w:val="20"/>
              <w:szCs w:val="20"/>
              <w:lang w:val="tr-TR"/>
            </w:rPr>
            <w:t>case</w:t>
          </w:r>
          <w:proofErr w:type="spellEnd"/>
          <w:r w:rsidRPr="00845B93">
            <w:rPr>
              <w:rFonts w:ascii="Times New Roman" w:hAnsi="Times New Roman" w:cs="Times New Roman"/>
              <w:sz w:val="20"/>
              <w:szCs w:val="20"/>
              <w:lang w:val="tr-TR"/>
            </w:rPr>
            <w:t xml:space="preserve"> of </w:t>
          </w:r>
          <w:proofErr w:type="spellStart"/>
          <w:r w:rsidRPr="00845B93">
            <w:rPr>
              <w:rFonts w:ascii="Times New Roman" w:hAnsi="Times New Roman" w:cs="Times New Roman"/>
              <w:sz w:val="20"/>
              <w:szCs w:val="20"/>
              <w:lang w:val="tr-TR"/>
            </w:rPr>
            <w:t>Turkey</w:t>
          </w:r>
          <w:proofErr w:type="spellEnd"/>
          <w:r w:rsidRPr="00845B93">
            <w:rPr>
              <w:rFonts w:ascii="Times New Roman" w:hAnsi="Times New Roman" w:cs="Times New Roman"/>
              <w:sz w:val="20"/>
              <w:szCs w:val="20"/>
              <w:lang w:val="tr-TR"/>
            </w:rPr>
            <w:t>. Süleyman Demirel Üniversitesi Sosyal Bilimler Enstitüsü Dergisi, 305-322.</w:t>
          </w:r>
        </w:p>
        <w:p w14:paraId="35482C3F"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r w:rsidRPr="00845B93">
            <w:rPr>
              <w:rFonts w:ascii="Times New Roman" w:hAnsi="Times New Roman" w:cs="Times New Roman"/>
              <w:sz w:val="20"/>
              <w:szCs w:val="20"/>
              <w:lang w:val="tr-TR"/>
            </w:rPr>
            <w:t xml:space="preserve">Suzuki, H., &amp; </w:t>
          </w:r>
          <w:proofErr w:type="spellStart"/>
          <w:r w:rsidRPr="00845B93">
            <w:rPr>
              <w:rFonts w:ascii="Times New Roman" w:hAnsi="Times New Roman" w:cs="Times New Roman"/>
              <w:sz w:val="20"/>
              <w:szCs w:val="20"/>
              <w:lang w:val="tr-TR"/>
            </w:rPr>
            <w:t>Levy</w:t>
          </w:r>
          <w:proofErr w:type="spellEnd"/>
          <w:r w:rsidRPr="00845B93">
            <w:rPr>
              <w:rFonts w:ascii="Times New Roman" w:hAnsi="Times New Roman" w:cs="Times New Roman"/>
              <w:sz w:val="20"/>
              <w:szCs w:val="20"/>
              <w:lang w:val="tr-TR"/>
            </w:rPr>
            <w:t xml:space="preserve">, R. (2010). ESG USA 2010: global </w:t>
          </w:r>
          <w:proofErr w:type="spellStart"/>
          <w:r w:rsidRPr="00845B93">
            <w:rPr>
              <w:rFonts w:ascii="Times New Roman" w:hAnsi="Times New Roman" w:cs="Times New Roman"/>
              <w:sz w:val="20"/>
              <w:szCs w:val="20"/>
              <w:lang w:val="tr-TR"/>
            </w:rPr>
            <w:t>trends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US </w:t>
          </w:r>
          <w:proofErr w:type="spellStart"/>
          <w:r w:rsidRPr="00845B93">
            <w:rPr>
              <w:rFonts w:ascii="Times New Roman" w:hAnsi="Times New Roman" w:cs="Times New Roman"/>
              <w:sz w:val="20"/>
              <w:szCs w:val="20"/>
              <w:lang w:val="tr-TR"/>
            </w:rPr>
            <w:t>sustainable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investing</w:t>
          </w:r>
          <w:proofErr w:type="spellEnd"/>
          <w:r w:rsidRPr="00845B93">
            <w:rPr>
              <w:rFonts w:ascii="Times New Roman" w:hAnsi="Times New Roman" w:cs="Times New Roman"/>
              <w:sz w:val="20"/>
              <w:szCs w:val="20"/>
              <w:lang w:val="tr-TR"/>
            </w:rPr>
            <w:t>. 2020 tarihinde www.responsibleinvestor.com/images/uploads/: www.responsibleinvestor.com/images/uploads/ adresinden alındı</w:t>
          </w:r>
        </w:p>
        <w:p w14:paraId="2CD630C6"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Wulf</w:t>
          </w:r>
          <w:proofErr w:type="spellEnd"/>
          <w:r w:rsidRPr="00845B93">
            <w:rPr>
              <w:rFonts w:ascii="Times New Roman" w:hAnsi="Times New Roman" w:cs="Times New Roman"/>
              <w:sz w:val="20"/>
              <w:szCs w:val="20"/>
              <w:lang w:val="tr-TR"/>
            </w:rPr>
            <w:t xml:space="preserve">, I., </w:t>
          </w:r>
          <w:proofErr w:type="spellStart"/>
          <w:r w:rsidRPr="00845B93">
            <w:rPr>
              <w:rFonts w:ascii="Times New Roman" w:hAnsi="Times New Roman" w:cs="Times New Roman"/>
              <w:sz w:val="20"/>
              <w:szCs w:val="20"/>
              <w:lang w:val="tr-TR"/>
            </w:rPr>
            <w:t>Niemöller</w:t>
          </w:r>
          <w:proofErr w:type="spellEnd"/>
          <w:r w:rsidRPr="00845B93">
            <w:rPr>
              <w:rFonts w:ascii="Times New Roman" w:hAnsi="Times New Roman" w:cs="Times New Roman"/>
              <w:sz w:val="20"/>
              <w:szCs w:val="20"/>
              <w:lang w:val="tr-TR"/>
            </w:rPr>
            <w:t xml:space="preserve">, J., &amp; </w:t>
          </w:r>
          <w:proofErr w:type="spellStart"/>
          <w:r w:rsidRPr="00845B93">
            <w:rPr>
              <w:rFonts w:ascii="Times New Roman" w:hAnsi="Times New Roman" w:cs="Times New Roman"/>
              <w:sz w:val="20"/>
              <w:szCs w:val="20"/>
              <w:lang w:val="tr-TR"/>
            </w:rPr>
            <w:t>Rentzsch</w:t>
          </w:r>
          <w:proofErr w:type="spellEnd"/>
          <w:r w:rsidRPr="00845B93">
            <w:rPr>
              <w:rFonts w:ascii="Times New Roman" w:hAnsi="Times New Roman" w:cs="Times New Roman"/>
              <w:sz w:val="20"/>
              <w:szCs w:val="20"/>
              <w:lang w:val="tr-TR"/>
            </w:rPr>
            <w:t xml:space="preserve">, N. (2014). Development </w:t>
          </w:r>
          <w:proofErr w:type="spellStart"/>
          <w:r w:rsidRPr="00845B93">
            <w:rPr>
              <w:rFonts w:ascii="Times New Roman" w:hAnsi="Times New Roman" w:cs="Times New Roman"/>
              <w:sz w:val="20"/>
              <w:szCs w:val="20"/>
              <w:lang w:val="tr-TR"/>
            </w:rPr>
            <w:t>toward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integrated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reporting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its</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impact</w:t>
          </w:r>
          <w:proofErr w:type="spellEnd"/>
          <w:r w:rsidRPr="00845B93">
            <w:rPr>
              <w:rFonts w:ascii="Times New Roman" w:hAnsi="Times New Roman" w:cs="Times New Roman"/>
              <w:sz w:val="20"/>
              <w:szCs w:val="20"/>
              <w:lang w:val="tr-TR"/>
            </w:rPr>
            <w:t xml:space="preserve"> on </w:t>
          </w:r>
          <w:proofErr w:type="spellStart"/>
          <w:r w:rsidRPr="00845B93">
            <w:rPr>
              <w:rFonts w:ascii="Times New Roman" w:hAnsi="Times New Roman" w:cs="Times New Roman"/>
              <w:sz w:val="20"/>
              <w:szCs w:val="20"/>
              <w:lang w:val="tr-TR"/>
            </w:rPr>
            <w:t>corporate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governance</w:t>
          </w:r>
          <w:proofErr w:type="spellEnd"/>
          <w:r w:rsidRPr="00845B93">
            <w:rPr>
              <w:rFonts w:ascii="Times New Roman" w:hAnsi="Times New Roman" w:cs="Times New Roman"/>
              <w:sz w:val="20"/>
              <w:szCs w:val="20"/>
              <w:lang w:val="tr-TR"/>
            </w:rPr>
            <w:t xml:space="preserve">: a </w:t>
          </w:r>
          <w:proofErr w:type="spellStart"/>
          <w:r w:rsidRPr="00845B93">
            <w:rPr>
              <w:rFonts w:ascii="Times New Roman" w:hAnsi="Times New Roman" w:cs="Times New Roman"/>
              <w:sz w:val="20"/>
              <w:szCs w:val="20"/>
              <w:lang w:val="tr-TR"/>
            </w:rPr>
            <w:t>two-dimensional</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approach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to</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accounting</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with</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reference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to</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the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German</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two-tier</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system</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Management Control, 135-164.</w:t>
          </w:r>
        </w:p>
        <w:p w14:paraId="3019E523" w14:textId="77777777" w:rsidR="0077248A" w:rsidRPr="00845B93" w:rsidRDefault="0077248A" w:rsidP="0077248A">
          <w:pPr>
            <w:pStyle w:val="Kaynaka"/>
            <w:spacing w:line="240" w:lineRule="auto"/>
            <w:ind w:left="720" w:hanging="720"/>
            <w:jc w:val="both"/>
            <w:rPr>
              <w:rFonts w:ascii="Times New Roman" w:hAnsi="Times New Roman" w:cs="Times New Roman"/>
              <w:sz w:val="20"/>
              <w:szCs w:val="20"/>
              <w:lang w:val="tr-TR"/>
            </w:rPr>
          </w:pPr>
          <w:proofErr w:type="spellStart"/>
          <w:r w:rsidRPr="00845B93">
            <w:rPr>
              <w:rFonts w:ascii="Times New Roman" w:hAnsi="Times New Roman" w:cs="Times New Roman"/>
              <w:sz w:val="20"/>
              <w:szCs w:val="20"/>
              <w:lang w:val="tr-TR"/>
            </w:rPr>
            <w:t>Velte</w:t>
          </w:r>
          <w:proofErr w:type="spellEnd"/>
          <w:r w:rsidRPr="00845B93">
            <w:rPr>
              <w:rFonts w:ascii="Times New Roman" w:hAnsi="Times New Roman" w:cs="Times New Roman"/>
              <w:sz w:val="20"/>
              <w:szCs w:val="20"/>
              <w:lang w:val="tr-TR"/>
            </w:rPr>
            <w:t xml:space="preserve">, P. (2016). </w:t>
          </w:r>
          <w:proofErr w:type="spellStart"/>
          <w:r w:rsidRPr="00845B93">
            <w:rPr>
              <w:rFonts w:ascii="Times New Roman" w:hAnsi="Times New Roman" w:cs="Times New Roman"/>
              <w:sz w:val="20"/>
              <w:szCs w:val="20"/>
              <w:lang w:val="tr-TR"/>
            </w:rPr>
            <w:t>Women</w:t>
          </w:r>
          <w:proofErr w:type="spellEnd"/>
          <w:r w:rsidRPr="00845B93">
            <w:rPr>
              <w:rFonts w:ascii="Times New Roman" w:hAnsi="Times New Roman" w:cs="Times New Roman"/>
              <w:sz w:val="20"/>
              <w:szCs w:val="20"/>
              <w:lang w:val="tr-TR"/>
            </w:rPr>
            <w:t xml:space="preserve"> on Management Board </w:t>
          </w:r>
          <w:proofErr w:type="spellStart"/>
          <w:r w:rsidRPr="00845B93">
            <w:rPr>
              <w:rFonts w:ascii="Times New Roman" w:hAnsi="Times New Roman" w:cs="Times New Roman"/>
              <w:sz w:val="20"/>
              <w:szCs w:val="20"/>
              <w:lang w:val="tr-TR"/>
            </w:rPr>
            <w:t>and</w:t>
          </w:r>
          <w:proofErr w:type="spellEnd"/>
          <w:r w:rsidRPr="00845B93">
            <w:rPr>
              <w:rFonts w:ascii="Times New Roman" w:hAnsi="Times New Roman" w:cs="Times New Roman"/>
              <w:sz w:val="20"/>
              <w:szCs w:val="20"/>
              <w:lang w:val="tr-TR"/>
            </w:rPr>
            <w:t xml:space="preserve"> ESG </w:t>
          </w:r>
          <w:proofErr w:type="spellStart"/>
          <w:r w:rsidRPr="00845B93">
            <w:rPr>
              <w:rFonts w:ascii="Times New Roman" w:hAnsi="Times New Roman" w:cs="Times New Roman"/>
              <w:sz w:val="20"/>
              <w:szCs w:val="20"/>
              <w:lang w:val="tr-TR"/>
            </w:rPr>
            <w:t>Performance</w:t>
          </w:r>
          <w:proofErr w:type="spellEnd"/>
          <w:r w:rsidRPr="00845B93">
            <w:rPr>
              <w:rFonts w:ascii="Times New Roman" w:hAnsi="Times New Roman" w:cs="Times New Roman"/>
              <w:sz w:val="20"/>
              <w:szCs w:val="20"/>
              <w:lang w:val="tr-TR"/>
            </w:rPr>
            <w:t xml:space="preserve">. </w:t>
          </w:r>
          <w:proofErr w:type="spellStart"/>
          <w:r w:rsidRPr="00845B93">
            <w:rPr>
              <w:rFonts w:ascii="Times New Roman" w:hAnsi="Times New Roman" w:cs="Times New Roman"/>
              <w:sz w:val="20"/>
              <w:szCs w:val="20"/>
              <w:lang w:val="tr-TR"/>
            </w:rPr>
            <w:t>Journal</w:t>
          </w:r>
          <w:proofErr w:type="spellEnd"/>
          <w:r w:rsidRPr="00845B93">
            <w:rPr>
              <w:rFonts w:ascii="Times New Roman" w:hAnsi="Times New Roman" w:cs="Times New Roman"/>
              <w:sz w:val="20"/>
              <w:szCs w:val="20"/>
              <w:lang w:val="tr-TR"/>
            </w:rPr>
            <w:t xml:space="preserve"> of Global </w:t>
          </w:r>
          <w:proofErr w:type="spellStart"/>
          <w:r w:rsidRPr="00845B93">
            <w:rPr>
              <w:rFonts w:ascii="Times New Roman" w:hAnsi="Times New Roman" w:cs="Times New Roman"/>
              <w:sz w:val="20"/>
              <w:szCs w:val="20"/>
              <w:lang w:val="tr-TR"/>
            </w:rPr>
            <w:t>Responsibility</w:t>
          </w:r>
          <w:proofErr w:type="spellEnd"/>
          <w:r w:rsidRPr="00845B93">
            <w:rPr>
              <w:rFonts w:ascii="Times New Roman" w:hAnsi="Times New Roman" w:cs="Times New Roman"/>
              <w:sz w:val="20"/>
              <w:szCs w:val="20"/>
              <w:lang w:val="tr-TR"/>
            </w:rPr>
            <w:t>, 98-109.</w:t>
          </w:r>
        </w:p>
        <w:p w14:paraId="742D1566" w14:textId="6C7834F2" w:rsidR="0077248A" w:rsidRPr="00A678B3" w:rsidRDefault="0077248A" w:rsidP="0077248A">
          <w:pPr>
            <w:spacing w:after="0" w:line="240" w:lineRule="auto"/>
            <w:rPr>
              <w:rFonts w:ascii="Times New Roman" w:hAnsi="Times New Roman" w:cs="Times New Roman"/>
            </w:rPr>
          </w:pPr>
          <w:r w:rsidRPr="00845B93">
            <w:rPr>
              <w:rFonts w:ascii="Times New Roman" w:hAnsi="Times New Roman" w:cs="Times New Roman"/>
              <w:sz w:val="20"/>
              <w:szCs w:val="20"/>
            </w:rPr>
            <w:fldChar w:fldCharType="end"/>
          </w:r>
          <w:r w:rsidRPr="00A678B3">
            <w:rPr>
              <w:rFonts w:ascii="Times New Roman" w:hAnsi="Times New Roman" w:cs="Times New Roman"/>
            </w:rPr>
            <w:tab/>
          </w:r>
          <w:r w:rsidRPr="00A678B3">
            <w:rPr>
              <w:rFonts w:ascii="Times New Roman" w:hAnsi="Times New Roman" w:cs="Times New Roman"/>
            </w:rPr>
            <w:tab/>
          </w:r>
        </w:p>
      </w:sdtContent>
    </w:sdt>
    <w:p w14:paraId="74D3ACD6" w14:textId="77777777" w:rsidR="00E33321" w:rsidRPr="00A678B3" w:rsidRDefault="00E33321">
      <w:pPr>
        <w:rPr>
          <w:rFonts w:ascii="Times New Roman" w:hAnsi="Times New Roman" w:cs="Times New Roman"/>
        </w:rPr>
      </w:pPr>
    </w:p>
    <w:sectPr w:rsidR="00E33321" w:rsidRPr="00A678B3" w:rsidSect="006251C3">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DDF17" w14:textId="77777777" w:rsidR="009B0BB8" w:rsidRDefault="009B0BB8" w:rsidP="00D85663">
      <w:pPr>
        <w:spacing w:after="0" w:line="240" w:lineRule="auto"/>
      </w:pPr>
      <w:r>
        <w:separator/>
      </w:r>
    </w:p>
  </w:endnote>
  <w:endnote w:type="continuationSeparator" w:id="0">
    <w:p w14:paraId="7C389F74" w14:textId="77777777" w:rsidR="009B0BB8" w:rsidRDefault="009B0BB8" w:rsidP="00D8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7B936" w14:textId="77777777" w:rsidR="009B0BB8" w:rsidRDefault="009B0BB8" w:rsidP="00D85663">
      <w:pPr>
        <w:spacing w:after="0" w:line="240" w:lineRule="auto"/>
      </w:pPr>
      <w:r>
        <w:separator/>
      </w:r>
    </w:p>
  </w:footnote>
  <w:footnote w:type="continuationSeparator" w:id="0">
    <w:p w14:paraId="77C02B47" w14:textId="77777777" w:rsidR="009B0BB8" w:rsidRDefault="009B0BB8" w:rsidP="00D85663">
      <w:pPr>
        <w:spacing w:after="0" w:line="240" w:lineRule="auto"/>
      </w:pPr>
      <w:r>
        <w:continuationSeparator/>
      </w:r>
    </w:p>
  </w:footnote>
  <w:footnote w:id="1">
    <w:p w14:paraId="334007F2" w14:textId="77777777" w:rsidR="00B83763" w:rsidRPr="00617C7D" w:rsidRDefault="00B83763" w:rsidP="00D85663">
      <w:pPr>
        <w:shd w:val="clear" w:color="auto" w:fill="FFFFFF"/>
        <w:rPr>
          <w:rFonts w:ascii="Times New Roman" w:eastAsia="Times New Roman" w:hAnsi="Times New Roman" w:cs="Times New Roman"/>
          <w:color w:val="494A4C"/>
          <w:sz w:val="20"/>
          <w:szCs w:val="20"/>
          <w:lang w:val="en-US"/>
        </w:rPr>
      </w:pPr>
      <w:r w:rsidRPr="00617C7D">
        <w:rPr>
          <w:rFonts w:ascii="Times New Roman" w:hAnsi="Times New Roman" w:cs="Times New Roman"/>
          <w:color w:val="000000" w:themeColor="text1"/>
          <w:sz w:val="20"/>
          <w:szCs w:val="20"/>
        </w:rPr>
        <w:t>*</w:t>
      </w:r>
      <w:r w:rsidRPr="00617C7D">
        <w:rPr>
          <w:rStyle w:val="DipnotBavurusu"/>
          <w:rFonts w:ascii="Times New Roman" w:hAnsi="Times New Roman" w:cs="Times New Roman"/>
          <w:color w:val="FFFFFF" w:themeColor="background1"/>
          <w:sz w:val="20"/>
          <w:szCs w:val="20"/>
        </w:rPr>
        <w:footnoteRef/>
      </w:r>
      <w:r w:rsidRPr="00617C7D">
        <w:rPr>
          <w:rFonts w:ascii="Times New Roman" w:hAnsi="Times New Roman" w:cs="Times New Roman"/>
          <w:color w:val="FFFFFF" w:themeColor="background1"/>
          <w:sz w:val="20"/>
          <w:szCs w:val="20"/>
        </w:rPr>
        <w:t xml:space="preserve"> </w:t>
      </w:r>
      <w:r w:rsidRPr="00617C7D">
        <w:rPr>
          <w:rFonts w:ascii="Times New Roman" w:hAnsi="Times New Roman" w:cs="Times New Roman"/>
          <w:color w:val="000000" w:themeColor="text1"/>
          <w:sz w:val="20"/>
          <w:szCs w:val="20"/>
        </w:rPr>
        <w:t xml:space="preserve">Başkent Üniversitesi, Finans ve Bankacılık Bölümü Öğretim Üyesi, </w:t>
      </w:r>
      <w:r w:rsidRPr="00617C7D">
        <w:rPr>
          <w:rFonts w:ascii="Times New Roman" w:eastAsia="Times New Roman" w:hAnsi="Times New Roman" w:cs="Times New Roman"/>
          <w:color w:val="494A4C"/>
          <w:sz w:val="20"/>
          <w:szCs w:val="20"/>
          <w:lang w:val="en-US"/>
        </w:rPr>
        <w:t>https://orcid.org/0000-0001-9974-2351</w:t>
      </w:r>
    </w:p>
    <w:p w14:paraId="3A7D9DAA" w14:textId="77777777" w:rsidR="00B83763" w:rsidRPr="00431665" w:rsidRDefault="00B83763" w:rsidP="00D85663">
      <w:pPr>
        <w:pStyle w:val="DipnotMetni"/>
        <w:jc w:val="both"/>
        <w:rPr>
          <w:rFonts w:ascii="Times New Roman" w:hAnsi="Times New Roman" w:cs="Times New Roman"/>
          <w:color w:val="000000" w:themeColor="text1"/>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B071A"/>
    <w:multiLevelType w:val="multilevel"/>
    <w:tmpl w:val="99CEE0FC"/>
    <w:lvl w:ilvl="0">
      <w:start w:val="1"/>
      <w:numFmt w:val="decimal"/>
      <w:lvlText w:val="%1."/>
      <w:lvlJc w:val="left"/>
      <w:pPr>
        <w:ind w:left="927"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495" w:hanging="1800"/>
      </w:pPr>
      <w:rPr>
        <w:rFonts w:hint="default"/>
      </w:rPr>
    </w:lvl>
  </w:abstractNum>
  <w:abstractNum w:abstractNumId="1" w15:restartNumberingAfterBreak="0">
    <w:nsid w:val="53FD6A88"/>
    <w:multiLevelType w:val="multilevel"/>
    <w:tmpl w:val="77A4502C"/>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61401C39"/>
    <w:multiLevelType w:val="multilevel"/>
    <w:tmpl w:val="EF88D95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15:restartNumberingAfterBreak="0">
    <w:nsid w:val="7F344F32"/>
    <w:multiLevelType w:val="hybridMultilevel"/>
    <w:tmpl w:val="5EB84F8C"/>
    <w:lvl w:ilvl="0" w:tplc="30360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D430F1"/>
    <w:multiLevelType w:val="hybridMultilevel"/>
    <w:tmpl w:val="FE628EFA"/>
    <w:lvl w:ilvl="0" w:tplc="946453BE">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zSxMLAwsTAxNzE2NjVV0lEKTi0uzszPAykwrAUAMKT8nCwAAAA="/>
  </w:docVars>
  <w:rsids>
    <w:rsidRoot w:val="00D85663"/>
    <w:rsid w:val="000009B4"/>
    <w:rsid w:val="000011E4"/>
    <w:rsid w:val="000014FA"/>
    <w:rsid w:val="000027EF"/>
    <w:rsid w:val="00003163"/>
    <w:rsid w:val="00005713"/>
    <w:rsid w:val="00006403"/>
    <w:rsid w:val="00006ED6"/>
    <w:rsid w:val="00011464"/>
    <w:rsid w:val="00011BF3"/>
    <w:rsid w:val="00015742"/>
    <w:rsid w:val="00020282"/>
    <w:rsid w:val="000209C6"/>
    <w:rsid w:val="00022CA7"/>
    <w:rsid w:val="0002318F"/>
    <w:rsid w:val="00023FA1"/>
    <w:rsid w:val="0002423F"/>
    <w:rsid w:val="000262D8"/>
    <w:rsid w:val="00026F97"/>
    <w:rsid w:val="00027A39"/>
    <w:rsid w:val="0003189B"/>
    <w:rsid w:val="00032072"/>
    <w:rsid w:val="000333E5"/>
    <w:rsid w:val="00033416"/>
    <w:rsid w:val="00033593"/>
    <w:rsid w:val="000336B0"/>
    <w:rsid w:val="0003425F"/>
    <w:rsid w:val="00035B03"/>
    <w:rsid w:val="000375AD"/>
    <w:rsid w:val="00042F8B"/>
    <w:rsid w:val="0004392A"/>
    <w:rsid w:val="00044DF8"/>
    <w:rsid w:val="00044E51"/>
    <w:rsid w:val="00045BAA"/>
    <w:rsid w:val="00045E61"/>
    <w:rsid w:val="000500AA"/>
    <w:rsid w:val="000509F9"/>
    <w:rsid w:val="00050FB7"/>
    <w:rsid w:val="000516D7"/>
    <w:rsid w:val="00052E0C"/>
    <w:rsid w:val="00053444"/>
    <w:rsid w:val="0005376D"/>
    <w:rsid w:val="000538FE"/>
    <w:rsid w:val="00055A1D"/>
    <w:rsid w:val="00057226"/>
    <w:rsid w:val="0006250C"/>
    <w:rsid w:val="00064475"/>
    <w:rsid w:val="00064D13"/>
    <w:rsid w:val="00065BE8"/>
    <w:rsid w:val="00065DC1"/>
    <w:rsid w:val="000667C5"/>
    <w:rsid w:val="000670DB"/>
    <w:rsid w:val="000708E5"/>
    <w:rsid w:val="00073837"/>
    <w:rsid w:val="0007431D"/>
    <w:rsid w:val="000767AF"/>
    <w:rsid w:val="00076B4C"/>
    <w:rsid w:val="000804E5"/>
    <w:rsid w:val="000824B2"/>
    <w:rsid w:val="0008525B"/>
    <w:rsid w:val="000853F5"/>
    <w:rsid w:val="000860E7"/>
    <w:rsid w:val="00086D8F"/>
    <w:rsid w:val="00090A4F"/>
    <w:rsid w:val="0009297E"/>
    <w:rsid w:val="00093F1F"/>
    <w:rsid w:val="00096448"/>
    <w:rsid w:val="00097031"/>
    <w:rsid w:val="000A010E"/>
    <w:rsid w:val="000A2058"/>
    <w:rsid w:val="000A2630"/>
    <w:rsid w:val="000A3349"/>
    <w:rsid w:val="000A4077"/>
    <w:rsid w:val="000A6235"/>
    <w:rsid w:val="000A704E"/>
    <w:rsid w:val="000B025B"/>
    <w:rsid w:val="000B099A"/>
    <w:rsid w:val="000B386D"/>
    <w:rsid w:val="000B41C6"/>
    <w:rsid w:val="000B4BD9"/>
    <w:rsid w:val="000B50B5"/>
    <w:rsid w:val="000B544C"/>
    <w:rsid w:val="000B713C"/>
    <w:rsid w:val="000C0965"/>
    <w:rsid w:val="000C0E0F"/>
    <w:rsid w:val="000C1493"/>
    <w:rsid w:val="000C1928"/>
    <w:rsid w:val="000C1EB0"/>
    <w:rsid w:val="000C3C08"/>
    <w:rsid w:val="000C41EC"/>
    <w:rsid w:val="000C49D1"/>
    <w:rsid w:val="000C719E"/>
    <w:rsid w:val="000C75E8"/>
    <w:rsid w:val="000D0BC4"/>
    <w:rsid w:val="000D1FE7"/>
    <w:rsid w:val="000D2C60"/>
    <w:rsid w:val="000D5BDC"/>
    <w:rsid w:val="000D5FCD"/>
    <w:rsid w:val="000D6EB4"/>
    <w:rsid w:val="000E093B"/>
    <w:rsid w:val="000E1060"/>
    <w:rsid w:val="000E77CA"/>
    <w:rsid w:val="000F18D1"/>
    <w:rsid w:val="000F1E49"/>
    <w:rsid w:val="000F3DA0"/>
    <w:rsid w:val="00100C5E"/>
    <w:rsid w:val="00101523"/>
    <w:rsid w:val="001033CE"/>
    <w:rsid w:val="00103F0C"/>
    <w:rsid w:val="001100B4"/>
    <w:rsid w:val="0011161C"/>
    <w:rsid w:val="0011403A"/>
    <w:rsid w:val="001140BC"/>
    <w:rsid w:val="00114246"/>
    <w:rsid w:val="00120B3D"/>
    <w:rsid w:val="00120D31"/>
    <w:rsid w:val="00121A20"/>
    <w:rsid w:val="001232B1"/>
    <w:rsid w:val="00123BA4"/>
    <w:rsid w:val="00123F49"/>
    <w:rsid w:val="00127385"/>
    <w:rsid w:val="0013039F"/>
    <w:rsid w:val="001303AF"/>
    <w:rsid w:val="00131A38"/>
    <w:rsid w:val="0013310A"/>
    <w:rsid w:val="00133CAC"/>
    <w:rsid w:val="00135ABC"/>
    <w:rsid w:val="001372BF"/>
    <w:rsid w:val="0014052B"/>
    <w:rsid w:val="00140818"/>
    <w:rsid w:val="00140AEB"/>
    <w:rsid w:val="001414D6"/>
    <w:rsid w:val="0014172C"/>
    <w:rsid w:val="0014293D"/>
    <w:rsid w:val="001432F0"/>
    <w:rsid w:val="001433AD"/>
    <w:rsid w:val="00143542"/>
    <w:rsid w:val="001457E7"/>
    <w:rsid w:val="00146706"/>
    <w:rsid w:val="00147201"/>
    <w:rsid w:val="0014742E"/>
    <w:rsid w:val="00151069"/>
    <w:rsid w:val="00151CDC"/>
    <w:rsid w:val="001526D4"/>
    <w:rsid w:val="00152A44"/>
    <w:rsid w:val="0015472A"/>
    <w:rsid w:val="00154B63"/>
    <w:rsid w:val="001577FA"/>
    <w:rsid w:val="001579C3"/>
    <w:rsid w:val="00162886"/>
    <w:rsid w:val="00162E28"/>
    <w:rsid w:val="00163EFA"/>
    <w:rsid w:val="00165F44"/>
    <w:rsid w:val="00166329"/>
    <w:rsid w:val="0017053C"/>
    <w:rsid w:val="00171B2E"/>
    <w:rsid w:val="00174218"/>
    <w:rsid w:val="00175AA9"/>
    <w:rsid w:val="00175AD4"/>
    <w:rsid w:val="00175B72"/>
    <w:rsid w:val="0017657F"/>
    <w:rsid w:val="00176EE7"/>
    <w:rsid w:val="001778A1"/>
    <w:rsid w:val="00177D59"/>
    <w:rsid w:val="001812DA"/>
    <w:rsid w:val="00181614"/>
    <w:rsid w:val="00183A3D"/>
    <w:rsid w:val="00183B36"/>
    <w:rsid w:val="00183F52"/>
    <w:rsid w:val="00185A7A"/>
    <w:rsid w:val="0018695B"/>
    <w:rsid w:val="00187C84"/>
    <w:rsid w:val="00190832"/>
    <w:rsid w:val="00190C7A"/>
    <w:rsid w:val="00192790"/>
    <w:rsid w:val="001927E1"/>
    <w:rsid w:val="001935DE"/>
    <w:rsid w:val="00194A76"/>
    <w:rsid w:val="00197D9E"/>
    <w:rsid w:val="001A003A"/>
    <w:rsid w:val="001A0619"/>
    <w:rsid w:val="001A0B51"/>
    <w:rsid w:val="001A1A81"/>
    <w:rsid w:val="001A26F3"/>
    <w:rsid w:val="001A352E"/>
    <w:rsid w:val="001A5687"/>
    <w:rsid w:val="001A6620"/>
    <w:rsid w:val="001A6AD6"/>
    <w:rsid w:val="001A6C2E"/>
    <w:rsid w:val="001A6D05"/>
    <w:rsid w:val="001A7ECF"/>
    <w:rsid w:val="001B1D89"/>
    <w:rsid w:val="001B21AE"/>
    <w:rsid w:val="001B24CA"/>
    <w:rsid w:val="001B260A"/>
    <w:rsid w:val="001B2EB4"/>
    <w:rsid w:val="001B3703"/>
    <w:rsid w:val="001B3E56"/>
    <w:rsid w:val="001B589B"/>
    <w:rsid w:val="001B5909"/>
    <w:rsid w:val="001B6319"/>
    <w:rsid w:val="001B6430"/>
    <w:rsid w:val="001C07E2"/>
    <w:rsid w:val="001C288F"/>
    <w:rsid w:val="001C2D05"/>
    <w:rsid w:val="001C34FB"/>
    <w:rsid w:val="001C3539"/>
    <w:rsid w:val="001C4727"/>
    <w:rsid w:val="001C5D1F"/>
    <w:rsid w:val="001C66C8"/>
    <w:rsid w:val="001C6DD1"/>
    <w:rsid w:val="001D06B8"/>
    <w:rsid w:val="001D0E57"/>
    <w:rsid w:val="001D2778"/>
    <w:rsid w:val="001D52EB"/>
    <w:rsid w:val="001D5488"/>
    <w:rsid w:val="001D5589"/>
    <w:rsid w:val="001E0035"/>
    <w:rsid w:val="001E0F5B"/>
    <w:rsid w:val="001E2CA8"/>
    <w:rsid w:val="001E4730"/>
    <w:rsid w:val="001E4BE4"/>
    <w:rsid w:val="001E50F9"/>
    <w:rsid w:val="001E5A0A"/>
    <w:rsid w:val="001E6054"/>
    <w:rsid w:val="001E63A2"/>
    <w:rsid w:val="001E641F"/>
    <w:rsid w:val="001E69F2"/>
    <w:rsid w:val="001F0294"/>
    <w:rsid w:val="001F04C7"/>
    <w:rsid w:val="001F0ABA"/>
    <w:rsid w:val="001F19C4"/>
    <w:rsid w:val="001F3B9F"/>
    <w:rsid w:val="001F4AEA"/>
    <w:rsid w:val="001F5327"/>
    <w:rsid w:val="001F5D75"/>
    <w:rsid w:val="001F6288"/>
    <w:rsid w:val="001F6833"/>
    <w:rsid w:val="001F7DC2"/>
    <w:rsid w:val="002000F3"/>
    <w:rsid w:val="00200418"/>
    <w:rsid w:val="002004DE"/>
    <w:rsid w:val="002010BE"/>
    <w:rsid w:val="00201863"/>
    <w:rsid w:val="00201AC1"/>
    <w:rsid w:val="002031FD"/>
    <w:rsid w:val="00205106"/>
    <w:rsid w:val="0020559D"/>
    <w:rsid w:val="0020775E"/>
    <w:rsid w:val="0021099D"/>
    <w:rsid w:val="00210B44"/>
    <w:rsid w:val="00211336"/>
    <w:rsid w:val="002131BE"/>
    <w:rsid w:val="0021340A"/>
    <w:rsid w:val="00213D76"/>
    <w:rsid w:val="00214BD7"/>
    <w:rsid w:val="00215608"/>
    <w:rsid w:val="002157E8"/>
    <w:rsid w:val="0021730C"/>
    <w:rsid w:val="00220B73"/>
    <w:rsid w:val="00222DEA"/>
    <w:rsid w:val="0022323C"/>
    <w:rsid w:val="00226DAD"/>
    <w:rsid w:val="00230045"/>
    <w:rsid w:val="0023290B"/>
    <w:rsid w:val="002343EA"/>
    <w:rsid w:val="0023474A"/>
    <w:rsid w:val="00236680"/>
    <w:rsid w:val="00237605"/>
    <w:rsid w:val="0024031E"/>
    <w:rsid w:val="0024123C"/>
    <w:rsid w:val="002421CA"/>
    <w:rsid w:val="002424CC"/>
    <w:rsid w:val="002433D5"/>
    <w:rsid w:val="0024356B"/>
    <w:rsid w:val="0024510C"/>
    <w:rsid w:val="002455E8"/>
    <w:rsid w:val="00245E6A"/>
    <w:rsid w:val="00246194"/>
    <w:rsid w:val="002462B1"/>
    <w:rsid w:val="0024646E"/>
    <w:rsid w:val="002467E8"/>
    <w:rsid w:val="002472F7"/>
    <w:rsid w:val="002514C7"/>
    <w:rsid w:val="00251D9F"/>
    <w:rsid w:val="00252AA5"/>
    <w:rsid w:val="002538F6"/>
    <w:rsid w:val="002544F6"/>
    <w:rsid w:val="00254977"/>
    <w:rsid w:val="00255C8A"/>
    <w:rsid w:val="00257243"/>
    <w:rsid w:val="002574C2"/>
    <w:rsid w:val="00260A38"/>
    <w:rsid w:val="00260B01"/>
    <w:rsid w:val="00260FB2"/>
    <w:rsid w:val="002621C8"/>
    <w:rsid w:val="00262ACD"/>
    <w:rsid w:val="002641AD"/>
    <w:rsid w:val="002643CE"/>
    <w:rsid w:val="002657BC"/>
    <w:rsid w:val="002661CF"/>
    <w:rsid w:val="002661ED"/>
    <w:rsid w:val="002666B1"/>
    <w:rsid w:val="00266D26"/>
    <w:rsid w:val="00266E15"/>
    <w:rsid w:val="00267FEC"/>
    <w:rsid w:val="002700FF"/>
    <w:rsid w:val="00271BFA"/>
    <w:rsid w:val="00272EC1"/>
    <w:rsid w:val="00273075"/>
    <w:rsid w:val="00274AE8"/>
    <w:rsid w:val="00274CD3"/>
    <w:rsid w:val="002767B1"/>
    <w:rsid w:val="00276C9A"/>
    <w:rsid w:val="00277E6B"/>
    <w:rsid w:val="00280430"/>
    <w:rsid w:val="00280A8E"/>
    <w:rsid w:val="00282642"/>
    <w:rsid w:val="00282A03"/>
    <w:rsid w:val="00285DB7"/>
    <w:rsid w:val="00285E4E"/>
    <w:rsid w:val="00286B5D"/>
    <w:rsid w:val="002904D7"/>
    <w:rsid w:val="00293401"/>
    <w:rsid w:val="002939EA"/>
    <w:rsid w:val="00294AFA"/>
    <w:rsid w:val="00296B44"/>
    <w:rsid w:val="00297EE7"/>
    <w:rsid w:val="002A0079"/>
    <w:rsid w:val="002A140D"/>
    <w:rsid w:val="002A2911"/>
    <w:rsid w:val="002A34BB"/>
    <w:rsid w:val="002A420F"/>
    <w:rsid w:val="002A5CB2"/>
    <w:rsid w:val="002B0BFF"/>
    <w:rsid w:val="002B0CF7"/>
    <w:rsid w:val="002B129E"/>
    <w:rsid w:val="002B1811"/>
    <w:rsid w:val="002B24B9"/>
    <w:rsid w:val="002B5A1F"/>
    <w:rsid w:val="002C07AA"/>
    <w:rsid w:val="002C3B66"/>
    <w:rsid w:val="002C3D8D"/>
    <w:rsid w:val="002C4063"/>
    <w:rsid w:val="002C4300"/>
    <w:rsid w:val="002C556F"/>
    <w:rsid w:val="002C59BE"/>
    <w:rsid w:val="002C5EB9"/>
    <w:rsid w:val="002D1827"/>
    <w:rsid w:val="002D26D5"/>
    <w:rsid w:val="002D3664"/>
    <w:rsid w:val="002D4DA6"/>
    <w:rsid w:val="002D6057"/>
    <w:rsid w:val="002E02B4"/>
    <w:rsid w:val="002E1416"/>
    <w:rsid w:val="002E6AEE"/>
    <w:rsid w:val="002E7397"/>
    <w:rsid w:val="002F31B0"/>
    <w:rsid w:val="002F5BAB"/>
    <w:rsid w:val="0030046C"/>
    <w:rsid w:val="00301A7B"/>
    <w:rsid w:val="00301DF3"/>
    <w:rsid w:val="00303FA1"/>
    <w:rsid w:val="00304666"/>
    <w:rsid w:val="003074DA"/>
    <w:rsid w:val="0030797A"/>
    <w:rsid w:val="0031096A"/>
    <w:rsid w:val="003114BB"/>
    <w:rsid w:val="00311E46"/>
    <w:rsid w:val="00315FEF"/>
    <w:rsid w:val="00316119"/>
    <w:rsid w:val="00317EAA"/>
    <w:rsid w:val="00323727"/>
    <w:rsid w:val="00323A31"/>
    <w:rsid w:val="003245E5"/>
    <w:rsid w:val="00324D2E"/>
    <w:rsid w:val="0032530D"/>
    <w:rsid w:val="0032782B"/>
    <w:rsid w:val="0033140E"/>
    <w:rsid w:val="00332F84"/>
    <w:rsid w:val="0033412F"/>
    <w:rsid w:val="003342C8"/>
    <w:rsid w:val="00335443"/>
    <w:rsid w:val="003359E2"/>
    <w:rsid w:val="00336E7A"/>
    <w:rsid w:val="003370A9"/>
    <w:rsid w:val="003371DF"/>
    <w:rsid w:val="00337361"/>
    <w:rsid w:val="00337B19"/>
    <w:rsid w:val="003420A3"/>
    <w:rsid w:val="00342C19"/>
    <w:rsid w:val="00345CC2"/>
    <w:rsid w:val="00346800"/>
    <w:rsid w:val="00346C91"/>
    <w:rsid w:val="0034788A"/>
    <w:rsid w:val="0035015A"/>
    <w:rsid w:val="003512A9"/>
    <w:rsid w:val="00352D95"/>
    <w:rsid w:val="00353729"/>
    <w:rsid w:val="00353E65"/>
    <w:rsid w:val="0035414B"/>
    <w:rsid w:val="00354431"/>
    <w:rsid w:val="00354D75"/>
    <w:rsid w:val="003551E3"/>
    <w:rsid w:val="00355602"/>
    <w:rsid w:val="003579E5"/>
    <w:rsid w:val="003600A9"/>
    <w:rsid w:val="003636FE"/>
    <w:rsid w:val="00364101"/>
    <w:rsid w:val="003655B3"/>
    <w:rsid w:val="00365CA2"/>
    <w:rsid w:val="003663D4"/>
    <w:rsid w:val="00367072"/>
    <w:rsid w:val="003672DA"/>
    <w:rsid w:val="00370175"/>
    <w:rsid w:val="003702F0"/>
    <w:rsid w:val="00370D0B"/>
    <w:rsid w:val="00370FCA"/>
    <w:rsid w:val="003716EB"/>
    <w:rsid w:val="00372446"/>
    <w:rsid w:val="00372BAB"/>
    <w:rsid w:val="00372C7F"/>
    <w:rsid w:val="0037385F"/>
    <w:rsid w:val="00373C56"/>
    <w:rsid w:val="00377C08"/>
    <w:rsid w:val="00377C15"/>
    <w:rsid w:val="00380D1F"/>
    <w:rsid w:val="00380E37"/>
    <w:rsid w:val="00382232"/>
    <w:rsid w:val="00382D7C"/>
    <w:rsid w:val="00384B09"/>
    <w:rsid w:val="003951A0"/>
    <w:rsid w:val="00395708"/>
    <w:rsid w:val="00395EAB"/>
    <w:rsid w:val="00396743"/>
    <w:rsid w:val="00397239"/>
    <w:rsid w:val="003A0C9C"/>
    <w:rsid w:val="003A0D2E"/>
    <w:rsid w:val="003A2F80"/>
    <w:rsid w:val="003A2FAF"/>
    <w:rsid w:val="003A37A5"/>
    <w:rsid w:val="003A7BF6"/>
    <w:rsid w:val="003A7FA1"/>
    <w:rsid w:val="003A7FF0"/>
    <w:rsid w:val="003B1DAC"/>
    <w:rsid w:val="003B2C12"/>
    <w:rsid w:val="003B4AC5"/>
    <w:rsid w:val="003B5665"/>
    <w:rsid w:val="003B635D"/>
    <w:rsid w:val="003C0CE5"/>
    <w:rsid w:val="003C1938"/>
    <w:rsid w:val="003C24D4"/>
    <w:rsid w:val="003C34F9"/>
    <w:rsid w:val="003C4FDB"/>
    <w:rsid w:val="003C62E4"/>
    <w:rsid w:val="003D07D4"/>
    <w:rsid w:val="003D1C7F"/>
    <w:rsid w:val="003D1E39"/>
    <w:rsid w:val="003D1E6A"/>
    <w:rsid w:val="003D3B1C"/>
    <w:rsid w:val="003D4D01"/>
    <w:rsid w:val="003D69D6"/>
    <w:rsid w:val="003D7A03"/>
    <w:rsid w:val="003E0E92"/>
    <w:rsid w:val="003E1331"/>
    <w:rsid w:val="003E1D6E"/>
    <w:rsid w:val="003E2216"/>
    <w:rsid w:val="003E2BDE"/>
    <w:rsid w:val="003E332A"/>
    <w:rsid w:val="003E40D7"/>
    <w:rsid w:val="003E66F6"/>
    <w:rsid w:val="003E682F"/>
    <w:rsid w:val="003E6A8F"/>
    <w:rsid w:val="003E7A9E"/>
    <w:rsid w:val="003F0850"/>
    <w:rsid w:val="003F0D5A"/>
    <w:rsid w:val="003F0DB7"/>
    <w:rsid w:val="003F177C"/>
    <w:rsid w:val="003F221C"/>
    <w:rsid w:val="003F2D4C"/>
    <w:rsid w:val="003F372C"/>
    <w:rsid w:val="003F40B1"/>
    <w:rsid w:val="003F4D74"/>
    <w:rsid w:val="003F552D"/>
    <w:rsid w:val="003F566A"/>
    <w:rsid w:val="003F5DD7"/>
    <w:rsid w:val="003F6B7C"/>
    <w:rsid w:val="003F7E79"/>
    <w:rsid w:val="00400901"/>
    <w:rsid w:val="00400FC9"/>
    <w:rsid w:val="00403026"/>
    <w:rsid w:val="004058B8"/>
    <w:rsid w:val="00410B15"/>
    <w:rsid w:val="00412061"/>
    <w:rsid w:val="00413217"/>
    <w:rsid w:val="004136D1"/>
    <w:rsid w:val="00415689"/>
    <w:rsid w:val="00415F1D"/>
    <w:rsid w:val="00416501"/>
    <w:rsid w:val="00416F9F"/>
    <w:rsid w:val="00417AE7"/>
    <w:rsid w:val="00417E62"/>
    <w:rsid w:val="00420FD1"/>
    <w:rsid w:val="00422816"/>
    <w:rsid w:val="00423590"/>
    <w:rsid w:val="00423BED"/>
    <w:rsid w:val="004244D9"/>
    <w:rsid w:val="0042461B"/>
    <w:rsid w:val="00425DC1"/>
    <w:rsid w:val="004263C4"/>
    <w:rsid w:val="0042645E"/>
    <w:rsid w:val="00426AC5"/>
    <w:rsid w:val="004309D4"/>
    <w:rsid w:val="00430B72"/>
    <w:rsid w:val="00430F0E"/>
    <w:rsid w:val="00432296"/>
    <w:rsid w:val="004324A3"/>
    <w:rsid w:val="00435813"/>
    <w:rsid w:val="00436782"/>
    <w:rsid w:val="0044039E"/>
    <w:rsid w:val="004417DB"/>
    <w:rsid w:val="00443DF9"/>
    <w:rsid w:val="00446FA0"/>
    <w:rsid w:val="00447BBB"/>
    <w:rsid w:val="0045073A"/>
    <w:rsid w:val="0045353C"/>
    <w:rsid w:val="00453C39"/>
    <w:rsid w:val="00455DA9"/>
    <w:rsid w:val="004567B9"/>
    <w:rsid w:val="0046408E"/>
    <w:rsid w:val="00464BFF"/>
    <w:rsid w:val="004664C6"/>
    <w:rsid w:val="0046662D"/>
    <w:rsid w:val="00466EC9"/>
    <w:rsid w:val="00472022"/>
    <w:rsid w:val="0047266C"/>
    <w:rsid w:val="00472D8C"/>
    <w:rsid w:val="00476414"/>
    <w:rsid w:val="00480D1C"/>
    <w:rsid w:val="00480EDB"/>
    <w:rsid w:val="00481133"/>
    <w:rsid w:val="00481CBA"/>
    <w:rsid w:val="0048257F"/>
    <w:rsid w:val="004827ED"/>
    <w:rsid w:val="00483832"/>
    <w:rsid w:val="00483958"/>
    <w:rsid w:val="00483CA2"/>
    <w:rsid w:val="00487D62"/>
    <w:rsid w:val="00490254"/>
    <w:rsid w:val="004903D8"/>
    <w:rsid w:val="004910E1"/>
    <w:rsid w:val="0049128C"/>
    <w:rsid w:val="00491BEE"/>
    <w:rsid w:val="00494266"/>
    <w:rsid w:val="00495A3F"/>
    <w:rsid w:val="00496279"/>
    <w:rsid w:val="004973F0"/>
    <w:rsid w:val="004A0B8B"/>
    <w:rsid w:val="004A1560"/>
    <w:rsid w:val="004A21A9"/>
    <w:rsid w:val="004A2B3A"/>
    <w:rsid w:val="004A2B70"/>
    <w:rsid w:val="004A2F08"/>
    <w:rsid w:val="004A3375"/>
    <w:rsid w:val="004A35E1"/>
    <w:rsid w:val="004A4373"/>
    <w:rsid w:val="004A61FE"/>
    <w:rsid w:val="004A6AC6"/>
    <w:rsid w:val="004B3328"/>
    <w:rsid w:val="004B3363"/>
    <w:rsid w:val="004B4045"/>
    <w:rsid w:val="004B507E"/>
    <w:rsid w:val="004B5BC5"/>
    <w:rsid w:val="004C0D4D"/>
    <w:rsid w:val="004C1143"/>
    <w:rsid w:val="004C2B08"/>
    <w:rsid w:val="004C34C7"/>
    <w:rsid w:val="004C46BC"/>
    <w:rsid w:val="004C49F5"/>
    <w:rsid w:val="004C5C94"/>
    <w:rsid w:val="004C63C7"/>
    <w:rsid w:val="004D0210"/>
    <w:rsid w:val="004D2C6D"/>
    <w:rsid w:val="004D4481"/>
    <w:rsid w:val="004D5CF6"/>
    <w:rsid w:val="004D5DFE"/>
    <w:rsid w:val="004D6DFC"/>
    <w:rsid w:val="004D77BA"/>
    <w:rsid w:val="004E0B84"/>
    <w:rsid w:val="004E1906"/>
    <w:rsid w:val="004E2975"/>
    <w:rsid w:val="004E2CA5"/>
    <w:rsid w:val="004E4172"/>
    <w:rsid w:val="004E4365"/>
    <w:rsid w:val="004E4AB0"/>
    <w:rsid w:val="004E6FF3"/>
    <w:rsid w:val="004E7964"/>
    <w:rsid w:val="004E7E6F"/>
    <w:rsid w:val="004E7F1C"/>
    <w:rsid w:val="004F0F1C"/>
    <w:rsid w:val="004F1B38"/>
    <w:rsid w:val="004F1F50"/>
    <w:rsid w:val="004F28A3"/>
    <w:rsid w:val="004F28AB"/>
    <w:rsid w:val="004F292D"/>
    <w:rsid w:val="004F2A0F"/>
    <w:rsid w:val="004F327A"/>
    <w:rsid w:val="004F4935"/>
    <w:rsid w:val="004F53A9"/>
    <w:rsid w:val="005026BB"/>
    <w:rsid w:val="00503E5E"/>
    <w:rsid w:val="005046DA"/>
    <w:rsid w:val="0051025F"/>
    <w:rsid w:val="005110D8"/>
    <w:rsid w:val="00511494"/>
    <w:rsid w:val="0051178E"/>
    <w:rsid w:val="005145A3"/>
    <w:rsid w:val="005149D2"/>
    <w:rsid w:val="00514CBF"/>
    <w:rsid w:val="00517059"/>
    <w:rsid w:val="005171B7"/>
    <w:rsid w:val="005173A4"/>
    <w:rsid w:val="005201F4"/>
    <w:rsid w:val="0052065E"/>
    <w:rsid w:val="00521F7F"/>
    <w:rsid w:val="00522029"/>
    <w:rsid w:val="005233E3"/>
    <w:rsid w:val="00524925"/>
    <w:rsid w:val="00524AD5"/>
    <w:rsid w:val="00526197"/>
    <w:rsid w:val="00527CE9"/>
    <w:rsid w:val="00530BC3"/>
    <w:rsid w:val="005338B8"/>
    <w:rsid w:val="00535163"/>
    <w:rsid w:val="00537779"/>
    <w:rsid w:val="0054050A"/>
    <w:rsid w:val="00540B55"/>
    <w:rsid w:val="00540CC5"/>
    <w:rsid w:val="0054192F"/>
    <w:rsid w:val="00541BCF"/>
    <w:rsid w:val="005434C9"/>
    <w:rsid w:val="0054437E"/>
    <w:rsid w:val="00544AC9"/>
    <w:rsid w:val="00544F78"/>
    <w:rsid w:val="00546C6E"/>
    <w:rsid w:val="00547AE3"/>
    <w:rsid w:val="0055123F"/>
    <w:rsid w:val="0055161E"/>
    <w:rsid w:val="00552AD8"/>
    <w:rsid w:val="005531D4"/>
    <w:rsid w:val="00553322"/>
    <w:rsid w:val="00554140"/>
    <w:rsid w:val="005555C2"/>
    <w:rsid w:val="005555E1"/>
    <w:rsid w:val="00555FC4"/>
    <w:rsid w:val="00556C8B"/>
    <w:rsid w:val="00557DD3"/>
    <w:rsid w:val="00561978"/>
    <w:rsid w:val="00561C1A"/>
    <w:rsid w:val="00563716"/>
    <w:rsid w:val="005645ED"/>
    <w:rsid w:val="00566A76"/>
    <w:rsid w:val="00566B84"/>
    <w:rsid w:val="00566D36"/>
    <w:rsid w:val="00567A14"/>
    <w:rsid w:val="00567D50"/>
    <w:rsid w:val="00567E83"/>
    <w:rsid w:val="0057026D"/>
    <w:rsid w:val="00572284"/>
    <w:rsid w:val="005730C8"/>
    <w:rsid w:val="00573581"/>
    <w:rsid w:val="0057424D"/>
    <w:rsid w:val="005742FF"/>
    <w:rsid w:val="005745A8"/>
    <w:rsid w:val="005761FF"/>
    <w:rsid w:val="0057673E"/>
    <w:rsid w:val="00576DBE"/>
    <w:rsid w:val="00577F0F"/>
    <w:rsid w:val="005809CA"/>
    <w:rsid w:val="00582C32"/>
    <w:rsid w:val="00582E1A"/>
    <w:rsid w:val="005841D8"/>
    <w:rsid w:val="0058461C"/>
    <w:rsid w:val="00586937"/>
    <w:rsid w:val="0058751C"/>
    <w:rsid w:val="005876A6"/>
    <w:rsid w:val="00591F9D"/>
    <w:rsid w:val="00594B0B"/>
    <w:rsid w:val="00594B69"/>
    <w:rsid w:val="00594C8F"/>
    <w:rsid w:val="005A120C"/>
    <w:rsid w:val="005A1800"/>
    <w:rsid w:val="005A228F"/>
    <w:rsid w:val="005A7067"/>
    <w:rsid w:val="005A74DA"/>
    <w:rsid w:val="005A7A0F"/>
    <w:rsid w:val="005B01C9"/>
    <w:rsid w:val="005B0485"/>
    <w:rsid w:val="005B0D28"/>
    <w:rsid w:val="005B1FBD"/>
    <w:rsid w:val="005B483A"/>
    <w:rsid w:val="005B5C5B"/>
    <w:rsid w:val="005B74F8"/>
    <w:rsid w:val="005C0457"/>
    <w:rsid w:val="005C147A"/>
    <w:rsid w:val="005C2485"/>
    <w:rsid w:val="005C2CF7"/>
    <w:rsid w:val="005C2D1F"/>
    <w:rsid w:val="005C3625"/>
    <w:rsid w:val="005C63F6"/>
    <w:rsid w:val="005C7418"/>
    <w:rsid w:val="005C7440"/>
    <w:rsid w:val="005D4D40"/>
    <w:rsid w:val="005D53D8"/>
    <w:rsid w:val="005D552E"/>
    <w:rsid w:val="005D57BB"/>
    <w:rsid w:val="005D6063"/>
    <w:rsid w:val="005D632F"/>
    <w:rsid w:val="005D6C76"/>
    <w:rsid w:val="005D72A7"/>
    <w:rsid w:val="005E1A20"/>
    <w:rsid w:val="005E1F86"/>
    <w:rsid w:val="005E2078"/>
    <w:rsid w:val="005E29D4"/>
    <w:rsid w:val="005E2E33"/>
    <w:rsid w:val="005E33A9"/>
    <w:rsid w:val="005E42FF"/>
    <w:rsid w:val="005E44A4"/>
    <w:rsid w:val="005E457F"/>
    <w:rsid w:val="005E4B9C"/>
    <w:rsid w:val="005E4DA2"/>
    <w:rsid w:val="005E550F"/>
    <w:rsid w:val="005E7E95"/>
    <w:rsid w:val="005F0A2B"/>
    <w:rsid w:val="005F4B62"/>
    <w:rsid w:val="005F4F92"/>
    <w:rsid w:val="005F7C82"/>
    <w:rsid w:val="00600B61"/>
    <w:rsid w:val="00600E75"/>
    <w:rsid w:val="00601696"/>
    <w:rsid w:val="00602B5E"/>
    <w:rsid w:val="00602EF5"/>
    <w:rsid w:val="00603E3C"/>
    <w:rsid w:val="006065BE"/>
    <w:rsid w:val="0060697B"/>
    <w:rsid w:val="00606D7A"/>
    <w:rsid w:val="00610285"/>
    <w:rsid w:val="006154E4"/>
    <w:rsid w:val="00615A80"/>
    <w:rsid w:val="00615FE9"/>
    <w:rsid w:val="00616697"/>
    <w:rsid w:val="006166D7"/>
    <w:rsid w:val="00616C4C"/>
    <w:rsid w:val="00616CD7"/>
    <w:rsid w:val="00617C7D"/>
    <w:rsid w:val="00623DB0"/>
    <w:rsid w:val="00624841"/>
    <w:rsid w:val="006251C3"/>
    <w:rsid w:val="00625758"/>
    <w:rsid w:val="0062593E"/>
    <w:rsid w:val="00625C14"/>
    <w:rsid w:val="006261F0"/>
    <w:rsid w:val="0062649E"/>
    <w:rsid w:val="00626B3A"/>
    <w:rsid w:val="006279B1"/>
    <w:rsid w:val="00631ED5"/>
    <w:rsid w:val="006326BA"/>
    <w:rsid w:val="00633620"/>
    <w:rsid w:val="00640437"/>
    <w:rsid w:val="00640BF2"/>
    <w:rsid w:val="006432A1"/>
    <w:rsid w:val="00643A5F"/>
    <w:rsid w:val="00643D88"/>
    <w:rsid w:val="00646498"/>
    <w:rsid w:val="00646858"/>
    <w:rsid w:val="006476CF"/>
    <w:rsid w:val="00650A17"/>
    <w:rsid w:val="00651E1D"/>
    <w:rsid w:val="006531F0"/>
    <w:rsid w:val="00653294"/>
    <w:rsid w:val="006539EB"/>
    <w:rsid w:val="00653C5B"/>
    <w:rsid w:val="0065466A"/>
    <w:rsid w:val="006556FF"/>
    <w:rsid w:val="00660261"/>
    <w:rsid w:val="00660C75"/>
    <w:rsid w:val="006617AE"/>
    <w:rsid w:val="006619E0"/>
    <w:rsid w:val="00661C91"/>
    <w:rsid w:val="006627F2"/>
    <w:rsid w:val="00664E22"/>
    <w:rsid w:val="00667706"/>
    <w:rsid w:val="00667EA4"/>
    <w:rsid w:val="00670879"/>
    <w:rsid w:val="00672CFF"/>
    <w:rsid w:val="006733AF"/>
    <w:rsid w:val="00674699"/>
    <w:rsid w:val="00674BDE"/>
    <w:rsid w:val="00681099"/>
    <w:rsid w:val="006811DB"/>
    <w:rsid w:val="006829EC"/>
    <w:rsid w:val="00683239"/>
    <w:rsid w:val="0068387D"/>
    <w:rsid w:val="00687930"/>
    <w:rsid w:val="0069050C"/>
    <w:rsid w:val="00691984"/>
    <w:rsid w:val="00691D3E"/>
    <w:rsid w:val="00692162"/>
    <w:rsid w:val="006922CF"/>
    <w:rsid w:val="0069464D"/>
    <w:rsid w:val="00694E37"/>
    <w:rsid w:val="00695039"/>
    <w:rsid w:val="006966CA"/>
    <w:rsid w:val="006A122B"/>
    <w:rsid w:val="006A12AC"/>
    <w:rsid w:val="006A2E03"/>
    <w:rsid w:val="006A3BDE"/>
    <w:rsid w:val="006A3C54"/>
    <w:rsid w:val="006A610E"/>
    <w:rsid w:val="006B0BC2"/>
    <w:rsid w:val="006B3151"/>
    <w:rsid w:val="006B3924"/>
    <w:rsid w:val="006B5496"/>
    <w:rsid w:val="006B61AF"/>
    <w:rsid w:val="006C6F4D"/>
    <w:rsid w:val="006C7EFD"/>
    <w:rsid w:val="006D288D"/>
    <w:rsid w:val="006D4B2D"/>
    <w:rsid w:val="006D4F45"/>
    <w:rsid w:val="006D538B"/>
    <w:rsid w:val="006D6052"/>
    <w:rsid w:val="006D6CE9"/>
    <w:rsid w:val="006D7C00"/>
    <w:rsid w:val="006D7C86"/>
    <w:rsid w:val="006E00F3"/>
    <w:rsid w:val="006E0CF9"/>
    <w:rsid w:val="006E16A1"/>
    <w:rsid w:val="006E1EC5"/>
    <w:rsid w:val="006E20F4"/>
    <w:rsid w:val="006E244D"/>
    <w:rsid w:val="006E309E"/>
    <w:rsid w:val="006E4E95"/>
    <w:rsid w:val="006E5E5C"/>
    <w:rsid w:val="006E6912"/>
    <w:rsid w:val="006E7BB9"/>
    <w:rsid w:val="006E7C6A"/>
    <w:rsid w:val="006E7FD8"/>
    <w:rsid w:val="006F2689"/>
    <w:rsid w:val="006F2CB2"/>
    <w:rsid w:val="006F2E12"/>
    <w:rsid w:val="006F32EE"/>
    <w:rsid w:val="006F463D"/>
    <w:rsid w:val="006F4B43"/>
    <w:rsid w:val="006F665A"/>
    <w:rsid w:val="006F6FAE"/>
    <w:rsid w:val="006F741C"/>
    <w:rsid w:val="007004F3"/>
    <w:rsid w:val="00700A3E"/>
    <w:rsid w:val="007016BB"/>
    <w:rsid w:val="00702AEA"/>
    <w:rsid w:val="00703306"/>
    <w:rsid w:val="007033A0"/>
    <w:rsid w:val="00703607"/>
    <w:rsid w:val="00703BC6"/>
    <w:rsid w:val="00704887"/>
    <w:rsid w:val="00705A19"/>
    <w:rsid w:val="00706180"/>
    <w:rsid w:val="0070620E"/>
    <w:rsid w:val="00706FC0"/>
    <w:rsid w:val="00710B13"/>
    <w:rsid w:val="00712045"/>
    <w:rsid w:val="00712233"/>
    <w:rsid w:val="007138FB"/>
    <w:rsid w:val="00714697"/>
    <w:rsid w:val="00715B88"/>
    <w:rsid w:val="007178AC"/>
    <w:rsid w:val="00717EAD"/>
    <w:rsid w:val="0072019B"/>
    <w:rsid w:val="0072022F"/>
    <w:rsid w:val="00720439"/>
    <w:rsid w:val="00720626"/>
    <w:rsid w:val="00720C97"/>
    <w:rsid w:val="00720CB5"/>
    <w:rsid w:val="007210D2"/>
    <w:rsid w:val="007216D3"/>
    <w:rsid w:val="007232E5"/>
    <w:rsid w:val="00723A43"/>
    <w:rsid w:val="00723BB2"/>
    <w:rsid w:val="007254C6"/>
    <w:rsid w:val="007272FE"/>
    <w:rsid w:val="00727943"/>
    <w:rsid w:val="007301CD"/>
    <w:rsid w:val="00730A1E"/>
    <w:rsid w:val="00730C95"/>
    <w:rsid w:val="007318C9"/>
    <w:rsid w:val="00732FCE"/>
    <w:rsid w:val="0073321F"/>
    <w:rsid w:val="007335E2"/>
    <w:rsid w:val="00733614"/>
    <w:rsid w:val="007338A7"/>
    <w:rsid w:val="00733D1D"/>
    <w:rsid w:val="007340DB"/>
    <w:rsid w:val="00734DA3"/>
    <w:rsid w:val="00735CDD"/>
    <w:rsid w:val="00736A5D"/>
    <w:rsid w:val="00737719"/>
    <w:rsid w:val="0074211B"/>
    <w:rsid w:val="00743BC2"/>
    <w:rsid w:val="00743D85"/>
    <w:rsid w:val="0074460F"/>
    <w:rsid w:val="007456FE"/>
    <w:rsid w:val="00746868"/>
    <w:rsid w:val="00747A48"/>
    <w:rsid w:val="00750BFD"/>
    <w:rsid w:val="00751331"/>
    <w:rsid w:val="007516EA"/>
    <w:rsid w:val="00751E78"/>
    <w:rsid w:val="00752B91"/>
    <w:rsid w:val="007531DF"/>
    <w:rsid w:val="007542F9"/>
    <w:rsid w:val="00754B82"/>
    <w:rsid w:val="007578A9"/>
    <w:rsid w:val="00762D4A"/>
    <w:rsid w:val="007639BD"/>
    <w:rsid w:val="00763A4A"/>
    <w:rsid w:val="007662B6"/>
    <w:rsid w:val="007679A2"/>
    <w:rsid w:val="00770110"/>
    <w:rsid w:val="0077089E"/>
    <w:rsid w:val="007712A8"/>
    <w:rsid w:val="0077248A"/>
    <w:rsid w:val="00772530"/>
    <w:rsid w:val="00772F01"/>
    <w:rsid w:val="007741AB"/>
    <w:rsid w:val="00775318"/>
    <w:rsid w:val="00775657"/>
    <w:rsid w:val="00776107"/>
    <w:rsid w:val="00780A23"/>
    <w:rsid w:val="00781996"/>
    <w:rsid w:val="007819AD"/>
    <w:rsid w:val="0078378A"/>
    <w:rsid w:val="00783FEB"/>
    <w:rsid w:val="007851C4"/>
    <w:rsid w:val="00785890"/>
    <w:rsid w:val="00787868"/>
    <w:rsid w:val="00790048"/>
    <w:rsid w:val="0079007D"/>
    <w:rsid w:val="0079173E"/>
    <w:rsid w:val="00791F1B"/>
    <w:rsid w:val="00793655"/>
    <w:rsid w:val="007945B4"/>
    <w:rsid w:val="00794B2D"/>
    <w:rsid w:val="00795512"/>
    <w:rsid w:val="007A1073"/>
    <w:rsid w:val="007A1242"/>
    <w:rsid w:val="007A1510"/>
    <w:rsid w:val="007A26BB"/>
    <w:rsid w:val="007A2711"/>
    <w:rsid w:val="007A2CB8"/>
    <w:rsid w:val="007A42DA"/>
    <w:rsid w:val="007A55AE"/>
    <w:rsid w:val="007A71A8"/>
    <w:rsid w:val="007A79D2"/>
    <w:rsid w:val="007B11BA"/>
    <w:rsid w:val="007B187F"/>
    <w:rsid w:val="007B1E85"/>
    <w:rsid w:val="007B261A"/>
    <w:rsid w:val="007B2BA1"/>
    <w:rsid w:val="007B3A59"/>
    <w:rsid w:val="007B4CD8"/>
    <w:rsid w:val="007B7FB6"/>
    <w:rsid w:val="007C4517"/>
    <w:rsid w:val="007C4F6A"/>
    <w:rsid w:val="007C573D"/>
    <w:rsid w:val="007C5993"/>
    <w:rsid w:val="007C5A71"/>
    <w:rsid w:val="007C5DED"/>
    <w:rsid w:val="007C73FE"/>
    <w:rsid w:val="007D20C6"/>
    <w:rsid w:val="007D25CA"/>
    <w:rsid w:val="007D2738"/>
    <w:rsid w:val="007D3CE0"/>
    <w:rsid w:val="007D5673"/>
    <w:rsid w:val="007D68CE"/>
    <w:rsid w:val="007E0593"/>
    <w:rsid w:val="007E1212"/>
    <w:rsid w:val="007E136A"/>
    <w:rsid w:val="007E2A84"/>
    <w:rsid w:val="007E56EA"/>
    <w:rsid w:val="007E7AB1"/>
    <w:rsid w:val="007F173C"/>
    <w:rsid w:val="007F18E1"/>
    <w:rsid w:val="007F2FD8"/>
    <w:rsid w:val="007F3E9F"/>
    <w:rsid w:val="007F710C"/>
    <w:rsid w:val="008004F3"/>
    <w:rsid w:val="00802150"/>
    <w:rsid w:val="00802F04"/>
    <w:rsid w:val="00803B2B"/>
    <w:rsid w:val="00804730"/>
    <w:rsid w:val="008048C1"/>
    <w:rsid w:val="00804A61"/>
    <w:rsid w:val="00804D3F"/>
    <w:rsid w:val="00807DD8"/>
    <w:rsid w:val="00807E9F"/>
    <w:rsid w:val="00811ACF"/>
    <w:rsid w:val="00813106"/>
    <w:rsid w:val="00813485"/>
    <w:rsid w:val="00813E6C"/>
    <w:rsid w:val="00814AB4"/>
    <w:rsid w:val="00816BE2"/>
    <w:rsid w:val="00817063"/>
    <w:rsid w:val="00820C71"/>
    <w:rsid w:val="0082113A"/>
    <w:rsid w:val="008237D2"/>
    <w:rsid w:val="008242BB"/>
    <w:rsid w:val="00825D9B"/>
    <w:rsid w:val="00825E35"/>
    <w:rsid w:val="00825FAB"/>
    <w:rsid w:val="008260D7"/>
    <w:rsid w:val="0083070F"/>
    <w:rsid w:val="0083171C"/>
    <w:rsid w:val="008328FC"/>
    <w:rsid w:val="00837247"/>
    <w:rsid w:val="00840B2E"/>
    <w:rsid w:val="00845B93"/>
    <w:rsid w:val="008471D1"/>
    <w:rsid w:val="0085248D"/>
    <w:rsid w:val="008527A4"/>
    <w:rsid w:val="008543CC"/>
    <w:rsid w:val="008552A1"/>
    <w:rsid w:val="0085704B"/>
    <w:rsid w:val="0086081F"/>
    <w:rsid w:val="00860EA6"/>
    <w:rsid w:val="00863F76"/>
    <w:rsid w:val="00866556"/>
    <w:rsid w:val="00866862"/>
    <w:rsid w:val="00866E8A"/>
    <w:rsid w:val="008674F3"/>
    <w:rsid w:val="00867FCD"/>
    <w:rsid w:val="0087163F"/>
    <w:rsid w:val="008728AB"/>
    <w:rsid w:val="00873872"/>
    <w:rsid w:val="008740D0"/>
    <w:rsid w:val="00874DC5"/>
    <w:rsid w:val="0087570B"/>
    <w:rsid w:val="00876025"/>
    <w:rsid w:val="00880FD2"/>
    <w:rsid w:val="0088139E"/>
    <w:rsid w:val="00881713"/>
    <w:rsid w:val="00881C58"/>
    <w:rsid w:val="00882414"/>
    <w:rsid w:val="00882AF8"/>
    <w:rsid w:val="00884384"/>
    <w:rsid w:val="008858E3"/>
    <w:rsid w:val="00885C20"/>
    <w:rsid w:val="00886063"/>
    <w:rsid w:val="00886407"/>
    <w:rsid w:val="00887278"/>
    <w:rsid w:val="00890FA1"/>
    <w:rsid w:val="00891110"/>
    <w:rsid w:val="00892172"/>
    <w:rsid w:val="00892287"/>
    <w:rsid w:val="0089344E"/>
    <w:rsid w:val="00893559"/>
    <w:rsid w:val="00893E5B"/>
    <w:rsid w:val="00894E25"/>
    <w:rsid w:val="00897D65"/>
    <w:rsid w:val="008A0879"/>
    <w:rsid w:val="008A0B95"/>
    <w:rsid w:val="008A1215"/>
    <w:rsid w:val="008A243D"/>
    <w:rsid w:val="008A29FB"/>
    <w:rsid w:val="008A3081"/>
    <w:rsid w:val="008A308B"/>
    <w:rsid w:val="008A4166"/>
    <w:rsid w:val="008A6A50"/>
    <w:rsid w:val="008A6D28"/>
    <w:rsid w:val="008A7DF2"/>
    <w:rsid w:val="008B151D"/>
    <w:rsid w:val="008B169F"/>
    <w:rsid w:val="008B22CF"/>
    <w:rsid w:val="008B326A"/>
    <w:rsid w:val="008B3CAA"/>
    <w:rsid w:val="008B4137"/>
    <w:rsid w:val="008B4E11"/>
    <w:rsid w:val="008B7B1C"/>
    <w:rsid w:val="008C03D4"/>
    <w:rsid w:val="008C1909"/>
    <w:rsid w:val="008C2DF6"/>
    <w:rsid w:val="008C5043"/>
    <w:rsid w:val="008C673B"/>
    <w:rsid w:val="008D04D0"/>
    <w:rsid w:val="008D15FD"/>
    <w:rsid w:val="008D25F9"/>
    <w:rsid w:val="008D38D7"/>
    <w:rsid w:val="008D3C4B"/>
    <w:rsid w:val="008D3D6E"/>
    <w:rsid w:val="008D4D18"/>
    <w:rsid w:val="008D54FB"/>
    <w:rsid w:val="008D56A7"/>
    <w:rsid w:val="008E32DA"/>
    <w:rsid w:val="008E385E"/>
    <w:rsid w:val="008E4359"/>
    <w:rsid w:val="008E4F94"/>
    <w:rsid w:val="008E67F1"/>
    <w:rsid w:val="008E6D93"/>
    <w:rsid w:val="008E765F"/>
    <w:rsid w:val="008F097A"/>
    <w:rsid w:val="008F0D6E"/>
    <w:rsid w:val="008F165A"/>
    <w:rsid w:val="008F408D"/>
    <w:rsid w:val="008F4F62"/>
    <w:rsid w:val="008F5117"/>
    <w:rsid w:val="008F5AF8"/>
    <w:rsid w:val="008F6E92"/>
    <w:rsid w:val="009000D5"/>
    <w:rsid w:val="0090084E"/>
    <w:rsid w:val="00901EC2"/>
    <w:rsid w:val="009027CC"/>
    <w:rsid w:val="00902FF7"/>
    <w:rsid w:val="009035A6"/>
    <w:rsid w:val="00904A97"/>
    <w:rsid w:val="0090555A"/>
    <w:rsid w:val="00906BE2"/>
    <w:rsid w:val="00906C21"/>
    <w:rsid w:val="00906DC0"/>
    <w:rsid w:val="009108A8"/>
    <w:rsid w:val="00910902"/>
    <w:rsid w:val="00913C49"/>
    <w:rsid w:val="0091476B"/>
    <w:rsid w:val="00916425"/>
    <w:rsid w:val="00916B0A"/>
    <w:rsid w:val="00916C94"/>
    <w:rsid w:val="00917D44"/>
    <w:rsid w:val="0092382B"/>
    <w:rsid w:val="00924FA7"/>
    <w:rsid w:val="00925C3C"/>
    <w:rsid w:val="0092797B"/>
    <w:rsid w:val="0093114D"/>
    <w:rsid w:val="00931CF4"/>
    <w:rsid w:val="009327B5"/>
    <w:rsid w:val="00932C96"/>
    <w:rsid w:val="009376A8"/>
    <w:rsid w:val="00940F4E"/>
    <w:rsid w:val="009431EF"/>
    <w:rsid w:val="00944C1D"/>
    <w:rsid w:val="0094641D"/>
    <w:rsid w:val="009472AF"/>
    <w:rsid w:val="0094785E"/>
    <w:rsid w:val="00947B35"/>
    <w:rsid w:val="00950EBF"/>
    <w:rsid w:val="00953AFD"/>
    <w:rsid w:val="00955DEA"/>
    <w:rsid w:val="0096180A"/>
    <w:rsid w:val="00962E8F"/>
    <w:rsid w:val="0096371D"/>
    <w:rsid w:val="00963D6F"/>
    <w:rsid w:val="009648E1"/>
    <w:rsid w:val="00965881"/>
    <w:rsid w:val="00965AA2"/>
    <w:rsid w:val="009662B6"/>
    <w:rsid w:val="00966EA0"/>
    <w:rsid w:val="00966EC4"/>
    <w:rsid w:val="00967494"/>
    <w:rsid w:val="00967E51"/>
    <w:rsid w:val="00971BA9"/>
    <w:rsid w:val="00971C6D"/>
    <w:rsid w:val="009727D3"/>
    <w:rsid w:val="00972E09"/>
    <w:rsid w:val="00977D5C"/>
    <w:rsid w:val="00983F8E"/>
    <w:rsid w:val="00987552"/>
    <w:rsid w:val="00987BBA"/>
    <w:rsid w:val="009919CF"/>
    <w:rsid w:val="00991D99"/>
    <w:rsid w:val="009933EB"/>
    <w:rsid w:val="0099349D"/>
    <w:rsid w:val="00994715"/>
    <w:rsid w:val="00996B6F"/>
    <w:rsid w:val="00996C35"/>
    <w:rsid w:val="009A123F"/>
    <w:rsid w:val="009A158B"/>
    <w:rsid w:val="009A3C84"/>
    <w:rsid w:val="009A45ED"/>
    <w:rsid w:val="009A728E"/>
    <w:rsid w:val="009A75E4"/>
    <w:rsid w:val="009B095F"/>
    <w:rsid w:val="009B0BB8"/>
    <w:rsid w:val="009B10CA"/>
    <w:rsid w:val="009B2308"/>
    <w:rsid w:val="009B468A"/>
    <w:rsid w:val="009B4C97"/>
    <w:rsid w:val="009B4D2C"/>
    <w:rsid w:val="009B4D86"/>
    <w:rsid w:val="009B53EF"/>
    <w:rsid w:val="009B5631"/>
    <w:rsid w:val="009B5F28"/>
    <w:rsid w:val="009B6EAD"/>
    <w:rsid w:val="009C081B"/>
    <w:rsid w:val="009C0DD8"/>
    <w:rsid w:val="009C0DEA"/>
    <w:rsid w:val="009C28AA"/>
    <w:rsid w:val="009C36AE"/>
    <w:rsid w:val="009C5A27"/>
    <w:rsid w:val="009C5CC7"/>
    <w:rsid w:val="009C6CED"/>
    <w:rsid w:val="009C6F98"/>
    <w:rsid w:val="009C7E8F"/>
    <w:rsid w:val="009D050D"/>
    <w:rsid w:val="009D2311"/>
    <w:rsid w:val="009D23E2"/>
    <w:rsid w:val="009D3071"/>
    <w:rsid w:val="009D3C74"/>
    <w:rsid w:val="009D5DF1"/>
    <w:rsid w:val="009D6177"/>
    <w:rsid w:val="009E143E"/>
    <w:rsid w:val="009E2152"/>
    <w:rsid w:val="009E2AC1"/>
    <w:rsid w:val="009E3C70"/>
    <w:rsid w:val="009E44E8"/>
    <w:rsid w:val="009E57CB"/>
    <w:rsid w:val="009F2148"/>
    <w:rsid w:val="009F3D43"/>
    <w:rsid w:val="009F460C"/>
    <w:rsid w:val="009F4B0F"/>
    <w:rsid w:val="009F5ECB"/>
    <w:rsid w:val="009F62DE"/>
    <w:rsid w:val="00A010A7"/>
    <w:rsid w:val="00A0278F"/>
    <w:rsid w:val="00A05131"/>
    <w:rsid w:val="00A05D2A"/>
    <w:rsid w:val="00A06D85"/>
    <w:rsid w:val="00A074A1"/>
    <w:rsid w:val="00A108FC"/>
    <w:rsid w:val="00A11F01"/>
    <w:rsid w:val="00A1513C"/>
    <w:rsid w:val="00A158B1"/>
    <w:rsid w:val="00A159C6"/>
    <w:rsid w:val="00A15BAC"/>
    <w:rsid w:val="00A16DC8"/>
    <w:rsid w:val="00A17A53"/>
    <w:rsid w:val="00A207E7"/>
    <w:rsid w:val="00A21222"/>
    <w:rsid w:val="00A21B0D"/>
    <w:rsid w:val="00A23988"/>
    <w:rsid w:val="00A23A2A"/>
    <w:rsid w:val="00A23ED7"/>
    <w:rsid w:val="00A25474"/>
    <w:rsid w:val="00A26A2D"/>
    <w:rsid w:val="00A30580"/>
    <w:rsid w:val="00A30BE2"/>
    <w:rsid w:val="00A3214D"/>
    <w:rsid w:val="00A33F29"/>
    <w:rsid w:val="00A3533F"/>
    <w:rsid w:val="00A353E5"/>
    <w:rsid w:val="00A35A20"/>
    <w:rsid w:val="00A3616C"/>
    <w:rsid w:val="00A3628F"/>
    <w:rsid w:val="00A37C73"/>
    <w:rsid w:val="00A4064D"/>
    <w:rsid w:val="00A40B54"/>
    <w:rsid w:val="00A41461"/>
    <w:rsid w:val="00A43671"/>
    <w:rsid w:val="00A43D7C"/>
    <w:rsid w:val="00A458B3"/>
    <w:rsid w:val="00A45E3E"/>
    <w:rsid w:val="00A47663"/>
    <w:rsid w:val="00A50B9D"/>
    <w:rsid w:val="00A51CF3"/>
    <w:rsid w:val="00A52292"/>
    <w:rsid w:val="00A5257B"/>
    <w:rsid w:val="00A52651"/>
    <w:rsid w:val="00A52D10"/>
    <w:rsid w:val="00A536EE"/>
    <w:rsid w:val="00A53FC1"/>
    <w:rsid w:val="00A54749"/>
    <w:rsid w:val="00A569EE"/>
    <w:rsid w:val="00A571EB"/>
    <w:rsid w:val="00A57DCB"/>
    <w:rsid w:val="00A603A2"/>
    <w:rsid w:val="00A630EC"/>
    <w:rsid w:val="00A636C8"/>
    <w:rsid w:val="00A6511D"/>
    <w:rsid w:val="00A65934"/>
    <w:rsid w:val="00A65CB0"/>
    <w:rsid w:val="00A65E7E"/>
    <w:rsid w:val="00A66754"/>
    <w:rsid w:val="00A667FD"/>
    <w:rsid w:val="00A67766"/>
    <w:rsid w:val="00A678B3"/>
    <w:rsid w:val="00A70225"/>
    <w:rsid w:val="00A704C9"/>
    <w:rsid w:val="00A71445"/>
    <w:rsid w:val="00A74C63"/>
    <w:rsid w:val="00A751F0"/>
    <w:rsid w:val="00A75B43"/>
    <w:rsid w:val="00A76977"/>
    <w:rsid w:val="00A8168A"/>
    <w:rsid w:val="00A81B36"/>
    <w:rsid w:val="00A81E02"/>
    <w:rsid w:val="00A82092"/>
    <w:rsid w:val="00A8243B"/>
    <w:rsid w:val="00A83B0F"/>
    <w:rsid w:val="00A84133"/>
    <w:rsid w:val="00A8451A"/>
    <w:rsid w:val="00A84BD1"/>
    <w:rsid w:val="00A8578C"/>
    <w:rsid w:val="00A9479C"/>
    <w:rsid w:val="00A975F7"/>
    <w:rsid w:val="00AA1816"/>
    <w:rsid w:val="00AA1D2B"/>
    <w:rsid w:val="00AA239B"/>
    <w:rsid w:val="00AA2DCF"/>
    <w:rsid w:val="00AA5AC7"/>
    <w:rsid w:val="00AB1A5F"/>
    <w:rsid w:val="00AB2EB7"/>
    <w:rsid w:val="00AB35CE"/>
    <w:rsid w:val="00AB3633"/>
    <w:rsid w:val="00AB373F"/>
    <w:rsid w:val="00AB4973"/>
    <w:rsid w:val="00AB5306"/>
    <w:rsid w:val="00AB5D21"/>
    <w:rsid w:val="00AB76C5"/>
    <w:rsid w:val="00AC104A"/>
    <w:rsid w:val="00AC5C4C"/>
    <w:rsid w:val="00AC5E24"/>
    <w:rsid w:val="00AC63D6"/>
    <w:rsid w:val="00AC6615"/>
    <w:rsid w:val="00AC71F5"/>
    <w:rsid w:val="00AC75F0"/>
    <w:rsid w:val="00AD0450"/>
    <w:rsid w:val="00AD0D78"/>
    <w:rsid w:val="00AD12B4"/>
    <w:rsid w:val="00AD1351"/>
    <w:rsid w:val="00AD162A"/>
    <w:rsid w:val="00AD228A"/>
    <w:rsid w:val="00AD299D"/>
    <w:rsid w:val="00AD2A9C"/>
    <w:rsid w:val="00AD33B0"/>
    <w:rsid w:val="00AD526C"/>
    <w:rsid w:val="00AD543B"/>
    <w:rsid w:val="00AD5B33"/>
    <w:rsid w:val="00AD643D"/>
    <w:rsid w:val="00AD7727"/>
    <w:rsid w:val="00AE0361"/>
    <w:rsid w:val="00AE1EDA"/>
    <w:rsid w:val="00AE267B"/>
    <w:rsid w:val="00AE2934"/>
    <w:rsid w:val="00AE39E6"/>
    <w:rsid w:val="00AE3A6E"/>
    <w:rsid w:val="00AF133D"/>
    <w:rsid w:val="00AF215E"/>
    <w:rsid w:val="00AF3823"/>
    <w:rsid w:val="00AF5736"/>
    <w:rsid w:val="00AF644C"/>
    <w:rsid w:val="00B0057F"/>
    <w:rsid w:val="00B0177C"/>
    <w:rsid w:val="00B032D9"/>
    <w:rsid w:val="00B034EF"/>
    <w:rsid w:val="00B03557"/>
    <w:rsid w:val="00B03929"/>
    <w:rsid w:val="00B046A3"/>
    <w:rsid w:val="00B046E5"/>
    <w:rsid w:val="00B05318"/>
    <w:rsid w:val="00B05438"/>
    <w:rsid w:val="00B06D97"/>
    <w:rsid w:val="00B11076"/>
    <w:rsid w:val="00B11FEE"/>
    <w:rsid w:val="00B125C8"/>
    <w:rsid w:val="00B13C97"/>
    <w:rsid w:val="00B13FFD"/>
    <w:rsid w:val="00B141BA"/>
    <w:rsid w:val="00B14CFE"/>
    <w:rsid w:val="00B150EC"/>
    <w:rsid w:val="00B203A2"/>
    <w:rsid w:val="00B21771"/>
    <w:rsid w:val="00B2192A"/>
    <w:rsid w:val="00B255A3"/>
    <w:rsid w:val="00B259F4"/>
    <w:rsid w:val="00B25A74"/>
    <w:rsid w:val="00B26FD1"/>
    <w:rsid w:val="00B279F9"/>
    <w:rsid w:val="00B27D06"/>
    <w:rsid w:val="00B30A66"/>
    <w:rsid w:val="00B30B51"/>
    <w:rsid w:val="00B318DE"/>
    <w:rsid w:val="00B33602"/>
    <w:rsid w:val="00B33C88"/>
    <w:rsid w:val="00B35AB3"/>
    <w:rsid w:val="00B36ABB"/>
    <w:rsid w:val="00B37D78"/>
    <w:rsid w:val="00B45129"/>
    <w:rsid w:val="00B451BD"/>
    <w:rsid w:val="00B45B59"/>
    <w:rsid w:val="00B474AB"/>
    <w:rsid w:val="00B47771"/>
    <w:rsid w:val="00B50413"/>
    <w:rsid w:val="00B50BC2"/>
    <w:rsid w:val="00B52D64"/>
    <w:rsid w:val="00B53081"/>
    <w:rsid w:val="00B53317"/>
    <w:rsid w:val="00B53420"/>
    <w:rsid w:val="00B53A01"/>
    <w:rsid w:val="00B5537A"/>
    <w:rsid w:val="00B577CB"/>
    <w:rsid w:val="00B57ECA"/>
    <w:rsid w:val="00B600FE"/>
    <w:rsid w:val="00B619A7"/>
    <w:rsid w:val="00B61CAA"/>
    <w:rsid w:val="00B64DB9"/>
    <w:rsid w:val="00B65A90"/>
    <w:rsid w:val="00B675D7"/>
    <w:rsid w:val="00B70368"/>
    <w:rsid w:val="00B71154"/>
    <w:rsid w:val="00B73A76"/>
    <w:rsid w:val="00B74667"/>
    <w:rsid w:val="00B74822"/>
    <w:rsid w:val="00B765C3"/>
    <w:rsid w:val="00B76A18"/>
    <w:rsid w:val="00B77260"/>
    <w:rsid w:val="00B77268"/>
    <w:rsid w:val="00B80047"/>
    <w:rsid w:val="00B80BED"/>
    <w:rsid w:val="00B81773"/>
    <w:rsid w:val="00B8194A"/>
    <w:rsid w:val="00B82212"/>
    <w:rsid w:val="00B82F39"/>
    <w:rsid w:val="00B83763"/>
    <w:rsid w:val="00B856F5"/>
    <w:rsid w:val="00B87A62"/>
    <w:rsid w:val="00B9123D"/>
    <w:rsid w:val="00B9194F"/>
    <w:rsid w:val="00B93DE5"/>
    <w:rsid w:val="00B95C45"/>
    <w:rsid w:val="00B96F85"/>
    <w:rsid w:val="00BA1264"/>
    <w:rsid w:val="00BA1942"/>
    <w:rsid w:val="00BA1EF9"/>
    <w:rsid w:val="00BA238C"/>
    <w:rsid w:val="00BA36A7"/>
    <w:rsid w:val="00BA46D8"/>
    <w:rsid w:val="00BA5815"/>
    <w:rsid w:val="00BB0244"/>
    <w:rsid w:val="00BB1ED6"/>
    <w:rsid w:val="00BB2840"/>
    <w:rsid w:val="00BB29FF"/>
    <w:rsid w:val="00BB348A"/>
    <w:rsid w:val="00BB3595"/>
    <w:rsid w:val="00BB40D9"/>
    <w:rsid w:val="00BB4507"/>
    <w:rsid w:val="00BB4D8F"/>
    <w:rsid w:val="00BB4ED1"/>
    <w:rsid w:val="00BB567A"/>
    <w:rsid w:val="00BB74AC"/>
    <w:rsid w:val="00BB7A29"/>
    <w:rsid w:val="00BC09B5"/>
    <w:rsid w:val="00BC169B"/>
    <w:rsid w:val="00BC2CC0"/>
    <w:rsid w:val="00BC2E15"/>
    <w:rsid w:val="00BC356F"/>
    <w:rsid w:val="00BC4710"/>
    <w:rsid w:val="00BC6FC9"/>
    <w:rsid w:val="00BC777E"/>
    <w:rsid w:val="00BC7C5A"/>
    <w:rsid w:val="00BD0822"/>
    <w:rsid w:val="00BD107F"/>
    <w:rsid w:val="00BD1E6E"/>
    <w:rsid w:val="00BD376A"/>
    <w:rsid w:val="00BD3EE2"/>
    <w:rsid w:val="00BD4D63"/>
    <w:rsid w:val="00BD7A0C"/>
    <w:rsid w:val="00BE0054"/>
    <w:rsid w:val="00BE0D3B"/>
    <w:rsid w:val="00BE0DC2"/>
    <w:rsid w:val="00BE126C"/>
    <w:rsid w:val="00BE2CE0"/>
    <w:rsid w:val="00BE5FD3"/>
    <w:rsid w:val="00BE68E9"/>
    <w:rsid w:val="00BE79DD"/>
    <w:rsid w:val="00BF1DC1"/>
    <w:rsid w:val="00BF39A8"/>
    <w:rsid w:val="00BF446C"/>
    <w:rsid w:val="00BF576F"/>
    <w:rsid w:val="00BF6BAC"/>
    <w:rsid w:val="00BF6BB1"/>
    <w:rsid w:val="00C01514"/>
    <w:rsid w:val="00C02C04"/>
    <w:rsid w:val="00C0346C"/>
    <w:rsid w:val="00C0357F"/>
    <w:rsid w:val="00C041B3"/>
    <w:rsid w:val="00C04B07"/>
    <w:rsid w:val="00C0711B"/>
    <w:rsid w:val="00C0725C"/>
    <w:rsid w:val="00C07BFF"/>
    <w:rsid w:val="00C07EF2"/>
    <w:rsid w:val="00C10ABC"/>
    <w:rsid w:val="00C10DFF"/>
    <w:rsid w:val="00C1121F"/>
    <w:rsid w:val="00C13073"/>
    <w:rsid w:val="00C1316D"/>
    <w:rsid w:val="00C13687"/>
    <w:rsid w:val="00C14196"/>
    <w:rsid w:val="00C14776"/>
    <w:rsid w:val="00C1478F"/>
    <w:rsid w:val="00C15243"/>
    <w:rsid w:val="00C155E0"/>
    <w:rsid w:val="00C16495"/>
    <w:rsid w:val="00C16C93"/>
    <w:rsid w:val="00C173FC"/>
    <w:rsid w:val="00C23791"/>
    <w:rsid w:val="00C250D1"/>
    <w:rsid w:val="00C2589D"/>
    <w:rsid w:val="00C26656"/>
    <w:rsid w:val="00C26B4B"/>
    <w:rsid w:val="00C27195"/>
    <w:rsid w:val="00C30922"/>
    <w:rsid w:val="00C31DE4"/>
    <w:rsid w:val="00C32A52"/>
    <w:rsid w:val="00C32FF2"/>
    <w:rsid w:val="00C33E4F"/>
    <w:rsid w:val="00C35101"/>
    <w:rsid w:val="00C35271"/>
    <w:rsid w:val="00C35443"/>
    <w:rsid w:val="00C3588A"/>
    <w:rsid w:val="00C412A2"/>
    <w:rsid w:val="00C42074"/>
    <w:rsid w:val="00C4260D"/>
    <w:rsid w:val="00C42D7E"/>
    <w:rsid w:val="00C4402D"/>
    <w:rsid w:val="00C440D1"/>
    <w:rsid w:val="00C44543"/>
    <w:rsid w:val="00C44F0A"/>
    <w:rsid w:val="00C4528F"/>
    <w:rsid w:val="00C45FD9"/>
    <w:rsid w:val="00C467F2"/>
    <w:rsid w:val="00C46D2F"/>
    <w:rsid w:val="00C46FB5"/>
    <w:rsid w:val="00C50C0A"/>
    <w:rsid w:val="00C516DD"/>
    <w:rsid w:val="00C533D2"/>
    <w:rsid w:val="00C552FA"/>
    <w:rsid w:val="00C55857"/>
    <w:rsid w:val="00C5649D"/>
    <w:rsid w:val="00C616E0"/>
    <w:rsid w:val="00C61DD7"/>
    <w:rsid w:val="00C61EEE"/>
    <w:rsid w:val="00C6588F"/>
    <w:rsid w:val="00C668C8"/>
    <w:rsid w:val="00C66B80"/>
    <w:rsid w:val="00C6766F"/>
    <w:rsid w:val="00C67D4D"/>
    <w:rsid w:val="00C67F29"/>
    <w:rsid w:val="00C700A3"/>
    <w:rsid w:val="00C711DE"/>
    <w:rsid w:val="00C71377"/>
    <w:rsid w:val="00C73AC3"/>
    <w:rsid w:val="00C753EA"/>
    <w:rsid w:val="00C758B4"/>
    <w:rsid w:val="00C76D47"/>
    <w:rsid w:val="00C77131"/>
    <w:rsid w:val="00C8044F"/>
    <w:rsid w:val="00C80F01"/>
    <w:rsid w:val="00C81896"/>
    <w:rsid w:val="00C82BD3"/>
    <w:rsid w:val="00C82BEB"/>
    <w:rsid w:val="00C84A82"/>
    <w:rsid w:val="00C8512E"/>
    <w:rsid w:val="00C8569F"/>
    <w:rsid w:val="00C8643C"/>
    <w:rsid w:val="00C90995"/>
    <w:rsid w:val="00C91C3E"/>
    <w:rsid w:val="00C93A3A"/>
    <w:rsid w:val="00C940F4"/>
    <w:rsid w:val="00C96BF8"/>
    <w:rsid w:val="00C97152"/>
    <w:rsid w:val="00CA0098"/>
    <w:rsid w:val="00CA061F"/>
    <w:rsid w:val="00CA2598"/>
    <w:rsid w:val="00CA307C"/>
    <w:rsid w:val="00CA4B6B"/>
    <w:rsid w:val="00CA5CE2"/>
    <w:rsid w:val="00CB000E"/>
    <w:rsid w:val="00CB0087"/>
    <w:rsid w:val="00CB07A4"/>
    <w:rsid w:val="00CB0A79"/>
    <w:rsid w:val="00CB1127"/>
    <w:rsid w:val="00CB3A6F"/>
    <w:rsid w:val="00CB3E37"/>
    <w:rsid w:val="00CB52E6"/>
    <w:rsid w:val="00CB568D"/>
    <w:rsid w:val="00CB5739"/>
    <w:rsid w:val="00CB5D28"/>
    <w:rsid w:val="00CB5E96"/>
    <w:rsid w:val="00CB717A"/>
    <w:rsid w:val="00CB7881"/>
    <w:rsid w:val="00CC08BB"/>
    <w:rsid w:val="00CC297C"/>
    <w:rsid w:val="00CC4434"/>
    <w:rsid w:val="00CC5CE4"/>
    <w:rsid w:val="00CC78B5"/>
    <w:rsid w:val="00CC7B2D"/>
    <w:rsid w:val="00CC7D58"/>
    <w:rsid w:val="00CD1E8A"/>
    <w:rsid w:val="00CD3423"/>
    <w:rsid w:val="00CD49CB"/>
    <w:rsid w:val="00CD581A"/>
    <w:rsid w:val="00CD7342"/>
    <w:rsid w:val="00CE0399"/>
    <w:rsid w:val="00CE12EB"/>
    <w:rsid w:val="00CE1D65"/>
    <w:rsid w:val="00CE26ED"/>
    <w:rsid w:val="00CE2E9D"/>
    <w:rsid w:val="00CE4770"/>
    <w:rsid w:val="00CE4877"/>
    <w:rsid w:val="00CE5EDF"/>
    <w:rsid w:val="00CE607E"/>
    <w:rsid w:val="00CE64B4"/>
    <w:rsid w:val="00CE65E5"/>
    <w:rsid w:val="00CF14B5"/>
    <w:rsid w:val="00CF1E93"/>
    <w:rsid w:val="00CF298F"/>
    <w:rsid w:val="00CF4245"/>
    <w:rsid w:val="00CF5B34"/>
    <w:rsid w:val="00CF5C85"/>
    <w:rsid w:val="00CF7BCE"/>
    <w:rsid w:val="00CF7C32"/>
    <w:rsid w:val="00D000A8"/>
    <w:rsid w:val="00D00B2C"/>
    <w:rsid w:val="00D010FB"/>
    <w:rsid w:val="00D019AF"/>
    <w:rsid w:val="00D040CD"/>
    <w:rsid w:val="00D05C47"/>
    <w:rsid w:val="00D10936"/>
    <w:rsid w:val="00D15048"/>
    <w:rsid w:val="00D159EC"/>
    <w:rsid w:val="00D2020E"/>
    <w:rsid w:val="00D206B5"/>
    <w:rsid w:val="00D20DAC"/>
    <w:rsid w:val="00D21E4D"/>
    <w:rsid w:val="00D2248E"/>
    <w:rsid w:val="00D2344D"/>
    <w:rsid w:val="00D24970"/>
    <w:rsid w:val="00D256C4"/>
    <w:rsid w:val="00D27B22"/>
    <w:rsid w:val="00D303A4"/>
    <w:rsid w:val="00D320CE"/>
    <w:rsid w:val="00D34300"/>
    <w:rsid w:val="00D36577"/>
    <w:rsid w:val="00D43B4B"/>
    <w:rsid w:val="00D46208"/>
    <w:rsid w:val="00D46B0F"/>
    <w:rsid w:val="00D50042"/>
    <w:rsid w:val="00D529D8"/>
    <w:rsid w:val="00D53298"/>
    <w:rsid w:val="00D53897"/>
    <w:rsid w:val="00D53CAD"/>
    <w:rsid w:val="00D56E1E"/>
    <w:rsid w:val="00D60A08"/>
    <w:rsid w:val="00D61C2F"/>
    <w:rsid w:val="00D6288B"/>
    <w:rsid w:val="00D630CE"/>
    <w:rsid w:val="00D6310F"/>
    <w:rsid w:val="00D64C81"/>
    <w:rsid w:val="00D6580E"/>
    <w:rsid w:val="00D70A51"/>
    <w:rsid w:val="00D72C74"/>
    <w:rsid w:val="00D740D1"/>
    <w:rsid w:val="00D77172"/>
    <w:rsid w:val="00D845BC"/>
    <w:rsid w:val="00D846C1"/>
    <w:rsid w:val="00D846FF"/>
    <w:rsid w:val="00D84E98"/>
    <w:rsid w:val="00D84EA7"/>
    <w:rsid w:val="00D85663"/>
    <w:rsid w:val="00D86313"/>
    <w:rsid w:val="00D868BC"/>
    <w:rsid w:val="00D872F6"/>
    <w:rsid w:val="00D90BAB"/>
    <w:rsid w:val="00D92CA6"/>
    <w:rsid w:val="00D9415E"/>
    <w:rsid w:val="00D94352"/>
    <w:rsid w:val="00D951BD"/>
    <w:rsid w:val="00D96F29"/>
    <w:rsid w:val="00DA0346"/>
    <w:rsid w:val="00DA09E1"/>
    <w:rsid w:val="00DA0E11"/>
    <w:rsid w:val="00DA26DB"/>
    <w:rsid w:val="00DA305A"/>
    <w:rsid w:val="00DA36DF"/>
    <w:rsid w:val="00DA36EF"/>
    <w:rsid w:val="00DA4523"/>
    <w:rsid w:val="00DA478D"/>
    <w:rsid w:val="00DA4F3E"/>
    <w:rsid w:val="00DA59E7"/>
    <w:rsid w:val="00DA5B66"/>
    <w:rsid w:val="00DA6955"/>
    <w:rsid w:val="00DA7E85"/>
    <w:rsid w:val="00DB07E3"/>
    <w:rsid w:val="00DB0CED"/>
    <w:rsid w:val="00DB1FB0"/>
    <w:rsid w:val="00DB265C"/>
    <w:rsid w:val="00DB38BF"/>
    <w:rsid w:val="00DB5F5E"/>
    <w:rsid w:val="00DB724D"/>
    <w:rsid w:val="00DC07AC"/>
    <w:rsid w:val="00DC18CA"/>
    <w:rsid w:val="00DC393C"/>
    <w:rsid w:val="00DC3E38"/>
    <w:rsid w:val="00DC4795"/>
    <w:rsid w:val="00DC4947"/>
    <w:rsid w:val="00DC5828"/>
    <w:rsid w:val="00DC6B2D"/>
    <w:rsid w:val="00DD1843"/>
    <w:rsid w:val="00DD3EF3"/>
    <w:rsid w:val="00DD3F6F"/>
    <w:rsid w:val="00DD4F6B"/>
    <w:rsid w:val="00DD4FFC"/>
    <w:rsid w:val="00DD66E6"/>
    <w:rsid w:val="00DD70F7"/>
    <w:rsid w:val="00DD75FB"/>
    <w:rsid w:val="00DD7682"/>
    <w:rsid w:val="00DE006A"/>
    <w:rsid w:val="00DE0B3A"/>
    <w:rsid w:val="00DE2AB6"/>
    <w:rsid w:val="00DE3A72"/>
    <w:rsid w:val="00DE431F"/>
    <w:rsid w:val="00DE4FA0"/>
    <w:rsid w:val="00DE6A52"/>
    <w:rsid w:val="00DF108F"/>
    <w:rsid w:val="00DF18DC"/>
    <w:rsid w:val="00DF2C17"/>
    <w:rsid w:val="00DF40E8"/>
    <w:rsid w:val="00DF4E76"/>
    <w:rsid w:val="00DF4F33"/>
    <w:rsid w:val="00DF5282"/>
    <w:rsid w:val="00DF52C9"/>
    <w:rsid w:val="00DF6E70"/>
    <w:rsid w:val="00DF718B"/>
    <w:rsid w:val="00E004B0"/>
    <w:rsid w:val="00E00556"/>
    <w:rsid w:val="00E01568"/>
    <w:rsid w:val="00E02D8E"/>
    <w:rsid w:val="00E02EED"/>
    <w:rsid w:val="00E04FB9"/>
    <w:rsid w:val="00E0587D"/>
    <w:rsid w:val="00E06237"/>
    <w:rsid w:val="00E071D8"/>
    <w:rsid w:val="00E076F7"/>
    <w:rsid w:val="00E0770E"/>
    <w:rsid w:val="00E100A2"/>
    <w:rsid w:val="00E10F3F"/>
    <w:rsid w:val="00E14768"/>
    <w:rsid w:val="00E15296"/>
    <w:rsid w:val="00E16E64"/>
    <w:rsid w:val="00E17D31"/>
    <w:rsid w:val="00E20089"/>
    <w:rsid w:val="00E2047F"/>
    <w:rsid w:val="00E2151F"/>
    <w:rsid w:val="00E217AD"/>
    <w:rsid w:val="00E22049"/>
    <w:rsid w:val="00E220D2"/>
    <w:rsid w:val="00E22A95"/>
    <w:rsid w:val="00E24119"/>
    <w:rsid w:val="00E254DF"/>
    <w:rsid w:val="00E2555C"/>
    <w:rsid w:val="00E26D81"/>
    <w:rsid w:val="00E300CD"/>
    <w:rsid w:val="00E3085D"/>
    <w:rsid w:val="00E32848"/>
    <w:rsid w:val="00E33321"/>
    <w:rsid w:val="00E34707"/>
    <w:rsid w:val="00E34871"/>
    <w:rsid w:val="00E3536F"/>
    <w:rsid w:val="00E420B5"/>
    <w:rsid w:val="00E421FB"/>
    <w:rsid w:val="00E4381A"/>
    <w:rsid w:val="00E447D8"/>
    <w:rsid w:val="00E451F1"/>
    <w:rsid w:val="00E45235"/>
    <w:rsid w:val="00E46E66"/>
    <w:rsid w:val="00E52A00"/>
    <w:rsid w:val="00E52E89"/>
    <w:rsid w:val="00E53EE2"/>
    <w:rsid w:val="00E544EC"/>
    <w:rsid w:val="00E55607"/>
    <w:rsid w:val="00E55CF7"/>
    <w:rsid w:val="00E55D85"/>
    <w:rsid w:val="00E569B2"/>
    <w:rsid w:val="00E56A12"/>
    <w:rsid w:val="00E61A98"/>
    <w:rsid w:val="00E62937"/>
    <w:rsid w:val="00E63AEF"/>
    <w:rsid w:val="00E642E4"/>
    <w:rsid w:val="00E679E0"/>
    <w:rsid w:val="00E70D5F"/>
    <w:rsid w:val="00E74344"/>
    <w:rsid w:val="00E7451C"/>
    <w:rsid w:val="00E7485B"/>
    <w:rsid w:val="00E74F37"/>
    <w:rsid w:val="00E80399"/>
    <w:rsid w:val="00E80CA1"/>
    <w:rsid w:val="00E81942"/>
    <w:rsid w:val="00E82559"/>
    <w:rsid w:val="00E83DBB"/>
    <w:rsid w:val="00E84D5B"/>
    <w:rsid w:val="00E84FB6"/>
    <w:rsid w:val="00E85839"/>
    <w:rsid w:val="00E86DBF"/>
    <w:rsid w:val="00E90211"/>
    <w:rsid w:val="00E9073C"/>
    <w:rsid w:val="00E91067"/>
    <w:rsid w:val="00E9152B"/>
    <w:rsid w:val="00E94A3A"/>
    <w:rsid w:val="00EA010F"/>
    <w:rsid w:val="00EA1B98"/>
    <w:rsid w:val="00EA241E"/>
    <w:rsid w:val="00EA3F05"/>
    <w:rsid w:val="00EA5B74"/>
    <w:rsid w:val="00EA5F66"/>
    <w:rsid w:val="00EA695E"/>
    <w:rsid w:val="00EA6966"/>
    <w:rsid w:val="00EA7092"/>
    <w:rsid w:val="00EA7D91"/>
    <w:rsid w:val="00EB0344"/>
    <w:rsid w:val="00EB2328"/>
    <w:rsid w:val="00EB4EA5"/>
    <w:rsid w:val="00EB5270"/>
    <w:rsid w:val="00EB67F4"/>
    <w:rsid w:val="00EB6E52"/>
    <w:rsid w:val="00EB762B"/>
    <w:rsid w:val="00EB7B83"/>
    <w:rsid w:val="00EC22FC"/>
    <w:rsid w:val="00EC3793"/>
    <w:rsid w:val="00EC6310"/>
    <w:rsid w:val="00EC681E"/>
    <w:rsid w:val="00EC7474"/>
    <w:rsid w:val="00EC7F93"/>
    <w:rsid w:val="00ED0795"/>
    <w:rsid w:val="00ED2854"/>
    <w:rsid w:val="00ED2C84"/>
    <w:rsid w:val="00ED38C9"/>
    <w:rsid w:val="00ED47FE"/>
    <w:rsid w:val="00ED4A4C"/>
    <w:rsid w:val="00ED5566"/>
    <w:rsid w:val="00ED57EE"/>
    <w:rsid w:val="00ED6649"/>
    <w:rsid w:val="00ED6BE3"/>
    <w:rsid w:val="00ED6E26"/>
    <w:rsid w:val="00ED6E93"/>
    <w:rsid w:val="00ED77A5"/>
    <w:rsid w:val="00EE0EC1"/>
    <w:rsid w:val="00EE2CDC"/>
    <w:rsid w:val="00EE42D2"/>
    <w:rsid w:val="00EF0AD0"/>
    <w:rsid w:val="00EF12AC"/>
    <w:rsid w:val="00EF1362"/>
    <w:rsid w:val="00EF1EDE"/>
    <w:rsid w:val="00EF2488"/>
    <w:rsid w:val="00EF3C1F"/>
    <w:rsid w:val="00EF4133"/>
    <w:rsid w:val="00EF5ED8"/>
    <w:rsid w:val="00EF642C"/>
    <w:rsid w:val="00F00EDB"/>
    <w:rsid w:val="00F01136"/>
    <w:rsid w:val="00F04821"/>
    <w:rsid w:val="00F04AA8"/>
    <w:rsid w:val="00F0618F"/>
    <w:rsid w:val="00F0629B"/>
    <w:rsid w:val="00F066BC"/>
    <w:rsid w:val="00F07C92"/>
    <w:rsid w:val="00F111E8"/>
    <w:rsid w:val="00F12178"/>
    <w:rsid w:val="00F1367D"/>
    <w:rsid w:val="00F1483C"/>
    <w:rsid w:val="00F209CE"/>
    <w:rsid w:val="00F20EC3"/>
    <w:rsid w:val="00F2335B"/>
    <w:rsid w:val="00F23608"/>
    <w:rsid w:val="00F24D02"/>
    <w:rsid w:val="00F2557B"/>
    <w:rsid w:val="00F25F4E"/>
    <w:rsid w:val="00F27823"/>
    <w:rsid w:val="00F3098C"/>
    <w:rsid w:val="00F31080"/>
    <w:rsid w:val="00F32E4A"/>
    <w:rsid w:val="00F334C6"/>
    <w:rsid w:val="00F336FB"/>
    <w:rsid w:val="00F3404C"/>
    <w:rsid w:val="00F35ED4"/>
    <w:rsid w:val="00F364C6"/>
    <w:rsid w:val="00F3694C"/>
    <w:rsid w:val="00F416B1"/>
    <w:rsid w:val="00F43765"/>
    <w:rsid w:val="00F44261"/>
    <w:rsid w:val="00F519D1"/>
    <w:rsid w:val="00F52C42"/>
    <w:rsid w:val="00F53E4F"/>
    <w:rsid w:val="00F548FC"/>
    <w:rsid w:val="00F553A0"/>
    <w:rsid w:val="00F5690E"/>
    <w:rsid w:val="00F6003C"/>
    <w:rsid w:val="00F601E0"/>
    <w:rsid w:val="00F612E4"/>
    <w:rsid w:val="00F613CA"/>
    <w:rsid w:val="00F61525"/>
    <w:rsid w:val="00F62227"/>
    <w:rsid w:val="00F62433"/>
    <w:rsid w:val="00F67A57"/>
    <w:rsid w:val="00F67AC5"/>
    <w:rsid w:val="00F724C5"/>
    <w:rsid w:val="00F73CCF"/>
    <w:rsid w:val="00F7420A"/>
    <w:rsid w:val="00F74A23"/>
    <w:rsid w:val="00F76475"/>
    <w:rsid w:val="00F80FCB"/>
    <w:rsid w:val="00F82BEB"/>
    <w:rsid w:val="00F830B9"/>
    <w:rsid w:val="00F85B15"/>
    <w:rsid w:val="00F865EC"/>
    <w:rsid w:val="00F866CA"/>
    <w:rsid w:val="00F87C36"/>
    <w:rsid w:val="00F90394"/>
    <w:rsid w:val="00F908CA"/>
    <w:rsid w:val="00F92B84"/>
    <w:rsid w:val="00F92D73"/>
    <w:rsid w:val="00F941FD"/>
    <w:rsid w:val="00F949E9"/>
    <w:rsid w:val="00F9723A"/>
    <w:rsid w:val="00F97862"/>
    <w:rsid w:val="00FA173F"/>
    <w:rsid w:val="00FA17A2"/>
    <w:rsid w:val="00FA1A59"/>
    <w:rsid w:val="00FA220D"/>
    <w:rsid w:val="00FA4263"/>
    <w:rsid w:val="00FA462F"/>
    <w:rsid w:val="00FA57B8"/>
    <w:rsid w:val="00FA76D3"/>
    <w:rsid w:val="00FA7878"/>
    <w:rsid w:val="00FB06EB"/>
    <w:rsid w:val="00FB09F5"/>
    <w:rsid w:val="00FB33E2"/>
    <w:rsid w:val="00FB43AE"/>
    <w:rsid w:val="00FB4B9F"/>
    <w:rsid w:val="00FB6497"/>
    <w:rsid w:val="00FC3C94"/>
    <w:rsid w:val="00FC5660"/>
    <w:rsid w:val="00FC6248"/>
    <w:rsid w:val="00FC6820"/>
    <w:rsid w:val="00FC6F80"/>
    <w:rsid w:val="00FD0965"/>
    <w:rsid w:val="00FD0A82"/>
    <w:rsid w:val="00FD1ACB"/>
    <w:rsid w:val="00FD34F6"/>
    <w:rsid w:val="00FD49B9"/>
    <w:rsid w:val="00FD4C31"/>
    <w:rsid w:val="00FE0386"/>
    <w:rsid w:val="00FE16A6"/>
    <w:rsid w:val="00FE1C44"/>
    <w:rsid w:val="00FE23E3"/>
    <w:rsid w:val="00FE31C4"/>
    <w:rsid w:val="00FE355D"/>
    <w:rsid w:val="00FF020A"/>
    <w:rsid w:val="00FF174E"/>
    <w:rsid w:val="00FF27F7"/>
    <w:rsid w:val="00FF3B92"/>
    <w:rsid w:val="00FF456F"/>
    <w:rsid w:val="00FF5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9101"/>
  <w15:chartTrackingRefBased/>
  <w15:docId w15:val="{967E8CB2-5C9A-4548-9718-8918FC6C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63"/>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85663"/>
    <w:pPr>
      <w:spacing w:after="0" w:line="240" w:lineRule="auto"/>
    </w:pPr>
    <w:rPr>
      <w:szCs w:val="20"/>
    </w:rPr>
  </w:style>
  <w:style w:type="character" w:customStyle="1" w:styleId="DipnotMetniChar">
    <w:name w:val="Dipnot Metni Char"/>
    <w:basedOn w:val="VarsaylanParagrafYazTipi"/>
    <w:link w:val="DipnotMetni"/>
    <w:uiPriority w:val="99"/>
    <w:semiHidden/>
    <w:rsid w:val="00D85663"/>
    <w:rPr>
      <w:szCs w:val="20"/>
      <w:lang w:val="tr-TR"/>
    </w:rPr>
  </w:style>
  <w:style w:type="character" w:styleId="DipnotBavurusu">
    <w:name w:val="footnote reference"/>
    <w:basedOn w:val="VarsaylanParagrafYazTipi"/>
    <w:uiPriority w:val="99"/>
    <w:semiHidden/>
    <w:unhideWhenUsed/>
    <w:rsid w:val="00D85663"/>
    <w:rPr>
      <w:vertAlign w:val="superscript"/>
    </w:rPr>
  </w:style>
  <w:style w:type="character" w:customStyle="1" w:styleId="Stil3">
    <w:name w:val="Stil3"/>
    <w:basedOn w:val="VarsaylanParagrafYazTipi"/>
    <w:uiPriority w:val="1"/>
    <w:rsid w:val="00D85663"/>
    <w:rPr>
      <w:rFonts w:ascii="Times New Roman" w:hAnsi="Times New Roman"/>
      <w:b/>
      <w:i/>
      <w:sz w:val="21"/>
    </w:rPr>
  </w:style>
  <w:style w:type="character" w:styleId="YerTutucuMetni">
    <w:name w:val="Placeholder Text"/>
    <w:basedOn w:val="VarsaylanParagrafYazTipi"/>
    <w:uiPriority w:val="99"/>
    <w:semiHidden/>
    <w:rsid w:val="005B1FBD"/>
    <w:rPr>
      <w:color w:val="595959" w:themeColor="text1" w:themeTint="A6"/>
    </w:rPr>
  </w:style>
  <w:style w:type="paragraph" w:styleId="ResimYazs">
    <w:name w:val="caption"/>
    <w:basedOn w:val="Normal"/>
    <w:next w:val="Normal"/>
    <w:uiPriority w:val="35"/>
    <w:unhideWhenUsed/>
    <w:qFormat/>
    <w:rsid w:val="0077248A"/>
    <w:pPr>
      <w:spacing w:after="200" w:line="240" w:lineRule="auto"/>
    </w:pPr>
    <w:rPr>
      <w:i/>
      <w:iCs/>
      <w:color w:val="44546A" w:themeColor="text2"/>
      <w:szCs w:val="18"/>
    </w:rPr>
  </w:style>
  <w:style w:type="paragraph" w:styleId="ListeParagraf">
    <w:name w:val="List Paragraph"/>
    <w:basedOn w:val="Normal"/>
    <w:uiPriority w:val="34"/>
    <w:qFormat/>
    <w:rsid w:val="0077248A"/>
    <w:pPr>
      <w:ind w:left="720"/>
      <w:contextualSpacing/>
    </w:pPr>
  </w:style>
  <w:style w:type="table" w:styleId="DzTablo1">
    <w:name w:val="Plain Table 1"/>
    <w:basedOn w:val="NormalTablo"/>
    <w:uiPriority w:val="41"/>
    <w:rsid w:val="0077248A"/>
    <w:pPr>
      <w:spacing w:after="0" w:line="240" w:lineRule="auto"/>
    </w:pPr>
    <w:rPr>
      <w:rFonts w:eastAsiaTheme="minorEastAsia"/>
      <w:lang w:val="tr-TR"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aynaka">
    <w:name w:val="Bibliography"/>
    <w:basedOn w:val="Normal"/>
    <w:next w:val="Normal"/>
    <w:uiPriority w:val="37"/>
    <w:unhideWhenUsed/>
    <w:rsid w:val="007724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98781">
      <w:bodyDiv w:val="1"/>
      <w:marLeft w:val="0"/>
      <w:marRight w:val="0"/>
      <w:marTop w:val="0"/>
      <w:marBottom w:val="0"/>
      <w:divBdr>
        <w:top w:val="none" w:sz="0" w:space="0" w:color="auto"/>
        <w:left w:val="none" w:sz="0" w:space="0" w:color="auto"/>
        <w:bottom w:val="none" w:sz="0" w:space="0" w:color="auto"/>
        <w:right w:val="none" w:sz="0" w:space="0" w:color="auto"/>
      </w:divBdr>
      <w:divsChild>
        <w:div w:id="954826534">
          <w:marLeft w:val="0"/>
          <w:marRight w:val="0"/>
          <w:marTop w:val="100"/>
          <w:marBottom w:val="0"/>
          <w:divBdr>
            <w:top w:val="none" w:sz="0" w:space="0" w:color="auto"/>
            <w:left w:val="none" w:sz="0" w:space="0" w:color="auto"/>
            <w:bottom w:val="none" w:sz="0" w:space="0" w:color="auto"/>
            <w:right w:val="none" w:sz="0" w:space="0" w:color="auto"/>
          </w:divBdr>
          <w:divsChild>
            <w:div w:id="2126075321">
              <w:marLeft w:val="0"/>
              <w:marRight w:val="0"/>
              <w:marTop w:val="60"/>
              <w:marBottom w:val="0"/>
              <w:divBdr>
                <w:top w:val="none" w:sz="0" w:space="0" w:color="auto"/>
                <w:left w:val="none" w:sz="0" w:space="0" w:color="auto"/>
                <w:bottom w:val="none" w:sz="0" w:space="0" w:color="auto"/>
                <w:right w:val="none" w:sz="0" w:space="0" w:color="auto"/>
              </w:divBdr>
            </w:div>
          </w:divsChild>
        </w:div>
        <w:div w:id="1170365100">
          <w:marLeft w:val="0"/>
          <w:marRight w:val="0"/>
          <w:marTop w:val="0"/>
          <w:marBottom w:val="0"/>
          <w:divBdr>
            <w:top w:val="none" w:sz="0" w:space="0" w:color="auto"/>
            <w:left w:val="none" w:sz="0" w:space="0" w:color="auto"/>
            <w:bottom w:val="none" w:sz="0" w:space="0" w:color="auto"/>
            <w:right w:val="none" w:sz="0" w:space="0" w:color="auto"/>
          </w:divBdr>
          <w:divsChild>
            <w:div w:id="1977879735">
              <w:marLeft w:val="0"/>
              <w:marRight w:val="0"/>
              <w:marTop w:val="0"/>
              <w:marBottom w:val="0"/>
              <w:divBdr>
                <w:top w:val="none" w:sz="0" w:space="0" w:color="auto"/>
                <w:left w:val="none" w:sz="0" w:space="0" w:color="auto"/>
                <w:bottom w:val="none" w:sz="0" w:space="0" w:color="auto"/>
                <w:right w:val="none" w:sz="0" w:space="0" w:color="auto"/>
              </w:divBdr>
              <w:divsChild>
                <w:div w:id="19101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7D95AB3D1046988295B187489439C6"/>
        <w:category>
          <w:name w:val="Genel"/>
          <w:gallery w:val="placeholder"/>
        </w:category>
        <w:types>
          <w:type w:val="bbPlcHdr"/>
        </w:types>
        <w:behaviors>
          <w:behavior w:val="content"/>
        </w:behaviors>
        <w:guid w:val="{BB3D4C1B-71A7-4722-ACD6-07E39BA06A9E}"/>
      </w:docPartPr>
      <w:docPartBody>
        <w:p w:rsidR="00E1773B" w:rsidRDefault="0017309B" w:rsidP="0017309B">
          <w:pPr>
            <w:pStyle w:val="5F7D95AB3D1046988295B187489439C6"/>
          </w:pPr>
          <w:r w:rsidRPr="00C33182">
            <w:rPr>
              <w:rStyle w:val="YerTutucuMetni"/>
            </w:rPr>
            <w:t>Metin girmek için buraya tıklayın veya dokunun.</w:t>
          </w:r>
        </w:p>
      </w:docPartBody>
    </w:docPart>
    <w:docPart>
      <w:docPartPr>
        <w:name w:val="1B5F473F68254D99B397A3F8C6B375F7"/>
        <w:category>
          <w:name w:val="Genel"/>
          <w:gallery w:val="placeholder"/>
        </w:category>
        <w:types>
          <w:type w:val="bbPlcHdr"/>
        </w:types>
        <w:behaviors>
          <w:behavior w:val="content"/>
        </w:behaviors>
        <w:guid w:val="{6F57A6B1-3415-4304-9D34-039D519F635E}"/>
      </w:docPartPr>
      <w:docPartBody>
        <w:p w:rsidR="00E1773B" w:rsidRDefault="0017309B" w:rsidP="0017309B">
          <w:pPr>
            <w:pStyle w:val="1B5F473F68254D99B397A3F8C6B375F7"/>
          </w:pPr>
          <w:r w:rsidRPr="00C3318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9B"/>
    <w:rsid w:val="0017309B"/>
    <w:rsid w:val="004C1A10"/>
    <w:rsid w:val="00E1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7309B"/>
    <w:rPr>
      <w:color w:val="595959" w:themeColor="text1" w:themeTint="A6"/>
    </w:rPr>
  </w:style>
  <w:style w:type="paragraph" w:customStyle="1" w:styleId="5F7D95AB3D1046988295B187489439C6">
    <w:name w:val="5F7D95AB3D1046988295B187489439C6"/>
    <w:rsid w:val="0017309B"/>
  </w:style>
  <w:style w:type="paragraph" w:customStyle="1" w:styleId="1B5F473F68254D99B397A3F8C6B375F7">
    <w:name w:val="1B5F473F68254D99B397A3F8C6B375F7"/>
    <w:rsid w:val="00173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BIS14</b:Tag>
    <b:SourceType>InternetSite</b:SourceType>
    <b:Guid>{30416B30-EC46-43C5-9415-73077D6FE695}</b:Guid>
    <b:Title>Borsa İstanbul</b:Title>
    <b:Year>2014</b:Year>
    <b:Month>Kasım</b:Month>
    <b:Day>03</b:Day>
    <b:Author>
      <b:Author>
        <b:NameList>
          <b:Person>
            <b:Last>BIST</b:Last>
          </b:Person>
        </b:NameList>
      </b:Author>
    </b:Author>
    <b:InternetSiteTitle>www.borsaistanbul.com</b:InternetSiteTitle>
    <b:URL>https://www.borsaistanbul.com/endeksler/bist-pay-endeksleri/surdurulebilirlik-endeksi</b:URL>
    <b:RefOrder>1</b:RefOrder>
  </b:Source>
  <b:Source>
    <b:Tag>Suz</b:Tag>
    <b:SourceType>DocumentFromInternetSite</b:SourceType>
    <b:Guid>{5BBE9060-7EB2-4E76-A40E-866CB242A07E}</b:Guid>
    <b:Author>
      <b:Author>
        <b:NameList>
          <b:Person>
            <b:Last>Suzuki</b:Last>
            <b:First>H</b:First>
          </b:Person>
          <b:Person>
            <b:Last>Levy</b:Last>
            <b:First>R</b:First>
          </b:Person>
        </b:NameList>
      </b:Author>
    </b:Author>
    <b:Title>ESG USA 2010: global trends and US sustainable investing</b:Title>
    <b:InternetSiteTitle>www.responsibleinvestor.com/images/uploads/</b:InternetSiteTitle>
    <b:URL>www.responsibleinvestor.com/images/uploads/</b:URL>
    <b:Year>2010</b:Year>
    <b:YearAccessed>2020</b:YearAccessed>
    <b:RefOrder>4</b:RefOrder>
  </b:Source>
  <b:Source>
    <b:Tag>Ada121</b:Tag>
    <b:SourceType>JournalArticle</b:SourceType>
    <b:Guid>{257BD523-F68E-4A84-B18F-487026863AAB}</b:Guid>
    <b:Title>Bank board structure and performance: Evidence for large bank holding companies</b:Title>
    <b:JournalName>Journal of Financial Intermediation</b:JournalName>
    <b:Year>2012</b:Year>
    <b:Pages>243-267</b:Pages>
    <b:Author>
      <b:Author>
        <b:NameList>
          <b:Person>
            <b:Last>Adams</b:Last>
            <b:Middle>B</b:Middle>
            <b:First>Renee</b:First>
          </b:Person>
          <b:Person>
            <b:Last>Mehran</b:Last>
            <b:First>Hamid</b:First>
          </b:Person>
        </b:NameList>
      </b:Author>
    </b:Author>
    <b:RefOrder>5</b:RefOrder>
  </b:Source>
  <b:Source>
    <b:Tag>Pat13</b:Tag>
    <b:SourceType>JournalArticle</b:SourceType>
    <b:Guid>{2D05B518-A737-4A14-AB9E-607408AC8D85}</b:Guid>
    <b:Title>Does board structure in banks really affect their performance?</b:Title>
    <b:JournalName>Journal of Banking and Finance</b:JournalName>
    <b:Year>2013</b:Year>
    <b:Pages>1573-1579</b:Pages>
    <b:Author>
      <b:Author>
        <b:NameList>
          <b:Person>
            <b:Last>Pathan</b:Last>
            <b:First>Shams</b:First>
          </b:Person>
          <b:Person>
            <b:Last>Faff</b:Last>
            <b:First>Robert</b:First>
          </b:Person>
        </b:NameList>
      </b:Author>
    </b:Author>
    <b:RefOrder>6</b:RefOrder>
  </b:Source>
  <b:Source>
    <b:Tag>Ayg10</b:Tag>
    <b:SourceType>JournalArticle</b:SourceType>
    <b:Guid>{11F223C1-CA65-454D-9986-91464A2182DE}</b:Guid>
    <b:Title>Banka Performansı Üzerinde Yönetim Kurulu Büyüklüğünün Etkisi</b:Title>
    <b:JournalName>Atatürk Üniversitesi İktisadi ve İdari Bilimler Dergisi</b:JournalName>
    <b:Year>2010</b:Year>
    <b:Pages>67-78</b:Pages>
    <b:Author>
      <b:Author>
        <b:NameList>
          <b:Person>
            <b:Last>Aygün</b:Last>
            <b:First>Mehmet</b:First>
          </b:Person>
          <b:Person>
            <b:Last>Taşdemir </b:Last>
            <b:First>Aslıhan</b:First>
          </b:Person>
          <b:Person>
            <b:Last>Çavdar</b:Last>
            <b:First>Ertuğrul</b:First>
          </b:Person>
        </b:NameList>
      </b:Author>
    </b:Author>
    <b:RefOrder>7</b:RefOrder>
  </b:Source>
  <b:Source>
    <b:Tag>Par17</b:Tag>
    <b:SourceType>JournalArticle</b:SourceType>
    <b:Guid>{5D498C87-14A4-46A5-96BD-50AB9F6DD6F6}</b:Guid>
    <b:Title>Türkiye'de Faaliyet Gösteren Katılım Bankalarında Kurumsal Yönetim ve Performans İlişkisi</b:Title>
    <b:JournalName>Elektronik Turkish Studies</b:JournalName>
    <b:Year>2017</b:Year>
    <b:Pages>147-162</b:Pages>
    <b:Author>
      <b:Author>
        <b:NameList>
          <b:Person>
            <b:Last>Parlakkaya</b:Last>
            <b:First>Raif</b:First>
          </b:Person>
          <b:Person>
            <b:Last>Demirci</b:Last>
            <b:Middle>M.</b:Middle>
            <b:First>Nihat</b:First>
          </b:Person>
        </b:NameList>
      </b:Author>
    </b:Author>
    <b:RefOrder>8</b:RefOrder>
  </b:Source>
  <b:Source>
    <b:Tag>Gür20</b:Tag>
    <b:SourceType>Book</b:SourceType>
    <b:Guid>{F9422DF1-129F-4CEA-8D63-B87CE58717C4}</b:Guid>
    <b:Title>Bankalarda Kurumsal Yönetim ve Türk Bankacılık Sisteminde Kurumsal Yönetim Uygulamaları ile Performans İlişkisinin İncelenmesi</b:Title>
    <b:Year>2020</b:Year>
    <b:City>Ankara</b:City>
    <b:Publisher>Gazi Kitabevi</b:Publisher>
    <b:Author>
      <b:Author>
        <b:NameList>
          <b:Person>
            <b:Last>Gürol</b:Last>
            <b:First>Burcu</b:First>
          </b:Person>
        </b:NameList>
      </b:Author>
    </b:Author>
    <b:RefOrder>9</b:RefOrder>
  </b:Source>
  <b:Source>
    <b:Tag>DeH15</b:Tag>
    <b:SourceType>JournalArticle</b:SourceType>
    <b:Guid>{08C61373-6878-4617-9479-33156E051DB2}</b:Guid>
    <b:Title>Corporate governance of banks: A survey</b:Title>
    <b:JournalName>Journal of Economic Survey</b:JournalName>
    <b:Year>2015</b:Year>
    <b:Author>
      <b:Author>
        <b:NameList>
          <b:Person>
            <b:Last>De Haan</b:Last>
            <b:First>Jakop</b:First>
          </b:Person>
          <b:Person>
            <b:Last>Vlahu</b:Last>
            <b:First>Razvan</b:First>
          </b:Person>
        </b:NameList>
      </b:Author>
    </b:Author>
    <b:RefOrder>10</b:RefOrder>
  </b:Source>
  <b:Source>
    <b:Tag>Arc07</b:Tag>
    <b:SourceType>ConferenceProceedings</b:SourceType>
    <b:Guid>{12640F23-E59D-443D-91A6-6005EAEB7B15}</b:Guid>
    <b:Title>One Size Does Not Fit All, After All: Evidence from Corporate Governance</b:Title>
    <b:Year>2007</b:Year>
    <b:Author>
      <b:Author>
        <b:NameList>
          <b:Person>
            <b:Last>Arcot</b:Last>
            <b:First>Sridhar</b:First>
          </b:Person>
          <b:Person>
            <b:Last>Bruno</b:Last>
            <b:First>Valentina</b:First>
          </b:Person>
        </b:NameList>
      </b:Author>
    </b:Author>
    <b:ConferenceName>1st Annual Conference on Empirical Legal Studies, Forthcoming</b:ConferenceName>
    <b:Publisher>SSRN</b:Publisher>
    <b:RefOrder>11</b:RefOrder>
  </b:Source>
  <b:Source>
    <b:Tag>Gia14</b:Tag>
    <b:SourceType>JournalArticle</b:SourceType>
    <b:Guid>{DAC0AB16-6501-437F-A6BD-65E28DA0876F}</b:Guid>
    <b:Title>Corporate governance and financial characteristics effects on the extent of corporate social responsibility disclosure</b:Title>
    <b:JournalName>Social Responsibility Journal</b:JournalName>
    <b:Year>2014</b:Year>
    <b:Pages>569-590</b:Pages>
    <b:Author>
      <b:Author>
        <b:NameList>
          <b:Person>
            <b:Last>Giannarakis</b:Last>
            <b:First>G</b:First>
          </b:Person>
        </b:NameList>
      </b:Author>
    </b:Author>
    <b:RefOrder>13</b:RefOrder>
  </b:Source>
  <b:Source>
    <b:Tag>Blo20</b:Tag>
    <b:SourceType>InternetSite</b:SourceType>
    <b:Guid>{F4CC9E94-0289-4056-8C61-156950796455}</b:Guid>
    <b:Author>
      <b:Author>
        <b:NameList>
          <b:Person>
            <b:Last>Bloomberg</b:Last>
          </b:Person>
        </b:NameList>
      </b:Author>
    </b:Author>
    <b:Title>bloomberg.com</b:Title>
    <b:YearAccessed>2020</b:YearAccessed>
    <b:MonthAccessed>March</b:MonthAccessed>
    <b:DayAccessed>11</b:DayAccessed>
    <b:URL>https://www.bloomberg.com/impact/products/esg-data/</b:URL>
    <b:InternetSiteTitle>www.bloomberg.com</b:InternetSiteTitle>
    <b:Year>2020</b:Year>
    <b:RefOrder>14</b:RefOrder>
  </b:Source>
  <b:Source>
    <b:Tag>Kav101</b:Tag>
    <b:SourceType>JournalArticle</b:SourceType>
    <b:Guid>{69EAAADE-FFEC-489A-BA33-C1AB574BBABE}</b:Guid>
    <b:Title>Kurumsal Yönetim, Kurumsal Sosyal Sorumluluk ve Çevresel Açıklamaların İncelenmesi</b:Title>
    <b:Year>2010</b:Year>
    <b:JournalName>İstanbul Üniversitesi İşletme Fakültesi İşletme İktisadı Enstitüsü Yönetim Dergisi</b:JournalName>
    <b:Pages>9-43</b:Pages>
    <b:Author>
      <b:Author>
        <b:NameList>
          <b:Person>
            <b:Last>Kavut</b:Last>
            <b:First>Lerzan</b:First>
          </b:Person>
        </b:NameList>
      </b:Author>
    </b:Author>
    <b:RefOrder>15</b:RefOrder>
  </b:Source>
  <b:Source>
    <b:Tag>Kay10</b:Tag>
    <b:SourceType>JournalArticle</b:SourceType>
    <b:Guid>{AE416483-33B2-4068-8E5A-82E4F9D1BF74}</b:Guid>
    <b:Title>Sürdürülebilir Kalkınma Sürecinde Bankaların Rolü ve Türkiye'de Sürdürülebilir Bankacılık Uygulamaları</b:Title>
    <b:JournalName>İşletme Araştırmaları Dergisi</b:JournalName>
    <b:Year>2010</b:Year>
    <b:Pages>75-94</b:Pages>
    <b:Author>
      <b:Author>
        <b:NameList>
          <b:Person>
            <b:Last>Kaya</b:Last>
            <b:Middle>Öner</b:Middle>
            <b:First>Emine</b:First>
          </b:Person>
        </b:NameList>
      </b:Author>
    </b:Author>
    <b:RefOrder>16</b:RefOrder>
  </b:Source>
  <b:Source>
    <b:Tag>Top17</b:Tag>
    <b:SourceType>JournalArticle</b:SourceType>
    <b:Guid>{F47E997C-3855-465F-B2CF-79B613B85811}</b:Guid>
    <b:Title>CEO İkiliği (Duality) ve Yönetim Kurulu Büyüklüğünün Sermaye Yapısı Karalarına Etkisi</b:Title>
    <b:JournalName>Akademik Bakış Dergisi</b:JournalName>
    <b:Year>2017</b:Year>
    <b:Pages>294-299</b:Pages>
    <b:Author>
      <b:Author>
        <b:NameList>
          <b:Person>
            <b:Last>Topaloğlu </b:Last>
            <b:First>Emre Esat</b:First>
          </b:Person>
          <b:Person>
            <b:Last>Ege</b:Last>
            <b:First>İlhan</b:First>
          </b:Person>
        </b:NameList>
      </b:Author>
    </b:Author>
    <b:RefOrder>17</b:RefOrder>
  </b:Source>
  <b:Source>
    <b:Tag>Işı16</b:Tag>
    <b:SourceType>JournalArticle</b:SourceType>
    <b:Guid>{A46B456A-174E-4A52-BC14-6E4F50B9A82C}</b:Guid>
    <b:Title>Board Size, Board Composition and Performance: An Investigation on Turkish Banks</b:Title>
    <b:JournalName>International Business Research</b:JournalName>
    <b:Year>2016</b:Year>
    <b:Pages>74-84</b:Pages>
    <b:Author>
      <b:Author>
        <b:NameList>
          <b:Person>
            <b:Last>Işık</b:Last>
            <b:First>Özcan</b:First>
          </b:Person>
          <b:Person>
            <b:Last>İnce</b:Last>
            <b:Middle>Rıza</b:Middle>
            <b:First>Ali</b:First>
          </b:Person>
        </b:NameList>
      </b:Author>
    </b:Author>
    <b:RefOrder>18</b:RefOrder>
  </b:Source>
  <b:Source>
    <b:Tag>Sob16</b:Tag>
    <b:SourceType>JournalArticle</b:SourceType>
    <b:Guid>{17D83D16-19B6-476B-882D-E8FF8167A1E7}</b:Guid>
    <b:Title>The Impact of Corporate Governance Practises on Bank Efficiency: A case of Turkey</b:Title>
    <b:JournalName>Süleyman Demirel Üniversitesi Sosyal Bilimler Enstitüsü Dergisi</b:JournalName>
    <b:Year>2016</b:Year>
    <b:Pages>305-322</b:Pages>
    <b:Author>
      <b:Author>
        <b:NameList>
          <b:Person>
            <b:Last>Soba</b:Last>
            <b:First>Mustafa</b:First>
          </b:Person>
          <b:Person>
            <b:Last>Erem</b:Last>
            <b:First>Işıl</b:First>
          </b:Person>
          <b:Person>
            <b:Last>Ceylan</b:Last>
            <b:First>Fatih</b:First>
          </b:Person>
        </b:NameList>
      </b:Author>
    </b:Author>
    <b:RefOrder>19</b:RefOrder>
  </b:Source>
  <b:Source>
    <b:Tag>Özb18</b:Tag>
    <b:SourceType>JournalArticle</b:SourceType>
    <b:Guid>{1FA009A0-039B-4EA4-94C3-4F1585EA9A96}</b:Guid>
    <b:Title>Türkiye'de Banka Genel Müdürlerinin Lisans Öğrenimlerinin Bankaların Performansı Üzerinde Etkisi</b:Title>
    <b:JournalName>Muhasebe ve Denetime Bakış</b:JournalName>
    <b:Year>2018</b:Year>
    <b:Pages>25-40</b:Pages>
    <b:Author>
      <b:Author>
        <b:NameList>
          <b:Person>
            <b:Last>Özbek</b:Last>
            <b:Middle>Yiğit</b:Middle>
            <b:First>Cevdet</b:First>
          </b:Person>
        </b:NameList>
      </b:Author>
    </b:Author>
    <b:RefOrder>20</b:RefOrder>
  </b:Source>
  <b:Source>
    <b:Tag>Ers18</b:Tag>
    <b:SourceType>JournalArticle</b:SourceType>
    <b:Guid>{B0C7D671-9B56-4CDF-A9A4-AF93DF5710B6}</b:Guid>
    <b:Title>Yönetim Kurulu Yapısı ve Banka Kârlılığı Arasındaki İlişki: Dinamik Panel Veri Analizi</b:Title>
    <b:Year>2018</b:Year>
    <b:Pages>248-264</b:Pages>
    <b:Author>
      <b:Author>
        <b:NameList>
          <b:Person>
            <b:Last>Ersoy</b:Last>
            <b:First>Ersan</b:First>
          </b:Person>
          <b:Person>
            <b:Last>Aydın</b:Last>
            <b:First>Yüksel</b:First>
          </b:Person>
        </b:NameList>
      </b:Author>
    </b:Author>
    <b:ConferenceName>1. Uluslararası Bankacılık Kongresi</b:ConferenceName>
    <b:City>Ankara</b:City>
    <b:JournalName>Nevşehir Hacı Bektaş Veli Üniversitesi SBE Dergisi</b:JournalName>
    <b:RefOrder>21</b:RefOrder>
  </b:Source>
  <b:Source>
    <b:Tag>Güm17</b:Tag>
    <b:SourceType>JournalArticle</b:SourceType>
    <b:Guid>{FE7383E1-0949-4A5D-B8A3-04013E971E85}</b:Guid>
    <b:Title>Bankacılık Sektöründe Kurumsal Yönetim ve Performans İlişkisi: Türkiye Kazakistan Örneği</b:Title>
    <b:JournalName>Kastamonu Üniversitesi İktisadi ve İdari Bilimler Fakültesi Dergisi</b:JournalName>
    <b:Year>2017</b:Year>
    <b:Pages>104-121</b:Pages>
    <b:Author>
      <b:Author>
        <b:NameList>
          <b:Person>
            <b:Last>Gümüş</b:Last>
            <b:Middle>Kurt</b:Middle>
            <b:First>Gülizar</b:First>
          </b:Person>
          <b:Person>
            <b:Last>Gümüş</b:Last>
            <b:First>Yusuf</b:First>
          </b:Person>
          <b:Person>
            <b:Last>Altunal</b:Last>
            <b:First>Işık</b:First>
          </b:Person>
        </b:NameList>
      </b:Author>
    </b:Author>
    <b:RefOrder>22</b:RefOrder>
  </b:Source>
  <b:Source>
    <b:Tag>Çel17</b:Tag>
    <b:SourceType>JournalArticle</b:SourceType>
    <b:Guid>{B590BA57-0F34-418A-83C5-5C8BEA7FC15C}</b:Guid>
    <b:Title>Yönetim Kurulu Özelliklerinin Finansal Kurumların Firma Değeri Üzerindeki Etkisi</b:Title>
    <b:JournalName>Uşak Üniversitesi Sosyal Bilimler Dergisi</b:JournalName>
    <b:Year>2017</b:Year>
    <b:Pages>15-26</b:Pages>
    <b:Author>
      <b:Author>
        <b:NameList>
          <b:Person>
            <b:Last>Çelik </b:Last>
            <b:First>Sibel</b:First>
          </b:Person>
          <b:Person>
            <b:Last>Acar</b:Last>
            <b:First>Burcu</b:First>
          </b:Person>
          <b:Person>
            <b:Last>Dönmez</b:Last>
            <b:First>Elmas</b:First>
          </b:Person>
        </b:NameList>
      </b:Author>
    </b:Author>
    <b:RefOrder>23</b:RefOrder>
  </b:Source>
  <b:Source>
    <b:Tag>Lag18</b:Tag>
    <b:SourceType>JournalArticle</b:SourceType>
    <b:Guid>{98BF80E5-E2F6-47D9-B1D0-B57A6225B39C}</b:Guid>
    <b:Title>Corporate Governance and Environmental Social Governance Disclosure: A Meta-Analytical Review</b:Title>
    <b:JournalName>Corporate Social Responsibility and Environmental Management</b:JournalName>
    <b:Year>2018</b:Year>
    <b:Pages>701-711</b:Pages>
    <b:Author>
      <b:Author>
        <b:NameList>
          <b:Person>
            <b:Last>Lagasio</b:Last>
            <b:First>Valentina</b:First>
          </b:Person>
          <b:Person>
            <b:Last>Cucari</b:Last>
            <b:First>Nicolo</b:First>
          </b:Person>
        </b:NameList>
      </b:Author>
    </b:Author>
    <b:RefOrder>24</b:RefOrder>
  </b:Source>
  <b:Source>
    <b:Tag>Esa12</b:Tag>
    <b:SourceType>JournalArticle</b:SourceType>
    <b:Guid>{6763B5FC-E3B0-4599-B10A-D36F7505BA29}</b:Guid>
    <b:Title>Corporate social responsibility and corporate governance in Malaysian governmnt-linked companies</b:Title>
    <b:JournalName>Corporate Governance</b:JournalName>
    <b:Year>2012</b:Year>
    <b:Pages>292-305</b:Pages>
    <b:Author>
      <b:Author>
        <b:NameList>
          <b:Person>
            <b:Last>Esa</b:Last>
            <b:First>Elinda</b:First>
          </b:Person>
          <b:Person>
            <b:Last>Ghazali</b:Last>
            <b:Middle>Anum Mohd</b:Middle>
            <b:First>Nazlı</b:First>
          </b:Person>
        </b:NameList>
      </b:Author>
    </b:Author>
    <b:RefOrder>25</b:RefOrder>
  </b:Source>
  <b:Source>
    <b:Tag>All13</b:Tag>
    <b:SourceType>JournalArticle</b:SourceType>
    <b:Guid>{7EDA9CC9-01FE-4151-959A-F510908A26CF}</b:Guid>
    <b:Title>Corporate Boards, Audit Commitees and Voluntary Disclosure: Evidence from Italian listed companies </b:Title>
    <b:JournalName>Journal of Management Studies</b:JournalName>
    <b:Year>2013</b:Year>
    <b:Pages>1089-1112</b:Pages>
    <b:Author>
      <b:Author>
        <b:NameList>
          <b:Person>
            <b:Last>Allegrini</b:Last>
            <b:First>M</b:First>
          </b:Person>
          <b:Person>
            <b:Last>Greco</b:Last>
            <b:First>G</b:First>
          </b:Person>
        </b:NameList>
      </b:Author>
    </b:Author>
    <b:RefOrder>26</b:RefOrder>
  </b:Source>
  <b:Source>
    <b:Tag>Eag031</b:Tag>
    <b:SourceType>JournalArticle</b:SourceType>
    <b:Guid>{5959F847-FFBD-4C41-8630-F0AB83BA323E}</b:Guid>
    <b:Title>Transformational, Transactional and Laissez-faire Leadership Styles: a meta-analysis comparing women and men</b:Title>
    <b:JournalName>Phychological Bulletin </b:JournalName>
    <b:Year>2003</b:Year>
    <b:Pages>569-591</b:Pages>
    <b:Author>
      <b:Author>
        <b:NameList>
          <b:Person>
            <b:Last>Eagly</b:Last>
            <b:Middle>H</b:Middle>
            <b:First>A</b:First>
          </b:Person>
          <b:Person>
            <b:Last>Johannesen-Schmidt</b:Last>
            <b:Middle>C</b:Middle>
            <b:First>M</b:First>
          </b:Person>
          <b:Person>
            <b:Last>Van Engen</b:Last>
            <b:Middle>L</b:Middle>
            <b:First>M</b:First>
          </b:Person>
        </b:NameList>
      </b:Author>
    </b:Author>
    <b:RefOrder>27</b:RefOrder>
  </b:Source>
  <b:Source>
    <b:Tag>McG17</b:Tag>
    <b:SourceType>JournalArticle</b:SourceType>
    <b:Guid>{C03EA051-FE08-4DED-8C03-C3501E5C4979}</b:Guid>
    <b:Title>The role of board gender and foreign ownership in the CSR performance of Chinese listed firms</b:Title>
    <b:JournalName>Journal of Corporate Finance</b:JournalName>
    <b:Year>2017</b:Year>
    <b:Pages>75-99</b:Pages>
    <b:Author>
      <b:Author>
        <b:NameList>
          <b:Person>
            <b:Last>Mc Guiness</b:Last>
            <b:Middle>B</b:Middle>
            <b:First>Paul</b:First>
          </b:Person>
          <b:Person>
            <b:Last>Vieito</b:Last>
            <b:Middle>Paulo</b:Middle>
            <b:First>Joao</b:First>
          </b:Person>
          <b:Person>
            <b:Last>Wang</b:Last>
            <b:First>Mingzhu</b:First>
          </b:Person>
        </b:NameList>
      </b:Author>
    </b:Author>
    <b:RefOrder>28</b:RefOrder>
  </b:Source>
  <b:Source>
    <b:Tag>Vel161</b:Tag>
    <b:SourceType>JournalArticle</b:SourceType>
    <b:Guid>{A49407D5-FDD5-4716-B381-E75B2D84092F}</b:Guid>
    <b:Title>Women on Management Board and ESG Performance</b:Title>
    <b:JournalName>Journal of Global Responsibility</b:JournalName>
    <b:Year>2016</b:Year>
    <b:Pages>98-109</b:Pages>
    <b:Author>
      <b:Author>
        <b:NameList>
          <b:Person>
            <b:Last>Velte</b:Last>
            <b:First>Patrick </b:First>
          </b:Person>
        </b:NameList>
      </b:Author>
    </b:Author>
    <b:RefOrder>2</b:RefOrder>
  </b:Source>
  <b:Source>
    <b:Tag>YerTutucu1</b:Tag>
    <b:SourceType>JournalArticle</b:SourceType>
    <b:Guid>{1DA340B8-610C-4CC3-BDBF-5776773B20F9}</b:Guid>
    <b:RefOrder>29</b:RefOrder>
  </b:Source>
  <b:Source>
    <b:Tag>Bir181</b:Tag>
    <b:SourceType>JournalArticle</b:SourceType>
    <b:Guid>{7A047267-A134-4C47-A973-8EBFA8D2C6ED}</b:Guid>
    <b:Title>Composition and Activity of the Board of Directors: Impact on ESG Performance in Banking System</b:Title>
    <b:JournalName>Sustainability</b:JournalName>
    <b:Year>2018</b:Year>
    <b:Author>
      <b:Author>
        <b:NameList>
          <b:Person>
            <b:Last>Birindelli</b:Last>
            <b:First>Guliana</b:First>
          </b:Person>
          <b:Person>
            <b:Last>Dell'Atti</b:Last>
            <b:First>Stefano</b:First>
          </b:Person>
          <b:Person>
            <b:Last>Antonia</b:Last>
            <b:First>Patrizia Iannuzzi</b:First>
          </b:Person>
          <b:Person>
            <b:Last>Savioli</b:Last>
            <b:First>Marco</b:First>
          </b:Person>
        </b:NameList>
      </b:Author>
    </b:Author>
    <b:Pages>2-20</b:Pages>
    <b:RefOrder>3</b:RefOrder>
  </b:Source>
  <b:Source>
    <b:Tag>YerTutucu2</b:Tag>
    <b:SourceType>JournalArticle</b:SourceType>
    <b:Guid>{749011BE-56E7-4FD4-8FEA-738AD4AE9C66}</b:Guid>
    <b:Title>Composition and Activity of the Board of Directors: Impact on ESG Performance in Banking System</b:Title>
    <b:JournalName>Sustainability</b:JournalName>
    <b:Year>2018</b:Year>
    <b:Author>
      <b:Author>
        <b:NameList>
          <b:Person>
            <b:Last>Birindelli</b:Last>
            <b:First>Guliana</b:First>
          </b:Person>
          <b:Person>
            <b:Last>Dell'Atti</b:Last>
            <b:First>Stefano</b:First>
          </b:Person>
          <b:Person>
            <b:Last>Antonia</b:Last>
            <b:First>Patrizia Iannuzzi</b:First>
          </b:Person>
          <b:Person>
            <b:Last>Savioli</b:Last>
            <b:First>Marco</b:First>
          </b:Person>
        </b:NameList>
      </b:Author>
    </b:Author>
    <b:RefOrder>30</b:RefOrder>
  </b:Source>
  <b:Source>
    <b:Tag>And04</b:Tag>
    <b:SourceType>JournalArticle</b:SourceType>
    <b:Guid>{2BD4328A-F470-4692-BB56-7A4CBD8F3379}</b:Guid>
    <b:Title>Board Characteristics, Accounting Report Integrity, and the Cost of Debt</b:Title>
    <b:JournalName>Journal of Accounting and Economics</b:JournalName>
    <b:Year>2004</b:Year>
    <b:Author>
      <b:Author>
        <b:NameList>
          <b:Person>
            <b:Last>Anderson</b:Last>
            <b:Middle>C</b:Middle>
            <b:First>R</b:First>
          </b:Person>
          <b:Person>
            <b:Last>Mansi</b:Last>
            <b:Middle>A</b:Middle>
            <b:First>S</b:First>
          </b:Person>
          <b:Person>
            <b:Last>Reeb</b:Last>
            <b:Middle>M</b:Middle>
            <b:First>D</b:First>
          </b:Person>
        </b:NameList>
      </b:Author>
    </b:Author>
    <b:Pages>315-342</b:Pages>
    <b:RefOrder>31</b:RefOrder>
  </b:Source>
  <b:Source>
    <b:Tag>YerTutucu3</b:Tag>
    <b:SourceType>JournalArticle</b:SourceType>
    <b:Guid>{55264808-5099-45EA-A0A7-E822579C2463}</b:Guid>
    <b:Title>Board Characteristics, Accounting Report Integrity, and the Cost of Debt </b:Title>
    <b:JournalName>Journal</b:JournalName>
    <b:Year>2004</b:Year>
    <b:Author>
      <b:Author>
        <b:NameList>
          <b:Person>
            <b:Last>Anderson</b:Last>
            <b:Middle>C</b:Middle>
            <b:First>R</b:First>
          </b:Person>
          <b:Person>
            <b:Last>Mansi</b:Last>
            <b:Middle>A</b:Middle>
            <b:First>S</b:First>
          </b:Person>
          <b:Person>
            <b:Last>Reeb</b:Last>
            <b:Middle>M</b:Middle>
            <b:First>D</b:First>
          </b:Person>
        </b:NameList>
      </b:Author>
    </b:Author>
    <b:RefOrder>12</b:RefOrder>
  </b:Source>
</b:Sources>
</file>

<file path=customXml/itemProps1.xml><?xml version="1.0" encoding="utf-8"?>
<ds:datastoreItem xmlns:ds="http://schemas.openxmlformats.org/officeDocument/2006/customXml" ds:itemID="{22A1D075-08D1-4F9E-95A3-41F12EF8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4636</Words>
  <Characters>26427</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GÜROL</dc:creator>
  <cp:keywords/>
  <dc:description/>
  <cp:lastModifiedBy>BURCU GÜROL</cp:lastModifiedBy>
  <cp:revision>2</cp:revision>
  <dcterms:created xsi:type="dcterms:W3CDTF">2021-03-29T14:29:00Z</dcterms:created>
  <dcterms:modified xsi:type="dcterms:W3CDTF">2021-03-29T14:29:00Z</dcterms:modified>
</cp:coreProperties>
</file>