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5DB56EC1" w:rsidR="00890B2E" w:rsidRPr="001A13FF" w:rsidRDefault="003A483C" w:rsidP="003A483C">
      <w:pPr>
        <w:jc w:val="center"/>
        <w:rPr>
          <w:rFonts w:ascii="Times New Roman" w:hAnsi="Times New Roman" w:cs="Times New Roman"/>
          <w:b/>
          <w:color w:val="FF0000"/>
          <w:sz w:val="28"/>
          <w:szCs w:val="28"/>
        </w:rPr>
      </w:pPr>
      <w:r w:rsidRPr="003A483C">
        <w:rPr>
          <w:rFonts w:ascii="Times New Roman" w:hAnsi="Times New Roman" w:cs="Times New Roman"/>
          <w:b/>
          <w:sz w:val="28"/>
          <w:szCs w:val="28"/>
          <w:lang w:val="en-US"/>
        </w:rPr>
        <w:t>THE INHIBITION EFFECTS INVESTIGATION OF METAL COMPLEXES WITH COUMARIN SCHIFF BASE ON G6PD ACTIVITY</w:t>
      </w:r>
    </w:p>
    <w:p w14:paraId="2556BB2B" w14:textId="4B6F9E83" w:rsidR="00890B2E" w:rsidRPr="00B7076A" w:rsidRDefault="003A483C" w:rsidP="003A483C">
      <w:pPr>
        <w:spacing w:before="120" w:after="120"/>
        <w:jc w:val="center"/>
        <w:rPr>
          <w:rFonts w:cstheme="minorHAnsi"/>
          <w:b/>
          <w:vertAlign w:val="superscript"/>
        </w:rPr>
      </w:pPr>
      <w:proofErr w:type="spellStart"/>
      <w:r w:rsidRPr="003A483C">
        <w:rPr>
          <w:rFonts w:ascii="Times New Roman" w:hAnsi="Times New Roman" w:cs="Times New Roman"/>
          <w:b/>
          <w:bCs/>
          <w:i/>
          <w:lang w:val="en-US"/>
        </w:rPr>
        <w:t>Zeyad</w:t>
      </w:r>
      <w:proofErr w:type="spellEnd"/>
      <w:r w:rsidRPr="003A483C">
        <w:rPr>
          <w:rFonts w:ascii="Times New Roman" w:hAnsi="Times New Roman" w:cs="Times New Roman"/>
          <w:b/>
          <w:bCs/>
          <w:i/>
          <w:lang w:val="en-US"/>
        </w:rPr>
        <w:t xml:space="preserve"> </w:t>
      </w:r>
      <w:proofErr w:type="spellStart"/>
      <w:r w:rsidRPr="003A483C">
        <w:rPr>
          <w:rFonts w:ascii="Times New Roman" w:hAnsi="Times New Roman" w:cs="Times New Roman"/>
          <w:b/>
          <w:bCs/>
          <w:i/>
          <w:lang w:val="en-US"/>
        </w:rPr>
        <w:t>Adil</w:t>
      </w:r>
      <w:proofErr w:type="spellEnd"/>
      <w:r w:rsidRPr="003A483C">
        <w:rPr>
          <w:rFonts w:ascii="Times New Roman" w:hAnsi="Times New Roman" w:cs="Times New Roman"/>
          <w:b/>
          <w:bCs/>
          <w:i/>
          <w:lang w:val="en-US"/>
        </w:rPr>
        <w:t xml:space="preserve"> HAMEED</w:t>
      </w:r>
      <w:r w:rsidR="00890B2E" w:rsidRPr="00F07AEF">
        <w:rPr>
          <w:rFonts w:ascii="Times New Roman" w:hAnsi="Times New Roman" w:cs="Times New Roman"/>
          <w:b/>
          <w:i/>
          <w:vertAlign w:val="superscript"/>
        </w:rPr>
        <w:t>,*</w:t>
      </w:r>
      <w:r w:rsidR="00890B2E" w:rsidRPr="00F07AEF">
        <w:rPr>
          <w:rFonts w:ascii="Times New Roman" w:hAnsi="Times New Roman" w:cs="Times New Roman"/>
          <w:b/>
          <w:i/>
          <w:noProof/>
          <w:lang w:val="en-US"/>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Pr="003A483C">
        <w:rPr>
          <w:rFonts w:ascii="Times New Roman" w:hAnsi="Times New Roman" w:cs="Times New Roman"/>
          <w:b/>
          <w:bCs/>
          <w:i/>
          <w:lang w:val="en-US"/>
        </w:rPr>
        <w:t>Prof. Dr.</w:t>
      </w:r>
      <w:r w:rsidRPr="003A483C">
        <w:rPr>
          <w:rFonts w:ascii="Times New Roman" w:hAnsi="Times New Roman" w:cs="Times New Roman"/>
          <w:b/>
          <w:i/>
          <w:lang w:val="en-US"/>
        </w:rPr>
        <w:t xml:space="preserve"> </w:t>
      </w:r>
      <w:proofErr w:type="spellStart"/>
      <w:r w:rsidRPr="003A483C">
        <w:rPr>
          <w:rFonts w:ascii="Times New Roman" w:hAnsi="Times New Roman" w:cs="Times New Roman"/>
          <w:b/>
          <w:bCs/>
          <w:i/>
          <w:lang w:val="en-US"/>
        </w:rPr>
        <w:t>Ümmühan</w:t>
      </w:r>
      <w:proofErr w:type="spellEnd"/>
      <w:r w:rsidRPr="003A483C">
        <w:rPr>
          <w:rFonts w:ascii="Times New Roman" w:hAnsi="Times New Roman" w:cs="Times New Roman"/>
          <w:b/>
          <w:bCs/>
          <w:i/>
          <w:lang w:val="en-US"/>
        </w:rPr>
        <w:t xml:space="preserve"> </w:t>
      </w:r>
      <w:proofErr w:type="spellStart"/>
      <w:r w:rsidRPr="003A483C">
        <w:rPr>
          <w:rFonts w:ascii="Times New Roman" w:hAnsi="Times New Roman" w:cs="Times New Roman"/>
          <w:b/>
          <w:bCs/>
          <w:i/>
          <w:lang w:val="en-US"/>
        </w:rPr>
        <w:t>Özdemir</w:t>
      </w:r>
      <w:proofErr w:type="spellEnd"/>
      <w:r w:rsidRPr="003A483C">
        <w:rPr>
          <w:rFonts w:ascii="Times New Roman" w:hAnsi="Times New Roman" w:cs="Times New Roman"/>
          <w:b/>
          <w:bCs/>
          <w:i/>
          <w:lang w:val="en-US"/>
        </w:rPr>
        <w:t xml:space="preserve"> ÖZMEN</w:t>
      </w:r>
      <w:r w:rsidRPr="003A483C">
        <w:rPr>
          <w:rFonts w:ascii="Times New Roman" w:hAnsi="Times New Roman" w:cs="Times New Roman"/>
          <w:b/>
          <w:i/>
          <w:lang w:val="en-US"/>
        </w:rPr>
        <w:t xml:space="preserve"> </w:t>
      </w:r>
      <w:r w:rsidR="00825BB9" w:rsidRPr="00F07AEF">
        <w:rPr>
          <w:rFonts w:ascii="Times New Roman" w:hAnsi="Times New Roman" w:cs="Times New Roman"/>
          <w:b/>
          <w:i/>
          <w:noProof/>
          <w:lang w:val="en-US"/>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sidRPr="003A483C">
        <w:rPr>
          <w:rFonts w:ascii="Times New Roman" w:hAnsi="Times New Roman" w:cs="Times New Roman"/>
          <w:b/>
          <w:bCs/>
          <w:i/>
          <w:lang w:val="en-US"/>
        </w:rPr>
        <w:t xml:space="preserve">Assoc. Prof. Dr. </w:t>
      </w:r>
      <w:proofErr w:type="spellStart"/>
      <w:r w:rsidRPr="003A483C">
        <w:rPr>
          <w:rFonts w:ascii="Times New Roman" w:hAnsi="Times New Roman" w:cs="Times New Roman"/>
          <w:b/>
          <w:bCs/>
          <w:i/>
          <w:lang w:val="en-US"/>
        </w:rPr>
        <w:t>Şevki</w:t>
      </w:r>
      <w:proofErr w:type="spellEnd"/>
      <w:r w:rsidRPr="003A483C">
        <w:rPr>
          <w:rFonts w:ascii="Times New Roman" w:hAnsi="Times New Roman" w:cs="Times New Roman"/>
          <w:b/>
          <w:bCs/>
          <w:i/>
          <w:lang w:val="en-US"/>
        </w:rPr>
        <w:t xml:space="preserve"> ADEM</w:t>
      </w:r>
      <w:r w:rsidRPr="003A483C">
        <w:rPr>
          <w:rFonts w:ascii="Times New Roman" w:hAnsi="Times New Roman" w:cs="Times New Roman"/>
          <w:b/>
          <w:i/>
          <w:lang w:val="en-US"/>
        </w:rPr>
        <w:t xml:space="preserve"> </w:t>
      </w:r>
      <w:r w:rsidR="00825BB9" w:rsidRPr="00F07AEF">
        <w:rPr>
          <w:rFonts w:ascii="Times New Roman" w:hAnsi="Times New Roman" w:cs="Times New Roman"/>
          <w:b/>
          <w:i/>
          <w:noProof/>
          <w:lang w:val="en-US"/>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2543ABE9" w:rsidR="00890B2E" w:rsidRDefault="003A483C" w:rsidP="003A483C">
      <w:pPr>
        <w:autoSpaceDE w:val="0"/>
        <w:autoSpaceDN w:val="0"/>
        <w:spacing w:before="120" w:after="0"/>
        <w:jc w:val="center"/>
        <w:rPr>
          <w:rFonts w:ascii="Times New Roman" w:hAnsi="Times New Roman" w:cs="Times New Roman"/>
          <w:b/>
          <w:i/>
          <w:color w:val="FF0000"/>
          <w:sz w:val="18"/>
          <w:szCs w:val="18"/>
        </w:rPr>
      </w:pPr>
      <w:r w:rsidRPr="003A483C">
        <w:rPr>
          <w:rFonts w:ascii="Times New Roman" w:hAnsi="Times New Roman" w:cs="Times New Roman"/>
          <w:i/>
          <w:sz w:val="18"/>
          <w:szCs w:val="18"/>
          <w:vertAlign w:val="superscript"/>
          <w:lang w:val="en-US"/>
        </w:rPr>
        <w:t xml:space="preserve">Turkey,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Karatekin</w:t>
      </w:r>
      <w:proofErr w:type="spellEnd"/>
      <w:r w:rsidRPr="003A483C">
        <w:rPr>
          <w:rFonts w:ascii="Times New Roman" w:hAnsi="Times New Roman" w:cs="Times New Roman"/>
          <w:i/>
          <w:sz w:val="18"/>
          <w:szCs w:val="18"/>
          <w:vertAlign w:val="superscript"/>
          <w:lang w:val="en-US"/>
        </w:rPr>
        <w:t xml:space="preserve"> University, Natural and Applied Sciences, Department of Chemistry</w:t>
      </w:r>
    </w:p>
    <w:p w14:paraId="1841C66D" w14:textId="3B451CC6" w:rsidR="001558FC" w:rsidRPr="00B7076A" w:rsidRDefault="003A483C" w:rsidP="003A483C">
      <w:pPr>
        <w:autoSpaceDE w:val="0"/>
        <w:autoSpaceDN w:val="0"/>
        <w:spacing w:before="120" w:after="0"/>
        <w:jc w:val="center"/>
        <w:rPr>
          <w:rFonts w:ascii="Times New Roman" w:hAnsi="Times New Roman" w:cs="Times New Roman"/>
          <w:sz w:val="18"/>
          <w:szCs w:val="18"/>
        </w:rPr>
      </w:pPr>
      <w:r w:rsidRPr="003A483C">
        <w:rPr>
          <w:rFonts w:ascii="Times New Roman" w:eastAsia="MS Mincho" w:hAnsi="Times New Roman" w:cs="Times New Roman"/>
          <w:i/>
          <w:iCs/>
          <w:sz w:val="18"/>
          <w:szCs w:val="18"/>
          <w:vertAlign w:val="superscript"/>
          <w:lang w:val="en-US"/>
        </w:rPr>
        <w:t xml:space="preserve">Turkey, </w:t>
      </w:r>
      <w:r>
        <w:rPr>
          <w:rFonts w:ascii="Times New Roman" w:eastAsia="MS Mincho" w:hAnsi="Times New Roman" w:cs="Times New Roman"/>
          <w:i/>
          <w:iCs/>
          <w:sz w:val="18"/>
          <w:szCs w:val="18"/>
          <w:vertAlign w:val="superscript"/>
          <w:lang w:val="en-US"/>
        </w:rPr>
        <w:t>Ankara</w:t>
      </w:r>
      <w:r w:rsidRPr="003A483C">
        <w:rPr>
          <w:rFonts w:ascii="Times New Roman" w:eastAsia="MS Mincho" w:hAnsi="Times New Roman" w:cs="Times New Roman"/>
          <w:i/>
          <w:iCs/>
          <w:sz w:val="18"/>
          <w:szCs w:val="18"/>
          <w:vertAlign w:val="superscript"/>
          <w:lang w:val="en-US"/>
        </w:rPr>
        <w:t xml:space="preserve">,  </w:t>
      </w:r>
      <w:r w:rsidRPr="003A483C">
        <w:rPr>
          <w:rFonts w:ascii="Times New Roman" w:eastAsia="MS Mincho" w:hAnsi="Times New Roman" w:cs="Times New Roman"/>
          <w:i/>
          <w:iCs/>
          <w:sz w:val="18"/>
          <w:szCs w:val="18"/>
          <w:vertAlign w:val="superscript"/>
        </w:rPr>
        <w:t>Gazi University</w:t>
      </w:r>
      <w:r w:rsidRPr="003A483C">
        <w:rPr>
          <w:rFonts w:ascii="Times New Roman" w:eastAsia="MS Mincho" w:hAnsi="Times New Roman" w:cs="Times New Roman"/>
          <w:i/>
          <w:iCs/>
          <w:sz w:val="18"/>
          <w:szCs w:val="18"/>
          <w:vertAlign w:val="superscript"/>
          <w:lang w:val="en-US"/>
        </w:rPr>
        <w:t>, Natural and Applied Sciences, Department of Chemistry</w:t>
      </w:r>
    </w:p>
    <w:p w14:paraId="2E66071C" w14:textId="22B6DB30" w:rsidR="001558FC" w:rsidRPr="00B7076A" w:rsidRDefault="003A483C" w:rsidP="003A483C">
      <w:pPr>
        <w:autoSpaceDE w:val="0"/>
        <w:autoSpaceDN w:val="0"/>
        <w:spacing w:before="120" w:after="0"/>
        <w:jc w:val="center"/>
        <w:rPr>
          <w:rFonts w:ascii="Times New Roman" w:hAnsi="Times New Roman" w:cs="Times New Roman"/>
          <w:sz w:val="18"/>
          <w:szCs w:val="18"/>
        </w:rPr>
      </w:pPr>
      <w:r w:rsidRPr="003A483C">
        <w:rPr>
          <w:rFonts w:ascii="Times New Roman" w:hAnsi="Times New Roman" w:cs="Times New Roman"/>
          <w:i/>
          <w:sz w:val="18"/>
          <w:szCs w:val="18"/>
          <w:vertAlign w:val="superscript"/>
          <w:lang w:val="en-US"/>
        </w:rPr>
        <w:t xml:space="preserve">Turkey,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Çankırı</w:t>
      </w:r>
      <w:proofErr w:type="spellEnd"/>
      <w:r w:rsidRPr="003A483C">
        <w:rPr>
          <w:rFonts w:ascii="Times New Roman" w:hAnsi="Times New Roman" w:cs="Times New Roman"/>
          <w:i/>
          <w:sz w:val="18"/>
          <w:szCs w:val="18"/>
          <w:vertAlign w:val="superscript"/>
          <w:lang w:val="en-US"/>
        </w:rPr>
        <w:t xml:space="preserve"> </w:t>
      </w:r>
      <w:proofErr w:type="spellStart"/>
      <w:r w:rsidRPr="003A483C">
        <w:rPr>
          <w:rFonts w:ascii="Times New Roman" w:hAnsi="Times New Roman" w:cs="Times New Roman"/>
          <w:i/>
          <w:sz w:val="18"/>
          <w:szCs w:val="18"/>
          <w:vertAlign w:val="superscript"/>
          <w:lang w:val="en-US"/>
        </w:rPr>
        <w:t>Karatekin</w:t>
      </w:r>
      <w:proofErr w:type="spellEnd"/>
      <w:r w:rsidRPr="003A483C">
        <w:rPr>
          <w:rFonts w:ascii="Times New Roman" w:hAnsi="Times New Roman" w:cs="Times New Roman"/>
          <w:i/>
          <w:sz w:val="18"/>
          <w:szCs w:val="18"/>
          <w:vertAlign w:val="superscript"/>
          <w:lang w:val="en-US"/>
        </w:rPr>
        <w:t xml:space="preserve"> University, Natural and Applied Sciences, Department of Chemistry</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a5"/>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5716B23C" w:rsidR="001558FC" w:rsidRPr="007F5C18" w:rsidRDefault="003A483C" w:rsidP="003A483C">
            <w:pPr>
              <w:shd w:val="clear" w:color="auto" w:fill="D9D9D9" w:themeFill="background1" w:themeFillShade="D9"/>
              <w:jc w:val="both"/>
              <w:rPr>
                <w:rFonts w:ascii="Times New Roman" w:hAnsi="Times New Roman"/>
                <w:sz w:val="20"/>
              </w:rPr>
            </w:pPr>
            <w:r w:rsidRPr="003A483C">
              <w:rPr>
                <w:rFonts w:ascii="Times New Roman" w:hAnsi="Times New Roman" w:cs="Times New Roman"/>
                <w:sz w:val="20"/>
                <w:szCs w:val="20"/>
                <w:lang w:val="tr-TR"/>
              </w:rPr>
              <w:t>The G6PD enzyme is the primary focus of this investigation. Cancer cells cannot survive or spread without G6PD. A G6PD deficit of less than one percent has no influence on the onset or progression of cancer. Inhibition of G6PD, which regulates cell growth and division, has a negative impact on cell development. Glucometabolism definition of cancer In order to synthesize NADPH and DNA, cancer cells rely on G6PD. NADPH and DNA synthesis are both inhibited when SIRT2 is turned on. G6PD is activated by Ras, Src, and PI3K/AKT in cancer cells. Glioma, lung, and ovarian cancers are all known to have G6PD (ROS). G6PD has an impact on treatment outcomes. In bladder cancer, BCG expression is linked with a bad prognosis. G6PD may be used to predict glioma treatment sensitivity and risk. In this study, we investigated the effect of some Schiff bases and their complexes on G6PD activity in vitro by spectrophotometric methods. In addition, potential attachment patterns were estimated using the Molegro Virtual Docker software. Lead complexes have been shown to inhibit it. The IC50 value of Pd(5MCTS)2 as a G6PD inhibitor was 13.59 μM. And the docking analysis gave a score of -159.521 on the MolDock scale</w:t>
            </w:r>
            <w:r>
              <w:rPr>
                <w:rFonts w:ascii="Times New Roman" w:hAnsi="Times New Roman" w:cs="Times New Roman"/>
                <w:sz w:val="20"/>
                <w:szCs w:val="20"/>
                <w:lang w:val="tr-TR"/>
              </w:rPr>
              <w:t>.</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B6E3E7C" w:rsidR="001558FC" w:rsidRPr="00766F99" w:rsidRDefault="001558FC" w:rsidP="003A483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3A483C" w:rsidRPr="003A483C">
              <w:rPr>
                <w:rFonts w:eastAsia="MS Mincho"/>
                <w:b w:val="0"/>
                <w:bCs w:val="0"/>
                <w:sz w:val="20"/>
                <w:szCs w:val="20"/>
                <w:lang w:val="tr-TR"/>
              </w:rPr>
              <w:t>Coumarin, Schiff base, Metal complexes, G6PD, Inhibition</w:t>
            </w:r>
          </w:p>
          <w:p w14:paraId="6824E26F" w14:textId="77777777" w:rsidR="001558FC" w:rsidRPr="007C0293" w:rsidRDefault="001558FC" w:rsidP="00432B5A">
            <w:pPr>
              <w:pStyle w:val="TRANSAffiliation"/>
              <w:jc w:val="both"/>
              <w:rPr>
                <w:i/>
                <w:sz w:val="20"/>
              </w:rPr>
            </w:pPr>
          </w:p>
        </w:tc>
      </w:tr>
    </w:tbl>
    <w:p w14:paraId="19F4E2CE" w14:textId="178BDB22" w:rsidR="002C018E" w:rsidRDefault="002C018E" w:rsidP="00D63A79">
      <w:pPr>
        <w:spacing w:after="0"/>
        <w:rPr>
          <w:rFonts w:ascii="Times New Roman" w:hAnsi="Times New Roman" w:cs="Times New Roman"/>
        </w:rPr>
      </w:pPr>
    </w:p>
    <w:p w14:paraId="123D57F8" w14:textId="77777777" w:rsidR="0059146B" w:rsidRDefault="0059146B" w:rsidP="00D63A79">
      <w:pPr>
        <w:spacing w:after="0"/>
        <w:rPr>
          <w:rFonts w:ascii="Times New Roman" w:hAnsi="Times New Roman" w:cs="Times New Roman"/>
        </w:rPr>
      </w:pPr>
    </w:p>
    <w:p w14:paraId="62ADA711" w14:textId="5B24382C" w:rsidR="003A283B" w:rsidRPr="003A283B" w:rsidRDefault="00B2099A" w:rsidP="008D0921">
      <w:pPr>
        <w:pStyle w:val="a3"/>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48F9DB77" w14:textId="27E72A51" w:rsidR="008D0921" w:rsidRDefault="008D0921" w:rsidP="002F702B">
      <w:pPr>
        <w:spacing w:before="120" w:after="0"/>
        <w:jc w:val="both"/>
        <w:rPr>
          <w:rFonts w:ascii="Times New Roman" w:hAnsi="Times New Roman" w:cs="Times New Roman"/>
          <w:noProof/>
        </w:rPr>
      </w:pPr>
      <w:r w:rsidRPr="008D0921">
        <w:rPr>
          <w:rFonts w:ascii="Times New Roman" w:eastAsia="Times New Roman" w:hAnsi="Times New Roman" w:cs="Times New Roman"/>
          <w:shd w:val="clear" w:color="auto" w:fill="FFFFFF"/>
          <w:lang w:val="en-US" w:eastAsia="tr-TR"/>
        </w:rPr>
        <w:t xml:space="preserve">Cancer metabolism is characterized by increased glucose intake and poor lactate breakdown despite the presence of normal oxygen tension. There are a number of recent studies that have shown that the pentose phosphate pathway (PPP) plays an important part in the "Warburg effect" because of its function in recognizing both intracellular and extracellular signals. In light of this, the pathway's diverse roles and the dual-step nature of its response sequence are highlighted. In fact, the initial PPP oxidative phase is preferentially augmented under redox stress in order to increase NADPH equivalents for antioxidant responses. RNA and DNA are synthesized by bio-reductive syntheses, which result in high NADPH levels, when significant quantities of d-ribose-5-phosphate (R5P) are combined with high levels of bio-reductive syntheses and other coenzymes such as NADH, FADH2, and NADPH </w:t>
      </w:r>
      <w:r w:rsidR="002F702B">
        <w:rPr>
          <w:rFonts w:ascii="Times New Roman" w:eastAsia="Times New Roman" w:hAnsi="Times New Roman" w:cs="Times New Roman"/>
          <w:shd w:val="clear" w:color="auto" w:fill="FFFFFF"/>
          <w:lang w:val="en-US" w:eastAsia="tr-TR"/>
        </w:rPr>
        <w:t>[2]</w:t>
      </w:r>
      <w:r w:rsidRPr="008D0921">
        <w:rPr>
          <w:rFonts w:ascii="Times New Roman" w:eastAsia="Times New Roman" w:hAnsi="Times New Roman" w:cs="Times New Roman"/>
          <w:shd w:val="clear" w:color="auto" w:fill="FFFFFF"/>
          <w:lang w:val="en-US" w:eastAsia="tr-TR"/>
        </w:rPr>
        <w:t xml:space="preserve">. Warburg discovered glucose-6P dehydrogenase in 1931, and since then, PPP has been viewed as an intracellular pathway with a rate-limiting phase mediated by this enzyme (G6PD). PPP role in cancer metabolism was the primary focus of most studies on this enzyme, which indicated that G6PD activity is necessary for the survival and proliferation of cancer cells cultured </w:t>
      </w:r>
      <w:r w:rsidRPr="008D0921">
        <w:rPr>
          <w:rFonts w:ascii="Times New Roman" w:eastAsia="Times New Roman" w:hAnsi="Times New Roman" w:cs="Times New Roman"/>
          <w:i/>
          <w:shd w:val="clear" w:color="auto" w:fill="FFFFFF"/>
          <w:lang w:val="en-US" w:eastAsia="tr-TR"/>
        </w:rPr>
        <w:t>in vitro</w:t>
      </w:r>
      <w:r w:rsidRPr="008D0921">
        <w:rPr>
          <w:rFonts w:ascii="Times New Roman" w:eastAsia="Times New Roman" w:hAnsi="Times New Roman" w:cs="Times New Roman"/>
          <w:shd w:val="clear" w:color="auto" w:fill="FFFFFF"/>
          <w:lang w:val="en-US" w:eastAsia="tr-TR"/>
        </w:rPr>
        <w:t xml:space="preserve">. A G6PD deficit of less than one percent does not seem to have a significant impact on cancer incidence or progression in live persons , despite the fact that many cancers are more likely to be fatal in people with a G6PD deficiency. The sluggish pace of cytosolic PPP in delivering the enormous quantities of NADPH and R5P needed by actively proliferating cells should be bypassed by developing an alternative mechanism based on these epidemiological data. This enzyme, known as H6PD, is located in the endoplasmic reticulum of practically all eukaryotic cells and is capable of oxidizing a significant number of both phosphorylated hexoses and free hexoses (thus the alternative name of glucose dehydrogenase). New study shows that H6PD activity is elevated in many cancer types, adding to their proliferative and migrating potential, despite the fact that its function in glucose breakdown has been overlooked </w:t>
      </w:r>
      <w:r w:rsidR="002F702B">
        <w:rPr>
          <w:rFonts w:ascii="Times New Roman" w:eastAsia="Times New Roman" w:hAnsi="Times New Roman" w:cs="Times New Roman"/>
          <w:shd w:val="clear" w:color="auto" w:fill="FFFFFF"/>
          <w:lang w:val="en-US" w:eastAsia="tr-TR"/>
        </w:rPr>
        <w:t>[3]</w:t>
      </w:r>
      <w:r w:rsidR="003D3818" w:rsidRPr="003D3818">
        <w:rPr>
          <w:rFonts w:ascii="Times New Roman" w:hAnsi="Times New Roman" w:cs="Times New Roman"/>
          <w:noProof/>
        </w:rPr>
        <w:t>.</w:t>
      </w:r>
    </w:p>
    <w:p w14:paraId="2E35A5BE" w14:textId="77777777" w:rsidR="008D0921" w:rsidRDefault="008D0921" w:rsidP="008D0921">
      <w:pPr>
        <w:spacing w:before="120" w:after="0"/>
        <w:jc w:val="both"/>
        <w:rPr>
          <w:rFonts w:ascii="Times New Roman" w:hAnsi="Times New Roman" w:cs="Times New Roman"/>
          <w:noProof/>
        </w:rPr>
      </w:pPr>
    </w:p>
    <w:p w14:paraId="7277482E" w14:textId="34655333" w:rsidR="00AC167A" w:rsidRDefault="003D3818" w:rsidP="008D0921">
      <w:pPr>
        <w:spacing w:before="120" w:after="0"/>
        <w:jc w:val="both"/>
        <w:rPr>
          <w:rFonts w:ascii="Times New Roman" w:hAnsi="Times New Roman" w:cs="Times New Roman"/>
          <w:noProof/>
        </w:rPr>
      </w:pPr>
      <w:r w:rsidRPr="003D3818">
        <w:rPr>
          <w:rFonts w:ascii="Times New Roman" w:hAnsi="Times New Roman" w:cs="Times New Roman"/>
          <w:noProof/>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3E711EA0" w:rsidR="00183830" w:rsidRPr="000409ED" w:rsidRDefault="00CF58C0" w:rsidP="00793DA2">
      <w:pPr>
        <w:pStyle w:val="a3"/>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288AEC9D" w14:textId="77777777" w:rsidR="008D0921" w:rsidRPr="008D0921" w:rsidRDefault="008D0921" w:rsidP="008D0921">
      <w:pPr>
        <w:autoSpaceDE w:val="0"/>
        <w:autoSpaceDN w:val="0"/>
        <w:adjustRightInd w:val="0"/>
        <w:spacing w:after="0"/>
        <w:jc w:val="both"/>
        <w:rPr>
          <w:rFonts w:ascii="Times New Roman" w:eastAsiaTheme="majorEastAsia" w:hAnsi="Times New Roman" w:cs="Times New Roman"/>
          <w:bCs/>
          <w:kern w:val="32"/>
          <w:lang w:val="en-US"/>
        </w:rPr>
      </w:pPr>
      <w:r w:rsidRPr="008D0921">
        <w:rPr>
          <w:rFonts w:ascii="Times New Roman" w:eastAsiaTheme="majorEastAsia" w:hAnsi="Times New Roman" w:cs="Times New Roman"/>
          <w:bCs/>
          <w:kern w:val="32"/>
          <w:lang w:val="en-US"/>
        </w:rPr>
        <w:t xml:space="preserve">Solutions used in activity measurement: 1 M </w:t>
      </w:r>
      <w:proofErr w:type="spellStart"/>
      <w:r w:rsidRPr="008D0921">
        <w:rPr>
          <w:rFonts w:ascii="Times New Roman" w:eastAsiaTheme="majorEastAsia" w:hAnsi="Times New Roman" w:cs="Times New Roman"/>
          <w:bCs/>
          <w:kern w:val="32"/>
          <w:lang w:val="en-US"/>
        </w:rPr>
        <w:t>Tris-HCl</w:t>
      </w:r>
      <w:proofErr w:type="spellEnd"/>
      <w:r w:rsidRPr="008D0921">
        <w:rPr>
          <w:rFonts w:ascii="Times New Roman" w:eastAsiaTheme="majorEastAsia" w:hAnsi="Times New Roman" w:cs="Times New Roman"/>
          <w:bCs/>
          <w:kern w:val="32"/>
          <w:lang w:val="en-US"/>
        </w:rPr>
        <w:t xml:space="preserve"> (pH= 8.0): 0.6057 g (5 </w:t>
      </w:r>
      <w:proofErr w:type="spellStart"/>
      <w:r w:rsidRPr="008D0921">
        <w:rPr>
          <w:rFonts w:ascii="Times New Roman" w:eastAsiaTheme="majorEastAsia" w:hAnsi="Times New Roman" w:cs="Times New Roman"/>
          <w:bCs/>
          <w:kern w:val="32"/>
          <w:lang w:val="en-US"/>
        </w:rPr>
        <w:t>mmol</w:t>
      </w:r>
      <w:proofErr w:type="spellEnd"/>
      <w:r w:rsidRPr="008D0921">
        <w:rPr>
          <w:rFonts w:ascii="Times New Roman" w:eastAsiaTheme="majorEastAsia" w:hAnsi="Times New Roman" w:cs="Times New Roman"/>
          <w:bCs/>
          <w:kern w:val="32"/>
          <w:lang w:val="en-US"/>
        </w:rPr>
        <w:t xml:space="preserve">) of </w:t>
      </w:r>
      <w:proofErr w:type="spellStart"/>
      <w:r w:rsidRPr="008D0921">
        <w:rPr>
          <w:rFonts w:ascii="Times New Roman" w:eastAsiaTheme="majorEastAsia" w:hAnsi="Times New Roman" w:cs="Times New Roman"/>
          <w:bCs/>
          <w:kern w:val="32"/>
          <w:lang w:val="en-US"/>
        </w:rPr>
        <w:t>Tris</w:t>
      </w:r>
      <w:proofErr w:type="spellEnd"/>
      <w:r w:rsidRPr="008D0921">
        <w:rPr>
          <w:rFonts w:ascii="Times New Roman" w:eastAsiaTheme="majorEastAsia" w:hAnsi="Times New Roman" w:cs="Times New Roman"/>
          <w:bCs/>
          <w:kern w:val="32"/>
          <w:lang w:val="en-US"/>
        </w:rPr>
        <w:t xml:space="preserve"> was dissolved in 90 mL of distilled water. The pH was adjusted to 8.0 with </w:t>
      </w:r>
      <w:proofErr w:type="spellStart"/>
      <w:r w:rsidRPr="008D0921">
        <w:rPr>
          <w:rFonts w:ascii="Times New Roman" w:eastAsiaTheme="majorEastAsia" w:hAnsi="Times New Roman" w:cs="Times New Roman"/>
          <w:bCs/>
          <w:kern w:val="32"/>
          <w:lang w:val="en-US"/>
        </w:rPr>
        <w:t>HCl</w:t>
      </w:r>
      <w:proofErr w:type="spellEnd"/>
      <w:r w:rsidRPr="008D0921">
        <w:rPr>
          <w:rFonts w:ascii="Times New Roman" w:eastAsiaTheme="majorEastAsia" w:hAnsi="Times New Roman" w:cs="Times New Roman"/>
          <w:bCs/>
          <w:kern w:val="32"/>
          <w:lang w:val="en-US"/>
        </w:rPr>
        <w:t xml:space="preserve"> solution. Then the total volume was made up to 50 mL with water. 6 </w:t>
      </w:r>
      <w:proofErr w:type="spellStart"/>
      <w:r w:rsidRPr="008D0921">
        <w:rPr>
          <w:rFonts w:ascii="Times New Roman" w:eastAsiaTheme="majorEastAsia" w:hAnsi="Times New Roman" w:cs="Times New Roman"/>
          <w:bCs/>
          <w:kern w:val="32"/>
          <w:lang w:val="en-US"/>
        </w:rPr>
        <w:t>mM</w:t>
      </w:r>
      <w:proofErr w:type="spellEnd"/>
      <w:r w:rsidRPr="008D0921">
        <w:rPr>
          <w:rFonts w:ascii="Times New Roman" w:eastAsiaTheme="majorEastAsia" w:hAnsi="Times New Roman" w:cs="Times New Roman"/>
          <w:bCs/>
          <w:kern w:val="32"/>
          <w:lang w:val="en-US"/>
        </w:rPr>
        <w:t xml:space="preserve"> 6PGA: 9.1 mg (0.3 </w:t>
      </w:r>
      <w:proofErr w:type="spellStart"/>
      <w:r w:rsidRPr="008D0921">
        <w:rPr>
          <w:rFonts w:ascii="Times New Roman" w:eastAsiaTheme="majorEastAsia" w:hAnsi="Times New Roman" w:cs="Times New Roman"/>
          <w:bCs/>
          <w:kern w:val="32"/>
          <w:lang w:val="en-US"/>
        </w:rPr>
        <w:t>mmol</w:t>
      </w:r>
      <w:proofErr w:type="spellEnd"/>
      <w:r w:rsidRPr="008D0921">
        <w:rPr>
          <w:rFonts w:ascii="Times New Roman" w:eastAsiaTheme="majorEastAsia" w:hAnsi="Times New Roman" w:cs="Times New Roman"/>
          <w:bCs/>
          <w:kern w:val="32"/>
          <w:lang w:val="en-US"/>
        </w:rPr>
        <w:t>) of 6PGA was taken and dissolved in some water. The volume was made up to 5 mL with water. 2mM NADP+ Solution: 7.6 mg of NADP</w:t>
      </w:r>
      <w:r w:rsidRPr="008D0921">
        <w:rPr>
          <w:rFonts w:ascii="Times New Roman" w:eastAsiaTheme="majorEastAsia" w:hAnsi="Times New Roman" w:cs="Times New Roman"/>
          <w:bCs/>
          <w:kern w:val="32"/>
          <w:vertAlign w:val="superscript"/>
          <w:lang w:val="en-US"/>
        </w:rPr>
        <w:t>+</w:t>
      </w:r>
      <w:r w:rsidRPr="008D0921">
        <w:rPr>
          <w:rFonts w:ascii="Times New Roman" w:eastAsiaTheme="majorEastAsia" w:hAnsi="Times New Roman" w:cs="Times New Roman"/>
          <w:bCs/>
          <w:kern w:val="32"/>
          <w:lang w:val="en-US"/>
        </w:rPr>
        <w:t xml:space="preserve"> (0.1 </w:t>
      </w:r>
      <w:proofErr w:type="spellStart"/>
      <w:r w:rsidRPr="008D0921">
        <w:rPr>
          <w:rFonts w:ascii="Times New Roman" w:eastAsiaTheme="majorEastAsia" w:hAnsi="Times New Roman" w:cs="Times New Roman"/>
          <w:bCs/>
          <w:kern w:val="32"/>
          <w:lang w:val="en-US"/>
        </w:rPr>
        <w:t>mmol</w:t>
      </w:r>
      <w:proofErr w:type="spellEnd"/>
      <w:r w:rsidRPr="008D0921">
        <w:rPr>
          <w:rFonts w:ascii="Times New Roman" w:eastAsiaTheme="majorEastAsia" w:hAnsi="Times New Roman" w:cs="Times New Roman"/>
          <w:bCs/>
          <w:kern w:val="32"/>
          <w:lang w:val="en-US"/>
        </w:rPr>
        <w:t>) was taken and dissolved in some water. The volume was made up to 5 mL with water. Inhibitor stock solutions:</w:t>
      </w:r>
      <w:r w:rsidRPr="008D0921">
        <w:rPr>
          <w:rFonts w:ascii="Times New Roman" w:eastAsiaTheme="majorEastAsia" w:hAnsi="Times New Roman" w:cs="Times New Roman"/>
          <w:b/>
          <w:bCs/>
          <w:kern w:val="32"/>
          <w:lang w:val="en-US"/>
        </w:rPr>
        <w:t xml:space="preserve"> </w:t>
      </w:r>
      <w:r w:rsidRPr="008D0921">
        <w:rPr>
          <w:rFonts w:ascii="Times New Roman" w:eastAsiaTheme="majorEastAsia" w:hAnsi="Times New Roman" w:cs="Times New Roman"/>
          <w:bCs/>
          <w:kern w:val="32"/>
          <w:lang w:val="en-US"/>
        </w:rPr>
        <w:t>Stock solutions were prepared by dissolving the compounds in DMSO at 1mg/</w:t>
      </w:r>
      <w:proofErr w:type="spellStart"/>
      <w:r w:rsidRPr="008D0921">
        <w:rPr>
          <w:rFonts w:ascii="Times New Roman" w:eastAsiaTheme="majorEastAsia" w:hAnsi="Times New Roman" w:cs="Times New Roman"/>
          <w:bCs/>
          <w:kern w:val="32"/>
          <w:lang w:val="en-US"/>
        </w:rPr>
        <w:t>mL.</w:t>
      </w:r>
      <w:proofErr w:type="spellEnd"/>
    </w:p>
    <w:p w14:paraId="74A3FCE0" w14:textId="1C08C3F5" w:rsidR="008D0921" w:rsidRPr="008D0921" w:rsidRDefault="008D0921" w:rsidP="002F702B">
      <w:pPr>
        <w:autoSpaceDE w:val="0"/>
        <w:autoSpaceDN w:val="0"/>
        <w:adjustRightInd w:val="0"/>
        <w:spacing w:after="0"/>
        <w:jc w:val="both"/>
        <w:rPr>
          <w:rFonts w:ascii="Times New Roman" w:eastAsiaTheme="majorEastAsia" w:hAnsi="Times New Roman" w:cs="Times New Roman"/>
          <w:bCs/>
          <w:kern w:val="32"/>
          <w:lang w:val="en-US"/>
        </w:rPr>
      </w:pPr>
      <w:bookmarkStart w:id="0" w:name="_Toc92819379"/>
      <w:r w:rsidRPr="008D0921">
        <w:rPr>
          <w:rFonts w:ascii="Times New Roman" w:eastAsiaTheme="majorEastAsia" w:hAnsi="Times New Roman" w:cs="Times New Roman"/>
          <w:bCs/>
          <w:kern w:val="32"/>
          <w:lang w:val="en-US"/>
        </w:rPr>
        <w:t>Molecular docking studies</w:t>
      </w:r>
      <w:bookmarkEnd w:id="0"/>
      <w:r w:rsidRPr="008D0921">
        <w:rPr>
          <w:rFonts w:ascii="Times New Roman" w:eastAsiaTheme="majorEastAsia" w:hAnsi="Times New Roman" w:cs="Times New Roman"/>
          <w:bCs/>
          <w:kern w:val="32"/>
          <w:lang w:val="en-US"/>
        </w:rPr>
        <w:t xml:space="preserve">: The 3D structures of the compounds whose inhibition effects were determined were downloaded from the PubMed (https://pubchem.ncbi.nlm.nih.gov) web page in </w:t>
      </w:r>
      <w:proofErr w:type="spellStart"/>
      <w:r w:rsidRPr="008D0921">
        <w:rPr>
          <w:rFonts w:ascii="Times New Roman" w:eastAsiaTheme="majorEastAsia" w:hAnsi="Times New Roman" w:cs="Times New Roman"/>
          <w:bCs/>
          <w:kern w:val="32"/>
          <w:lang w:val="en-US"/>
        </w:rPr>
        <w:t>sdf</w:t>
      </w:r>
      <w:proofErr w:type="spellEnd"/>
      <w:r w:rsidRPr="008D0921">
        <w:rPr>
          <w:rFonts w:ascii="Times New Roman" w:eastAsiaTheme="majorEastAsia" w:hAnsi="Times New Roman" w:cs="Times New Roman"/>
          <w:bCs/>
          <w:kern w:val="32"/>
          <w:lang w:val="en-US"/>
        </w:rPr>
        <w:t xml:space="preserve"> format. The crystal structure of the human 6PGD enzyme was downloaded from the Protein Data Bank web page in </w:t>
      </w:r>
      <w:proofErr w:type="spellStart"/>
      <w:r w:rsidRPr="008D0921">
        <w:rPr>
          <w:rFonts w:ascii="Times New Roman" w:eastAsiaTheme="majorEastAsia" w:hAnsi="Times New Roman" w:cs="Times New Roman"/>
          <w:bCs/>
          <w:kern w:val="32"/>
          <w:lang w:val="en-US"/>
        </w:rPr>
        <w:t>pdb</w:t>
      </w:r>
      <w:proofErr w:type="spellEnd"/>
      <w:r w:rsidRPr="008D0921">
        <w:rPr>
          <w:rFonts w:ascii="Times New Roman" w:eastAsiaTheme="majorEastAsia" w:hAnsi="Times New Roman" w:cs="Times New Roman"/>
          <w:bCs/>
          <w:kern w:val="32"/>
          <w:lang w:val="en-US"/>
        </w:rPr>
        <w:t xml:space="preserve"> format </w:t>
      </w:r>
      <w:r w:rsidR="002F702B">
        <w:rPr>
          <w:rFonts w:ascii="Times New Roman" w:eastAsiaTheme="majorEastAsia" w:hAnsi="Times New Roman" w:cs="Times New Roman"/>
          <w:bCs/>
          <w:kern w:val="32"/>
          <w:lang w:val="en-US"/>
        </w:rPr>
        <w:t>[1]</w:t>
      </w:r>
      <w:r w:rsidRPr="008D0921">
        <w:rPr>
          <w:rFonts w:ascii="Times New Roman" w:eastAsiaTheme="majorEastAsia" w:hAnsi="Times New Roman" w:cs="Times New Roman"/>
          <w:bCs/>
          <w:kern w:val="32"/>
          <w:lang w:val="en-US"/>
        </w:rPr>
        <w:t>.</w:t>
      </w:r>
    </w:p>
    <w:p w14:paraId="54455D7E" w14:textId="439F61C8" w:rsidR="003D3818" w:rsidRPr="003D3818" w:rsidRDefault="008D0921" w:rsidP="008D0921">
      <w:pPr>
        <w:autoSpaceDE w:val="0"/>
        <w:autoSpaceDN w:val="0"/>
        <w:adjustRightInd w:val="0"/>
        <w:spacing w:after="0"/>
        <w:jc w:val="both"/>
        <w:rPr>
          <w:rFonts w:ascii="Times New Roman" w:eastAsia="Times New Roman" w:hAnsi="Times New Roman" w:cs="Times New Roman"/>
          <w:noProof/>
          <w:lang w:val="en-US" w:eastAsia="tr-TR"/>
        </w:rPr>
      </w:pPr>
      <w:r w:rsidRPr="008D0921">
        <w:rPr>
          <w:rFonts w:ascii="Times New Roman" w:eastAsiaTheme="majorEastAsia" w:hAnsi="Times New Roman" w:cs="Times New Roman"/>
          <w:bCs/>
          <w:kern w:val="32"/>
          <w:lang w:val="en-US"/>
        </w:rPr>
        <w:t xml:space="preserve">Docking protocol for </w:t>
      </w:r>
      <w:proofErr w:type="spellStart"/>
      <w:r w:rsidRPr="008D0921">
        <w:rPr>
          <w:rFonts w:ascii="Times New Roman" w:eastAsiaTheme="majorEastAsia" w:hAnsi="Times New Roman" w:cs="Times New Roman"/>
          <w:bCs/>
          <w:kern w:val="32"/>
          <w:lang w:val="en-US"/>
        </w:rPr>
        <w:t>Molegro</w:t>
      </w:r>
      <w:proofErr w:type="spellEnd"/>
      <w:r w:rsidRPr="008D0921">
        <w:rPr>
          <w:rFonts w:ascii="Times New Roman" w:eastAsiaTheme="majorEastAsia" w:hAnsi="Times New Roman" w:cs="Times New Roman"/>
          <w:bCs/>
          <w:kern w:val="32"/>
          <w:lang w:val="en-US"/>
        </w:rPr>
        <w:t xml:space="preserve"> Virtual </w:t>
      </w:r>
      <w:proofErr w:type="spellStart"/>
      <w:r w:rsidRPr="008D0921">
        <w:rPr>
          <w:rFonts w:ascii="Times New Roman" w:eastAsiaTheme="majorEastAsia" w:hAnsi="Times New Roman" w:cs="Times New Roman"/>
          <w:bCs/>
          <w:kern w:val="32"/>
          <w:lang w:val="en-US"/>
        </w:rPr>
        <w:t>Docker</w:t>
      </w:r>
      <w:proofErr w:type="spellEnd"/>
      <w:r w:rsidRPr="008D0921">
        <w:rPr>
          <w:rFonts w:ascii="Times New Roman" w:eastAsiaTheme="majorEastAsia" w:hAnsi="Times New Roman" w:cs="Times New Roman"/>
          <w:bCs/>
          <w:kern w:val="32"/>
          <w:lang w:val="en-US"/>
        </w:rPr>
        <w:t>: The protein has been imported into the program. Water molecules on the crystal structure of the protein and heteroatoms other than the ligand were removed. Molecules were transferred to the program (</w:t>
      </w:r>
      <w:proofErr w:type="spellStart"/>
      <w:r w:rsidRPr="008D0921">
        <w:rPr>
          <w:rFonts w:ascii="Times New Roman" w:eastAsiaTheme="majorEastAsia" w:hAnsi="Times New Roman" w:cs="Times New Roman"/>
          <w:bCs/>
          <w:kern w:val="32"/>
          <w:lang w:val="en-US"/>
        </w:rPr>
        <w:t>Molegro</w:t>
      </w:r>
      <w:proofErr w:type="spellEnd"/>
      <w:r w:rsidRPr="008D0921">
        <w:rPr>
          <w:rFonts w:ascii="Times New Roman" w:eastAsiaTheme="majorEastAsia" w:hAnsi="Times New Roman" w:cs="Times New Roman"/>
          <w:bCs/>
          <w:kern w:val="32"/>
          <w:lang w:val="en-US"/>
        </w:rPr>
        <w:t xml:space="preserve"> 2019). The binding site of NADPH was determined for docking. X:16.05, Y:-90.18, Z:-90.79 coordination center and an area of 19 Å were chosen for docking as the docking area. The program was set to make 10 docking attempts for each ligand. The highest</w:t>
      </w:r>
      <w:r>
        <w:rPr>
          <w:rFonts w:ascii="Times New Roman" w:eastAsiaTheme="majorEastAsia" w:hAnsi="Times New Roman" w:cs="Times New Roman"/>
          <w:bCs/>
          <w:kern w:val="32"/>
          <w:lang w:val="en-US"/>
        </w:rPr>
        <w:t xml:space="preserve"> </w:t>
      </w:r>
      <w:proofErr w:type="spellStart"/>
      <w:r>
        <w:rPr>
          <w:rFonts w:ascii="Times New Roman" w:eastAsiaTheme="majorEastAsia" w:hAnsi="Times New Roman" w:cs="Times New Roman"/>
          <w:bCs/>
          <w:kern w:val="32"/>
          <w:lang w:val="en-US"/>
        </w:rPr>
        <w:t>MolDock</w:t>
      </w:r>
      <w:proofErr w:type="spellEnd"/>
      <w:r>
        <w:rPr>
          <w:rFonts w:ascii="Times New Roman" w:eastAsiaTheme="majorEastAsia" w:hAnsi="Times New Roman" w:cs="Times New Roman"/>
          <w:bCs/>
          <w:kern w:val="32"/>
          <w:lang w:val="en-US"/>
        </w:rPr>
        <w:t xml:space="preserve"> Scores were considered</w:t>
      </w:r>
      <w:r w:rsidR="003D3818" w:rsidRPr="003D3818">
        <w:rPr>
          <w:rFonts w:ascii="Times New Roman" w:eastAsiaTheme="majorEastAsia" w:hAnsi="Times New Roman" w:cs="Times New Roman"/>
          <w:bCs/>
          <w:kern w:val="32"/>
          <w:lang w:val="en-US"/>
        </w:rPr>
        <w:t>.</w:t>
      </w:r>
    </w:p>
    <w:p w14:paraId="19FE161F" w14:textId="06D02123" w:rsidR="00F601E5" w:rsidRPr="00793DA2" w:rsidRDefault="007B47CE" w:rsidP="00793DA2">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p>
    <w:p w14:paraId="7B435801"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Cs/>
          <w:lang w:val="en-US"/>
        </w:rPr>
        <w:t xml:space="preserve">The inhibitory effect of three different compounds against the G6PD enzyme was investigated. Results obtained </w:t>
      </w:r>
      <w:r w:rsidRPr="008D0921">
        <w:rPr>
          <w:rFonts w:ascii="Times New Roman" w:hAnsi="Times New Roman" w:cs="Times New Roman"/>
          <w:bCs/>
          <w:iCs/>
          <w:lang w:val="en-US"/>
        </w:rPr>
        <w:t>in vitro</w:t>
      </w:r>
      <w:r w:rsidRPr="008D0921">
        <w:rPr>
          <w:rFonts w:ascii="Times New Roman" w:hAnsi="Times New Roman" w:cs="Times New Roman"/>
          <w:bCs/>
          <w:i/>
          <w:lang w:val="en-US"/>
        </w:rPr>
        <w:t xml:space="preserve"> </w:t>
      </w:r>
      <w:r w:rsidRPr="008D0921">
        <w:rPr>
          <w:rFonts w:ascii="Times New Roman" w:hAnsi="Times New Roman" w:cs="Times New Roman"/>
          <w:bCs/>
          <w:lang w:val="en-US"/>
        </w:rPr>
        <w:t xml:space="preserve">and </w:t>
      </w:r>
      <w:r w:rsidRPr="008D0921">
        <w:rPr>
          <w:rFonts w:ascii="Times New Roman" w:hAnsi="Times New Roman" w:cs="Times New Roman"/>
          <w:bCs/>
          <w:iCs/>
          <w:lang w:val="en-US"/>
        </w:rPr>
        <w:t xml:space="preserve">in </w:t>
      </w:r>
      <w:proofErr w:type="spellStart"/>
      <w:r w:rsidRPr="008D0921">
        <w:rPr>
          <w:rFonts w:ascii="Times New Roman" w:hAnsi="Times New Roman" w:cs="Times New Roman"/>
          <w:bCs/>
          <w:iCs/>
          <w:lang w:val="en-US"/>
        </w:rPr>
        <w:t>silico</w:t>
      </w:r>
      <w:proofErr w:type="spellEnd"/>
      <w:r w:rsidRPr="008D0921">
        <w:rPr>
          <w:rFonts w:ascii="Times New Roman" w:hAnsi="Times New Roman" w:cs="Times New Roman"/>
          <w:bCs/>
          <w:lang w:val="en-US"/>
        </w:rPr>
        <w:t xml:space="preserve"> are presented in Table 1.</w:t>
      </w:r>
    </w:p>
    <w:p w14:paraId="6194242F" w14:textId="77777777" w:rsidR="008D0921" w:rsidRPr="008D0921" w:rsidRDefault="008D0921" w:rsidP="00A737E2">
      <w:pPr>
        <w:shd w:val="clear" w:color="auto" w:fill="FFFFFF"/>
        <w:spacing w:after="0"/>
        <w:jc w:val="both"/>
        <w:rPr>
          <w:rFonts w:ascii="Times New Roman" w:hAnsi="Times New Roman" w:cs="Times New Roman"/>
          <w:bCs/>
          <w:lang w:val="en-US"/>
        </w:rPr>
      </w:pPr>
      <w:bookmarkStart w:id="1" w:name="_Toc88566714"/>
      <w:r w:rsidRPr="00A737E2">
        <w:rPr>
          <w:rFonts w:ascii="Times New Roman" w:hAnsi="Times New Roman" w:cs="Times New Roman"/>
          <w:b/>
          <w:sz w:val="20"/>
          <w:szCs w:val="20"/>
          <w:lang w:val="en-GB"/>
        </w:rPr>
        <w:t xml:space="preserve">Table 1 </w:t>
      </w:r>
      <w:r w:rsidRPr="00A737E2">
        <w:rPr>
          <w:rFonts w:ascii="Times New Roman" w:hAnsi="Times New Roman" w:cs="Times New Roman"/>
          <w:bCs/>
          <w:sz w:val="20"/>
          <w:szCs w:val="20"/>
          <w:lang w:val="en-GB"/>
        </w:rPr>
        <w:t>The effects of compounds on G6PD enzyme activity</w:t>
      </w:r>
      <w:bookmarkEnd w:id="1"/>
    </w:p>
    <w:tbl>
      <w:tblPr>
        <w:tblStyle w:val="TabloKlavuzu1"/>
        <w:tblW w:w="7583" w:type="dxa"/>
        <w:tblLook w:val="04A0" w:firstRow="1" w:lastRow="0" w:firstColumn="1" w:lastColumn="0" w:noHBand="0" w:noVBand="1"/>
      </w:tblPr>
      <w:tblGrid>
        <w:gridCol w:w="1960"/>
        <w:gridCol w:w="1620"/>
        <w:gridCol w:w="1278"/>
        <w:gridCol w:w="1591"/>
        <w:gridCol w:w="1134"/>
      </w:tblGrid>
      <w:tr w:rsidR="008D0921" w:rsidRPr="00A737E2" w14:paraId="0F9D1789" w14:textId="77777777" w:rsidTr="008D0921">
        <w:trPr>
          <w:trHeight w:val="330"/>
        </w:trPr>
        <w:tc>
          <w:tcPr>
            <w:tcW w:w="1960" w:type="dxa"/>
            <w:noWrap/>
            <w:hideMark/>
          </w:tcPr>
          <w:p w14:paraId="0B3D08A7"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Compounds</w:t>
            </w:r>
          </w:p>
        </w:tc>
        <w:tc>
          <w:tcPr>
            <w:tcW w:w="1620" w:type="dxa"/>
            <w:noWrap/>
            <w:hideMark/>
          </w:tcPr>
          <w:p w14:paraId="3F819F86"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G6PD</w:t>
            </w:r>
          </w:p>
          <w:p w14:paraId="6AD19BA3"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IC</w:t>
            </w:r>
            <w:r w:rsidRPr="00A737E2">
              <w:rPr>
                <w:rFonts w:ascii="Times New Roman" w:hAnsi="Times New Roman" w:cs="Times New Roman"/>
                <w:sz w:val="20"/>
                <w:szCs w:val="20"/>
                <w:vertAlign w:val="subscript"/>
                <w:lang w:val="en-US"/>
              </w:rPr>
              <w:t>50</w:t>
            </w:r>
            <w:r w:rsidRPr="00A737E2">
              <w:rPr>
                <w:rFonts w:ascii="Times New Roman" w:hAnsi="Times New Roman" w:cs="Times New Roman"/>
                <w:sz w:val="20"/>
                <w:szCs w:val="20"/>
                <w:lang w:val="en-US"/>
              </w:rPr>
              <w:t xml:space="preserve"> µM</w:t>
            </w:r>
          </w:p>
        </w:tc>
        <w:tc>
          <w:tcPr>
            <w:tcW w:w="1278" w:type="dxa"/>
            <w:noWrap/>
            <w:hideMark/>
          </w:tcPr>
          <w:p w14:paraId="064CB2C1"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MolDock</w:t>
            </w:r>
            <w:proofErr w:type="spellEnd"/>
            <w:r w:rsidRPr="00A737E2">
              <w:rPr>
                <w:rFonts w:ascii="Times New Roman" w:hAnsi="Times New Roman" w:cs="Times New Roman"/>
                <w:sz w:val="20"/>
                <w:szCs w:val="20"/>
                <w:lang w:val="en-US"/>
              </w:rPr>
              <w:t xml:space="preserve"> Score</w:t>
            </w:r>
          </w:p>
        </w:tc>
        <w:tc>
          <w:tcPr>
            <w:tcW w:w="1591" w:type="dxa"/>
            <w:noWrap/>
            <w:hideMark/>
          </w:tcPr>
          <w:p w14:paraId="4772573A"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Rerank</w:t>
            </w:r>
            <w:proofErr w:type="spellEnd"/>
            <w:r w:rsidRPr="00A737E2">
              <w:rPr>
                <w:rFonts w:ascii="Times New Roman" w:hAnsi="Times New Roman" w:cs="Times New Roman"/>
                <w:sz w:val="20"/>
                <w:szCs w:val="20"/>
                <w:lang w:val="en-US"/>
              </w:rPr>
              <w:t xml:space="preserve"> Score</w:t>
            </w:r>
          </w:p>
        </w:tc>
        <w:tc>
          <w:tcPr>
            <w:tcW w:w="1134" w:type="dxa"/>
            <w:noWrap/>
            <w:hideMark/>
          </w:tcPr>
          <w:p w14:paraId="08891FFE"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HBond</w:t>
            </w:r>
            <w:proofErr w:type="spellEnd"/>
          </w:p>
        </w:tc>
      </w:tr>
      <w:tr w:rsidR="008D0921" w:rsidRPr="00A737E2" w14:paraId="7B8CD397" w14:textId="77777777" w:rsidTr="008D0921">
        <w:trPr>
          <w:trHeight w:val="330"/>
        </w:trPr>
        <w:tc>
          <w:tcPr>
            <w:tcW w:w="1960" w:type="dxa"/>
            <w:noWrap/>
            <w:hideMark/>
          </w:tcPr>
          <w:p w14:paraId="189CA875"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Pd</w:t>
            </w:r>
            <w:proofErr w:type="spellEnd"/>
            <w:r w:rsidRPr="00A737E2">
              <w:rPr>
                <w:rFonts w:ascii="Times New Roman" w:hAnsi="Times New Roman" w:cs="Times New Roman"/>
                <w:sz w:val="20"/>
                <w:szCs w:val="20"/>
                <w:lang w:val="en-US"/>
              </w:rPr>
              <w:t>(3MeOCTS)2</w:t>
            </w:r>
          </w:p>
        </w:tc>
        <w:tc>
          <w:tcPr>
            <w:tcW w:w="1620" w:type="dxa"/>
            <w:noWrap/>
            <w:hideMark/>
          </w:tcPr>
          <w:p w14:paraId="4CF74122"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8.453012</w:t>
            </w:r>
          </w:p>
        </w:tc>
        <w:tc>
          <w:tcPr>
            <w:tcW w:w="1278" w:type="dxa"/>
            <w:noWrap/>
            <w:hideMark/>
          </w:tcPr>
          <w:p w14:paraId="448A8AC5"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-172.867</w:t>
            </w:r>
          </w:p>
        </w:tc>
        <w:tc>
          <w:tcPr>
            <w:tcW w:w="1591" w:type="dxa"/>
            <w:noWrap/>
            <w:hideMark/>
          </w:tcPr>
          <w:p w14:paraId="11FA841B"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-74.5334</w:t>
            </w:r>
          </w:p>
        </w:tc>
        <w:tc>
          <w:tcPr>
            <w:tcW w:w="1134" w:type="dxa"/>
            <w:noWrap/>
            <w:hideMark/>
          </w:tcPr>
          <w:p w14:paraId="52AABFCC"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-1,8399</w:t>
            </w:r>
          </w:p>
        </w:tc>
      </w:tr>
      <w:tr w:rsidR="008D0921" w:rsidRPr="00A737E2" w14:paraId="1BFE378E" w14:textId="77777777" w:rsidTr="008D0921">
        <w:trPr>
          <w:trHeight w:val="330"/>
        </w:trPr>
        <w:tc>
          <w:tcPr>
            <w:tcW w:w="1960" w:type="dxa"/>
            <w:noWrap/>
            <w:hideMark/>
          </w:tcPr>
          <w:p w14:paraId="649E49EE"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Pd</w:t>
            </w:r>
            <w:proofErr w:type="spellEnd"/>
            <w:r w:rsidRPr="00A737E2">
              <w:rPr>
                <w:rFonts w:ascii="Times New Roman" w:hAnsi="Times New Roman" w:cs="Times New Roman"/>
                <w:sz w:val="20"/>
                <w:szCs w:val="20"/>
                <w:lang w:val="en-US"/>
              </w:rPr>
              <w:t>(3TbCTS)2</w:t>
            </w:r>
          </w:p>
        </w:tc>
        <w:tc>
          <w:tcPr>
            <w:tcW w:w="1620" w:type="dxa"/>
            <w:noWrap/>
            <w:hideMark/>
          </w:tcPr>
          <w:p w14:paraId="278715E4"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17.32868</w:t>
            </w:r>
          </w:p>
        </w:tc>
        <w:tc>
          <w:tcPr>
            <w:tcW w:w="1278" w:type="dxa"/>
            <w:noWrap/>
            <w:hideMark/>
          </w:tcPr>
          <w:p w14:paraId="045F8AEC"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-127.828</w:t>
            </w:r>
          </w:p>
        </w:tc>
        <w:tc>
          <w:tcPr>
            <w:tcW w:w="1591" w:type="dxa"/>
            <w:noWrap/>
            <w:hideMark/>
          </w:tcPr>
          <w:p w14:paraId="606130F6"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-106.631</w:t>
            </w:r>
          </w:p>
        </w:tc>
        <w:tc>
          <w:tcPr>
            <w:tcW w:w="1134" w:type="dxa"/>
            <w:noWrap/>
            <w:hideMark/>
          </w:tcPr>
          <w:p w14:paraId="0BA0342C"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0</w:t>
            </w:r>
          </w:p>
        </w:tc>
      </w:tr>
      <w:tr w:rsidR="008D0921" w:rsidRPr="00A737E2" w14:paraId="49B5AEE3" w14:textId="77777777" w:rsidTr="008D0921">
        <w:trPr>
          <w:trHeight w:val="330"/>
        </w:trPr>
        <w:tc>
          <w:tcPr>
            <w:tcW w:w="1960" w:type="dxa"/>
            <w:noWrap/>
            <w:hideMark/>
          </w:tcPr>
          <w:p w14:paraId="02A60593"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proofErr w:type="spellStart"/>
            <w:r w:rsidRPr="00A737E2">
              <w:rPr>
                <w:rFonts w:ascii="Times New Roman" w:hAnsi="Times New Roman" w:cs="Times New Roman"/>
                <w:sz w:val="20"/>
                <w:szCs w:val="20"/>
                <w:lang w:val="en-US"/>
              </w:rPr>
              <w:t>Pd</w:t>
            </w:r>
            <w:proofErr w:type="spellEnd"/>
            <w:r w:rsidRPr="00A737E2">
              <w:rPr>
                <w:rFonts w:ascii="Times New Roman" w:hAnsi="Times New Roman" w:cs="Times New Roman"/>
                <w:sz w:val="20"/>
                <w:szCs w:val="20"/>
                <w:lang w:val="en-US"/>
              </w:rPr>
              <w:t>(5mCTS)2</w:t>
            </w:r>
          </w:p>
        </w:tc>
        <w:tc>
          <w:tcPr>
            <w:tcW w:w="1620" w:type="dxa"/>
            <w:noWrap/>
            <w:hideMark/>
          </w:tcPr>
          <w:p w14:paraId="36309AB7"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13.59112</w:t>
            </w:r>
          </w:p>
        </w:tc>
        <w:tc>
          <w:tcPr>
            <w:tcW w:w="1278" w:type="dxa"/>
            <w:noWrap/>
            <w:hideMark/>
          </w:tcPr>
          <w:p w14:paraId="01AC2ECF"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-126.251</w:t>
            </w:r>
          </w:p>
        </w:tc>
        <w:tc>
          <w:tcPr>
            <w:tcW w:w="1591" w:type="dxa"/>
            <w:noWrap/>
            <w:hideMark/>
          </w:tcPr>
          <w:p w14:paraId="458C7AE3"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-104.616</w:t>
            </w:r>
          </w:p>
        </w:tc>
        <w:tc>
          <w:tcPr>
            <w:tcW w:w="1134" w:type="dxa"/>
            <w:noWrap/>
            <w:hideMark/>
          </w:tcPr>
          <w:p w14:paraId="39533F71" w14:textId="77777777" w:rsidR="008D0921" w:rsidRPr="00A737E2" w:rsidRDefault="008D0921" w:rsidP="00A737E2">
            <w:pPr>
              <w:autoSpaceDE w:val="0"/>
              <w:autoSpaceDN w:val="0"/>
              <w:adjustRightInd w:val="0"/>
              <w:jc w:val="center"/>
              <w:rPr>
                <w:rFonts w:ascii="Times New Roman" w:hAnsi="Times New Roman" w:cs="Times New Roman"/>
                <w:sz w:val="20"/>
                <w:szCs w:val="20"/>
                <w:lang w:val="en-US"/>
              </w:rPr>
            </w:pPr>
            <w:r w:rsidRPr="00A737E2">
              <w:rPr>
                <w:rFonts w:ascii="Times New Roman" w:hAnsi="Times New Roman" w:cs="Times New Roman"/>
                <w:sz w:val="20"/>
                <w:szCs w:val="20"/>
                <w:lang w:val="en-US"/>
              </w:rPr>
              <w:t>-2.0394</w:t>
            </w:r>
          </w:p>
        </w:tc>
      </w:tr>
    </w:tbl>
    <w:p w14:paraId="5A031653"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p>
    <w:p w14:paraId="437C6284"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compound  exhibited inhibitory effects against G6PD enzyme with 13,59  µM IC</w:t>
      </w:r>
      <w:r w:rsidRPr="008D0921">
        <w:rPr>
          <w:rFonts w:ascii="Times New Roman" w:hAnsi="Times New Roman" w:cs="Times New Roman"/>
          <w:bCs/>
          <w:vertAlign w:val="subscript"/>
          <w:lang w:val="en-US"/>
        </w:rPr>
        <w:t xml:space="preserve">50 </w:t>
      </w:r>
      <w:r w:rsidRPr="008D0921">
        <w:rPr>
          <w:rFonts w:ascii="Times New Roman" w:hAnsi="Times New Roman" w:cs="Times New Roman"/>
          <w:bCs/>
          <w:lang w:val="en-US"/>
        </w:rPr>
        <w:t>value. % activity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graph was presented in Figure 1 and 2D interactions maps was given in Figure 2. According to the docking results, it was determined as -159.521 </w:t>
      </w:r>
      <w:proofErr w:type="spellStart"/>
      <w:r w:rsidRPr="008D0921">
        <w:rPr>
          <w:rFonts w:ascii="Times New Roman" w:hAnsi="Times New Roman" w:cs="Times New Roman"/>
          <w:bCs/>
          <w:lang w:val="en-US"/>
        </w:rPr>
        <w:t>MolDock</w:t>
      </w:r>
      <w:proofErr w:type="spellEnd"/>
      <w:r w:rsidRPr="008D0921">
        <w:rPr>
          <w:rFonts w:ascii="Times New Roman" w:hAnsi="Times New Roman" w:cs="Times New Roman"/>
          <w:bCs/>
          <w:lang w:val="en-US"/>
        </w:rPr>
        <w:t xml:space="preserve"> scores.</w:t>
      </w:r>
    </w:p>
    <w:p w14:paraId="15DC3F2B"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Cs/>
          <w:lang w:val="en-US"/>
        </w:rPr>
        <w:drawing>
          <wp:inline distT="0" distB="0" distL="0" distR="0" wp14:anchorId="0D7C2F85" wp14:editId="7037AEA5">
            <wp:extent cx="2686050" cy="1766887"/>
            <wp:effectExtent l="0" t="0" r="19050" b="24130"/>
            <wp:docPr id="1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700699"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bookmarkStart w:id="2" w:name="_Toc88566691"/>
      <w:bookmarkStart w:id="3" w:name="_Toc83460950"/>
      <w:r w:rsidRPr="008D0921">
        <w:rPr>
          <w:rFonts w:ascii="Times New Roman" w:hAnsi="Times New Roman" w:cs="Times New Roman"/>
          <w:b/>
          <w:bCs/>
          <w:lang w:val="en-US"/>
        </w:rPr>
        <w:t xml:space="preserve">Figure 1 </w:t>
      </w:r>
      <w:r w:rsidRPr="008D0921">
        <w:rPr>
          <w:rFonts w:ascii="Times New Roman" w:hAnsi="Times New Roman" w:cs="Times New Roman"/>
          <w:bCs/>
          <w:lang w:val="en-US"/>
        </w:rPr>
        <w:t xml:space="preserve">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 xml:space="preserve">2 </w:t>
      </w:r>
      <w:r w:rsidRPr="008D0921">
        <w:rPr>
          <w:rFonts w:ascii="Times New Roman" w:hAnsi="Times New Roman" w:cs="Times New Roman"/>
          <w:bCs/>
          <w:lang w:val="en-US"/>
        </w:rPr>
        <w:t>compound  % activity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graph G6PD enzyme activity</w:t>
      </w:r>
    </w:p>
    <w:bookmarkEnd w:id="2"/>
    <w:bookmarkEnd w:id="3"/>
    <w:p w14:paraId="0DB9FB58"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Cs/>
          <w:lang w:val="en-US"/>
        </w:rPr>
        <w:t xml:space="preserve">When the 2D interaction map with the enzyme is examined, Lya366 and Arg370 amino acids made hydrogen bond interactions with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In Figure 2, we notice the presence of hydrogen bonds, which are represented by the blue lines, and separating interactions, which are represented by the red lines.</w:t>
      </w:r>
    </w:p>
    <w:p w14:paraId="32EC17B1"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lastRenderedPageBreak/>
        <w:drawing>
          <wp:inline distT="0" distB="0" distL="0" distR="0" wp14:anchorId="2333EC06" wp14:editId="19F2743B">
            <wp:extent cx="5389563" cy="2238375"/>
            <wp:effectExtent l="0" t="0" r="190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242726"/>
                    </a:xfrm>
                    <a:prstGeom prst="rect">
                      <a:avLst/>
                    </a:prstGeom>
                  </pic:spPr>
                </pic:pic>
              </a:graphicData>
            </a:graphic>
          </wp:inline>
        </w:drawing>
      </w:r>
    </w:p>
    <w:p w14:paraId="2655A809"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
          <w:bCs/>
          <w:lang w:val="en-US"/>
        </w:rPr>
        <w:t>Figure 2</w:t>
      </w:r>
      <w:r w:rsidRPr="008D0921">
        <w:rPr>
          <w:rFonts w:ascii="Times New Roman" w:hAnsi="Times New Roman" w:cs="Times New Roman"/>
          <w:bCs/>
          <w:lang w:val="en-US"/>
        </w:rPr>
        <w:t xml:space="preserve"> The interactions of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(5MCTS)</w:t>
      </w:r>
      <w:r w:rsidRPr="008D0921">
        <w:rPr>
          <w:rFonts w:ascii="Times New Roman" w:hAnsi="Times New Roman" w:cs="Times New Roman"/>
          <w:bCs/>
          <w:vertAlign w:val="subscript"/>
          <w:lang w:val="en-US"/>
        </w:rPr>
        <w:t xml:space="preserve">2 </w:t>
      </w:r>
      <w:r w:rsidRPr="008D0921">
        <w:rPr>
          <w:rFonts w:ascii="Times New Roman" w:hAnsi="Times New Roman" w:cs="Times New Roman"/>
          <w:bCs/>
          <w:lang w:val="en-US"/>
        </w:rPr>
        <w:t xml:space="preserve"> with the active region of G6PD</w:t>
      </w:r>
    </w:p>
    <w:p w14:paraId="3F1C26BA"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
          <w:bCs/>
          <w:lang w:val="en-US"/>
        </w:rPr>
        <w:t xml:space="preserve"> </w:t>
      </w:r>
      <w:r w:rsidRPr="008D0921">
        <w:rPr>
          <w:rFonts w:ascii="Times New Roman" w:hAnsi="Times New Roman" w:cs="Times New Roman"/>
          <w:bCs/>
          <w:lang w:val="en-US"/>
        </w:rPr>
        <w:t>compound  exhibited inhibitory effects against G6PD enzyme with 8,45  µM IC</w:t>
      </w:r>
      <w:r w:rsidRPr="008D0921">
        <w:rPr>
          <w:rFonts w:ascii="Times New Roman" w:hAnsi="Times New Roman" w:cs="Times New Roman"/>
          <w:bCs/>
          <w:vertAlign w:val="subscript"/>
          <w:lang w:val="en-US"/>
        </w:rPr>
        <w:t xml:space="preserve">50 </w:t>
      </w:r>
      <w:r w:rsidRPr="008D0921">
        <w:rPr>
          <w:rFonts w:ascii="Times New Roman" w:hAnsi="Times New Roman" w:cs="Times New Roman"/>
          <w:bCs/>
          <w:lang w:val="en-US"/>
        </w:rPr>
        <w:t>value. % activity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graph was presented in Figure 3 and 2D interactions maps was given in Figure 4. According to the docking results, it was determined as -159.521 </w:t>
      </w:r>
      <w:proofErr w:type="spellStart"/>
      <w:r w:rsidRPr="008D0921">
        <w:rPr>
          <w:rFonts w:ascii="Times New Roman" w:hAnsi="Times New Roman" w:cs="Times New Roman"/>
          <w:bCs/>
          <w:lang w:val="en-US"/>
        </w:rPr>
        <w:t>MolDock</w:t>
      </w:r>
      <w:proofErr w:type="spellEnd"/>
      <w:r w:rsidRPr="008D0921">
        <w:rPr>
          <w:rFonts w:ascii="Times New Roman" w:hAnsi="Times New Roman" w:cs="Times New Roman"/>
          <w:bCs/>
          <w:lang w:val="en-US"/>
        </w:rPr>
        <w:t xml:space="preserve"> scores.</w:t>
      </w:r>
    </w:p>
    <w:p w14:paraId="36069605"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drawing>
          <wp:inline distT="0" distB="0" distL="0" distR="0" wp14:anchorId="0561AAF1" wp14:editId="0EE7992D">
            <wp:extent cx="2433638" cy="1352550"/>
            <wp:effectExtent l="0" t="0" r="24130" b="19050"/>
            <wp:docPr id="1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61F99"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
          <w:bCs/>
          <w:lang w:val="en-US"/>
        </w:rPr>
        <w:t xml:space="preserve">Figure 3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
          <w:bCs/>
          <w:lang w:val="en-US"/>
        </w:rPr>
        <w:t xml:space="preserve"> </w:t>
      </w:r>
      <w:r w:rsidRPr="008D0921">
        <w:rPr>
          <w:rFonts w:ascii="Times New Roman" w:hAnsi="Times New Roman" w:cs="Times New Roman"/>
          <w:bCs/>
          <w:lang w:val="en-US"/>
        </w:rPr>
        <w:t>compound % activities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graph G6PD enzyme activity</w:t>
      </w:r>
    </w:p>
    <w:p w14:paraId="26E70BFF"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Cs/>
          <w:lang w:val="en-US"/>
        </w:rPr>
        <w:t xml:space="preserve">When the 2D interaction map with the enzyme is examined, Tyr503 amino acids made hydrogen bond interactions with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In Figure 4, we notice the presence of hydrogen bonds, which are represented by the blue lines, and separating interactions, which are represented by the red lines.</w:t>
      </w:r>
    </w:p>
    <w:p w14:paraId="08C40032"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drawing>
          <wp:inline distT="0" distB="0" distL="0" distR="0" wp14:anchorId="65EBFA9C" wp14:editId="28FA1368">
            <wp:extent cx="5393502" cy="236220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2365063"/>
                    </a:xfrm>
                    <a:prstGeom prst="rect">
                      <a:avLst/>
                    </a:prstGeom>
                  </pic:spPr>
                </pic:pic>
              </a:graphicData>
            </a:graphic>
          </wp:inline>
        </w:drawing>
      </w:r>
    </w:p>
    <w:p w14:paraId="6248275F"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
          <w:bCs/>
          <w:lang w:val="en-US"/>
        </w:rPr>
        <w:t>Figure 4</w:t>
      </w:r>
      <w:r w:rsidRPr="008D0921">
        <w:rPr>
          <w:rFonts w:ascii="Times New Roman" w:hAnsi="Times New Roman" w:cs="Times New Roman"/>
          <w:bCs/>
          <w:lang w:val="en-US"/>
        </w:rPr>
        <w:t xml:space="preserve"> The interactions of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(3MeOCTS)</w:t>
      </w:r>
      <w:r w:rsidRPr="008D0921">
        <w:rPr>
          <w:rFonts w:ascii="Times New Roman" w:hAnsi="Times New Roman" w:cs="Times New Roman"/>
          <w:bCs/>
          <w:vertAlign w:val="subscript"/>
          <w:lang w:val="en-US"/>
        </w:rPr>
        <w:t>2</w:t>
      </w:r>
      <w:r w:rsidRPr="008D0921">
        <w:rPr>
          <w:rFonts w:ascii="Times New Roman" w:hAnsi="Times New Roman" w:cs="Times New Roman"/>
          <w:b/>
          <w:bCs/>
          <w:lang w:val="en-US"/>
        </w:rPr>
        <w:t xml:space="preserve"> </w:t>
      </w:r>
      <w:r w:rsidRPr="008D0921">
        <w:rPr>
          <w:rFonts w:ascii="Times New Roman" w:hAnsi="Times New Roman" w:cs="Times New Roman"/>
          <w:bCs/>
          <w:lang w:val="en-US"/>
        </w:rPr>
        <w:t xml:space="preserve"> with the active region of G6PD</w:t>
      </w:r>
    </w:p>
    <w:p w14:paraId="051B63F9"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proofErr w:type="spellStart"/>
      <w:r w:rsidRPr="008D0921">
        <w:rPr>
          <w:rFonts w:ascii="Times New Roman" w:hAnsi="Times New Roman" w:cs="Times New Roman"/>
          <w:bCs/>
          <w:lang w:val="en-US"/>
        </w:rPr>
        <w:lastRenderedPageBreak/>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compound  exhibited inhibitory effects against G6PD enzyme with 17,32  µM IC</w:t>
      </w:r>
      <w:r w:rsidRPr="008D0921">
        <w:rPr>
          <w:rFonts w:ascii="Times New Roman" w:hAnsi="Times New Roman" w:cs="Times New Roman"/>
          <w:bCs/>
          <w:vertAlign w:val="subscript"/>
          <w:lang w:val="en-US"/>
        </w:rPr>
        <w:t xml:space="preserve">50 </w:t>
      </w:r>
      <w:r w:rsidRPr="008D0921">
        <w:rPr>
          <w:rFonts w:ascii="Times New Roman" w:hAnsi="Times New Roman" w:cs="Times New Roman"/>
          <w:bCs/>
          <w:lang w:val="en-US"/>
        </w:rPr>
        <w:t>value. % activity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graph was presented in Figure 5 and 2D interactions maps was given in Figure 6. According to the docking results, it was determined as -159.521 </w:t>
      </w:r>
      <w:proofErr w:type="spellStart"/>
      <w:r w:rsidRPr="008D0921">
        <w:rPr>
          <w:rFonts w:ascii="Times New Roman" w:hAnsi="Times New Roman" w:cs="Times New Roman"/>
          <w:bCs/>
          <w:lang w:val="en-US"/>
        </w:rPr>
        <w:t>MolDock</w:t>
      </w:r>
      <w:proofErr w:type="spellEnd"/>
      <w:r w:rsidRPr="008D0921">
        <w:rPr>
          <w:rFonts w:ascii="Times New Roman" w:hAnsi="Times New Roman" w:cs="Times New Roman"/>
          <w:bCs/>
          <w:lang w:val="en-US"/>
        </w:rPr>
        <w:t xml:space="preserve"> scores.</w:t>
      </w:r>
    </w:p>
    <w:p w14:paraId="06D6EF9F"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drawing>
          <wp:inline distT="0" distB="0" distL="0" distR="0" wp14:anchorId="1CC7435E" wp14:editId="237024AC">
            <wp:extent cx="2676525" cy="1238250"/>
            <wp:effectExtent l="0" t="0" r="9525" b="19050"/>
            <wp:docPr id="20"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B36805"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
          <w:bCs/>
          <w:lang w:val="en-US"/>
        </w:rPr>
        <w:t xml:space="preserve">Figure 5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 xml:space="preserve">2 </w:t>
      </w:r>
      <w:r w:rsidRPr="008D0921">
        <w:rPr>
          <w:rFonts w:ascii="Times New Roman" w:hAnsi="Times New Roman" w:cs="Times New Roman"/>
          <w:bCs/>
          <w:lang w:val="en-US"/>
        </w:rPr>
        <w:t>compound % activities –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graph G6PD enzyme activity</w:t>
      </w:r>
    </w:p>
    <w:p w14:paraId="43AA9009"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t xml:space="preserve">When the 2D interaction map with the enzyme is examined, Tyr 503 and </w:t>
      </w:r>
      <w:proofErr w:type="spellStart"/>
      <w:r w:rsidRPr="008D0921">
        <w:rPr>
          <w:rFonts w:ascii="Times New Roman" w:hAnsi="Times New Roman" w:cs="Times New Roman"/>
          <w:bCs/>
          <w:lang w:val="en-US"/>
        </w:rPr>
        <w:t>Asn</w:t>
      </w:r>
      <w:proofErr w:type="spellEnd"/>
      <w:r w:rsidRPr="008D0921">
        <w:rPr>
          <w:rFonts w:ascii="Times New Roman" w:hAnsi="Times New Roman" w:cs="Times New Roman"/>
          <w:bCs/>
          <w:lang w:val="en-US"/>
        </w:rPr>
        <w:t xml:space="preserve"> 363 amino acids made hydrogen bond interactions with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In Figure 6, we notice the presence of hydrogen bonds, which are represented by the blue lines, and separating interactions, which are represented by the red lines.</w:t>
      </w:r>
    </w:p>
    <w:p w14:paraId="01648BA8" w14:textId="77777777" w:rsidR="008D0921" w:rsidRPr="008D0921" w:rsidRDefault="008D0921" w:rsidP="008D0921">
      <w:pPr>
        <w:autoSpaceDE w:val="0"/>
        <w:autoSpaceDN w:val="0"/>
        <w:adjustRightInd w:val="0"/>
        <w:spacing w:after="240"/>
        <w:jc w:val="both"/>
        <w:rPr>
          <w:rFonts w:ascii="Times New Roman" w:hAnsi="Times New Roman" w:cs="Times New Roman"/>
          <w:b/>
          <w:bCs/>
          <w:lang w:val="en-US"/>
        </w:rPr>
      </w:pPr>
      <w:r w:rsidRPr="008D0921">
        <w:rPr>
          <w:rFonts w:ascii="Times New Roman" w:hAnsi="Times New Roman" w:cs="Times New Roman"/>
          <w:bCs/>
          <w:lang w:val="en-US"/>
        </w:rPr>
        <w:drawing>
          <wp:inline distT="0" distB="0" distL="0" distR="0" wp14:anchorId="203BA4D1" wp14:editId="2B2EA099">
            <wp:extent cx="5400675" cy="249555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a:extLst>
                        <a:ext uri="{28A0092B-C50C-407E-A947-70E740481C1C}">
                          <a14:useLocalDpi xmlns:a14="http://schemas.microsoft.com/office/drawing/2010/main" val="0"/>
                        </a:ext>
                      </a:extLst>
                    </a:blip>
                    <a:stretch>
                      <a:fillRect/>
                    </a:stretch>
                  </pic:blipFill>
                  <pic:spPr>
                    <a:xfrm>
                      <a:off x="0" y="0"/>
                      <a:ext cx="5400040" cy="2495257"/>
                    </a:xfrm>
                    <a:prstGeom prst="rect">
                      <a:avLst/>
                    </a:prstGeom>
                  </pic:spPr>
                </pic:pic>
              </a:graphicData>
            </a:graphic>
          </wp:inline>
        </w:drawing>
      </w:r>
    </w:p>
    <w:p w14:paraId="094E4C1B"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r w:rsidRPr="008D0921">
        <w:rPr>
          <w:rFonts w:ascii="Times New Roman" w:hAnsi="Times New Roman" w:cs="Times New Roman"/>
          <w:b/>
          <w:bCs/>
          <w:lang w:val="en-US"/>
        </w:rPr>
        <w:t>Figure 6</w:t>
      </w:r>
      <w:r w:rsidRPr="008D0921">
        <w:rPr>
          <w:rFonts w:ascii="Times New Roman" w:hAnsi="Times New Roman" w:cs="Times New Roman"/>
          <w:bCs/>
          <w:lang w:val="en-US"/>
        </w:rPr>
        <w:t xml:space="preserve"> The interactions of </w:t>
      </w:r>
      <w:proofErr w:type="spellStart"/>
      <w:r w:rsidRPr="008D0921">
        <w:rPr>
          <w:rFonts w:ascii="Times New Roman" w:hAnsi="Times New Roman" w:cs="Times New Roman"/>
          <w:bCs/>
          <w:lang w:val="en-US"/>
        </w:rPr>
        <w:t>Pd</w:t>
      </w:r>
      <w:proofErr w:type="spellEnd"/>
      <w:r w:rsidRPr="008D0921">
        <w:rPr>
          <w:rFonts w:ascii="Times New Roman" w:hAnsi="Times New Roman" w:cs="Times New Roman"/>
          <w:bCs/>
          <w:lang w:val="en-US"/>
        </w:rPr>
        <w:t>(3TbCTS)</w:t>
      </w:r>
      <w:r w:rsidRPr="008D0921">
        <w:rPr>
          <w:rFonts w:ascii="Times New Roman" w:hAnsi="Times New Roman" w:cs="Times New Roman"/>
          <w:bCs/>
          <w:vertAlign w:val="subscript"/>
          <w:lang w:val="en-US"/>
        </w:rPr>
        <w:t>2</w:t>
      </w:r>
      <w:r w:rsidRPr="008D0921">
        <w:rPr>
          <w:rFonts w:ascii="Times New Roman" w:hAnsi="Times New Roman" w:cs="Times New Roman"/>
          <w:bCs/>
          <w:lang w:val="en-US"/>
        </w:rPr>
        <w:t xml:space="preserve"> with the active region of G6PD</w:t>
      </w:r>
    </w:p>
    <w:p w14:paraId="1BCA5166" w14:textId="77777777" w:rsidR="008D0921" w:rsidRPr="008D0921" w:rsidRDefault="008D0921" w:rsidP="008D0921">
      <w:pPr>
        <w:autoSpaceDE w:val="0"/>
        <w:autoSpaceDN w:val="0"/>
        <w:adjustRightInd w:val="0"/>
        <w:spacing w:after="240"/>
        <w:jc w:val="both"/>
        <w:rPr>
          <w:rFonts w:ascii="Times New Roman" w:hAnsi="Times New Roman" w:cs="Times New Roman"/>
          <w:bCs/>
          <w:lang w:val="en-US"/>
        </w:rPr>
      </w:pPr>
    </w:p>
    <w:p w14:paraId="3BA16DC4" w14:textId="77777777" w:rsidR="008D0921" w:rsidRPr="008D0921" w:rsidRDefault="008D0921" w:rsidP="008D0921">
      <w:pPr>
        <w:autoSpaceDE w:val="0"/>
        <w:autoSpaceDN w:val="0"/>
        <w:adjustRightInd w:val="0"/>
        <w:spacing w:after="240"/>
        <w:jc w:val="both"/>
        <w:rPr>
          <w:rFonts w:ascii="Times New Roman" w:hAnsi="Times New Roman" w:cs="Times New Roman"/>
          <w:b/>
          <w:lang w:val="en-US"/>
        </w:rPr>
      </w:pPr>
      <w:bookmarkStart w:id="4" w:name="_Toc92819381"/>
      <w:r w:rsidRPr="008D0921">
        <w:rPr>
          <w:rFonts w:ascii="Times New Roman" w:hAnsi="Times New Roman" w:cs="Times New Roman"/>
          <w:b/>
          <w:lang w:val="en-US"/>
        </w:rPr>
        <w:t>DISCUSSION</w:t>
      </w:r>
      <w:bookmarkEnd w:id="4"/>
    </w:p>
    <w:p w14:paraId="29B53F3F" w14:textId="3AFCC0C6" w:rsidR="002B5660" w:rsidRPr="002B5660" w:rsidRDefault="008D0921" w:rsidP="008D0921">
      <w:pPr>
        <w:autoSpaceDE w:val="0"/>
        <w:autoSpaceDN w:val="0"/>
        <w:adjustRightInd w:val="0"/>
        <w:spacing w:after="240"/>
        <w:jc w:val="both"/>
        <w:rPr>
          <w:rFonts w:ascii="Times New Roman" w:hAnsi="Times New Roman" w:cs="Times New Roman"/>
          <w:lang w:val="en-US"/>
        </w:rPr>
      </w:pPr>
      <w:r w:rsidRPr="008D0921">
        <w:rPr>
          <w:rFonts w:ascii="Times New Roman" w:hAnsi="Times New Roman" w:cs="Times New Roman"/>
          <w:bCs/>
          <w:lang w:val="en-US"/>
        </w:rPr>
        <w:t>The relationship between the G6PD enzyme and cancer is in order to control the development and death of cells, G6PD plays an important role in signaling. Tumors and malignancies are associated with faulty activation of G6PD in rapidly expanding cancer cells. If G6PD is a therapeutic target, it opens up the possibility that current anticancer drugs can be combined with it to combat cancer resistance. Methods using G6PD inhibitors in the form of chemical or molecular inhibitors have commonly been developed. G6PD inhibitors are developed on the basis of metabolic modification. To avoid fast transformation, tumor cell proliferation, metastatic spread, as well as heterogeneity, redox homeostasis and protein-protein interactions are critical. We can explore the role of G6PD in cancer</w:t>
      </w:r>
      <w:r w:rsidR="002B5660" w:rsidRPr="002B5660">
        <w:rPr>
          <w:rFonts w:ascii="Times New Roman" w:hAnsi="Times New Roman" w:cs="Times New Roman"/>
          <w:lang w:val="en-US"/>
        </w:rPr>
        <w:t>.</w:t>
      </w:r>
    </w:p>
    <w:p w14:paraId="6E71093E" w14:textId="1694C67A" w:rsidR="007B47CE" w:rsidRDefault="007B47CE" w:rsidP="007B47CE">
      <w:pPr>
        <w:shd w:val="clear" w:color="auto" w:fill="FFFFFF"/>
        <w:spacing w:after="0"/>
        <w:jc w:val="both"/>
        <w:rPr>
          <w:rFonts w:ascii="Times New Roman" w:hAnsi="Times New Roman"/>
          <w:lang w:val="en-GB"/>
        </w:rPr>
      </w:pPr>
    </w:p>
    <w:p w14:paraId="2C813738" w14:textId="5B32F731" w:rsidR="00F601E5" w:rsidRDefault="007B47CE" w:rsidP="00570F7E">
      <w:pPr>
        <w:autoSpaceDE w:val="0"/>
        <w:autoSpaceDN w:val="0"/>
        <w:adjustRightInd w:val="0"/>
        <w:spacing w:after="0"/>
        <w:jc w:val="both"/>
        <w:rPr>
          <w:rFonts w:ascii="Times New Roman" w:hAnsi="Times New Roman" w:cs="Times New Roman"/>
          <w:lang w:val="en-GB"/>
        </w:rPr>
      </w:pPr>
      <w:r w:rsidRPr="00EA6E0E">
        <w:rPr>
          <w:rFonts w:ascii="Times New Roman" w:hAnsi="Times New Roman" w:cs="Times New Roman"/>
          <w:lang w:val="en-GB"/>
        </w:rPr>
        <w:t xml:space="preserve"> </w:t>
      </w:r>
    </w:p>
    <w:p w14:paraId="78AFF951" w14:textId="3AC07F43" w:rsidR="00F803B1" w:rsidRDefault="00F803B1" w:rsidP="00A737E2">
      <w:pPr>
        <w:jc w:val="both"/>
        <w:rPr>
          <w:rFonts w:ascii="Times New Roman" w:hAnsi="Times New Roman" w:cs="Times New Roman"/>
          <w:sz w:val="24"/>
          <w:szCs w:val="24"/>
        </w:rPr>
      </w:pPr>
    </w:p>
    <w:p w14:paraId="7993E55F" w14:textId="77777777" w:rsidR="00793DA2" w:rsidRPr="00A737E2" w:rsidRDefault="00793DA2" w:rsidP="00A737E2">
      <w:pPr>
        <w:jc w:val="both"/>
        <w:rPr>
          <w:rFonts w:ascii="Times New Roman" w:hAnsi="Times New Roman" w:cs="Times New Roman"/>
          <w:sz w:val="24"/>
          <w:szCs w:val="24"/>
        </w:rPr>
      </w:pPr>
      <w:bookmarkStart w:id="5" w:name="_GoBack"/>
      <w:bookmarkEnd w:id="5"/>
    </w:p>
    <w:p w14:paraId="6A70E17A" w14:textId="2097B069" w:rsidR="00B976E8" w:rsidRDefault="00F803B1" w:rsidP="00A737E2">
      <w:pPr>
        <w:spacing w:after="0" w:line="23" w:lineRule="atLeast"/>
        <w:jc w:val="both"/>
        <w:rPr>
          <w:rFonts w:ascii="Times New Roman" w:eastAsia="Times New Roman" w:hAnsi="Times New Roman" w:cs="Times New Roman"/>
          <w:color w:val="FF0000"/>
          <w:shd w:val="clear" w:color="auto" w:fill="FFFFFF"/>
          <w:lang w:val="en-US" w:eastAsia="tr-TR"/>
        </w:rPr>
      </w:pPr>
      <w:r w:rsidRPr="00A737E2">
        <w:rPr>
          <w:rFonts w:ascii="Times New Roman" w:hAnsi="Times New Roman" w:cs="Times New Roman"/>
          <w:b/>
          <w:sz w:val="24"/>
          <w:szCs w:val="24"/>
          <w:lang w:val="en-US" w:eastAsia="tr-TR"/>
        </w:rPr>
        <w:lastRenderedPageBreak/>
        <w:t>References</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3168A48" w14:textId="77777777" w:rsidR="008D0921" w:rsidRPr="008D0921" w:rsidRDefault="008D0921" w:rsidP="008D0921">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8D0921">
        <w:rPr>
          <w:rFonts w:ascii="Times New Roman" w:hAnsi="Times New Roman" w:cs="Times New Roman"/>
          <w:color w:val="222222"/>
          <w:shd w:val="clear" w:color="auto" w:fill="FFFFFF"/>
        </w:rPr>
        <w:t>Au, S. W., Gover, S., Lam, V. M., and Adams, M. J. 2000. Human glucose-6-phosphate dehydrogenase: the crystal structure reveals a structural NADP+ molecule and provides insights into enzyme deficiency. Structure., 8: 293-303.</w:t>
      </w:r>
    </w:p>
    <w:p w14:paraId="02C3AB66" w14:textId="77777777" w:rsidR="008D0921" w:rsidRPr="008D0921" w:rsidRDefault="008D0921" w:rsidP="008D0921">
      <w:pPr>
        <w:pStyle w:val="a3"/>
        <w:widowControl w:val="0"/>
        <w:numPr>
          <w:ilvl w:val="0"/>
          <w:numId w:val="31"/>
        </w:numPr>
        <w:shd w:val="clear" w:color="auto" w:fill="FFFFFF"/>
        <w:suppressAutoHyphens/>
        <w:spacing w:after="0" w:line="23" w:lineRule="atLeast"/>
        <w:ind w:left="432" w:hanging="432"/>
        <w:jc w:val="both"/>
        <w:rPr>
          <w:rFonts w:ascii="Times New Roman" w:hAnsi="Times New Roman" w:cs="Times New Roman"/>
          <w:color w:val="222222"/>
          <w:shd w:val="clear" w:color="auto" w:fill="FFFFFF"/>
        </w:rPr>
      </w:pPr>
      <w:r w:rsidRPr="008D0921">
        <w:rPr>
          <w:rFonts w:ascii="Times New Roman" w:hAnsi="Times New Roman" w:cs="Times New Roman"/>
          <w:color w:val="222222"/>
          <w:shd w:val="clear" w:color="auto" w:fill="FFFFFF"/>
        </w:rPr>
        <w:t>Senesi, S., Csala, M., Marcolongo, P., Fulceri, R., Mandl, J., Banhegyi, G. and Benedetti, A. 2010. Hexose-6-phosphate dehydrogenase in the endoplasmic reticulum., 391:1–8.</w:t>
      </w:r>
    </w:p>
    <w:p w14:paraId="35F56A50" w14:textId="69093099" w:rsidR="00F82C0C" w:rsidRPr="00F85871" w:rsidRDefault="008D0921" w:rsidP="008D0921">
      <w:pPr>
        <w:pStyle w:val="a3"/>
        <w:widowControl w:val="0"/>
        <w:numPr>
          <w:ilvl w:val="0"/>
          <w:numId w:val="31"/>
        </w:numPr>
        <w:shd w:val="clear" w:color="auto" w:fill="FFFFFF"/>
        <w:suppressAutoHyphens/>
        <w:spacing w:after="0" w:line="23" w:lineRule="atLeast"/>
        <w:ind w:left="432" w:hanging="432"/>
        <w:contextualSpacing w:val="0"/>
        <w:jc w:val="both"/>
        <w:rPr>
          <w:rFonts w:ascii="Times New Roman" w:eastAsia="Times New Roman" w:hAnsi="Times New Roman" w:cs="Times New Roman"/>
          <w:color w:val="333333"/>
          <w:lang w:eastAsia="tr-TR"/>
        </w:rPr>
      </w:pPr>
      <w:r w:rsidRPr="008D0921">
        <w:rPr>
          <w:rFonts w:ascii="Times New Roman" w:hAnsi="Times New Roman" w:cs="Times New Roman"/>
          <w:color w:val="222222"/>
          <w:shd w:val="clear" w:color="auto" w:fill="FFFFFF"/>
        </w:rPr>
        <w:t>Tsachaki, M., Mladenovic, N., Štambergové, H., Birk, J. and Odermatt, A. 2018. Hexose‐6‐phosphate dehydrogenase controls cancer cell proliferation and migration through pleiotropic effects on the unfolded‐protein response, calcium homeostasis, and redox balance. The FAS</w:t>
      </w:r>
      <w:r>
        <w:rPr>
          <w:rFonts w:ascii="Times New Roman" w:hAnsi="Times New Roman" w:cs="Times New Roman"/>
          <w:color w:val="222222"/>
          <w:shd w:val="clear" w:color="auto" w:fill="FFFFFF"/>
        </w:rPr>
        <w:t>EB Journal., 32: 2690-2705</w:t>
      </w:r>
      <w:r w:rsidR="00F82C0C" w:rsidRPr="00F85871">
        <w:rPr>
          <w:rFonts w:ascii="Times New Roman" w:hAnsi="Times New Roman" w:cs="Times New Roman"/>
          <w:color w:val="222222"/>
          <w:shd w:val="clear" w:color="auto" w:fill="FFFFFF"/>
        </w:rPr>
        <w:t>.</w:t>
      </w:r>
      <w:r w:rsidR="00F82C0C" w:rsidRPr="00F85871">
        <w:rPr>
          <w:rFonts w:ascii="Times New Roman" w:hAnsi="Times New Roman" w:cs="Times New Roman"/>
          <w:color w:val="333333"/>
          <w:shd w:val="clear" w:color="auto" w:fill="F9F9F9"/>
        </w:rPr>
        <w:t xml:space="preserve"> </w:t>
      </w:r>
    </w:p>
    <w:p w14:paraId="2BED4F5A" w14:textId="5C70B1CC" w:rsidR="005A4189" w:rsidRPr="008D0921" w:rsidRDefault="005A4189" w:rsidP="008D0921">
      <w:pPr>
        <w:pStyle w:val="a3"/>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sectPr w:rsidR="005A4189" w:rsidRPr="008D0921" w:rsidSect="008E75E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021" w:bottom="1418" w:left="1021" w:header="709" w:footer="709" w:gutter="0"/>
          <w:pgNumType w:start="1"/>
          <w:cols w:space="282"/>
          <w:titlePg/>
          <w:docGrid w:linePitch="360"/>
        </w:sectPr>
      </w:pPr>
    </w:p>
    <w:p w14:paraId="06F2334B" w14:textId="64D5CDE1" w:rsidR="00540509" w:rsidRPr="008D0921" w:rsidRDefault="00540509" w:rsidP="008D0921">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BF91E" w14:textId="77777777" w:rsidR="00FD0B10" w:rsidRDefault="00FD0B10" w:rsidP="00A86FE2">
      <w:pPr>
        <w:spacing w:after="0"/>
      </w:pPr>
      <w:r>
        <w:separator/>
      </w:r>
    </w:p>
  </w:endnote>
  <w:endnote w:type="continuationSeparator" w:id="0">
    <w:p w14:paraId="6DE58CAA" w14:textId="77777777" w:rsidR="00FD0B10" w:rsidRDefault="00FD0B10"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92913"/>
      <w:docPartObj>
        <w:docPartGallery w:val="Page Numbers (Bottom of Page)"/>
        <w:docPartUnique/>
      </w:docPartObj>
    </w:sdtPr>
    <w:sdtEndPr/>
    <w:sdtContent>
      <w:p w14:paraId="3BD0FCEB" w14:textId="67EB9097" w:rsidR="0007224B" w:rsidRDefault="0007224B">
        <w:pPr>
          <w:pStyle w:val="a7"/>
          <w:jc w:val="center"/>
        </w:pPr>
        <w:r>
          <w:fldChar w:fldCharType="begin"/>
        </w:r>
        <w:r>
          <w:instrText>PAGE   \* MERGEFORMAT</w:instrText>
        </w:r>
        <w:r>
          <w:fldChar w:fldCharType="separate"/>
        </w:r>
        <w:r w:rsidR="00793DA2">
          <w:rPr>
            <w:noProof/>
          </w:rPr>
          <w:t>2</w:t>
        </w:r>
        <w:r>
          <w:fldChar w:fldCharType="end"/>
        </w:r>
      </w:p>
    </w:sdtContent>
  </w:sdt>
  <w:p w14:paraId="51019899" w14:textId="77777777" w:rsidR="00AF3424" w:rsidRDefault="00AF342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70E6EF6B"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E3666">
            <w:rPr>
              <w:rFonts w:ascii="Times New Roman" w:hAnsi="Times New Roman" w:cs="Times New Roman"/>
              <w:i/>
              <w:color w:val="000000" w:themeColor="text1"/>
              <w:sz w:val="16"/>
              <w:szCs w:val="16"/>
            </w:rPr>
            <w:t>.........</w:t>
          </w:r>
          <w:r w:rsidRPr="0061355D">
            <w:rPr>
              <w:rFonts w:ascii="Times New Roman" w:hAnsi="Times New Roman" w:cs="Times New Roman"/>
              <w:i/>
              <w:color w:val="000000" w:themeColor="text1"/>
              <w:sz w:val="16"/>
              <w:szCs w:val="16"/>
            </w:rPr>
            <w:t>@</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7"/>
          <w:jc w:val="center"/>
        </w:pPr>
        <w:r>
          <w:fldChar w:fldCharType="begin"/>
        </w:r>
        <w:r>
          <w:instrText>PAGE   \* MERGEFORMAT</w:instrText>
        </w:r>
        <w:r>
          <w:fldChar w:fldCharType="separate"/>
        </w:r>
        <w:r w:rsidR="008D0921">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8CD48" w14:textId="77777777" w:rsidR="00FD0B10" w:rsidRDefault="00FD0B10" w:rsidP="00A86FE2">
      <w:pPr>
        <w:spacing w:after="0"/>
      </w:pPr>
      <w:r>
        <w:separator/>
      </w:r>
    </w:p>
  </w:footnote>
  <w:footnote w:type="continuationSeparator" w:id="0">
    <w:p w14:paraId="0579B8DB" w14:textId="77777777" w:rsidR="00FD0B10" w:rsidRDefault="00FD0B10"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1A73" w14:textId="77777777" w:rsidR="00AF3424" w:rsidRPr="00E21D99" w:rsidRDefault="00AF3424"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A719" w14:textId="77777777" w:rsidR="00AF3424" w:rsidRPr="000B0C6C" w:rsidRDefault="00AF3424"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EAE1" w14:textId="3295682F" w:rsidR="00825BB9" w:rsidRPr="00B04BE4" w:rsidRDefault="00986F68" w:rsidP="000823EB">
    <w:pPr>
      <w:jc w:val="center"/>
      <w:rPr>
        <w:rFonts w:cs="Arial"/>
        <w:b/>
        <w:color w:val="4F81BD" w:themeColor="accent1"/>
        <w:sz w:val="20"/>
        <w:szCs w:val="20"/>
      </w:rPr>
    </w:pPr>
    <w:r>
      <w:rPr>
        <w:noProof/>
        <w:lang w:val="en-US"/>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lang w:val="en-US"/>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2F702B"/>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483C"/>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3DA2"/>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0921"/>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2004"/>
    <w:rsid w:val="00A6301E"/>
    <w:rsid w:val="00A64ADC"/>
    <w:rsid w:val="00A65C64"/>
    <w:rsid w:val="00A6615E"/>
    <w:rsid w:val="00A66F08"/>
    <w:rsid w:val="00A67DDD"/>
    <w:rsid w:val="00A71ABA"/>
    <w:rsid w:val="00A737E2"/>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D0B1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1.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image" Target="media/image3.jp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626073657051674"/>
          <c:y val="4.9344531933508309E-2"/>
          <c:w val="0.73795081961433318"/>
          <c:h val="0.71965649606299198"/>
        </c:manualLayout>
      </c:layout>
      <c:scatterChart>
        <c:scatterStyle val="lineMarker"/>
        <c:varyColors val="0"/>
        <c:ser>
          <c:idx val="0"/>
          <c:order val="0"/>
          <c:spPr>
            <a:ln w="28575">
              <a:noFill/>
            </a:ln>
          </c:spPr>
          <c:trendline>
            <c:trendlineType val="exp"/>
            <c:intercept val="100"/>
            <c:dispRSqr val="1"/>
            <c:dispEq val="1"/>
            <c:trendlineLbl>
              <c:layout>
                <c:manualLayout>
                  <c:x val="9.6889597661051791E-2"/>
                  <c:y val="-0.50568202378957949"/>
                </c:manualLayout>
              </c:layout>
              <c:numFmt formatCode="General" sourceLinked="0"/>
            </c:trendlineLbl>
          </c:trendline>
          <c:xVal>
            <c:numRef>
              <c:f>G6PD!$H$2:$H$7</c:f>
              <c:numCache>
                <c:formatCode>General</c:formatCode>
                <c:ptCount val="6"/>
                <c:pt idx="0">
                  <c:v>0</c:v>
                </c:pt>
                <c:pt idx="1">
                  <c:v>5.4830573527799098</c:v>
                </c:pt>
                <c:pt idx="2">
                  <c:v>10.96611470555982</c:v>
                </c:pt>
                <c:pt idx="3">
                  <c:v>16.44917205833973</c:v>
                </c:pt>
                <c:pt idx="4">
                  <c:v>32.898344116679461</c:v>
                </c:pt>
                <c:pt idx="5">
                  <c:v>49.347516175019187</c:v>
                </c:pt>
              </c:numCache>
            </c:numRef>
          </c:xVal>
          <c:yVal>
            <c:numRef>
              <c:f>G6PD!$I$2:$I$7</c:f>
              <c:numCache>
                <c:formatCode>General</c:formatCode>
                <c:ptCount val="6"/>
                <c:pt idx="0">
                  <c:v>100</c:v>
                </c:pt>
                <c:pt idx="1">
                  <c:v>75</c:v>
                </c:pt>
                <c:pt idx="2">
                  <c:v>60</c:v>
                </c:pt>
                <c:pt idx="3">
                  <c:v>48</c:v>
                </c:pt>
                <c:pt idx="4">
                  <c:v>17</c:v>
                </c:pt>
                <c:pt idx="5">
                  <c:v>8</c:v>
                </c:pt>
              </c:numCache>
            </c:numRef>
          </c:yVal>
          <c:smooth val="0"/>
        </c:ser>
        <c:dLbls>
          <c:showLegendKey val="0"/>
          <c:showVal val="0"/>
          <c:showCatName val="0"/>
          <c:showSerName val="0"/>
          <c:showPercent val="0"/>
          <c:showBubbleSize val="0"/>
        </c:dLbls>
        <c:axId val="336540800"/>
        <c:axId val="336542720"/>
      </c:scatterChart>
      <c:valAx>
        <c:axId val="336540800"/>
        <c:scaling>
          <c:orientation val="minMax"/>
        </c:scaling>
        <c:delete val="0"/>
        <c:axPos val="b"/>
        <c:title>
          <c:tx>
            <c:rich>
              <a:bodyPr/>
              <a:lstStyle/>
              <a:p>
                <a:pPr>
                  <a:defRPr/>
                </a:pPr>
                <a:r>
                  <a:rPr lang="tr-TR"/>
                  <a:t>Pd(5</a:t>
                </a:r>
                <a:r>
                  <a:rPr lang="en-US"/>
                  <a:t>M</a:t>
                </a:r>
                <a:r>
                  <a:rPr lang="tr-TR"/>
                  <a:t>CTS)2</a:t>
                </a:r>
              </a:p>
            </c:rich>
          </c:tx>
          <c:overlay val="0"/>
        </c:title>
        <c:numFmt formatCode="General" sourceLinked="1"/>
        <c:majorTickMark val="out"/>
        <c:minorTickMark val="none"/>
        <c:tickLblPos val="nextTo"/>
        <c:crossAx val="336542720"/>
        <c:crosses val="autoZero"/>
        <c:crossBetween val="midCat"/>
      </c:valAx>
      <c:valAx>
        <c:axId val="336542720"/>
        <c:scaling>
          <c:orientation val="minMax"/>
        </c:scaling>
        <c:delete val="0"/>
        <c:axPos val="l"/>
        <c:title>
          <c:tx>
            <c:rich>
              <a:bodyPr rot="-5400000" vert="horz"/>
              <a:lstStyle/>
              <a:p>
                <a:pPr>
                  <a:defRPr/>
                </a:pPr>
                <a:r>
                  <a:rPr lang="tr-TR"/>
                  <a:t>% Activity</a:t>
                </a:r>
              </a:p>
            </c:rich>
          </c:tx>
          <c:overlay val="0"/>
        </c:title>
        <c:numFmt formatCode="General" sourceLinked="1"/>
        <c:majorTickMark val="out"/>
        <c:minorTickMark val="none"/>
        <c:tickLblPos val="nextTo"/>
        <c:crossAx val="336540800"/>
        <c:crosses val="autoZero"/>
        <c:crossBetween val="midCat"/>
      </c:valAx>
    </c:plotArea>
    <c:plotVisOnly val="1"/>
    <c:dispBlanksAs val="gap"/>
    <c:showDLblsOverMax val="0"/>
  </c:chart>
  <c:txPr>
    <a:bodyPr/>
    <a:lstStyle/>
    <a:p>
      <a:pPr algn="ctr">
        <a:lnSpc>
          <a:spcPct val="150000"/>
        </a:lnSpc>
        <a:spcAft>
          <a:spcPts val="600"/>
        </a:spcAft>
        <a:defRPr sz="10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100216753398948"/>
          <c:y val="7.7474477741513642E-2"/>
          <c:w val="0.72982392264902951"/>
          <c:h val="0.66254464334772911"/>
        </c:manualLayout>
      </c:layout>
      <c:scatterChart>
        <c:scatterStyle val="lineMarker"/>
        <c:varyColors val="0"/>
        <c:ser>
          <c:idx val="0"/>
          <c:order val="0"/>
          <c:spPr>
            <a:ln w="28575">
              <a:noFill/>
            </a:ln>
          </c:spPr>
          <c:trendline>
            <c:trendlineType val="exp"/>
            <c:intercept val="100"/>
            <c:dispRSqr val="0"/>
            <c:dispEq val="1"/>
            <c:trendlineLbl>
              <c:layout>
                <c:manualLayout>
                  <c:x val="0.16035861496694356"/>
                  <c:y val="-0.5113111947963026"/>
                </c:manualLayout>
              </c:layout>
              <c:numFmt formatCode="General" sourceLinked="0"/>
            </c:trendlineLbl>
          </c:trendline>
          <c:xVal>
            <c:numRef>
              <c:f>G6PD!$H$28:$H$33</c:f>
              <c:numCache>
                <c:formatCode>General</c:formatCode>
                <c:ptCount val="6"/>
                <c:pt idx="0">
                  <c:v>0</c:v>
                </c:pt>
                <c:pt idx="1">
                  <c:v>2.6365745623286223</c:v>
                </c:pt>
                <c:pt idx="2">
                  <c:v>5.2731491246572446</c:v>
                </c:pt>
                <c:pt idx="3">
                  <c:v>10.546298249314489</c:v>
                </c:pt>
                <c:pt idx="4">
                  <c:v>15.819447373971736</c:v>
                </c:pt>
                <c:pt idx="5">
                  <c:v>31.638894747943471</c:v>
                </c:pt>
              </c:numCache>
            </c:numRef>
          </c:xVal>
          <c:yVal>
            <c:numRef>
              <c:f>G6PD!$I$28:$I$33</c:f>
              <c:numCache>
                <c:formatCode>General</c:formatCode>
                <c:ptCount val="6"/>
                <c:pt idx="0">
                  <c:v>100</c:v>
                </c:pt>
                <c:pt idx="1">
                  <c:v>75</c:v>
                </c:pt>
                <c:pt idx="2">
                  <c:v>60</c:v>
                </c:pt>
                <c:pt idx="3">
                  <c:v>43</c:v>
                </c:pt>
                <c:pt idx="4">
                  <c:v>25</c:v>
                </c:pt>
                <c:pt idx="5">
                  <c:v>8</c:v>
                </c:pt>
              </c:numCache>
            </c:numRef>
          </c:yVal>
          <c:smooth val="0"/>
        </c:ser>
        <c:dLbls>
          <c:showLegendKey val="0"/>
          <c:showVal val="0"/>
          <c:showCatName val="0"/>
          <c:showSerName val="0"/>
          <c:showPercent val="0"/>
          <c:showBubbleSize val="0"/>
        </c:dLbls>
        <c:axId val="305290624"/>
        <c:axId val="305292800"/>
      </c:scatterChart>
      <c:valAx>
        <c:axId val="305290624"/>
        <c:scaling>
          <c:orientation val="minMax"/>
        </c:scaling>
        <c:delete val="0"/>
        <c:axPos val="b"/>
        <c:title>
          <c:tx>
            <c:rich>
              <a:bodyPr/>
              <a:lstStyle/>
              <a:p>
                <a:pPr>
                  <a:defRPr/>
                </a:pPr>
                <a:r>
                  <a:rPr lang="en-US"/>
                  <a:t>Pd(3MeOCTS)2 </a:t>
                </a:r>
              </a:p>
            </c:rich>
          </c:tx>
          <c:overlay val="0"/>
        </c:title>
        <c:numFmt formatCode="General" sourceLinked="1"/>
        <c:majorTickMark val="out"/>
        <c:minorTickMark val="none"/>
        <c:tickLblPos val="nextTo"/>
        <c:crossAx val="305292800"/>
        <c:crosses val="autoZero"/>
        <c:crossBetween val="midCat"/>
      </c:valAx>
      <c:valAx>
        <c:axId val="305292800"/>
        <c:scaling>
          <c:orientation val="minMax"/>
        </c:scaling>
        <c:delete val="0"/>
        <c:axPos val="l"/>
        <c:title>
          <c:tx>
            <c:rich>
              <a:bodyPr rot="-5400000" vert="horz"/>
              <a:lstStyle/>
              <a:p>
                <a:pPr algn="ctr" rtl="0">
                  <a:defRPr/>
                </a:pPr>
                <a:r>
                  <a:rPr lang="tr-TR"/>
                  <a:t>% Activity</a:t>
                </a:r>
                <a:endParaRPr lang="en-US"/>
              </a:p>
            </c:rich>
          </c:tx>
          <c:layout>
            <c:manualLayout>
              <c:xMode val="edge"/>
              <c:yMode val="edge"/>
              <c:x val="1.9634580361090757E-2"/>
              <c:y val="0.22731623424433237"/>
            </c:manualLayout>
          </c:layout>
          <c:overlay val="0"/>
        </c:title>
        <c:numFmt formatCode="General" sourceLinked="1"/>
        <c:majorTickMark val="out"/>
        <c:minorTickMark val="none"/>
        <c:tickLblPos val="nextTo"/>
        <c:crossAx val="305290624"/>
        <c:crosses val="autoZero"/>
        <c:crossBetween val="midCat"/>
      </c:valAx>
    </c:plotArea>
    <c:plotVisOnly val="1"/>
    <c:dispBlanksAs val="gap"/>
    <c:showDLblsOverMax val="0"/>
  </c:chart>
  <c:txPr>
    <a:bodyPr/>
    <a:lstStyle/>
    <a:p>
      <a:pPr algn="ctr">
        <a:lnSpc>
          <a:spcPct val="150000"/>
        </a:lnSpc>
        <a:spcAft>
          <a:spcPts val="600"/>
        </a:spcAft>
        <a:defRPr sz="10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771889084494747"/>
          <c:y val="8.6908124006888451E-2"/>
          <c:w val="0.70310767624118131"/>
          <c:h val="0.597971186359193"/>
        </c:manualLayout>
      </c:layout>
      <c:scatterChart>
        <c:scatterStyle val="lineMarker"/>
        <c:varyColors val="0"/>
        <c:ser>
          <c:idx val="0"/>
          <c:order val="0"/>
          <c:spPr>
            <a:ln w="28575">
              <a:noFill/>
            </a:ln>
          </c:spPr>
          <c:trendline>
            <c:trendlineType val="exp"/>
            <c:intercept val="100"/>
            <c:dispRSqr val="0"/>
            <c:dispEq val="1"/>
            <c:trendlineLbl>
              <c:layout>
                <c:manualLayout>
                  <c:x val="3.8277918440406962E-2"/>
                  <c:y val="-0.33328158624721671"/>
                </c:manualLayout>
              </c:layout>
              <c:numFmt formatCode="General" sourceLinked="0"/>
            </c:trendlineLbl>
          </c:trendline>
          <c:xVal>
            <c:numRef>
              <c:f>G6PD!$H$65:$H$70</c:f>
              <c:numCache>
                <c:formatCode>General</c:formatCode>
                <c:ptCount val="6"/>
                <c:pt idx="0">
                  <c:v>0</c:v>
                </c:pt>
                <c:pt idx="1">
                  <c:v>4.9731450169086919</c:v>
                </c:pt>
                <c:pt idx="2">
                  <c:v>9.9462900338173839</c:v>
                </c:pt>
                <c:pt idx="3">
                  <c:v>19.892580067634768</c:v>
                </c:pt>
                <c:pt idx="4">
                  <c:v>29.838870101452155</c:v>
                </c:pt>
                <c:pt idx="5">
                  <c:v>59.67774020290431</c:v>
                </c:pt>
              </c:numCache>
            </c:numRef>
          </c:xVal>
          <c:yVal>
            <c:numRef>
              <c:f>G6PD!$I$65:$I$70</c:f>
              <c:numCache>
                <c:formatCode>General</c:formatCode>
                <c:ptCount val="6"/>
                <c:pt idx="0">
                  <c:v>100</c:v>
                </c:pt>
                <c:pt idx="1">
                  <c:v>75</c:v>
                </c:pt>
                <c:pt idx="2">
                  <c:v>56</c:v>
                </c:pt>
                <c:pt idx="3">
                  <c:v>43</c:v>
                </c:pt>
                <c:pt idx="4">
                  <c:v>30</c:v>
                </c:pt>
                <c:pt idx="5">
                  <c:v>10</c:v>
                </c:pt>
              </c:numCache>
            </c:numRef>
          </c:yVal>
          <c:smooth val="0"/>
        </c:ser>
        <c:dLbls>
          <c:showLegendKey val="0"/>
          <c:showVal val="0"/>
          <c:showCatName val="0"/>
          <c:showSerName val="0"/>
          <c:showPercent val="0"/>
          <c:showBubbleSize val="0"/>
        </c:dLbls>
        <c:axId val="305313280"/>
        <c:axId val="305315200"/>
      </c:scatterChart>
      <c:valAx>
        <c:axId val="305313280"/>
        <c:scaling>
          <c:orientation val="minMax"/>
        </c:scaling>
        <c:delete val="0"/>
        <c:axPos val="b"/>
        <c:title>
          <c:tx>
            <c:rich>
              <a:bodyPr/>
              <a:lstStyle/>
              <a:p>
                <a:pPr>
                  <a:defRPr/>
                </a:pPr>
                <a:r>
                  <a:rPr lang="en-US"/>
                  <a:t>Pd(3TbCTS)2</a:t>
                </a:r>
              </a:p>
            </c:rich>
          </c:tx>
          <c:layout>
            <c:manualLayout>
              <c:xMode val="edge"/>
              <c:yMode val="edge"/>
              <c:x val="0.41570465049698457"/>
              <c:y val="0.84966710346111318"/>
            </c:manualLayout>
          </c:layout>
          <c:overlay val="0"/>
        </c:title>
        <c:numFmt formatCode="General" sourceLinked="1"/>
        <c:majorTickMark val="out"/>
        <c:minorTickMark val="none"/>
        <c:tickLblPos val="nextTo"/>
        <c:crossAx val="305315200"/>
        <c:crosses val="autoZero"/>
        <c:crossBetween val="midCat"/>
      </c:valAx>
      <c:valAx>
        <c:axId val="305315200"/>
        <c:scaling>
          <c:orientation val="minMax"/>
        </c:scaling>
        <c:delete val="0"/>
        <c:axPos val="l"/>
        <c:title>
          <c:tx>
            <c:rich>
              <a:bodyPr rot="-5400000" vert="horz"/>
              <a:lstStyle/>
              <a:p>
                <a:pPr>
                  <a:defRPr/>
                </a:pPr>
                <a:r>
                  <a:rPr lang="tr-TR"/>
                  <a:t>% Activity</a:t>
                </a:r>
                <a:endParaRPr lang="en-US"/>
              </a:p>
            </c:rich>
          </c:tx>
          <c:layout>
            <c:manualLayout>
              <c:xMode val="edge"/>
              <c:yMode val="edge"/>
              <c:x val="1.970713949318513E-2"/>
              <c:y val="0.17023827280874443"/>
            </c:manualLayout>
          </c:layout>
          <c:overlay val="0"/>
        </c:title>
        <c:numFmt formatCode="General" sourceLinked="1"/>
        <c:majorTickMark val="out"/>
        <c:minorTickMark val="none"/>
        <c:tickLblPos val="nextTo"/>
        <c:crossAx val="305313280"/>
        <c:crosses val="autoZero"/>
        <c:crossBetween val="midCat"/>
      </c:valAx>
    </c:plotArea>
    <c:plotVisOnly val="1"/>
    <c:dispBlanksAs val="gap"/>
    <c:showDLblsOverMax val="0"/>
  </c:chart>
  <c:txPr>
    <a:bodyPr/>
    <a:lstStyle/>
    <a:p>
      <a:pPr algn="ctr">
        <a:lnSpc>
          <a:spcPct val="150000"/>
        </a:lnSpc>
        <a:spcAft>
          <a:spcPts val="600"/>
        </a:spcAft>
        <a:defRPr sz="10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4DF73B5-7600-46C0-B9A0-380F78C6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8197</Characters>
  <Application>Microsoft Office Word</Application>
  <DocSecurity>0</DocSecurity>
  <Lines>68</Lines>
  <Paragraphs>19</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2</cp:revision>
  <cp:lastPrinted>2020-01-30T11:06:00Z</cp:lastPrinted>
  <dcterms:created xsi:type="dcterms:W3CDTF">2022-08-27T11:55:00Z</dcterms:created>
  <dcterms:modified xsi:type="dcterms:W3CDTF">2022-08-27T11:55:00Z</dcterms:modified>
</cp:coreProperties>
</file>