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FCC" w:rsidRDefault="00EE7FCC" w:rsidP="00EE7FC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vertAlign w:val="subscript"/>
          <w:lang w:val="en-US" w:eastAsia="tr-TR"/>
        </w:rPr>
      </w:pPr>
      <w:r w:rsidRPr="00E86093">
        <w:rPr>
          <w:rFonts w:ascii="Times New Roman" w:hAnsi="Times New Roman"/>
          <w:b/>
          <w:sz w:val="24"/>
          <w:szCs w:val="24"/>
          <w:lang w:val="en-US" w:eastAsia="tr-TR"/>
        </w:rPr>
        <w:t>Validity and Reliability of the Complementary and Integrative Health Assessment for Practitioners Scale: CIHAP</w:t>
      </w:r>
      <w:r w:rsidRPr="00E86093">
        <w:rPr>
          <w:rFonts w:ascii="Times New Roman" w:hAnsi="Times New Roman"/>
          <w:b/>
          <w:sz w:val="24"/>
          <w:szCs w:val="24"/>
          <w:vertAlign w:val="subscript"/>
          <w:lang w:val="en-US" w:eastAsia="tr-TR"/>
        </w:rPr>
        <w:t>TR</w:t>
      </w:r>
    </w:p>
    <w:p w:rsidR="00BB484F" w:rsidRDefault="00BB484F" w:rsidP="00EE7FC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vertAlign w:val="subscript"/>
          <w:lang w:val="en-US" w:eastAsia="tr-TR"/>
        </w:rPr>
      </w:pPr>
    </w:p>
    <w:p w:rsidR="00EE7FCC" w:rsidRDefault="00BB484F" w:rsidP="00BB484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  <w:lang w:val="en-US" w:eastAsia="tr-TR"/>
        </w:rPr>
      </w:pPr>
      <w:proofErr w:type="spellStart"/>
      <w:r w:rsidRPr="00BB484F">
        <w:rPr>
          <w:rFonts w:ascii="Times New Roman" w:hAnsi="Times New Roman"/>
          <w:b/>
          <w:sz w:val="24"/>
          <w:szCs w:val="24"/>
          <w:lang w:val="en-US" w:eastAsia="tr-TR"/>
        </w:rPr>
        <w:t>Sadık</w:t>
      </w:r>
      <w:proofErr w:type="spellEnd"/>
      <w:r w:rsidRPr="00BB484F">
        <w:rPr>
          <w:rFonts w:ascii="Times New Roman" w:hAnsi="Times New Roman"/>
          <w:b/>
          <w:sz w:val="24"/>
          <w:szCs w:val="24"/>
          <w:lang w:val="en-US" w:eastAsia="tr-TR"/>
        </w:rPr>
        <w:t xml:space="preserve"> Hançerlioğlu</w:t>
      </w:r>
      <w:r w:rsidRPr="00BB484F">
        <w:rPr>
          <w:rFonts w:ascii="Times New Roman" w:hAnsi="Times New Roman"/>
          <w:b/>
          <w:sz w:val="24"/>
          <w:szCs w:val="24"/>
          <w:vertAlign w:val="superscript"/>
          <w:lang w:val="en-US" w:eastAsia="tr-TR"/>
        </w:rPr>
        <w:t>1</w:t>
      </w:r>
      <w:r>
        <w:rPr>
          <w:rFonts w:ascii="Times New Roman" w:hAnsi="Times New Roman"/>
          <w:b/>
          <w:sz w:val="24"/>
          <w:szCs w:val="24"/>
          <w:vertAlign w:val="subscript"/>
          <w:lang w:val="en-US" w:eastAsia="tr-TR"/>
        </w:rPr>
        <w:t xml:space="preserve">, </w:t>
      </w:r>
      <w:r w:rsidRPr="00BB484F">
        <w:rPr>
          <w:rFonts w:ascii="Times New Roman" w:hAnsi="Times New Roman"/>
          <w:b/>
          <w:sz w:val="24"/>
          <w:szCs w:val="24"/>
          <w:lang w:val="en-US" w:eastAsia="tr-TR"/>
        </w:rPr>
        <w:t>İsmail TOYGAR</w:t>
      </w:r>
      <w:r w:rsidRPr="00BB484F">
        <w:rPr>
          <w:rFonts w:ascii="Times New Roman" w:hAnsi="Times New Roman"/>
          <w:b/>
          <w:sz w:val="24"/>
          <w:szCs w:val="24"/>
          <w:vertAlign w:val="superscript"/>
          <w:lang w:val="en-US" w:eastAsia="tr-TR"/>
        </w:rPr>
        <w:t>1</w:t>
      </w:r>
      <w:r>
        <w:rPr>
          <w:rFonts w:ascii="Times New Roman" w:hAnsi="Times New Roman"/>
          <w:b/>
          <w:sz w:val="24"/>
          <w:szCs w:val="24"/>
          <w:vertAlign w:val="subscript"/>
          <w:lang w:val="en-US" w:eastAsia="tr-TR"/>
        </w:rPr>
        <w:t xml:space="preserve">, </w:t>
      </w:r>
      <w:proofErr w:type="spellStart"/>
      <w:r w:rsidRPr="00BB484F">
        <w:rPr>
          <w:rFonts w:ascii="Times New Roman" w:hAnsi="Times New Roman"/>
          <w:b/>
          <w:sz w:val="24"/>
          <w:szCs w:val="24"/>
          <w:lang w:val="en-US" w:eastAsia="tr-TR"/>
        </w:rPr>
        <w:t>Derya</w:t>
      </w:r>
      <w:proofErr w:type="spellEnd"/>
      <w:r w:rsidRPr="00BB484F">
        <w:rPr>
          <w:rFonts w:ascii="Times New Roman" w:hAnsi="Times New Roman"/>
          <w:b/>
          <w:sz w:val="24"/>
          <w:szCs w:val="24"/>
          <w:lang w:val="en-US" w:eastAsia="tr-TR"/>
        </w:rPr>
        <w:t xml:space="preserve"> ÇINAR</w:t>
      </w:r>
      <w:r w:rsidRPr="00BB484F">
        <w:rPr>
          <w:rFonts w:ascii="Times New Roman" w:hAnsi="Times New Roman"/>
          <w:b/>
          <w:sz w:val="24"/>
          <w:szCs w:val="24"/>
          <w:vertAlign w:val="superscript"/>
          <w:lang w:val="en-US" w:eastAsia="tr-TR"/>
        </w:rPr>
        <w:t>2</w:t>
      </w:r>
    </w:p>
    <w:p w:rsidR="00BB484F" w:rsidRPr="00BB484F" w:rsidRDefault="00BB484F" w:rsidP="00BB484F">
      <w:pPr>
        <w:spacing w:line="240" w:lineRule="auto"/>
        <w:jc w:val="center"/>
        <w:rPr>
          <w:rFonts w:ascii="Times New Roman" w:hAnsi="Times New Roman"/>
          <w:sz w:val="24"/>
          <w:szCs w:val="24"/>
          <w:lang w:val="en-US" w:eastAsia="tr-TR"/>
        </w:rPr>
      </w:pPr>
    </w:p>
    <w:p w:rsidR="00BB484F" w:rsidRPr="00BB484F" w:rsidRDefault="00BB484F" w:rsidP="00BB484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4"/>
          <w:lang w:val="en-US" w:eastAsia="tr-TR"/>
        </w:rPr>
      </w:pP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Ege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</w:t>
      </w: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Üniversitesi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</w:t>
      </w: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Hemşirelik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</w:t>
      </w: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Fakültesi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</w:t>
      </w: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İç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</w:t>
      </w: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Hastalıkları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</w:t>
      </w: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Hemşireliği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</w:t>
      </w: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Anabilim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Dalı</w:t>
      </w:r>
    </w:p>
    <w:p w:rsidR="00BB484F" w:rsidRPr="00BB484F" w:rsidRDefault="00BB484F" w:rsidP="00BB484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0"/>
          <w:szCs w:val="24"/>
          <w:lang w:val="en-US" w:eastAsia="tr-TR"/>
        </w:rPr>
      </w:pP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Bakırçay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</w:t>
      </w: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Üniversitesi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</w:t>
      </w: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Sağlık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</w:t>
      </w: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Bilimleri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</w:t>
      </w: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Fakültesi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</w:t>
      </w: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Hemşirelik</w:t>
      </w:r>
      <w:proofErr w:type="spellEnd"/>
      <w:r w:rsidRPr="00BB484F">
        <w:rPr>
          <w:rFonts w:ascii="Times New Roman" w:hAnsi="Times New Roman"/>
          <w:sz w:val="20"/>
          <w:szCs w:val="24"/>
          <w:lang w:val="en-US" w:eastAsia="tr-TR"/>
        </w:rPr>
        <w:t xml:space="preserve"> </w:t>
      </w:r>
      <w:proofErr w:type="spellStart"/>
      <w:r w:rsidRPr="00BB484F">
        <w:rPr>
          <w:rFonts w:ascii="Times New Roman" w:hAnsi="Times New Roman"/>
          <w:sz w:val="20"/>
          <w:szCs w:val="24"/>
          <w:lang w:val="en-US" w:eastAsia="tr-TR"/>
        </w:rPr>
        <w:t>Bölümü</w:t>
      </w:r>
      <w:proofErr w:type="spellEnd"/>
    </w:p>
    <w:p w:rsidR="00EE7FCC" w:rsidRPr="00E86093" w:rsidRDefault="00EE7FCC" w:rsidP="00EE7FCC">
      <w:pPr>
        <w:spacing w:line="240" w:lineRule="auto"/>
        <w:jc w:val="both"/>
        <w:rPr>
          <w:rFonts w:ascii="Times New Roman" w:hAnsi="Times New Roman"/>
          <w:b/>
          <w:sz w:val="24"/>
          <w:szCs w:val="24"/>
          <w:vertAlign w:val="subscript"/>
          <w:lang w:val="en-US" w:eastAsia="tr-TR"/>
        </w:rPr>
      </w:pPr>
      <w:bookmarkStart w:id="0" w:name="_GoBack"/>
      <w:bookmarkEnd w:id="0"/>
    </w:p>
    <w:p w:rsidR="00EE7FCC" w:rsidRPr="00E86093" w:rsidRDefault="00EE7FCC" w:rsidP="00EE7FC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86093">
        <w:rPr>
          <w:rFonts w:ascii="Times New Roman" w:hAnsi="Times New Roman"/>
          <w:b/>
          <w:sz w:val="24"/>
          <w:szCs w:val="24"/>
          <w:lang w:val="en-US"/>
        </w:rPr>
        <w:t xml:space="preserve">Abstract </w:t>
      </w:r>
    </w:p>
    <w:p w:rsidR="00EE7FCC" w:rsidRPr="00E86093" w:rsidRDefault="00EE7FCC" w:rsidP="00EE7FC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>
        <w:rPr>
          <w:b/>
          <w:bCs/>
          <w:color w:val="000000"/>
          <w:bdr w:val="none" w:sz="0" w:space="0" w:color="auto" w:frame="1"/>
          <w:lang w:val="en-US"/>
        </w:rPr>
        <w:t>Background</w:t>
      </w:r>
      <w:r w:rsidRPr="00E86093">
        <w:rPr>
          <w:b/>
          <w:bCs/>
          <w:color w:val="000000"/>
          <w:bdr w:val="none" w:sz="0" w:space="0" w:color="auto" w:frame="1"/>
          <w:lang w:val="en-US"/>
        </w:rPr>
        <w:t xml:space="preserve">: </w:t>
      </w:r>
      <w:r w:rsidRPr="00EE7FCC">
        <w:rPr>
          <w:bCs/>
          <w:color w:val="000000"/>
          <w:bdr w:val="none" w:sz="0" w:space="0" w:color="auto" w:frame="1"/>
          <w:lang w:val="en-US"/>
        </w:rPr>
        <w:t>Complementary and Integrative Health</w:t>
      </w:r>
      <w:r>
        <w:rPr>
          <w:bCs/>
          <w:color w:val="000000"/>
          <w:bdr w:val="none" w:sz="0" w:space="0" w:color="auto" w:frame="1"/>
          <w:lang w:val="en-US"/>
        </w:rPr>
        <w:t xml:space="preserve"> (CIH)</w:t>
      </w:r>
      <w:r w:rsidRPr="00EE7FCC">
        <w:rPr>
          <w:bCs/>
          <w:color w:val="000000"/>
          <w:bdr w:val="none" w:sz="0" w:space="0" w:color="auto" w:frame="1"/>
          <w:lang w:val="en-US"/>
        </w:rPr>
        <w:t xml:space="preserve"> practice has become more common in recent decades.</w:t>
      </w:r>
      <w:r>
        <w:rPr>
          <w:bCs/>
          <w:color w:val="000000"/>
          <w:bdr w:val="none" w:sz="0" w:space="0" w:color="auto" w:frame="1"/>
          <w:lang w:val="en-US"/>
        </w:rPr>
        <w:t xml:space="preserve"> With this increase in the interest in CIH, assessment for health practitioners</w:t>
      </w:r>
      <w:r w:rsidR="00166FFE">
        <w:rPr>
          <w:bCs/>
          <w:color w:val="000000"/>
          <w:bdr w:val="none" w:sz="0" w:space="0" w:color="auto" w:frame="1"/>
          <w:lang w:val="en-US"/>
        </w:rPr>
        <w:t xml:space="preserve"> has gain importance accordingly. So, at this point, there is a need for a scale that valid and reliable in Turkish society.</w:t>
      </w:r>
      <w:r>
        <w:rPr>
          <w:b/>
          <w:bCs/>
          <w:color w:val="000000"/>
          <w:bdr w:val="none" w:sz="0" w:space="0" w:color="auto" w:frame="1"/>
          <w:lang w:val="en-US"/>
        </w:rPr>
        <w:t xml:space="preserve"> </w:t>
      </w:r>
      <w:r w:rsidRPr="00E86093">
        <w:rPr>
          <w:color w:val="000000"/>
          <w:bdr w:val="none" w:sz="0" w:space="0" w:color="auto" w:frame="1"/>
          <w:lang w:val="en-US"/>
        </w:rPr>
        <w:t xml:space="preserve">This study aimed to evaluate the validity and reliability of </w:t>
      </w:r>
      <w:r w:rsidRPr="00E86093">
        <w:rPr>
          <w:color w:val="2E2E2E"/>
          <w:lang w:val="en-US"/>
        </w:rPr>
        <w:t>the Complementary and Integrative Health Assessment for Practitioners Scale</w:t>
      </w:r>
      <w:r w:rsidRPr="00E86093">
        <w:rPr>
          <w:color w:val="000000"/>
          <w:bdr w:val="none" w:sz="0" w:space="0" w:color="auto" w:frame="1"/>
          <w:lang w:val="en-US"/>
        </w:rPr>
        <w:t xml:space="preserve"> for Turkish society</w:t>
      </w:r>
      <w:r w:rsidRPr="00E86093">
        <w:rPr>
          <w:color w:val="2E2E2E"/>
          <w:lang w:val="en-US"/>
        </w:rPr>
        <w:t>.</w:t>
      </w:r>
    </w:p>
    <w:p w:rsidR="00EE7FCC" w:rsidRPr="00E86093" w:rsidRDefault="00EE7FCC" w:rsidP="00EE7FC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r w:rsidRPr="00E86093">
        <w:rPr>
          <w:b/>
          <w:bCs/>
          <w:color w:val="000000"/>
          <w:bdr w:val="none" w:sz="0" w:space="0" w:color="auto" w:frame="1"/>
          <w:lang w:val="en-US"/>
        </w:rPr>
        <w:t xml:space="preserve">Methods: </w:t>
      </w:r>
      <w:r w:rsidRPr="00E86093">
        <w:rPr>
          <w:color w:val="000000"/>
          <w:lang w:val="en-US"/>
        </w:rPr>
        <w:t xml:space="preserve">The study used a descriptive design and conducted between May - June 2020. The participants were </w:t>
      </w:r>
      <w:r w:rsidRPr="00E86093">
        <w:rPr>
          <w:lang w:val="en-US"/>
        </w:rPr>
        <w:t>132 health care practitioners including nurses, physicians, dietitians, physiotherapists, and psychologists, who were working in 6 different hospitals, and 4 different provinces in Turkey.</w:t>
      </w:r>
      <w:r w:rsidRPr="00E86093">
        <w:rPr>
          <w:color w:val="000000"/>
          <w:bdr w:val="none" w:sz="0" w:space="0" w:color="auto" w:frame="1"/>
          <w:lang w:val="en-US"/>
        </w:rPr>
        <w:t xml:space="preserve"> Content Validity Index, </w:t>
      </w:r>
      <w:r w:rsidRPr="00E86093">
        <w:rPr>
          <w:color w:val="000000"/>
          <w:lang w:val="en-US"/>
        </w:rPr>
        <w:t>item scale correlations,</w:t>
      </w:r>
      <w:r w:rsidRPr="00E86093">
        <w:rPr>
          <w:color w:val="000000"/>
          <w:bdr w:val="none" w:sz="0" w:space="0" w:color="auto" w:frame="1"/>
          <w:lang w:val="en-US"/>
        </w:rPr>
        <w:t xml:space="preserve"> confirmatory factor analysis were used to evaluate validity. </w:t>
      </w:r>
      <w:r w:rsidRPr="00E86093">
        <w:rPr>
          <w:color w:val="000000"/>
          <w:lang w:val="en-US"/>
        </w:rPr>
        <w:t xml:space="preserve">Cronbach's alpha, </w:t>
      </w:r>
      <w:r w:rsidRPr="00E86093">
        <w:rPr>
          <w:color w:val="000000"/>
          <w:shd w:val="clear" w:color="auto" w:fill="FFFFFF"/>
          <w:lang w:val="en-US"/>
        </w:rPr>
        <w:t xml:space="preserve">test-retest, and parallel forms were </w:t>
      </w:r>
      <w:r w:rsidRPr="00E86093">
        <w:rPr>
          <w:color w:val="000000"/>
          <w:bdr w:val="none" w:sz="0" w:space="0" w:color="auto" w:frame="1"/>
          <w:lang w:val="en-US"/>
        </w:rPr>
        <w:t>used to evaluate reliability.</w:t>
      </w:r>
    </w:p>
    <w:p w:rsidR="00EE7FCC" w:rsidRPr="00E86093" w:rsidRDefault="00EE7FCC" w:rsidP="00EE7FCC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000000"/>
          <w:lang w:val="en-US"/>
        </w:rPr>
      </w:pPr>
      <w:r w:rsidRPr="00E86093">
        <w:rPr>
          <w:b/>
          <w:bCs/>
          <w:color w:val="000000"/>
          <w:bdr w:val="none" w:sz="0" w:space="0" w:color="auto" w:frame="1"/>
          <w:lang w:val="en-US"/>
        </w:rPr>
        <w:t xml:space="preserve">Results: </w:t>
      </w:r>
      <w:r w:rsidRPr="00E86093">
        <w:rPr>
          <w:color w:val="000000"/>
          <w:bdr w:val="none" w:sz="0" w:space="0" w:color="auto" w:frame="1"/>
          <w:lang w:val="en-US"/>
        </w:rPr>
        <w:t xml:space="preserve">CVI was </w:t>
      </w:r>
      <w:r w:rsidRPr="00E86093">
        <w:rPr>
          <w:lang w:val="en-US"/>
        </w:rPr>
        <w:t>0.95 (0.81-0.98)</w:t>
      </w:r>
      <w:r w:rsidRPr="00E86093">
        <w:rPr>
          <w:color w:val="000000"/>
          <w:lang w:val="en-US"/>
        </w:rPr>
        <w:t xml:space="preserve">. </w:t>
      </w:r>
      <w:r w:rsidRPr="00E86093">
        <w:rPr>
          <w:lang w:val="en-US"/>
        </w:rPr>
        <w:t xml:space="preserve">Factor loadings ranged from 0.381 to 0.913 and, item scale correlations ranged from 0.302 to 0.837. </w:t>
      </w:r>
      <w:r w:rsidRPr="00E86093">
        <w:rPr>
          <w:color w:val="000000"/>
          <w:lang w:val="en-US"/>
        </w:rPr>
        <w:t xml:space="preserve">The Cronbach’s alpha value was found </w:t>
      </w:r>
      <w:r w:rsidRPr="00E86093">
        <w:rPr>
          <w:lang w:val="en-US"/>
        </w:rPr>
        <w:t xml:space="preserve">0.93 </w:t>
      </w:r>
      <w:r w:rsidRPr="00E86093">
        <w:rPr>
          <w:color w:val="000000"/>
          <w:lang w:val="en-US"/>
        </w:rPr>
        <w:t xml:space="preserve">in the current study. </w:t>
      </w:r>
      <w:proofErr w:type="spellStart"/>
      <w:r w:rsidRPr="00E86093">
        <w:rPr>
          <w:color w:val="000000"/>
          <w:lang w:val="en-US"/>
        </w:rPr>
        <w:t>I</w:t>
      </w:r>
      <w:r w:rsidRPr="00E86093">
        <w:rPr>
          <w:color w:val="000000"/>
          <w:shd w:val="clear" w:color="auto" w:fill="FFFFFF"/>
          <w:lang w:val="en-US"/>
        </w:rPr>
        <w:t>ntraclass</w:t>
      </w:r>
      <w:proofErr w:type="spellEnd"/>
      <w:r w:rsidRPr="00E86093">
        <w:rPr>
          <w:color w:val="000000"/>
          <w:shd w:val="clear" w:color="auto" w:fill="FFFFFF"/>
          <w:lang w:val="en-US"/>
        </w:rPr>
        <w:t> </w:t>
      </w:r>
      <w:r w:rsidRPr="00E86093">
        <w:rPr>
          <w:rStyle w:val="Vurgu"/>
          <w:bCs/>
          <w:i w:val="0"/>
          <w:iCs w:val="0"/>
          <w:color w:val="000000"/>
          <w:shd w:val="clear" w:color="auto" w:fill="FFFFFF"/>
          <w:lang w:val="en-US"/>
        </w:rPr>
        <w:t>Correlation Coefficient</w:t>
      </w:r>
      <w:r w:rsidRPr="00E86093">
        <w:rPr>
          <w:color w:val="000000"/>
          <w:lang w:val="en-US"/>
        </w:rPr>
        <w:t xml:space="preserve"> ranged from 0.82 to 0.96.</w:t>
      </w:r>
    </w:p>
    <w:p w:rsidR="00EE7FCC" w:rsidRDefault="00EE7FCC" w:rsidP="00EE7FC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bdr w:val="none" w:sz="0" w:space="0" w:color="auto" w:frame="1"/>
          <w:lang w:val="en-US"/>
        </w:rPr>
      </w:pPr>
      <w:r w:rsidRPr="00E86093">
        <w:rPr>
          <w:b/>
          <w:bCs/>
          <w:color w:val="000000"/>
          <w:bdr w:val="none" w:sz="0" w:space="0" w:color="auto" w:frame="1"/>
          <w:lang w:val="en-US"/>
        </w:rPr>
        <w:t xml:space="preserve">Conclusions: </w:t>
      </w:r>
      <w:r w:rsidRPr="00EE7FCC">
        <w:rPr>
          <w:bCs/>
          <w:color w:val="000000"/>
          <w:bdr w:val="none" w:sz="0" w:space="0" w:color="auto" w:frame="1"/>
          <w:lang w:val="en-US"/>
        </w:rPr>
        <w:t xml:space="preserve">With its new 12-item structure, </w:t>
      </w:r>
      <w:r w:rsidRPr="00EE7FCC">
        <w:rPr>
          <w:color w:val="000000"/>
          <w:bdr w:val="none" w:sz="0" w:space="0" w:color="auto" w:frame="1"/>
          <w:lang w:val="en-US"/>
        </w:rPr>
        <w:t>T</w:t>
      </w:r>
      <w:r w:rsidRPr="00EE7FCC">
        <w:rPr>
          <w:color w:val="2E2E2E"/>
          <w:lang w:val="en-US"/>
        </w:rPr>
        <w:t>he</w:t>
      </w:r>
      <w:r w:rsidRPr="00E86093">
        <w:rPr>
          <w:color w:val="2E2E2E"/>
          <w:lang w:val="en-US"/>
        </w:rPr>
        <w:t xml:space="preserve"> Complementary and Integrative Health Assessment for Practitioners Scale</w:t>
      </w:r>
      <w:r w:rsidRPr="00E86093">
        <w:rPr>
          <w:color w:val="000000"/>
          <w:bdr w:val="none" w:sz="0" w:space="0" w:color="auto" w:frame="1"/>
          <w:lang w:val="en-US"/>
        </w:rPr>
        <w:t xml:space="preserve"> was found to be valid and reliable</w:t>
      </w:r>
      <w:r>
        <w:rPr>
          <w:color w:val="000000"/>
          <w:bdr w:val="none" w:sz="0" w:space="0" w:color="auto" w:frame="1"/>
          <w:lang w:val="en-US"/>
        </w:rPr>
        <w:t xml:space="preserve"> for Turkish society</w:t>
      </w:r>
      <w:r w:rsidRPr="00E86093">
        <w:rPr>
          <w:color w:val="000000"/>
          <w:bdr w:val="none" w:sz="0" w:space="0" w:color="auto" w:frame="1"/>
          <w:lang w:val="en-US"/>
        </w:rPr>
        <w:t>.</w:t>
      </w:r>
    </w:p>
    <w:p w:rsidR="00166FFE" w:rsidRPr="00E86093" w:rsidRDefault="00166FFE" w:rsidP="00EE7FCC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</w:p>
    <w:p w:rsidR="00EE7FCC" w:rsidRPr="00E86093" w:rsidRDefault="00EE7FCC" w:rsidP="00EE7FC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86093">
        <w:rPr>
          <w:rFonts w:ascii="Times New Roman" w:hAnsi="Times New Roman"/>
          <w:b/>
          <w:bCs/>
          <w:sz w:val="24"/>
          <w:szCs w:val="24"/>
          <w:lang w:val="en-US"/>
        </w:rPr>
        <w:t>Key Words:</w:t>
      </w:r>
      <w:r w:rsidRPr="00E860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86093">
        <w:rPr>
          <w:rFonts w:ascii="Times New Roman" w:hAnsi="Times New Roman"/>
          <w:sz w:val="24"/>
          <w:szCs w:val="24"/>
          <w:lang w:val="en-US" w:eastAsia="tr-TR"/>
        </w:rPr>
        <w:t>Complementary and Integrative Health</w:t>
      </w:r>
      <w:r w:rsidRPr="00E86093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E86093">
        <w:rPr>
          <w:rFonts w:ascii="Times New Roman" w:hAnsi="Times New Roman"/>
          <w:sz w:val="24"/>
          <w:szCs w:val="24"/>
          <w:lang w:val="en-US" w:eastAsia="tr-TR"/>
        </w:rPr>
        <w:t>Health Care Practitioners</w:t>
      </w:r>
      <w:r w:rsidRPr="00E86093">
        <w:rPr>
          <w:rFonts w:ascii="Times New Roman" w:hAnsi="Times New Roman"/>
          <w:sz w:val="24"/>
          <w:szCs w:val="24"/>
          <w:lang w:val="en-US"/>
        </w:rPr>
        <w:t>; Validity; Reliability</w:t>
      </w:r>
    </w:p>
    <w:p w:rsidR="00D67B5D" w:rsidRDefault="00D67B5D" w:rsidP="00EE7FCC">
      <w:pPr>
        <w:spacing w:line="240" w:lineRule="auto"/>
        <w:jc w:val="both"/>
      </w:pPr>
    </w:p>
    <w:sectPr w:rsidR="00D67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C403E"/>
    <w:multiLevelType w:val="hybridMultilevel"/>
    <w:tmpl w:val="F76C7D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Nje3MDc1tTA0MTJQ0lEKTi0uzszPAykwrAUAMYB2giwAAAA="/>
  </w:docVars>
  <w:rsids>
    <w:rsidRoot w:val="00701FB5"/>
    <w:rsid w:val="00166FFE"/>
    <w:rsid w:val="00701FB5"/>
    <w:rsid w:val="00BB484F"/>
    <w:rsid w:val="00D67B5D"/>
    <w:rsid w:val="00EE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1464"/>
  <w15:chartTrackingRefBased/>
  <w15:docId w15:val="{9D64BCD6-5956-465B-965A-E83D202B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FC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uiPriority w:val="20"/>
    <w:qFormat/>
    <w:rsid w:val="00EE7FCC"/>
    <w:rPr>
      <w:i/>
      <w:iCs/>
    </w:rPr>
  </w:style>
  <w:style w:type="paragraph" w:customStyle="1" w:styleId="xmsonormal">
    <w:name w:val="x_msonormal"/>
    <w:basedOn w:val="Normal"/>
    <w:rsid w:val="00EE7F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B4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Toygar</dc:creator>
  <cp:keywords/>
  <dc:description/>
  <cp:lastModifiedBy>İsmail Toygar</cp:lastModifiedBy>
  <cp:revision>3</cp:revision>
  <dcterms:created xsi:type="dcterms:W3CDTF">2020-10-22T10:56:00Z</dcterms:created>
  <dcterms:modified xsi:type="dcterms:W3CDTF">2020-10-22T11:10:00Z</dcterms:modified>
</cp:coreProperties>
</file>