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9E5E" w14:textId="77777777" w:rsidR="00D34E61" w:rsidRDefault="00D34E61" w:rsidP="00D34E61">
      <w:pPr>
        <w:bidi w:val="0"/>
        <w:jc w:val="both"/>
        <w:rPr>
          <w:sz w:val="20"/>
          <w:szCs w:val="20"/>
          <w:lang w:bidi="ar-IQ"/>
        </w:rPr>
      </w:pPr>
      <w:r w:rsidRPr="00D34E61">
        <w:rPr>
          <w:rFonts w:asciiTheme="majorBidi" w:hAnsiTheme="majorBidi" w:cstheme="majorBidi"/>
          <w:sz w:val="20"/>
          <w:szCs w:val="20"/>
        </w:rPr>
        <w:t xml:space="preserve">This work was approved by the Ethics Committee of </w:t>
      </w:r>
      <w:proofErr w:type="spellStart"/>
      <w:r w:rsidRPr="00D34E61">
        <w:rPr>
          <w:rFonts w:asciiTheme="majorBidi" w:eastAsia="SimSun" w:hAnsiTheme="majorBidi" w:cstheme="majorBidi"/>
          <w:color w:val="000000"/>
          <w:sz w:val="20"/>
          <w:szCs w:val="20"/>
          <w:lang w:eastAsia="zh-CN"/>
        </w:rPr>
        <w:t>Çankırı</w:t>
      </w:r>
      <w:proofErr w:type="spellEnd"/>
      <w:r w:rsidRPr="00D34E61">
        <w:rPr>
          <w:rFonts w:asciiTheme="majorBidi" w:eastAsia="SimSun" w:hAnsiTheme="majorBidi" w:cstheme="majorBidi"/>
          <w:color w:val="000000"/>
          <w:sz w:val="20"/>
          <w:szCs w:val="20"/>
          <w:lang w:eastAsia="zh-CN"/>
        </w:rPr>
        <w:t xml:space="preserve"> </w:t>
      </w:r>
      <w:proofErr w:type="spellStart"/>
      <w:r w:rsidRPr="00D34E61">
        <w:rPr>
          <w:rFonts w:asciiTheme="majorBidi" w:eastAsia="SimSun" w:hAnsiTheme="majorBidi" w:cstheme="majorBidi"/>
          <w:color w:val="000000"/>
          <w:sz w:val="20"/>
          <w:szCs w:val="20"/>
          <w:lang w:eastAsia="zh-CN"/>
        </w:rPr>
        <w:t>Karatekın</w:t>
      </w:r>
      <w:proofErr w:type="spellEnd"/>
      <w:r w:rsidRPr="00D34E61">
        <w:rPr>
          <w:rFonts w:asciiTheme="majorBidi" w:eastAsia="SimSun" w:hAnsiTheme="majorBidi" w:cstheme="majorBidi"/>
          <w:color w:val="000000"/>
          <w:sz w:val="20"/>
          <w:szCs w:val="20"/>
          <w:lang w:eastAsia="zh-CN"/>
        </w:rPr>
        <w:t xml:space="preserve"> University Scientific Research Evaluation Ethical Committee (No:41, Date:26.09.2022). </w:t>
      </w:r>
      <w:r w:rsidRPr="00D34E61">
        <w:rPr>
          <w:rFonts w:asciiTheme="majorBidi" w:hAnsiTheme="majorBidi" w:cstheme="majorBidi"/>
          <w:color w:val="000000"/>
          <w:sz w:val="20"/>
          <w:szCs w:val="20"/>
        </w:rPr>
        <w:t>The study's participants were CP+HNC post-RT (</w:t>
      </w:r>
      <w:r w:rsidRPr="00D34E61">
        <w:rPr>
          <w:rFonts w:asciiTheme="majorBidi" w:hAnsiTheme="majorBidi" w:cstheme="majorBidi"/>
          <w:i/>
          <w:iCs/>
          <w:color w:val="000000"/>
          <w:sz w:val="20"/>
          <w:szCs w:val="20"/>
        </w:rPr>
        <w:t>n</w:t>
      </w:r>
      <w:r w:rsidRPr="00D34E61">
        <w:rPr>
          <w:rFonts w:asciiTheme="majorBidi" w:hAnsiTheme="majorBidi" w:cstheme="majorBidi"/>
          <w:color w:val="000000"/>
          <w:sz w:val="20"/>
          <w:szCs w:val="20"/>
        </w:rPr>
        <w:t>=50), CP without HNC (</w:t>
      </w:r>
      <w:r w:rsidRPr="00D34E61">
        <w:rPr>
          <w:rFonts w:asciiTheme="majorBidi" w:hAnsiTheme="majorBidi" w:cstheme="majorBidi"/>
          <w:i/>
          <w:iCs/>
          <w:color w:val="000000"/>
          <w:sz w:val="20"/>
          <w:szCs w:val="20"/>
        </w:rPr>
        <w:t>n</w:t>
      </w:r>
      <w:r w:rsidRPr="00D34E61">
        <w:rPr>
          <w:rFonts w:asciiTheme="majorBidi" w:hAnsiTheme="majorBidi" w:cstheme="majorBidi"/>
          <w:color w:val="000000"/>
          <w:sz w:val="20"/>
          <w:szCs w:val="20"/>
        </w:rPr>
        <w:t>=50), and periodontally healthy as a control (</w:t>
      </w:r>
      <w:r w:rsidRPr="00D34E61">
        <w:rPr>
          <w:rFonts w:asciiTheme="majorBidi" w:hAnsiTheme="majorBidi" w:cstheme="majorBidi"/>
          <w:i/>
          <w:iCs/>
          <w:color w:val="000000"/>
          <w:sz w:val="20"/>
          <w:szCs w:val="20"/>
        </w:rPr>
        <w:t>n</w:t>
      </w:r>
      <w:r w:rsidRPr="00D34E61">
        <w:rPr>
          <w:rFonts w:asciiTheme="majorBidi" w:hAnsiTheme="majorBidi" w:cstheme="majorBidi"/>
          <w:color w:val="000000"/>
          <w:sz w:val="20"/>
          <w:szCs w:val="20"/>
        </w:rPr>
        <w:t xml:space="preserve">=50). CP+HNC post-RT patients were selected among those who received radiotherapy and attended to Cancer and Tumors Center/ Anbar Cancer Center (ACC), Iraq. CP without HNC patients was selected from Ramadi Specialized Dental Center (RSDC), Iraq was performed from September 2022 to January 2023. </w:t>
      </w:r>
      <w:r w:rsidRPr="00D34E61">
        <w:rPr>
          <w:rFonts w:asciiTheme="majorBidi" w:hAnsiTheme="majorBidi" w:cstheme="majorBidi"/>
          <w:sz w:val="20"/>
          <w:szCs w:val="20"/>
        </w:rPr>
        <w:t xml:space="preserve">Exclusion and inclusion criteria were enrolled.  </w:t>
      </w:r>
      <w:r w:rsidRPr="00D34E61">
        <w:rPr>
          <w:rFonts w:asciiTheme="majorBidi" w:hAnsiTheme="majorBidi" w:cstheme="majorBidi"/>
          <w:color w:val="131413"/>
          <w:sz w:val="20"/>
          <w:szCs w:val="20"/>
        </w:rPr>
        <w:t>Patients were diagnosed with HNC by an oncologist at Cancer and Tumors Center according to the National Comprehensive Cancer Network (NCCN)</w:t>
      </w:r>
      <w:r w:rsidRPr="00D34E61">
        <w:rPr>
          <w:rFonts w:asciiTheme="majorBidi" w:hAnsiTheme="majorBidi" w:cstheme="majorBidi"/>
          <w:color w:val="131413"/>
          <w:sz w:val="20"/>
          <w:szCs w:val="20"/>
        </w:rPr>
        <w:fldChar w:fldCharType="begin"/>
      </w:r>
      <w:r>
        <w:rPr>
          <w:rFonts w:asciiTheme="majorBidi" w:hAnsiTheme="majorBidi" w:cstheme="majorBidi"/>
          <w:color w:val="131413"/>
          <w:sz w:val="20"/>
          <w:szCs w:val="20"/>
        </w:rPr>
        <w:instrText xml:space="preserve"> ADDIN EN.CITE &lt;EndNote&gt;&lt;Cite&gt;&lt;Author&gt;Colevas&lt;/Author&gt;&lt;Year&gt;2018&lt;/Year&gt;&lt;RecNum&gt;1&lt;/RecNum&gt;&lt;DisplayText&gt;[1]&lt;/DisplayText&gt;&lt;record&gt;&lt;rec-number&gt;1&lt;/rec-number&gt;&lt;foreign-keys&gt;&lt;key app="EN" db-id="zdetwda0d52vtmexdf2xwpafa9x20sz5t59t" timestamp="1690210409"&gt;1&lt;/key&gt;&lt;/foreign-keys&gt;&lt;ref-type name="Journal Article"&gt;17&lt;/ref-type&gt;&lt;contributors&gt;&lt;authors&gt;&lt;author&gt;Colevas, A Dimitrios&lt;/author&gt;&lt;author&gt;Yom, Sue S&lt;/author&gt;&lt;author&gt;Pfister, David G&lt;/author&gt;&lt;author&gt;Spencer, Sharon&lt;/author&gt;&lt;author&gt;Adelstein, David&lt;/author&gt;&lt;author&gt;Adkins, Douglas&lt;/author&gt;&lt;author&gt;Brizel, David M&lt;/author&gt;&lt;author&gt;Burtness, Barbara&lt;/author&gt;&lt;author&gt;Busse, Paul M&lt;/author&gt;&lt;author&gt;Caudell, Jimmy J&lt;/author&gt;&lt;/authors&gt;&lt;/contributors&gt;&lt;titles&gt;&lt;title&gt;NCCN guidelines insights: head and neck cancers, version 1.2018&lt;/title&gt;&lt;secondary-title&gt;Journal of the National Comprehensive Cancer Network&lt;/secondary-title&gt;&lt;/titles&gt;&lt;periodical&gt;&lt;full-title&gt;Journal of the National Comprehensive Cancer Network&lt;/full-title&gt;&lt;/periodical&gt;&lt;pages&gt;479-490&lt;/pages&gt;&lt;volume&gt;16&lt;/volume&gt;&lt;number&gt;5&lt;/number&gt;&lt;dates&gt;&lt;year&gt;2018&lt;/year&gt;&lt;/dates&gt;&lt;isbn&gt;1540-1405&lt;/isbn&gt;&lt;urls&gt;&lt;/urls&gt;&lt;/record&gt;&lt;/Cite&gt;&lt;/EndNote&gt;</w:instrText>
      </w:r>
      <w:r w:rsidRPr="00D34E61">
        <w:rPr>
          <w:rFonts w:asciiTheme="majorBidi" w:hAnsiTheme="majorBidi" w:cstheme="majorBidi"/>
          <w:color w:val="131413"/>
          <w:sz w:val="20"/>
          <w:szCs w:val="20"/>
        </w:rPr>
        <w:fldChar w:fldCharType="separate"/>
      </w:r>
      <w:r>
        <w:rPr>
          <w:rFonts w:asciiTheme="majorBidi" w:hAnsiTheme="majorBidi" w:cstheme="majorBidi"/>
          <w:noProof/>
          <w:color w:val="131413"/>
          <w:sz w:val="20"/>
          <w:szCs w:val="20"/>
        </w:rPr>
        <w:t>[1]</w:t>
      </w:r>
      <w:r w:rsidRPr="00D34E61">
        <w:rPr>
          <w:rFonts w:asciiTheme="majorBidi" w:hAnsiTheme="majorBidi" w:cstheme="majorBidi"/>
          <w:color w:val="131413"/>
          <w:sz w:val="20"/>
          <w:szCs w:val="20"/>
        </w:rPr>
        <w:fldChar w:fldCharType="end"/>
      </w:r>
      <w:r w:rsidRPr="00D34E61">
        <w:rPr>
          <w:rFonts w:asciiTheme="majorBidi" w:hAnsiTheme="majorBidi" w:cstheme="majorBidi"/>
          <w:color w:val="131413"/>
          <w:sz w:val="20"/>
          <w:szCs w:val="20"/>
        </w:rPr>
        <w:t>. A single experienced oral hygienist (E. R.) examined clinical periodontal parameters</w:t>
      </w:r>
      <w:r w:rsidRPr="00D34E61">
        <w:rPr>
          <w:rFonts w:asciiTheme="majorBidi" w:hAnsiTheme="majorBidi" w:cstheme="majorBidi"/>
          <w:sz w:val="20"/>
          <w:szCs w:val="20"/>
        </w:rPr>
        <w:t>.</w:t>
      </w:r>
      <w:r w:rsidRPr="00D34E61">
        <w:rPr>
          <w:rFonts w:asciiTheme="majorBidi" w:hAnsiTheme="majorBidi" w:cstheme="majorBidi"/>
          <w:color w:val="000000" w:themeColor="text1"/>
          <w:sz w:val="20"/>
          <w:szCs w:val="20"/>
        </w:rPr>
        <w:t xml:space="preserve"> </w:t>
      </w:r>
      <w:r w:rsidRPr="00D34E61">
        <w:rPr>
          <w:rFonts w:asciiTheme="majorBidi" w:hAnsiTheme="majorBidi" w:cstheme="majorBidi"/>
          <w:sz w:val="20"/>
          <w:szCs w:val="20"/>
        </w:rPr>
        <w:t>About (5-7ml) of venous blood was drawn by using a plastic syringe from all cases and control. Then, the sample was placed into a gel tube and left to clot at room temperature for about (15-20 minutes). The specimens were centrifuged at 3000 rpm for 10 minutes. Serum levels of Vitamin D were determined using modern electrochemiluminescence immunoassay technique (</w:t>
      </w:r>
      <w:proofErr w:type="spellStart"/>
      <w:r w:rsidRPr="00D34E61">
        <w:rPr>
          <w:rFonts w:asciiTheme="majorBidi" w:hAnsiTheme="majorBidi" w:cstheme="majorBidi"/>
          <w:sz w:val="20"/>
          <w:szCs w:val="20"/>
        </w:rPr>
        <w:t>eCLIA</w:t>
      </w:r>
      <w:proofErr w:type="spellEnd"/>
      <w:r w:rsidRPr="00D34E61">
        <w:rPr>
          <w:rFonts w:asciiTheme="majorBidi" w:hAnsiTheme="majorBidi" w:cstheme="majorBidi"/>
          <w:sz w:val="20"/>
          <w:szCs w:val="20"/>
        </w:rPr>
        <w:t xml:space="preserve">), Nipigon Health </w:t>
      </w:r>
      <w:proofErr w:type="spellStart"/>
      <w:r w:rsidRPr="00D34E61">
        <w:rPr>
          <w:rFonts w:asciiTheme="majorBidi" w:hAnsiTheme="majorBidi" w:cstheme="majorBidi"/>
          <w:sz w:val="20"/>
          <w:szCs w:val="20"/>
        </w:rPr>
        <w:t>corp</w:t>
      </w:r>
      <w:proofErr w:type="spellEnd"/>
      <w:r w:rsidRPr="00D34E61">
        <w:rPr>
          <w:rFonts w:asciiTheme="majorBidi" w:hAnsiTheme="majorBidi" w:cstheme="majorBidi"/>
          <w:sz w:val="20"/>
          <w:szCs w:val="20"/>
        </w:rPr>
        <w:t xml:space="preserve">, Ontario, Canada. </w:t>
      </w:r>
      <w:bookmarkStart w:id="0" w:name="_Hlk141696937"/>
      <w:r w:rsidRPr="00D34E61">
        <w:rPr>
          <w:rFonts w:asciiTheme="majorBidi" w:hAnsiTheme="majorBidi" w:cstheme="majorBidi"/>
          <w:color w:val="131413"/>
          <w:sz w:val="20"/>
          <w:szCs w:val="20"/>
        </w:rPr>
        <w:t>The assay was performed according to the specifications of the manufacturer.</w:t>
      </w:r>
      <w:bookmarkEnd w:id="0"/>
      <w:r w:rsidRPr="00D34E61">
        <w:rPr>
          <w:rFonts w:asciiTheme="majorBidi" w:hAnsiTheme="majorBidi" w:cstheme="majorBidi"/>
          <w:sz w:val="20"/>
          <w:szCs w:val="20"/>
        </w:rPr>
        <w:t xml:space="preserve"> When p &lt;0.05, differences were deemed statistically significant. Both GraphPad Prism (version 9.5.1, La Jolla, California, USA) and IBM SPSS (version 27, NY, USA) were used to process all of the analyses.</w:t>
      </w:r>
    </w:p>
    <w:p w14:paraId="7BC79379" w14:textId="77777777" w:rsidR="00D34E61" w:rsidRDefault="00D34E61" w:rsidP="00D34E61">
      <w:pPr>
        <w:bidi w:val="0"/>
        <w:jc w:val="both"/>
        <w:rPr>
          <w:sz w:val="20"/>
          <w:szCs w:val="20"/>
          <w:lang w:bidi="ar-IQ"/>
        </w:rPr>
      </w:pPr>
    </w:p>
    <w:p w14:paraId="5B98B770" w14:textId="77777777" w:rsidR="00D34E61" w:rsidRPr="00D34E61" w:rsidRDefault="00D34E61" w:rsidP="00D34E61">
      <w:pPr>
        <w:pStyle w:val="EndNoteBibliography"/>
        <w:bidi w:val="0"/>
        <w:ind w:left="720" w:hanging="720"/>
        <w:rPr>
          <w:rFonts w:asciiTheme="majorBidi" w:hAnsiTheme="majorBidi" w:cstheme="majorBidi"/>
          <w:sz w:val="24"/>
          <w:szCs w:val="24"/>
        </w:rPr>
      </w:pPr>
      <w:r w:rsidRPr="00D34E61">
        <w:rPr>
          <w:rFonts w:asciiTheme="majorBidi" w:hAnsiTheme="majorBidi" w:cstheme="majorBidi"/>
          <w:sz w:val="24"/>
          <w:szCs w:val="24"/>
          <w:lang w:bidi="ar-IQ"/>
        </w:rPr>
        <w:fldChar w:fldCharType="begin"/>
      </w:r>
      <w:r w:rsidRPr="00D34E61">
        <w:rPr>
          <w:rFonts w:asciiTheme="majorBidi" w:hAnsiTheme="majorBidi" w:cstheme="majorBidi"/>
          <w:sz w:val="24"/>
          <w:szCs w:val="24"/>
          <w:lang w:bidi="ar-IQ"/>
        </w:rPr>
        <w:instrText xml:space="preserve"> ADDIN EN.REFLIST </w:instrText>
      </w:r>
      <w:r w:rsidRPr="00D34E61">
        <w:rPr>
          <w:rFonts w:asciiTheme="majorBidi" w:hAnsiTheme="majorBidi" w:cstheme="majorBidi"/>
          <w:sz w:val="24"/>
          <w:szCs w:val="24"/>
          <w:lang w:bidi="ar-IQ"/>
        </w:rPr>
        <w:fldChar w:fldCharType="separate"/>
      </w:r>
      <w:r w:rsidRPr="00D34E61">
        <w:rPr>
          <w:rFonts w:asciiTheme="majorBidi" w:hAnsiTheme="majorBidi" w:cstheme="majorBidi"/>
          <w:sz w:val="24"/>
          <w:szCs w:val="24"/>
        </w:rPr>
        <w:t>[1]</w:t>
      </w:r>
      <w:r w:rsidRPr="00D34E61">
        <w:rPr>
          <w:rFonts w:asciiTheme="majorBidi" w:hAnsiTheme="majorBidi" w:cstheme="majorBidi"/>
          <w:sz w:val="24"/>
          <w:szCs w:val="24"/>
        </w:rPr>
        <w:tab/>
        <w:t>A. D. Colevas</w:t>
      </w:r>
      <w:r w:rsidRPr="00D34E61">
        <w:rPr>
          <w:rFonts w:asciiTheme="majorBidi" w:hAnsiTheme="majorBidi" w:cstheme="majorBidi"/>
          <w:i/>
          <w:sz w:val="24"/>
          <w:szCs w:val="24"/>
        </w:rPr>
        <w:t xml:space="preserve"> et al.</w:t>
      </w:r>
      <w:r w:rsidRPr="00D34E61">
        <w:rPr>
          <w:rFonts w:asciiTheme="majorBidi" w:hAnsiTheme="majorBidi" w:cstheme="majorBidi"/>
          <w:sz w:val="24"/>
          <w:szCs w:val="24"/>
        </w:rPr>
        <w:t xml:space="preserve">, "NCCN guidelines insights: head and neck cancers, version 1.2018," </w:t>
      </w:r>
      <w:r w:rsidRPr="00D34E61">
        <w:rPr>
          <w:rFonts w:asciiTheme="majorBidi" w:hAnsiTheme="majorBidi" w:cstheme="majorBidi"/>
          <w:i/>
          <w:sz w:val="24"/>
          <w:szCs w:val="24"/>
        </w:rPr>
        <w:t xml:space="preserve">Journal of the National Comprehensive Cancer Network, </w:t>
      </w:r>
      <w:r w:rsidRPr="00D34E61">
        <w:rPr>
          <w:rFonts w:asciiTheme="majorBidi" w:hAnsiTheme="majorBidi" w:cstheme="majorBidi"/>
          <w:sz w:val="24"/>
          <w:szCs w:val="24"/>
        </w:rPr>
        <w:t>vol. 16, no. 5, pp. 479-490, 2018.</w:t>
      </w:r>
    </w:p>
    <w:p w14:paraId="47043B3D" w14:textId="4922EADB" w:rsidR="00304492" w:rsidRPr="00D34E61" w:rsidRDefault="00D34E61" w:rsidP="00D34E61">
      <w:pPr>
        <w:bidi w:val="0"/>
        <w:jc w:val="both"/>
        <w:rPr>
          <w:rFonts w:hint="cs"/>
          <w:sz w:val="20"/>
          <w:szCs w:val="20"/>
          <w:lang w:bidi="ar-IQ"/>
        </w:rPr>
      </w:pPr>
      <w:r w:rsidRPr="00D34E61">
        <w:rPr>
          <w:rFonts w:asciiTheme="majorBidi" w:hAnsiTheme="majorBidi" w:cstheme="majorBidi"/>
          <w:sz w:val="24"/>
          <w:szCs w:val="24"/>
          <w:lang w:bidi="ar-IQ"/>
        </w:rPr>
        <w:fldChar w:fldCharType="end"/>
      </w:r>
    </w:p>
    <w:sectPr w:rsidR="00304492" w:rsidRPr="00D34E61" w:rsidSect="00F1314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IEE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611CFB"/>
    <w:rsid w:val="00304492"/>
    <w:rsid w:val="00611CFB"/>
    <w:rsid w:val="00A414B1"/>
    <w:rsid w:val="00D34E61"/>
    <w:rsid w:val="00DD6C6A"/>
    <w:rsid w:val="00E37D40"/>
    <w:rsid w:val="00F1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17971C4-9263-4D1C-A0E8-15188782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Title">
    <w:name w:val="EndNote Bibliography Title"/>
    <w:basedOn w:val="a"/>
    <w:link w:val="EndNoteBibliographyTitleChar"/>
    <w:rsid w:val="00D34E61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a0"/>
    <w:link w:val="EndNoteBibliographyTitle"/>
    <w:rsid w:val="00D34E61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Char"/>
    <w:rsid w:val="00D34E61"/>
    <w:pPr>
      <w:spacing w:line="240" w:lineRule="auto"/>
      <w:jc w:val="both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a0"/>
    <w:link w:val="EndNoteBibliography"/>
    <w:rsid w:val="00D34E61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2446</Characters>
  <Application>Microsoft Office Word</Application>
  <DocSecurity>0</DocSecurity>
  <Lines>35</Lines>
  <Paragraphs>3</Paragraphs>
  <ScaleCrop>false</ScaleCrop>
  <Company>Microsoft (C)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2023-12-10T21:37:00Z</dcterms:created>
  <dcterms:modified xsi:type="dcterms:W3CDTF">2023-12-10T21:39:00Z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0d126305180ea16fcff8e03afb0659bb8dc432821c21fa161756268200bb133d</vt:lpwstr>
  </property>
</Properties>
</file>