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A9D" w:rsidRPr="009F49ED" w:rsidRDefault="00916661" w:rsidP="00D50A9D">
      <w:pPr>
        <w:spacing w:line="360" w:lineRule="auto"/>
        <w:ind w:firstLine="709"/>
        <w:jc w:val="center"/>
        <w:rPr>
          <w:b/>
          <w:bCs/>
          <w:sz w:val="22"/>
          <w:szCs w:val="22"/>
        </w:rPr>
      </w:pPr>
      <w:r>
        <w:rPr>
          <w:b/>
          <w:bCs/>
          <w:sz w:val="22"/>
          <w:szCs w:val="22"/>
        </w:rPr>
        <w:t>OECD ÜLKELERİNDE</w:t>
      </w:r>
      <w:r w:rsidR="00C96AD5" w:rsidRPr="009F49ED">
        <w:rPr>
          <w:b/>
          <w:bCs/>
          <w:sz w:val="22"/>
          <w:szCs w:val="22"/>
        </w:rPr>
        <w:t xml:space="preserve"> İŞSİZLERE SAĞLANAN </w:t>
      </w:r>
      <w:r>
        <w:rPr>
          <w:b/>
          <w:bCs/>
          <w:sz w:val="22"/>
          <w:szCs w:val="22"/>
        </w:rPr>
        <w:t>YARDIMLARA İLİŞKİN BİR DEĞERLENDİRME</w:t>
      </w:r>
      <w:r w:rsidR="008E0A45">
        <w:rPr>
          <w:rStyle w:val="DipnotBavurusu"/>
          <w:b/>
          <w:bCs/>
          <w:sz w:val="22"/>
          <w:szCs w:val="22"/>
        </w:rPr>
        <w:footnoteReference w:id="1"/>
      </w:r>
      <w:r>
        <w:rPr>
          <w:b/>
          <w:bCs/>
          <w:sz w:val="22"/>
          <w:szCs w:val="22"/>
        </w:rPr>
        <w:t xml:space="preserve"> </w:t>
      </w:r>
    </w:p>
    <w:p w:rsidR="00CA6E4B" w:rsidRPr="00F819FF" w:rsidRDefault="00CA6E4B" w:rsidP="00D50A9D">
      <w:pPr>
        <w:spacing w:line="360" w:lineRule="auto"/>
        <w:ind w:firstLine="709"/>
        <w:jc w:val="center"/>
        <w:rPr>
          <w:b/>
          <w:bCs/>
          <w:sz w:val="22"/>
          <w:szCs w:val="22"/>
          <w:highlight w:val="yellow"/>
        </w:rPr>
      </w:pPr>
    </w:p>
    <w:p w:rsidR="00C96AD5" w:rsidRPr="00982E2D" w:rsidRDefault="00E414AB" w:rsidP="00551BD5">
      <w:pPr>
        <w:spacing w:line="360" w:lineRule="auto"/>
        <w:jc w:val="right"/>
        <w:rPr>
          <w:b/>
          <w:bCs/>
          <w:sz w:val="22"/>
          <w:szCs w:val="22"/>
        </w:rPr>
      </w:pPr>
      <w:r w:rsidRPr="00982E2D">
        <w:rPr>
          <w:b/>
          <w:bCs/>
          <w:sz w:val="22"/>
          <w:szCs w:val="22"/>
        </w:rPr>
        <w:t>ÇSG Eğitim Uzm. Yrd. İsmail KARAKAYA</w:t>
      </w:r>
      <w:r w:rsidRPr="00982E2D">
        <w:rPr>
          <w:rStyle w:val="DipnotBavurusu"/>
          <w:b/>
          <w:bCs/>
          <w:sz w:val="22"/>
          <w:szCs w:val="22"/>
        </w:rPr>
        <w:footnoteReference w:id="2"/>
      </w:r>
    </w:p>
    <w:p w:rsidR="00551BD5" w:rsidRPr="00982E2D" w:rsidRDefault="00551BD5" w:rsidP="00551BD5">
      <w:pPr>
        <w:spacing w:line="360" w:lineRule="auto"/>
        <w:jc w:val="right"/>
        <w:rPr>
          <w:b/>
          <w:bCs/>
          <w:sz w:val="22"/>
          <w:szCs w:val="22"/>
        </w:rPr>
      </w:pPr>
      <w:r w:rsidRPr="00982E2D">
        <w:rPr>
          <w:b/>
          <w:bCs/>
          <w:sz w:val="22"/>
          <w:szCs w:val="22"/>
        </w:rPr>
        <w:t>ÇSG Eğitim Uzm. Berna YAZAR ASLAN</w:t>
      </w:r>
      <w:r w:rsidR="00E414AB" w:rsidRPr="00982E2D">
        <w:rPr>
          <w:rStyle w:val="DipnotBavurusu"/>
          <w:b/>
          <w:bCs/>
          <w:sz w:val="22"/>
          <w:szCs w:val="22"/>
        </w:rPr>
        <w:footnoteReference w:id="3"/>
      </w:r>
    </w:p>
    <w:p w:rsidR="002D015D" w:rsidRDefault="002D015D" w:rsidP="00D50A9D">
      <w:pPr>
        <w:spacing w:line="360" w:lineRule="auto"/>
        <w:jc w:val="right"/>
        <w:rPr>
          <w:b/>
          <w:bCs/>
          <w:sz w:val="22"/>
          <w:szCs w:val="22"/>
        </w:rPr>
      </w:pPr>
    </w:p>
    <w:p w:rsidR="00D50A9D" w:rsidRPr="004D583F" w:rsidRDefault="00D50A9D" w:rsidP="00D50A9D">
      <w:pPr>
        <w:spacing w:line="360" w:lineRule="auto"/>
        <w:ind w:firstLine="709"/>
        <w:jc w:val="center"/>
        <w:rPr>
          <w:b/>
          <w:bCs/>
          <w:sz w:val="22"/>
          <w:szCs w:val="22"/>
        </w:rPr>
      </w:pPr>
      <w:r w:rsidRPr="004D583F">
        <w:rPr>
          <w:b/>
          <w:bCs/>
          <w:sz w:val="22"/>
          <w:szCs w:val="22"/>
        </w:rPr>
        <w:t>ÖZET</w:t>
      </w:r>
    </w:p>
    <w:p w:rsidR="00E56AC2" w:rsidRPr="005B6D26" w:rsidRDefault="009F7FFD" w:rsidP="005B6D26">
      <w:pPr>
        <w:tabs>
          <w:tab w:val="left" w:pos="1239"/>
        </w:tabs>
        <w:spacing w:line="360" w:lineRule="auto"/>
        <w:ind w:firstLine="567"/>
        <w:jc w:val="both"/>
        <w:rPr>
          <w:i/>
          <w:iCs/>
          <w:sz w:val="22"/>
          <w:szCs w:val="22"/>
        </w:rPr>
      </w:pPr>
      <w:r w:rsidRPr="00F50F7B">
        <w:rPr>
          <w:i/>
          <w:iCs/>
          <w:sz w:val="22"/>
          <w:szCs w:val="22"/>
        </w:rPr>
        <w:t xml:space="preserve">İşsizlik, gelişmişlik düzeyi fark etmeksizin tüm dünya ülkelerini ve toplumları derinden etkileyen en önemli ekonomik sorunlardan biridir. </w:t>
      </w:r>
      <w:r w:rsidR="00F50F7B" w:rsidRPr="00F50F7B">
        <w:rPr>
          <w:i/>
          <w:iCs/>
          <w:sz w:val="22"/>
          <w:szCs w:val="22"/>
        </w:rPr>
        <w:t>Küreselleşme ile başlayan</w:t>
      </w:r>
      <w:r w:rsidRPr="00F50F7B">
        <w:rPr>
          <w:i/>
          <w:iCs/>
          <w:sz w:val="22"/>
          <w:szCs w:val="22"/>
        </w:rPr>
        <w:t xml:space="preserve"> bilgi iletişim teknolojileri</w:t>
      </w:r>
      <w:r w:rsidR="00F50F7B" w:rsidRPr="00F50F7B">
        <w:rPr>
          <w:i/>
          <w:iCs/>
          <w:sz w:val="22"/>
          <w:szCs w:val="22"/>
        </w:rPr>
        <w:t xml:space="preserve">ndeki gelişmelerle </w:t>
      </w:r>
      <w:r w:rsidRPr="00F50F7B">
        <w:rPr>
          <w:i/>
          <w:iCs/>
          <w:sz w:val="22"/>
          <w:szCs w:val="22"/>
        </w:rPr>
        <w:t xml:space="preserve">ve </w:t>
      </w:r>
      <w:r w:rsidR="00F50F7B" w:rsidRPr="00F50F7B">
        <w:rPr>
          <w:i/>
          <w:iCs/>
          <w:sz w:val="22"/>
          <w:szCs w:val="22"/>
        </w:rPr>
        <w:t xml:space="preserve">endüstri 4.0 ile yaşanan </w:t>
      </w:r>
      <w:r w:rsidRPr="00F50F7B">
        <w:rPr>
          <w:i/>
          <w:iCs/>
          <w:sz w:val="22"/>
          <w:szCs w:val="22"/>
        </w:rPr>
        <w:t xml:space="preserve">hızlı </w:t>
      </w:r>
      <w:r w:rsidR="00F50F7B" w:rsidRPr="00F50F7B">
        <w:rPr>
          <w:i/>
          <w:iCs/>
          <w:sz w:val="22"/>
          <w:szCs w:val="22"/>
        </w:rPr>
        <w:t xml:space="preserve">değişimler zaman içerisinde çalışma hayatında, işgücü piyasalarında ve işgücünün yapısında da değişimler oluşturmuştur. Yaşanan değişikliklerle birlikte küresel ekonomik krizler işgücü düzeyi ile istihdam düzeyi arasındaki farkın artmasına neden </w:t>
      </w:r>
      <w:r w:rsidR="00F50F7B">
        <w:rPr>
          <w:i/>
          <w:iCs/>
          <w:sz w:val="22"/>
          <w:szCs w:val="22"/>
        </w:rPr>
        <w:t>olmakta</w:t>
      </w:r>
      <w:r w:rsidR="00F50F7B" w:rsidRPr="00F50F7B">
        <w:rPr>
          <w:i/>
          <w:iCs/>
          <w:sz w:val="22"/>
          <w:szCs w:val="22"/>
        </w:rPr>
        <w:t xml:space="preserve"> işsizlik oranlarında yükselişler </w:t>
      </w:r>
      <w:r w:rsidR="007C090B">
        <w:rPr>
          <w:i/>
          <w:iCs/>
          <w:sz w:val="22"/>
          <w:szCs w:val="22"/>
        </w:rPr>
        <w:t xml:space="preserve">yaşanmaktadır. </w:t>
      </w:r>
      <w:r w:rsidR="00F50F7B" w:rsidRPr="00F50F7B">
        <w:rPr>
          <w:i/>
          <w:iCs/>
          <w:sz w:val="22"/>
          <w:szCs w:val="22"/>
        </w:rPr>
        <w:t xml:space="preserve"> </w:t>
      </w:r>
      <w:r w:rsidR="007C090B" w:rsidRPr="007C090B">
        <w:rPr>
          <w:i/>
          <w:iCs/>
          <w:sz w:val="22"/>
          <w:szCs w:val="22"/>
        </w:rPr>
        <w:t>Gelişmişlik düzeyleri farklı olmasına rağmen tüm toplumları ekonomik, sosyal ve psikolojik açıdan etkileyen ortak bir sorun olan işsizliği azaltmak için uygulanan politikaların yanı sıra işsizliğin etkilerinin azaltılmasını amaçlayan politikalar da günümüzde uygulanmaya devam edilmektedir.</w:t>
      </w:r>
      <w:r w:rsidR="007C090B">
        <w:rPr>
          <w:i/>
          <w:iCs/>
          <w:sz w:val="22"/>
          <w:szCs w:val="22"/>
        </w:rPr>
        <w:t xml:space="preserve"> Bu amaçla uygulanan en yaygın </w:t>
      </w:r>
      <w:r w:rsidR="00F34669">
        <w:rPr>
          <w:i/>
          <w:iCs/>
          <w:sz w:val="22"/>
          <w:szCs w:val="22"/>
        </w:rPr>
        <w:t xml:space="preserve">politikalar genel olarak aktif ve </w:t>
      </w:r>
      <w:r w:rsidR="007C090B">
        <w:rPr>
          <w:i/>
          <w:iCs/>
          <w:sz w:val="22"/>
          <w:szCs w:val="22"/>
        </w:rPr>
        <w:t>pasif istihdam politik</w:t>
      </w:r>
      <w:r w:rsidR="00F34669">
        <w:rPr>
          <w:i/>
          <w:iCs/>
          <w:sz w:val="22"/>
          <w:szCs w:val="22"/>
        </w:rPr>
        <w:t xml:space="preserve">aları altında ele alınmaktadır. </w:t>
      </w:r>
      <w:r w:rsidR="007C090B">
        <w:rPr>
          <w:i/>
          <w:iCs/>
          <w:sz w:val="22"/>
          <w:szCs w:val="22"/>
        </w:rPr>
        <w:t xml:space="preserve"> </w:t>
      </w:r>
      <w:r w:rsidR="00F34669" w:rsidRPr="00F34669">
        <w:rPr>
          <w:i/>
          <w:iCs/>
          <w:sz w:val="22"/>
          <w:szCs w:val="22"/>
        </w:rPr>
        <w:t>Aktif istihdam politikaları işsiz ve işini kaybetme riski olanlara yönelik olup istihdam imkânlarının genişletilmesi ve böylelikle de işsizliği önlemeye yönelik iken pasif istihdam politikaları, istihdamı arttırmaktan ziyade işsizliğin neden olduğu sosyal ve ekonomik etkileri azaltmaya yönelik politikalardır.</w:t>
      </w:r>
      <w:r w:rsidR="00F34669" w:rsidRPr="005B6D26">
        <w:rPr>
          <w:i/>
          <w:iCs/>
          <w:sz w:val="22"/>
          <w:szCs w:val="22"/>
        </w:rPr>
        <w:t xml:space="preserve"> </w:t>
      </w:r>
      <w:r w:rsidR="005B6D26" w:rsidRPr="005B6D26">
        <w:rPr>
          <w:i/>
          <w:iCs/>
          <w:sz w:val="22"/>
          <w:szCs w:val="22"/>
        </w:rPr>
        <w:t>Bu çalışma ile pasif istihdam politikaları kapsamında yürütülen farklı işsizlik yardımı</w:t>
      </w:r>
      <w:r w:rsidR="005B6D26">
        <w:rPr>
          <w:i/>
          <w:iCs/>
          <w:sz w:val="22"/>
          <w:szCs w:val="22"/>
        </w:rPr>
        <w:t xml:space="preserve"> politikaları ve uygulamaları</w:t>
      </w:r>
      <w:r w:rsidR="005B6D26" w:rsidRPr="005B6D26">
        <w:rPr>
          <w:i/>
          <w:iCs/>
          <w:sz w:val="22"/>
          <w:szCs w:val="22"/>
        </w:rPr>
        <w:t xml:space="preserve"> OECD ülkeleri kapsamında incelenmiştir. Bu amaçla OECD ülkelerinde benzer özellikler gösteren farklı uygulama modellerinin bulunup bulunmadığı sorusuna kümeleme analizi ile cevap aranmıştır</w:t>
      </w:r>
      <w:r w:rsidR="005B6D26">
        <w:rPr>
          <w:i/>
          <w:iCs/>
          <w:sz w:val="22"/>
          <w:szCs w:val="22"/>
        </w:rPr>
        <w:t xml:space="preserve">. Kümeleme analizinde </w:t>
      </w:r>
      <w:r w:rsidR="005B6D26" w:rsidRPr="005B6D26">
        <w:rPr>
          <w:i/>
          <w:iCs/>
          <w:sz w:val="22"/>
          <w:szCs w:val="22"/>
        </w:rPr>
        <w:t xml:space="preserve">işsizlik oranı (UR), uzun süreli işsizlik oranı (YUR),  işsizlik yardımlarından faydalanma sayısındaki değişim (RCP), işsizlik yardımlarına GSMH içerisinde ayrılan oran (PİPP), net </w:t>
      </w:r>
      <w:r w:rsidR="007B4545">
        <w:rPr>
          <w:i/>
          <w:iCs/>
          <w:sz w:val="22"/>
          <w:szCs w:val="22"/>
        </w:rPr>
        <w:t>ikame</w:t>
      </w:r>
      <w:r w:rsidR="005B6D26" w:rsidRPr="005B6D26">
        <w:rPr>
          <w:i/>
          <w:iCs/>
          <w:sz w:val="22"/>
          <w:szCs w:val="22"/>
        </w:rPr>
        <w:t xml:space="preserve"> oranı (NNR)</w:t>
      </w:r>
      <w:r w:rsidR="003C3004">
        <w:rPr>
          <w:i/>
          <w:iCs/>
          <w:sz w:val="22"/>
          <w:szCs w:val="22"/>
        </w:rPr>
        <w:t xml:space="preserve"> göstergelerinin 2016 yılına ait verileri</w:t>
      </w:r>
      <w:r w:rsidR="005B6D26" w:rsidRPr="005B6D26">
        <w:rPr>
          <w:i/>
          <w:iCs/>
          <w:sz w:val="22"/>
          <w:szCs w:val="22"/>
        </w:rPr>
        <w:t xml:space="preserve"> </w:t>
      </w:r>
      <w:r w:rsidR="005B6D26">
        <w:rPr>
          <w:i/>
          <w:iCs/>
          <w:sz w:val="22"/>
          <w:szCs w:val="22"/>
        </w:rPr>
        <w:t xml:space="preserve">35 OECD ülkesi için </w:t>
      </w:r>
      <w:r w:rsidR="005B6D26" w:rsidRPr="005B6D26">
        <w:rPr>
          <w:i/>
          <w:iCs/>
          <w:sz w:val="22"/>
          <w:szCs w:val="22"/>
        </w:rPr>
        <w:t>girdi olarak kullanıl</w:t>
      </w:r>
      <w:r w:rsidR="005B6D26">
        <w:rPr>
          <w:i/>
          <w:iCs/>
          <w:sz w:val="22"/>
          <w:szCs w:val="22"/>
        </w:rPr>
        <w:t xml:space="preserve">mıştır. </w:t>
      </w:r>
      <w:r w:rsidR="003C3004" w:rsidRPr="003C3004">
        <w:rPr>
          <w:i/>
          <w:iCs/>
          <w:sz w:val="22"/>
          <w:szCs w:val="22"/>
        </w:rPr>
        <w:t>Kümeleme analizinde benzerlik/uzaklık ölçüsü olarak Karesel Öklid Uzaklığı seçilmiş, elde edilecek küme sayısına ilişkin ön bilgi bulunmaması nedeniyle hiyerarşik kümeleme yöntemlerinden olan ve iki küme arasındaki uzaklığın hesaplanmasında merkezden sapmaları yani varyansı esas alan Ward Tekniği kullanılmıştır.</w:t>
      </w:r>
      <w:r w:rsidR="00E56AC2" w:rsidRPr="00E56AC2">
        <w:t xml:space="preserve"> </w:t>
      </w:r>
      <w:r w:rsidR="00E56AC2" w:rsidRPr="00E56AC2">
        <w:rPr>
          <w:i/>
          <w:iCs/>
          <w:sz w:val="22"/>
          <w:szCs w:val="22"/>
        </w:rPr>
        <w:t>Elde edilen dendogram grafiği sonuçları birbirinden farklı uygulamalar gösteren altı ülke grubunun bulunduğunu göstermektedir.</w:t>
      </w:r>
      <w:r w:rsidR="00E56AC2">
        <w:rPr>
          <w:i/>
          <w:iCs/>
          <w:sz w:val="22"/>
          <w:szCs w:val="22"/>
        </w:rPr>
        <w:t xml:space="preserve"> </w:t>
      </w:r>
      <w:r w:rsidR="00E56AC2" w:rsidRPr="00E56AC2">
        <w:rPr>
          <w:i/>
          <w:iCs/>
          <w:sz w:val="22"/>
          <w:szCs w:val="22"/>
        </w:rPr>
        <w:t>Çekya, Estonya, İsrail, Letonya,</w:t>
      </w:r>
      <w:r w:rsidR="00E56AC2">
        <w:rPr>
          <w:i/>
          <w:iCs/>
          <w:sz w:val="22"/>
          <w:szCs w:val="22"/>
        </w:rPr>
        <w:t xml:space="preserve"> Polonya, Slovakya ve Litvanya gibi </w:t>
      </w:r>
      <w:r w:rsidR="00E56AC2" w:rsidRPr="00E56AC2">
        <w:rPr>
          <w:i/>
          <w:iCs/>
          <w:sz w:val="22"/>
          <w:szCs w:val="22"/>
        </w:rPr>
        <w:t>2000’li yılların ba</w:t>
      </w:r>
      <w:r w:rsidR="00E56AC2">
        <w:rPr>
          <w:i/>
          <w:iCs/>
          <w:sz w:val="22"/>
          <w:szCs w:val="22"/>
        </w:rPr>
        <w:t xml:space="preserve">şında yüksek işsizlik oranlarına sahip iken yürütülen politikalarla </w:t>
      </w:r>
      <w:r w:rsidR="002257C0">
        <w:rPr>
          <w:i/>
          <w:iCs/>
          <w:sz w:val="22"/>
          <w:szCs w:val="22"/>
        </w:rPr>
        <w:t>işsizlikle mücadelede başarıya ulaşan ülkelerdendir.</w:t>
      </w:r>
      <w:r w:rsidR="00E56AC2" w:rsidRPr="00E56AC2">
        <w:rPr>
          <w:i/>
          <w:iCs/>
          <w:sz w:val="22"/>
          <w:szCs w:val="22"/>
        </w:rPr>
        <w:t xml:space="preserve"> Ancak Yun</w:t>
      </w:r>
      <w:r w:rsidR="002257C0">
        <w:rPr>
          <w:i/>
          <w:iCs/>
          <w:sz w:val="22"/>
          <w:szCs w:val="22"/>
        </w:rPr>
        <w:t>anistan, İspanya ve Türkiye’de ise</w:t>
      </w:r>
      <w:r w:rsidR="00E56AC2" w:rsidRPr="00E56AC2">
        <w:rPr>
          <w:i/>
          <w:iCs/>
          <w:sz w:val="22"/>
          <w:szCs w:val="22"/>
        </w:rPr>
        <w:t xml:space="preserve"> işsizlik </w:t>
      </w:r>
      <w:r w:rsidR="00E56AC2" w:rsidRPr="00E56AC2">
        <w:rPr>
          <w:i/>
          <w:iCs/>
          <w:sz w:val="22"/>
          <w:szCs w:val="22"/>
        </w:rPr>
        <w:lastRenderedPageBreak/>
        <w:t xml:space="preserve">oranları </w:t>
      </w:r>
      <w:r w:rsidR="002257C0">
        <w:rPr>
          <w:i/>
          <w:iCs/>
          <w:sz w:val="22"/>
          <w:szCs w:val="22"/>
        </w:rPr>
        <w:t>artış göstermiş ele alınan</w:t>
      </w:r>
      <w:r w:rsidR="00E56AC2" w:rsidRPr="00E56AC2">
        <w:rPr>
          <w:i/>
          <w:iCs/>
          <w:sz w:val="22"/>
          <w:szCs w:val="22"/>
        </w:rPr>
        <w:t xml:space="preserve"> dönemde işsizlik oranları OECD ortalamasının üzerinde gerçekleşmiştir. </w:t>
      </w:r>
      <w:r w:rsidR="002257C0">
        <w:rPr>
          <w:i/>
          <w:iCs/>
          <w:sz w:val="22"/>
          <w:szCs w:val="22"/>
        </w:rPr>
        <w:t>Ayrıca</w:t>
      </w:r>
      <w:r w:rsidR="00E56AC2" w:rsidRPr="00E56AC2">
        <w:rPr>
          <w:i/>
          <w:iCs/>
          <w:sz w:val="22"/>
          <w:szCs w:val="22"/>
        </w:rPr>
        <w:t xml:space="preserve"> Yunanistan, İspanya, Fransa, İtalya ve Kolombiya’da genç işsizlik oranları yüksek se</w:t>
      </w:r>
      <w:r w:rsidR="002257C0">
        <w:rPr>
          <w:i/>
          <w:iCs/>
          <w:sz w:val="22"/>
          <w:szCs w:val="22"/>
        </w:rPr>
        <w:t>viyelere sahip olmasıyla öne çıkmaktadır</w:t>
      </w:r>
      <w:r w:rsidR="00E56AC2" w:rsidRPr="00E56AC2">
        <w:rPr>
          <w:i/>
          <w:iCs/>
          <w:sz w:val="22"/>
          <w:szCs w:val="22"/>
        </w:rPr>
        <w:t>. Avusturya, Almanya, Japonya,</w:t>
      </w:r>
      <w:r w:rsidR="002257C0">
        <w:rPr>
          <w:i/>
          <w:iCs/>
          <w:sz w:val="22"/>
          <w:szCs w:val="22"/>
        </w:rPr>
        <w:t xml:space="preserve"> Meksika ve Hollanda genç </w:t>
      </w:r>
      <w:r w:rsidR="00E56AC2" w:rsidRPr="00E56AC2">
        <w:rPr>
          <w:i/>
          <w:iCs/>
          <w:sz w:val="22"/>
          <w:szCs w:val="22"/>
        </w:rPr>
        <w:t>işsizlik oranları OECD ortalamasının altında kalmıştır. Almanya, Hollanda, İtalya, Avustralya, Japonya ve Norveçte işsizlere sağlanan gelirlerin aktif olarak işsizlikle mücadelede kullanıldığı tespit edilmiştir</w:t>
      </w:r>
      <w:r w:rsidR="002257C0">
        <w:rPr>
          <w:i/>
          <w:iCs/>
          <w:sz w:val="22"/>
          <w:szCs w:val="22"/>
        </w:rPr>
        <w:t>.</w:t>
      </w:r>
    </w:p>
    <w:p w:rsidR="00D50A9D" w:rsidRDefault="00D50A9D" w:rsidP="00D50A9D">
      <w:pPr>
        <w:spacing w:after="120" w:line="360" w:lineRule="auto"/>
        <w:rPr>
          <w:i/>
          <w:iCs/>
          <w:sz w:val="22"/>
          <w:szCs w:val="22"/>
        </w:rPr>
      </w:pPr>
      <w:r w:rsidRPr="004D583F">
        <w:rPr>
          <w:b/>
          <w:bCs/>
          <w:iCs/>
          <w:sz w:val="22"/>
          <w:szCs w:val="22"/>
        </w:rPr>
        <w:t>Anahtar Kelimeler:</w:t>
      </w:r>
      <w:r w:rsidRPr="004D583F">
        <w:rPr>
          <w:i/>
          <w:iCs/>
          <w:sz w:val="22"/>
          <w:szCs w:val="22"/>
        </w:rPr>
        <w:t xml:space="preserve"> </w:t>
      </w:r>
      <w:r w:rsidR="009F7FFD">
        <w:rPr>
          <w:i/>
          <w:iCs/>
          <w:sz w:val="22"/>
          <w:szCs w:val="22"/>
        </w:rPr>
        <w:t xml:space="preserve">İşsizlik, İşsizlik yardımı, </w:t>
      </w:r>
      <w:r w:rsidR="00C756E1">
        <w:rPr>
          <w:i/>
          <w:iCs/>
          <w:sz w:val="22"/>
          <w:szCs w:val="22"/>
        </w:rPr>
        <w:t xml:space="preserve">Pasif istihdam politikaları, </w:t>
      </w:r>
      <w:r w:rsidR="009F7FFD">
        <w:rPr>
          <w:i/>
          <w:iCs/>
          <w:sz w:val="22"/>
          <w:szCs w:val="22"/>
        </w:rPr>
        <w:t>Kümeleme ana</w:t>
      </w:r>
      <w:r w:rsidR="00C756E1">
        <w:rPr>
          <w:i/>
          <w:iCs/>
          <w:sz w:val="22"/>
          <w:szCs w:val="22"/>
        </w:rPr>
        <w:t>lizi.</w:t>
      </w:r>
    </w:p>
    <w:p w:rsidR="00CA6E4B" w:rsidRPr="004D583F" w:rsidRDefault="00CA6E4B" w:rsidP="00D50A9D">
      <w:pPr>
        <w:spacing w:after="120" w:line="360" w:lineRule="auto"/>
        <w:rPr>
          <w:i/>
          <w:iCs/>
          <w:sz w:val="22"/>
          <w:szCs w:val="22"/>
        </w:rPr>
      </w:pPr>
    </w:p>
    <w:p w:rsidR="00664DC1" w:rsidRDefault="00664DC1" w:rsidP="00D50A9D">
      <w:pPr>
        <w:spacing w:line="360" w:lineRule="auto"/>
        <w:jc w:val="center"/>
        <w:rPr>
          <w:b/>
          <w:bCs/>
          <w:sz w:val="22"/>
          <w:szCs w:val="22"/>
          <w:lang w:val="en-US"/>
        </w:rPr>
      </w:pPr>
      <w:r w:rsidRPr="00664DC1">
        <w:rPr>
          <w:b/>
          <w:bCs/>
          <w:sz w:val="22"/>
          <w:szCs w:val="22"/>
          <w:lang w:val="en-US"/>
        </w:rPr>
        <w:t xml:space="preserve">AN ASSESSMENT ON </w:t>
      </w:r>
      <w:r>
        <w:rPr>
          <w:b/>
          <w:bCs/>
          <w:sz w:val="22"/>
          <w:szCs w:val="22"/>
          <w:lang w:val="en-US"/>
        </w:rPr>
        <w:t>UNEMPLOYMENT BENEFIT</w:t>
      </w:r>
      <w:r w:rsidRPr="00664DC1">
        <w:rPr>
          <w:b/>
          <w:bCs/>
          <w:sz w:val="22"/>
          <w:szCs w:val="22"/>
          <w:lang w:val="en-US"/>
        </w:rPr>
        <w:t xml:space="preserve"> IN OECD COUNTRIES</w:t>
      </w:r>
    </w:p>
    <w:p w:rsidR="00CA6E4B" w:rsidRPr="004D583F" w:rsidRDefault="00CA6E4B" w:rsidP="00D50A9D">
      <w:pPr>
        <w:spacing w:line="360" w:lineRule="auto"/>
        <w:jc w:val="center"/>
        <w:rPr>
          <w:b/>
          <w:bCs/>
          <w:sz w:val="22"/>
          <w:szCs w:val="22"/>
          <w:lang w:val="en-US"/>
        </w:rPr>
      </w:pPr>
    </w:p>
    <w:p w:rsidR="00D50A9D" w:rsidRDefault="00D50A9D" w:rsidP="00D50A9D">
      <w:pPr>
        <w:spacing w:line="360" w:lineRule="auto"/>
        <w:ind w:firstLine="709"/>
        <w:jc w:val="center"/>
        <w:rPr>
          <w:b/>
          <w:bCs/>
          <w:sz w:val="22"/>
          <w:szCs w:val="22"/>
          <w:lang w:val="en-US"/>
        </w:rPr>
      </w:pPr>
      <w:r w:rsidRPr="004D583F">
        <w:rPr>
          <w:b/>
          <w:bCs/>
          <w:sz w:val="22"/>
          <w:szCs w:val="22"/>
          <w:lang w:val="en-US"/>
        </w:rPr>
        <w:t>ABSTRACT</w:t>
      </w:r>
    </w:p>
    <w:p w:rsidR="002D71C8" w:rsidRPr="004D583F" w:rsidRDefault="002D71C8" w:rsidP="00D50A9D">
      <w:pPr>
        <w:spacing w:line="360" w:lineRule="auto"/>
        <w:ind w:firstLine="709"/>
        <w:jc w:val="center"/>
        <w:rPr>
          <w:b/>
          <w:bCs/>
          <w:sz w:val="22"/>
          <w:szCs w:val="22"/>
          <w:lang w:val="en-US"/>
        </w:rPr>
      </w:pPr>
    </w:p>
    <w:p w:rsidR="00C37EFD" w:rsidRPr="00C37EFD" w:rsidRDefault="002D71C8" w:rsidP="00C37EFD">
      <w:pPr>
        <w:spacing w:after="120" w:line="360" w:lineRule="auto"/>
        <w:ind w:firstLine="708"/>
        <w:jc w:val="both"/>
        <w:rPr>
          <w:bCs/>
          <w:i/>
          <w:iCs/>
          <w:sz w:val="22"/>
          <w:szCs w:val="22"/>
          <w:lang w:val="en-US"/>
        </w:rPr>
      </w:pPr>
      <w:r w:rsidRPr="00C37EFD">
        <w:rPr>
          <w:bCs/>
          <w:i/>
          <w:iCs/>
          <w:sz w:val="22"/>
          <w:szCs w:val="22"/>
          <w:lang w:val="en-US"/>
        </w:rPr>
        <w:t xml:space="preserve">Unemployment is one of the most important economic problems that deeply affect all countries and societies in the world, regardless of their level of development. The rapid changes experienced with the developments in information and communication technologies that started with globalization and industry 4.0 have also created changes in the working life, labor markets and workforce structure over time. Together with the changes experienced, the global economic crises cause the difference between the labor force level and the employment level to increase, and there is an increase in unemployment rates. Policies aimed at reducing the effects of unemployment, as well as the policies implemented to reduce unemployment, which is a common problem that affects all societies economically, socially and psychologically, continue to be implemented today, despite their different levels of development. The most common policies applied for this purpose are generally handled under active and passive employment policies. While active employment policies are aimed at the unemployed and those who are at risk of losing their job, aiming at expanding employment opportunities and thus preventing unemployment, passive employment policies are policies aimed at reducing the social and economic effects caused by unemployment rather than increasing employment. In this study, different unemployment benefits policies and practices carried out within the scope of passive employment policies were examined within the scope of OECD countries. For this purpose, the answer to the question of whether there are different application models with similar characteristics in OECD countries is sought by cluster analysis. In the cluster analysis, the unemployment rate (UR), long-term unemployment rate (YUR), the change in the number of benefiting from unemployment benefits (RCP), the ratio allocated to unemployment benefits in GNP (PIPP), net substitution rate (NNR) indicators for 2016 are available for 35 OECD countries. used as input. Quadratic Euclidean Distance was chosen as the similarity/distance measure in the clustering analysis, and Ward Technique, which is one of the hierarchical clustering methods due to the lack of preliminary information on the number of clusters to be obtained, and which is based on the deviations from the center, that is, the variance, was used in </w:t>
      </w:r>
      <w:r w:rsidRPr="00C37EFD">
        <w:rPr>
          <w:bCs/>
          <w:i/>
          <w:iCs/>
          <w:sz w:val="22"/>
          <w:szCs w:val="22"/>
          <w:lang w:val="en-US"/>
        </w:rPr>
        <w:lastRenderedPageBreak/>
        <w:t>calculating the distance between two clusters. The dendogram graph results obtained show that there are six country groups with different applications. Czechia, Estonia, Israel, Latvia, Poland, Slovakia and Lithuania, while having high unemployment rates in the early 2000s, are among the countries that succeeded in combating unemployment with the policies implemented. However, unemployment rates increased in Greece, Spain and Turkey, and unemployment rates were above the OECD average in the period under consideration. In addition, Greece, Spain, France, Italy and Colombia stand out with their high youth unemployment rates. Youth unemployment rates in Austria, Germany, Japan, Mexico and the Netherlands remained below the OECD average. It has been determined that the incomes provided to the unemployed in Germany, the Netherlands, Italy, Australia, Japan and Norway are actively used in the fight against unemployment.</w:t>
      </w:r>
    </w:p>
    <w:p w:rsidR="00D50A9D" w:rsidRDefault="00D50A9D" w:rsidP="00D50A9D">
      <w:pPr>
        <w:spacing w:after="120" w:line="360" w:lineRule="auto"/>
        <w:jc w:val="both"/>
        <w:rPr>
          <w:i/>
          <w:iCs/>
          <w:sz w:val="22"/>
          <w:szCs w:val="22"/>
        </w:rPr>
      </w:pPr>
      <w:r w:rsidRPr="004D583F">
        <w:rPr>
          <w:b/>
          <w:bCs/>
          <w:iCs/>
          <w:sz w:val="22"/>
          <w:szCs w:val="22"/>
          <w:lang w:val="en-US"/>
        </w:rPr>
        <w:t>Keywords:</w:t>
      </w:r>
      <w:r w:rsidRPr="004D583F">
        <w:rPr>
          <w:b/>
          <w:bCs/>
          <w:i/>
          <w:iCs/>
          <w:sz w:val="22"/>
          <w:szCs w:val="22"/>
          <w:lang w:val="en-US"/>
        </w:rPr>
        <w:t xml:space="preserve"> </w:t>
      </w:r>
      <w:r w:rsidR="00C37EFD">
        <w:rPr>
          <w:i/>
          <w:iCs/>
          <w:sz w:val="22"/>
          <w:szCs w:val="22"/>
        </w:rPr>
        <w:t>Unemployment, U</w:t>
      </w:r>
      <w:r w:rsidR="00931BEB">
        <w:rPr>
          <w:i/>
          <w:iCs/>
          <w:sz w:val="22"/>
          <w:szCs w:val="22"/>
        </w:rPr>
        <w:t>nemployment</w:t>
      </w:r>
      <w:r w:rsidR="00C37EFD">
        <w:rPr>
          <w:i/>
          <w:iCs/>
          <w:sz w:val="22"/>
          <w:szCs w:val="22"/>
        </w:rPr>
        <w:t xml:space="preserve"> benefit, Passive employment policies</w:t>
      </w:r>
      <w:r w:rsidR="00931BEB">
        <w:rPr>
          <w:i/>
          <w:iCs/>
          <w:sz w:val="22"/>
          <w:szCs w:val="22"/>
        </w:rPr>
        <w:t>,</w:t>
      </w:r>
      <w:r w:rsidR="00C37EFD">
        <w:rPr>
          <w:i/>
          <w:iCs/>
          <w:sz w:val="22"/>
          <w:szCs w:val="22"/>
        </w:rPr>
        <w:t xml:space="preserve"> </w:t>
      </w:r>
      <w:r w:rsidR="00C37EFD" w:rsidRPr="00C37EFD">
        <w:rPr>
          <w:i/>
          <w:iCs/>
          <w:sz w:val="22"/>
          <w:szCs w:val="22"/>
        </w:rPr>
        <w:t>Cluster analysis</w:t>
      </w:r>
    </w:p>
    <w:p w:rsidR="00D75341" w:rsidRPr="004D583F" w:rsidRDefault="00D75341" w:rsidP="00D50A9D">
      <w:pPr>
        <w:spacing w:after="120" w:line="360" w:lineRule="auto"/>
        <w:jc w:val="both"/>
        <w:rPr>
          <w:b/>
          <w:bCs/>
          <w:i/>
          <w:iCs/>
          <w:sz w:val="22"/>
          <w:szCs w:val="22"/>
          <w:lang w:val="en-US"/>
        </w:rPr>
      </w:pPr>
    </w:p>
    <w:p w:rsidR="00D50A9D" w:rsidRPr="00692D6F" w:rsidRDefault="00D50A9D" w:rsidP="00692D6F">
      <w:pPr>
        <w:pStyle w:val="ListeParagraf"/>
        <w:numPr>
          <w:ilvl w:val="0"/>
          <w:numId w:val="1"/>
        </w:numPr>
        <w:spacing w:before="240" w:after="120" w:line="360" w:lineRule="auto"/>
        <w:jc w:val="both"/>
        <w:rPr>
          <w:b/>
          <w:bCs/>
          <w:sz w:val="22"/>
          <w:szCs w:val="22"/>
        </w:rPr>
      </w:pPr>
      <w:r w:rsidRPr="00692D6F">
        <w:rPr>
          <w:b/>
          <w:bCs/>
          <w:sz w:val="22"/>
          <w:szCs w:val="22"/>
        </w:rPr>
        <w:t>GİRİŞ</w:t>
      </w:r>
      <w:r w:rsidR="00C052D3" w:rsidRPr="00692D6F">
        <w:rPr>
          <w:b/>
          <w:bCs/>
          <w:sz w:val="22"/>
          <w:szCs w:val="22"/>
        </w:rPr>
        <w:t xml:space="preserve"> </w:t>
      </w:r>
    </w:p>
    <w:p w:rsidR="00576244" w:rsidRDefault="00576244" w:rsidP="00E13B53">
      <w:pPr>
        <w:spacing w:line="360" w:lineRule="auto"/>
        <w:ind w:firstLine="540"/>
        <w:jc w:val="both"/>
        <w:rPr>
          <w:iCs/>
          <w:sz w:val="22"/>
          <w:szCs w:val="22"/>
        </w:rPr>
      </w:pPr>
      <w:r w:rsidRPr="00576244">
        <w:rPr>
          <w:iCs/>
          <w:sz w:val="22"/>
          <w:szCs w:val="22"/>
        </w:rPr>
        <w:t xml:space="preserve">Piyasaların tam istihdam seviyesinde olması istisnai bir durum olduğundan işsizlik sosyal hayat ile iç içe geçmiş bir durumdur. </w:t>
      </w:r>
      <w:r w:rsidRPr="00E13B53">
        <w:rPr>
          <w:iCs/>
          <w:sz w:val="22"/>
          <w:szCs w:val="22"/>
        </w:rPr>
        <w:t>20. Yy boyunca alınan iktisadi ve sosyal tedbirlere rağmen etkisini sürekli arttır</w:t>
      </w:r>
      <w:r>
        <w:rPr>
          <w:iCs/>
          <w:sz w:val="22"/>
          <w:szCs w:val="22"/>
        </w:rPr>
        <w:t>an işsizlik, hem ekonomik, hem sosyal</w:t>
      </w:r>
      <w:r w:rsidRPr="00E13B53">
        <w:rPr>
          <w:iCs/>
          <w:sz w:val="22"/>
          <w:szCs w:val="22"/>
        </w:rPr>
        <w:t xml:space="preserve"> hem de </w:t>
      </w:r>
      <w:r>
        <w:rPr>
          <w:iCs/>
          <w:sz w:val="22"/>
          <w:szCs w:val="22"/>
        </w:rPr>
        <w:t>psikolojik</w:t>
      </w:r>
      <w:r w:rsidRPr="00E13B53">
        <w:rPr>
          <w:iCs/>
          <w:sz w:val="22"/>
          <w:szCs w:val="22"/>
        </w:rPr>
        <w:t xml:space="preserve"> pek çok problemin kaynağı olagelmiştir. </w:t>
      </w:r>
      <w:r>
        <w:rPr>
          <w:iCs/>
          <w:sz w:val="22"/>
          <w:szCs w:val="22"/>
        </w:rPr>
        <w:t xml:space="preserve"> </w:t>
      </w:r>
      <w:r w:rsidRPr="00576244">
        <w:rPr>
          <w:iCs/>
          <w:sz w:val="22"/>
          <w:szCs w:val="22"/>
        </w:rPr>
        <w:t>Büyük Buhran döneminden itibaren ise devletler işsizlikle mücadeleyi en önemli hedefleri arasına almıştır.</w:t>
      </w:r>
      <w:r>
        <w:rPr>
          <w:iCs/>
          <w:sz w:val="22"/>
          <w:szCs w:val="22"/>
        </w:rPr>
        <w:t xml:space="preserve"> </w:t>
      </w:r>
      <w:r w:rsidRPr="00576244">
        <w:rPr>
          <w:iCs/>
          <w:sz w:val="22"/>
          <w:szCs w:val="22"/>
        </w:rPr>
        <w:t xml:space="preserve">İşsizlikle mücadele için yürütülen politikalar Avrupa Birliği ülkelerinde aktif istihdam politikaları </w:t>
      </w:r>
      <w:r>
        <w:rPr>
          <w:iCs/>
          <w:sz w:val="22"/>
          <w:szCs w:val="22"/>
        </w:rPr>
        <w:t xml:space="preserve">ve pasif istihdam politikaları olmak üzere </w:t>
      </w:r>
      <w:r w:rsidRPr="00576244">
        <w:rPr>
          <w:iCs/>
          <w:sz w:val="22"/>
          <w:szCs w:val="22"/>
        </w:rPr>
        <w:t xml:space="preserve">iki temel grupta toplanmaktadır. </w:t>
      </w:r>
      <w:r w:rsidRPr="00AA7C16">
        <w:rPr>
          <w:iCs/>
          <w:sz w:val="22"/>
          <w:szCs w:val="22"/>
        </w:rPr>
        <w:t xml:space="preserve">Aktif istihdam politikaları işsiz ve işini kaybetme riski bulunan bireylerin istihdam </w:t>
      </w:r>
      <w:r w:rsidR="00AA7C16" w:rsidRPr="00AA7C16">
        <w:rPr>
          <w:iCs/>
          <w:sz w:val="22"/>
          <w:szCs w:val="22"/>
        </w:rPr>
        <w:t>olanaklarının artırılması yoluyla</w:t>
      </w:r>
      <w:r w:rsidRPr="00AA7C16">
        <w:rPr>
          <w:iCs/>
          <w:sz w:val="22"/>
          <w:szCs w:val="22"/>
        </w:rPr>
        <w:t xml:space="preserve"> işsizliği önlemeye yönel</w:t>
      </w:r>
      <w:r w:rsidR="00AA7C16" w:rsidRPr="00AA7C16">
        <w:rPr>
          <w:iCs/>
          <w:sz w:val="22"/>
          <w:szCs w:val="22"/>
        </w:rPr>
        <w:t>ik politikalar iken pasif istihdam politikaları işsizliğin doğurabileceği bireysel ve toplumsal zararları mümkün olduğunca minimize etmeye yöneliktir.</w:t>
      </w:r>
    </w:p>
    <w:p w:rsidR="00AA7C16" w:rsidRDefault="00AA7C16" w:rsidP="00E13B53">
      <w:pPr>
        <w:spacing w:line="360" w:lineRule="auto"/>
        <w:ind w:firstLine="540"/>
        <w:jc w:val="both"/>
        <w:rPr>
          <w:iCs/>
          <w:sz w:val="22"/>
          <w:szCs w:val="22"/>
        </w:rPr>
      </w:pPr>
    </w:p>
    <w:p w:rsidR="00AA7C16" w:rsidRDefault="00AA7C16" w:rsidP="00AA7C16">
      <w:pPr>
        <w:spacing w:line="360" w:lineRule="auto"/>
        <w:ind w:firstLine="540"/>
        <w:jc w:val="both"/>
        <w:rPr>
          <w:iCs/>
          <w:sz w:val="22"/>
          <w:szCs w:val="22"/>
        </w:rPr>
      </w:pPr>
      <w:r>
        <w:rPr>
          <w:iCs/>
          <w:sz w:val="22"/>
          <w:szCs w:val="22"/>
        </w:rPr>
        <w:t xml:space="preserve">Bu çalışma ile </w:t>
      </w:r>
      <w:r w:rsidRPr="00AA7C16">
        <w:rPr>
          <w:iCs/>
          <w:sz w:val="22"/>
          <w:szCs w:val="22"/>
        </w:rPr>
        <w:t>OECD ülkelerinde yürütülen farklı işsizlik yardımı politikaları v</w:t>
      </w:r>
      <w:r>
        <w:rPr>
          <w:iCs/>
          <w:sz w:val="22"/>
          <w:szCs w:val="22"/>
        </w:rPr>
        <w:t>e uygulamalarının incelenmiştir</w:t>
      </w:r>
      <w:r w:rsidRPr="00AA7C16">
        <w:rPr>
          <w:iCs/>
          <w:sz w:val="22"/>
          <w:szCs w:val="22"/>
        </w:rPr>
        <w:t>. Bu amaçla OECD ülkelerinde benzer özellikler gösteren farklı uygulama modellerinin bulunup bulunmadığı sorusuna kümeleme analizi ile cevap aranmıştır. Çalışmanın amacının belirlenmesinde OECD ülkelerinin serbest piyasa ekonomisine sahip tüm büyük sanayileşmiş ülkeleri kapsaması ve ayrıca işsizlik yardımları politika ve uygulamaları</w:t>
      </w:r>
      <w:bookmarkStart w:id="0" w:name="_GoBack"/>
      <w:bookmarkEnd w:id="0"/>
      <w:r w:rsidRPr="00AA7C16">
        <w:rPr>
          <w:iCs/>
          <w:sz w:val="22"/>
          <w:szCs w:val="22"/>
        </w:rPr>
        <w:t>nı ele alan kapsamlı bir literatür bulunması belirleyici olmuştur</w:t>
      </w:r>
      <w:r>
        <w:rPr>
          <w:iCs/>
          <w:sz w:val="22"/>
          <w:szCs w:val="22"/>
        </w:rPr>
        <w:t>.</w:t>
      </w:r>
    </w:p>
    <w:p w:rsidR="00330555" w:rsidRDefault="00330555" w:rsidP="00AA7C16">
      <w:pPr>
        <w:spacing w:line="360" w:lineRule="auto"/>
        <w:ind w:firstLine="540"/>
        <w:jc w:val="both"/>
        <w:rPr>
          <w:iCs/>
          <w:sz w:val="22"/>
          <w:szCs w:val="22"/>
        </w:rPr>
      </w:pPr>
    </w:p>
    <w:p w:rsidR="00A721F7" w:rsidRDefault="00330555" w:rsidP="00AA7C16">
      <w:pPr>
        <w:spacing w:line="360" w:lineRule="auto"/>
        <w:ind w:firstLine="540"/>
        <w:jc w:val="both"/>
        <w:rPr>
          <w:iCs/>
          <w:sz w:val="22"/>
          <w:szCs w:val="22"/>
        </w:rPr>
      </w:pPr>
      <w:r w:rsidRPr="00A721F7">
        <w:rPr>
          <w:iCs/>
          <w:sz w:val="22"/>
          <w:szCs w:val="22"/>
        </w:rPr>
        <w:t>Pasif istihdam politikaları bağlamında işsizlik yardımlarını ele alan bu çalışmada öncelikle işsizlik ve işsizlikle mücadele politikaları ele alınmıştır. Ardından işsizlikle mücadele politikaları</w:t>
      </w:r>
      <w:r w:rsidR="007B4545" w:rsidRPr="00A721F7">
        <w:rPr>
          <w:iCs/>
          <w:sz w:val="22"/>
          <w:szCs w:val="22"/>
        </w:rPr>
        <w:t>yla</w:t>
      </w:r>
      <w:r w:rsidRPr="00A721F7">
        <w:rPr>
          <w:iCs/>
          <w:sz w:val="22"/>
          <w:szCs w:val="22"/>
        </w:rPr>
        <w:t xml:space="preserve"> öne çıkan ülke uygulamalarına yer verilmiştir. Sonrasında ise, Ekonomik Kalkınma ve İşbirliği Teşkilatı (OECD) ülkelerinde benzer özellikler gösteren farklı “işsizlik yardım modelleri” bulunup bulunmadığı </w:t>
      </w:r>
      <w:r w:rsidR="007B4545" w:rsidRPr="00A721F7">
        <w:rPr>
          <w:iCs/>
          <w:sz w:val="22"/>
          <w:szCs w:val="22"/>
        </w:rPr>
        <w:t xml:space="preserve">incelenmiştir. Elde edilen sonuçlar genel işsizlik oranı, uzun süreli işsizlik oranı, işsizlik yardımlarından </w:t>
      </w:r>
      <w:r w:rsidR="007B4545" w:rsidRPr="00A721F7">
        <w:rPr>
          <w:iCs/>
          <w:sz w:val="22"/>
          <w:szCs w:val="22"/>
        </w:rPr>
        <w:lastRenderedPageBreak/>
        <w:t xml:space="preserve">faydalanma sayısındaki değişim, işsizlik yardımlarına GSMH içerisinde ayrılan oran ve net ikame oranı bakımından değerlendirilmiştir. </w:t>
      </w:r>
      <w:r w:rsidRPr="00A721F7">
        <w:rPr>
          <w:iCs/>
          <w:sz w:val="22"/>
          <w:szCs w:val="22"/>
        </w:rPr>
        <w:t xml:space="preserve">Çalışma kapsamında ele alınan </w:t>
      </w:r>
      <w:r w:rsidR="00A721F7" w:rsidRPr="00A721F7">
        <w:rPr>
          <w:iCs/>
          <w:sz w:val="22"/>
          <w:szCs w:val="22"/>
        </w:rPr>
        <w:t xml:space="preserve">göstergelerin </w:t>
      </w:r>
      <w:r w:rsidRPr="00A721F7">
        <w:rPr>
          <w:iCs/>
          <w:sz w:val="22"/>
          <w:szCs w:val="22"/>
        </w:rPr>
        <w:t xml:space="preserve">35 OECD ülkesine ilişkin </w:t>
      </w:r>
      <w:r w:rsidR="00A721F7" w:rsidRPr="00A721F7">
        <w:rPr>
          <w:iCs/>
          <w:sz w:val="22"/>
          <w:szCs w:val="22"/>
        </w:rPr>
        <w:t xml:space="preserve">işsizlik yardımı uygulamalarının </w:t>
      </w:r>
      <w:r w:rsidRPr="00A721F7">
        <w:rPr>
          <w:iCs/>
          <w:sz w:val="22"/>
          <w:szCs w:val="22"/>
        </w:rPr>
        <w:t>izlenmesinde kullanılan göstergelere ilişkin veriler OECD veri tabanından derlenmiştir.</w:t>
      </w:r>
      <w:r w:rsidR="00A721F7">
        <w:rPr>
          <w:iCs/>
          <w:sz w:val="22"/>
          <w:szCs w:val="22"/>
        </w:rPr>
        <w:t xml:space="preserve"> </w:t>
      </w:r>
      <w:r w:rsidR="00A721F7" w:rsidRPr="00A721F7">
        <w:rPr>
          <w:iCs/>
          <w:sz w:val="22"/>
          <w:szCs w:val="22"/>
        </w:rPr>
        <w:t>Elde edilen kümeleme analizi sonuçlarına göre, işsizlik yardımlarında farklı politikaların uygulanması, OECD ülkelerinde farklı “modeller”in varlığını doğrulamaktadır</w:t>
      </w:r>
      <w:r w:rsidR="00A721F7">
        <w:rPr>
          <w:iCs/>
          <w:sz w:val="22"/>
          <w:szCs w:val="22"/>
        </w:rPr>
        <w:t>.</w:t>
      </w:r>
    </w:p>
    <w:p w:rsidR="00A721F7" w:rsidRDefault="00A721F7" w:rsidP="00AA7C16">
      <w:pPr>
        <w:spacing w:line="360" w:lineRule="auto"/>
        <w:ind w:firstLine="540"/>
        <w:jc w:val="both"/>
        <w:rPr>
          <w:iCs/>
          <w:sz w:val="22"/>
          <w:szCs w:val="22"/>
        </w:rPr>
      </w:pPr>
    </w:p>
    <w:p w:rsidR="00A721F7" w:rsidRDefault="00A721F7" w:rsidP="00AA7C16">
      <w:pPr>
        <w:spacing w:line="360" w:lineRule="auto"/>
        <w:ind w:firstLine="540"/>
        <w:jc w:val="both"/>
        <w:rPr>
          <w:iCs/>
          <w:sz w:val="22"/>
          <w:szCs w:val="22"/>
        </w:rPr>
      </w:pPr>
      <w:r w:rsidRPr="00A721F7">
        <w:rPr>
          <w:iCs/>
          <w:sz w:val="22"/>
          <w:szCs w:val="22"/>
        </w:rPr>
        <w:t xml:space="preserve">Bu çalışma dört bölümden oluşmaktadır. Birinci bölümde işsizlik ve işsizlikle mücadele politikaları ele alınmıştır. İkinci bölümde pasif istihdam uygulamacındaki farklılıklarla öne çıkan ülke uygulamalarına değinilmiştir. Üçüncü bölümde ise OECD ülkelerinde işsizlik yardımlarına ilişkin küme analizleri ve sonuçları ve dördüncü bölümde ise elde edilen bulgular değerlendirilmiştir. </w:t>
      </w:r>
    </w:p>
    <w:p w:rsidR="00AA7C16" w:rsidRDefault="00AA7C16" w:rsidP="00AA7C16">
      <w:pPr>
        <w:spacing w:line="360" w:lineRule="auto"/>
        <w:ind w:firstLine="540"/>
        <w:jc w:val="both"/>
        <w:rPr>
          <w:iCs/>
          <w:sz w:val="22"/>
          <w:szCs w:val="22"/>
        </w:rPr>
      </w:pPr>
    </w:p>
    <w:p w:rsidR="00D50A9D" w:rsidRPr="005B3C6F" w:rsidRDefault="00414E14" w:rsidP="00692D6F">
      <w:pPr>
        <w:pStyle w:val="ListeParagraf"/>
        <w:numPr>
          <w:ilvl w:val="0"/>
          <w:numId w:val="1"/>
        </w:numPr>
        <w:spacing w:line="360" w:lineRule="auto"/>
        <w:rPr>
          <w:b/>
          <w:sz w:val="22"/>
          <w:szCs w:val="22"/>
        </w:rPr>
      </w:pPr>
      <w:r>
        <w:rPr>
          <w:b/>
          <w:sz w:val="22"/>
          <w:szCs w:val="22"/>
        </w:rPr>
        <w:t>İŞSİZLİK VE İŞSİZLİKLE MÜCADELE POLİTİKALARI</w:t>
      </w:r>
      <w:r w:rsidR="00C052D3" w:rsidRPr="00692D6F">
        <w:rPr>
          <w:b/>
          <w:sz w:val="22"/>
          <w:szCs w:val="22"/>
        </w:rPr>
        <w:t xml:space="preserve"> </w:t>
      </w:r>
    </w:p>
    <w:p w:rsidR="005B3C6F" w:rsidRPr="00792560" w:rsidRDefault="005B3C6F" w:rsidP="005B3C6F">
      <w:pPr>
        <w:pStyle w:val="ListeParagraf"/>
        <w:spacing w:line="360" w:lineRule="auto"/>
        <w:ind w:left="928"/>
        <w:rPr>
          <w:b/>
          <w:sz w:val="22"/>
          <w:szCs w:val="22"/>
        </w:rPr>
      </w:pPr>
    </w:p>
    <w:p w:rsidR="00792560" w:rsidRPr="00792560" w:rsidRDefault="00792560" w:rsidP="00792560">
      <w:pPr>
        <w:pStyle w:val="ListeParagraf"/>
        <w:numPr>
          <w:ilvl w:val="1"/>
          <w:numId w:val="1"/>
        </w:numPr>
        <w:spacing w:line="360" w:lineRule="auto"/>
        <w:rPr>
          <w:b/>
          <w:sz w:val="22"/>
          <w:szCs w:val="22"/>
        </w:rPr>
      </w:pPr>
      <w:r>
        <w:rPr>
          <w:b/>
          <w:sz w:val="22"/>
          <w:szCs w:val="22"/>
        </w:rPr>
        <w:t>İşsizlik</w:t>
      </w:r>
    </w:p>
    <w:p w:rsidR="00F945AD" w:rsidRPr="00F945AD" w:rsidRDefault="00F945AD" w:rsidP="00A721F7">
      <w:pPr>
        <w:spacing w:line="360" w:lineRule="auto"/>
        <w:ind w:firstLine="540"/>
        <w:jc w:val="both"/>
        <w:rPr>
          <w:iCs/>
          <w:sz w:val="22"/>
          <w:szCs w:val="22"/>
        </w:rPr>
      </w:pPr>
      <w:r w:rsidRPr="00F945AD">
        <w:rPr>
          <w:iCs/>
          <w:sz w:val="22"/>
          <w:szCs w:val="22"/>
        </w:rPr>
        <w:t>İnsanlık, yaratılış özelliklerine bağlı olarak varlığını devam ettirmek amacıyla varoluşundan bugüne hem üretmek hem de tüketmek zorunda kalmıştır. Gerek dönemsel gerekse de toplumsal olarak insanın üretim ve tüketim işlevi farklılık gösterse bile bu durum geçmişten günümüze bir süreklilik arz etmiştir. Bu durum emeğin istihdamı ile birlikte insanın çalışmadığı veya çalışamadığı dönemlerde “işsizlik” sorununu doğurmuştur. Modern toplumların en önemli ve uğraşması gereken en mühim ekonomik ve sosyal sorunlardan biri olan işsizlik çeşitli tanımlamalarda karşımıza çıkmaktadır</w:t>
      </w:r>
    </w:p>
    <w:p w:rsidR="00F945AD" w:rsidRDefault="00F945AD" w:rsidP="00A721F7">
      <w:pPr>
        <w:spacing w:line="360" w:lineRule="auto"/>
        <w:ind w:firstLine="540"/>
        <w:jc w:val="both"/>
        <w:rPr>
          <w:iCs/>
          <w:sz w:val="22"/>
          <w:szCs w:val="22"/>
        </w:rPr>
      </w:pPr>
    </w:p>
    <w:p w:rsidR="00A721F7" w:rsidRDefault="00A721F7" w:rsidP="00A721F7">
      <w:pPr>
        <w:spacing w:line="360" w:lineRule="auto"/>
        <w:ind w:firstLine="540"/>
        <w:jc w:val="both"/>
        <w:rPr>
          <w:iCs/>
          <w:sz w:val="22"/>
          <w:szCs w:val="22"/>
        </w:rPr>
      </w:pPr>
      <w:r w:rsidRPr="00E13B53">
        <w:rPr>
          <w:iCs/>
          <w:sz w:val="22"/>
          <w:szCs w:val="22"/>
        </w:rPr>
        <w:t xml:space="preserve">Çeşitli tanımlamalara sahip işsizliğin en belirgin tanımlaması; belirli bir yaşın üzerinde ve çalışma yetisine sahip bireylerin belirli bir dönem iş arama nedeni ile “işsiz” sıfatında oluşturduğu topluluktur </w:t>
      </w:r>
      <w:sdt>
        <w:sdtPr>
          <w:rPr>
            <w:iCs/>
            <w:sz w:val="22"/>
            <w:szCs w:val="22"/>
          </w:rPr>
          <w:id w:val="-301924305"/>
          <w:citation/>
        </w:sdtPr>
        <w:sdtEndPr/>
        <w:sdtContent>
          <w:r w:rsidR="00982E2D">
            <w:rPr>
              <w:iCs/>
              <w:sz w:val="22"/>
              <w:szCs w:val="22"/>
            </w:rPr>
            <w:fldChar w:fldCharType="begin"/>
          </w:r>
          <w:r w:rsidR="00982E2D">
            <w:rPr>
              <w:iCs/>
              <w:sz w:val="22"/>
              <w:szCs w:val="22"/>
            </w:rPr>
            <w:instrText xml:space="preserve">CITATION Uya00 \p 400 \l 1055 </w:instrText>
          </w:r>
          <w:r w:rsidR="00982E2D">
            <w:rPr>
              <w:iCs/>
              <w:sz w:val="22"/>
              <w:szCs w:val="22"/>
            </w:rPr>
            <w:fldChar w:fldCharType="separate"/>
          </w:r>
          <w:r w:rsidR="00982E2D" w:rsidRPr="00982E2D">
            <w:rPr>
              <w:noProof/>
              <w:sz w:val="22"/>
              <w:szCs w:val="22"/>
            </w:rPr>
            <w:t>(Unay, 2000, s. 400)</w:t>
          </w:r>
          <w:r w:rsidR="00982E2D">
            <w:rPr>
              <w:iCs/>
              <w:sz w:val="22"/>
              <w:szCs w:val="22"/>
            </w:rPr>
            <w:fldChar w:fldCharType="end"/>
          </w:r>
        </w:sdtContent>
      </w:sdt>
      <w:r w:rsidRPr="00E13B53">
        <w:rPr>
          <w:iCs/>
          <w:sz w:val="22"/>
          <w:szCs w:val="22"/>
        </w:rPr>
        <w:t>. Bu tanımlama da görüldüğü gibi işsizlik tanımının dayanak noktasını “işsiz” oluşturmaktadır. İşsiz ise Ülgener (1991: 113)’in tanımlamasına göre, çalışma isteği ve yetisinde olup da cari ve geçer ücret üzerinden, ayrıca kanun veya örf ve adetle tayin edilmiş saatler zarfında bir iş aradığı halde bulamayan kimsedir.</w:t>
      </w:r>
      <w:r w:rsidR="00B32A51">
        <w:rPr>
          <w:iCs/>
          <w:sz w:val="22"/>
          <w:szCs w:val="22"/>
        </w:rPr>
        <w:t xml:space="preserve"> </w:t>
      </w:r>
      <w:r w:rsidR="00B32A51" w:rsidRPr="00B32A51">
        <w:rPr>
          <w:iCs/>
          <w:sz w:val="22"/>
          <w:szCs w:val="22"/>
        </w:rPr>
        <w:t>Bu tanımlamada da görüldüğü üzere iş arayışında olmayan, iş arama fiilini gerçekleştirmeyen ve de çalışmak için bir istekte bulunmayan kimseyi işsiz tanımı içerisinde değerlendirmek mümkün değildir</w:t>
      </w:r>
      <w:r w:rsidR="00F7797D">
        <w:rPr>
          <w:iCs/>
          <w:sz w:val="22"/>
          <w:szCs w:val="22"/>
        </w:rPr>
        <w:t>.</w:t>
      </w:r>
    </w:p>
    <w:p w:rsidR="00867F78" w:rsidRDefault="00867F78" w:rsidP="00A721F7">
      <w:pPr>
        <w:spacing w:line="360" w:lineRule="auto"/>
        <w:ind w:firstLine="540"/>
        <w:jc w:val="both"/>
        <w:rPr>
          <w:iCs/>
          <w:sz w:val="22"/>
          <w:szCs w:val="22"/>
        </w:rPr>
      </w:pPr>
    </w:p>
    <w:p w:rsidR="00F7797D" w:rsidRDefault="00A721F7" w:rsidP="00F7797D">
      <w:pPr>
        <w:spacing w:line="360" w:lineRule="auto"/>
        <w:ind w:firstLine="540"/>
        <w:jc w:val="both"/>
        <w:rPr>
          <w:iCs/>
          <w:sz w:val="22"/>
          <w:szCs w:val="22"/>
        </w:rPr>
      </w:pPr>
      <w:r w:rsidRPr="00F7797D">
        <w:rPr>
          <w:iCs/>
          <w:sz w:val="22"/>
          <w:szCs w:val="22"/>
        </w:rPr>
        <w:t>Dünyada genel kabul gören işsiz tanımı uyarınca, bir kişinin işsiz olarak nitelendirilebilmesi için</w:t>
      </w:r>
      <w:r w:rsidR="00F7797D">
        <w:rPr>
          <w:iCs/>
          <w:sz w:val="22"/>
          <w:szCs w:val="22"/>
        </w:rPr>
        <w:t xml:space="preserve"> </w:t>
      </w:r>
      <w:r w:rsidR="00B32A51" w:rsidRPr="00F7797D">
        <w:rPr>
          <w:iCs/>
          <w:sz w:val="22"/>
          <w:szCs w:val="22"/>
        </w:rPr>
        <w:t>h</w:t>
      </w:r>
      <w:r w:rsidRPr="00F7797D">
        <w:rPr>
          <w:iCs/>
          <w:sz w:val="22"/>
          <w:szCs w:val="22"/>
        </w:rPr>
        <w:t xml:space="preserve">erhangi bir işte çalışmıyor olma, </w:t>
      </w:r>
      <w:r w:rsidR="00B32A51" w:rsidRPr="00F7797D">
        <w:rPr>
          <w:iCs/>
          <w:sz w:val="22"/>
          <w:szCs w:val="22"/>
        </w:rPr>
        <w:t>b</w:t>
      </w:r>
      <w:r w:rsidRPr="00F7797D">
        <w:rPr>
          <w:iCs/>
          <w:sz w:val="22"/>
          <w:szCs w:val="22"/>
        </w:rPr>
        <w:t>ir işte çalışabilecek durumda olma</w:t>
      </w:r>
      <w:r w:rsidR="00B32A51" w:rsidRPr="00F7797D">
        <w:rPr>
          <w:iCs/>
          <w:sz w:val="22"/>
          <w:szCs w:val="22"/>
        </w:rPr>
        <w:t>, i</w:t>
      </w:r>
      <w:r w:rsidRPr="00F7797D">
        <w:rPr>
          <w:iCs/>
          <w:sz w:val="22"/>
          <w:szCs w:val="22"/>
        </w:rPr>
        <w:t>ş aramaya yönelik girişimlerinin olması</w:t>
      </w:r>
      <w:r w:rsidR="00B32A51" w:rsidRPr="00F7797D">
        <w:rPr>
          <w:iCs/>
          <w:sz w:val="22"/>
          <w:szCs w:val="22"/>
        </w:rPr>
        <w:t xml:space="preserve"> özelliklerini</w:t>
      </w:r>
      <w:r w:rsidRPr="00F7797D">
        <w:rPr>
          <w:iCs/>
          <w:sz w:val="22"/>
          <w:szCs w:val="22"/>
        </w:rPr>
        <w:t xml:space="preserve"> bulun</w:t>
      </w:r>
      <w:r w:rsidR="00B32A51" w:rsidRPr="00F7797D">
        <w:rPr>
          <w:iCs/>
          <w:sz w:val="22"/>
          <w:szCs w:val="22"/>
        </w:rPr>
        <w:t>durması gerekmektedir.</w:t>
      </w:r>
      <w:r w:rsidR="00F7797D" w:rsidRPr="00F7797D">
        <w:rPr>
          <w:iCs/>
          <w:sz w:val="22"/>
          <w:szCs w:val="22"/>
        </w:rPr>
        <w:t xml:space="preserve"> Avrupa Birliğine taraf ülkelerde işsizlik, “iş bulma kurumlarına ya da işçilere yardım kurumlarına kayıtlı olan kişiler arasında bir işi olmayan ve bir işte çalışabilecek durumda olanlar” şeklinde tanımlanmaktadır. Bir işte çalışabilecek durumda olmanın kriteri ise, iş bulma kurumlarına kayıtlı olma olarak belirlenmiştir. Ancak, her ülkedeki uygulamada, </w:t>
      </w:r>
      <w:r w:rsidR="00F7797D" w:rsidRPr="00F7797D">
        <w:rPr>
          <w:iCs/>
          <w:sz w:val="22"/>
          <w:szCs w:val="22"/>
        </w:rPr>
        <w:lastRenderedPageBreak/>
        <w:t xml:space="preserve">aranılan işin süreksiz ya da sürekli olması, işin süresi, işsiz geçirilen zaman gibi daha detaylı koşullar da aranmaktadır </w:t>
      </w:r>
      <w:sdt>
        <w:sdtPr>
          <w:rPr>
            <w:iCs/>
            <w:sz w:val="22"/>
            <w:szCs w:val="22"/>
          </w:rPr>
          <w:id w:val="1827240122"/>
          <w:citation/>
        </w:sdtPr>
        <w:sdtEndPr/>
        <w:sdtContent>
          <w:r w:rsidR="00F7797D" w:rsidRPr="00F7797D">
            <w:rPr>
              <w:iCs/>
              <w:sz w:val="22"/>
              <w:szCs w:val="22"/>
            </w:rPr>
            <w:fldChar w:fldCharType="begin"/>
          </w:r>
          <w:r w:rsidR="00F7797D" w:rsidRPr="00F7797D">
            <w:rPr>
              <w:iCs/>
              <w:sz w:val="22"/>
              <w:szCs w:val="22"/>
            </w:rPr>
            <w:instrText xml:space="preserve"> CITATION Uya08 \l 1055 </w:instrText>
          </w:r>
          <w:r w:rsidR="00F7797D" w:rsidRPr="00F7797D">
            <w:rPr>
              <w:iCs/>
              <w:sz w:val="22"/>
              <w:szCs w:val="22"/>
            </w:rPr>
            <w:fldChar w:fldCharType="separate"/>
          </w:r>
          <w:r w:rsidR="00982E2D" w:rsidRPr="00982E2D">
            <w:rPr>
              <w:noProof/>
              <w:sz w:val="22"/>
              <w:szCs w:val="22"/>
            </w:rPr>
            <w:t>(Uyar Bozdağlıoğlu, 2008)</w:t>
          </w:r>
          <w:r w:rsidR="00F7797D" w:rsidRPr="00F7797D">
            <w:rPr>
              <w:iCs/>
              <w:sz w:val="22"/>
              <w:szCs w:val="22"/>
            </w:rPr>
            <w:fldChar w:fldCharType="end"/>
          </w:r>
        </w:sdtContent>
      </w:sdt>
      <w:r w:rsidR="00F7797D" w:rsidRPr="00F7797D">
        <w:rPr>
          <w:iCs/>
          <w:sz w:val="22"/>
          <w:szCs w:val="22"/>
        </w:rPr>
        <w:t>.</w:t>
      </w:r>
    </w:p>
    <w:p w:rsidR="003C2736" w:rsidRPr="00F7797D" w:rsidRDefault="003C2736" w:rsidP="00F7797D">
      <w:pPr>
        <w:spacing w:line="360" w:lineRule="auto"/>
        <w:ind w:firstLine="540"/>
        <w:jc w:val="both"/>
        <w:rPr>
          <w:iCs/>
          <w:sz w:val="22"/>
          <w:szCs w:val="22"/>
        </w:rPr>
      </w:pPr>
    </w:p>
    <w:p w:rsidR="00F7797D" w:rsidRDefault="00F7797D" w:rsidP="00F7797D">
      <w:pPr>
        <w:spacing w:line="360" w:lineRule="auto"/>
        <w:ind w:firstLine="540"/>
        <w:jc w:val="both"/>
        <w:rPr>
          <w:iCs/>
          <w:sz w:val="22"/>
          <w:szCs w:val="22"/>
        </w:rPr>
      </w:pPr>
      <w:r w:rsidRPr="00F7797D">
        <w:rPr>
          <w:iCs/>
          <w:sz w:val="22"/>
          <w:szCs w:val="22"/>
        </w:rPr>
        <w:t xml:space="preserve">Uluslararası Çalışma Örgütü (UÇÖ) tarafından 13. Uluslararası Çalışma İstatistikçileri Konferansında (ICLS) </w:t>
      </w:r>
      <w:r>
        <w:rPr>
          <w:iCs/>
          <w:sz w:val="22"/>
          <w:szCs w:val="22"/>
        </w:rPr>
        <w:t>k</w:t>
      </w:r>
      <w:r w:rsidRPr="00F7797D">
        <w:rPr>
          <w:iCs/>
          <w:sz w:val="22"/>
          <w:szCs w:val="22"/>
        </w:rPr>
        <w:t>abul edilen işsizlik</w:t>
      </w:r>
      <w:r>
        <w:rPr>
          <w:iCs/>
          <w:sz w:val="22"/>
          <w:szCs w:val="22"/>
        </w:rPr>
        <w:t xml:space="preserve"> tanımı ise</w:t>
      </w:r>
      <w:r w:rsidRPr="00F7797D">
        <w:rPr>
          <w:iCs/>
          <w:sz w:val="22"/>
          <w:szCs w:val="22"/>
        </w:rPr>
        <w:t xml:space="preserve"> referans dönemi boyunca çalışabilir çağdaki kurumsal olmayan nüfusa dâh</w:t>
      </w:r>
      <w:r>
        <w:rPr>
          <w:iCs/>
          <w:sz w:val="22"/>
          <w:szCs w:val="22"/>
        </w:rPr>
        <w:t>il olan (15 ve daha yukarı yaş), işi olmayan, i</w:t>
      </w:r>
      <w:r w:rsidRPr="00F7797D">
        <w:rPr>
          <w:iCs/>
          <w:sz w:val="22"/>
          <w:szCs w:val="22"/>
        </w:rPr>
        <w:t>ş bulduğu takdirde iş</w:t>
      </w:r>
      <w:r>
        <w:rPr>
          <w:iCs/>
          <w:sz w:val="22"/>
          <w:szCs w:val="22"/>
        </w:rPr>
        <w:t xml:space="preserve"> başı yapabilecek durumda olan ve b</w:t>
      </w:r>
      <w:r w:rsidRPr="00F7797D">
        <w:rPr>
          <w:iCs/>
          <w:sz w:val="22"/>
          <w:szCs w:val="22"/>
        </w:rPr>
        <w:t>ir iş arayan ve bu konuda bir girişimde bulunmuş olan herkesi kapsamaktadır (UÇÖ, 1982).</w:t>
      </w:r>
    </w:p>
    <w:p w:rsidR="00F7797D" w:rsidRPr="00F7797D" w:rsidRDefault="00F7797D" w:rsidP="00F7797D">
      <w:pPr>
        <w:spacing w:line="360" w:lineRule="auto"/>
        <w:ind w:firstLine="540"/>
        <w:jc w:val="both"/>
        <w:rPr>
          <w:iCs/>
          <w:sz w:val="22"/>
          <w:szCs w:val="22"/>
        </w:rPr>
      </w:pPr>
    </w:p>
    <w:p w:rsidR="00867F78" w:rsidRDefault="00F7797D" w:rsidP="00D75341">
      <w:pPr>
        <w:spacing w:line="360" w:lineRule="auto"/>
        <w:ind w:firstLine="540"/>
        <w:jc w:val="both"/>
        <w:rPr>
          <w:iCs/>
          <w:sz w:val="22"/>
          <w:szCs w:val="22"/>
        </w:rPr>
      </w:pPr>
      <w:r w:rsidRPr="00F7797D">
        <w:rPr>
          <w:iCs/>
          <w:sz w:val="22"/>
          <w:szCs w:val="22"/>
        </w:rPr>
        <w:t xml:space="preserve">İşsizlik hacmini belirlenebilmesi, 1920’li yılların sonunda birçok Avrupa ülkesinde zorunlu işsizlik sigortası sisteminin kurulması ve karşılaştırılabilir verilerin elde edilmesiyle sistematik hale gelmiştir. İşsizlik ölçümü ilgili bilgilerin yer aldığı uluslararası işsizlik istatistikleri veri tabanı, hanehalkı anketleri, işsizlik sigortası kayıtları ve istihdam ofisleri gibi çeşitli kaynaklara dayanarak derlenmektedir (Lordoğlu ve Özkaplan, 2003:401). </w:t>
      </w:r>
      <w:r w:rsidR="00867F78">
        <w:rPr>
          <w:iCs/>
          <w:sz w:val="22"/>
          <w:szCs w:val="22"/>
        </w:rPr>
        <w:t>Derlenen verilerden hesaplanana i</w:t>
      </w:r>
      <w:r w:rsidR="00867F78" w:rsidRPr="00867F78">
        <w:rPr>
          <w:iCs/>
          <w:sz w:val="22"/>
          <w:szCs w:val="22"/>
        </w:rPr>
        <w:t>şsizlik oranı, işgücünün işini kaybetmiş olup bir iş arayan ya da işten çıkarıldıktan sonra geri çağırılmayı bekleyen kısmını ölçmekte ve ekonominin ne kadar iyi bir performans gösterdiğini ölçmede kullanılan önemli bir göstergedir (Stanley vd. 2007:146).</w:t>
      </w:r>
      <w:r w:rsidR="003C2736">
        <w:rPr>
          <w:iCs/>
          <w:sz w:val="22"/>
          <w:szCs w:val="22"/>
        </w:rPr>
        <w:t xml:space="preserve"> Bununla birlikte işsizlik ile mücadelede işsiz bireylerin cinsiyet, yaş dağılımı, eğitim durumu ve işsizlik süresi gibi niteliklerine ilişkin değerlendirmeler yapılabilmesi üretilecek politikalara yön verici, yürütülen politikalarda düzeltme yapılabilmesine imkân sağlayacağı için önem taşımaktadır. </w:t>
      </w:r>
    </w:p>
    <w:p w:rsidR="00867F78" w:rsidRDefault="00867F78" w:rsidP="00D75341">
      <w:pPr>
        <w:spacing w:line="360" w:lineRule="auto"/>
        <w:ind w:firstLine="540"/>
        <w:jc w:val="both"/>
        <w:rPr>
          <w:iCs/>
          <w:sz w:val="22"/>
          <w:szCs w:val="22"/>
        </w:rPr>
      </w:pPr>
    </w:p>
    <w:p w:rsidR="00867F78" w:rsidRPr="00C37D77" w:rsidRDefault="00867F78" w:rsidP="00867F78">
      <w:pPr>
        <w:pStyle w:val="ResimYazs"/>
        <w:spacing w:before="120" w:after="360"/>
        <w:rPr>
          <w:rFonts w:eastAsia="Times New Roman" w:cs="Times New Roman"/>
          <w:b/>
          <w:i w:val="0"/>
          <w:color w:val="auto"/>
          <w:sz w:val="36"/>
          <w:szCs w:val="24"/>
        </w:rPr>
      </w:pPr>
      <w:bookmarkStart w:id="1" w:name="_Toc58932231"/>
      <w:r w:rsidRPr="005547BF">
        <w:rPr>
          <w:noProof/>
          <w:lang w:eastAsia="tr-TR"/>
        </w:rPr>
        <w:drawing>
          <wp:anchor distT="0" distB="0" distL="114300" distR="114300" simplePos="0" relativeHeight="251659264" behindDoc="1" locked="0" layoutInCell="1" allowOverlap="1" wp14:anchorId="6C70167C" wp14:editId="231B9247">
            <wp:simplePos x="0" y="0"/>
            <wp:positionH relativeFrom="column">
              <wp:posOffset>0</wp:posOffset>
            </wp:positionH>
            <wp:positionV relativeFrom="paragraph">
              <wp:posOffset>0</wp:posOffset>
            </wp:positionV>
            <wp:extent cx="5731510" cy="2388129"/>
            <wp:effectExtent l="0" t="0" r="2540" b="12700"/>
            <wp:wrapTight wrapText="bothSides">
              <wp:wrapPolygon edited="0">
                <wp:start x="0" y="0"/>
                <wp:lineTo x="0" y="21543"/>
                <wp:lineTo x="21538" y="21543"/>
                <wp:lineTo x="21538" y="0"/>
                <wp:lineTo x="0" y="0"/>
              </wp:wrapPolygon>
            </wp:wrapTight>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b/>
          <w:i w:val="0"/>
          <w:color w:val="auto"/>
          <w:sz w:val="24"/>
        </w:rPr>
        <w:t>Şekil</w:t>
      </w:r>
      <w:r w:rsidRPr="00C37D77">
        <w:rPr>
          <w:b/>
          <w:i w:val="0"/>
          <w:color w:val="auto"/>
          <w:sz w:val="24"/>
        </w:rPr>
        <w:t xml:space="preserve"> </w:t>
      </w:r>
      <w:r>
        <w:rPr>
          <w:b/>
          <w:i w:val="0"/>
          <w:color w:val="auto"/>
          <w:sz w:val="24"/>
        </w:rPr>
        <w:fldChar w:fldCharType="begin"/>
      </w:r>
      <w:r>
        <w:rPr>
          <w:b/>
          <w:i w:val="0"/>
          <w:color w:val="auto"/>
          <w:sz w:val="24"/>
        </w:rPr>
        <w:instrText xml:space="preserve"> STYLEREF 1 \s </w:instrText>
      </w:r>
      <w:r>
        <w:rPr>
          <w:b/>
          <w:i w:val="0"/>
          <w:color w:val="auto"/>
          <w:sz w:val="24"/>
        </w:rPr>
        <w:fldChar w:fldCharType="separate"/>
      </w:r>
      <w:r>
        <w:rPr>
          <w:b/>
          <w:i w:val="0"/>
          <w:noProof/>
          <w:color w:val="auto"/>
          <w:sz w:val="24"/>
        </w:rPr>
        <w:t>2</w:t>
      </w:r>
      <w:r>
        <w:rPr>
          <w:b/>
          <w:i w:val="0"/>
          <w:color w:val="auto"/>
          <w:sz w:val="24"/>
        </w:rPr>
        <w:fldChar w:fldCharType="end"/>
      </w:r>
      <w:r>
        <w:rPr>
          <w:b/>
          <w:i w:val="0"/>
          <w:color w:val="auto"/>
          <w:sz w:val="24"/>
        </w:rPr>
        <w:t>.</w:t>
      </w:r>
      <w:r>
        <w:rPr>
          <w:b/>
          <w:i w:val="0"/>
          <w:color w:val="auto"/>
          <w:sz w:val="24"/>
        </w:rPr>
        <w:fldChar w:fldCharType="begin"/>
      </w:r>
      <w:r>
        <w:rPr>
          <w:b/>
          <w:i w:val="0"/>
          <w:color w:val="auto"/>
          <w:sz w:val="24"/>
        </w:rPr>
        <w:instrText xml:space="preserve"> SEQ Grafik \* ARABIC \s 1 </w:instrText>
      </w:r>
      <w:r>
        <w:rPr>
          <w:b/>
          <w:i w:val="0"/>
          <w:color w:val="auto"/>
          <w:sz w:val="24"/>
        </w:rPr>
        <w:fldChar w:fldCharType="separate"/>
      </w:r>
      <w:r>
        <w:rPr>
          <w:b/>
          <w:i w:val="0"/>
          <w:noProof/>
          <w:color w:val="auto"/>
          <w:sz w:val="24"/>
        </w:rPr>
        <w:t>1</w:t>
      </w:r>
      <w:r>
        <w:rPr>
          <w:b/>
          <w:i w:val="0"/>
          <w:color w:val="auto"/>
          <w:sz w:val="24"/>
        </w:rPr>
        <w:fldChar w:fldCharType="end"/>
      </w:r>
      <w:r>
        <w:rPr>
          <w:b/>
          <w:i w:val="0"/>
          <w:color w:val="auto"/>
          <w:sz w:val="24"/>
        </w:rPr>
        <w:t>.</w:t>
      </w:r>
      <w:r w:rsidRPr="00C37D77">
        <w:rPr>
          <w:b/>
          <w:i w:val="0"/>
          <w:color w:val="auto"/>
          <w:sz w:val="24"/>
        </w:rPr>
        <w:t xml:space="preserve"> </w:t>
      </w:r>
      <w:r w:rsidRPr="00867F78">
        <w:rPr>
          <w:rFonts w:eastAsia="Times New Roman" w:cs="Times New Roman"/>
          <w:i w:val="0"/>
          <w:color w:val="auto"/>
          <w:sz w:val="22"/>
          <w:szCs w:val="22"/>
          <w:lang w:eastAsia="tr-TR"/>
        </w:rPr>
        <w:t>OECD Ülkelerinin Yıllara Göre Genel İşsizlik Oranları</w:t>
      </w:r>
      <w:bookmarkEnd w:id="1"/>
    </w:p>
    <w:p w:rsidR="003524A8" w:rsidRDefault="00867F78" w:rsidP="00867F78">
      <w:pPr>
        <w:spacing w:line="360" w:lineRule="auto"/>
        <w:ind w:firstLine="540"/>
        <w:jc w:val="both"/>
        <w:rPr>
          <w:iCs/>
          <w:sz w:val="22"/>
          <w:szCs w:val="22"/>
        </w:rPr>
      </w:pPr>
      <w:r>
        <w:rPr>
          <w:iCs/>
          <w:sz w:val="22"/>
          <w:szCs w:val="22"/>
        </w:rPr>
        <w:t>Şekil 2.1</w:t>
      </w:r>
      <w:r w:rsidRPr="00867F78">
        <w:rPr>
          <w:iCs/>
          <w:sz w:val="22"/>
          <w:szCs w:val="22"/>
        </w:rPr>
        <w:t xml:space="preserve"> 2000 ile 2019 yılları arasında OECD </w:t>
      </w:r>
      <w:r>
        <w:rPr>
          <w:iCs/>
          <w:sz w:val="22"/>
          <w:szCs w:val="22"/>
        </w:rPr>
        <w:t xml:space="preserve">ülkelerinin işsizlik oranlarındaki değişimi </w:t>
      </w:r>
      <w:r w:rsidRPr="00867F78">
        <w:rPr>
          <w:iCs/>
          <w:sz w:val="22"/>
          <w:szCs w:val="22"/>
        </w:rPr>
        <w:t>göstermektedir. Bu dönemde OECD</w:t>
      </w:r>
      <w:r>
        <w:rPr>
          <w:iCs/>
          <w:sz w:val="22"/>
          <w:szCs w:val="22"/>
        </w:rPr>
        <w:t xml:space="preserve"> ülkelerindeki ortalama işsizlik oranı </w:t>
      </w:r>
      <w:r w:rsidRPr="00867F78">
        <w:rPr>
          <w:iCs/>
          <w:sz w:val="22"/>
          <w:szCs w:val="22"/>
        </w:rPr>
        <w:t>2000 yılında %6,3</w:t>
      </w:r>
      <w:r>
        <w:rPr>
          <w:iCs/>
          <w:sz w:val="22"/>
          <w:szCs w:val="22"/>
        </w:rPr>
        <w:t xml:space="preserve"> iken </w:t>
      </w:r>
      <w:r w:rsidRPr="00867F78">
        <w:rPr>
          <w:iCs/>
          <w:sz w:val="22"/>
          <w:szCs w:val="22"/>
        </w:rPr>
        <w:t>2019 yılında %5.4</w:t>
      </w:r>
      <w:r>
        <w:rPr>
          <w:iCs/>
          <w:sz w:val="22"/>
          <w:szCs w:val="22"/>
        </w:rPr>
        <w:t xml:space="preserve">’e gerilemiştir. </w:t>
      </w:r>
      <w:r w:rsidR="00AF37F4">
        <w:rPr>
          <w:iCs/>
          <w:sz w:val="22"/>
          <w:szCs w:val="22"/>
        </w:rPr>
        <w:t xml:space="preserve">Ayrıca </w:t>
      </w:r>
      <w:r w:rsidRPr="00867F78">
        <w:rPr>
          <w:iCs/>
          <w:sz w:val="22"/>
          <w:szCs w:val="22"/>
        </w:rPr>
        <w:t>bazı ülkeler</w:t>
      </w:r>
      <w:r w:rsidR="00AF37F4">
        <w:rPr>
          <w:iCs/>
          <w:sz w:val="22"/>
          <w:szCs w:val="22"/>
        </w:rPr>
        <w:t xml:space="preserve">in (Polonya, Slovakya, Almanya, Letonya, Litvanya, </w:t>
      </w:r>
      <w:r w:rsidR="00AF37F4">
        <w:rPr>
          <w:iCs/>
          <w:sz w:val="22"/>
          <w:szCs w:val="22"/>
        </w:rPr>
        <w:lastRenderedPageBreak/>
        <w:t>Estonya)</w:t>
      </w:r>
      <w:r w:rsidRPr="00867F78">
        <w:rPr>
          <w:iCs/>
          <w:sz w:val="22"/>
          <w:szCs w:val="22"/>
        </w:rPr>
        <w:t xml:space="preserve"> işsizlikle mücadele konusunda </w:t>
      </w:r>
      <w:r w:rsidR="00AF37F4">
        <w:rPr>
          <w:iCs/>
          <w:sz w:val="22"/>
          <w:szCs w:val="22"/>
        </w:rPr>
        <w:t>yürütülen politikalarla işsizlik oranlarını düşürdüğü bazı ülkelerinse (İspanya, Yunanistan, İtalya, Türkiye)</w:t>
      </w:r>
      <w:r w:rsidRPr="00867F78">
        <w:rPr>
          <w:iCs/>
          <w:sz w:val="22"/>
          <w:szCs w:val="22"/>
        </w:rPr>
        <w:t xml:space="preserve"> </w:t>
      </w:r>
      <w:r w:rsidR="00112599">
        <w:rPr>
          <w:iCs/>
          <w:sz w:val="22"/>
          <w:szCs w:val="22"/>
        </w:rPr>
        <w:t xml:space="preserve">yüksek işsizlik oranının devam ettiği ve 2000-2019 yılları arasındaki dönemde işsizlik oranlarının </w:t>
      </w:r>
      <w:r w:rsidRPr="00867F78">
        <w:rPr>
          <w:iCs/>
          <w:sz w:val="22"/>
          <w:szCs w:val="22"/>
        </w:rPr>
        <w:t>OECD ortalamasının her</w:t>
      </w:r>
      <w:r w:rsidR="00112599">
        <w:rPr>
          <w:iCs/>
          <w:sz w:val="22"/>
          <w:szCs w:val="22"/>
        </w:rPr>
        <w:t xml:space="preserve"> zaman üzerinde gerçekleştiği görülmektedir.</w:t>
      </w:r>
      <w:r w:rsidR="00AF37F4" w:rsidRPr="00AF37F4">
        <w:rPr>
          <w:iCs/>
          <w:sz w:val="22"/>
          <w:szCs w:val="22"/>
        </w:rPr>
        <w:t xml:space="preserve"> </w:t>
      </w:r>
      <w:r w:rsidR="003524A8">
        <w:rPr>
          <w:iCs/>
          <w:sz w:val="22"/>
          <w:szCs w:val="22"/>
        </w:rPr>
        <w:t>Aynı dönem içerisinde</w:t>
      </w:r>
      <w:r w:rsidR="003524A8" w:rsidRPr="003524A8">
        <w:rPr>
          <w:iCs/>
          <w:sz w:val="22"/>
          <w:szCs w:val="22"/>
        </w:rPr>
        <w:t xml:space="preserve"> OECD </w:t>
      </w:r>
      <w:r w:rsidR="003524A8">
        <w:rPr>
          <w:iCs/>
          <w:sz w:val="22"/>
          <w:szCs w:val="22"/>
        </w:rPr>
        <w:t xml:space="preserve">ülkelerinde işsizlik cinsiyet temelinde incelendiğinde </w:t>
      </w:r>
      <w:r w:rsidR="003524A8" w:rsidRPr="003524A8">
        <w:rPr>
          <w:iCs/>
          <w:sz w:val="22"/>
          <w:szCs w:val="22"/>
        </w:rPr>
        <w:t>2000 yılında %5,8</w:t>
      </w:r>
      <w:r w:rsidR="003524A8">
        <w:rPr>
          <w:iCs/>
          <w:sz w:val="22"/>
          <w:szCs w:val="22"/>
        </w:rPr>
        <w:t xml:space="preserve"> olan </w:t>
      </w:r>
      <w:r w:rsidR="003524A8" w:rsidRPr="003524A8">
        <w:rPr>
          <w:iCs/>
          <w:sz w:val="22"/>
          <w:szCs w:val="22"/>
        </w:rPr>
        <w:t>erkek işsizlik oranı</w:t>
      </w:r>
      <w:r w:rsidR="003524A8">
        <w:rPr>
          <w:iCs/>
          <w:sz w:val="22"/>
          <w:szCs w:val="22"/>
        </w:rPr>
        <w:t xml:space="preserve"> 2019 yılında %5,3’e, </w:t>
      </w:r>
      <w:r w:rsidR="003524A8" w:rsidRPr="003524A8">
        <w:rPr>
          <w:iCs/>
          <w:sz w:val="22"/>
          <w:szCs w:val="22"/>
        </w:rPr>
        <w:t xml:space="preserve">kadın işsizlik oranı </w:t>
      </w:r>
      <w:r w:rsidR="003524A8">
        <w:rPr>
          <w:iCs/>
          <w:sz w:val="22"/>
          <w:szCs w:val="22"/>
        </w:rPr>
        <w:t>ise %6,9’dan</w:t>
      </w:r>
      <w:r w:rsidR="003524A8" w:rsidRPr="003524A8">
        <w:rPr>
          <w:iCs/>
          <w:sz w:val="22"/>
          <w:szCs w:val="22"/>
        </w:rPr>
        <w:t xml:space="preserve"> %5,6</w:t>
      </w:r>
      <w:r w:rsidR="003524A8">
        <w:rPr>
          <w:iCs/>
          <w:sz w:val="22"/>
          <w:szCs w:val="22"/>
        </w:rPr>
        <w:t>’ya gerilemiştir.</w:t>
      </w:r>
      <w:r w:rsidR="003524A8" w:rsidRPr="003524A8">
        <w:rPr>
          <w:iCs/>
          <w:sz w:val="22"/>
          <w:szCs w:val="22"/>
        </w:rPr>
        <w:t xml:space="preserve"> </w:t>
      </w:r>
    </w:p>
    <w:p w:rsidR="00FB47A0" w:rsidRDefault="00FB47A0" w:rsidP="00867F78">
      <w:pPr>
        <w:spacing w:line="360" w:lineRule="auto"/>
        <w:ind w:firstLine="540"/>
        <w:jc w:val="both"/>
        <w:rPr>
          <w:iCs/>
          <w:sz w:val="22"/>
          <w:szCs w:val="22"/>
        </w:rPr>
      </w:pPr>
    </w:p>
    <w:p w:rsidR="00482D5F" w:rsidRPr="00867F78" w:rsidRDefault="00482D5F" w:rsidP="00867F78">
      <w:pPr>
        <w:spacing w:line="360" w:lineRule="auto"/>
        <w:ind w:firstLine="540"/>
        <w:jc w:val="both"/>
        <w:rPr>
          <w:iCs/>
          <w:sz w:val="22"/>
          <w:szCs w:val="22"/>
        </w:rPr>
      </w:pPr>
      <w:r w:rsidRPr="005547BF">
        <w:rPr>
          <w:noProof/>
        </w:rPr>
        <w:drawing>
          <wp:inline distT="0" distB="0" distL="0" distR="0" wp14:anchorId="73C771C0" wp14:editId="4563C949">
            <wp:extent cx="5886450" cy="2219325"/>
            <wp:effectExtent l="0" t="0" r="0" b="9525"/>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82D5F" w:rsidRDefault="00FB47A0" w:rsidP="00482D5F">
      <w:pPr>
        <w:spacing w:line="360" w:lineRule="auto"/>
        <w:ind w:firstLine="540"/>
        <w:jc w:val="both"/>
        <w:rPr>
          <w:iCs/>
          <w:sz w:val="22"/>
          <w:szCs w:val="22"/>
        </w:rPr>
      </w:pPr>
      <w:bookmarkStart w:id="2" w:name="_Toc58932232"/>
      <w:r>
        <w:rPr>
          <w:iCs/>
          <w:sz w:val="22"/>
          <w:szCs w:val="22"/>
        </w:rPr>
        <w:t>Şekil</w:t>
      </w:r>
      <w:r w:rsidR="00482D5F" w:rsidRPr="00482D5F">
        <w:rPr>
          <w:iCs/>
          <w:sz w:val="22"/>
          <w:szCs w:val="22"/>
        </w:rPr>
        <w:t xml:space="preserve"> </w:t>
      </w:r>
      <w:r w:rsidR="00482D5F" w:rsidRPr="00482D5F">
        <w:rPr>
          <w:iCs/>
          <w:sz w:val="22"/>
          <w:szCs w:val="22"/>
        </w:rPr>
        <w:fldChar w:fldCharType="begin"/>
      </w:r>
      <w:r w:rsidR="00482D5F" w:rsidRPr="00482D5F">
        <w:rPr>
          <w:iCs/>
          <w:sz w:val="22"/>
          <w:szCs w:val="22"/>
        </w:rPr>
        <w:instrText xml:space="preserve"> STYLEREF 1 \s </w:instrText>
      </w:r>
      <w:r w:rsidR="00482D5F" w:rsidRPr="00482D5F">
        <w:rPr>
          <w:iCs/>
          <w:sz w:val="22"/>
          <w:szCs w:val="22"/>
        </w:rPr>
        <w:fldChar w:fldCharType="separate"/>
      </w:r>
      <w:r w:rsidR="00482D5F" w:rsidRPr="00482D5F">
        <w:rPr>
          <w:iCs/>
          <w:sz w:val="22"/>
          <w:szCs w:val="22"/>
        </w:rPr>
        <w:t>2</w:t>
      </w:r>
      <w:r w:rsidR="00482D5F" w:rsidRPr="00482D5F">
        <w:rPr>
          <w:iCs/>
          <w:sz w:val="22"/>
          <w:szCs w:val="22"/>
        </w:rPr>
        <w:fldChar w:fldCharType="end"/>
      </w:r>
      <w:r w:rsidR="00482D5F" w:rsidRPr="00482D5F">
        <w:rPr>
          <w:iCs/>
          <w:sz w:val="22"/>
          <w:szCs w:val="22"/>
        </w:rPr>
        <w:t>.</w:t>
      </w:r>
      <w:r w:rsidR="00482D5F" w:rsidRPr="00482D5F">
        <w:rPr>
          <w:iCs/>
          <w:sz w:val="22"/>
          <w:szCs w:val="22"/>
        </w:rPr>
        <w:fldChar w:fldCharType="begin"/>
      </w:r>
      <w:r w:rsidR="00482D5F" w:rsidRPr="00482D5F">
        <w:rPr>
          <w:iCs/>
          <w:sz w:val="22"/>
          <w:szCs w:val="22"/>
        </w:rPr>
        <w:instrText xml:space="preserve"> SEQ Grafik \* ARABIC \s 1 </w:instrText>
      </w:r>
      <w:r w:rsidR="00482D5F" w:rsidRPr="00482D5F">
        <w:rPr>
          <w:iCs/>
          <w:sz w:val="22"/>
          <w:szCs w:val="22"/>
        </w:rPr>
        <w:fldChar w:fldCharType="separate"/>
      </w:r>
      <w:r w:rsidR="00482D5F" w:rsidRPr="00482D5F">
        <w:rPr>
          <w:iCs/>
          <w:sz w:val="22"/>
          <w:szCs w:val="22"/>
        </w:rPr>
        <w:t>2</w:t>
      </w:r>
      <w:r w:rsidR="00482D5F" w:rsidRPr="00482D5F">
        <w:rPr>
          <w:iCs/>
          <w:sz w:val="22"/>
          <w:szCs w:val="22"/>
        </w:rPr>
        <w:fldChar w:fldCharType="end"/>
      </w:r>
      <w:r w:rsidR="00482D5F" w:rsidRPr="00482D5F">
        <w:rPr>
          <w:iCs/>
          <w:sz w:val="22"/>
          <w:szCs w:val="22"/>
        </w:rPr>
        <w:t xml:space="preserve">. OECD Ülkelerinde Yıllara Göre </w:t>
      </w:r>
      <w:r>
        <w:rPr>
          <w:iCs/>
          <w:sz w:val="22"/>
          <w:szCs w:val="22"/>
        </w:rPr>
        <w:t>Genç</w:t>
      </w:r>
      <w:r w:rsidR="00482D5F" w:rsidRPr="00482D5F">
        <w:rPr>
          <w:iCs/>
          <w:sz w:val="22"/>
          <w:szCs w:val="22"/>
        </w:rPr>
        <w:t xml:space="preserve"> İşsizlik Oranları</w:t>
      </w:r>
      <w:bookmarkEnd w:id="2"/>
    </w:p>
    <w:p w:rsidR="00FB47A0" w:rsidRPr="00482D5F" w:rsidRDefault="00FB47A0" w:rsidP="00482D5F">
      <w:pPr>
        <w:spacing w:line="360" w:lineRule="auto"/>
        <w:ind w:firstLine="540"/>
        <w:jc w:val="both"/>
        <w:rPr>
          <w:iCs/>
          <w:sz w:val="22"/>
          <w:szCs w:val="22"/>
        </w:rPr>
      </w:pPr>
    </w:p>
    <w:p w:rsidR="00482D5F" w:rsidRPr="00482D5F" w:rsidRDefault="00FB47A0" w:rsidP="00482D5F">
      <w:pPr>
        <w:spacing w:line="360" w:lineRule="auto"/>
        <w:ind w:firstLine="540"/>
        <w:jc w:val="both"/>
        <w:rPr>
          <w:iCs/>
          <w:sz w:val="22"/>
          <w:szCs w:val="22"/>
        </w:rPr>
      </w:pPr>
      <w:r>
        <w:rPr>
          <w:iCs/>
          <w:sz w:val="22"/>
          <w:szCs w:val="22"/>
        </w:rPr>
        <w:t>Şekil 2.2. OECD Ülkelerinde 2015</w:t>
      </w:r>
      <w:r w:rsidR="00482D5F" w:rsidRPr="00482D5F">
        <w:rPr>
          <w:iCs/>
          <w:sz w:val="22"/>
          <w:szCs w:val="22"/>
        </w:rPr>
        <w:t>-2019 yılları arasında</w:t>
      </w:r>
      <w:r>
        <w:rPr>
          <w:iCs/>
          <w:sz w:val="22"/>
          <w:szCs w:val="22"/>
        </w:rPr>
        <w:t xml:space="preserve"> 15-24 yaş arasındaki işsizliğe ilişkin gösterimi sunmaktadır. 2015 yılında </w:t>
      </w:r>
      <w:r w:rsidR="00482D5F" w:rsidRPr="00482D5F">
        <w:rPr>
          <w:iCs/>
          <w:sz w:val="22"/>
          <w:szCs w:val="22"/>
        </w:rPr>
        <w:t xml:space="preserve"> </w:t>
      </w:r>
      <w:r>
        <w:rPr>
          <w:iCs/>
          <w:sz w:val="22"/>
          <w:szCs w:val="22"/>
        </w:rPr>
        <w:t xml:space="preserve">%14,1 olan </w:t>
      </w:r>
      <w:r w:rsidR="00482D5F" w:rsidRPr="00482D5F">
        <w:rPr>
          <w:iCs/>
          <w:sz w:val="22"/>
          <w:szCs w:val="22"/>
        </w:rPr>
        <w:t xml:space="preserve">OECD </w:t>
      </w:r>
      <w:r>
        <w:rPr>
          <w:iCs/>
          <w:sz w:val="22"/>
          <w:szCs w:val="22"/>
        </w:rPr>
        <w:t xml:space="preserve">ülke </w:t>
      </w:r>
      <w:r w:rsidR="00482D5F" w:rsidRPr="00482D5F">
        <w:rPr>
          <w:iCs/>
          <w:sz w:val="22"/>
          <w:szCs w:val="22"/>
        </w:rPr>
        <w:t>ortalaması 2019 yılında %11,7</w:t>
      </w:r>
      <w:r>
        <w:rPr>
          <w:iCs/>
          <w:sz w:val="22"/>
          <w:szCs w:val="22"/>
        </w:rPr>
        <w:t>’e gerilemiştir. Türkiye’de ise</w:t>
      </w:r>
      <w:r w:rsidR="00482D5F" w:rsidRPr="00482D5F">
        <w:rPr>
          <w:iCs/>
          <w:sz w:val="22"/>
          <w:szCs w:val="22"/>
        </w:rPr>
        <w:t xml:space="preserve"> </w:t>
      </w:r>
      <w:r w:rsidRPr="00482D5F">
        <w:rPr>
          <w:iCs/>
          <w:sz w:val="22"/>
          <w:szCs w:val="22"/>
        </w:rPr>
        <w:t xml:space="preserve">2015 yılında </w:t>
      </w:r>
      <w:r w:rsidR="00482D5F" w:rsidRPr="00482D5F">
        <w:rPr>
          <w:iCs/>
          <w:sz w:val="22"/>
          <w:szCs w:val="22"/>
        </w:rPr>
        <w:t>%18,5 ve</w:t>
      </w:r>
      <w:r>
        <w:rPr>
          <w:iCs/>
          <w:sz w:val="22"/>
          <w:szCs w:val="22"/>
        </w:rPr>
        <w:t xml:space="preserve"> olan genç işsizlik oranı</w:t>
      </w:r>
      <w:r w:rsidR="00482D5F" w:rsidRPr="00482D5F">
        <w:rPr>
          <w:iCs/>
          <w:sz w:val="22"/>
          <w:szCs w:val="22"/>
        </w:rPr>
        <w:t xml:space="preserve"> 2019 yılında %25,6</w:t>
      </w:r>
      <w:r>
        <w:rPr>
          <w:iCs/>
          <w:sz w:val="22"/>
          <w:szCs w:val="22"/>
        </w:rPr>
        <w:t>’e yükselmiş ve</w:t>
      </w:r>
      <w:r w:rsidR="00482D5F" w:rsidRPr="00482D5F">
        <w:rPr>
          <w:iCs/>
          <w:sz w:val="22"/>
          <w:szCs w:val="22"/>
        </w:rPr>
        <w:t xml:space="preserve"> Yunanistan, İspanya</w:t>
      </w:r>
      <w:r>
        <w:rPr>
          <w:iCs/>
          <w:sz w:val="22"/>
          <w:szCs w:val="22"/>
        </w:rPr>
        <w:t xml:space="preserve">, Fransa, İtalya ve Kolombiya ile birlikte OECD ortalamasının üzerinde gerçekleşmiştir. </w:t>
      </w:r>
      <w:r w:rsidR="00482D5F" w:rsidRPr="00482D5F">
        <w:rPr>
          <w:iCs/>
          <w:sz w:val="22"/>
          <w:szCs w:val="22"/>
        </w:rPr>
        <w:t xml:space="preserve"> </w:t>
      </w:r>
      <w:r>
        <w:rPr>
          <w:iCs/>
          <w:sz w:val="22"/>
          <w:szCs w:val="22"/>
        </w:rPr>
        <w:t xml:space="preserve">Aynı dönemler içerisinde </w:t>
      </w:r>
      <w:r w:rsidR="00482D5F" w:rsidRPr="00482D5F">
        <w:rPr>
          <w:iCs/>
          <w:sz w:val="22"/>
          <w:szCs w:val="22"/>
        </w:rPr>
        <w:t xml:space="preserve">Avusturya, Almanya, </w:t>
      </w:r>
      <w:r>
        <w:rPr>
          <w:iCs/>
          <w:sz w:val="22"/>
          <w:szCs w:val="22"/>
        </w:rPr>
        <w:t>Japonya, Meksika ve Hollanda’da ise</w:t>
      </w:r>
      <w:r w:rsidR="00482D5F" w:rsidRPr="00482D5F">
        <w:rPr>
          <w:iCs/>
          <w:sz w:val="22"/>
          <w:szCs w:val="22"/>
        </w:rPr>
        <w:t xml:space="preserve"> 15-24 yaş arası işsizlik oranları düzenli olarak OECD ortalamasının altında </w:t>
      </w:r>
      <w:r>
        <w:rPr>
          <w:iCs/>
          <w:sz w:val="22"/>
          <w:szCs w:val="22"/>
        </w:rPr>
        <w:t>seyretmiştir.</w:t>
      </w:r>
    </w:p>
    <w:p w:rsidR="00F2631B" w:rsidRDefault="00F2631B" w:rsidP="00EA4348">
      <w:pPr>
        <w:spacing w:line="360" w:lineRule="auto"/>
        <w:ind w:firstLine="540"/>
        <w:jc w:val="both"/>
        <w:rPr>
          <w:iCs/>
          <w:sz w:val="22"/>
          <w:szCs w:val="22"/>
        </w:rPr>
      </w:pPr>
    </w:p>
    <w:p w:rsidR="000D5858" w:rsidRDefault="000D5858" w:rsidP="000D5858">
      <w:r w:rsidRPr="005547BF">
        <w:rPr>
          <w:noProof/>
        </w:rPr>
        <w:drawing>
          <wp:inline distT="0" distB="0" distL="0" distR="0" wp14:anchorId="202DDD26" wp14:editId="1A89B64D">
            <wp:extent cx="5731510" cy="2371725"/>
            <wp:effectExtent l="0" t="0" r="2540" b="9525"/>
            <wp:docPr id="2"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D5858" w:rsidRPr="000D5858" w:rsidRDefault="000D5858" w:rsidP="000D5858">
      <w:pPr>
        <w:spacing w:line="360" w:lineRule="auto"/>
        <w:ind w:firstLine="540"/>
        <w:jc w:val="both"/>
        <w:rPr>
          <w:iCs/>
          <w:sz w:val="22"/>
          <w:szCs w:val="22"/>
        </w:rPr>
      </w:pPr>
      <w:bookmarkStart w:id="3" w:name="_Toc58932233"/>
      <w:r w:rsidRPr="000D5858">
        <w:rPr>
          <w:iCs/>
          <w:sz w:val="22"/>
          <w:szCs w:val="22"/>
        </w:rPr>
        <w:t>Şekil 2.3. OECD Ülkelerinde 2019 Yılı Eğitim Durumuna Göre İşsizlik Oranları</w:t>
      </w:r>
      <w:bookmarkEnd w:id="3"/>
    </w:p>
    <w:p w:rsidR="000D5858" w:rsidRDefault="000D5858" w:rsidP="000D5858">
      <w:pPr>
        <w:spacing w:line="360" w:lineRule="auto"/>
        <w:ind w:firstLine="540"/>
        <w:jc w:val="both"/>
        <w:rPr>
          <w:iCs/>
          <w:sz w:val="22"/>
          <w:szCs w:val="22"/>
        </w:rPr>
      </w:pPr>
    </w:p>
    <w:p w:rsidR="000D5858" w:rsidRDefault="000D5858" w:rsidP="000D5858">
      <w:pPr>
        <w:spacing w:line="360" w:lineRule="auto"/>
        <w:ind w:firstLine="540"/>
        <w:jc w:val="both"/>
        <w:rPr>
          <w:iCs/>
          <w:sz w:val="22"/>
          <w:szCs w:val="22"/>
        </w:rPr>
      </w:pPr>
      <w:r>
        <w:rPr>
          <w:iCs/>
          <w:sz w:val="22"/>
          <w:szCs w:val="22"/>
        </w:rPr>
        <w:t>Şekil 2.3.</w:t>
      </w:r>
      <w:r w:rsidRPr="000D5858">
        <w:rPr>
          <w:iCs/>
          <w:sz w:val="22"/>
          <w:szCs w:val="22"/>
        </w:rPr>
        <w:t xml:space="preserve"> </w:t>
      </w:r>
      <w:r>
        <w:rPr>
          <w:iCs/>
          <w:sz w:val="22"/>
          <w:szCs w:val="22"/>
        </w:rPr>
        <w:t xml:space="preserve">2019 yılı OECD ülkelerinde </w:t>
      </w:r>
      <w:r w:rsidRPr="000D5858">
        <w:rPr>
          <w:iCs/>
          <w:sz w:val="22"/>
          <w:szCs w:val="22"/>
        </w:rPr>
        <w:t xml:space="preserve">düşük orta ve yüksek eğitimli kişilerin </w:t>
      </w:r>
      <w:r>
        <w:rPr>
          <w:iCs/>
          <w:sz w:val="22"/>
          <w:szCs w:val="22"/>
        </w:rPr>
        <w:t xml:space="preserve">işsizlik oranına ilişkin gösterim yer almaktadır. </w:t>
      </w:r>
      <w:r w:rsidR="003C2736">
        <w:rPr>
          <w:iCs/>
          <w:sz w:val="22"/>
          <w:szCs w:val="22"/>
        </w:rPr>
        <w:t>Buna göre OECD ülkelerinde</w:t>
      </w:r>
      <w:r w:rsidRPr="000D5858">
        <w:rPr>
          <w:iCs/>
          <w:sz w:val="22"/>
          <w:szCs w:val="22"/>
        </w:rPr>
        <w:t xml:space="preserve"> düşük eğitimli kişilerin işsizlik oranı %9,3 orta eğitimlilerin %5,4 yüksek eğitimlilerin ise %3,8’dir. Türkiye’de ise 2019 yılı eğitim düzeylerine göre işsizlik oranları düşük eğitimli grupta %12,4 orta eğitimli grupta %11,9 ve yüksek eğitimli grupta %10,7 </w:t>
      </w:r>
      <w:r w:rsidR="003C2736">
        <w:rPr>
          <w:iCs/>
          <w:sz w:val="22"/>
          <w:szCs w:val="22"/>
        </w:rPr>
        <w:t>olarak gerçekleşmiştir.</w:t>
      </w:r>
    </w:p>
    <w:p w:rsidR="003C2736" w:rsidRPr="000D5858" w:rsidRDefault="003C2736" w:rsidP="000D5858">
      <w:pPr>
        <w:spacing w:line="360" w:lineRule="auto"/>
        <w:ind w:firstLine="540"/>
        <w:jc w:val="both"/>
        <w:rPr>
          <w:iCs/>
          <w:sz w:val="22"/>
          <w:szCs w:val="22"/>
        </w:rPr>
      </w:pPr>
    </w:p>
    <w:p w:rsidR="000D5858" w:rsidRPr="005547BF" w:rsidRDefault="000D5858" w:rsidP="000D5858">
      <w:r w:rsidRPr="005547BF">
        <w:rPr>
          <w:noProof/>
        </w:rPr>
        <w:drawing>
          <wp:inline distT="0" distB="0" distL="0" distR="0" wp14:anchorId="302363FE" wp14:editId="58BFCDB4">
            <wp:extent cx="5575751" cy="2070339"/>
            <wp:effectExtent l="0" t="0" r="6350" b="6350"/>
            <wp:docPr id="7"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5828" cy="2088933"/>
                    </a:xfrm>
                    <a:prstGeom prst="rect">
                      <a:avLst/>
                    </a:prstGeom>
                    <a:noFill/>
                  </pic:spPr>
                </pic:pic>
              </a:graphicData>
            </a:graphic>
          </wp:inline>
        </w:drawing>
      </w:r>
    </w:p>
    <w:p w:rsidR="000D5858" w:rsidRPr="003C2736" w:rsidRDefault="000D5858" w:rsidP="003C2736">
      <w:pPr>
        <w:spacing w:line="360" w:lineRule="auto"/>
        <w:ind w:firstLine="540"/>
        <w:jc w:val="both"/>
        <w:rPr>
          <w:iCs/>
          <w:sz w:val="22"/>
          <w:szCs w:val="22"/>
        </w:rPr>
      </w:pPr>
      <w:bookmarkStart w:id="4" w:name="_Toc58932234"/>
      <w:r w:rsidRPr="003C2736">
        <w:rPr>
          <w:iCs/>
          <w:sz w:val="22"/>
          <w:szCs w:val="22"/>
        </w:rPr>
        <w:t xml:space="preserve">Grafik </w:t>
      </w:r>
      <w:r w:rsidRPr="003C2736">
        <w:rPr>
          <w:iCs/>
          <w:sz w:val="22"/>
          <w:szCs w:val="22"/>
        </w:rPr>
        <w:fldChar w:fldCharType="begin"/>
      </w:r>
      <w:r w:rsidRPr="003C2736">
        <w:rPr>
          <w:iCs/>
          <w:sz w:val="22"/>
          <w:szCs w:val="22"/>
        </w:rPr>
        <w:instrText xml:space="preserve"> STYLEREF 1 \s </w:instrText>
      </w:r>
      <w:r w:rsidRPr="003C2736">
        <w:rPr>
          <w:iCs/>
          <w:sz w:val="22"/>
          <w:szCs w:val="22"/>
        </w:rPr>
        <w:fldChar w:fldCharType="separate"/>
      </w:r>
      <w:r w:rsidRPr="003C2736">
        <w:rPr>
          <w:iCs/>
          <w:sz w:val="22"/>
          <w:szCs w:val="22"/>
        </w:rPr>
        <w:t>2</w:t>
      </w:r>
      <w:r w:rsidRPr="003C2736">
        <w:rPr>
          <w:iCs/>
          <w:sz w:val="22"/>
          <w:szCs w:val="22"/>
        </w:rPr>
        <w:fldChar w:fldCharType="end"/>
      </w:r>
      <w:r w:rsidRPr="003C2736">
        <w:rPr>
          <w:iCs/>
          <w:sz w:val="22"/>
          <w:szCs w:val="22"/>
        </w:rPr>
        <w:t>.</w:t>
      </w:r>
      <w:r w:rsidRPr="003C2736">
        <w:rPr>
          <w:iCs/>
          <w:sz w:val="22"/>
          <w:szCs w:val="22"/>
        </w:rPr>
        <w:fldChar w:fldCharType="begin"/>
      </w:r>
      <w:r w:rsidRPr="003C2736">
        <w:rPr>
          <w:iCs/>
          <w:sz w:val="22"/>
          <w:szCs w:val="22"/>
        </w:rPr>
        <w:instrText xml:space="preserve"> SEQ Grafik \* ARABIC \s 1 </w:instrText>
      </w:r>
      <w:r w:rsidRPr="003C2736">
        <w:rPr>
          <w:iCs/>
          <w:sz w:val="22"/>
          <w:szCs w:val="22"/>
        </w:rPr>
        <w:fldChar w:fldCharType="separate"/>
      </w:r>
      <w:r w:rsidRPr="003C2736">
        <w:rPr>
          <w:iCs/>
          <w:sz w:val="22"/>
          <w:szCs w:val="22"/>
        </w:rPr>
        <w:t>4</w:t>
      </w:r>
      <w:r w:rsidRPr="003C2736">
        <w:rPr>
          <w:iCs/>
          <w:sz w:val="22"/>
          <w:szCs w:val="22"/>
        </w:rPr>
        <w:fldChar w:fldCharType="end"/>
      </w:r>
      <w:r w:rsidRPr="003C2736">
        <w:rPr>
          <w:iCs/>
          <w:sz w:val="22"/>
          <w:szCs w:val="22"/>
        </w:rPr>
        <w:t>. OECD Ülkelerinde 2019 Yılı Uzun Dönem İşsizlik Oranları</w:t>
      </w:r>
      <w:bookmarkEnd w:id="4"/>
    </w:p>
    <w:p w:rsidR="000D5858" w:rsidRPr="00C37D77" w:rsidRDefault="000D5858" w:rsidP="000D5858"/>
    <w:p w:rsidR="000D5858" w:rsidRDefault="003C2736" w:rsidP="000D5858">
      <w:pPr>
        <w:spacing w:line="360" w:lineRule="auto"/>
        <w:ind w:firstLine="540"/>
        <w:jc w:val="both"/>
        <w:rPr>
          <w:iCs/>
          <w:sz w:val="22"/>
          <w:szCs w:val="22"/>
        </w:rPr>
      </w:pPr>
      <w:r>
        <w:rPr>
          <w:iCs/>
          <w:sz w:val="22"/>
          <w:szCs w:val="22"/>
        </w:rPr>
        <w:t xml:space="preserve">Son olarak Şekil 2.4.’de </w:t>
      </w:r>
      <w:r w:rsidR="000D5858" w:rsidRPr="000D5858">
        <w:rPr>
          <w:iCs/>
          <w:sz w:val="22"/>
          <w:szCs w:val="22"/>
        </w:rPr>
        <w:t>2019 yılında OECD ülkelerindeki bir yıldan uzun süre işsiz kala</w:t>
      </w:r>
      <w:r>
        <w:rPr>
          <w:iCs/>
          <w:sz w:val="22"/>
          <w:szCs w:val="22"/>
        </w:rPr>
        <w:t>nların işsizler içindeki dağılımına ilişkin gösterim yer almaktadır</w:t>
      </w:r>
      <w:r w:rsidR="000D5858" w:rsidRPr="000D5858">
        <w:rPr>
          <w:iCs/>
          <w:sz w:val="22"/>
          <w:szCs w:val="22"/>
        </w:rPr>
        <w:t xml:space="preserve">. OECD ülkelerinde ortalama olarak uzun dönem işsizlik oranı </w:t>
      </w:r>
      <w:r w:rsidRPr="000D5858">
        <w:rPr>
          <w:iCs/>
          <w:sz w:val="22"/>
          <w:szCs w:val="22"/>
        </w:rPr>
        <w:t xml:space="preserve">2019 yılında </w:t>
      </w:r>
      <w:r w:rsidR="000D5858" w:rsidRPr="000D5858">
        <w:rPr>
          <w:iCs/>
          <w:sz w:val="22"/>
          <w:szCs w:val="22"/>
        </w:rPr>
        <w:t xml:space="preserve">%25,8 </w:t>
      </w:r>
      <w:r>
        <w:rPr>
          <w:iCs/>
          <w:sz w:val="22"/>
          <w:szCs w:val="22"/>
        </w:rPr>
        <w:t xml:space="preserve">ve </w:t>
      </w:r>
      <w:r w:rsidR="000D5858" w:rsidRPr="000D5858">
        <w:rPr>
          <w:iCs/>
          <w:sz w:val="22"/>
          <w:szCs w:val="22"/>
        </w:rPr>
        <w:t xml:space="preserve">Türkiye’de </w:t>
      </w:r>
      <w:r>
        <w:rPr>
          <w:iCs/>
          <w:sz w:val="22"/>
          <w:szCs w:val="22"/>
        </w:rPr>
        <w:t>ise</w:t>
      </w:r>
      <w:r w:rsidR="000D5858" w:rsidRPr="000D5858">
        <w:rPr>
          <w:iCs/>
          <w:sz w:val="22"/>
          <w:szCs w:val="22"/>
        </w:rPr>
        <w:t xml:space="preserve"> %23.5 olarak gerçekleşmiştir. OECD ülkeleri arasında en yüksek uzun dönem işsizlik or</w:t>
      </w:r>
      <w:r w:rsidR="00E348C0">
        <w:rPr>
          <w:iCs/>
          <w:sz w:val="22"/>
          <w:szCs w:val="22"/>
        </w:rPr>
        <w:t>anlarına sahip ülkeler</w:t>
      </w:r>
      <w:r w:rsidR="000D5858" w:rsidRPr="000D5858">
        <w:rPr>
          <w:iCs/>
          <w:sz w:val="22"/>
          <w:szCs w:val="22"/>
        </w:rPr>
        <w:t xml:space="preserve"> Yunanistan (%70,1)</w:t>
      </w:r>
      <w:r w:rsidR="00E348C0">
        <w:rPr>
          <w:iCs/>
          <w:sz w:val="22"/>
          <w:szCs w:val="22"/>
        </w:rPr>
        <w:t xml:space="preserve">, İtalya (%57), Slovakya (%55) </w:t>
      </w:r>
      <w:r>
        <w:rPr>
          <w:iCs/>
          <w:sz w:val="22"/>
          <w:szCs w:val="22"/>
        </w:rPr>
        <w:t>iken e</w:t>
      </w:r>
      <w:r w:rsidR="000D5858" w:rsidRPr="000D5858">
        <w:rPr>
          <w:iCs/>
          <w:sz w:val="22"/>
          <w:szCs w:val="22"/>
        </w:rPr>
        <w:t>n düşük uzun dönem iş</w:t>
      </w:r>
      <w:r>
        <w:rPr>
          <w:iCs/>
          <w:sz w:val="22"/>
          <w:szCs w:val="22"/>
        </w:rPr>
        <w:t xml:space="preserve">sizlik oranına sahip ülkeler </w:t>
      </w:r>
      <w:r w:rsidR="000D5858" w:rsidRPr="000D5858">
        <w:rPr>
          <w:iCs/>
          <w:sz w:val="22"/>
          <w:szCs w:val="22"/>
        </w:rPr>
        <w:t>Kore (%0.9)</w:t>
      </w:r>
      <w:r w:rsidR="00E348C0">
        <w:rPr>
          <w:iCs/>
          <w:sz w:val="22"/>
          <w:szCs w:val="22"/>
        </w:rPr>
        <w:t>, Meksika (%1.7), İsrail (%5.7)</w:t>
      </w:r>
      <w:r>
        <w:rPr>
          <w:iCs/>
          <w:sz w:val="22"/>
          <w:szCs w:val="22"/>
        </w:rPr>
        <w:t>’</w:t>
      </w:r>
      <w:r w:rsidR="00E348C0">
        <w:rPr>
          <w:iCs/>
          <w:sz w:val="22"/>
          <w:szCs w:val="22"/>
        </w:rPr>
        <w:t>di</w:t>
      </w:r>
      <w:r w:rsidR="000D5858" w:rsidRPr="000D5858">
        <w:rPr>
          <w:iCs/>
          <w:sz w:val="22"/>
          <w:szCs w:val="22"/>
        </w:rPr>
        <w:t>r.</w:t>
      </w:r>
    </w:p>
    <w:p w:rsidR="00BF077C" w:rsidRPr="000D5858" w:rsidRDefault="00BF077C" w:rsidP="000D5858">
      <w:pPr>
        <w:spacing w:line="360" w:lineRule="auto"/>
        <w:ind w:firstLine="540"/>
        <w:jc w:val="both"/>
        <w:rPr>
          <w:iCs/>
          <w:sz w:val="22"/>
          <w:szCs w:val="22"/>
        </w:rPr>
      </w:pPr>
    </w:p>
    <w:p w:rsidR="00D379C3" w:rsidRDefault="00BF077C" w:rsidP="00BF077C">
      <w:pPr>
        <w:pStyle w:val="ListeParagraf"/>
        <w:numPr>
          <w:ilvl w:val="1"/>
          <w:numId w:val="1"/>
        </w:numPr>
        <w:spacing w:line="360" w:lineRule="auto"/>
        <w:rPr>
          <w:b/>
          <w:sz w:val="22"/>
          <w:szCs w:val="22"/>
        </w:rPr>
      </w:pPr>
      <w:r w:rsidRPr="00BF077C">
        <w:rPr>
          <w:b/>
          <w:sz w:val="22"/>
          <w:szCs w:val="22"/>
        </w:rPr>
        <w:t xml:space="preserve">İşsizliğin Nedenleri </w:t>
      </w:r>
    </w:p>
    <w:p w:rsidR="00BF077C" w:rsidRDefault="00BF077C" w:rsidP="00BF077C">
      <w:pPr>
        <w:pStyle w:val="ListeParagraf"/>
        <w:spacing w:line="360" w:lineRule="auto"/>
        <w:ind w:left="928"/>
        <w:rPr>
          <w:b/>
          <w:sz w:val="22"/>
          <w:szCs w:val="22"/>
        </w:rPr>
      </w:pPr>
    </w:p>
    <w:p w:rsidR="00BF077C" w:rsidRPr="00BF077C" w:rsidRDefault="00BF077C" w:rsidP="00BF077C">
      <w:pPr>
        <w:spacing w:line="360" w:lineRule="auto"/>
        <w:ind w:firstLine="540"/>
        <w:jc w:val="both"/>
        <w:rPr>
          <w:iCs/>
          <w:sz w:val="22"/>
          <w:szCs w:val="22"/>
        </w:rPr>
      </w:pPr>
      <w:r w:rsidRPr="00BF077C">
        <w:rPr>
          <w:iCs/>
          <w:sz w:val="22"/>
          <w:szCs w:val="22"/>
        </w:rPr>
        <w:t xml:space="preserve">İşsizliğe </w:t>
      </w:r>
      <w:r>
        <w:rPr>
          <w:iCs/>
          <w:sz w:val="22"/>
          <w:szCs w:val="22"/>
        </w:rPr>
        <w:t>neden olan ekonomik büyüme</w:t>
      </w:r>
      <w:r w:rsidRPr="00BF077C">
        <w:rPr>
          <w:iCs/>
          <w:sz w:val="22"/>
          <w:szCs w:val="22"/>
        </w:rPr>
        <w:t>, gelişmişli</w:t>
      </w:r>
      <w:r>
        <w:rPr>
          <w:iCs/>
          <w:sz w:val="22"/>
          <w:szCs w:val="22"/>
        </w:rPr>
        <w:t>k düzeyi, teknolojik gelişmeler</w:t>
      </w:r>
      <w:r w:rsidRPr="00BF077C">
        <w:rPr>
          <w:iCs/>
          <w:sz w:val="22"/>
          <w:szCs w:val="22"/>
        </w:rPr>
        <w:t>, çevresel ve do</w:t>
      </w:r>
      <w:r>
        <w:rPr>
          <w:iCs/>
          <w:sz w:val="22"/>
          <w:szCs w:val="22"/>
        </w:rPr>
        <w:t>ğal faktörler, jeopolitik konum</w:t>
      </w:r>
      <w:r w:rsidRPr="00BF077C">
        <w:rPr>
          <w:iCs/>
          <w:sz w:val="22"/>
          <w:szCs w:val="22"/>
        </w:rPr>
        <w:t xml:space="preserve">, </w:t>
      </w:r>
      <w:r>
        <w:rPr>
          <w:iCs/>
          <w:sz w:val="22"/>
          <w:szCs w:val="22"/>
        </w:rPr>
        <w:t xml:space="preserve">demografik yapı </w:t>
      </w:r>
      <w:r w:rsidRPr="00BF077C">
        <w:rPr>
          <w:iCs/>
          <w:sz w:val="22"/>
          <w:szCs w:val="22"/>
        </w:rPr>
        <w:t xml:space="preserve">gibi </w:t>
      </w:r>
      <w:r>
        <w:rPr>
          <w:iCs/>
          <w:sz w:val="22"/>
          <w:szCs w:val="22"/>
        </w:rPr>
        <w:t>pek çok faktör bulunabilmektedir</w:t>
      </w:r>
      <w:sdt>
        <w:sdtPr>
          <w:rPr>
            <w:iCs/>
            <w:sz w:val="22"/>
            <w:szCs w:val="22"/>
          </w:rPr>
          <w:id w:val="1656493306"/>
          <w:citation/>
        </w:sdtPr>
        <w:sdtEndPr/>
        <w:sdtContent>
          <w:r w:rsidRPr="00BF077C">
            <w:rPr>
              <w:iCs/>
              <w:sz w:val="22"/>
              <w:szCs w:val="22"/>
            </w:rPr>
            <w:fldChar w:fldCharType="begin"/>
          </w:r>
          <w:r w:rsidRPr="00BF077C">
            <w:rPr>
              <w:iCs/>
              <w:sz w:val="22"/>
              <w:szCs w:val="22"/>
            </w:rPr>
            <w:instrText xml:space="preserve">CITATION Pay13 \p 42 \l 1055 </w:instrText>
          </w:r>
          <w:r w:rsidRPr="00BF077C">
            <w:rPr>
              <w:iCs/>
              <w:sz w:val="22"/>
              <w:szCs w:val="22"/>
            </w:rPr>
            <w:fldChar w:fldCharType="separate"/>
          </w:r>
          <w:r w:rsidR="00982E2D">
            <w:rPr>
              <w:iCs/>
              <w:noProof/>
              <w:sz w:val="22"/>
              <w:szCs w:val="22"/>
            </w:rPr>
            <w:t xml:space="preserve"> </w:t>
          </w:r>
          <w:r w:rsidR="00982E2D" w:rsidRPr="00982E2D">
            <w:rPr>
              <w:noProof/>
              <w:sz w:val="22"/>
              <w:szCs w:val="22"/>
            </w:rPr>
            <w:t>(Paya, 2013, s. 42)</w:t>
          </w:r>
          <w:r w:rsidRPr="00BF077C">
            <w:rPr>
              <w:iCs/>
              <w:sz w:val="22"/>
              <w:szCs w:val="22"/>
            </w:rPr>
            <w:fldChar w:fldCharType="end"/>
          </w:r>
        </w:sdtContent>
      </w:sdt>
      <w:r w:rsidRPr="00BF077C">
        <w:rPr>
          <w:iCs/>
          <w:sz w:val="22"/>
          <w:szCs w:val="22"/>
        </w:rPr>
        <w:t>.</w:t>
      </w:r>
      <w:r>
        <w:rPr>
          <w:iCs/>
          <w:sz w:val="22"/>
          <w:szCs w:val="22"/>
        </w:rPr>
        <w:t xml:space="preserve"> </w:t>
      </w:r>
    </w:p>
    <w:p w:rsidR="00BF077C" w:rsidRDefault="00BF077C" w:rsidP="00BF077C">
      <w:pPr>
        <w:spacing w:line="360" w:lineRule="auto"/>
        <w:ind w:firstLine="540"/>
        <w:jc w:val="both"/>
        <w:rPr>
          <w:iCs/>
          <w:sz w:val="22"/>
          <w:szCs w:val="22"/>
        </w:rPr>
      </w:pPr>
      <w:r w:rsidRPr="00BF077C">
        <w:rPr>
          <w:iCs/>
          <w:sz w:val="22"/>
          <w:szCs w:val="22"/>
        </w:rPr>
        <w:t xml:space="preserve">Bazı kaynaklarda da (Aydın, 2012:119) işsizliğin nedenleri; işgücü arzı kaynaklı nedenler ve işgücü kaynaklı nedenler olmak üzere iki başlık </w:t>
      </w:r>
      <w:r>
        <w:rPr>
          <w:iCs/>
          <w:sz w:val="22"/>
          <w:szCs w:val="22"/>
        </w:rPr>
        <w:t>altında derlenmektedir</w:t>
      </w:r>
      <w:r w:rsidRPr="00BF077C">
        <w:rPr>
          <w:iCs/>
          <w:sz w:val="22"/>
          <w:szCs w:val="22"/>
        </w:rPr>
        <w:t xml:space="preserve">. İşgücü arzı kaynaklı nedenlerin başında </w:t>
      </w:r>
      <w:r>
        <w:rPr>
          <w:iCs/>
          <w:sz w:val="22"/>
          <w:szCs w:val="22"/>
        </w:rPr>
        <w:t>demografik yapı yer almaktadır.</w:t>
      </w:r>
      <w:r w:rsidRPr="00BF077C">
        <w:rPr>
          <w:iCs/>
          <w:sz w:val="22"/>
          <w:szCs w:val="22"/>
        </w:rPr>
        <w:t xml:space="preserve"> </w:t>
      </w:r>
      <w:r>
        <w:rPr>
          <w:iCs/>
          <w:sz w:val="22"/>
          <w:szCs w:val="22"/>
        </w:rPr>
        <w:t>B</w:t>
      </w:r>
      <w:r w:rsidRPr="00BF077C">
        <w:rPr>
          <w:iCs/>
          <w:sz w:val="22"/>
          <w:szCs w:val="22"/>
        </w:rPr>
        <w:t xml:space="preserve">ir ülkenin </w:t>
      </w:r>
      <w:r>
        <w:rPr>
          <w:iCs/>
          <w:sz w:val="22"/>
          <w:szCs w:val="22"/>
        </w:rPr>
        <w:t xml:space="preserve">tüm </w:t>
      </w:r>
      <w:r w:rsidRPr="00BF077C">
        <w:rPr>
          <w:iCs/>
          <w:sz w:val="22"/>
          <w:szCs w:val="22"/>
        </w:rPr>
        <w:t>nüfusunu</w:t>
      </w:r>
      <w:r>
        <w:rPr>
          <w:iCs/>
          <w:sz w:val="22"/>
          <w:szCs w:val="22"/>
        </w:rPr>
        <w:t>n istihdama dahil edilmesi</w:t>
      </w:r>
      <w:r w:rsidRPr="00BF077C">
        <w:rPr>
          <w:iCs/>
          <w:sz w:val="22"/>
          <w:szCs w:val="22"/>
        </w:rPr>
        <w:t xml:space="preserve"> mümkün </w:t>
      </w:r>
      <w:r>
        <w:rPr>
          <w:iCs/>
          <w:sz w:val="22"/>
          <w:szCs w:val="22"/>
        </w:rPr>
        <w:t>olmadığı göz önüne alındığında</w:t>
      </w:r>
      <w:r w:rsidRPr="00BF077C">
        <w:rPr>
          <w:iCs/>
          <w:sz w:val="22"/>
          <w:szCs w:val="22"/>
        </w:rPr>
        <w:t xml:space="preserve"> üretm</w:t>
      </w:r>
      <w:r w:rsidR="00D8307F">
        <w:rPr>
          <w:iCs/>
          <w:sz w:val="22"/>
          <w:szCs w:val="22"/>
        </w:rPr>
        <w:t>e gücüne sahip nüfusa bağımlı olma söz konusudur</w:t>
      </w:r>
      <w:r w:rsidRPr="00BF077C">
        <w:rPr>
          <w:iCs/>
          <w:sz w:val="22"/>
          <w:szCs w:val="22"/>
        </w:rPr>
        <w:t xml:space="preserve">. Bir ülkede hızlı şekilde nüfus artıyorsa, doğal olarak iş gücü arzında da belirgin bir artış olması doğaldır. Fakat bu arz </w:t>
      </w:r>
      <w:r w:rsidR="00D8307F">
        <w:rPr>
          <w:iCs/>
          <w:sz w:val="22"/>
          <w:szCs w:val="22"/>
        </w:rPr>
        <w:t>ülke tarafından</w:t>
      </w:r>
      <w:r w:rsidRPr="00BF077C">
        <w:rPr>
          <w:iCs/>
          <w:sz w:val="22"/>
          <w:szCs w:val="22"/>
        </w:rPr>
        <w:t xml:space="preserve"> karşılanmadığı takdirde işsizliğin baş göstermesi olağandır. Bir diğer iş gücü arzı kaynaklı sebep ise endüstrileşmedir. Endüstrileşme ile birlikte tarım başta olmak üzere belli başlı işlerde </w:t>
      </w:r>
      <w:r w:rsidRPr="00BF077C">
        <w:rPr>
          <w:iCs/>
          <w:sz w:val="22"/>
          <w:szCs w:val="22"/>
        </w:rPr>
        <w:lastRenderedPageBreak/>
        <w:t xml:space="preserve">makineleşmenin artması ve bu sektörlerdeki iş gücünün </w:t>
      </w:r>
      <w:r w:rsidR="00D8307F">
        <w:rPr>
          <w:iCs/>
          <w:sz w:val="22"/>
          <w:szCs w:val="22"/>
        </w:rPr>
        <w:t>kırdan kente</w:t>
      </w:r>
      <w:r w:rsidRPr="00BF077C">
        <w:rPr>
          <w:iCs/>
          <w:sz w:val="22"/>
          <w:szCs w:val="22"/>
        </w:rPr>
        <w:t xml:space="preserve"> göç etmesi sonucu </w:t>
      </w:r>
      <w:r w:rsidR="00D8307F">
        <w:rPr>
          <w:iCs/>
          <w:sz w:val="22"/>
          <w:szCs w:val="22"/>
        </w:rPr>
        <w:t>kentlerde</w:t>
      </w:r>
      <w:r w:rsidRPr="00BF077C">
        <w:rPr>
          <w:iCs/>
          <w:sz w:val="22"/>
          <w:szCs w:val="22"/>
        </w:rPr>
        <w:t xml:space="preserve"> iş gücü arzında bir artışın olması kaçınılmaz olacaktır. İşgücü k</w:t>
      </w:r>
      <w:r w:rsidR="00D8307F">
        <w:rPr>
          <w:iCs/>
          <w:sz w:val="22"/>
          <w:szCs w:val="22"/>
        </w:rPr>
        <w:t>aynaklı nedenlerin en başında ise</w:t>
      </w:r>
      <w:r w:rsidRPr="00BF077C">
        <w:rPr>
          <w:iCs/>
          <w:sz w:val="22"/>
          <w:szCs w:val="22"/>
        </w:rPr>
        <w:t xml:space="preserve"> ekonomik yapı gelmektedir. Ekonomid</w:t>
      </w:r>
      <w:r w:rsidR="00D8307F">
        <w:rPr>
          <w:iCs/>
          <w:sz w:val="22"/>
          <w:szCs w:val="22"/>
        </w:rPr>
        <w:t>e yaşanan dalgalanmalar üretim talebinde de azalmaya yol açacak ve</w:t>
      </w:r>
      <w:r w:rsidRPr="00BF077C">
        <w:rPr>
          <w:iCs/>
          <w:sz w:val="22"/>
          <w:szCs w:val="22"/>
        </w:rPr>
        <w:t xml:space="preserve"> iş gücü talebinde azalmaya sebep olacaktır. Diğer bir talep yanlı etki ise teknolojik gelişmelerdir. Teknolojik gelişmeler sonucu bazı iş kollarında ortaya çıkan işsizlik, diğer iş kollarında istihdam edilmedikçe yeni bir işsizlik durumu ortaya çıkacaktır.</w:t>
      </w:r>
    </w:p>
    <w:p w:rsidR="00BF077C" w:rsidRPr="00BF077C" w:rsidRDefault="00BF077C" w:rsidP="00BF077C">
      <w:pPr>
        <w:spacing w:line="360" w:lineRule="auto"/>
        <w:ind w:firstLine="540"/>
        <w:jc w:val="both"/>
        <w:rPr>
          <w:iCs/>
          <w:sz w:val="22"/>
          <w:szCs w:val="22"/>
        </w:rPr>
      </w:pPr>
    </w:p>
    <w:p w:rsidR="00BF077C" w:rsidRDefault="00BF077C" w:rsidP="00BF077C">
      <w:pPr>
        <w:spacing w:line="360" w:lineRule="auto"/>
        <w:ind w:firstLine="540"/>
        <w:jc w:val="both"/>
        <w:rPr>
          <w:iCs/>
          <w:sz w:val="22"/>
          <w:szCs w:val="22"/>
        </w:rPr>
      </w:pPr>
      <w:r w:rsidRPr="00BF077C">
        <w:rPr>
          <w:iCs/>
          <w:sz w:val="22"/>
          <w:szCs w:val="22"/>
        </w:rPr>
        <w:t>Teknolojik gelişmelerin işsizliğin üzerinde olumlu ya da olumsuz etkilerinin olduğu konusunda çeşitli görüşler mevcuttur. Teknolojiyle, emeğin yerine makinelerin geçmesi ile işsizliğin artacağı ve teknolojinin maliyeti hızla azalırken, emeğin maliyetinin artması işsiz</w:t>
      </w:r>
      <w:r w:rsidR="00D8307F">
        <w:rPr>
          <w:iCs/>
          <w:sz w:val="22"/>
          <w:szCs w:val="22"/>
        </w:rPr>
        <w:t xml:space="preserve">liğin devamına neden olacağı görüşü ile birlikte </w:t>
      </w:r>
      <w:r w:rsidRPr="00BF077C">
        <w:rPr>
          <w:iCs/>
          <w:sz w:val="22"/>
          <w:szCs w:val="22"/>
        </w:rPr>
        <w:t>teknolojinin kullanılması değil kullanılamaması</w:t>
      </w:r>
      <w:r w:rsidR="00D8307F">
        <w:rPr>
          <w:iCs/>
          <w:sz w:val="22"/>
          <w:szCs w:val="22"/>
        </w:rPr>
        <w:t xml:space="preserve"> durumunun işsizliğe yol açacağını, t</w:t>
      </w:r>
      <w:r w:rsidRPr="00BF077C">
        <w:rPr>
          <w:iCs/>
          <w:sz w:val="22"/>
          <w:szCs w:val="22"/>
        </w:rPr>
        <w:t xml:space="preserve">eknolojinin gelişmesiyle yeni ürünler, yeni pazarlar ve yeni endüstrilerin </w:t>
      </w:r>
      <w:r w:rsidR="00D8307F">
        <w:rPr>
          <w:iCs/>
          <w:sz w:val="22"/>
          <w:szCs w:val="22"/>
        </w:rPr>
        <w:t>oluşacağını ve dolayısıyla</w:t>
      </w:r>
      <w:r w:rsidRPr="00BF077C">
        <w:rPr>
          <w:iCs/>
          <w:sz w:val="22"/>
          <w:szCs w:val="22"/>
        </w:rPr>
        <w:t xml:space="preserve"> yeni istihdam olanaklarını arttıraca</w:t>
      </w:r>
      <w:r w:rsidR="00D8307F">
        <w:rPr>
          <w:iCs/>
          <w:sz w:val="22"/>
          <w:szCs w:val="22"/>
        </w:rPr>
        <w:t>ğını</w:t>
      </w:r>
      <w:r w:rsidRPr="00BF077C">
        <w:rPr>
          <w:iCs/>
          <w:sz w:val="22"/>
          <w:szCs w:val="22"/>
        </w:rPr>
        <w:t xml:space="preserve"> ve aynı zamanda çalışma hayatı</w:t>
      </w:r>
      <w:r w:rsidR="00D8307F">
        <w:rPr>
          <w:iCs/>
          <w:sz w:val="22"/>
          <w:szCs w:val="22"/>
        </w:rPr>
        <w:t>nın kalitesini de yükselteceğini savunan görüşlerde mevcuttur</w:t>
      </w:r>
      <w:sdt>
        <w:sdtPr>
          <w:rPr>
            <w:iCs/>
            <w:sz w:val="22"/>
            <w:szCs w:val="22"/>
          </w:rPr>
          <w:id w:val="1360790554"/>
          <w:citation/>
        </w:sdtPr>
        <w:sdtEndPr/>
        <w:sdtContent>
          <w:r w:rsidRPr="00BF077C">
            <w:rPr>
              <w:iCs/>
              <w:sz w:val="22"/>
              <w:szCs w:val="22"/>
            </w:rPr>
            <w:fldChar w:fldCharType="begin"/>
          </w:r>
          <w:r w:rsidRPr="00BF077C">
            <w:rPr>
              <w:iCs/>
              <w:sz w:val="22"/>
              <w:szCs w:val="22"/>
            </w:rPr>
            <w:instrText xml:space="preserve">CITATION Orh14 \p 17 \l 1055 </w:instrText>
          </w:r>
          <w:r w:rsidRPr="00BF077C">
            <w:rPr>
              <w:iCs/>
              <w:sz w:val="22"/>
              <w:szCs w:val="22"/>
            </w:rPr>
            <w:fldChar w:fldCharType="separate"/>
          </w:r>
          <w:r w:rsidR="00982E2D">
            <w:rPr>
              <w:iCs/>
              <w:noProof/>
              <w:sz w:val="22"/>
              <w:szCs w:val="22"/>
            </w:rPr>
            <w:t xml:space="preserve"> </w:t>
          </w:r>
          <w:r w:rsidR="00982E2D" w:rsidRPr="00982E2D">
            <w:rPr>
              <w:noProof/>
              <w:sz w:val="22"/>
              <w:szCs w:val="22"/>
            </w:rPr>
            <w:t>(Orhan &amp; Savuk, 2014, s. 17)</w:t>
          </w:r>
          <w:r w:rsidRPr="00BF077C">
            <w:rPr>
              <w:iCs/>
              <w:sz w:val="22"/>
              <w:szCs w:val="22"/>
            </w:rPr>
            <w:fldChar w:fldCharType="end"/>
          </w:r>
        </w:sdtContent>
      </w:sdt>
      <w:r w:rsidRPr="00BF077C">
        <w:rPr>
          <w:iCs/>
          <w:sz w:val="22"/>
          <w:szCs w:val="22"/>
        </w:rPr>
        <w:t>.</w:t>
      </w:r>
    </w:p>
    <w:p w:rsidR="00D8307F" w:rsidRPr="00BF077C" w:rsidRDefault="00D8307F" w:rsidP="00BF077C">
      <w:pPr>
        <w:spacing w:line="360" w:lineRule="auto"/>
        <w:ind w:firstLine="540"/>
        <w:jc w:val="both"/>
        <w:rPr>
          <w:iCs/>
          <w:sz w:val="22"/>
          <w:szCs w:val="22"/>
        </w:rPr>
      </w:pPr>
    </w:p>
    <w:p w:rsidR="00BF077C" w:rsidRDefault="00BF077C" w:rsidP="00BF077C">
      <w:pPr>
        <w:spacing w:line="360" w:lineRule="auto"/>
        <w:ind w:firstLine="540"/>
        <w:jc w:val="both"/>
        <w:rPr>
          <w:iCs/>
          <w:sz w:val="22"/>
          <w:szCs w:val="22"/>
        </w:rPr>
      </w:pPr>
      <w:r w:rsidRPr="00BF077C">
        <w:rPr>
          <w:iCs/>
          <w:sz w:val="22"/>
          <w:szCs w:val="22"/>
        </w:rPr>
        <w:t xml:space="preserve">Özdemir, Ersöz ve Sarıoğlu (2006: 124)’na göre de işsizliğe yol açan diğer faktörler </w:t>
      </w:r>
      <w:r w:rsidR="00D8307F">
        <w:rPr>
          <w:iCs/>
          <w:sz w:val="22"/>
          <w:szCs w:val="22"/>
        </w:rPr>
        <w:t>ise r</w:t>
      </w:r>
      <w:r w:rsidRPr="00BF077C">
        <w:rPr>
          <w:iCs/>
          <w:sz w:val="22"/>
          <w:szCs w:val="22"/>
        </w:rPr>
        <w:t xml:space="preserve">eel sektör yatırımlarını ve istihdam arttırmaya yönelik teşviklerin azlığı, </w:t>
      </w:r>
      <w:r w:rsidR="00D8307F">
        <w:rPr>
          <w:iCs/>
          <w:sz w:val="22"/>
          <w:szCs w:val="22"/>
        </w:rPr>
        <w:t>u</w:t>
      </w:r>
      <w:r w:rsidRPr="00BF077C">
        <w:rPr>
          <w:iCs/>
          <w:sz w:val="22"/>
          <w:szCs w:val="22"/>
        </w:rPr>
        <w:t xml:space="preserve">lusal istihdam politikasının sağlanmamış olması, </w:t>
      </w:r>
      <w:r w:rsidR="00D8307F">
        <w:rPr>
          <w:iCs/>
          <w:sz w:val="22"/>
          <w:szCs w:val="22"/>
        </w:rPr>
        <w:t>t</w:t>
      </w:r>
      <w:r w:rsidRPr="00BF077C">
        <w:rPr>
          <w:iCs/>
          <w:sz w:val="22"/>
          <w:szCs w:val="22"/>
        </w:rPr>
        <w:t xml:space="preserve">eknolojik gelişme ve insani sermaye yetersizliği, </w:t>
      </w:r>
      <w:r w:rsidR="00D8307F">
        <w:rPr>
          <w:iCs/>
          <w:sz w:val="22"/>
          <w:szCs w:val="22"/>
        </w:rPr>
        <w:t>b</w:t>
      </w:r>
      <w:r w:rsidRPr="00BF077C">
        <w:rPr>
          <w:iCs/>
          <w:sz w:val="22"/>
          <w:szCs w:val="22"/>
        </w:rPr>
        <w:t xml:space="preserve">ürokrasi ve yatırımların yurtdışına yönelişi, </w:t>
      </w:r>
      <w:r w:rsidR="00D8307F">
        <w:rPr>
          <w:iCs/>
          <w:sz w:val="22"/>
          <w:szCs w:val="22"/>
        </w:rPr>
        <w:t>k</w:t>
      </w:r>
      <w:r w:rsidRPr="00BF077C">
        <w:rPr>
          <w:iCs/>
          <w:sz w:val="22"/>
          <w:szCs w:val="22"/>
        </w:rPr>
        <w:t xml:space="preserve">ayıt dışı ekonomi ve kayıt dışı istihdam, </w:t>
      </w:r>
      <w:r w:rsidR="00D8307F">
        <w:rPr>
          <w:iCs/>
          <w:sz w:val="22"/>
          <w:szCs w:val="22"/>
        </w:rPr>
        <w:t>y</w:t>
      </w:r>
      <w:r w:rsidRPr="00BF077C">
        <w:rPr>
          <w:iCs/>
          <w:sz w:val="22"/>
          <w:szCs w:val="22"/>
        </w:rPr>
        <w:t xml:space="preserve">abancı kaçak işçilikle mücadelede başarısızlık, </w:t>
      </w:r>
      <w:r w:rsidR="00D8307F">
        <w:rPr>
          <w:iCs/>
          <w:sz w:val="22"/>
          <w:szCs w:val="22"/>
        </w:rPr>
        <w:t>e</w:t>
      </w:r>
      <w:r w:rsidRPr="00BF077C">
        <w:rPr>
          <w:iCs/>
          <w:sz w:val="22"/>
          <w:szCs w:val="22"/>
        </w:rPr>
        <w:t xml:space="preserve">ğitim-istihdam ilişkisinin kurulamaması ve yetersiz mesleki eğitim, </w:t>
      </w:r>
      <w:r w:rsidR="00D8307F">
        <w:rPr>
          <w:iCs/>
          <w:sz w:val="22"/>
          <w:szCs w:val="22"/>
        </w:rPr>
        <w:t>a</w:t>
      </w:r>
      <w:r w:rsidRPr="00BF077C">
        <w:rPr>
          <w:iCs/>
          <w:sz w:val="22"/>
          <w:szCs w:val="22"/>
        </w:rPr>
        <w:t>ktif işgücü piyasası</w:t>
      </w:r>
      <w:r w:rsidR="00D8307F">
        <w:rPr>
          <w:iCs/>
          <w:sz w:val="22"/>
          <w:szCs w:val="22"/>
        </w:rPr>
        <w:t xml:space="preserve"> politikalarının uygulanamaması olarak sıralanmıştır. </w:t>
      </w:r>
    </w:p>
    <w:p w:rsidR="00D8307F" w:rsidRPr="00BF077C" w:rsidRDefault="00D8307F" w:rsidP="00BF077C">
      <w:pPr>
        <w:spacing w:line="360" w:lineRule="auto"/>
        <w:ind w:firstLine="540"/>
        <w:jc w:val="both"/>
        <w:rPr>
          <w:iCs/>
          <w:sz w:val="22"/>
          <w:szCs w:val="22"/>
        </w:rPr>
      </w:pPr>
    </w:p>
    <w:p w:rsidR="00BF077C" w:rsidRDefault="00BF077C" w:rsidP="00BF077C">
      <w:pPr>
        <w:spacing w:line="360" w:lineRule="auto"/>
        <w:ind w:firstLine="540"/>
        <w:jc w:val="both"/>
        <w:rPr>
          <w:iCs/>
          <w:sz w:val="22"/>
          <w:szCs w:val="22"/>
        </w:rPr>
      </w:pPr>
      <w:r w:rsidRPr="00BF077C">
        <w:rPr>
          <w:iCs/>
          <w:sz w:val="22"/>
          <w:szCs w:val="22"/>
        </w:rPr>
        <w:t xml:space="preserve">Görüldüğü gibi işsizlik çok çeşitli sebeplere bağlı olarak ortaya çıkabilmektedir. </w:t>
      </w:r>
      <w:r w:rsidR="00D8307F">
        <w:rPr>
          <w:iCs/>
          <w:sz w:val="22"/>
          <w:szCs w:val="22"/>
        </w:rPr>
        <w:t>Bu nedenle</w:t>
      </w:r>
      <w:r w:rsidR="00805037">
        <w:rPr>
          <w:iCs/>
          <w:sz w:val="22"/>
          <w:szCs w:val="22"/>
        </w:rPr>
        <w:t xml:space="preserve"> </w:t>
      </w:r>
      <w:r w:rsidR="00D8307F">
        <w:rPr>
          <w:iCs/>
          <w:sz w:val="22"/>
          <w:szCs w:val="22"/>
        </w:rPr>
        <w:t>her ülke kendi sosyo-</w:t>
      </w:r>
      <w:r w:rsidRPr="00BF077C">
        <w:rPr>
          <w:iCs/>
          <w:sz w:val="22"/>
          <w:szCs w:val="22"/>
        </w:rPr>
        <w:t>ekonomik değişkenlerine,</w:t>
      </w:r>
      <w:r w:rsidR="00D8307F">
        <w:rPr>
          <w:iCs/>
          <w:sz w:val="22"/>
          <w:szCs w:val="22"/>
        </w:rPr>
        <w:t xml:space="preserve"> işgücü piyasası karakteristiklerine,</w:t>
      </w:r>
      <w:r w:rsidR="00805037">
        <w:rPr>
          <w:iCs/>
          <w:sz w:val="22"/>
          <w:szCs w:val="22"/>
        </w:rPr>
        <w:t xml:space="preserve"> demografik yapısına,</w:t>
      </w:r>
      <w:r w:rsidRPr="00BF077C">
        <w:rPr>
          <w:iCs/>
          <w:sz w:val="22"/>
          <w:szCs w:val="22"/>
        </w:rPr>
        <w:t xml:space="preserve"> politik durumlarına ve küres</w:t>
      </w:r>
      <w:r w:rsidR="00805037">
        <w:rPr>
          <w:iCs/>
          <w:sz w:val="22"/>
          <w:szCs w:val="22"/>
        </w:rPr>
        <w:t>el siyasetteki yerini gözeterek</w:t>
      </w:r>
      <w:r w:rsidRPr="00BF077C">
        <w:rPr>
          <w:iCs/>
          <w:sz w:val="22"/>
          <w:szCs w:val="22"/>
        </w:rPr>
        <w:t xml:space="preserve"> işsizlik probleminin nedenlerini bulmalı ve kendine has olan işsizlik sorununa doğru istihdam politikaları ile çözüm aramalıdır.</w:t>
      </w:r>
    </w:p>
    <w:p w:rsidR="007D2997" w:rsidRDefault="007D2997" w:rsidP="00BF077C">
      <w:pPr>
        <w:spacing w:line="360" w:lineRule="auto"/>
        <w:ind w:firstLine="540"/>
        <w:jc w:val="both"/>
        <w:rPr>
          <w:iCs/>
          <w:sz w:val="22"/>
          <w:szCs w:val="22"/>
        </w:rPr>
      </w:pPr>
    </w:p>
    <w:p w:rsidR="007D2997" w:rsidRPr="007D2997" w:rsidRDefault="007D2997" w:rsidP="007D2997">
      <w:pPr>
        <w:pStyle w:val="ListeParagraf"/>
        <w:numPr>
          <w:ilvl w:val="1"/>
          <w:numId w:val="1"/>
        </w:numPr>
        <w:spacing w:line="360" w:lineRule="auto"/>
        <w:rPr>
          <w:b/>
          <w:sz w:val="22"/>
          <w:szCs w:val="22"/>
        </w:rPr>
      </w:pPr>
      <w:bookmarkStart w:id="5" w:name="_Toc66699355"/>
      <w:r w:rsidRPr="007D2997">
        <w:rPr>
          <w:b/>
          <w:sz w:val="22"/>
          <w:szCs w:val="22"/>
        </w:rPr>
        <w:t>İşsizliğin Sonuçları</w:t>
      </w:r>
      <w:bookmarkEnd w:id="5"/>
    </w:p>
    <w:p w:rsidR="00F57A14" w:rsidRDefault="00F57A14" w:rsidP="00F57A14">
      <w:pPr>
        <w:spacing w:line="360" w:lineRule="auto"/>
        <w:ind w:firstLine="540"/>
        <w:jc w:val="both"/>
        <w:rPr>
          <w:iCs/>
          <w:sz w:val="22"/>
          <w:szCs w:val="22"/>
        </w:rPr>
      </w:pPr>
    </w:p>
    <w:p w:rsidR="00F57A14" w:rsidRDefault="00F57A14" w:rsidP="00F57A14">
      <w:pPr>
        <w:spacing w:line="360" w:lineRule="auto"/>
        <w:ind w:firstLine="540"/>
        <w:jc w:val="both"/>
        <w:rPr>
          <w:iCs/>
          <w:sz w:val="22"/>
          <w:szCs w:val="22"/>
        </w:rPr>
      </w:pPr>
      <w:r w:rsidRPr="00F57A14">
        <w:rPr>
          <w:iCs/>
          <w:sz w:val="22"/>
          <w:szCs w:val="22"/>
        </w:rPr>
        <w:t>Çalışma, yaşamın sürekliliğini sağlayan sosyal bir faaliyet</w:t>
      </w:r>
      <w:r>
        <w:rPr>
          <w:iCs/>
          <w:sz w:val="22"/>
          <w:szCs w:val="22"/>
        </w:rPr>
        <w:t xml:space="preserve"> olup </w:t>
      </w:r>
      <w:r w:rsidRPr="00F57A14">
        <w:rPr>
          <w:iCs/>
          <w:sz w:val="22"/>
          <w:szCs w:val="22"/>
        </w:rPr>
        <w:t>bireyin en temel ve toplumsal haklarından biri</w:t>
      </w:r>
      <w:r>
        <w:rPr>
          <w:iCs/>
          <w:sz w:val="22"/>
          <w:szCs w:val="22"/>
        </w:rPr>
        <w:t>dir</w:t>
      </w:r>
      <w:r w:rsidRPr="00F57A14">
        <w:rPr>
          <w:iCs/>
          <w:sz w:val="22"/>
          <w:szCs w:val="22"/>
        </w:rPr>
        <w:t xml:space="preserve"> (Yüksel, 2003:22)</w:t>
      </w:r>
      <w:r>
        <w:rPr>
          <w:iCs/>
          <w:sz w:val="22"/>
          <w:szCs w:val="22"/>
        </w:rPr>
        <w:t xml:space="preserve">. </w:t>
      </w:r>
      <w:r w:rsidRPr="00F57A14">
        <w:rPr>
          <w:iCs/>
          <w:sz w:val="22"/>
          <w:szCs w:val="22"/>
        </w:rPr>
        <w:t xml:space="preserve"> Çalışma, bireylere yaşamı devam ettirebilmek için ekonomik bir kaynak özelliği taşımakta,  statü, kimlik ve aidiyet duygusu sağlamakta,  sosyal ilişkilerin gelişmesi ve güçlenmesi anlamında katkı yapmakta ayrıca, bireyin kimliğini ve kişiliğini yapılandırmakta, sağlanan gelir ile çalışma dışı yaşamın maddi temelini oluşturmakta, kişisel hedeflere ve psikolojik tatmine ulaşmada bir araç ve sosyal bir görev anlamı taşımaktadır (Keser, 2009:5).</w:t>
      </w:r>
    </w:p>
    <w:p w:rsidR="00AB20F7" w:rsidRDefault="00AB20F7" w:rsidP="00F57A14">
      <w:pPr>
        <w:spacing w:line="360" w:lineRule="auto"/>
        <w:ind w:firstLine="540"/>
        <w:jc w:val="both"/>
        <w:rPr>
          <w:iCs/>
          <w:sz w:val="22"/>
          <w:szCs w:val="22"/>
        </w:rPr>
      </w:pPr>
    </w:p>
    <w:p w:rsidR="00AB20F7" w:rsidRPr="00AB20F7" w:rsidRDefault="00AB20F7" w:rsidP="00AB20F7">
      <w:pPr>
        <w:spacing w:line="360" w:lineRule="auto"/>
        <w:ind w:firstLine="540"/>
        <w:jc w:val="both"/>
        <w:rPr>
          <w:iCs/>
          <w:sz w:val="22"/>
          <w:szCs w:val="22"/>
        </w:rPr>
      </w:pPr>
      <w:r>
        <w:rPr>
          <w:iCs/>
          <w:sz w:val="22"/>
          <w:szCs w:val="22"/>
        </w:rPr>
        <w:lastRenderedPageBreak/>
        <w:t>T</w:t>
      </w:r>
      <w:r w:rsidR="00F57A14" w:rsidRPr="00F57A14">
        <w:rPr>
          <w:iCs/>
          <w:sz w:val="22"/>
          <w:szCs w:val="22"/>
        </w:rPr>
        <w:t xml:space="preserve">oplum içeresinde bireylerin çalışma istek ve yeteneğinde olup işsiz kalması diğer bir ifadeyle çalışma olanağı bulamaması insan yaşamı üzerinde derin ekonomik, sosyal ve moral etkiler bırakan bir olaydır (Talas, 1983:94). </w:t>
      </w:r>
      <w:r w:rsidR="00770E5F">
        <w:rPr>
          <w:iCs/>
          <w:sz w:val="22"/>
          <w:szCs w:val="22"/>
        </w:rPr>
        <w:t xml:space="preserve"> </w:t>
      </w:r>
      <w:r w:rsidRPr="00AB20F7">
        <w:rPr>
          <w:iCs/>
          <w:sz w:val="22"/>
          <w:szCs w:val="22"/>
        </w:rPr>
        <w:t>İşsizliğinin ekonomik etkileri</w:t>
      </w:r>
      <w:r>
        <w:rPr>
          <w:iCs/>
          <w:sz w:val="22"/>
          <w:szCs w:val="22"/>
        </w:rPr>
        <w:t>nin</w:t>
      </w:r>
      <w:r w:rsidRPr="00AB20F7">
        <w:rPr>
          <w:iCs/>
          <w:sz w:val="22"/>
          <w:szCs w:val="22"/>
        </w:rPr>
        <w:t xml:space="preserve"> üç yönlü bir gelir etkisi</w:t>
      </w:r>
      <w:r>
        <w:rPr>
          <w:iCs/>
          <w:sz w:val="22"/>
          <w:szCs w:val="22"/>
        </w:rPr>
        <w:t xml:space="preserve">yle </w:t>
      </w:r>
      <w:r w:rsidRPr="00AB20F7">
        <w:rPr>
          <w:iCs/>
          <w:sz w:val="22"/>
          <w:szCs w:val="22"/>
        </w:rPr>
        <w:t xml:space="preserve">ortaya çıkmaktadır. Bunlardan ilki bireyin hem kendisi hem de ailesi bireyin çalışmamasında dolayı uğradığı gelir kaybı, ikincisi çalışmayan bireyin üretime katılamamasından dolayı üretimde meydana gelen </w:t>
      </w:r>
      <w:r>
        <w:rPr>
          <w:iCs/>
          <w:sz w:val="22"/>
          <w:szCs w:val="22"/>
        </w:rPr>
        <w:t>kayıp ve oluşan eksik istihdam,</w:t>
      </w:r>
      <w:r w:rsidRPr="00AB20F7">
        <w:rPr>
          <w:iCs/>
          <w:sz w:val="22"/>
          <w:szCs w:val="22"/>
        </w:rPr>
        <w:t xml:space="preserve"> sonuncusu ise özellikle işsizlik sigortasının yaygın olarak kullanıldığı ülkelerde işsiz sayısının artması ülke ekonomilerine ve kamu maliyesine getirdiği ek yüktür (Taşçı, ve Darıcı, 2009:140).</w:t>
      </w:r>
    </w:p>
    <w:p w:rsidR="00AB20F7" w:rsidRDefault="00AB20F7" w:rsidP="00770E5F">
      <w:pPr>
        <w:spacing w:line="360" w:lineRule="auto"/>
        <w:ind w:firstLine="540"/>
        <w:jc w:val="both"/>
        <w:rPr>
          <w:iCs/>
          <w:sz w:val="22"/>
          <w:szCs w:val="22"/>
        </w:rPr>
      </w:pPr>
    </w:p>
    <w:p w:rsidR="00770E5F" w:rsidRDefault="00770E5F" w:rsidP="00770E5F">
      <w:pPr>
        <w:spacing w:line="360" w:lineRule="auto"/>
        <w:ind w:firstLine="540"/>
        <w:jc w:val="both"/>
        <w:rPr>
          <w:iCs/>
          <w:sz w:val="22"/>
          <w:szCs w:val="22"/>
        </w:rPr>
      </w:pPr>
      <w:r>
        <w:rPr>
          <w:iCs/>
          <w:sz w:val="22"/>
          <w:szCs w:val="22"/>
        </w:rPr>
        <w:t>İhtiyaçları</w:t>
      </w:r>
      <w:r w:rsidR="00AB20F7">
        <w:rPr>
          <w:iCs/>
          <w:sz w:val="22"/>
          <w:szCs w:val="22"/>
        </w:rPr>
        <w:t>n karşılanması</w:t>
      </w:r>
      <w:r w:rsidRPr="00770E5F">
        <w:rPr>
          <w:iCs/>
          <w:sz w:val="22"/>
          <w:szCs w:val="22"/>
        </w:rPr>
        <w:t xml:space="preserve"> ve gelecek g</w:t>
      </w:r>
      <w:r>
        <w:rPr>
          <w:iCs/>
          <w:sz w:val="22"/>
          <w:szCs w:val="22"/>
        </w:rPr>
        <w:t>üvencesi sağlayan gelirin kaybı ile birey</w:t>
      </w:r>
      <w:r w:rsidRPr="00770E5F">
        <w:rPr>
          <w:iCs/>
          <w:sz w:val="22"/>
          <w:szCs w:val="22"/>
        </w:rPr>
        <w:t xml:space="preserve"> </w:t>
      </w:r>
      <w:r>
        <w:rPr>
          <w:iCs/>
          <w:sz w:val="22"/>
          <w:szCs w:val="22"/>
        </w:rPr>
        <w:t>h</w:t>
      </w:r>
      <w:r w:rsidRPr="00770E5F">
        <w:rPr>
          <w:iCs/>
          <w:sz w:val="22"/>
          <w:szCs w:val="22"/>
        </w:rPr>
        <w:t>ayatın önemli bir alanını dolduran iş hayatından uzak kalma</w:t>
      </w:r>
      <w:r>
        <w:rPr>
          <w:iCs/>
          <w:sz w:val="22"/>
          <w:szCs w:val="22"/>
        </w:rPr>
        <w:t>ya</w:t>
      </w:r>
      <w:r w:rsidRPr="00770E5F">
        <w:rPr>
          <w:iCs/>
          <w:sz w:val="22"/>
          <w:szCs w:val="22"/>
        </w:rPr>
        <w:t xml:space="preserve">, </w:t>
      </w:r>
      <w:r>
        <w:rPr>
          <w:iCs/>
          <w:sz w:val="22"/>
          <w:szCs w:val="22"/>
        </w:rPr>
        <w:t>s</w:t>
      </w:r>
      <w:r w:rsidRPr="00770E5F">
        <w:rPr>
          <w:iCs/>
          <w:sz w:val="22"/>
          <w:szCs w:val="22"/>
        </w:rPr>
        <w:t>osyal çevreyle bağların azalması</w:t>
      </w:r>
      <w:r>
        <w:rPr>
          <w:iCs/>
          <w:sz w:val="22"/>
          <w:szCs w:val="22"/>
        </w:rPr>
        <w:t>na</w:t>
      </w:r>
      <w:r w:rsidRPr="00770E5F">
        <w:rPr>
          <w:iCs/>
          <w:sz w:val="22"/>
          <w:szCs w:val="22"/>
        </w:rPr>
        <w:t xml:space="preserve">, </w:t>
      </w:r>
      <w:r>
        <w:rPr>
          <w:iCs/>
          <w:sz w:val="22"/>
          <w:szCs w:val="22"/>
        </w:rPr>
        <w:t>y</w:t>
      </w:r>
      <w:r w:rsidRPr="00770E5F">
        <w:rPr>
          <w:iCs/>
          <w:sz w:val="22"/>
          <w:szCs w:val="22"/>
        </w:rPr>
        <w:t>aşama sevinci ve bir şeyler yapma isteğinin düşmesi</w:t>
      </w:r>
      <w:r>
        <w:rPr>
          <w:iCs/>
          <w:sz w:val="22"/>
          <w:szCs w:val="22"/>
        </w:rPr>
        <w:t>ne</w:t>
      </w:r>
      <w:r w:rsidRPr="00770E5F">
        <w:rPr>
          <w:iCs/>
          <w:sz w:val="22"/>
          <w:szCs w:val="22"/>
        </w:rPr>
        <w:t xml:space="preserve"> ve tatmin duygusunun azalması</w:t>
      </w:r>
      <w:r>
        <w:rPr>
          <w:iCs/>
          <w:sz w:val="22"/>
          <w:szCs w:val="22"/>
        </w:rPr>
        <w:t>na</w:t>
      </w:r>
      <w:r w:rsidRPr="00770E5F">
        <w:rPr>
          <w:iCs/>
          <w:sz w:val="22"/>
          <w:szCs w:val="22"/>
        </w:rPr>
        <w:t xml:space="preserve">, </w:t>
      </w:r>
      <w:r>
        <w:rPr>
          <w:iCs/>
          <w:sz w:val="22"/>
          <w:szCs w:val="22"/>
        </w:rPr>
        <w:t>topluma faydalı olma ve bir şeyler yapabilme inancını yitirebilmektedir. Bu nedenle işsizlik sosyal yaşam, birey ve ekonomi bakımından farklı sonuçlara neden olabilmektedir.</w:t>
      </w:r>
    </w:p>
    <w:p w:rsidR="00BB6A29" w:rsidRPr="00770E5F" w:rsidRDefault="00BB6A29" w:rsidP="00770E5F">
      <w:pPr>
        <w:spacing w:line="360" w:lineRule="auto"/>
        <w:ind w:firstLine="540"/>
        <w:jc w:val="both"/>
        <w:rPr>
          <w:iCs/>
          <w:sz w:val="22"/>
          <w:szCs w:val="22"/>
        </w:rPr>
      </w:pPr>
    </w:p>
    <w:p w:rsidR="00BB6A29" w:rsidRPr="00BB6A29" w:rsidRDefault="00BB6A29" w:rsidP="0016377B">
      <w:pPr>
        <w:spacing w:line="360" w:lineRule="auto"/>
        <w:jc w:val="both"/>
        <w:rPr>
          <w:iCs/>
          <w:sz w:val="22"/>
          <w:szCs w:val="22"/>
        </w:rPr>
      </w:pPr>
      <w:bookmarkStart w:id="6" w:name="_Toc66699356"/>
      <w:r>
        <w:rPr>
          <w:iCs/>
          <w:sz w:val="22"/>
          <w:szCs w:val="22"/>
        </w:rPr>
        <w:t>Genç işsizlik ve uzun süreli işsizlik</w:t>
      </w:r>
      <w:r w:rsidRPr="00BB6A29">
        <w:rPr>
          <w:iCs/>
          <w:sz w:val="22"/>
          <w:szCs w:val="22"/>
        </w:rPr>
        <w:t xml:space="preserve"> bireylerde </w:t>
      </w:r>
      <w:r>
        <w:rPr>
          <w:iCs/>
          <w:sz w:val="22"/>
          <w:szCs w:val="22"/>
        </w:rPr>
        <w:t xml:space="preserve">cesaret ve </w:t>
      </w:r>
      <w:r w:rsidRPr="00BB6A29">
        <w:rPr>
          <w:iCs/>
          <w:sz w:val="22"/>
          <w:szCs w:val="22"/>
        </w:rPr>
        <w:t xml:space="preserve">özgüven kaybına ve bazı </w:t>
      </w:r>
      <w:r>
        <w:rPr>
          <w:iCs/>
          <w:sz w:val="22"/>
          <w:szCs w:val="22"/>
        </w:rPr>
        <w:t>beceri ve yeteneklerde yeterliliklerin eskimesine veya kaybedilmesine</w:t>
      </w:r>
      <w:r w:rsidRPr="00BB6A29">
        <w:rPr>
          <w:iCs/>
          <w:sz w:val="22"/>
          <w:szCs w:val="22"/>
        </w:rPr>
        <w:t xml:space="preserve"> neden olmaktadır. </w:t>
      </w:r>
      <w:r>
        <w:rPr>
          <w:iCs/>
          <w:sz w:val="22"/>
          <w:szCs w:val="22"/>
        </w:rPr>
        <w:t>İşsizliğin uzu</w:t>
      </w:r>
      <w:r w:rsidR="00072964">
        <w:rPr>
          <w:iCs/>
          <w:sz w:val="22"/>
          <w:szCs w:val="22"/>
        </w:rPr>
        <w:t>n</w:t>
      </w:r>
      <w:r>
        <w:rPr>
          <w:iCs/>
          <w:sz w:val="22"/>
          <w:szCs w:val="22"/>
        </w:rPr>
        <w:t xml:space="preserve"> sürelerle devam etmesi bireyleri </w:t>
      </w:r>
      <w:r w:rsidRPr="00BB6A29">
        <w:rPr>
          <w:iCs/>
          <w:sz w:val="22"/>
          <w:szCs w:val="22"/>
        </w:rPr>
        <w:t xml:space="preserve">kayıt dışı ekonomiye </w:t>
      </w:r>
      <w:r>
        <w:rPr>
          <w:iCs/>
          <w:sz w:val="22"/>
          <w:szCs w:val="22"/>
        </w:rPr>
        <w:t>veya</w:t>
      </w:r>
      <w:r w:rsidRPr="00BB6A29">
        <w:rPr>
          <w:iCs/>
          <w:sz w:val="22"/>
          <w:szCs w:val="22"/>
        </w:rPr>
        <w:t xml:space="preserve"> düşük gelirle sosyal haklardan yoksun bir şekilde çalışm</w:t>
      </w:r>
      <w:r w:rsidR="00072964">
        <w:rPr>
          <w:iCs/>
          <w:sz w:val="22"/>
          <w:szCs w:val="22"/>
        </w:rPr>
        <w:t>aya yöneltmektedi</w:t>
      </w:r>
      <w:r w:rsidRPr="00BB6A29">
        <w:rPr>
          <w:iCs/>
          <w:sz w:val="22"/>
          <w:szCs w:val="22"/>
        </w:rPr>
        <w:t xml:space="preserve">r (Pirler, 2007:148).  </w:t>
      </w:r>
      <w:r w:rsidR="00230C62">
        <w:rPr>
          <w:iCs/>
          <w:sz w:val="22"/>
          <w:szCs w:val="22"/>
        </w:rPr>
        <w:t xml:space="preserve">Aynı zamanda </w:t>
      </w:r>
      <w:r w:rsidR="00230C62" w:rsidRPr="00230C62">
        <w:rPr>
          <w:iCs/>
          <w:sz w:val="22"/>
          <w:szCs w:val="22"/>
        </w:rPr>
        <w:t>bireyde bir takım fiziki ve psikol</w:t>
      </w:r>
      <w:r w:rsidR="00230C62">
        <w:rPr>
          <w:iCs/>
          <w:sz w:val="22"/>
          <w:szCs w:val="22"/>
        </w:rPr>
        <w:t>ojik değişiklikler oluşturmakta</w:t>
      </w:r>
      <w:r w:rsidR="00230C62" w:rsidRPr="00230C62">
        <w:rPr>
          <w:iCs/>
          <w:sz w:val="22"/>
          <w:szCs w:val="22"/>
        </w:rPr>
        <w:t xml:space="preserve"> zamanla gerginlik, depresyon, kendini yetersiz görme, uykusuzluk, öz</w:t>
      </w:r>
      <w:r w:rsidR="00B24C9F">
        <w:rPr>
          <w:iCs/>
          <w:sz w:val="22"/>
          <w:szCs w:val="22"/>
        </w:rPr>
        <w:t xml:space="preserve">güven ve özsaygının </w:t>
      </w:r>
      <w:r w:rsidR="00230C62" w:rsidRPr="00230C62">
        <w:rPr>
          <w:iCs/>
          <w:sz w:val="22"/>
          <w:szCs w:val="22"/>
        </w:rPr>
        <w:t>yitirilmesi</w:t>
      </w:r>
      <w:r w:rsidR="00230C62">
        <w:rPr>
          <w:iCs/>
          <w:sz w:val="22"/>
          <w:szCs w:val="22"/>
        </w:rPr>
        <w:t>, korku ve endişeye neden olmaktadır.</w:t>
      </w:r>
      <w:r w:rsidR="00763BC3" w:rsidRPr="00763BC3">
        <w:rPr>
          <w:iCs/>
          <w:sz w:val="22"/>
          <w:szCs w:val="22"/>
        </w:rPr>
        <w:t xml:space="preserve"> Olumsuz davranışlar ve tut</w:t>
      </w:r>
      <w:r w:rsidR="0016377B">
        <w:rPr>
          <w:iCs/>
          <w:sz w:val="22"/>
          <w:szCs w:val="22"/>
        </w:rPr>
        <w:t xml:space="preserve">umlar aile huzurunu bozmakta, </w:t>
      </w:r>
      <w:r w:rsidR="0016377B" w:rsidRPr="0016377B">
        <w:rPr>
          <w:iCs/>
          <w:sz w:val="22"/>
          <w:szCs w:val="22"/>
        </w:rPr>
        <w:t>ailelerin dağılmasına neden olduğu gibi ailelerin kurulmasına</w:t>
      </w:r>
      <w:r w:rsidR="0016377B">
        <w:rPr>
          <w:iCs/>
          <w:sz w:val="22"/>
          <w:szCs w:val="22"/>
        </w:rPr>
        <w:t xml:space="preserve"> da büyük bir engel olmaktadır (Adak, 2010:111).</w:t>
      </w:r>
    </w:p>
    <w:p w:rsidR="00BB6A29" w:rsidRPr="00BB6A29" w:rsidRDefault="00BB6A29" w:rsidP="00BB6A29">
      <w:pPr>
        <w:spacing w:line="360" w:lineRule="auto"/>
        <w:ind w:firstLine="540"/>
        <w:jc w:val="both"/>
        <w:rPr>
          <w:iCs/>
          <w:sz w:val="22"/>
          <w:szCs w:val="22"/>
        </w:rPr>
      </w:pPr>
    </w:p>
    <w:p w:rsidR="00BB6A29" w:rsidRDefault="00BB6A29" w:rsidP="00BB6A29">
      <w:pPr>
        <w:spacing w:line="360" w:lineRule="auto"/>
        <w:ind w:firstLine="540"/>
        <w:jc w:val="both"/>
        <w:rPr>
          <w:iCs/>
          <w:sz w:val="22"/>
          <w:szCs w:val="22"/>
        </w:rPr>
      </w:pPr>
      <w:r w:rsidRPr="00BB6A29">
        <w:rPr>
          <w:iCs/>
          <w:sz w:val="22"/>
          <w:szCs w:val="22"/>
        </w:rPr>
        <w:t>İşsizliğin yaygın ve sürekli olması, topluma ve sisteme karşı nefret duyguları ile birlikte tepkili davranışları artış görülmesine neden olmakta; bu durum ise sosyal bölünmüşlük ve toplumsal çatışmaya zemin hazırlamaktadır. Doğası itibariyle değerlendirilememe sürecini ifade eden işsizlik olgusu, bireylerde bu sürecin dışına itilme nedeniyle tepkisel davranışların yerleşmesine olanak sağlamakta ve bu durumun sonucunda bireylerin kendilerine veya çevrelerindekilere yönelik zarar verici davranışların artmasına neden olmaktadır (Tuncay vd, 2004:166).</w:t>
      </w:r>
    </w:p>
    <w:p w:rsidR="00AB20F7" w:rsidRPr="00BB6A29" w:rsidRDefault="00AB20F7" w:rsidP="00BB6A29">
      <w:pPr>
        <w:spacing w:line="360" w:lineRule="auto"/>
        <w:ind w:firstLine="540"/>
        <w:jc w:val="both"/>
        <w:rPr>
          <w:iCs/>
          <w:sz w:val="22"/>
          <w:szCs w:val="22"/>
        </w:rPr>
      </w:pPr>
    </w:p>
    <w:p w:rsidR="00AB20F7" w:rsidRPr="00AB20F7" w:rsidRDefault="00AB20F7" w:rsidP="00AB20F7">
      <w:pPr>
        <w:pStyle w:val="ListeParagraf"/>
        <w:numPr>
          <w:ilvl w:val="1"/>
          <w:numId w:val="1"/>
        </w:numPr>
        <w:spacing w:line="360" w:lineRule="auto"/>
        <w:rPr>
          <w:b/>
          <w:sz w:val="22"/>
          <w:szCs w:val="22"/>
        </w:rPr>
      </w:pPr>
      <w:bookmarkStart w:id="7" w:name="_Toc66699361"/>
      <w:r w:rsidRPr="00AB20F7">
        <w:rPr>
          <w:b/>
          <w:sz w:val="22"/>
          <w:szCs w:val="22"/>
        </w:rPr>
        <w:t>İşsizlik İle Mücadele Politikaları</w:t>
      </w:r>
      <w:bookmarkEnd w:id="7"/>
    </w:p>
    <w:p w:rsidR="00AB20F7" w:rsidRDefault="00AB20F7" w:rsidP="00AB20F7">
      <w:pPr>
        <w:spacing w:line="360" w:lineRule="auto"/>
        <w:ind w:firstLine="540"/>
        <w:jc w:val="both"/>
        <w:rPr>
          <w:iCs/>
          <w:sz w:val="22"/>
          <w:szCs w:val="22"/>
        </w:rPr>
      </w:pPr>
    </w:p>
    <w:p w:rsidR="00AB20F7" w:rsidRDefault="00AB20F7" w:rsidP="00AB20F7">
      <w:pPr>
        <w:spacing w:line="360" w:lineRule="auto"/>
        <w:ind w:firstLine="540"/>
        <w:jc w:val="both"/>
      </w:pPr>
      <w:r>
        <w:rPr>
          <w:iCs/>
          <w:sz w:val="22"/>
          <w:szCs w:val="22"/>
        </w:rPr>
        <w:t>Yarattığı olumsuz ekonomik, sosyal ve psikolojik sorunlardan dolayı işsizlik</w:t>
      </w:r>
      <w:r w:rsidRPr="00AB20F7">
        <w:rPr>
          <w:iCs/>
          <w:sz w:val="22"/>
          <w:szCs w:val="22"/>
        </w:rPr>
        <w:t xml:space="preserve"> mücadele edilm</w:t>
      </w:r>
      <w:r>
        <w:rPr>
          <w:iCs/>
          <w:sz w:val="22"/>
          <w:szCs w:val="22"/>
        </w:rPr>
        <w:t>esi elzem bir olgudur. İşsizlik sorunu ile mücadele etmek için Avrupa Birliği ülkeleri</w:t>
      </w:r>
      <w:r w:rsidRPr="00AB20F7">
        <w:rPr>
          <w:iCs/>
          <w:sz w:val="22"/>
          <w:szCs w:val="22"/>
        </w:rPr>
        <w:t xml:space="preserve"> istihdama yönelik olarak geliştirilen politikalar</w:t>
      </w:r>
      <w:r>
        <w:rPr>
          <w:iCs/>
          <w:sz w:val="22"/>
          <w:szCs w:val="22"/>
        </w:rPr>
        <w:t>ı</w:t>
      </w:r>
      <w:r w:rsidRPr="00AB20F7">
        <w:rPr>
          <w:iCs/>
          <w:sz w:val="22"/>
          <w:szCs w:val="22"/>
        </w:rPr>
        <w:t xml:space="preserve"> </w:t>
      </w:r>
      <w:r>
        <w:rPr>
          <w:iCs/>
          <w:sz w:val="22"/>
          <w:szCs w:val="22"/>
        </w:rPr>
        <w:t xml:space="preserve">aktif ve pasif istihdam politikaları olmak üzere </w:t>
      </w:r>
      <w:r w:rsidRPr="00AB20F7">
        <w:rPr>
          <w:iCs/>
          <w:sz w:val="22"/>
          <w:szCs w:val="22"/>
        </w:rPr>
        <w:t xml:space="preserve">iki </w:t>
      </w:r>
      <w:r>
        <w:rPr>
          <w:iCs/>
          <w:sz w:val="22"/>
          <w:szCs w:val="22"/>
        </w:rPr>
        <w:t>başlık altında derlemektedir.</w:t>
      </w:r>
      <w:r w:rsidRPr="00AB20F7">
        <w:rPr>
          <w:iCs/>
          <w:sz w:val="22"/>
          <w:szCs w:val="22"/>
        </w:rPr>
        <w:t xml:space="preserve"> </w:t>
      </w:r>
    </w:p>
    <w:p w:rsidR="00AB20F7" w:rsidRPr="00AB20F7" w:rsidRDefault="00AB20F7" w:rsidP="00AB20F7">
      <w:pPr>
        <w:pStyle w:val="ListeParagraf"/>
        <w:numPr>
          <w:ilvl w:val="2"/>
          <w:numId w:val="1"/>
        </w:numPr>
        <w:spacing w:line="360" w:lineRule="auto"/>
        <w:rPr>
          <w:b/>
          <w:sz w:val="22"/>
          <w:szCs w:val="22"/>
        </w:rPr>
      </w:pPr>
      <w:r w:rsidRPr="00AB20F7">
        <w:rPr>
          <w:b/>
          <w:sz w:val="22"/>
          <w:szCs w:val="22"/>
        </w:rPr>
        <w:lastRenderedPageBreak/>
        <w:t xml:space="preserve">Aktif İstihdam Politikaları </w:t>
      </w:r>
    </w:p>
    <w:p w:rsidR="00AB20F7" w:rsidRDefault="00AB20F7" w:rsidP="00AB20F7">
      <w:pPr>
        <w:spacing w:line="360" w:lineRule="auto"/>
        <w:ind w:firstLine="540"/>
        <w:jc w:val="both"/>
        <w:rPr>
          <w:iCs/>
          <w:sz w:val="22"/>
          <w:szCs w:val="22"/>
        </w:rPr>
      </w:pPr>
    </w:p>
    <w:p w:rsidR="00AB20F7" w:rsidRDefault="00AB20F7" w:rsidP="00AB20F7">
      <w:pPr>
        <w:spacing w:line="360" w:lineRule="auto"/>
        <w:ind w:firstLine="540"/>
        <w:jc w:val="both"/>
        <w:rPr>
          <w:iCs/>
          <w:sz w:val="22"/>
          <w:szCs w:val="22"/>
        </w:rPr>
      </w:pPr>
      <w:r>
        <w:rPr>
          <w:iCs/>
          <w:sz w:val="22"/>
          <w:szCs w:val="22"/>
        </w:rPr>
        <w:t>İ</w:t>
      </w:r>
      <w:r w:rsidRPr="00AB20F7">
        <w:rPr>
          <w:iCs/>
          <w:sz w:val="22"/>
          <w:szCs w:val="22"/>
        </w:rPr>
        <w:t xml:space="preserve">şsiz </w:t>
      </w:r>
      <w:r>
        <w:rPr>
          <w:iCs/>
          <w:sz w:val="22"/>
          <w:szCs w:val="22"/>
        </w:rPr>
        <w:t xml:space="preserve">bireylerin </w:t>
      </w:r>
      <w:r w:rsidRPr="00AB20F7">
        <w:rPr>
          <w:iCs/>
          <w:sz w:val="22"/>
          <w:szCs w:val="22"/>
        </w:rPr>
        <w:t>ve işini kaybetme riski olan</w:t>
      </w:r>
      <w:r>
        <w:rPr>
          <w:iCs/>
          <w:sz w:val="22"/>
          <w:szCs w:val="22"/>
        </w:rPr>
        <w:t xml:space="preserve"> çalışanların</w:t>
      </w:r>
      <w:r w:rsidRPr="00AB20F7">
        <w:rPr>
          <w:iCs/>
          <w:sz w:val="22"/>
          <w:szCs w:val="22"/>
        </w:rPr>
        <w:t xml:space="preserve"> istihdam </w:t>
      </w:r>
      <w:r w:rsidR="00E90E4A" w:rsidRPr="00AB20F7">
        <w:rPr>
          <w:iCs/>
          <w:sz w:val="22"/>
          <w:szCs w:val="22"/>
        </w:rPr>
        <w:t>imkânlarının</w:t>
      </w:r>
      <w:r w:rsidRPr="00AB20F7">
        <w:rPr>
          <w:iCs/>
          <w:sz w:val="22"/>
          <w:szCs w:val="22"/>
        </w:rPr>
        <w:t xml:space="preserve"> genişletilmesi </w:t>
      </w:r>
      <w:r>
        <w:rPr>
          <w:iCs/>
          <w:sz w:val="22"/>
          <w:szCs w:val="22"/>
        </w:rPr>
        <w:t>yoluyla</w:t>
      </w:r>
      <w:r w:rsidRPr="00AB20F7">
        <w:rPr>
          <w:iCs/>
          <w:sz w:val="22"/>
          <w:szCs w:val="22"/>
        </w:rPr>
        <w:t xml:space="preserve"> işsizliği önlemeye yönel</w:t>
      </w:r>
      <w:r w:rsidR="00E90E4A">
        <w:rPr>
          <w:iCs/>
          <w:sz w:val="22"/>
          <w:szCs w:val="22"/>
        </w:rPr>
        <w:t>ik politikaları ifade etmektedir</w:t>
      </w:r>
      <w:r w:rsidRPr="00AB20F7">
        <w:rPr>
          <w:iCs/>
          <w:sz w:val="22"/>
          <w:szCs w:val="22"/>
        </w:rPr>
        <w:t xml:space="preserve"> </w:t>
      </w:r>
      <w:sdt>
        <w:sdtPr>
          <w:rPr>
            <w:iCs/>
            <w:sz w:val="22"/>
            <w:szCs w:val="22"/>
          </w:rPr>
          <w:id w:val="-461655443"/>
          <w:citation/>
        </w:sdtPr>
        <w:sdtEndPr/>
        <w:sdtContent>
          <w:r w:rsidRPr="00AB20F7">
            <w:rPr>
              <w:iCs/>
              <w:sz w:val="22"/>
              <w:szCs w:val="22"/>
            </w:rPr>
            <w:fldChar w:fldCharType="begin"/>
          </w:r>
          <w:r w:rsidRPr="00AB20F7">
            <w:rPr>
              <w:iCs/>
              <w:sz w:val="22"/>
              <w:szCs w:val="22"/>
            </w:rPr>
            <w:instrText xml:space="preserve">CITATION Küç12 \p 43 \l 1055 </w:instrText>
          </w:r>
          <w:r w:rsidRPr="00AB20F7">
            <w:rPr>
              <w:iCs/>
              <w:sz w:val="22"/>
              <w:szCs w:val="22"/>
            </w:rPr>
            <w:fldChar w:fldCharType="separate"/>
          </w:r>
          <w:r w:rsidR="00982E2D" w:rsidRPr="00982E2D">
            <w:rPr>
              <w:noProof/>
              <w:sz w:val="22"/>
              <w:szCs w:val="22"/>
            </w:rPr>
            <w:t>(Küçükbayrak, 20012, s. 43)</w:t>
          </w:r>
          <w:r w:rsidRPr="00AB20F7">
            <w:rPr>
              <w:iCs/>
              <w:sz w:val="22"/>
              <w:szCs w:val="22"/>
            </w:rPr>
            <w:fldChar w:fldCharType="end"/>
          </w:r>
        </w:sdtContent>
      </w:sdt>
      <w:r w:rsidRPr="00AB20F7">
        <w:rPr>
          <w:iCs/>
          <w:sz w:val="22"/>
          <w:szCs w:val="22"/>
        </w:rPr>
        <w:t>.</w:t>
      </w:r>
      <w:r w:rsidR="00E90E4A">
        <w:rPr>
          <w:iCs/>
          <w:sz w:val="22"/>
          <w:szCs w:val="22"/>
        </w:rPr>
        <w:t xml:space="preserve"> </w:t>
      </w:r>
      <w:r w:rsidR="00BE068B" w:rsidRPr="00BE068B">
        <w:rPr>
          <w:iCs/>
          <w:sz w:val="22"/>
          <w:szCs w:val="22"/>
        </w:rPr>
        <w:t>İşsizlikle mücadele</w:t>
      </w:r>
      <w:r w:rsidR="006731D2">
        <w:rPr>
          <w:iCs/>
          <w:sz w:val="22"/>
          <w:szCs w:val="22"/>
        </w:rPr>
        <w:t>de</w:t>
      </w:r>
      <w:r w:rsidR="00BE068B" w:rsidRPr="00BE068B">
        <w:rPr>
          <w:iCs/>
          <w:sz w:val="22"/>
          <w:szCs w:val="22"/>
        </w:rPr>
        <w:t xml:space="preserve"> </w:t>
      </w:r>
      <w:r w:rsidR="006731D2">
        <w:rPr>
          <w:iCs/>
          <w:sz w:val="22"/>
          <w:szCs w:val="22"/>
        </w:rPr>
        <w:t>kullanılan aktif istihdam politikaları</w:t>
      </w:r>
      <w:r w:rsidR="00BE068B" w:rsidRPr="00BE068B">
        <w:rPr>
          <w:iCs/>
          <w:sz w:val="22"/>
          <w:szCs w:val="22"/>
        </w:rPr>
        <w:t xml:space="preserve"> OECD </w:t>
      </w:r>
      <w:r w:rsidR="006731D2">
        <w:rPr>
          <w:iCs/>
          <w:sz w:val="22"/>
          <w:szCs w:val="22"/>
        </w:rPr>
        <w:t xml:space="preserve">tarafından </w:t>
      </w:r>
      <w:r w:rsidR="00BE068B" w:rsidRPr="00BE068B">
        <w:rPr>
          <w:iCs/>
          <w:sz w:val="22"/>
          <w:szCs w:val="22"/>
        </w:rPr>
        <w:t>(Biçerli, 2004: 45): Kam</w:t>
      </w:r>
      <w:r w:rsidR="006731D2">
        <w:rPr>
          <w:iCs/>
          <w:sz w:val="22"/>
          <w:szCs w:val="22"/>
        </w:rPr>
        <w:t xml:space="preserve">u istihdam </w:t>
      </w:r>
      <w:r w:rsidR="00BE068B" w:rsidRPr="00BE068B">
        <w:rPr>
          <w:iCs/>
          <w:sz w:val="22"/>
          <w:szCs w:val="22"/>
        </w:rPr>
        <w:t>ve danışmanlık hizmetleri</w:t>
      </w:r>
      <w:r w:rsidR="006731D2">
        <w:rPr>
          <w:iCs/>
          <w:sz w:val="22"/>
          <w:szCs w:val="22"/>
        </w:rPr>
        <w:t xml:space="preserve">, </w:t>
      </w:r>
      <w:r w:rsidR="00BE068B" w:rsidRPr="00BE068B">
        <w:rPr>
          <w:iCs/>
          <w:sz w:val="22"/>
          <w:szCs w:val="22"/>
        </w:rPr>
        <w:t>Mesleki eğitim</w:t>
      </w:r>
      <w:r w:rsidR="006731D2">
        <w:rPr>
          <w:iCs/>
          <w:sz w:val="22"/>
          <w:szCs w:val="22"/>
        </w:rPr>
        <w:t>,</w:t>
      </w:r>
      <w:r w:rsidR="00BE068B" w:rsidRPr="00BE068B">
        <w:rPr>
          <w:iCs/>
          <w:sz w:val="22"/>
          <w:szCs w:val="22"/>
        </w:rPr>
        <w:t xml:space="preserve"> </w:t>
      </w:r>
      <w:r w:rsidR="006731D2">
        <w:rPr>
          <w:iCs/>
          <w:sz w:val="22"/>
          <w:szCs w:val="22"/>
        </w:rPr>
        <w:t>istihdam teşvik politikaları, gençlere yönelik istihdam politikaları, engellilere yönelik istihdam ve rehabilitasyon</w:t>
      </w:r>
      <w:r w:rsidR="00BE068B" w:rsidRPr="00BE068B">
        <w:rPr>
          <w:iCs/>
          <w:sz w:val="22"/>
          <w:szCs w:val="22"/>
        </w:rPr>
        <w:t xml:space="preserve"> politikalar</w:t>
      </w:r>
      <w:r w:rsidR="006731D2">
        <w:rPr>
          <w:iCs/>
          <w:sz w:val="22"/>
          <w:szCs w:val="22"/>
        </w:rPr>
        <w:t>ı olmak üzere beş başlık altında derlenmektedir.</w:t>
      </w:r>
    </w:p>
    <w:p w:rsidR="00BE068B" w:rsidRPr="00AB20F7" w:rsidRDefault="00BE068B" w:rsidP="00AB20F7">
      <w:pPr>
        <w:spacing w:line="360" w:lineRule="auto"/>
        <w:ind w:firstLine="540"/>
        <w:jc w:val="both"/>
        <w:rPr>
          <w:iCs/>
          <w:sz w:val="22"/>
          <w:szCs w:val="22"/>
        </w:rPr>
      </w:pPr>
    </w:p>
    <w:p w:rsidR="00AB20F7" w:rsidRPr="00072F07" w:rsidRDefault="00E90E4A" w:rsidP="00072F07">
      <w:pPr>
        <w:spacing w:line="360" w:lineRule="auto"/>
        <w:ind w:firstLine="540"/>
        <w:jc w:val="both"/>
        <w:rPr>
          <w:iCs/>
          <w:sz w:val="22"/>
          <w:szCs w:val="22"/>
        </w:rPr>
      </w:pPr>
      <w:r w:rsidRPr="00072F07">
        <w:rPr>
          <w:iCs/>
          <w:sz w:val="22"/>
          <w:szCs w:val="22"/>
        </w:rPr>
        <w:t xml:space="preserve">Bu politikalarının başında </w:t>
      </w:r>
      <w:r w:rsidR="006731D2">
        <w:rPr>
          <w:iCs/>
          <w:sz w:val="22"/>
          <w:szCs w:val="22"/>
        </w:rPr>
        <w:t xml:space="preserve">yer alan kamu istihdam ve danışmanlık hizmetleri ile </w:t>
      </w:r>
      <w:r w:rsidR="00401C25">
        <w:rPr>
          <w:iCs/>
          <w:sz w:val="22"/>
          <w:szCs w:val="22"/>
        </w:rPr>
        <w:t>işsiz bireylerin özellikle de dezavantajlı grupların geçici süreyle</w:t>
      </w:r>
      <w:r w:rsidR="00401C25" w:rsidRPr="00401C25">
        <w:rPr>
          <w:iCs/>
          <w:sz w:val="22"/>
          <w:szCs w:val="22"/>
        </w:rPr>
        <w:t xml:space="preserve"> kamuda hizmet üretmek amacıyla istihdam edilmesi</w:t>
      </w:r>
      <w:r w:rsidR="00401C25">
        <w:rPr>
          <w:iCs/>
          <w:sz w:val="22"/>
          <w:szCs w:val="22"/>
        </w:rPr>
        <w:t xml:space="preserve"> amacıyla yürütülen programları ifade etmektedir. Ü</w:t>
      </w:r>
      <w:r w:rsidR="00AB20F7" w:rsidRPr="00072F07">
        <w:rPr>
          <w:iCs/>
          <w:sz w:val="22"/>
          <w:szCs w:val="22"/>
        </w:rPr>
        <w:t>lkelerin ekonomik yapılarına uygun olarak belli sosyal grupları istihdam eden iş yerlerine, nakit desteği, sigorta yardımı, vergi indirimi gibi çeşitli teşvikler şeklinde uygulamalar</w:t>
      </w:r>
      <w:r w:rsidR="006731D2">
        <w:rPr>
          <w:iCs/>
          <w:sz w:val="22"/>
          <w:szCs w:val="22"/>
        </w:rPr>
        <w:t>a yer veren ücret ve istihdam teşvik</w:t>
      </w:r>
      <w:r w:rsidRPr="00072F07">
        <w:rPr>
          <w:iCs/>
          <w:sz w:val="22"/>
          <w:szCs w:val="22"/>
        </w:rPr>
        <w:t xml:space="preserve"> uygulamaları gelmektedir (Şahin, 2012:14)</w:t>
      </w:r>
      <w:r w:rsidR="00AB20F7" w:rsidRPr="00072F07">
        <w:rPr>
          <w:iCs/>
          <w:sz w:val="22"/>
          <w:szCs w:val="22"/>
        </w:rPr>
        <w:t xml:space="preserve">. </w:t>
      </w:r>
      <w:r w:rsidR="00072F07" w:rsidRPr="00072F07">
        <w:rPr>
          <w:iCs/>
          <w:sz w:val="22"/>
          <w:szCs w:val="22"/>
        </w:rPr>
        <w:t xml:space="preserve">Eğitim yardımı ve mesleki eğitim programları ile ülke ekonomilerinin durgun olduğu </w:t>
      </w:r>
      <w:r w:rsidR="00AB20F7" w:rsidRPr="00072F07">
        <w:rPr>
          <w:iCs/>
          <w:sz w:val="22"/>
          <w:szCs w:val="22"/>
        </w:rPr>
        <w:t xml:space="preserve">dönemlerde </w:t>
      </w:r>
      <w:r w:rsidR="00072F07" w:rsidRPr="00072F07">
        <w:rPr>
          <w:iCs/>
          <w:sz w:val="22"/>
          <w:szCs w:val="22"/>
        </w:rPr>
        <w:t>kamu istihdamı</w:t>
      </w:r>
      <w:r w:rsidR="00AB20F7" w:rsidRPr="00072F07">
        <w:rPr>
          <w:iCs/>
          <w:sz w:val="22"/>
          <w:szCs w:val="22"/>
        </w:rPr>
        <w:t xml:space="preserve"> </w:t>
      </w:r>
      <w:r w:rsidR="00072F07" w:rsidRPr="00072F07">
        <w:rPr>
          <w:iCs/>
          <w:sz w:val="22"/>
          <w:szCs w:val="22"/>
        </w:rPr>
        <w:t>oluşturulmakta ve böylece</w:t>
      </w:r>
      <w:r w:rsidR="00AB20F7" w:rsidRPr="00072F07">
        <w:rPr>
          <w:iCs/>
          <w:sz w:val="22"/>
          <w:szCs w:val="22"/>
        </w:rPr>
        <w:t xml:space="preserve"> başta devlet olmak üzere, belediyeler ve çeşitli özel kurum ve kuruluşlar işsizlere mesleklerinin gerektirdiği eğitimi sağlamak, yeni işler öğrenmelerini sağlamak ya da daha iyi iş sahibi olmaları için eğitim programları dü</w:t>
      </w:r>
      <w:r w:rsidR="00072F07" w:rsidRPr="00072F07">
        <w:rPr>
          <w:iCs/>
          <w:sz w:val="22"/>
          <w:szCs w:val="22"/>
        </w:rPr>
        <w:t xml:space="preserve">zenlemektedir (Şahin, 2014:14). </w:t>
      </w:r>
      <w:r w:rsidR="00AB20F7" w:rsidRPr="00072F07">
        <w:rPr>
          <w:iCs/>
          <w:sz w:val="22"/>
          <w:szCs w:val="22"/>
        </w:rPr>
        <w:t>Eğitim kredilerinin ve karşılıksız bursların arttırılması, eğitime yapılacak sübvansiyonların arttırılması, işsizlerin tespit edilerek eğitim programlarına tabi tutulmaları ve çalışan kişilerin eğitime tabi tutulmaları gibi tedbirler</w:t>
      </w:r>
      <w:r w:rsidR="00072F07" w:rsidRPr="00072F07">
        <w:rPr>
          <w:iCs/>
          <w:sz w:val="22"/>
          <w:szCs w:val="22"/>
        </w:rPr>
        <w:t>le</w:t>
      </w:r>
      <w:r w:rsidR="00AB20F7" w:rsidRPr="00072F07">
        <w:rPr>
          <w:iCs/>
          <w:sz w:val="22"/>
          <w:szCs w:val="22"/>
        </w:rPr>
        <w:t xml:space="preserve"> istihdamı </w:t>
      </w:r>
      <w:r w:rsidR="00072F07" w:rsidRPr="00072F07">
        <w:rPr>
          <w:iCs/>
          <w:sz w:val="22"/>
          <w:szCs w:val="22"/>
        </w:rPr>
        <w:t>artırmayı işsizliği azaltmayı amaçlamaktadır</w:t>
      </w:r>
      <w:r w:rsidR="00BE068B">
        <w:rPr>
          <w:iCs/>
          <w:sz w:val="22"/>
          <w:szCs w:val="22"/>
        </w:rPr>
        <w:t>.</w:t>
      </w:r>
      <w:r w:rsidR="00C525B6">
        <w:rPr>
          <w:iCs/>
          <w:sz w:val="22"/>
          <w:szCs w:val="22"/>
        </w:rPr>
        <w:t xml:space="preserve"> </w:t>
      </w:r>
      <w:r w:rsidR="00C525B6" w:rsidRPr="00C525B6">
        <w:rPr>
          <w:iCs/>
          <w:sz w:val="22"/>
          <w:szCs w:val="22"/>
        </w:rPr>
        <w:t> </w:t>
      </w:r>
      <w:r w:rsidR="00C525B6">
        <w:rPr>
          <w:iCs/>
          <w:sz w:val="22"/>
          <w:szCs w:val="22"/>
        </w:rPr>
        <w:t xml:space="preserve">Gençler okuldan işe geçişi kolaylaştıran programlar, meslek edindirme faaliyetleri, çıraklık eğitimleri gibi uygulamalar yürütülürken </w:t>
      </w:r>
      <w:r w:rsidR="00EA40C7">
        <w:rPr>
          <w:iCs/>
          <w:sz w:val="22"/>
          <w:szCs w:val="22"/>
        </w:rPr>
        <w:t xml:space="preserve">engelli bireyler için istihdam desteği sağlama, istihdam edilebilirliği artırıcı mesleki eğitimler ve rehabilitasyon hizmetleri yürütülmektedir. </w:t>
      </w:r>
    </w:p>
    <w:p w:rsidR="00AB20F7" w:rsidRPr="005547BF" w:rsidRDefault="00AB20F7" w:rsidP="00AB20F7">
      <w:pPr>
        <w:rPr>
          <w:color w:val="3E3E3E"/>
        </w:rPr>
      </w:pPr>
    </w:p>
    <w:p w:rsidR="00AB20F7" w:rsidRDefault="00AB20F7" w:rsidP="00EA40C7">
      <w:pPr>
        <w:pStyle w:val="ListeParagraf"/>
        <w:numPr>
          <w:ilvl w:val="2"/>
          <w:numId w:val="1"/>
        </w:numPr>
        <w:spacing w:line="360" w:lineRule="auto"/>
        <w:rPr>
          <w:b/>
          <w:sz w:val="22"/>
          <w:szCs w:val="22"/>
        </w:rPr>
      </w:pPr>
      <w:bookmarkStart w:id="8" w:name="_Toc66699367"/>
      <w:r w:rsidRPr="00EA40C7">
        <w:rPr>
          <w:b/>
          <w:sz w:val="22"/>
          <w:szCs w:val="22"/>
        </w:rPr>
        <w:t>Pasif İstihdam Politikaları</w:t>
      </w:r>
      <w:bookmarkEnd w:id="8"/>
    </w:p>
    <w:p w:rsidR="00EA40C7" w:rsidRPr="00EA40C7" w:rsidRDefault="00EA40C7" w:rsidP="00EA40C7">
      <w:pPr>
        <w:pStyle w:val="ListeParagraf"/>
        <w:spacing w:line="360" w:lineRule="auto"/>
        <w:ind w:left="1288"/>
        <w:rPr>
          <w:b/>
          <w:sz w:val="22"/>
          <w:szCs w:val="22"/>
        </w:rPr>
      </w:pPr>
    </w:p>
    <w:p w:rsidR="00AB20F7" w:rsidRDefault="00AB20F7" w:rsidP="00EA40C7">
      <w:pPr>
        <w:spacing w:line="360" w:lineRule="auto"/>
        <w:ind w:firstLine="540"/>
        <w:jc w:val="both"/>
        <w:rPr>
          <w:iCs/>
          <w:sz w:val="22"/>
          <w:szCs w:val="22"/>
        </w:rPr>
      </w:pPr>
      <w:r w:rsidRPr="00EA40C7">
        <w:rPr>
          <w:iCs/>
          <w:sz w:val="22"/>
          <w:szCs w:val="22"/>
        </w:rPr>
        <w:t>Pasif istihdam politikaları, istihdamı arttırmaktan ziyade işsizliğin neden olduğu sosyal ve ekonomik etkileri azaltmaya yönelik polit</w:t>
      </w:r>
      <w:r w:rsidR="00EA40C7" w:rsidRPr="00EA40C7">
        <w:rPr>
          <w:iCs/>
          <w:sz w:val="22"/>
          <w:szCs w:val="22"/>
        </w:rPr>
        <w:t>ikalar olarak tanımlanmaktadır (Korkmaz ve Mahiroğulları, 2007:86)</w:t>
      </w:r>
      <w:r w:rsidRPr="00EA40C7">
        <w:rPr>
          <w:iCs/>
          <w:sz w:val="22"/>
          <w:szCs w:val="22"/>
        </w:rPr>
        <w:t xml:space="preserve">. Bu politikalar işsizliğin doğurabileceği bireysel ve toplumsal zararları mümkün olduğunca minimize etmeye </w:t>
      </w:r>
      <w:r w:rsidR="00EA40C7" w:rsidRPr="00EA40C7">
        <w:rPr>
          <w:iCs/>
          <w:sz w:val="22"/>
          <w:szCs w:val="22"/>
        </w:rPr>
        <w:t>çalışmakta</w:t>
      </w:r>
      <w:r w:rsidRPr="00EA40C7">
        <w:rPr>
          <w:iCs/>
          <w:sz w:val="22"/>
          <w:szCs w:val="22"/>
        </w:rPr>
        <w:t xml:space="preserve"> işsizliğin meydana getirebileceği muhtemel olumsuz </w:t>
      </w:r>
      <w:r w:rsidR="00EA40C7" w:rsidRPr="00EA40C7">
        <w:rPr>
          <w:iCs/>
          <w:sz w:val="22"/>
          <w:szCs w:val="22"/>
        </w:rPr>
        <w:t>sonuçları</w:t>
      </w:r>
      <w:r w:rsidRPr="00EA40C7">
        <w:rPr>
          <w:iCs/>
          <w:sz w:val="22"/>
          <w:szCs w:val="22"/>
        </w:rPr>
        <w:t xml:space="preserve"> ortadan kaldırmaya yöneliktir. İşsizlik sigortası, sosyal yardımlar, kıdem tazminatı gibi uygulamalar pasif istihdam politikaları içerisinde değerlendirilmektedir</w:t>
      </w:r>
      <w:sdt>
        <w:sdtPr>
          <w:rPr>
            <w:iCs/>
            <w:sz w:val="22"/>
            <w:szCs w:val="22"/>
          </w:rPr>
          <w:id w:val="1758170757"/>
          <w:citation/>
        </w:sdtPr>
        <w:sdtEndPr/>
        <w:sdtContent>
          <w:r w:rsidRPr="00EA40C7">
            <w:rPr>
              <w:iCs/>
              <w:sz w:val="22"/>
              <w:szCs w:val="22"/>
            </w:rPr>
            <w:fldChar w:fldCharType="begin"/>
          </w:r>
          <w:r w:rsidRPr="00EA40C7">
            <w:rPr>
              <w:iCs/>
              <w:sz w:val="22"/>
              <w:szCs w:val="22"/>
            </w:rPr>
            <w:instrText xml:space="preserve">CITATION Biç11 \p 492 \l 1055 </w:instrText>
          </w:r>
          <w:r w:rsidRPr="00EA40C7">
            <w:rPr>
              <w:iCs/>
              <w:sz w:val="22"/>
              <w:szCs w:val="22"/>
            </w:rPr>
            <w:fldChar w:fldCharType="separate"/>
          </w:r>
          <w:r w:rsidR="00982E2D">
            <w:rPr>
              <w:iCs/>
              <w:noProof/>
              <w:sz w:val="22"/>
              <w:szCs w:val="22"/>
            </w:rPr>
            <w:t xml:space="preserve"> </w:t>
          </w:r>
          <w:r w:rsidR="00982E2D" w:rsidRPr="00982E2D">
            <w:rPr>
              <w:noProof/>
              <w:sz w:val="22"/>
              <w:szCs w:val="22"/>
            </w:rPr>
            <w:t>(Biçerli , Çalışma Ekonomisi, 2011, s. 492)</w:t>
          </w:r>
          <w:r w:rsidRPr="00EA40C7">
            <w:rPr>
              <w:iCs/>
              <w:sz w:val="22"/>
              <w:szCs w:val="22"/>
            </w:rPr>
            <w:fldChar w:fldCharType="end"/>
          </w:r>
        </w:sdtContent>
      </w:sdt>
      <w:r w:rsidRPr="00EA40C7">
        <w:rPr>
          <w:iCs/>
          <w:sz w:val="22"/>
          <w:szCs w:val="22"/>
        </w:rPr>
        <w:t>.</w:t>
      </w:r>
    </w:p>
    <w:p w:rsidR="00A52E4D" w:rsidRPr="00EA40C7" w:rsidRDefault="00A52E4D" w:rsidP="00EA40C7">
      <w:pPr>
        <w:spacing w:line="360" w:lineRule="auto"/>
        <w:ind w:firstLine="540"/>
        <w:jc w:val="both"/>
        <w:rPr>
          <w:iCs/>
          <w:sz w:val="22"/>
          <w:szCs w:val="22"/>
        </w:rPr>
      </w:pPr>
    </w:p>
    <w:p w:rsidR="00AB20F7" w:rsidRDefault="00AB20F7" w:rsidP="00A52E4D">
      <w:pPr>
        <w:spacing w:line="360" w:lineRule="auto"/>
        <w:ind w:firstLine="540"/>
        <w:jc w:val="both"/>
        <w:rPr>
          <w:iCs/>
          <w:sz w:val="22"/>
          <w:szCs w:val="22"/>
        </w:rPr>
      </w:pPr>
      <w:r w:rsidRPr="00A52E4D">
        <w:rPr>
          <w:iCs/>
          <w:sz w:val="22"/>
          <w:szCs w:val="22"/>
        </w:rPr>
        <w:t>Pasif istihdam</w:t>
      </w:r>
      <w:r w:rsidR="00A52E4D" w:rsidRPr="00A52E4D">
        <w:rPr>
          <w:iCs/>
          <w:sz w:val="22"/>
          <w:szCs w:val="22"/>
        </w:rPr>
        <w:t xml:space="preserve"> politikası uygulamalarından</w:t>
      </w:r>
      <w:r w:rsidRPr="00A52E4D">
        <w:rPr>
          <w:iCs/>
          <w:sz w:val="22"/>
          <w:szCs w:val="22"/>
        </w:rPr>
        <w:t xml:space="preserve"> ilki işsizlik sigortasıdır. </w:t>
      </w:r>
      <w:r w:rsidR="00A52E4D" w:rsidRPr="00A52E4D">
        <w:rPr>
          <w:iCs/>
          <w:sz w:val="22"/>
          <w:szCs w:val="22"/>
        </w:rPr>
        <w:t>İşsizlik sigortası, bir h</w:t>
      </w:r>
      <w:r w:rsidRPr="00A52E4D">
        <w:rPr>
          <w:iCs/>
          <w:sz w:val="22"/>
          <w:szCs w:val="22"/>
        </w:rPr>
        <w:t xml:space="preserve">izmet sözleşmesiyle bir iş yerinde ücret karşılığı çalışırken, çalışma isteği, becerisi ve yeteneğindeyken kişinin isteği dışında işten çıkarılması sonucu uğradığı zararı en aza indirebilmek için ve iş aramasına devam </w:t>
      </w:r>
      <w:r w:rsidRPr="00A52E4D">
        <w:rPr>
          <w:iCs/>
          <w:sz w:val="22"/>
          <w:szCs w:val="22"/>
        </w:rPr>
        <w:lastRenderedPageBreak/>
        <w:t>edebilmesi için ödenen belli bir ödenektir</w:t>
      </w:r>
      <w:r w:rsidR="00A52E4D" w:rsidRPr="00A52E4D">
        <w:rPr>
          <w:iCs/>
          <w:sz w:val="22"/>
          <w:szCs w:val="22"/>
        </w:rPr>
        <w:t xml:space="preserve"> (Ersel, 1999:49)</w:t>
      </w:r>
      <w:r w:rsidRPr="00A52E4D">
        <w:rPr>
          <w:iCs/>
          <w:sz w:val="22"/>
          <w:szCs w:val="22"/>
        </w:rPr>
        <w:t>.</w:t>
      </w:r>
      <w:r w:rsidR="00A52E4D">
        <w:rPr>
          <w:iCs/>
          <w:sz w:val="22"/>
          <w:szCs w:val="22"/>
        </w:rPr>
        <w:t xml:space="preserve"> </w:t>
      </w:r>
      <w:r w:rsidR="00A52E4D" w:rsidRPr="00A52E4D">
        <w:rPr>
          <w:iCs/>
          <w:sz w:val="22"/>
          <w:szCs w:val="22"/>
        </w:rPr>
        <w:t>İ</w:t>
      </w:r>
      <w:r w:rsidRPr="00A52E4D">
        <w:rPr>
          <w:iCs/>
          <w:sz w:val="22"/>
          <w:szCs w:val="22"/>
        </w:rPr>
        <w:t>şsizliği</w:t>
      </w:r>
      <w:r w:rsidR="00A52E4D" w:rsidRPr="00A52E4D">
        <w:rPr>
          <w:iCs/>
          <w:sz w:val="22"/>
          <w:szCs w:val="22"/>
        </w:rPr>
        <w:t>n etkilerini</w:t>
      </w:r>
      <w:r w:rsidRPr="00A52E4D">
        <w:rPr>
          <w:iCs/>
          <w:sz w:val="22"/>
          <w:szCs w:val="22"/>
        </w:rPr>
        <w:t xml:space="preserve"> tazmin edici en önemli politikalardan bir</w:t>
      </w:r>
      <w:r w:rsidR="00A52E4D" w:rsidRPr="00A52E4D">
        <w:rPr>
          <w:iCs/>
          <w:sz w:val="22"/>
          <w:szCs w:val="22"/>
        </w:rPr>
        <w:t xml:space="preserve"> diğeri</w:t>
      </w:r>
      <w:r w:rsidRPr="00A52E4D">
        <w:rPr>
          <w:iCs/>
          <w:sz w:val="22"/>
          <w:szCs w:val="22"/>
        </w:rPr>
        <w:t xml:space="preserve"> işsizlik yardım</w:t>
      </w:r>
      <w:r w:rsidR="00A52E4D" w:rsidRPr="00A52E4D">
        <w:rPr>
          <w:iCs/>
          <w:sz w:val="22"/>
          <w:szCs w:val="22"/>
        </w:rPr>
        <w:t xml:space="preserve">larıdır. </w:t>
      </w:r>
      <w:r w:rsidRPr="00A52E4D">
        <w:rPr>
          <w:iCs/>
          <w:sz w:val="22"/>
          <w:szCs w:val="22"/>
        </w:rPr>
        <w:t>İşsizlik yardımlarını işsizlik sigortasından ayıran en önemli unsur finansmanın devlet tarafından karşılanmasıdır. Ayrıca, işsizlik sigortasında olduğu gibi prim ödeme zorunluluğu yoktur. Ancak, işsizlik yardımının finansmanı vergi gelirleri ile karşılandığı için, işsizliğin olumsuz etkileri bütün topluma yayılabilmektedir</w:t>
      </w:r>
      <w:r w:rsidR="00A52E4D">
        <w:rPr>
          <w:iCs/>
          <w:sz w:val="22"/>
          <w:szCs w:val="22"/>
        </w:rPr>
        <w:t xml:space="preserve"> (Atkinson ve Micklewiright, 1991:1692)</w:t>
      </w:r>
      <w:r w:rsidRPr="00A52E4D">
        <w:rPr>
          <w:iCs/>
          <w:sz w:val="22"/>
          <w:szCs w:val="22"/>
        </w:rPr>
        <w:t>.</w:t>
      </w:r>
      <w:r w:rsidR="00A52E4D">
        <w:rPr>
          <w:iCs/>
          <w:sz w:val="22"/>
          <w:szCs w:val="22"/>
        </w:rPr>
        <w:t xml:space="preserve"> </w:t>
      </w:r>
      <w:r w:rsidRPr="00A52E4D">
        <w:rPr>
          <w:iCs/>
          <w:sz w:val="22"/>
          <w:szCs w:val="22"/>
        </w:rPr>
        <w:t>İşsizlik sigortasından ve işsizlik yardımlarından yararlanamayan kişilere genellikle belediyeler, vakıflar ve dernekler tarafından yapılan yardımlar</w:t>
      </w:r>
      <w:r w:rsidR="00A52E4D" w:rsidRPr="00A52E4D">
        <w:rPr>
          <w:iCs/>
          <w:sz w:val="22"/>
          <w:szCs w:val="22"/>
        </w:rPr>
        <w:t xml:space="preserve"> ise sosyal yardımları ifade etmektedir.</w:t>
      </w:r>
      <w:r w:rsidRPr="00A52E4D">
        <w:rPr>
          <w:iCs/>
          <w:sz w:val="22"/>
          <w:szCs w:val="22"/>
        </w:rPr>
        <w:t xml:space="preserve"> Sosyal yardım ile işsizlik yardımı programlarının ayırt edilmesi her zaman kolay olmamaktadır. Örnek vermek gerekirse, işsiz bir kişiye iş bulma yardımında bulunulması veya eğitim verilmesi bir işsizlik yardımı programı iken, çocuk bakımı hizmetinin verilmesi sosyal yardım programıdır </w:t>
      </w:r>
      <w:sdt>
        <w:sdtPr>
          <w:rPr>
            <w:iCs/>
            <w:sz w:val="22"/>
            <w:szCs w:val="22"/>
          </w:rPr>
          <w:id w:val="2124956789"/>
          <w:citation/>
        </w:sdtPr>
        <w:sdtEndPr/>
        <w:sdtContent>
          <w:r w:rsidRPr="00A52E4D">
            <w:rPr>
              <w:iCs/>
              <w:sz w:val="22"/>
              <w:szCs w:val="22"/>
            </w:rPr>
            <w:fldChar w:fldCharType="begin"/>
          </w:r>
          <w:r w:rsidRPr="00A52E4D">
            <w:rPr>
              <w:iCs/>
              <w:sz w:val="22"/>
              <w:szCs w:val="22"/>
            </w:rPr>
            <w:instrText xml:space="preserve">CITATION Lim06 \p 31-32 \l 1055 </w:instrText>
          </w:r>
          <w:r w:rsidRPr="00A52E4D">
            <w:rPr>
              <w:iCs/>
              <w:sz w:val="22"/>
              <w:szCs w:val="22"/>
            </w:rPr>
            <w:fldChar w:fldCharType="separate"/>
          </w:r>
          <w:r w:rsidR="00982E2D" w:rsidRPr="00982E2D">
            <w:rPr>
              <w:noProof/>
              <w:sz w:val="22"/>
              <w:szCs w:val="22"/>
            </w:rPr>
            <w:t>(Limoncuoğlu , 2006, s. 31-32)</w:t>
          </w:r>
          <w:r w:rsidRPr="00A52E4D">
            <w:rPr>
              <w:iCs/>
              <w:sz w:val="22"/>
              <w:szCs w:val="22"/>
            </w:rPr>
            <w:fldChar w:fldCharType="end"/>
          </w:r>
        </w:sdtContent>
      </w:sdt>
      <w:r w:rsidRPr="00A52E4D">
        <w:rPr>
          <w:iCs/>
          <w:sz w:val="22"/>
          <w:szCs w:val="22"/>
        </w:rPr>
        <w:t>.</w:t>
      </w:r>
    </w:p>
    <w:p w:rsidR="00D90306" w:rsidRPr="00A52E4D" w:rsidRDefault="00D90306" w:rsidP="00A52E4D">
      <w:pPr>
        <w:spacing w:line="360" w:lineRule="auto"/>
        <w:ind w:firstLine="540"/>
        <w:jc w:val="both"/>
        <w:rPr>
          <w:iCs/>
          <w:sz w:val="22"/>
          <w:szCs w:val="22"/>
        </w:rPr>
      </w:pPr>
    </w:p>
    <w:p w:rsidR="00AB20F7" w:rsidRPr="00D90306" w:rsidRDefault="00A52E4D" w:rsidP="00D90306">
      <w:pPr>
        <w:spacing w:line="360" w:lineRule="auto"/>
        <w:ind w:firstLine="540"/>
        <w:jc w:val="both"/>
        <w:rPr>
          <w:iCs/>
          <w:sz w:val="22"/>
          <w:szCs w:val="22"/>
        </w:rPr>
      </w:pPr>
      <w:r w:rsidRPr="00D90306">
        <w:rPr>
          <w:iCs/>
          <w:sz w:val="22"/>
          <w:szCs w:val="22"/>
        </w:rPr>
        <w:t>Kıdem tazminatı uygulaması i</w:t>
      </w:r>
      <w:r w:rsidR="00AB20F7" w:rsidRPr="00D90306">
        <w:rPr>
          <w:iCs/>
          <w:sz w:val="22"/>
          <w:szCs w:val="22"/>
        </w:rPr>
        <w:t>şverenin, iş kanununda belirtilen nedenlerle işçiyi işten çıkarması ya da yine kanunda belirtilen sebeplerle işçinin işten çıkması halinde işverence işçiye ödenen tazminattır. Amaç, keyfi işten çıkarma sonucu yaşanabilecek mağduriyeti önlemektir (Şahin, 2012:15).</w:t>
      </w:r>
      <w:r w:rsidR="00D90306" w:rsidRPr="00D90306">
        <w:rPr>
          <w:iCs/>
          <w:sz w:val="22"/>
          <w:szCs w:val="22"/>
        </w:rPr>
        <w:t xml:space="preserve"> </w:t>
      </w:r>
      <w:r w:rsidR="00AB20F7" w:rsidRPr="00D90306">
        <w:rPr>
          <w:iCs/>
          <w:sz w:val="22"/>
          <w:szCs w:val="22"/>
        </w:rPr>
        <w:t xml:space="preserve">Kıdem tazminatı ile işsizlik sigortası </w:t>
      </w:r>
      <w:r w:rsidR="00D90306" w:rsidRPr="00D90306">
        <w:rPr>
          <w:iCs/>
          <w:sz w:val="22"/>
          <w:szCs w:val="22"/>
        </w:rPr>
        <w:t>arasındaki önemli farklılıklardan ilki i</w:t>
      </w:r>
      <w:r w:rsidR="00AB20F7" w:rsidRPr="00D90306">
        <w:rPr>
          <w:iCs/>
          <w:sz w:val="22"/>
          <w:szCs w:val="22"/>
        </w:rPr>
        <w:t xml:space="preserve">şsizlik sigortası ödeneğinin hak edilebilmesi için çalışanın kendi isteği dışında işsiz kalması koşulu aranırken, kıdem tazminatında böyle bir koşul aranmamakta olup, işçi haklı nedenlere dayalı olarak hizmet sözleşmesini feshedip işsiz kalsa da </w:t>
      </w:r>
      <w:r w:rsidR="00D90306" w:rsidRPr="00D90306">
        <w:rPr>
          <w:iCs/>
          <w:sz w:val="22"/>
          <w:szCs w:val="22"/>
        </w:rPr>
        <w:t>kıdem tazminatı alabilmesidir. İkinci sırada i</w:t>
      </w:r>
      <w:r w:rsidR="00AB20F7" w:rsidRPr="00D90306">
        <w:rPr>
          <w:iCs/>
          <w:sz w:val="22"/>
          <w:szCs w:val="22"/>
        </w:rPr>
        <w:t>şsizlik sigortası ödeneğinin ödenmesi, iş sözleşmesi sona eren işçinin yeni bir iş bulamaması koşuluna bağlanmış olmasına rağmen, kıdem tazminatının hak edilebilmesi için iş sözleşmesi sona eren işçinin yeni bir iş bulamaması koşulu aranmamakta ve işçi kendisine yeni bir iş bulsa da söz konusu işçiye eski işvereninc</w:t>
      </w:r>
      <w:r w:rsidR="00D90306" w:rsidRPr="00D90306">
        <w:rPr>
          <w:iCs/>
          <w:sz w:val="22"/>
          <w:szCs w:val="22"/>
        </w:rPr>
        <w:t>e kıdem tazminatı ödenmesidir. Son olarak ise i</w:t>
      </w:r>
      <w:r w:rsidR="00AB20F7" w:rsidRPr="00D90306">
        <w:rPr>
          <w:iCs/>
          <w:sz w:val="22"/>
          <w:szCs w:val="22"/>
        </w:rPr>
        <w:t>şsizlik sigortası ile kıdem tazminatı arasındaki bir diğer fark ödemeleri yapan taraflarda ortaya çıkar. İşsizlik sigortası ödeneği Türkiye İş Kurumu tarafından, kıdem tazminatı ise işveren tarafından işçiye ödenir</w:t>
      </w:r>
      <w:r w:rsidR="00D90306" w:rsidRPr="00D90306">
        <w:rPr>
          <w:iCs/>
          <w:sz w:val="22"/>
          <w:szCs w:val="22"/>
        </w:rPr>
        <w:t xml:space="preserve"> (Akyiğit, 1999:196-199)</w:t>
      </w:r>
      <w:r w:rsidR="00AB20F7" w:rsidRPr="00D90306">
        <w:rPr>
          <w:iCs/>
          <w:sz w:val="22"/>
          <w:szCs w:val="22"/>
        </w:rPr>
        <w:t>.</w:t>
      </w:r>
      <w:r w:rsidR="00D90306" w:rsidRPr="00D90306">
        <w:rPr>
          <w:iCs/>
          <w:sz w:val="22"/>
          <w:szCs w:val="22"/>
        </w:rPr>
        <w:t xml:space="preserve"> İhbar tazminatı uygulaması ise i</w:t>
      </w:r>
      <w:r w:rsidR="00AB20F7" w:rsidRPr="00D90306">
        <w:rPr>
          <w:iCs/>
          <w:sz w:val="22"/>
          <w:szCs w:val="22"/>
        </w:rPr>
        <w:t>şverenin, işçiyi işten çıkarmada kanunda belirtilen ihbar sürelerine uymaması halinde, işverence işçiye ödenen zararını tazm</w:t>
      </w:r>
      <w:r w:rsidR="00D90306" w:rsidRPr="00D90306">
        <w:rPr>
          <w:iCs/>
          <w:sz w:val="22"/>
          <w:szCs w:val="22"/>
        </w:rPr>
        <w:t xml:space="preserve">in edici nitelikte tazminattır </w:t>
      </w:r>
      <w:r w:rsidR="00AB20F7" w:rsidRPr="00D90306">
        <w:rPr>
          <w:iCs/>
          <w:sz w:val="22"/>
          <w:szCs w:val="22"/>
        </w:rPr>
        <w:t>(Şahin, 2012: 16).</w:t>
      </w:r>
      <w:r w:rsidR="00D90306">
        <w:rPr>
          <w:iCs/>
          <w:sz w:val="22"/>
          <w:szCs w:val="22"/>
        </w:rPr>
        <w:t xml:space="preserve"> </w:t>
      </w:r>
      <w:r w:rsidR="00AB20F7" w:rsidRPr="00D90306">
        <w:rPr>
          <w:iCs/>
          <w:sz w:val="22"/>
          <w:szCs w:val="22"/>
        </w:rPr>
        <w:t xml:space="preserve">Ekonominin kötüye gittiği dönemlerde ya da zarar edilen dönemlerde uygulanan bir yöntemdir. Temelinde genç işsizliğin önüne geçmek vardır. </w:t>
      </w:r>
      <w:r w:rsidR="00D90306" w:rsidRPr="00D90306">
        <w:rPr>
          <w:iCs/>
          <w:sz w:val="22"/>
          <w:szCs w:val="22"/>
        </w:rPr>
        <w:t>Pasif istihdam politika uygulamalarının sonuncusu ise erken emeklilik uygulamasıdır. Bu uygulama</w:t>
      </w:r>
      <w:r w:rsidR="00AB20F7" w:rsidRPr="00D90306">
        <w:rPr>
          <w:iCs/>
          <w:sz w:val="22"/>
          <w:szCs w:val="22"/>
        </w:rPr>
        <w:t xml:space="preserve"> ile yaşlı iş gücünün istihdamdan çıkarılması ve genç işgücünün istihdama </w:t>
      </w:r>
      <w:r w:rsidR="00D90306" w:rsidRPr="00D90306">
        <w:rPr>
          <w:iCs/>
          <w:sz w:val="22"/>
          <w:szCs w:val="22"/>
        </w:rPr>
        <w:t>dâhil</w:t>
      </w:r>
      <w:r w:rsidR="00AB20F7" w:rsidRPr="00D90306">
        <w:rPr>
          <w:iCs/>
          <w:sz w:val="22"/>
          <w:szCs w:val="22"/>
        </w:rPr>
        <w:t xml:space="preserve"> edilebilirliğinin arttırılması hedeflenmektedir</w:t>
      </w:r>
      <w:r w:rsidR="00D90306" w:rsidRPr="00D90306">
        <w:rPr>
          <w:iCs/>
          <w:sz w:val="22"/>
          <w:szCs w:val="22"/>
        </w:rPr>
        <w:t xml:space="preserve"> (Erkekli, 2007:3)</w:t>
      </w:r>
      <w:r w:rsidR="00AB20F7" w:rsidRPr="00D90306">
        <w:rPr>
          <w:iCs/>
          <w:sz w:val="22"/>
          <w:szCs w:val="22"/>
        </w:rPr>
        <w:t>.</w:t>
      </w:r>
    </w:p>
    <w:p w:rsidR="00770E5F" w:rsidRDefault="00770E5F" w:rsidP="00770E5F">
      <w:pPr>
        <w:spacing w:line="360" w:lineRule="auto"/>
        <w:rPr>
          <w:iCs/>
          <w:sz w:val="22"/>
          <w:szCs w:val="22"/>
        </w:rPr>
      </w:pPr>
    </w:p>
    <w:bookmarkEnd w:id="6"/>
    <w:p w:rsidR="00CD1F27" w:rsidRDefault="00D50A9D" w:rsidP="00CD1F27">
      <w:pPr>
        <w:pStyle w:val="ListeParagraf"/>
        <w:numPr>
          <w:ilvl w:val="0"/>
          <w:numId w:val="1"/>
        </w:numPr>
        <w:spacing w:line="360" w:lineRule="auto"/>
        <w:jc w:val="both"/>
        <w:rPr>
          <w:i/>
          <w:sz w:val="22"/>
          <w:szCs w:val="22"/>
        </w:rPr>
      </w:pPr>
      <w:r w:rsidRPr="00692D6F">
        <w:rPr>
          <w:b/>
          <w:sz w:val="22"/>
          <w:szCs w:val="22"/>
        </w:rPr>
        <w:t>METODOLOJİ</w:t>
      </w:r>
      <w:r w:rsidR="00C052D3" w:rsidRPr="00692D6F">
        <w:rPr>
          <w:b/>
          <w:sz w:val="22"/>
          <w:szCs w:val="22"/>
        </w:rPr>
        <w:t xml:space="preserve"> </w:t>
      </w:r>
    </w:p>
    <w:p w:rsidR="00CD1F27" w:rsidRPr="00CD1F27" w:rsidRDefault="00CD1F27" w:rsidP="00CD1F27">
      <w:pPr>
        <w:spacing w:line="360" w:lineRule="auto"/>
        <w:jc w:val="both"/>
        <w:rPr>
          <w:i/>
          <w:sz w:val="22"/>
          <w:szCs w:val="22"/>
        </w:rPr>
      </w:pPr>
    </w:p>
    <w:p w:rsidR="00CD1F27" w:rsidRDefault="00CD1F27" w:rsidP="00CD1F27">
      <w:pPr>
        <w:spacing w:line="360" w:lineRule="auto"/>
        <w:ind w:firstLine="540"/>
        <w:jc w:val="both"/>
        <w:rPr>
          <w:iCs/>
          <w:sz w:val="22"/>
          <w:szCs w:val="22"/>
        </w:rPr>
      </w:pPr>
      <w:r w:rsidRPr="00CD1F27">
        <w:rPr>
          <w:iCs/>
          <w:sz w:val="22"/>
          <w:szCs w:val="22"/>
        </w:rPr>
        <w:t xml:space="preserve">Bu çalışmanın amacı OECD ülkelerinde yürütülen farklı işsizlik yardımı politikaları ve uygulamalarının incelenmesidir. Bu amaçla OECD ülkelerinde benzer özellikler gösteren farklı </w:t>
      </w:r>
      <w:r w:rsidRPr="00CD1F27">
        <w:rPr>
          <w:iCs/>
          <w:sz w:val="22"/>
          <w:szCs w:val="22"/>
        </w:rPr>
        <w:lastRenderedPageBreak/>
        <w:t xml:space="preserve">uygulama modellerinin bulunup bulunmadığı sorusuna </w:t>
      </w:r>
      <w:r>
        <w:rPr>
          <w:iCs/>
          <w:sz w:val="22"/>
          <w:szCs w:val="22"/>
        </w:rPr>
        <w:t xml:space="preserve">ve ülkelerin konumlanma yapılarına </w:t>
      </w:r>
      <w:r w:rsidRPr="00CD1F27">
        <w:rPr>
          <w:iCs/>
          <w:sz w:val="22"/>
          <w:szCs w:val="22"/>
        </w:rPr>
        <w:t xml:space="preserve">kümeleme analizi ile cevap aranmıştır. </w:t>
      </w:r>
    </w:p>
    <w:p w:rsidR="00CD1F27" w:rsidRPr="00CD1F27" w:rsidRDefault="00CD1F27" w:rsidP="00CD1F27">
      <w:pPr>
        <w:spacing w:line="360" w:lineRule="auto"/>
        <w:ind w:firstLine="540"/>
        <w:jc w:val="both"/>
        <w:rPr>
          <w:iCs/>
          <w:sz w:val="22"/>
          <w:szCs w:val="22"/>
        </w:rPr>
      </w:pPr>
    </w:p>
    <w:p w:rsidR="00CD1F27" w:rsidRDefault="00CD1F27" w:rsidP="00CD1F27">
      <w:pPr>
        <w:spacing w:line="360" w:lineRule="auto"/>
        <w:ind w:firstLine="540"/>
        <w:jc w:val="both"/>
        <w:rPr>
          <w:iCs/>
          <w:sz w:val="22"/>
          <w:szCs w:val="22"/>
        </w:rPr>
      </w:pPr>
      <w:r w:rsidRPr="00CD1F27">
        <w:rPr>
          <w:iCs/>
          <w:sz w:val="22"/>
          <w:szCs w:val="22"/>
        </w:rPr>
        <w:t>Çalışmanın amacının belirlenmesinde OECD ülkelerinin serbest piyasa ekonomisine sahip tüm büyük sanayileşmiş ülkeleri kapsaması ve ayrıca işsizlik yardımları politika ve uygulamalarını ele alan kapsamlı bir literatür bulunması belirleyici olmuştur. Bu nedenle çalışmanın hipotezini oluşturmada bu literatürden yararlanılmıştır</w:t>
      </w:r>
      <w:r>
        <w:rPr>
          <w:iCs/>
          <w:sz w:val="22"/>
          <w:szCs w:val="22"/>
        </w:rPr>
        <w:t xml:space="preserve"> (Nickell, 1997; Nickell, Nunziata ve Ochel, 2005; Stockhammer, Guschanski ve Köhler, 2014). </w:t>
      </w:r>
    </w:p>
    <w:p w:rsidR="00CD1F27" w:rsidRPr="00CD1F27" w:rsidRDefault="00CD1F27" w:rsidP="00CD1F27">
      <w:pPr>
        <w:spacing w:line="360" w:lineRule="auto"/>
        <w:ind w:firstLine="540"/>
        <w:jc w:val="both"/>
        <w:rPr>
          <w:iCs/>
          <w:sz w:val="22"/>
          <w:szCs w:val="22"/>
        </w:rPr>
      </w:pPr>
    </w:p>
    <w:p w:rsidR="00CD1F27" w:rsidRDefault="00CD1F27" w:rsidP="00CD1F27">
      <w:pPr>
        <w:spacing w:line="360" w:lineRule="auto"/>
        <w:ind w:firstLine="540"/>
        <w:jc w:val="both"/>
        <w:rPr>
          <w:iCs/>
          <w:sz w:val="22"/>
          <w:szCs w:val="22"/>
        </w:rPr>
      </w:pPr>
      <w:r w:rsidRPr="00CD1F27">
        <w:rPr>
          <w:iCs/>
          <w:sz w:val="22"/>
          <w:szCs w:val="22"/>
        </w:rPr>
        <w:t xml:space="preserve">Çalışmada işsizlik yardımlarına ilişkin göstergelerin benzer özellikler gösteren farklı yapılanmalar oluşturduğu hipotezi 35 OECD ülkesine ait işsizlik oranı (UR), uzun süreli işsizlik oranı (YUR),  işsizlik yardımlarından faydalanma sayısındaki değişim (RCP), işsizlik yardımlarına GSMH içerisinde ayrılan oran (PİPP), net </w:t>
      </w:r>
      <w:r>
        <w:rPr>
          <w:iCs/>
          <w:sz w:val="22"/>
          <w:szCs w:val="22"/>
        </w:rPr>
        <w:t>ikame</w:t>
      </w:r>
      <w:r w:rsidRPr="00CD1F27">
        <w:rPr>
          <w:iCs/>
          <w:sz w:val="22"/>
          <w:szCs w:val="22"/>
        </w:rPr>
        <w:t xml:space="preserve"> oranı (NNR) göstergeleri kullanılarak araştırılmıştır. Çalışmada yer alan göstergelere ait 2016 yılına ilişkin değerler üzerinden analizler gerçekleştirilirmiş olup 2016 yılının tercih edilme nedeni ise daha çok sayıda ülke için veri derlenebilmesine imkân sağlamasıdır. Çalışmada kullanılan veri setinde yer alan göstergelere ilişkin tüm değerler OECD veri tabanından derlenmiştir.</w:t>
      </w:r>
      <w:r>
        <w:rPr>
          <w:iCs/>
          <w:sz w:val="22"/>
          <w:szCs w:val="22"/>
        </w:rPr>
        <w:t xml:space="preserve"> </w:t>
      </w:r>
    </w:p>
    <w:p w:rsidR="00CD1F27" w:rsidRDefault="00CD1F27" w:rsidP="00CD1F27">
      <w:pPr>
        <w:spacing w:line="360" w:lineRule="auto"/>
        <w:ind w:firstLine="540"/>
        <w:jc w:val="both"/>
        <w:rPr>
          <w:iCs/>
          <w:sz w:val="22"/>
          <w:szCs w:val="22"/>
        </w:rPr>
      </w:pPr>
    </w:p>
    <w:p w:rsidR="00CD1F27" w:rsidRDefault="00CD1F27" w:rsidP="00CD1F27">
      <w:pPr>
        <w:spacing w:line="360" w:lineRule="auto"/>
        <w:ind w:firstLine="540"/>
        <w:jc w:val="both"/>
        <w:rPr>
          <w:iCs/>
          <w:sz w:val="22"/>
          <w:szCs w:val="22"/>
        </w:rPr>
      </w:pPr>
      <w:r w:rsidRPr="00CD1F27">
        <w:rPr>
          <w:iCs/>
          <w:sz w:val="22"/>
          <w:szCs w:val="22"/>
        </w:rPr>
        <w:t>İşsizlik yardımlarının kümeleme analizi çerçevesinde analiz edilebilmesi için kullanılan göstergelere ait verisi olan OECD ülkeleri ABD, Almanya, Avustralya, Avusturya, Belçika, Çekya, Danimarka, Estonya, Finlandiya, Fransa, Hollanda, Israil, İngiltere, İrlanda, Portekiz, İspanya, İsveç, İsviçre, İtalya, İrlanda, İzlanda, Japonya, Kanada, Güney Kore, Letonya, Litvanya, Lüksemburg, Macaristan, Norveç, Polonya, Slovakya, Slovenya, Şili, Türkiye, Yeni Zelanda ve Yunanistan olup toplam ülke sayısı 35’dir</w:t>
      </w:r>
      <w:r w:rsidR="00DA1B2C">
        <w:rPr>
          <w:iCs/>
          <w:sz w:val="22"/>
          <w:szCs w:val="22"/>
        </w:rPr>
        <w:t>.</w:t>
      </w:r>
    </w:p>
    <w:p w:rsidR="00DA1B2C" w:rsidRDefault="00DA1B2C" w:rsidP="00CD1F27">
      <w:pPr>
        <w:spacing w:line="360" w:lineRule="auto"/>
        <w:ind w:firstLine="540"/>
        <w:jc w:val="both"/>
        <w:rPr>
          <w:iCs/>
          <w:sz w:val="22"/>
          <w:szCs w:val="22"/>
        </w:rPr>
      </w:pPr>
    </w:p>
    <w:p w:rsidR="00CD1F27" w:rsidRDefault="00CD1F27" w:rsidP="00CD1F27">
      <w:pPr>
        <w:spacing w:line="360" w:lineRule="auto"/>
        <w:ind w:firstLine="540"/>
        <w:jc w:val="both"/>
        <w:rPr>
          <w:iCs/>
          <w:sz w:val="22"/>
          <w:szCs w:val="22"/>
        </w:rPr>
      </w:pPr>
      <w:r w:rsidRPr="00CD1F27">
        <w:rPr>
          <w:iCs/>
          <w:sz w:val="22"/>
          <w:szCs w:val="22"/>
        </w:rPr>
        <w:t xml:space="preserve">Araştırmada sınanacak yokluk hipotezi ve araştırma hipotezi aşağıdaki gibi tasarlanmıştır. </w:t>
      </w:r>
    </w:p>
    <w:p w:rsidR="00DA1B2C" w:rsidRPr="00CD1F27" w:rsidRDefault="00DA1B2C" w:rsidP="00CD1F27">
      <w:pPr>
        <w:spacing w:line="360" w:lineRule="auto"/>
        <w:ind w:firstLine="540"/>
        <w:jc w:val="both"/>
        <w:rPr>
          <w:iCs/>
          <w:sz w:val="22"/>
          <w:szCs w:val="22"/>
        </w:rPr>
      </w:pPr>
    </w:p>
    <w:p w:rsidR="00CD1F27" w:rsidRPr="00CD1F27" w:rsidRDefault="00CD1F27" w:rsidP="00CD1F27">
      <w:pPr>
        <w:spacing w:line="360" w:lineRule="auto"/>
        <w:ind w:firstLine="540"/>
        <w:jc w:val="both"/>
        <w:rPr>
          <w:iCs/>
          <w:sz w:val="22"/>
          <w:szCs w:val="22"/>
        </w:rPr>
      </w:pPr>
      <w:r w:rsidRPr="00CD1F27">
        <w:rPr>
          <w:rFonts w:ascii="Cambria Math" w:hAnsi="Cambria Math" w:cs="Cambria Math"/>
          <w:iCs/>
          <w:sz w:val="22"/>
          <w:szCs w:val="22"/>
        </w:rPr>
        <w:t>𝐻</w:t>
      </w:r>
      <w:r w:rsidRPr="00CD1F27">
        <w:rPr>
          <w:iCs/>
          <w:sz w:val="22"/>
          <w:szCs w:val="22"/>
        </w:rPr>
        <w:t>0 = OECD ülkelerinde farklı işsizlik yardımı politikaları ve uygulamaları kullanılması, farklı yapılanmalar oluşturmamaktadır.</w:t>
      </w:r>
    </w:p>
    <w:p w:rsidR="00CD1F27" w:rsidRPr="0025077A" w:rsidRDefault="00CD1F27" w:rsidP="00CD1F27">
      <w:pPr>
        <w:spacing w:line="360" w:lineRule="auto"/>
        <w:ind w:firstLine="540"/>
        <w:jc w:val="both"/>
      </w:pPr>
      <w:r w:rsidRPr="00CD1F27">
        <w:rPr>
          <w:rFonts w:ascii="Cambria Math" w:hAnsi="Cambria Math" w:cs="Cambria Math"/>
          <w:iCs/>
          <w:sz w:val="22"/>
          <w:szCs w:val="22"/>
        </w:rPr>
        <w:t>𝐻</w:t>
      </w:r>
      <w:r w:rsidRPr="00CD1F27">
        <w:rPr>
          <w:iCs/>
          <w:sz w:val="22"/>
          <w:szCs w:val="22"/>
        </w:rPr>
        <w:t>1 OECD ülkelerinde farklı işsizlik yardımı politikaları ve uygulamaları kullanılması, farklı yapılanmalar oluşturmaktadır</w:t>
      </w:r>
      <w:r>
        <w:t>.</w:t>
      </w:r>
    </w:p>
    <w:p w:rsidR="00352F21" w:rsidRPr="00CD1F27" w:rsidRDefault="00352F21" w:rsidP="00CD1F27">
      <w:pPr>
        <w:spacing w:line="360" w:lineRule="auto"/>
        <w:jc w:val="both"/>
        <w:rPr>
          <w:i/>
          <w:sz w:val="22"/>
          <w:szCs w:val="22"/>
        </w:rPr>
      </w:pPr>
    </w:p>
    <w:p w:rsidR="00D50A9D" w:rsidRPr="005B1244" w:rsidRDefault="00C052D3" w:rsidP="00CD1F27">
      <w:pPr>
        <w:pStyle w:val="ListeParagraf"/>
        <w:numPr>
          <w:ilvl w:val="0"/>
          <w:numId w:val="1"/>
        </w:numPr>
        <w:spacing w:line="360" w:lineRule="auto"/>
        <w:jc w:val="both"/>
        <w:rPr>
          <w:sz w:val="22"/>
          <w:szCs w:val="22"/>
        </w:rPr>
      </w:pPr>
      <w:r w:rsidRPr="00CD1F27">
        <w:rPr>
          <w:b/>
          <w:sz w:val="22"/>
          <w:szCs w:val="22"/>
        </w:rPr>
        <w:t xml:space="preserve">BULGULAR, TARTIŞMA ve SONUÇ </w:t>
      </w:r>
    </w:p>
    <w:p w:rsidR="005B1244" w:rsidRPr="00CD1F27" w:rsidRDefault="005B1244" w:rsidP="005B1244">
      <w:pPr>
        <w:pStyle w:val="ListeParagraf"/>
        <w:spacing w:line="360" w:lineRule="auto"/>
        <w:ind w:left="928"/>
        <w:jc w:val="both"/>
        <w:rPr>
          <w:sz w:val="22"/>
          <w:szCs w:val="22"/>
        </w:rPr>
      </w:pPr>
    </w:p>
    <w:p w:rsidR="00E3593F" w:rsidRDefault="00CD1F27" w:rsidP="00CD1F27">
      <w:pPr>
        <w:spacing w:line="360" w:lineRule="auto"/>
        <w:ind w:firstLine="540"/>
        <w:jc w:val="both"/>
        <w:rPr>
          <w:iCs/>
          <w:sz w:val="22"/>
          <w:szCs w:val="22"/>
        </w:rPr>
      </w:pPr>
      <w:r w:rsidRPr="00CD1F27">
        <w:rPr>
          <w:iCs/>
          <w:sz w:val="22"/>
          <w:szCs w:val="22"/>
        </w:rPr>
        <w:t xml:space="preserve">İşsizlik sadece ekonomik boyutu ile değil mali ve sosyolojik etkileri bakımından da değerlendirildiğinde disiplinler arası bir kavram olarak değerlendirilmektedir. Bu nedenle literatürde işsizlik yardımları uygulamalarını değerlendiren çalışmaların özgünlüğü işsizlik yardımlarını </w:t>
      </w:r>
      <w:r w:rsidRPr="00CD1F27">
        <w:rPr>
          <w:iCs/>
          <w:sz w:val="22"/>
          <w:szCs w:val="22"/>
        </w:rPr>
        <w:lastRenderedPageBreak/>
        <w:t>değerlendirmede kullanılan farklı göstergeler ve farklı yöntemlerden ileri</w:t>
      </w:r>
      <w:r>
        <w:t xml:space="preserve"> </w:t>
      </w:r>
      <w:r w:rsidRPr="00CD1F27">
        <w:rPr>
          <w:iCs/>
          <w:sz w:val="22"/>
          <w:szCs w:val="22"/>
        </w:rPr>
        <w:t>gelmektedir. Bu nedenle işsizlik yardımları konusunda OECD ülkelerine yönelik bir sınıflama elde edebilmek için verilerin varlığı da göz önünde bulundurularak göstergeler kümesi oluşturulmuştur.</w:t>
      </w:r>
    </w:p>
    <w:p w:rsidR="008C3F96" w:rsidRPr="008C3F96" w:rsidRDefault="008C3F96" w:rsidP="008C3F96">
      <w:pPr>
        <w:pStyle w:val="ResimYazs"/>
        <w:spacing w:before="360" w:after="240"/>
        <w:rPr>
          <w:rFonts w:eastAsia="Times New Roman" w:cs="Times New Roman"/>
          <w:i w:val="0"/>
          <w:color w:val="auto"/>
          <w:sz w:val="22"/>
          <w:szCs w:val="22"/>
          <w:lang w:eastAsia="tr-TR"/>
        </w:rPr>
      </w:pPr>
      <w:bookmarkStart w:id="9" w:name="_Toc58932229"/>
      <w:r w:rsidRPr="008C3F96">
        <w:rPr>
          <w:rFonts w:eastAsia="Times New Roman" w:cs="Times New Roman"/>
          <w:i w:val="0"/>
          <w:color w:val="auto"/>
          <w:sz w:val="22"/>
          <w:szCs w:val="22"/>
          <w:lang w:eastAsia="tr-TR"/>
        </w:rPr>
        <w:t xml:space="preserve">Çizelge </w:t>
      </w:r>
      <w:r w:rsidR="007370D0">
        <w:rPr>
          <w:rFonts w:eastAsia="Times New Roman" w:cs="Times New Roman"/>
          <w:i w:val="0"/>
          <w:color w:val="auto"/>
          <w:sz w:val="22"/>
          <w:szCs w:val="22"/>
          <w:lang w:eastAsia="tr-TR"/>
        </w:rPr>
        <w:t>4</w:t>
      </w:r>
      <w:r w:rsidRPr="008C3F96">
        <w:rPr>
          <w:rFonts w:eastAsia="Times New Roman" w:cs="Times New Roman"/>
          <w:i w:val="0"/>
          <w:color w:val="auto"/>
          <w:sz w:val="22"/>
          <w:szCs w:val="22"/>
          <w:lang w:eastAsia="tr-TR"/>
        </w:rPr>
        <w:t>.</w:t>
      </w:r>
      <w:r>
        <w:rPr>
          <w:rFonts w:eastAsia="Times New Roman" w:cs="Times New Roman"/>
          <w:i w:val="0"/>
          <w:color w:val="auto"/>
          <w:sz w:val="22"/>
          <w:szCs w:val="22"/>
          <w:lang w:eastAsia="tr-TR"/>
        </w:rPr>
        <w:t>1</w:t>
      </w:r>
      <w:r w:rsidRPr="008C3F96">
        <w:rPr>
          <w:rFonts w:eastAsia="Times New Roman" w:cs="Times New Roman"/>
          <w:i w:val="0"/>
          <w:color w:val="auto"/>
          <w:sz w:val="22"/>
          <w:szCs w:val="22"/>
          <w:lang w:eastAsia="tr-TR"/>
        </w:rPr>
        <w:t>. Tanımlayıcı İstatistikler</w:t>
      </w:r>
      <w:bookmarkEnd w:id="9"/>
    </w:p>
    <w:tbl>
      <w:tblPr>
        <w:tblStyle w:val="TabloKlavuzu"/>
        <w:tblW w:w="6919" w:type="dxa"/>
        <w:tblInd w:w="468" w:type="dxa"/>
        <w:tblLook w:val="04A0" w:firstRow="1" w:lastRow="0" w:firstColumn="1" w:lastColumn="0" w:noHBand="0" w:noVBand="1"/>
      </w:tblPr>
      <w:tblGrid>
        <w:gridCol w:w="960"/>
        <w:gridCol w:w="1236"/>
        <w:gridCol w:w="1310"/>
        <w:gridCol w:w="1177"/>
        <w:gridCol w:w="1260"/>
        <w:gridCol w:w="976"/>
      </w:tblGrid>
      <w:tr w:rsidR="008C3F96" w:rsidRPr="007A1487" w:rsidTr="007A1487">
        <w:trPr>
          <w:trHeight w:val="288"/>
        </w:trPr>
        <w:tc>
          <w:tcPr>
            <w:tcW w:w="960" w:type="dxa"/>
            <w:noWrap/>
            <w:hideMark/>
          </w:tcPr>
          <w:p w:rsidR="008C3F96" w:rsidRPr="007A1487" w:rsidRDefault="008C3F96" w:rsidP="00AB5A62">
            <w:pPr>
              <w:rPr>
                <w:sz w:val="22"/>
              </w:rPr>
            </w:pPr>
          </w:p>
        </w:tc>
        <w:tc>
          <w:tcPr>
            <w:tcW w:w="1236" w:type="dxa"/>
            <w:noWrap/>
            <w:hideMark/>
          </w:tcPr>
          <w:p w:rsidR="008C3F96" w:rsidRPr="007A1487" w:rsidRDefault="008C3F96" w:rsidP="00AB5A62">
            <w:pPr>
              <w:rPr>
                <w:sz w:val="22"/>
              </w:rPr>
            </w:pPr>
            <w:r w:rsidRPr="007A1487">
              <w:rPr>
                <w:sz w:val="22"/>
              </w:rPr>
              <w:t xml:space="preserve">Ortalama </w:t>
            </w:r>
          </w:p>
        </w:tc>
        <w:tc>
          <w:tcPr>
            <w:tcW w:w="1310" w:type="dxa"/>
            <w:noWrap/>
            <w:hideMark/>
          </w:tcPr>
          <w:p w:rsidR="008C3F96" w:rsidRPr="007A1487" w:rsidRDefault="008C3F96" w:rsidP="00AB5A62">
            <w:pPr>
              <w:rPr>
                <w:sz w:val="22"/>
              </w:rPr>
            </w:pPr>
            <w:r w:rsidRPr="007A1487">
              <w:rPr>
                <w:sz w:val="22"/>
              </w:rPr>
              <w:t xml:space="preserve">Maksimum </w:t>
            </w:r>
          </w:p>
        </w:tc>
        <w:tc>
          <w:tcPr>
            <w:tcW w:w="1177" w:type="dxa"/>
            <w:noWrap/>
            <w:hideMark/>
          </w:tcPr>
          <w:p w:rsidR="008C3F96" w:rsidRPr="007A1487" w:rsidRDefault="008C3F96" w:rsidP="00AB5A62">
            <w:pPr>
              <w:rPr>
                <w:sz w:val="22"/>
              </w:rPr>
            </w:pPr>
            <w:r w:rsidRPr="007A1487">
              <w:rPr>
                <w:sz w:val="22"/>
              </w:rPr>
              <w:t xml:space="preserve">Minimum </w:t>
            </w:r>
          </w:p>
        </w:tc>
        <w:tc>
          <w:tcPr>
            <w:tcW w:w="1260" w:type="dxa"/>
            <w:noWrap/>
            <w:hideMark/>
          </w:tcPr>
          <w:p w:rsidR="008C3F96" w:rsidRPr="007A1487" w:rsidRDefault="008C3F96" w:rsidP="00AB5A62">
            <w:pPr>
              <w:rPr>
                <w:sz w:val="22"/>
              </w:rPr>
            </w:pPr>
            <w:r w:rsidRPr="007A1487">
              <w:rPr>
                <w:sz w:val="22"/>
              </w:rPr>
              <w:t xml:space="preserve">St. Sapma </w:t>
            </w:r>
          </w:p>
        </w:tc>
        <w:tc>
          <w:tcPr>
            <w:tcW w:w="976" w:type="dxa"/>
            <w:noWrap/>
            <w:hideMark/>
          </w:tcPr>
          <w:p w:rsidR="008C3F96" w:rsidRPr="007A1487" w:rsidRDefault="008C3F96" w:rsidP="00AB5A62">
            <w:pPr>
              <w:rPr>
                <w:sz w:val="22"/>
              </w:rPr>
            </w:pPr>
            <w:r w:rsidRPr="007A1487">
              <w:rPr>
                <w:sz w:val="22"/>
              </w:rPr>
              <w:t xml:space="preserve">Gözlem </w:t>
            </w:r>
          </w:p>
        </w:tc>
      </w:tr>
      <w:tr w:rsidR="008C3F96" w:rsidRPr="007A1487" w:rsidTr="007A1487">
        <w:trPr>
          <w:trHeight w:val="288"/>
        </w:trPr>
        <w:tc>
          <w:tcPr>
            <w:tcW w:w="960" w:type="dxa"/>
            <w:noWrap/>
          </w:tcPr>
          <w:p w:rsidR="008C3F96" w:rsidRPr="007A1487" w:rsidRDefault="008C3F96" w:rsidP="00AB5A62">
            <w:pPr>
              <w:autoSpaceDE w:val="0"/>
              <w:autoSpaceDN w:val="0"/>
              <w:adjustRightInd w:val="0"/>
              <w:spacing w:line="320" w:lineRule="atLeast"/>
              <w:ind w:left="60" w:right="60"/>
              <w:rPr>
                <w:sz w:val="22"/>
              </w:rPr>
            </w:pPr>
            <w:r w:rsidRPr="007A1487">
              <w:rPr>
                <w:sz w:val="22"/>
              </w:rPr>
              <w:t>UR</w:t>
            </w:r>
          </w:p>
        </w:tc>
        <w:tc>
          <w:tcPr>
            <w:tcW w:w="1236" w:type="dxa"/>
            <w:noWrap/>
          </w:tcPr>
          <w:p w:rsidR="008C3F96" w:rsidRPr="007A1487" w:rsidRDefault="008C3F96" w:rsidP="00EF7A8F">
            <w:pPr>
              <w:autoSpaceDE w:val="0"/>
              <w:autoSpaceDN w:val="0"/>
              <w:adjustRightInd w:val="0"/>
              <w:spacing w:line="320" w:lineRule="atLeast"/>
              <w:ind w:left="60" w:right="60"/>
              <w:jc w:val="center"/>
              <w:rPr>
                <w:color w:val="010205"/>
                <w:sz w:val="22"/>
              </w:rPr>
            </w:pPr>
            <w:r w:rsidRPr="007A1487">
              <w:rPr>
                <w:color w:val="010205"/>
                <w:sz w:val="22"/>
              </w:rPr>
              <w:t>7,5278</w:t>
            </w:r>
          </w:p>
        </w:tc>
        <w:tc>
          <w:tcPr>
            <w:tcW w:w="1310" w:type="dxa"/>
            <w:noWrap/>
          </w:tcPr>
          <w:p w:rsidR="008C3F96" w:rsidRPr="007A1487" w:rsidRDefault="008C3F96" w:rsidP="00EF7A8F">
            <w:pPr>
              <w:autoSpaceDE w:val="0"/>
              <w:autoSpaceDN w:val="0"/>
              <w:adjustRightInd w:val="0"/>
              <w:spacing w:line="320" w:lineRule="atLeast"/>
              <w:ind w:left="60" w:right="60"/>
              <w:jc w:val="center"/>
              <w:rPr>
                <w:color w:val="010205"/>
                <w:sz w:val="22"/>
              </w:rPr>
            </w:pPr>
            <w:r w:rsidRPr="007A1487">
              <w:rPr>
                <w:color w:val="010205"/>
                <w:sz w:val="22"/>
              </w:rPr>
              <w:t>23,70</w:t>
            </w:r>
          </w:p>
        </w:tc>
        <w:tc>
          <w:tcPr>
            <w:tcW w:w="1177" w:type="dxa"/>
            <w:noWrap/>
          </w:tcPr>
          <w:p w:rsidR="008C3F96" w:rsidRPr="007A1487" w:rsidRDefault="008C3F96" w:rsidP="00EF7A8F">
            <w:pPr>
              <w:autoSpaceDE w:val="0"/>
              <w:autoSpaceDN w:val="0"/>
              <w:adjustRightInd w:val="0"/>
              <w:spacing w:line="320" w:lineRule="atLeast"/>
              <w:ind w:left="60" w:right="60"/>
              <w:jc w:val="center"/>
              <w:rPr>
                <w:color w:val="010205"/>
                <w:sz w:val="22"/>
              </w:rPr>
            </w:pPr>
            <w:r w:rsidRPr="007A1487">
              <w:rPr>
                <w:color w:val="010205"/>
                <w:sz w:val="22"/>
              </w:rPr>
              <w:t>3,10</w:t>
            </w:r>
          </w:p>
        </w:tc>
        <w:tc>
          <w:tcPr>
            <w:tcW w:w="1260" w:type="dxa"/>
            <w:noWrap/>
          </w:tcPr>
          <w:p w:rsidR="008C3F96" w:rsidRPr="007A1487" w:rsidRDefault="008C3F96" w:rsidP="00EF7A8F">
            <w:pPr>
              <w:autoSpaceDE w:val="0"/>
              <w:autoSpaceDN w:val="0"/>
              <w:adjustRightInd w:val="0"/>
              <w:spacing w:line="320" w:lineRule="atLeast"/>
              <w:ind w:left="60" w:right="60"/>
              <w:jc w:val="center"/>
              <w:rPr>
                <w:color w:val="010205"/>
                <w:sz w:val="22"/>
              </w:rPr>
            </w:pPr>
            <w:r w:rsidRPr="007A1487">
              <w:rPr>
                <w:color w:val="010205"/>
                <w:sz w:val="22"/>
              </w:rPr>
              <w:t>4,22108</w:t>
            </w:r>
          </w:p>
        </w:tc>
        <w:tc>
          <w:tcPr>
            <w:tcW w:w="976" w:type="dxa"/>
            <w:noWrap/>
          </w:tcPr>
          <w:p w:rsidR="008C3F96" w:rsidRPr="007A1487" w:rsidRDefault="00EF7A8F" w:rsidP="00EF7A8F">
            <w:pPr>
              <w:autoSpaceDE w:val="0"/>
              <w:autoSpaceDN w:val="0"/>
              <w:adjustRightInd w:val="0"/>
              <w:spacing w:line="320" w:lineRule="atLeast"/>
              <w:ind w:left="60" w:right="60"/>
              <w:jc w:val="center"/>
              <w:rPr>
                <w:color w:val="010205"/>
                <w:sz w:val="22"/>
              </w:rPr>
            </w:pPr>
            <w:r>
              <w:rPr>
                <w:color w:val="010205"/>
                <w:sz w:val="22"/>
              </w:rPr>
              <w:t>35</w:t>
            </w:r>
          </w:p>
        </w:tc>
      </w:tr>
      <w:tr w:rsidR="008C3F96" w:rsidRPr="007A1487" w:rsidTr="007A1487">
        <w:trPr>
          <w:trHeight w:val="288"/>
        </w:trPr>
        <w:tc>
          <w:tcPr>
            <w:tcW w:w="960" w:type="dxa"/>
            <w:noWrap/>
          </w:tcPr>
          <w:p w:rsidR="008C3F96" w:rsidRPr="007A1487" w:rsidRDefault="008C3F96" w:rsidP="00AB5A62">
            <w:pPr>
              <w:autoSpaceDE w:val="0"/>
              <w:autoSpaceDN w:val="0"/>
              <w:adjustRightInd w:val="0"/>
              <w:spacing w:line="320" w:lineRule="atLeast"/>
              <w:ind w:left="60" w:right="60"/>
              <w:rPr>
                <w:sz w:val="22"/>
              </w:rPr>
            </w:pPr>
            <w:r w:rsidRPr="007A1487">
              <w:rPr>
                <w:sz w:val="22"/>
              </w:rPr>
              <w:t>LUR</w:t>
            </w:r>
          </w:p>
        </w:tc>
        <w:tc>
          <w:tcPr>
            <w:tcW w:w="1236" w:type="dxa"/>
            <w:noWrap/>
          </w:tcPr>
          <w:p w:rsidR="008C3F96" w:rsidRPr="007A1487" w:rsidRDefault="008C3F96" w:rsidP="00EF7A8F">
            <w:pPr>
              <w:autoSpaceDE w:val="0"/>
              <w:autoSpaceDN w:val="0"/>
              <w:adjustRightInd w:val="0"/>
              <w:spacing w:line="320" w:lineRule="atLeast"/>
              <w:ind w:left="60" w:right="60"/>
              <w:jc w:val="center"/>
              <w:rPr>
                <w:color w:val="010205"/>
                <w:sz w:val="22"/>
              </w:rPr>
            </w:pPr>
            <w:r w:rsidRPr="007A1487">
              <w:rPr>
                <w:color w:val="010205"/>
                <w:sz w:val="22"/>
              </w:rPr>
              <w:t>33,8743</w:t>
            </w:r>
          </w:p>
        </w:tc>
        <w:tc>
          <w:tcPr>
            <w:tcW w:w="1310" w:type="dxa"/>
            <w:noWrap/>
          </w:tcPr>
          <w:p w:rsidR="008C3F96" w:rsidRPr="007A1487" w:rsidRDefault="008C3F96" w:rsidP="00EF7A8F">
            <w:pPr>
              <w:autoSpaceDE w:val="0"/>
              <w:autoSpaceDN w:val="0"/>
              <w:adjustRightInd w:val="0"/>
              <w:spacing w:line="320" w:lineRule="atLeast"/>
              <w:ind w:left="60" w:right="60"/>
              <w:jc w:val="center"/>
              <w:rPr>
                <w:color w:val="010205"/>
                <w:sz w:val="22"/>
              </w:rPr>
            </w:pPr>
            <w:r w:rsidRPr="007A1487">
              <w:rPr>
                <w:color w:val="010205"/>
                <w:sz w:val="22"/>
              </w:rPr>
              <w:t>72,00</w:t>
            </w:r>
          </w:p>
        </w:tc>
        <w:tc>
          <w:tcPr>
            <w:tcW w:w="1177" w:type="dxa"/>
            <w:noWrap/>
          </w:tcPr>
          <w:p w:rsidR="008C3F96" w:rsidRPr="007A1487" w:rsidRDefault="008C3F96" w:rsidP="00EF7A8F">
            <w:pPr>
              <w:autoSpaceDE w:val="0"/>
              <w:autoSpaceDN w:val="0"/>
              <w:adjustRightInd w:val="0"/>
              <w:spacing w:line="320" w:lineRule="atLeast"/>
              <w:ind w:left="60" w:right="60"/>
              <w:jc w:val="center"/>
              <w:rPr>
                <w:color w:val="010205"/>
                <w:sz w:val="22"/>
              </w:rPr>
            </w:pPr>
            <w:r w:rsidRPr="007A1487">
              <w:rPr>
                <w:color w:val="010205"/>
                <w:sz w:val="22"/>
              </w:rPr>
              <w:t>,90</w:t>
            </w:r>
          </w:p>
        </w:tc>
        <w:tc>
          <w:tcPr>
            <w:tcW w:w="1260" w:type="dxa"/>
            <w:noWrap/>
          </w:tcPr>
          <w:p w:rsidR="008C3F96" w:rsidRPr="007A1487" w:rsidRDefault="008C3F96" w:rsidP="00EF7A8F">
            <w:pPr>
              <w:autoSpaceDE w:val="0"/>
              <w:autoSpaceDN w:val="0"/>
              <w:adjustRightInd w:val="0"/>
              <w:spacing w:line="320" w:lineRule="atLeast"/>
              <w:ind w:left="60" w:right="60"/>
              <w:jc w:val="center"/>
              <w:rPr>
                <w:color w:val="010205"/>
                <w:sz w:val="22"/>
              </w:rPr>
            </w:pPr>
            <w:r w:rsidRPr="007A1487">
              <w:rPr>
                <w:color w:val="010205"/>
                <w:sz w:val="22"/>
              </w:rPr>
              <w:t>17,35981</w:t>
            </w:r>
          </w:p>
        </w:tc>
        <w:tc>
          <w:tcPr>
            <w:tcW w:w="976" w:type="dxa"/>
            <w:noWrap/>
          </w:tcPr>
          <w:p w:rsidR="008C3F96" w:rsidRPr="007A1487" w:rsidRDefault="008C3F96" w:rsidP="00EF7A8F">
            <w:pPr>
              <w:autoSpaceDE w:val="0"/>
              <w:autoSpaceDN w:val="0"/>
              <w:adjustRightInd w:val="0"/>
              <w:spacing w:line="320" w:lineRule="atLeast"/>
              <w:ind w:left="60" w:right="60"/>
              <w:jc w:val="center"/>
              <w:rPr>
                <w:color w:val="010205"/>
                <w:sz w:val="22"/>
              </w:rPr>
            </w:pPr>
            <w:r w:rsidRPr="007A1487">
              <w:rPr>
                <w:color w:val="010205"/>
                <w:sz w:val="22"/>
              </w:rPr>
              <w:t>35</w:t>
            </w:r>
          </w:p>
        </w:tc>
      </w:tr>
      <w:tr w:rsidR="008C3F96" w:rsidRPr="007A1487" w:rsidTr="007A1487">
        <w:trPr>
          <w:trHeight w:val="288"/>
        </w:trPr>
        <w:tc>
          <w:tcPr>
            <w:tcW w:w="960" w:type="dxa"/>
            <w:noWrap/>
            <w:hideMark/>
          </w:tcPr>
          <w:p w:rsidR="008C3F96" w:rsidRPr="007A1487" w:rsidRDefault="008C3F96" w:rsidP="00AB5A62">
            <w:pPr>
              <w:autoSpaceDE w:val="0"/>
              <w:autoSpaceDN w:val="0"/>
              <w:adjustRightInd w:val="0"/>
              <w:spacing w:line="320" w:lineRule="atLeast"/>
              <w:ind w:left="60" w:right="60"/>
              <w:rPr>
                <w:sz w:val="22"/>
              </w:rPr>
            </w:pPr>
            <w:r w:rsidRPr="007A1487">
              <w:rPr>
                <w:sz w:val="22"/>
              </w:rPr>
              <w:t>RCP</w:t>
            </w:r>
          </w:p>
        </w:tc>
        <w:tc>
          <w:tcPr>
            <w:tcW w:w="1236" w:type="dxa"/>
            <w:noWrap/>
          </w:tcPr>
          <w:p w:rsidR="008C3F96" w:rsidRPr="007A1487" w:rsidRDefault="008C3F96" w:rsidP="00EF7A8F">
            <w:pPr>
              <w:autoSpaceDE w:val="0"/>
              <w:autoSpaceDN w:val="0"/>
              <w:adjustRightInd w:val="0"/>
              <w:spacing w:line="320" w:lineRule="atLeast"/>
              <w:ind w:left="60" w:right="60"/>
              <w:jc w:val="center"/>
              <w:rPr>
                <w:color w:val="010205"/>
                <w:sz w:val="22"/>
              </w:rPr>
            </w:pPr>
            <w:r w:rsidRPr="007A1487">
              <w:rPr>
                <w:color w:val="010205"/>
                <w:sz w:val="22"/>
              </w:rPr>
              <w:t>150,1212</w:t>
            </w:r>
          </w:p>
        </w:tc>
        <w:tc>
          <w:tcPr>
            <w:tcW w:w="1310" w:type="dxa"/>
            <w:noWrap/>
          </w:tcPr>
          <w:p w:rsidR="008C3F96" w:rsidRPr="007A1487" w:rsidRDefault="008C3F96" w:rsidP="00EF7A8F">
            <w:pPr>
              <w:autoSpaceDE w:val="0"/>
              <w:autoSpaceDN w:val="0"/>
              <w:adjustRightInd w:val="0"/>
              <w:spacing w:line="320" w:lineRule="atLeast"/>
              <w:ind w:left="60" w:right="60"/>
              <w:jc w:val="center"/>
              <w:rPr>
                <w:color w:val="010205"/>
                <w:sz w:val="22"/>
              </w:rPr>
            </w:pPr>
            <w:r w:rsidRPr="007A1487">
              <w:rPr>
                <w:color w:val="010205"/>
                <w:sz w:val="22"/>
              </w:rPr>
              <w:t>348,00</w:t>
            </w:r>
          </w:p>
        </w:tc>
        <w:tc>
          <w:tcPr>
            <w:tcW w:w="1177" w:type="dxa"/>
            <w:noWrap/>
          </w:tcPr>
          <w:p w:rsidR="008C3F96" w:rsidRPr="007A1487" w:rsidRDefault="008C3F96" w:rsidP="00EF7A8F">
            <w:pPr>
              <w:autoSpaceDE w:val="0"/>
              <w:autoSpaceDN w:val="0"/>
              <w:adjustRightInd w:val="0"/>
              <w:spacing w:line="320" w:lineRule="atLeast"/>
              <w:ind w:left="60" w:right="60"/>
              <w:jc w:val="center"/>
              <w:rPr>
                <w:color w:val="010205"/>
                <w:sz w:val="22"/>
              </w:rPr>
            </w:pPr>
            <w:r w:rsidRPr="007A1487">
              <w:rPr>
                <w:color w:val="010205"/>
                <w:sz w:val="22"/>
              </w:rPr>
              <w:t>47,00</w:t>
            </w:r>
          </w:p>
        </w:tc>
        <w:tc>
          <w:tcPr>
            <w:tcW w:w="1260" w:type="dxa"/>
            <w:noWrap/>
          </w:tcPr>
          <w:p w:rsidR="008C3F96" w:rsidRPr="007A1487" w:rsidRDefault="008C3F96" w:rsidP="00EF7A8F">
            <w:pPr>
              <w:autoSpaceDE w:val="0"/>
              <w:autoSpaceDN w:val="0"/>
              <w:adjustRightInd w:val="0"/>
              <w:spacing w:line="320" w:lineRule="atLeast"/>
              <w:ind w:left="60" w:right="60"/>
              <w:jc w:val="center"/>
              <w:rPr>
                <w:color w:val="010205"/>
                <w:sz w:val="22"/>
              </w:rPr>
            </w:pPr>
            <w:r w:rsidRPr="007A1487">
              <w:rPr>
                <w:color w:val="010205"/>
                <w:sz w:val="22"/>
              </w:rPr>
              <w:t>69,59784</w:t>
            </w:r>
          </w:p>
        </w:tc>
        <w:tc>
          <w:tcPr>
            <w:tcW w:w="976" w:type="dxa"/>
            <w:noWrap/>
          </w:tcPr>
          <w:p w:rsidR="008C3F96" w:rsidRPr="007A1487" w:rsidRDefault="008C3F96" w:rsidP="00EF7A8F">
            <w:pPr>
              <w:autoSpaceDE w:val="0"/>
              <w:autoSpaceDN w:val="0"/>
              <w:adjustRightInd w:val="0"/>
              <w:spacing w:line="320" w:lineRule="atLeast"/>
              <w:ind w:left="60" w:right="60"/>
              <w:jc w:val="center"/>
              <w:rPr>
                <w:color w:val="010205"/>
                <w:sz w:val="22"/>
              </w:rPr>
            </w:pPr>
            <w:r w:rsidRPr="007A1487">
              <w:rPr>
                <w:color w:val="010205"/>
                <w:sz w:val="22"/>
              </w:rPr>
              <w:t>33</w:t>
            </w:r>
          </w:p>
        </w:tc>
      </w:tr>
      <w:tr w:rsidR="008C3F96" w:rsidRPr="007A1487" w:rsidTr="007A1487">
        <w:trPr>
          <w:trHeight w:val="288"/>
        </w:trPr>
        <w:tc>
          <w:tcPr>
            <w:tcW w:w="960" w:type="dxa"/>
            <w:noWrap/>
            <w:hideMark/>
          </w:tcPr>
          <w:p w:rsidR="008C3F96" w:rsidRPr="007A1487" w:rsidRDefault="008C3F96" w:rsidP="00AB5A62">
            <w:pPr>
              <w:autoSpaceDE w:val="0"/>
              <w:autoSpaceDN w:val="0"/>
              <w:adjustRightInd w:val="0"/>
              <w:spacing w:line="320" w:lineRule="atLeast"/>
              <w:ind w:left="60" w:right="60"/>
              <w:rPr>
                <w:sz w:val="22"/>
              </w:rPr>
            </w:pPr>
            <w:r w:rsidRPr="007A1487">
              <w:rPr>
                <w:sz w:val="22"/>
              </w:rPr>
              <w:t>NNR</w:t>
            </w:r>
          </w:p>
        </w:tc>
        <w:tc>
          <w:tcPr>
            <w:tcW w:w="1236" w:type="dxa"/>
            <w:noWrap/>
          </w:tcPr>
          <w:p w:rsidR="008C3F96" w:rsidRPr="007A1487" w:rsidRDefault="008C3F96" w:rsidP="00EF7A8F">
            <w:pPr>
              <w:autoSpaceDE w:val="0"/>
              <w:autoSpaceDN w:val="0"/>
              <w:adjustRightInd w:val="0"/>
              <w:spacing w:line="320" w:lineRule="atLeast"/>
              <w:ind w:left="60" w:right="60"/>
              <w:jc w:val="center"/>
              <w:rPr>
                <w:color w:val="010205"/>
                <w:sz w:val="22"/>
              </w:rPr>
            </w:pPr>
            <w:r w:rsidRPr="007A1487">
              <w:rPr>
                <w:color w:val="010205"/>
                <w:sz w:val="22"/>
              </w:rPr>
              <w:t>84,6857</w:t>
            </w:r>
          </w:p>
        </w:tc>
        <w:tc>
          <w:tcPr>
            <w:tcW w:w="1310" w:type="dxa"/>
            <w:noWrap/>
          </w:tcPr>
          <w:p w:rsidR="008C3F96" w:rsidRPr="007A1487" w:rsidRDefault="008C3F96" w:rsidP="00EF7A8F">
            <w:pPr>
              <w:autoSpaceDE w:val="0"/>
              <w:autoSpaceDN w:val="0"/>
              <w:adjustRightInd w:val="0"/>
              <w:spacing w:line="320" w:lineRule="atLeast"/>
              <w:ind w:left="60" w:right="60"/>
              <w:jc w:val="center"/>
              <w:rPr>
                <w:color w:val="010205"/>
                <w:sz w:val="22"/>
              </w:rPr>
            </w:pPr>
            <w:r w:rsidRPr="007A1487">
              <w:rPr>
                <w:color w:val="010205"/>
                <w:sz w:val="22"/>
              </w:rPr>
              <w:t>95,00</w:t>
            </w:r>
          </w:p>
        </w:tc>
        <w:tc>
          <w:tcPr>
            <w:tcW w:w="1177" w:type="dxa"/>
            <w:noWrap/>
          </w:tcPr>
          <w:p w:rsidR="008C3F96" w:rsidRPr="007A1487" w:rsidRDefault="008C3F96" w:rsidP="00EF7A8F">
            <w:pPr>
              <w:autoSpaceDE w:val="0"/>
              <w:autoSpaceDN w:val="0"/>
              <w:adjustRightInd w:val="0"/>
              <w:spacing w:line="320" w:lineRule="atLeast"/>
              <w:ind w:left="60" w:right="60"/>
              <w:jc w:val="center"/>
              <w:rPr>
                <w:color w:val="010205"/>
                <w:sz w:val="22"/>
              </w:rPr>
            </w:pPr>
            <w:r w:rsidRPr="007A1487">
              <w:rPr>
                <w:color w:val="010205"/>
                <w:sz w:val="22"/>
              </w:rPr>
              <w:t>66,00</w:t>
            </w:r>
          </w:p>
        </w:tc>
        <w:tc>
          <w:tcPr>
            <w:tcW w:w="1260" w:type="dxa"/>
            <w:noWrap/>
          </w:tcPr>
          <w:p w:rsidR="008C3F96" w:rsidRPr="007A1487" w:rsidRDefault="008C3F96" w:rsidP="00EF7A8F">
            <w:pPr>
              <w:autoSpaceDE w:val="0"/>
              <w:autoSpaceDN w:val="0"/>
              <w:adjustRightInd w:val="0"/>
              <w:spacing w:line="320" w:lineRule="atLeast"/>
              <w:ind w:left="60" w:right="60"/>
              <w:jc w:val="center"/>
              <w:rPr>
                <w:color w:val="010205"/>
                <w:sz w:val="22"/>
              </w:rPr>
            </w:pPr>
            <w:r w:rsidRPr="007A1487">
              <w:rPr>
                <w:color w:val="010205"/>
                <w:sz w:val="22"/>
              </w:rPr>
              <w:t>7,52162</w:t>
            </w:r>
          </w:p>
        </w:tc>
        <w:tc>
          <w:tcPr>
            <w:tcW w:w="976" w:type="dxa"/>
            <w:noWrap/>
          </w:tcPr>
          <w:p w:rsidR="008C3F96" w:rsidRPr="007A1487" w:rsidRDefault="008C3F96" w:rsidP="00EF7A8F">
            <w:pPr>
              <w:autoSpaceDE w:val="0"/>
              <w:autoSpaceDN w:val="0"/>
              <w:adjustRightInd w:val="0"/>
              <w:spacing w:line="320" w:lineRule="atLeast"/>
              <w:ind w:left="60" w:right="60"/>
              <w:jc w:val="center"/>
              <w:rPr>
                <w:color w:val="010205"/>
                <w:sz w:val="22"/>
              </w:rPr>
            </w:pPr>
            <w:r w:rsidRPr="007A1487">
              <w:rPr>
                <w:color w:val="010205"/>
                <w:sz w:val="22"/>
              </w:rPr>
              <w:t>35</w:t>
            </w:r>
          </w:p>
        </w:tc>
      </w:tr>
      <w:tr w:rsidR="008C3F96" w:rsidRPr="007A1487" w:rsidTr="007A1487">
        <w:trPr>
          <w:trHeight w:val="288"/>
        </w:trPr>
        <w:tc>
          <w:tcPr>
            <w:tcW w:w="960" w:type="dxa"/>
            <w:noWrap/>
          </w:tcPr>
          <w:p w:rsidR="008C3F96" w:rsidRPr="007A1487" w:rsidRDefault="008C3F96" w:rsidP="00AB5A62">
            <w:pPr>
              <w:autoSpaceDE w:val="0"/>
              <w:autoSpaceDN w:val="0"/>
              <w:adjustRightInd w:val="0"/>
              <w:spacing w:line="320" w:lineRule="atLeast"/>
              <w:ind w:left="60" w:right="60"/>
              <w:rPr>
                <w:sz w:val="22"/>
              </w:rPr>
            </w:pPr>
            <w:r w:rsidRPr="007A1487">
              <w:rPr>
                <w:sz w:val="22"/>
              </w:rPr>
              <w:t>PİPP</w:t>
            </w:r>
          </w:p>
        </w:tc>
        <w:tc>
          <w:tcPr>
            <w:tcW w:w="1236" w:type="dxa"/>
            <w:noWrap/>
          </w:tcPr>
          <w:p w:rsidR="008C3F96" w:rsidRPr="007A1487" w:rsidRDefault="008C3F96" w:rsidP="00EF7A8F">
            <w:pPr>
              <w:autoSpaceDE w:val="0"/>
              <w:autoSpaceDN w:val="0"/>
              <w:adjustRightInd w:val="0"/>
              <w:spacing w:line="320" w:lineRule="atLeast"/>
              <w:ind w:left="60" w:right="60"/>
              <w:jc w:val="center"/>
              <w:rPr>
                <w:color w:val="010205"/>
                <w:sz w:val="22"/>
              </w:rPr>
            </w:pPr>
            <w:r w:rsidRPr="007A1487">
              <w:rPr>
                <w:color w:val="010205"/>
                <w:sz w:val="22"/>
              </w:rPr>
              <w:t>0,6912</w:t>
            </w:r>
          </w:p>
        </w:tc>
        <w:tc>
          <w:tcPr>
            <w:tcW w:w="1310" w:type="dxa"/>
            <w:noWrap/>
          </w:tcPr>
          <w:p w:rsidR="008C3F96" w:rsidRPr="007A1487" w:rsidRDefault="008C3F96" w:rsidP="00EF7A8F">
            <w:pPr>
              <w:autoSpaceDE w:val="0"/>
              <w:autoSpaceDN w:val="0"/>
              <w:adjustRightInd w:val="0"/>
              <w:spacing w:line="320" w:lineRule="atLeast"/>
              <w:ind w:left="60" w:right="60"/>
              <w:jc w:val="center"/>
              <w:rPr>
                <w:color w:val="010205"/>
                <w:sz w:val="22"/>
              </w:rPr>
            </w:pPr>
            <w:r w:rsidRPr="007A1487">
              <w:rPr>
                <w:color w:val="010205"/>
                <w:sz w:val="22"/>
              </w:rPr>
              <w:t>2,04</w:t>
            </w:r>
          </w:p>
        </w:tc>
        <w:tc>
          <w:tcPr>
            <w:tcW w:w="1177" w:type="dxa"/>
            <w:noWrap/>
          </w:tcPr>
          <w:p w:rsidR="008C3F96" w:rsidRPr="007A1487" w:rsidRDefault="008C3F96" w:rsidP="00EF7A8F">
            <w:pPr>
              <w:autoSpaceDE w:val="0"/>
              <w:autoSpaceDN w:val="0"/>
              <w:adjustRightInd w:val="0"/>
              <w:spacing w:line="320" w:lineRule="atLeast"/>
              <w:ind w:left="60" w:right="60"/>
              <w:jc w:val="center"/>
              <w:rPr>
                <w:color w:val="010205"/>
                <w:sz w:val="22"/>
              </w:rPr>
            </w:pPr>
            <w:r w:rsidRPr="007A1487">
              <w:rPr>
                <w:color w:val="010205"/>
                <w:sz w:val="22"/>
              </w:rPr>
              <w:t>,00</w:t>
            </w:r>
          </w:p>
        </w:tc>
        <w:tc>
          <w:tcPr>
            <w:tcW w:w="1260" w:type="dxa"/>
            <w:noWrap/>
          </w:tcPr>
          <w:p w:rsidR="008C3F96" w:rsidRPr="007A1487" w:rsidRDefault="008C3F96" w:rsidP="00EF7A8F">
            <w:pPr>
              <w:autoSpaceDE w:val="0"/>
              <w:autoSpaceDN w:val="0"/>
              <w:adjustRightInd w:val="0"/>
              <w:spacing w:line="320" w:lineRule="atLeast"/>
              <w:ind w:left="60" w:right="60"/>
              <w:jc w:val="center"/>
              <w:rPr>
                <w:color w:val="010205"/>
                <w:sz w:val="22"/>
              </w:rPr>
            </w:pPr>
            <w:r w:rsidRPr="007A1487">
              <w:rPr>
                <w:color w:val="010205"/>
                <w:sz w:val="22"/>
              </w:rPr>
              <w:t>0,53843</w:t>
            </w:r>
          </w:p>
        </w:tc>
        <w:tc>
          <w:tcPr>
            <w:tcW w:w="976" w:type="dxa"/>
            <w:noWrap/>
          </w:tcPr>
          <w:p w:rsidR="008C3F96" w:rsidRPr="007A1487" w:rsidRDefault="008C3F96" w:rsidP="00EF7A8F">
            <w:pPr>
              <w:autoSpaceDE w:val="0"/>
              <w:autoSpaceDN w:val="0"/>
              <w:adjustRightInd w:val="0"/>
              <w:spacing w:line="320" w:lineRule="atLeast"/>
              <w:ind w:left="60" w:right="60"/>
              <w:jc w:val="center"/>
              <w:rPr>
                <w:color w:val="010205"/>
                <w:sz w:val="22"/>
              </w:rPr>
            </w:pPr>
            <w:r w:rsidRPr="007A1487">
              <w:rPr>
                <w:color w:val="010205"/>
                <w:sz w:val="22"/>
              </w:rPr>
              <w:t>33</w:t>
            </w:r>
          </w:p>
        </w:tc>
      </w:tr>
    </w:tbl>
    <w:p w:rsidR="008C3F96" w:rsidRDefault="008C3F96" w:rsidP="008C3F96">
      <w:pPr>
        <w:spacing w:line="360" w:lineRule="auto"/>
        <w:ind w:firstLine="540"/>
        <w:jc w:val="both"/>
        <w:rPr>
          <w:iCs/>
          <w:sz w:val="22"/>
          <w:szCs w:val="22"/>
        </w:rPr>
      </w:pPr>
    </w:p>
    <w:p w:rsidR="008C3F96" w:rsidRDefault="008C3F96" w:rsidP="008C3F96">
      <w:pPr>
        <w:spacing w:line="360" w:lineRule="auto"/>
        <w:ind w:firstLine="540"/>
        <w:jc w:val="both"/>
        <w:rPr>
          <w:iCs/>
          <w:sz w:val="22"/>
          <w:szCs w:val="22"/>
        </w:rPr>
      </w:pPr>
      <w:r w:rsidRPr="008C3F96">
        <w:rPr>
          <w:iCs/>
          <w:sz w:val="22"/>
          <w:szCs w:val="22"/>
        </w:rPr>
        <w:t xml:space="preserve">İşsizlik tanımı yapılırken dikkat edilmesi gereken önemli husus işsiz kişi tanımlamasıdır. İşsizler işsiz olduklarını, çalışmaya hazır olduklarını ve son dört haftadır iş bulmak için aktif adım attıklarını bildiren kişilerden oluşmaktadır. İşsizlik oranı (UR), işgücü içerisindeki işsizlerin yüzdesidir. Uzun süreli işsizlik, kişilerin işsiz kalma süresine göre sınıflandırılmasına dayanmaktadır. OECD, EUROSTAT, ILO çalışmalarında bir yıl ve daha uzun süreli işsizlik durumu taşıyan kişileri “uzun süreli işsiz” olarak tanımlanmaktadır. Uzun süreli işsizlik oranı (LUR), işsiz bireyler içerisindeki uzun süreli işsizlerin oranı olarak ölçülmektedir. Yüksek uzun süreli işsizlik oranları işgücü piyasalarının verimsiz çalıştığını ifade etmesinden dolayı karar alıcılar için önemli göstergelerdendir.  </w:t>
      </w:r>
    </w:p>
    <w:p w:rsidR="007A1487" w:rsidRPr="008C3F96" w:rsidRDefault="007A1487" w:rsidP="008C3F96">
      <w:pPr>
        <w:spacing w:line="360" w:lineRule="auto"/>
        <w:ind w:firstLine="540"/>
        <w:jc w:val="both"/>
        <w:rPr>
          <w:iCs/>
          <w:sz w:val="22"/>
          <w:szCs w:val="22"/>
        </w:rPr>
      </w:pPr>
    </w:p>
    <w:p w:rsidR="008C3F96" w:rsidRDefault="008C3F96" w:rsidP="008C3F96">
      <w:pPr>
        <w:spacing w:line="360" w:lineRule="auto"/>
        <w:ind w:firstLine="540"/>
        <w:jc w:val="both"/>
        <w:rPr>
          <w:iCs/>
          <w:sz w:val="22"/>
          <w:szCs w:val="22"/>
        </w:rPr>
      </w:pPr>
      <w:r w:rsidRPr="008C3F96">
        <w:rPr>
          <w:iCs/>
          <w:sz w:val="22"/>
          <w:szCs w:val="22"/>
        </w:rPr>
        <w:t xml:space="preserve">Ele alınan ülkeler açısından işsizlik oranı düşük ülkeler kendi iç dinamiklerine uygun işgücü piyasası politikası uygulayan ülkeler olurken en yüksek oranlar ele alınan zaman dilimi içerisinde yaşadığı ekonomik kriz nedeniyle her iki göstergede de Yunanistan’dır. Veri seti içerisinde en düşük işsizlik oranı %3,1 ile İzlanda en yüksek oran ise %23,7 ile Yunanistan’dadır. 2016 yılı içerisinde ele alınan ülkeler arasında ortalama işsizlik oranı %7,52’dir. Uzun süreli işsizlik oranına ait en düşük oran %0,9 ile Güney Kore’de en yüksek oran ise %72,0 ile Yunanistan’dadır. Ele alınan dönem içerisinde ortalama uzun süreli işsizlik oranı %33,87’dir. </w:t>
      </w:r>
    </w:p>
    <w:p w:rsidR="007A1487" w:rsidRPr="008C3F96" w:rsidRDefault="007A1487" w:rsidP="008C3F96">
      <w:pPr>
        <w:spacing w:line="360" w:lineRule="auto"/>
        <w:ind w:firstLine="540"/>
        <w:jc w:val="both"/>
        <w:rPr>
          <w:iCs/>
          <w:sz w:val="22"/>
          <w:szCs w:val="22"/>
        </w:rPr>
      </w:pPr>
    </w:p>
    <w:p w:rsidR="008C3F96" w:rsidRDefault="008C3F96" w:rsidP="008C3F96">
      <w:pPr>
        <w:spacing w:line="360" w:lineRule="auto"/>
        <w:ind w:firstLine="540"/>
        <w:jc w:val="both"/>
        <w:rPr>
          <w:iCs/>
          <w:sz w:val="22"/>
          <w:szCs w:val="22"/>
        </w:rPr>
      </w:pPr>
      <w:r w:rsidRPr="008C3F96">
        <w:rPr>
          <w:iCs/>
          <w:sz w:val="22"/>
          <w:szCs w:val="22"/>
        </w:rPr>
        <w:t>Bir diğer ele alınan gösterge ise net ikame (2 ay) oranıdır.  OECD tarafından aile bireylerinin çalışma statüleri ve sahip olunan çocuk sayısına göre farklı kombinasyonlar için net ikame oranları hesaplanmaktadır. Bu çalışmada kullanılan net ikame oranı daha önce kazanılan ortalama ücreti alan iki çocuklu (4 ve 6 yaşlarında olduğu varsayımı ile) ve eşin çalışmadığı bir ailede kişinin işsizlikten sonraki ikinci ayda yıllıklandırılmış gelir baz alınarak hesaplanan kısa süreli net ikame oranıdır. Ele alınan ülkeler arasında net ikame oranı en yüksek ülke %95 ile İsviçre en düşük ise %66 ile İngiltere olup ele alınan 2016 yılı içerisinde net ikame oranına ait ortalama değer %84,68’dir.</w:t>
      </w:r>
    </w:p>
    <w:p w:rsidR="00E461C6" w:rsidRPr="008C3F96" w:rsidRDefault="00E461C6" w:rsidP="008C3F96">
      <w:pPr>
        <w:spacing w:line="360" w:lineRule="auto"/>
        <w:ind w:firstLine="540"/>
        <w:jc w:val="both"/>
        <w:rPr>
          <w:iCs/>
          <w:sz w:val="22"/>
          <w:szCs w:val="22"/>
        </w:rPr>
      </w:pPr>
    </w:p>
    <w:p w:rsidR="008C3F96" w:rsidRDefault="008C3F96" w:rsidP="008C3F96">
      <w:pPr>
        <w:spacing w:line="360" w:lineRule="auto"/>
        <w:ind w:firstLine="540"/>
        <w:jc w:val="both"/>
        <w:rPr>
          <w:iCs/>
          <w:sz w:val="22"/>
          <w:szCs w:val="22"/>
        </w:rPr>
      </w:pPr>
      <w:r w:rsidRPr="008C3F96">
        <w:rPr>
          <w:iCs/>
          <w:sz w:val="22"/>
          <w:szCs w:val="22"/>
        </w:rPr>
        <w:lastRenderedPageBreak/>
        <w:t>Pasif işgücü piyasası politikaları içerisinde yer alan işsizlik yardımı ve desteğine yapılan harcamaların GSMH içerisindeki oranı ifade eden göstergeye ilişkin en yüksek pay %2,04 değeri ile Fransa’ya ait iken en düşük pay ayıran ülke ise %⁓0,00 ile Meksika’dır. OECD ülkelerinde alınan işsizlik yardımı ve desteğine yapılan harcamaların GSMH içerisindeki oranına ilişkin 2016 yılında elde edilen ortalama değer 0,69’dur.</w:t>
      </w:r>
      <w:r w:rsidR="00E461C6">
        <w:rPr>
          <w:iCs/>
          <w:sz w:val="22"/>
          <w:szCs w:val="22"/>
        </w:rPr>
        <w:t xml:space="preserve"> </w:t>
      </w:r>
    </w:p>
    <w:p w:rsidR="00E461C6" w:rsidRPr="008C3F96" w:rsidRDefault="00E461C6" w:rsidP="008C3F96">
      <w:pPr>
        <w:spacing w:line="360" w:lineRule="auto"/>
        <w:ind w:firstLine="540"/>
        <w:jc w:val="both"/>
        <w:rPr>
          <w:iCs/>
          <w:sz w:val="22"/>
          <w:szCs w:val="22"/>
        </w:rPr>
      </w:pPr>
    </w:p>
    <w:p w:rsidR="008C3F96" w:rsidRPr="008C3F96" w:rsidRDefault="008C3F96" w:rsidP="008C3F96">
      <w:pPr>
        <w:spacing w:line="360" w:lineRule="auto"/>
        <w:ind w:firstLine="540"/>
        <w:jc w:val="both"/>
        <w:rPr>
          <w:iCs/>
          <w:sz w:val="22"/>
          <w:szCs w:val="22"/>
        </w:rPr>
      </w:pPr>
      <w:r w:rsidRPr="008C3F96">
        <w:rPr>
          <w:iCs/>
          <w:sz w:val="22"/>
          <w:szCs w:val="22"/>
        </w:rPr>
        <w:t>İşsizlik yardımlarından faydalanan kişi sayısında (gelir testi ve gelir testi olmaksızın) yaşanan değişimi ele alan gösterge ile hem ülkeler bazında hem de yıllar itibariyle yaşanan değişimi incelenebilmektedir. Göstergeye ilişkin karşılaştırmalar 2007 yılı baz alınarak oluşturulan endeks vasıtası ile gerçekleştirilmektedir. Veri seti içerisinde en az faydalanıcı endeksine sahip ülke 47 değeri ile Macaristan olurken en yüksek değere sahip ülke 348 ile Yeni Zelanda’dır. 2016 yılı içerisinde ele alınan ülkeler arasında ortalama faydalanıcı endeks değeri 150’dir.</w:t>
      </w:r>
    </w:p>
    <w:p w:rsidR="00DF6CFD" w:rsidRDefault="00DF6CFD" w:rsidP="00CD1F27">
      <w:pPr>
        <w:spacing w:line="360" w:lineRule="auto"/>
        <w:ind w:firstLine="540"/>
        <w:jc w:val="both"/>
        <w:rPr>
          <w:iCs/>
          <w:sz w:val="22"/>
          <w:szCs w:val="22"/>
        </w:rPr>
      </w:pPr>
    </w:p>
    <w:p w:rsidR="008C3F96" w:rsidRDefault="00DF6CFD" w:rsidP="00CD1F27">
      <w:pPr>
        <w:spacing w:line="360" w:lineRule="auto"/>
        <w:ind w:firstLine="540"/>
        <w:jc w:val="both"/>
        <w:rPr>
          <w:iCs/>
          <w:sz w:val="22"/>
          <w:szCs w:val="22"/>
        </w:rPr>
      </w:pPr>
      <w:r w:rsidRPr="00DA1B2C">
        <w:rPr>
          <w:iCs/>
          <w:sz w:val="22"/>
          <w:szCs w:val="22"/>
        </w:rPr>
        <w:t xml:space="preserve">Kümeleme analizinde </w:t>
      </w:r>
      <w:r>
        <w:rPr>
          <w:iCs/>
          <w:sz w:val="22"/>
          <w:szCs w:val="22"/>
        </w:rPr>
        <w:t>e</w:t>
      </w:r>
      <w:r w:rsidRPr="00DA1B2C">
        <w:rPr>
          <w:iCs/>
          <w:sz w:val="22"/>
          <w:szCs w:val="22"/>
        </w:rPr>
        <w:t>lde edilecek küme sayısına ilişkin ön bilgi bulunmaması nedeniyle hiyerarşik</w:t>
      </w:r>
      <w:r>
        <w:rPr>
          <w:iCs/>
          <w:sz w:val="22"/>
          <w:szCs w:val="22"/>
        </w:rPr>
        <w:t xml:space="preserve"> olmayan kümeleme yöntemi tercih edilmiş olup, </w:t>
      </w:r>
      <w:r w:rsidRPr="00DA1B2C">
        <w:rPr>
          <w:iCs/>
          <w:sz w:val="22"/>
          <w:szCs w:val="22"/>
        </w:rPr>
        <w:t>benzerlik/uzaklık ölçüsü olarak Karesel Öklid (Squared Euclidean) Uzaklığı seçilmiş ve iki küme arasındaki uzaklığın hesaplanmasında merkezden sapmaları yani varyansı esas alan Ward Tekniği kullanılmıştır.</w:t>
      </w:r>
      <w:r>
        <w:rPr>
          <w:iCs/>
          <w:sz w:val="22"/>
          <w:szCs w:val="22"/>
        </w:rPr>
        <w:t xml:space="preserve"> </w:t>
      </w:r>
      <w:r w:rsidRPr="00DF6CFD">
        <w:rPr>
          <w:iCs/>
          <w:sz w:val="22"/>
          <w:szCs w:val="22"/>
        </w:rPr>
        <w:t xml:space="preserve">Yapılan analizler sonucunda elde edilen dendogram grafiği </w:t>
      </w:r>
      <w:r w:rsidR="00375311">
        <w:rPr>
          <w:iCs/>
          <w:sz w:val="22"/>
          <w:szCs w:val="22"/>
        </w:rPr>
        <w:t>Şekil 5.1</w:t>
      </w:r>
      <w:r w:rsidRPr="00DF6CFD">
        <w:rPr>
          <w:iCs/>
          <w:sz w:val="22"/>
          <w:szCs w:val="22"/>
        </w:rPr>
        <w:t xml:space="preserve">’de yer almaktadır. Dendogram grafiği sonuçlarına göre 6 ülke kümesi elde edilmiş, her bir ülkenin temsil edildiği kümeler ise </w:t>
      </w:r>
      <w:r>
        <w:rPr>
          <w:iCs/>
          <w:sz w:val="22"/>
          <w:szCs w:val="22"/>
        </w:rPr>
        <w:t>Çizelge 5.1</w:t>
      </w:r>
      <w:r w:rsidRPr="00DF6CFD">
        <w:rPr>
          <w:iCs/>
          <w:sz w:val="22"/>
          <w:szCs w:val="22"/>
        </w:rPr>
        <w:t>’de verilmiştir.</w:t>
      </w:r>
      <w:r w:rsidR="00375311">
        <w:rPr>
          <w:iCs/>
          <w:sz w:val="22"/>
          <w:szCs w:val="22"/>
        </w:rPr>
        <w:t xml:space="preserve"> </w:t>
      </w:r>
    </w:p>
    <w:p w:rsidR="00375311" w:rsidRDefault="00375311" w:rsidP="00CD1F27">
      <w:pPr>
        <w:spacing w:line="360" w:lineRule="auto"/>
        <w:ind w:firstLine="540"/>
        <w:jc w:val="both"/>
        <w:rPr>
          <w:iCs/>
          <w:sz w:val="22"/>
          <w:szCs w:val="22"/>
        </w:rPr>
      </w:pPr>
    </w:p>
    <w:p w:rsidR="00375311" w:rsidRDefault="00375311" w:rsidP="00375311">
      <w:pPr>
        <w:autoSpaceDE w:val="0"/>
        <w:autoSpaceDN w:val="0"/>
        <w:adjustRightInd w:val="0"/>
      </w:pPr>
      <w:r>
        <w:rPr>
          <w:noProof/>
        </w:rPr>
        <w:drawing>
          <wp:inline distT="0" distB="0" distL="0" distR="0" wp14:anchorId="16CF099D" wp14:editId="1FB094CB">
            <wp:extent cx="4981575" cy="35242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1575" cy="3524250"/>
                    </a:xfrm>
                    <a:prstGeom prst="rect">
                      <a:avLst/>
                    </a:prstGeom>
                    <a:noFill/>
                    <a:ln>
                      <a:noFill/>
                    </a:ln>
                  </pic:spPr>
                </pic:pic>
              </a:graphicData>
            </a:graphic>
          </wp:inline>
        </w:drawing>
      </w:r>
    </w:p>
    <w:p w:rsidR="00375311" w:rsidRDefault="00375311" w:rsidP="00375311">
      <w:pPr>
        <w:autoSpaceDE w:val="0"/>
        <w:autoSpaceDN w:val="0"/>
        <w:adjustRightInd w:val="0"/>
      </w:pPr>
    </w:p>
    <w:p w:rsidR="00375311" w:rsidRDefault="00375311" w:rsidP="0034682B">
      <w:pPr>
        <w:pStyle w:val="ResimYazs"/>
        <w:spacing w:before="120" w:after="120"/>
        <w:rPr>
          <w:i w:val="0"/>
          <w:color w:val="auto"/>
          <w:sz w:val="24"/>
          <w:szCs w:val="24"/>
        </w:rPr>
      </w:pPr>
      <w:bookmarkStart w:id="10" w:name="_Toc58932237"/>
      <w:r>
        <w:rPr>
          <w:b/>
          <w:i w:val="0"/>
          <w:color w:val="auto"/>
          <w:sz w:val="22"/>
          <w:szCs w:val="24"/>
        </w:rPr>
        <w:t xml:space="preserve">Şekil </w:t>
      </w:r>
      <w:r w:rsidR="009F49ED">
        <w:rPr>
          <w:b/>
          <w:i w:val="0"/>
          <w:noProof/>
          <w:color w:val="auto"/>
          <w:sz w:val="22"/>
          <w:szCs w:val="24"/>
        </w:rPr>
        <w:t>4</w:t>
      </w:r>
      <w:r w:rsidRPr="00375311">
        <w:rPr>
          <w:b/>
          <w:i w:val="0"/>
          <w:color w:val="auto"/>
          <w:sz w:val="22"/>
          <w:szCs w:val="24"/>
        </w:rPr>
        <w:t>.</w:t>
      </w:r>
      <w:r w:rsidRPr="00375311">
        <w:rPr>
          <w:b/>
          <w:i w:val="0"/>
          <w:noProof/>
          <w:color w:val="auto"/>
          <w:sz w:val="22"/>
          <w:szCs w:val="24"/>
        </w:rPr>
        <w:fldChar w:fldCharType="begin"/>
      </w:r>
      <w:r w:rsidRPr="00375311">
        <w:rPr>
          <w:b/>
          <w:i w:val="0"/>
          <w:noProof/>
          <w:color w:val="auto"/>
          <w:sz w:val="22"/>
          <w:szCs w:val="24"/>
        </w:rPr>
        <w:instrText xml:space="preserve"> SEQ Grafik \* ARABIC \s 1 </w:instrText>
      </w:r>
      <w:r w:rsidRPr="00375311">
        <w:rPr>
          <w:b/>
          <w:i w:val="0"/>
          <w:noProof/>
          <w:color w:val="auto"/>
          <w:sz w:val="22"/>
          <w:szCs w:val="24"/>
        </w:rPr>
        <w:fldChar w:fldCharType="separate"/>
      </w:r>
      <w:r w:rsidRPr="00375311">
        <w:rPr>
          <w:b/>
          <w:i w:val="0"/>
          <w:noProof/>
          <w:color w:val="auto"/>
          <w:sz w:val="22"/>
          <w:szCs w:val="24"/>
        </w:rPr>
        <w:t>1</w:t>
      </w:r>
      <w:r w:rsidRPr="00375311">
        <w:rPr>
          <w:b/>
          <w:i w:val="0"/>
          <w:noProof/>
          <w:color w:val="auto"/>
          <w:sz w:val="22"/>
          <w:szCs w:val="24"/>
        </w:rPr>
        <w:fldChar w:fldCharType="end"/>
      </w:r>
      <w:r w:rsidRPr="00375311">
        <w:rPr>
          <w:b/>
          <w:i w:val="0"/>
          <w:color w:val="auto"/>
          <w:sz w:val="22"/>
          <w:szCs w:val="24"/>
        </w:rPr>
        <w:t>.</w:t>
      </w:r>
      <w:r w:rsidRPr="00375311">
        <w:rPr>
          <w:i w:val="0"/>
          <w:color w:val="auto"/>
          <w:sz w:val="22"/>
          <w:szCs w:val="24"/>
        </w:rPr>
        <w:t xml:space="preserve"> Hiyerarşik Kümeleme Analizi Dendogram Grafiği (Ward Tekniği</w:t>
      </w:r>
      <w:r w:rsidRPr="00B0526C">
        <w:rPr>
          <w:i w:val="0"/>
          <w:color w:val="auto"/>
          <w:sz w:val="24"/>
          <w:szCs w:val="24"/>
        </w:rPr>
        <w:t>)</w:t>
      </w:r>
      <w:bookmarkStart w:id="11" w:name="_Toc58932230"/>
      <w:bookmarkEnd w:id="10"/>
    </w:p>
    <w:p w:rsidR="00375311" w:rsidRPr="00375311" w:rsidRDefault="00375311" w:rsidP="00375311">
      <w:pPr>
        <w:pStyle w:val="ResimYazs"/>
        <w:spacing w:before="240" w:after="240"/>
        <w:rPr>
          <w:i w:val="0"/>
          <w:color w:val="auto"/>
          <w:sz w:val="22"/>
          <w:szCs w:val="24"/>
        </w:rPr>
      </w:pPr>
      <w:r w:rsidRPr="00375311">
        <w:rPr>
          <w:b/>
          <w:i w:val="0"/>
          <w:color w:val="auto"/>
          <w:sz w:val="22"/>
          <w:szCs w:val="24"/>
        </w:rPr>
        <w:lastRenderedPageBreak/>
        <w:t xml:space="preserve">Çizelge </w:t>
      </w:r>
      <w:r w:rsidR="009F49ED">
        <w:rPr>
          <w:b/>
          <w:i w:val="0"/>
          <w:noProof/>
          <w:color w:val="auto"/>
          <w:sz w:val="22"/>
          <w:szCs w:val="24"/>
        </w:rPr>
        <w:t>4</w:t>
      </w:r>
      <w:r w:rsidRPr="00375311">
        <w:rPr>
          <w:b/>
          <w:i w:val="0"/>
          <w:color w:val="auto"/>
          <w:sz w:val="22"/>
          <w:szCs w:val="24"/>
        </w:rPr>
        <w:t>.</w:t>
      </w:r>
      <w:r w:rsidRPr="00375311">
        <w:rPr>
          <w:b/>
          <w:i w:val="0"/>
          <w:noProof/>
          <w:color w:val="auto"/>
          <w:sz w:val="22"/>
          <w:szCs w:val="24"/>
        </w:rPr>
        <w:t>1</w:t>
      </w:r>
      <w:r w:rsidRPr="00375311">
        <w:rPr>
          <w:b/>
          <w:i w:val="0"/>
          <w:color w:val="auto"/>
          <w:sz w:val="22"/>
          <w:szCs w:val="24"/>
        </w:rPr>
        <w:t>.</w:t>
      </w:r>
      <w:r w:rsidRPr="00375311">
        <w:rPr>
          <w:i w:val="0"/>
          <w:color w:val="auto"/>
          <w:sz w:val="22"/>
          <w:szCs w:val="24"/>
        </w:rPr>
        <w:t xml:space="preserve"> Hiyerarşik Kümeleme Analizi Sonuçları</w:t>
      </w:r>
      <w:bookmarkEnd w:id="11"/>
    </w:p>
    <w:tbl>
      <w:tblPr>
        <w:tblStyle w:val="DzTablo1"/>
        <w:tblW w:w="9209" w:type="dxa"/>
        <w:tblLook w:val="04A0" w:firstRow="1" w:lastRow="0" w:firstColumn="1" w:lastColumn="0" w:noHBand="0" w:noVBand="1"/>
      </w:tblPr>
      <w:tblGrid>
        <w:gridCol w:w="1788"/>
        <w:gridCol w:w="1517"/>
        <w:gridCol w:w="1510"/>
        <w:gridCol w:w="1638"/>
        <w:gridCol w:w="1439"/>
        <w:gridCol w:w="1317"/>
      </w:tblGrid>
      <w:tr w:rsidR="00375311" w:rsidRPr="00375311" w:rsidTr="00AB5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8" w:type="dxa"/>
          </w:tcPr>
          <w:p w:rsidR="00375311" w:rsidRPr="00375311" w:rsidRDefault="00375311" w:rsidP="00AB5A62">
            <w:pPr>
              <w:rPr>
                <w:sz w:val="22"/>
              </w:rPr>
            </w:pPr>
            <w:r w:rsidRPr="00375311">
              <w:rPr>
                <w:sz w:val="22"/>
              </w:rPr>
              <w:t>Küme 1</w:t>
            </w:r>
          </w:p>
        </w:tc>
        <w:tc>
          <w:tcPr>
            <w:tcW w:w="1517" w:type="dxa"/>
          </w:tcPr>
          <w:p w:rsidR="00375311" w:rsidRPr="00375311" w:rsidRDefault="00375311" w:rsidP="00AB5A62">
            <w:pPr>
              <w:cnfStyle w:val="100000000000" w:firstRow="1" w:lastRow="0" w:firstColumn="0" w:lastColumn="0" w:oddVBand="0" w:evenVBand="0" w:oddHBand="0" w:evenHBand="0" w:firstRowFirstColumn="0" w:firstRowLastColumn="0" w:lastRowFirstColumn="0" w:lastRowLastColumn="0"/>
              <w:rPr>
                <w:sz w:val="22"/>
              </w:rPr>
            </w:pPr>
            <w:r w:rsidRPr="00375311">
              <w:rPr>
                <w:sz w:val="22"/>
              </w:rPr>
              <w:t>Küme 2</w:t>
            </w:r>
          </w:p>
        </w:tc>
        <w:tc>
          <w:tcPr>
            <w:tcW w:w="1510" w:type="dxa"/>
          </w:tcPr>
          <w:p w:rsidR="00375311" w:rsidRPr="00375311" w:rsidRDefault="00375311" w:rsidP="00AB5A62">
            <w:pPr>
              <w:cnfStyle w:val="100000000000" w:firstRow="1" w:lastRow="0" w:firstColumn="0" w:lastColumn="0" w:oddVBand="0" w:evenVBand="0" w:oddHBand="0" w:evenHBand="0" w:firstRowFirstColumn="0" w:firstRowLastColumn="0" w:lastRowFirstColumn="0" w:lastRowLastColumn="0"/>
              <w:rPr>
                <w:sz w:val="22"/>
              </w:rPr>
            </w:pPr>
            <w:r w:rsidRPr="00375311">
              <w:rPr>
                <w:sz w:val="22"/>
              </w:rPr>
              <w:t>Küme 3</w:t>
            </w:r>
          </w:p>
        </w:tc>
        <w:tc>
          <w:tcPr>
            <w:tcW w:w="1638" w:type="dxa"/>
          </w:tcPr>
          <w:p w:rsidR="00375311" w:rsidRPr="00375311" w:rsidRDefault="00375311" w:rsidP="00AB5A62">
            <w:pPr>
              <w:cnfStyle w:val="100000000000" w:firstRow="1" w:lastRow="0" w:firstColumn="0" w:lastColumn="0" w:oddVBand="0" w:evenVBand="0" w:oddHBand="0" w:evenHBand="0" w:firstRowFirstColumn="0" w:firstRowLastColumn="0" w:lastRowFirstColumn="0" w:lastRowLastColumn="0"/>
              <w:rPr>
                <w:sz w:val="22"/>
              </w:rPr>
            </w:pPr>
            <w:r w:rsidRPr="00375311">
              <w:rPr>
                <w:sz w:val="22"/>
              </w:rPr>
              <w:t>Küme 4</w:t>
            </w:r>
          </w:p>
        </w:tc>
        <w:tc>
          <w:tcPr>
            <w:tcW w:w="1439" w:type="dxa"/>
          </w:tcPr>
          <w:p w:rsidR="00375311" w:rsidRPr="00375311" w:rsidRDefault="00375311" w:rsidP="00AB5A62">
            <w:pPr>
              <w:cnfStyle w:val="100000000000" w:firstRow="1" w:lastRow="0" w:firstColumn="0" w:lastColumn="0" w:oddVBand="0" w:evenVBand="0" w:oddHBand="0" w:evenHBand="0" w:firstRowFirstColumn="0" w:firstRowLastColumn="0" w:lastRowFirstColumn="0" w:lastRowLastColumn="0"/>
              <w:rPr>
                <w:sz w:val="22"/>
              </w:rPr>
            </w:pPr>
            <w:r w:rsidRPr="00375311">
              <w:rPr>
                <w:sz w:val="22"/>
              </w:rPr>
              <w:t>Küme 5</w:t>
            </w:r>
          </w:p>
        </w:tc>
        <w:tc>
          <w:tcPr>
            <w:tcW w:w="1317" w:type="dxa"/>
          </w:tcPr>
          <w:p w:rsidR="00375311" w:rsidRPr="00375311" w:rsidRDefault="00375311" w:rsidP="00AB5A62">
            <w:pPr>
              <w:cnfStyle w:val="100000000000" w:firstRow="1" w:lastRow="0" w:firstColumn="0" w:lastColumn="0" w:oddVBand="0" w:evenVBand="0" w:oddHBand="0" w:evenHBand="0" w:firstRowFirstColumn="0" w:firstRowLastColumn="0" w:lastRowFirstColumn="0" w:lastRowLastColumn="0"/>
              <w:rPr>
                <w:sz w:val="22"/>
              </w:rPr>
            </w:pPr>
            <w:r w:rsidRPr="00375311">
              <w:rPr>
                <w:sz w:val="22"/>
              </w:rPr>
              <w:t>Küme 6</w:t>
            </w:r>
          </w:p>
        </w:tc>
      </w:tr>
      <w:tr w:rsidR="00375311" w:rsidRPr="00375311" w:rsidTr="00375311">
        <w:trPr>
          <w:cnfStyle w:val="000000100000" w:firstRow="0" w:lastRow="0" w:firstColumn="0" w:lastColumn="0" w:oddVBand="0" w:evenVBand="0" w:oddHBand="1" w:evenHBand="0" w:firstRowFirstColumn="0" w:firstRowLastColumn="0" w:lastRowFirstColumn="0" w:lastRowLastColumn="0"/>
          <w:trHeight w:val="2349"/>
        </w:trPr>
        <w:tc>
          <w:tcPr>
            <w:cnfStyle w:val="001000000000" w:firstRow="0" w:lastRow="0" w:firstColumn="1" w:lastColumn="0" w:oddVBand="0" w:evenVBand="0" w:oddHBand="0" w:evenHBand="0" w:firstRowFirstColumn="0" w:firstRowLastColumn="0" w:lastRowFirstColumn="0" w:lastRowLastColumn="0"/>
            <w:tcW w:w="1788" w:type="dxa"/>
          </w:tcPr>
          <w:p w:rsidR="00375311" w:rsidRPr="00375311" w:rsidRDefault="00375311" w:rsidP="00AB5A62">
            <w:pPr>
              <w:rPr>
                <w:b w:val="0"/>
                <w:sz w:val="22"/>
              </w:rPr>
            </w:pPr>
            <w:r w:rsidRPr="00375311">
              <w:rPr>
                <w:b w:val="0"/>
                <w:sz w:val="22"/>
              </w:rPr>
              <w:t>Kanada</w:t>
            </w:r>
          </w:p>
          <w:p w:rsidR="00375311" w:rsidRPr="00375311" w:rsidRDefault="00375311" w:rsidP="00AB5A62">
            <w:pPr>
              <w:rPr>
                <w:b w:val="0"/>
                <w:sz w:val="22"/>
              </w:rPr>
            </w:pPr>
            <w:r w:rsidRPr="00375311">
              <w:rPr>
                <w:b w:val="0"/>
                <w:sz w:val="22"/>
              </w:rPr>
              <w:t>İsveç</w:t>
            </w:r>
          </w:p>
          <w:p w:rsidR="00375311" w:rsidRPr="00375311" w:rsidRDefault="00375311" w:rsidP="00AB5A62">
            <w:pPr>
              <w:rPr>
                <w:b w:val="0"/>
                <w:sz w:val="22"/>
              </w:rPr>
            </w:pPr>
            <w:r w:rsidRPr="00375311">
              <w:rPr>
                <w:b w:val="0"/>
                <w:sz w:val="22"/>
              </w:rPr>
              <w:t>İsrail</w:t>
            </w:r>
          </w:p>
          <w:p w:rsidR="00375311" w:rsidRPr="00375311" w:rsidRDefault="00375311" w:rsidP="00AB5A62">
            <w:pPr>
              <w:rPr>
                <w:b w:val="0"/>
                <w:sz w:val="22"/>
              </w:rPr>
            </w:pPr>
            <w:r w:rsidRPr="00375311">
              <w:rPr>
                <w:b w:val="0"/>
                <w:sz w:val="22"/>
              </w:rPr>
              <w:t>ABD</w:t>
            </w:r>
          </w:p>
          <w:p w:rsidR="00375311" w:rsidRPr="00375311" w:rsidRDefault="00375311" w:rsidP="00AB5A62">
            <w:pPr>
              <w:rPr>
                <w:b w:val="0"/>
                <w:sz w:val="22"/>
              </w:rPr>
            </w:pPr>
            <w:r w:rsidRPr="00375311">
              <w:rPr>
                <w:b w:val="0"/>
                <w:sz w:val="22"/>
              </w:rPr>
              <w:t>Şili</w:t>
            </w:r>
          </w:p>
          <w:p w:rsidR="00375311" w:rsidRPr="00375311" w:rsidRDefault="00375311" w:rsidP="00AB5A62">
            <w:pPr>
              <w:rPr>
                <w:b w:val="0"/>
                <w:sz w:val="22"/>
              </w:rPr>
            </w:pPr>
            <w:r w:rsidRPr="00375311">
              <w:rPr>
                <w:b w:val="0"/>
                <w:sz w:val="22"/>
              </w:rPr>
              <w:t>G.Kore</w:t>
            </w:r>
          </w:p>
          <w:p w:rsidR="00375311" w:rsidRPr="00375311" w:rsidRDefault="00375311" w:rsidP="00AB5A62">
            <w:pPr>
              <w:rPr>
                <w:b w:val="0"/>
                <w:sz w:val="22"/>
              </w:rPr>
            </w:pPr>
            <w:r w:rsidRPr="00375311">
              <w:rPr>
                <w:b w:val="0"/>
                <w:sz w:val="22"/>
              </w:rPr>
              <w:t>Avusturalya</w:t>
            </w:r>
          </w:p>
          <w:p w:rsidR="00375311" w:rsidRPr="00375311" w:rsidRDefault="00375311" w:rsidP="00AB5A62">
            <w:pPr>
              <w:rPr>
                <w:b w:val="0"/>
                <w:sz w:val="22"/>
              </w:rPr>
            </w:pPr>
            <w:r w:rsidRPr="00375311">
              <w:rPr>
                <w:b w:val="0"/>
                <w:sz w:val="22"/>
              </w:rPr>
              <w:t>İngiltere</w:t>
            </w:r>
          </w:p>
          <w:p w:rsidR="00375311" w:rsidRPr="00375311" w:rsidRDefault="00375311" w:rsidP="00AB5A62">
            <w:pPr>
              <w:rPr>
                <w:sz w:val="22"/>
              </w:rPr>
            </w:pPr>
            <w:r w:rsidRPr="00375311">
              <w:rPr>
                <w:b w:val="0"/>
                <w:sz w:val="22"/>
              </w:rPr>
              <w:t>Türkiye</w:t>
            </w:r>
          </w:p>
        </w:tc>
        <w:tc>
          <w:tcPr>
            <w:tcW w:w="1517" w:type="dxa"/>
          </w:tcPr>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Litvanya</w:t>
            </w:r>
          </w:p>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Norveç</w:t>
            </w:r>
          </w:p>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Estonya</w:t>
            </w:r>
          </w:p>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Yeni Zelanda</w:t>
            </w:r>
          </w:p>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p>
        </w:tc>
        <w:tc>
          <w:tcPr>
            <w:tcW w:w="1510" w:type="dxa"/>
          </w:tcPr>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Macaristan</w:t>
            </w:r>
          </w:p>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Japonya</w:t>
            </w:r>
          </w:p>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Çekya</w:t>
            </w:r>
          </w:p>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Polonya</w:t>
            </w:r>
          </w:p>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İzlanda</w:t>
            </w:r>
          </w:p>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p>
        </w:tc>
        <w:tc>
          <w:tcPr>
            <w:tcW w:w="1638" w:type="dxa"/>
          </w:tcPr>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İsviçre</w:t>
            </w:r>
          </w:p>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Lüksemburg</w:t>
            </w:r>
          </w:p>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Almanya</w:t>
            </w:r>
          </w:p>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Danimarka</w:t>
            </w:r>
          </w:p>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Belçika</w:t>
            </w:r>
          </w:p>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Portekiz</w:t>
            </w:r>
          </w:p>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Letonya</w:t>
            </w:r>
          </w:p>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Slovenya</w:t>
            </w:r>
          </w:p>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Slovakya</w:t>
            </w:r>
          </w:p>
        </w:tc>
        <w:tc>
          <w:tcPr>
            <w:tcW w:w="1439" w:type="dxa"/>
          </w:tcPr>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Finlandiya</w:t>
            </w:r>
          </w:p>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Fransa</w:t>
            </w:r>
          </w:p>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Avusturya</w:t>
            </w:r>
          </w:p>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Hollanda</w:t>
            </w:r>
          </w:p>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İrlanda</w:t>
            </w:r>
          </w:p>
        </w:tc>
        <w:tc>
          <w:tcPr>
            <w:tcW w:w="1317" w:type="dxa"/>
          </w:tcPr>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İspanya</w:t>
            </w:r>
          </w:p>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İtalya</w:t>
            </w:r>
          </w:p>
          <w:p w:rsidR="00375311" w:rsidRPr="00375311" w:rsidRDefault="00375311" w:rsidP="00AB5A62">
            <w:pPr>
              <w:cnfStyle w:val="000000100000" w:firstRow="0" w:lastRow="0" w:firstColumn="0" w:lastColumn="0" w:oddVBand="0" w:evenVBand="0" w:oddHBand="1" w:evenHBand="0" w:firstRowFirstColumn="0" w:firstRowLastColumn="0" w:lastRowFirstColumn="0" w:lastRowLastColumn="0"/>
              <w:rPr>
                <w:sz w:val="22"/>
              </w:rPr>
            </w:pPr>
            <w:r w:rsidRPr="00375311">
              <w:rPr>
                <w:sz w:val="22"/>
              </w:rPr>
              <w:t>Yunanistan</w:t>
            </w:r>
          </w:p>
        </w:tc>
      </w:tr>
    </w:tbl>
    <w:p w:rsidR="00375311" w:rsidRDefault="00375311" w:rsidP="00375311">
      <w:pPr>
        <w:spacing w:line="360" w:lineRule="auto"/>
        <w:ind w:firstLine="540"/>
        <w:jc w:val="both"/>
        <w:rPr>
          <w:iCs/>
          <w:sz w:val="22"/>
          <w:szCs w:val="22"/>
        </w:rPr>
      </w:pPr>
    </w:p>
    <w:p w:rsidR="00375311" w:rsidRDefault="00375311" w:rsidP="00375311">
      <w:pPr>
        <w:spacing w:line="360" w:lineRule="auto"/>
        <w:ind w:firstLine="540"/>
        <w:jc w:val="both"/>
        <w:rPr>
          <w:iCs/>
          <w:sz w:val="22"/>
          <w:szCs w:val="22"/>
        </w:rPr>
      </w:pPr>
      <w:r w:rsidRPr="00375311">
        <w:rPr>
          <w:iCs/>
          <w:sz w:val="22"/>
          <w:szCs w:val="22"/>
        </w:rPr>
        <w:t xml:space="preserve">Küme 1: Kanada, İsveç, İsrail, ABD, Şili, G. Kore, Avustralya, İngiltere ve Türkiye’den oluşmaktadır.  Bu ülkeler düşük uzun süreli işsizlik oranı ve net ikame oranı ile öne çıkmaktadır.  </w:t>
      </w:r>
    </w:p>
    <w:p w:rsidR="00375311" w:rsidRDefault="00375311" w:rsidP="00375311">
      <w:pPr>
        <w:spacing w:line="360" w:lineRule="auto"/>
        <w:ind w:firstLine="540"/>
        <w:jc w:val="both"/>
        <w:rPr>
          <w:iCs/>
          <w:sz w:val="22"/>
          <w:szCs w:val="22"/>
        </w:rPr>
      </w:pPr>
    </w:p>
    <w:p w:rsidR="00375311" w:rsidRDefault="00375311" w:rsidP="00375311">
      <w:pPr>
        <w:spacing w:line="360" w:lineRule="auto"/>
        <w:ind w:firstLine="540"/>
        <w:jc w:val="both"/>
        <w:rPr>
          <w:iCs/>
          <w:sz w:val="22"/>
          <w:szCs w:val="22"/>
        </w:rPr>
      </w:pPr>
      <w:r w:rsidRPr="00375311">
        <w:rPr>
          <w:iCs/>
          <w:sz w:val="22"/>
          <w:szCs w:val="22"/>
        </w:rPr>
        <w:t xml:space="preserve">Küme 2:  Litvanya, Norveç, Estonya ve Yeni Zelanda ülkelerinden oluşmaktadır. Bu ülkelerde işsizlik yardımlarından faydalanan işsiz sayısının ele alınan OECD ülkeleri içerisinde en yüksek olduğu net ikame oranlarının ise nispeten düşük seyrettiği görülmektedir. </w:t>
      </w:r>
    </w:p>
    <w:p w:rsidR="00375311" w:rsidRDefault="00375311" w:rsidP="00375311">
      <w:pPr>
        <w:spacing w:line="360" w:lineRule="auto"/>
        <w:ind w:firstLine="540"/>
        <w:jc w:val="both"/>
        <w:rPr>
          <w:iCs/>
          <w:sz w:val="22"/>
          <w:szCs w:val="22"/>
        </w:rPr>
      </w:pPr>
    </w:p>
    <w:p w:rsidR="00375311" w:rsidRDefault="00375311" w:rsidP="00375311">
      <w:pPr>
        <w:spacing w:line="360" w:lineRule="auto"/>
        <w:ind w:firstLine="540"/>
        <w:jc w:val="both"/>
        <w:rPr>
          <w:iCs/>
          <w:sz w:val="22"/>
          <w:szCs w:val="22"/>
        </w:rPr>
      </w:pPr>
      <w:r w:rsidRPr="00375311">
        <w:rPr>
          <w:iCs/>
          <w:sz w:val="22"/>
          <w:szCs w:val="22"/>
        </w:rPr>
        <w:t xml:space="preserve">Küme 3: Macaristan, Japonya, Çekya, Polonya ve İzlanda ülkelerinden oluşmaktadır. Bu ülkeler işsizlik yardımlarından faydalana işsiz sayısının en düşük olduğu bununla birlikte net ikame oranı ve uzun süreli işsizlik oranının en yüksek seviyede olduğu ülkelerdir. </w:t>
      </w:r>
    </w:p>
    <w:p w:rsidR="00375311" w:rsidRPr="00375311" w:rsidRDefault="00375311" w:rsidP="00375311">
      <w:pPr>
        <w:spacing w:line="360" w:lineRule="auto"/>
        <w:ind w:firstLine="540"/>
        <w:jc w:val="both"/>
        <w:rPr>
          <w:iCs/>
          <w:sz w:val="22"/>
          <w:szCs w:val="22"/>
        </w:rPr>
      </w:pPr>
    </w:p>
    <w:p w:rsidR="00375311" w:rsidRDefault="00375311" w:rsidP="00375311">
      <w:pPr>
        <w:spacing w:line="360" w:lineRule="auto"/>
        <w:ind w:firstLine="540"/>
        <w:jc w:val="both"/>
        <w:rPr>
          <w:iCs/>
          <w:sz w:val="22"/>
          <w:szCs w:val="22"/>
        </w:rPr>
      </w:pPr>
      <w:r w:rsidRPr="00375311">
        <w:rPr>
          <w:iCs/>
          <w:sz w:val="22"/>
          <w:szCs w:val="22"/>
        </w:rPr>
        <w:t>Küme 4: İsviçre, Lüksemburg, Almanya, Danimarka, Belçika, Portekiz, Letonya, Slovenya ülkelerinden oluşmaktadır. Bu küme ise Küme 3’ün ardından işsizlik yardımlarından faydalanan işsiz sayısının düşük olduğu bununla birlikte net ikame oranlarının ise en yüksek seviyede gerçekleştiği ülkelerden oluşmaktadır.</w:t>
      </w:r>
    </w:p>
    <w:p w:rsidR="00375311" w:rsidRPr="00375311" w:rsidRDefault="00375311" w:rsidP="00375311">
      <w:pPr>
        <w:spacing w:line="360" w:lineRule="auto"/>
        <w:ind w:firstLine="540"/>
        <w:jc w:val="both"/>
        <w:rPr>
          <w:iCs/>
          <w:sz w:val="22"/>
          <w:szCs w:val="22"/>
        </w:rPr>
      </w:pPr>
    </w:p>
    <w:p w:rsidR="00375311" w:rsidRDefault="00375311" w:rsidP="00375311">
      <w:pPr>
        <w:spacing w:line="360" w:lineRule="auto"/>
        <w:ind w:firstLine="540"/>
        <w:jc w:val="both"/>
        <w:rPr>
          <w:iCs/>
          <w:sz w:val="22"/>
          <w:szCs w:val="22"/>
        </w:rPr>
      </w:pPr>
      <w:r w:rsidRPr="00375311">
        <w:rPr>
          <w:iCs/>
          <w:sz w:val="22"/>
          <w:szCs w:val="22"/>
        </w:rPr>
        <w:t xml:space="preserve">Küme 5: Finlandiya, Fransa, Avusturya, Hollanda ve İrlanda ülkelerinden oluşmaktadır. Bu küme pasif işgücü piyasası politikalarından olan işsizlik yardımları uygulamalarına GSMH içerisinden ayrılan oranın en yüksek olduğu ülkelerden oluşmaktadır.  </w:t>
      </w:r>
    </w:p>
    <w:p w:rsidR="00375311" w:rsidRPr="00375311" w:rsidRDefault="00375311" w:rsidP="00375311">
      <w:pPr>
        <w:spacing w:line="360" w:lineRule="auto"/>
        <w:ind w:firstLine="540"/>
        <w:jc w:val="both"/>
        <w:rPr>
          <w:iCs/>
          <w:sz w:val="22"/>
          <w:szCs w:val="22"/>
        </w:rPr>
      </w:pPr>
    </w:p>
    <w:p w:rsidR="00375311" w:rsidRDefault="00375311" w:rsidP="00375311">
      <w:pPr>
        <w:spacing w:line="360" w:lineRule="auto"/>
        <w:ind w:firstLine="540"/>
        <w:jc w:val="both"/>
        <w:rPr>
          <w:iCs/>
          <w:sz w:val="22"/>
          <w:szCs w:val="22"/>
        </w:rPr>
      </w:pPr>
      <w:r w:rsidRPr="00375311">
        <w:rPr>
          <w:iCs/>
          <w:sz w:val="22"/>
          <w:szCs w:val="22"/>
        </w:rPr>
        <w:t xml:space="preserve">Küme 6: İspanya, İtalya ve Yunanistan ülkelerinden oluşmaktadır. Küme 2’nin ardından işsizlik yardımlarından faydalanan işsiz sayısının yüksek olduğu ülkelerden oluşmaktadır. Bununla birlikte genel işsizlik oranının en yüksek olduğu ülkelerde bu küme altında yer almaktadır.   </w:t>
      </w:r>
    </w:p>
    <w:p w:rsidR="00375311" w:rsidRDefault="00375311" w:rsidP="00375311">
      <w:pPr>
        <w:spacing w:line="360" w:lineRule="auto"/>
        <w:ind w:firstLine="540"/>
        <w:jc w:val="both"/>
        <w:rPr>
          <w:iCs/>
          <w:sz w:val="22"/>
          <w:szCs w:val="22"/>
        </w:rPr>
      </w:pPr>
    </w:p>
    <w:p w:rsidR="00375311" w:rsidRDefault="00375311" w:rsidP="00375311">
      <w:pPr>
        <w:spacing w:line="360" w:lineRule="auto"/>
        <w:ind w:firstLine="540"/>
        <w:jc w:val="both"/>
        <w:rPr>
          <w:iCs/>
          <w:sz w:val="22"/>
          <w:szCs w:val="22"/>
        </w:rPr>
      </w:pPr>
      <w:r w:rsidRPr="00375311">
        <w:rPr>
          <w:iCs/>
          <w:sz w:val="22"/>
          <w:szCs w:val="22"/>
        </w:rPr>
        <w:t>Analiz sonucu elde edilen ülke kümeleri genel işsizlik, uzun süreli işsizlik oranı, işsizlik yardımlarından faydalanma sayısındaki değişim, net ikame oranı ve işsizlik yardımlarına GSMH içerisinden ayrılan oran (%) bakımından karşılaştırılmıştır. Elde edilen sonuçlar 2016 yılında 15-64 yaş aralığındaki çalışma çağındaki nüfusa göre değerlendirme yapmayı sağlamaktadır.</w:t>
      </w:r>
    </w:p>
    <w:p w:rsidR="00375311" w:rsidRPr="00375311" w:rsidRDefault="00375311" w:rsidP="00375311">
      <w:pPr>
        <w:spacing w:line="360" w:lineRule="auto"/>
        <w:ind w:firstLine="540"/>
        <w:jc w:val="both"/>
        <w:rPr>
          <w:iCs/>
          <w:sz w:val="22"/>
          <w:szCs w:val="22"/>
        </w:rPr>
      </w:pPr>
    </w:p>
    <w:p w:rsidR="00375311" w:rsidRPr="00887A48" w:rsidRDefault="00375311" w:rsidP="00375311">
      <w:r>
        <w:rPr>
          <w:noProof/>
        </w:rPr>
        <w:drawing>
          <wp:inline distT="0" distB="0" distL="0" distR="0" wp14:anchorId="5448F188" wp14:editId="0D66DAAE">
            <wp:extent cx="5859780" cy="1905000"/>
            <wp:effectExtent l="0" t="0" r="7620" b="0"/>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75311" w:rsidRPr="00375311" w:rsidRDefault="00375311" w:rsidP="00375311">
      <w:pPr>
        <w:pStyle w:val="ResimYazs"/>
        <w:spacing w:before="240" w:after="360"/>
        <w:rPr>
          <w:rFonts w:cs="Times New Roman"/>
          <w:i w:val="0"/>
          <w:color w:val="auto"/>
          <w:sz w:val="22"/>
          <w:szCs w:val="24"/>
        </w:rPr>
      </w:pPr>
      <w:bookmarkStart w:id="12" w:name="_Toc58932238"/>
      <w:r>
        <w:rPr>
          <w:b/>
          <w:i w:val="0"/>
          <w:color w:val="auto"/>
          <w:sz w:val="22"/>
          <w:szCs w:val="24"/>
        </w:rPr>
        <w:t xml:space="preserve">Şekil </w:t>
      </w:r>
      <w:r w:rsidR="009F49ED">
        <w:rPr>
          <w:b/>
          <w:i w:val="0"/>
          <w:noProof/>
          <w:color w:val="auto"/>
          <w:sz w:val="22"/>
          <w:szCs w:val="24"/>
        </w:rPr>
        <w:t>4</w:t>
      </w:r>
      <w:r w:rsidRPr="00375311">
        <w:rPr>
          <w:b/>
          <w:i w:val="0"/>
          <w:color w:val="auto"/>
          <w:sz w:val="22"/>
          <w:szCs w:val="24"/>
        </w:rPr>
        <w:t>.</w:t>
      </w:r>
      <w:r w:rsidRPr="00375311">
        <w:rPr>
          <w:b/>
          <w:i w:val="0"/>
          <w:noProof/>
          <w:color w:val="auto"/>
          <w:sz w:val="22"/>
          <w:szCs w:val="24"/>
        </w:rPr>
        <w:fldChar w:fldCharType="begin"/>
      </w:r>
      <w:r w:rsidRPr="00375311">
        <w:rPr>
          <w:b/>
          <w:i w:val="0"/>
          <w:noProof/>
          <w:color w:val="auto"/>
          <w:sz w:val="22"/>
          <w:szCs w:val="24"/>
        </w:rPr>
        <w:instrText xml:space="preserve"> SEQ Grafik \* ARABIC \s 1 </w:instrText>
      </w:r>
      <w:r w:rsidRPr="00375311">
        <w:rPr>
          <w:b/>
          <w:i w:val="0"/>
          <w:noProof/>
          <w:color w:val="auto"/>
          <w:sz w:val="22"/>
          <w:szCs w:val="24"/>
        </w:rPr>
        <w:fldChar w:fldCharType="separate"/>
      </w:r>
      <w:r w:rsidRPr="00375311">
        <w:rPr>
          <w:b/>
          <w:i w:val="0"/>
          <w:noProof/>
          <w:color w:val="auto"/>
          <w:sz w:val="22"/>
          <w:szCs w:val="24"/>
        </w:rPr>
        <w:t>2</w:t>
      </w:r>
      <w:r w:rsidRPr="00375311">
        <w:rPr>
          <w:b/>
          <w:i w:val="0"/>
          <w:noProof/>
          <w:color w:val="auto"/>
          <w:sz w:val="22"/>
          <w:szCs w:val="24"/>
        </w:rPr>
        <w:fldChar w:fldCharType="end"/>
      </w:r>
      <w:r w:rsidRPr="00375311">
        <w:rPr>
          <w:b/>
          <w:i w:val="0"/>
          <w:color w:val="auto"/>
          <w:sz w:val="22"/>
          <w:szCs w:val="24"/>
        </w:rPr>
        <w:t>.</w:t>
      </w:r>
      <w:r w:rsidRPr="00375311">
        <w:rPr>
          <w:i w:val="0"/>
          <w:color w:val="auto"/>
          <w:sz w:val="22"/>
          <w:szCs w:val="24"/>
        </w:rPr>
        <w:t xml:space="preserve"> Kümeleme Analizi Sonuçları – </w:t>
      </w:r>
      <w:bookmarkEnd w:id="12"/>
      <w:r w:rsidRPr="00375311">
        <w:rPr>
          <w:i w:val="0"/>
          <w:color w:val="auto"/>
          <w:sz w:val="22"/>
          <w:szCs w:val="24"/>
        </w:rPr>
        <w:t xml:space="preserve">Genel İşsizlik Oranı ve Uzun Süreli İşsizlik Oranı </w:t>
      </w:r>
    </w:p>
    <w:p w:rsidR="00375311" w:rsidRDefault="00375311" w:rsidP="00375311">
      <w:pPr>
        <w:spacing w:line="360" w:lineRule="auto"/>
        <w:ind w:firstLine="540"/>
        <w:jc w:val="both"/>
        <w:rPr>
          <w:iCs/>
          <w:sz w:val="22"/>
          <w:szCs w:val="22"/>
        </w:rPr>
      </w:pPr>
      <w:r w:rsidRPr="00375311">
        <w:rPr>
          <w:iCs/>
          <w:sz w:val="22"/>
          <w:szCs w:val="22"/>
        </w:rPr>
        <w:t xml:space="preserve">İşgücü piyasalarının temel göstergelerinden olan genel işsizlik oranı (UR) ve uzun süreli işsizlik oranına (LUR) ilişkin küme gruplarına göre değerlendirme </w:t>
      </w:r>
      <w:r>
        <w:rPr>
          <w:iCs/>
          <w:sz w:val="22"/>
          <w:szCs w:val="22"/>
        </w:rPr>
        <w:t xml:space="preserve">Şekil </w:t>
      </w:r>
      <w:r w:rsidRPr="00375311">
        <w:rPr>
          <w:iCs/>
          <w:sz w:val="22"/>
          <w:szCs w:val="22"/>
        </w:rPr>
        <w:t>5.2’te yer almaktadır.</w:t>
      </w:r>
      <w:r>
        <w:rPr>
          <w:iCs/>
          <w:sz w:val="22"/>
          <w:szCs w:val="22"/>
        </w:rPr>
        <w:t xml:space="preserve"> </w:t>
      </w:r>
      <w:r w:rsidRPr="00375311">
        <w:rPr>
          <w:iCs/>
          <w:sz w:val="22"/>
          <w:szCs w:val="22"/>
        </w:rPr>
        <w:t xml:space="preserve">35 OECD ülke verisinden elde edilen genel işsizlik oranı (UR) ortalaması %7,54 ve uzun süreli işsizlik oranı (LUR) ortalaması %33,88’dir. OECD ortalaması ile karşılaştırıldığında Macaristan, Japonya, Çekya, Polonya ve İzlanda (Küme 3) ve Litvanya, Norveç, Estonya ve Yeni Zelanda (Küme 2) ile Kanada, İsveç, İsrail, ABD, Şili, G. Kore, Avustralya, İngiltere ve Türkiye’ye (Küme 1) ilişkin genel işsizlik oranı oldukça düşüktür.  İspanya, İtalya ve Yunanistan (Küme 6) ise oldukça yüksek işsizlik oranına sahiptir. Uzun süreli işsizlik oranı bakımından ise ile Kanada, İsveç, İsrail, ABD, Şili, G. Kore, Avustralya, İngiltere ve Türkiye’nin (Küme 1) OECD ortalaması altında yer alan tek ülke kümesi iken İspanya, İtalya ve Yunanistan (Küme 6) en yüksek uzun süreli işsizlik oranlarına sahip ülkelerdir. </w:t>
      </w:r>
    </w:p>
    <w:p w:rsidR="00375311" w:rsidRPr="00375311" w:rsidRDefault="00375311" w:rsidP="00375311">
      <w:pPr>
        <w:spacing w:line="360" w:lineRule="auto"/>
        <w:ind w:firstLine="540"/>
        <w:jc w:val="both"/>
        <w:rPr>
          <w:iCs/>
          <w:sz w:val="22"/>
          <w:szCs w:val="22"/>
        </w:rPr>
      </w:pPr>
    </w:p>
    <w:p w:rsidR="00375311" w:rsidRPr="00887A48" w:rsidRDefault="00375311" w:rsidP="00375311">
      <w:r>
        <w:rPr>
          <w:noProof/>
        </w:rPr>
        <w:drawing>
          <wp:inline distT="0" distB="0" distL="0" distR="0" wp14:anchorId="3DE00ABF" wp14:editId="57090A71">
            <wp:extent cx="5638800" cy="2047875"/>
            <wp:effectExtent l="0" t="0" r="0" b="9525"/>
            <wp:docPr id="10"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75311" w:rsidRPr="00375311" w:rsidRDefault="00375311" w:rsidP="00375311">
      <w:pPr>
        <w:pStyle w:val="ResimYazs"/>
        <w:spacing w:before="240" w:after="360"/>
        <w:ind w:left="1174" w:hanging="1174"/>
        <w:rPr>
          <w:rFonts w:cs="Times New Roman"/>
          <w:i w:val="0"/>
          <w:color w:val="auto"/>
          <w:sz w:val="22"/>
          <w:szCs w:val="24"/>
        </w:rPr>
      </w:pPr>
      <w:bookmarkStart w:id="13" w:name="_Toc58932239"/>
      <w:r w:rsidRPr="00375311">
        <w:rPr>
          <w:b/>
          <w:i w:val="0"/>
          <w:color w:val="auto"/>
          <w:sz w:val="22"/>
          <w:szCs w:val="24"/>
        </w:rPr>
        <w:t xml:space="preserve">Şekil </w:t>
      </w:r>
      <w:r w:rsidR="009F49ED">
        <w:rPr>
          <w:b/>
          <w:i w:val="0"/>
          <w:noProof/>
          <w:color w:val="auto"/>
          <w:sz w:val="22"/>
          <w:szCs w:val="24"/>
        </w:rPr>
        <w:t>4</w:t>
      </w:r>
      <w:r w:rsidRPr="00375311">
        <w:rPr>
          <w:b/>
          <w:i w:val="0"/>
          <w:color w:val="auto"/>
          <w:sz w:val="22"/>
          <w:szCs w:val="24"/>
        </w:rPr>
        <w:t>.</w:t>
      </w:r>
      <w:r w:rsidRPr="00375311">
        <w:rPr>
          <w:b/>
          <w:i w:val="0"/>
          <w:noProof/>
          <w:color w:val="auto"/>
          <w:sz w:val="22"/>
          <w:szCs w:val="24"/>
        </w:rPr>
        <w:fldChar w:fldCharType="begin"/>
      </w:r>
      <w:r w:rsidRPr="00375311">
        <w:rPr>
          <w:b/>
          <w:i w:val="0"/>
          <w:noProof/>
          <w:color w:val="auto"/>
          <w:sz w:val="22"/>
          <w:szCs w:val="24"/>
        </w:rPr>
        <w:instrText xml:space="preserve"> SEQ Grafik \* ARABIC \s 1 </w:instrText>
      </w:r>
      <w:r w:rsidRPr="00375311">
        <w:rPr>
          <w:b/>
          <w:i w:val="0"/>
          <w:noProof/>
          <w:color w:val="auto"/>
          <w:sz w:val="22"/>
          <w:szCs w:val="24"/>
        </w:rPr>
        <w:fldChar w:fldCharType="separate"/>
      </w:r>
      <w:r w:rsidRPr="00375311">
        <w:rPr>
          <w:b/>
          <w:i w:val="0"/>
          <w:noProof/>
          <w:color w:val="auto"/>
          <w:sz w:val="22"/>
          <w:szCs w:val="24"/>
        </w:rPr>
        <w:t>3</w:t>
      </w:r>
      <w:r w:rsidRPr="00375311">
        <w:rPr>
          <w:b/>
          <w:i w:val="0"/>
          <w:noProof/>
          <w:color w:val="auto"/>
          <w:sz w:val="22"/>
          <w:szCs w:val="24"/>
        </w:rPr>
        <w:fldChar w:fldCharType="end"/>
      </w:r>
      <w:r w:rsidRPr="00375311">
        <w:rPr>
          <w:b/>
          <w:i w:val="0"/>
          <w:color w:val="auto"/>
          <w:sz w:val="22"/>
          <w:szCs w:val="24"/>
        </w:rPr>
        <w:t>.</w:t>
      </w:r>
      <w:r w:rsidRPr="00375311">
        <w:rPr>
          <w:i w:val="0"/>
          <w:color w:val="auto"/>
          <w:sz w:val="22"/>
          <w:szCs w:val="24"/>
        </w:rPr>
        <w:t xml:space="preserve"> İşsizlik yardımlarından faydalanan kişi sayısındaki değişimi ifade eden endeks değerinin küme gruplarına göre durumu</w:t>
      </w:r>
      <w:bookmarkEnd w:id="13"/>
    </w:p>
    <w:p w:rsidR="00375311" w:rsidRPr="00375311" w:rsidRDefault="00375311" w:rsidP="00375311">
      <w:pPr>
        <w:spacing w:line="360" w:lineRule="auto"/>
        <w:ind w:firstLine="540"/>
        <w:jc w:val="both"/>
        <w:rPr>
          <w:iCs/>
          <w:sz w:val="22"/>
          <w:szCs w:val="22"/>
        </w:rPr>
      </w:pPr>
      <w:r w:rsidRPr="00375311">
        <w:rPr>
          <w:iCs/>
          <w:sz w:val="22"/>
          <w:szCs w:val="22"/>
        </w:rPr>
        <w:t xml:space="preserve">İşsizlik yardımlarından faydalanan kişi sayısındaki değişimi ifade eden endeks değerinin küme gruplarına göre durumu </w:t>
      </w:r>
      <w:r>
        <w:rPr>
          <w:iCs/>
          <w:sz w:val="22"/>
          <w:szCs w:val="22"/>
        </w:rPr>
        <w:t>Şekil</w:t>
      </w:r>
      <w:r w:rsidRPr="00375311">
        <w:rPr>
          <w:iCs/>
          <w:sz w:val="22"/>
          <w:szCs w:val="22"/>
        </w:rPr>
        <w:t xml:space="preserve"> 5.3’de yer almaktadır.</w:t>
      </w:r>
      <w:r>
        <w:rPr>
          <w:iCs/>
          <w:sz w:val="22"/>
          <w:szCs w:val="22"/>
        </w:rPr>
        <w:t xml:space="preserve"> </w:t>
      </w:r>
      <w:r w:rsidRPr="00375311">
        <w:rPr>
          <w:iCs/>
          <w:sz w:val="22"/>
          <w:szCs w:val="22"/>
        </w:rPr>
        <w:t xml:space="preserve">35 OECD ülkesi verilerine göre 15-64 yaş grubunda yer alan bireylerden işsizlik yardımlarından faydalanan kişi sayısındaki değişim endeksine ilişkin </w:t>
      </w:r>
      <w:r w:rsidRPr="00375311">
        <w:rPr>
          <w:iCs/>
          <w:sz w:val="22"/>
          <w:szCs w:val="22"/>
        </w:rPr>
        <w:lastRenderedPageBreak/>
        <w:t>ortalama değer 150’dir. Macaristan, Japonya, Çekya, Polonya ve İzlanda (Küme 3)  endeks değeri bakımından OECD ortalamasının oldukça altında kalan tek ülke kümesi iken Litvanya, Norveç, Estonya ve Yeni Zelanda (Küme 2) ve İtalya, İspanya ve Yunanistan (Küme 6) ise OECD ortalamasının oldukça üstünde olan ülke kümeleridir.</w:t>
      </w:r>
    </w:p>
    <w:p w:rsidR="00375311" w:rsidRDefault="00375311" w:rsidP="00375311">
      <w:r>
        <w:rPr>
          <w:noProof/>
        </w:rPr>
        <w:drawing>
          <wp:inline distT="0" distB="0" distL="0" distR="0" wp14:anchorId="10E26EB7" wp14:editId="59BE17E7">
            <wp:extent cx="5133975" cy="1952625"/>
            <wp:effectExtent l="0" t="0" r="9525" b="9525"/>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75311" w:rsidRPr="00375311" w:rsidRDefault="00375311" w:rsidP="00375311">
      <w:pPr>
        <w:pStyle w:val="ResimYazs"/>
        <w:spacing w:before="240" w:after="360"/>
        <w:ind w:left="1202" w:hanging="1202"/>
        <w:rPr>
          <w:rFonts w:eastAsia="Times New Roman" w:cs="Times New Roman"/>
          <w:i w:val="0"/>
          <w:color w:val="auto"/>
          <w:sz w:val="22"/>
          <w:szCs w:val="22"/>
          <w:lang w:eastAsia="tr-TR"/>
        </w:rPr>
      </w:pPr>
      <w:bookmarkStart w:id="14" w:name="_Toc58932240"/>
      <w:r>
        <w:rPr>
          <w:rFonts w:eastAsia="Times New Roman" w:cs="Times New Roman"/>
          <w:i w:val="0"/>
          <w:color w:val="auto"/>
          <w:sz w:val="22"/>
          <w:szCs w:val="22"/>
          <w:lang w:eastAsia="tr-TR"/>
        </w:rPr>
        <w:t>Şekil</w:t>
      </w:r>
      <w:r w:rsidRPr="00375311">
        <w:rPr>
          <w:rFonts w:eastAsia="Times New Roman" w:cs="Times New Roman"/>
          <w:i w:val="0"/>
          <w:color w:val="auto"/>
          <w:sz w:val="22"/>
          <w:szCs w:val="22"/>
          <w:lang w:eastAsia="tr-TR"/>
        </w:rPr>
        <w:t xml:space="preserve"> </w:t>
      </w:r>
      <w:r w:rsidR="009F49ED">
        <w:rPr>
          <w:rFonts w:eastAsia="Times New Roman" w:cs="Times New Roman"/>
          <w:i w:val="0"/>
          <w:color w:val="auto"/>
          <w:sz w:val="22"/>
          <w:szCs w:val="22"/>
          <w:lang w:eastAsia="tr-TR"/>
        </w:rPr>
        <w:t>4</w:t>
      </w:r>
      <w:r w:rsidRPr="00375311">
        <w:rPr>
          <w:rFonts w:eastAsia="Times New Roman" w:cs="Times New Roman"/>
          <w:i w:val="0"/>
          <w:color w:val="auto"/>
          <w:sz w:val="22"/>
          <w:szCs w:val="22"/>
          <w:lang w:eastAsia="tr-TR"/>
        </w:rPr>
        <w:t>.</w:t>
      </w:r>
      <w:r w:rsidRPr="00375311">
        <w:rPr>
          <w:rFonts w:eastAsia="Times New Roman" w:cs="Times New Roman"/>
          <w:i w:val="0"/>
          <w:color w:val="auto"/>
          <w:sz w:val="22"/>
          <w:szCs w:val="22"/>
          <w:lang w:eastAsia="tr-TR"/>
        </w:rPr>
        <w:fldChar w:fldCharType="begin"/>
      </w:r>
      <w:r w:rsidRPr="00375311">
        <w:rPr>
          <w:rFonts w:eastAsia="Times New Roman" w:cs="Times New Roman"/>
          <w:i w:val="0"/>
          <w:color w:val="auto"/>
          <w:sz w:val="22"/>
          <w:szCs w:val="22"/>
          <w:lang w:eastAsia="tr-TR"/>
        </w:rPr>
        <w:instrText xml:space="preserve"> SEQ Grafik \* ARABIC \s 1 </w:instrText>
      </w:r>
      <w:r w:rsidRPr="00375311">
        <w:rPr>
          <w:rFonts w:eastAsia="Times New Roman" w:cs="Times New Roman"/>
          <w:i w:val="0"/>
          <w:color w:val="auto"/>
          <w:sz w:val="22"/>
          <w:szCs w:val="22"/>
          <w:lang w:eastAsia="tr-TR"/>
        </w:rPr>
        <w:fldChar w:fldCharType="separate"/>
      </w:r>
      <w:r w:rsidRPr="00375311">
        <w:rPr>
          <w:rFonts w:eastAsia="Times New Roman" w:cs="Times New Roman"/>
          <w:i w:val="0"/>
          <w:color w:val="auto"/>
          <w:sz w:val="22"/>
          <w:szCs w:val="22"/>
          <w:lang w:eastAsia="tr-TR"/>
        </w:rPr>
        <w:t>4</w:t>
      </w:r>
      <w:r w:rsidRPr="00375311">
        <w:rPr>
          <w:rFonts w:eastAsia="Times New Roman" w:cs="Times New Roman"/>
          <w:i w:val="0"/>
          <w:color w:val="auto"/>
          <w:sz w:val="22"/>
          <w:szCs w:val="22"/>
          <w:lang w:eastAsia="tr-TR"/>
        </w:rPr>
        <w:fldChar w:fldCharType="end"/>
      </w:r>
      <w:r w:rsidRPr="00375311">
        <w:rPr>
          <w:rFonts w:eastAsia="Times New Roman" w:cs="Times New Roman"/>
          <w:i w:val="0"/>
          <w:color w:val="auto"/>
          <w:sz w:val="22"/>
          <w:szCs w:val="22"/>
          <w:lang w:eastAsia="tr-TR"/>
        </w:rPr>
        <w:t>. Pasif işgücü piyasası politikalarından işsizlik yardımlarına GSMH içerisindeki oranına ilişkin küme grupları durumu</w:t>
      </w:r>
      <w:bookmarkEnd w:id="14"/>
    </w:p>
    <w:p w:rsidR="00375311" w:rsidRDefault="00375311" w:rsidP="00375311">
      <w:pPr>
        <w:spacing w:line="360" w:lineRule="auto"/>
        <w:ind w:firstLine="540"/>
        <w:jc w:val="both"/>
        <w:rPr>
          <w:iCs/>
          <w:sz w:val="22"/>
          <w:szCs w:val="22"/>
        </w:rPr>
      </w:pPr>
      <w:r w:rsidRPr="00375311">
        <w:rPr>
          <w:iCs/>
          <w:sz w:val="22"/>
          <w:szCs w:val="22"/>
        </w:rPr>
        <w:t xml:space="preserve">Pasif işgücü piyasası politikalarından işsizlik yardımlarına GSMH içerisindeki oranına ilişkin küme grupları durumu </w:t>
      </w:r>
      <w:r>
        <w:rPr>
          <w:iCs/>
          <w:sz w:val="22"/>
          <w:szCs w:val="22"/>
        </w:rPr>
        <w:t>Şekil</w:t>
      </w:r>
      <w:r w:rsidRPr="00375311">
        <w:rPr>
          <w:iCs/>
          <w:sz w:val="22"/>
          <w:szCs w:val="22"/>
        </w:rPr>
        <w:t xml:space="preserve"> 5.4’te verilmiştir.</w:t>
      </w:r>
      <w:r>
        <w:rPr>
          <w:iCs/>
          <w:sz w:val="22"/>
          <w:szCs w:val="22"/>
        </w:rPr>
        <w:t xml:space="preserve"> </w:t>
      </w:r>
      <w:r w:rsidRPr="00375311">
        <w:rPr>
          <w:iCs/>
          <w:sz w:val="22"/>
          <w:szCs w:val="22"/>
        </w:rPr>
        <w:t>Kanada, İsveç, İsrail, ABD, Şili, G. Kore, Avustralya, İngiltere ve Türkiye (Küme 1) ve Macaristan, Japonya, Çekya, Polonya ve İzlanda (Küme 3) GSMH içerisinden işsizlik yardımlarına OECD ortalamasının oldukça altında kaynak ayırmaktadır.  Finlandiya, Fransa, Avusturya, Hollanda ve İrlanda (Küme 5) ve İspanya, İtalya ve Yunanistan (Küme 6)  ise GSMH içerisinden işsizlik yardımı uygulamalarına en fazla kaynak aktaran ülke grubudur. Litvanya, Norveç, Estonya ve Yeni Zelanda (Küme 2) ve İsviçre, Lüksemburg, Almanya, Danimarka, Belçika, Portekiz, Letonya, Slovenya (Küme 4)  ise OECD ortalaması değerinde kaynak aktarımı sağlayan ülke gruplarıdır.</w:t>
      </w:r>
    </w:p>
    <w:p w:rsidR="00375311" w:rsidRPr="00375311" w:rsidRDefault="00375311" w:rsidP="00375311">
      <w:pPr>
        <w:spacing w:line="360" w:lineRule="auto"/>
        <w:ind w:firstLine="540"/>
        <w:jc w:val="both"/>
        <w:rPr>
          <w:iCs/>
          <w:sz w:val="22"/>
          <w:szCs w:val="22"/>
        </w:rPr>
      </w:pPr>
    </w:p>
    <w:p w:rsidR="00375311" w:rsidRDefault="00375311" w:rsidP="00375311">
      <w:r>
        <w:rPr>
          <w:noProof/>
        </w:rPr>
        <w:drawing>
          <wp:inline distT="0" distB="0" distL="0" distR="0" wp14:anchorId="6CA7E650" wp14:editId="003B6C66">
            <wp:extent cx="5219700" cy="2390775"/>
            <wp:effectExtent l="0" t="0" r="0" b="9525"/>
            <wp:docPr id="12"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75311" w:rsidRDefault="00375311" w:rsidP="00375311">
      <w:pPr>
        <w:spacing w:line="360" w:lineRule="auto"/>
        <w:ind w:firstLine="540"/>
        <w:jc w:val="both"/>
        <w:rPr>
          <w:iCs/>
          <w:sz w:val="22"/>
          <w:szCs w:val="22"/>
        </w:rPr>
      </w:pPr>
      <w:bookmarkStart w:id="15" w:name="_Toc58932241"/>
    </w:p>
    <w:p w:rsidR="00375311" w:rsidRPr="00375311" w:rsidRDefault="00375311" w:rsidP="00375311">
      <w:pPr>
        <w:spacing w:line="360" w:lineRule="auto"/>
        <w:ind w:firstLine="540"/>
        <w:jc w:val="both"/>
        <w:rPr>
          <w:iCs/>
          <w:sz w:val="22"/>
          <w:szCs w:val="22"/>
        </w:rPr>
      </w:pPr>
      <w:r w:rsidRPr="00375311">
        <w:rPr>
          <w:iCs/>
          <w:sz w:val="22"/>
          <w:szCs w:val="22"/>
        </w:rPr>
        <w:t xml:space="preserve">Grafik </w:t>
      </w:r>
      <w:r w:rsidR="009F49ED">
        <w:rPr>
          <w:iCs/>
          <w:sz w:val="22"/>
          <w:szCs w:val="22"/>
        </w:rPr>
        <w:t>4</w:t>
      </w:r>
      <w:r w:rsidRPr="00375311">
        <w:rPr>
          <w:iCs/>
          <w:sz w:val="22"/>
          <w:szCs w:val="22"/>
        </w:rPr>
        <w:t>.</w:t>
      </w:r>
      <w:r w:rsidRPr="00375311">
        <w:rPr>
          <w:iCs/>
          <w:sz w:val="22"/>
          <w:szCs w:val="22"/>
        </w:rPr>
        <w:fldChar w:fldCharType="begin"/>
      </w:r>
      <w:r w:rsidRPr="00375311">
        <w:rPr>
          <w:iCs/>
          <w:sz w:val="22"/>
          <w:szCs w:val="22"/>
        </w:rPr>
        <w:instrText xml:space="preserve"> SEQ Grafik \* ARABIC \s 1 </w:instrText>
      </w:r>
      <w:r w:rsidRPr="00375311">
        <w:rPr>
          <w:iCs/>
          <w:sz w:val="22"/>
          <w:szCs w:val="22"/>
        </w:rPr>
        <w:fldChar w:fldCharType="separate"/>
      </w:r>
      <w:r w:rsidRPr="00375311">
        <w:rPr>
          <w:iCs/>
          <w:sz w:val="22"/>
          <w:szCs w:val="22"/>
        </w:rPr>
        <w:t>5</w:t>
      </w:r>
      <w:r w:rsidRPr="00375311">
        <w:rPr>
          <w:iCs/>
          <w:sz w:val="22"/>
          <w:szCs w:val="22"/>
        </w:rPr>
        <w:fldChar w:fldCharType="end"/>
      </w:r>
      <w:r w:rsidRPr="00375311">
        <w:rPr>
          <w:iCs/>
          <w:sz w:val="22"/>
          <w:szCs w:val="22"/>
        </w:rPr>
        <w:t>. 35 OECD Ülkesinin Durumları İçin Net Değişim Oranına İlişkin Küme Gruplarının Durumu</w:t>
      </w:r>
      <w:bookmarkEnd w:id="15"/>
    </w:p>
    <w:p w:rsidR="00925C64" w:rsidRDefault="00375311" w:rsidP="00336384">
      <w:pPr>
        <w:spacing w:line="360" w:lineRule="auto"/>
        <w:ind w:firstLine="540"/>
        <w:jc w:val="both"/>
        <w:rPr>
          <w:iCs/>
          <w:sz w:val="22"/>
          <w:szCs w:val="22"/>
        </w:rPr>
      </w:pPr>
      <w:r w:rsidRPr="00375311">
        <w:rPr>
          <w:iCs/>
          <w:sz w:val="22"/>
          <w:szCs w:val="22"/>
        </w:rPr>
        <w:lastRenderedPageBreak/>
        <w:t>Son olarak net değişim oranına ilişkin küme gruplarının durumu 35 OECD ülkesi için Grafik 5.5’da özetlenmiştir. OECD ülkelerinde net ikame oranı ortalama değeri %85’dir. Macaristan, Japonya, Çekya, Polonya ve İzlanda (Küme 3) ve İsviçre, Lüksemburg, Almanya, Danimarka, Belçika, Portekiz, Letonya, Slovenya (Küme 4) net ikame oranı en yüksek ülkeleri içermektedir. Bir diğer ifadeyle işsizlik yardımı sisteminin oldukça güçlü olması nedeniyle bireyin işsiz kalması durumunda elde ettiği harcanabilir geliri çalıştığı dönemdeki gelirine oldukça yakındır. Kanada, İsveç, İsrail, ABD, Şili, G. Kore, Avustralya, İngiltere ve Türkiye (Küme 1) ise en düşük net ikame oranına sahip ülke kümesidir. Bir diğer ifadeyle bireyin işsiz kalması durumunda elde ettiği harcanabilir geliri çalıştığı dönemdeki gelirinin %80,22’sine karşılık gelmektedir. Bu durum Küme 1’de yer alan ülkelerde işsizlik yardımı uygulamalarının oldukça zayıf olduğunu göstermektedir.</w:t>
      </w:r>
    </w:p>
    <w:p w:rsidR="00336384" w:rsidRDefault="00336384" w:rsidP="00336384">
      <w:pPr>
        <w:spacing w:line="360" w:lineRule="auto"/>
        <w:ind w:firstLine="540"/>
        <w:jc w:val="both"/>
        <w:rPr>
          <w:iCs/>
          <w:sz w:val="22"/>
          <w:szCs w:val="22"/>
        </w:rPr>
      </w:pPr>
    </w:p>
    <w:p w:rsidR="00925C64" w:rsidRDefault="007370D0" w:rsidP="007370D0">
      <w:pPr>
        <w:spacing w:line="360" w:lineRule="auto"/>
        <w:ind w:firstLine="360"/>
        <w:jc w:val="both"/>
        <w:rPr>
          <w:iCs/>
          <w:sz w:val="22"/>
          <w:szCs w:val="22"/>
        </w:rPr>
      </w:pPr>
      <w:r>
        <w:rPr>
          <w:iCs/>
          <w:sz w:val="22"/>
          <w:szCs w:val="22"/>
        </w:rPr>
        <w:t>Sonuç olarak kümeleri tek tek değerlendirecek olursak; k</w:t>
      </w:r>
      <w:r w:rsidR="00182758" w:rsidRPr="00CA5FC8">
        <w:rPr>
          <w:iCs/>
          <w:sz w:val="22"/>
          <w:szCs w:val="22"/>
        </w:rPr>
        <w:t>üme 1’deki ülkeler uzun süreli işsizlik oranlarının düşüklüğü ile öne çıkmaktadır. Ayrıca net ikame oranlarındaki düşüklük işsiz bireylere sağlanan gelir miktarının düşük olduğunu göstermektedir. Örneğin Avusturalya’da neredeyse bütün OECD ülkelerinde olan işsizlik sigortası uygulaması bulunmamaktadır.</w:t>
      </w:r>
      <w:r>
        <w:rPr>
          <w:iCs/>
          <w:sz w:val="22"/>
          <w:szCs w:val="22"/>
        </w:rPr>
        <w:t xml:space="preserve"> Uzun dönem işsizlik oranını</w:t>
      </w:r>
      <w:r w:rsidR="00DD3911">
        <w:rPr>
          <w:iCs/>
          <w:sz w:val="22"/>
          <w:szCs w:val="22"/>
        </w:rPr>
        <w:t>n</w:t>
      </w:r>
      <w:r>
        <w:rPr>
          <w:iCs/>
          <w:sz w:val="22"/>
          <w:szCs w:val="22"/>
        </w:rPr>
        <w:t xml:space="preserve"> düşük olması ve net ikame oranını</w:t>
      </w:r>
      <w:r w:rsidR="00DD3911">
        <w:rPr>
          <w:iCs/>
          <w:sz w:val="22"/>
          <w:szCs w:val="22"/>
        </w:rPr>
        <w:t>n</w:t>
      </w:r>
      <w:r>
        <w:rPr>
          <w:iCs/>
          <w:sz w:val="22"/>
          <w:szCs w:val="22"/>
        </w:rPr>
        <w:t xml:space="preserve"> </w:t>
      </w:r>
      <w:r w:rsidR="00DD3911">
        <w:rPr>
          <w:iCs/>
          <w:sz w:val="22"/>
          <w:szCs w:val="22"/>
        </w:rPr>
        <w:t>az olması GSMH’den işsizlere sağlanan yardım oranının OECD ortalamasının altında kalmasına sebep olmaktadır.</w:t>
      </w:r>
    </w:p>
    <w:p w:rsidR="007370D0" w:rsidRPr="00CA5FC8" w:rsidRDefault="007370D0" w:rsidP="007370D0">
      <w:pPr>
        <w:spacing w:line="360" w:lineRule="auto"/>
        <w:ind w:firstLine="360"/>
        <w:jc w:val="both"/>
        <w:rPr>
          <w:iCs/>
          <w:sz w:val="22"/>
          <w:szCs w:val="22"/>
        </w:rPr>
      </w:pPr>
    </w:p>
    <w:p w:rsidR="00925C64" w:rsidRDefault="00182758" w:rsidP="007370D0">
      <w:pPr>
        <w:spacing w:line="360" w:lineRule="auto"/>
        <w:ind w:firstLine="360"/>
        <w:jc w:val="both"/>
        <w:rPr>
          <w:iCs/>
          <w:sz w:val="22"/>
          <w:szCs w:val="22"/>
        </w:rPr>
      </w:pPr>
      <w:r w:rsidRPr="00CA5FC8">
        <w:rPr>
          <w:iCs/>
          <w:sz w:val="22"/>
          <w:szCs w:val="22"/>
        </w:rPr>
        <w:t xml:space="preserve">Küme </w:t>
      </w:r>
      <w:r w:rsidR="00FD1F16">
        <w:rPr>
          <w:iCs/>
          <w:sz w:val="22"/>
          <w:szCs w:val="22"/>
        </w:rPr>
        <w:t xml:space="preserve">2’deki ülke incelendiğinde işsizlik yardımından faydalanan kişi sayısı OECD ülkelerinin oldukça üstündedir. Ancak net ikame oranının ve işsizlere GSMH’den ayrılan payın düşük olması sosyal güvence uygulamalarının nispeten </w:t>
      </w:r>
      <w:r w:rsidR="00D815F0">
        <w:rPr>
          <w:iCs/>
          <w:sz w:val="22"/>
          <w:szCs w:val="22"/>
        </w:rPr>
        <w:t>zayıf olduğu sonucuna varılmaktadır.</w:t>
      </w:r>
      <w:r w:rsidRPr="00CA5FC8">
        <w:rPr>
          <w:iCs/>
          <w:sz w:val="22"/>
          <w:szCs w:val="22"/>
        </w:rPr>
        <w:t xml:space="preserve"> </w:t>
      </w:r>
    </w:p>
    <w:p w:rsidR="007370D0" w:rsidRPr="00CA5FC8" w:rsidRDefault="007370D0" w:rsidP="007370D0">
      <w:pPr>
        <w:spacing w:line="360" w:lineRule="auto"/>
        <w:ind w:firstLine="360"/>
        <w:jc w:val="both"/>
        <w:rPr>
          <w:iCs/>
          <w:sz w:val="22"/>
          <w:szCs w:val="22"/>
        </w:rPr>
      </w:pPr>
    </w:p>
    <w:p w:rsidR="007370D0" w:rsidRDefault="00182758" w:rsidP="007370D0">
      <w:pPr>
        <w:spacing w:line="360" w:lineRule="auto"/>
        <w:ind w:firstLine="360"/>
        <w:jc w:val="both"/>
        <w:rPr>
          <w:iCs/>
          <w:sz w:val="22"/>
          <w:szCs w:val="22"/>
        </w:rPr>
      </w:pPr>
      <w:r w:rsidRPr="00CA5FC8">
        <w:rPr>
          <w:iCs/>
          <w:sz w:val="22"/>
          <w:szCs w:val="22"/>
        </w:rPr>
        <w:t>Küme 3’de genel işsizlik oranı en düşük ülkelerin bir arada bulunduğu tespit edilmiştir. Buna bağlı olarak işsizlik yardımlarından faydalanan kişi sayısının ve GSHM’ den işsizlere sağlanan gelirler oranının en düşük küme olduğu söylenebilir. Tüm bunlarla birlikte bu ülkelerde güçlü sosyal güvenlik sistemi ile bireyler korunma altına alınmaktadır. Küme 3’ te yer alan Japonya sosyal yardımlar oldukça gelişmiştir. Asgari yaşam standartları sağlayamayanlar için 8 farklı yardım türü belirlenmiştir.</w:t>
      </w:r>
    </w:p>
    <w:p w:rsidR="007370D0" w:rsidRDefault="007370D0" w:rsidP="007370D0">
      <w:pPr>
        <w:spacing w:line="360" w:lineRule="auto"/>
        <w:ind w:firstLine="360"/>
        <w:jc w:val="both"/>
        <w:rPr>
          <w:iCs/>
          <w:sz w:val="22"/>
          <w:szCs w:val="22"/>
        </w:rPr>
      </w:pPr>
    </w:p>
    <w:p w:rsidR="007370D0" w:rsidRDefault="00182758" w:rsidP="007370D0">
      <w:pPr>
        <w:spacing w:line="360" w:lineRule="auto"/>
        <w:ind w:firstLine="360"/>
        <w:jc w:val="both"/>
        <w:rPr>
          <w:iCs/>
          <w:sz w:val="22"/>
          <w:szCs w:val="22"/>
        </w:rPr>
      </w:pPr>
      <w:r w:rsidRPr="00CA5FC8">
        <w:rPr>
          <w:iCs/>
          <w:sz w:val="22"/>
          <w:szCs w:val="22"/>
        </w:rPr>
        <w:t xml:space="preserve"> Küme 4’te yer alan ülkeler için ise net ikame oranının belirleyici olduğu görülmektedir. İşsizlik yardımlarından faydalanan birey sayısı OECD ortalamasının altında olmakla birlikte GSHM’ den işsizlere sağlanan gelirlerin oranı OECD ortalamasının civarındadır. Küme 4’te yer alan Almanya’da güvence kapsamı oldukça geniş ve gelir çeşitliliği fazladır.</w:t>
      </w:r>
    </w:p>
    <w:p w:rsidR="00925C64" w:rsidRPr="00CA5FC8" w:rsidRDefault="00182758" w:rsidP="007370D0">
      <w:pPr>
        <w:spacing w:line="360" w:lineRule="auto"/>
        <w:jc w:val="both"/>
        <w:rPr>
          <w:iCs/>
          <w:sz w:val="22"/>
          <w:szCs w:val="22"/>
        </w:rPr>
      </w:pPr>
      <w:r w:rsidRPr="00CA5FC8">
        <w:rPr>
          <w:iCs/>
          <w:sz w:val="22"/>
          <w:szCs w:val="22"/>
        </w:rPr>
        <w:t xml:space="preserve"> </w:t>
      </w:r>
    </w:p>
    <w:p w:rsidR="00925C64" w:rsidRDefault="00182758" w:rsidP="007370D0">
      <w:pPr>
        <w:spacing w:line="360" w:lineRule="auto"/>
        <w:ind w:firstLine="360"/>
        <w:jc w:val="both"/>
        <w:rPr>
          <w:iCs/>
          <w:sz w:val="22"/>
          <w:szCs w:val="22"/>
        </w:rPr>
      </w:pPr>
      <w:r w:rsidRPr="00CA5FC8">
        <w:rPr>
          <w:iCs/>
          <w:sz w:val="22"/>
          <w:szCs w:val="22"/>
        </w:rPr>
        <w:t xml:space="preserve">Küme 5’te yer alan ülkeler için ise GSMH’den işsizlere sağlanan gelir oranının belirleyici olduğu görülmektedir. İşsizlik yardımlarından faydalanan birey sayısı OECD ortalaması civarında olmakla birlikte orta düzeyde sosyal güvenlik koruması sağlayan ülkeler bu kümede yer almaktadır. Küme 5’te </w:t>
      </w:r>
      <w:r w:rsidRPr="00CA5FC8">
        <w:rPr>
          <w:iCs/>
          <w:sz w:val="22"/>
          <w:szCs w:val="22"/>
        </w:rPr>
        <w:lastRenderedPageBreak/>
        <w:t>yer alan Hollanda da aktif ve pasif işgücü piyasasının birlikte kullanıldığı belediye ve özel istihdam büroları aracılığıyla işsizlere mesleki kurslar ile istihdam edilebilirlik sağlandığı görülmektedir.</w:t>
      </w:r>
    </w:p>
    <w:p w:rsidR="007370D0" w:rsidRPr="00CA5FC8" w:rsidRDefault="007370D0" w:rsidP="007370D0">
      <w:pPr>
        <w:spacing w:line="360" w:lineRule="auto"/>
        <w:ind w:firstLine="360"/>
        <w:jc w:val="both"/>
        <w:rPr>
          <w:iCs/>
          <w:sz w:val="22"/>
          <w:szCs w:val="22"/>
        </w:rPr>
      </w:pPr>
    </w:p>
    <w:p w:rsidR="00925C64" w:rsidRDefault="00182758" w:rsidP="007370D0">
      <w:pPr>
        <w:spacing w:line="360" w:lineRule="auto"/>
        <w:ind w:firstLine="360"/>
        <w:jc w:val="both"/>
        <w:rPr>
          <w:iCs/>
          <w:sz w:val="22"/>
          <w:szCs w:val="22"/>
        </w:rPr>
      </w:pPr>
      <w:r w:rsidRPr="00CA5FC8">
        <w:rPr>
          <w:iCs/>
          <w:sz w:val="22"/>
          <w:szCs w:val="22"/>
        </w:rPr>
        <w:t xml:space="preserve">Son olarak Küme 6’da yer alan ülkeler hem işsizlik hem de uzun süreli işsizlik oranlarının yüksekliği ile öne çıkmaktadır. İşsizlik yardımlarından faydalanan kişi sayısı ve GSMH’den işsizlere sağlanan gelirlerin oranı da diğer ülke kümelerine göre yüksek olmakla birlikte ele alınan ülkeler bakımından orta düzeyde sosyal güvence korumaları bulunmaktadır.   </w:t>
      </w:r>
    </w:p>
    <w:p w:rsidR="007370D0" w:rsidRPr="00CA5FC8" w:rsidRDefault="007370D0" w:rsidP="007370D0">
      <w:pPr>
        <w:spacing w:line="360" w:lineRule="auto"/>
        <w:ind w:firstLine="360"/>
        <w:jc w:val="both"/>
        <w:rPr>
          <w:iCs/>
          <w:sz w:val="22"/>
          <w:szCs w:val="22"/>
        </w:rPr>
      </w:pPr>
    </w:p>
    <w:p w:rsidR="00925C64" w:rsidRPr="007370D0" w:rsidRDefault="00182758" w:rsidP="007370D0">
      <w:pPr>
        <w:spacing w:line="360" w:lineRule="auto"/>
        <w:ind w:firstLine="360"/>
        <w:jc w:val="both"/>
        <w:rPr>
          <w:iCs/>
          <w:sz w:val="22"/>
          <w:szCs w:val="22"/>
        </w:rPr>
      </w:pPr>
      <w:r w:rsidRPr="007370D0">
        <w:rPr>
          <w:iCs/>
          <w:sz w:val="22"/>
          <w:szCs w:val="22"/>
        </w:rPr>
        <w:t xml:space="preserve">Tüm bu değerlendirmeler göz önüne alındığında Türkiye özelinde şu değerlendirmeler yapılabilir. Genç nüfus potansiyeli yüksekliği ile Türkiye iş gücü piyasası dinamik bir görünüme sahiptir. Uzun süreli işsizlik oranları düşük olmakla birlikte işsizlere sağlanan gelir anlamında genel uygulama işsizlik sigortasıdır. İşsizlik yardımına ilişkin genel bir veri derlemek bu yardımların il özelinde sağlanması ve periyodik olarak yayınlanmaması nedeniyle mümkün olmamıştır. İşsizlik sigortası faydalanma koşullarının esnetilmesi ile faydalanıcı sayısı arttırılarak sosyal koruma kapsamı genişletilebilir. Ancak bu durum bireylere aynı ödeme imkanını sağlamak için işsizlik sigortasına ayrılan kaynak miktarının da arttırılması gerekebilecektir. Bu noktada ise sistemin efektif yönetilmesi ve denetlenmesi gerekmektedir. </w:t>
      </w:r>
    </w:p>
    <w:p w:rsidR="00336384" w:rsidRPr="00336384" w:rsidRDefault="00336384" w:rsidP="00336384">
      <w:pPr>
        <w:spacing w:line="360" w:lineRule="auto"/>
        <w:ind w:firstLine="540"/>
        <w:jc w:val="both"/>
        <w:rPr>
          <w:iCs/>
          <w:sz w:val="22"/>
          <w:szCs w:val="22"/>
        </w:rPr>
      </w:pPr>
    </w:p>
    <w:p w:rsidR="00C96AD5" w:rsidRPr="00C96AD5" w:rsidRDefault="00C96AD5" w:rsidP="00375311">
      <w:pPr>
        <w:spacing w:line="360" w:lineRule="auto"/>
        <w:ind w:firstLine="540"/>
        <w:jc w:val="both"/>
        <w:rPr>
          <w:b/>
          <w:iCs/>
          <w:sz w:val="22"/>
          <w:szCs w:val="22"/>
        </w:rPr>
      </w:pPr>
    </w:p>
    <w:p w:rsidR="00375311" w:rsidRPr="00DF6CFD" w:rsidRDefault="00375311" w:rsidP="00CD1F27">
      <w:pPr>
        <w:spacing w:line="360" w:lineRule="auto"/>
        <w:ind w:firstLine="540"/>
        <w:jc w:val="both"/>
        <w:rPr>
          <w:iCs/>
          <w:sz w:val="22"/>
          <w:szCs w:val="22"/>
        </w:rPr>
      </w:pPr>
    </w:p>
    <w:p w:rsidR="007077E5" w:rsidRDefault="007077E5" w:rsidP="007077E5">
      <w:pPr>
        <w:spacing w:line="360" w:lineRule="auto"/>
        <w:ind w:firstLine="540"/>
        <w:jc w:val="both"/>
        <w:rPr>
          <w:sz w:val="22"/>
          <w:szCs w:val="22"/>
        </w:rPr>
      </w:pPr>
    </w:p>
    <w:p w:rsidR="00E414AB" w:rsidRDefault="00E414AB" w:rsidP="007077E5">
      <w:pPr>
        <w:spacing w:line="360" w:lineRule="auto"/>
        <w:ind w:firstLine="540"/>
        <w:jc w:val="both"/>
        <w:rPr>
          <w:sz w:val="22"/>
          <w:szCs w:val="22"/>
        </w:rPr>
      </w:pPr>
    </w:p>
    <w:p w:rsidR="00E414AB" w:rsidRDefault="00E414AB" w:rsidP="007077E5">
      <w:pPr>
        <w:spacing w:line="360" w:lineRule="auto"/>
        <w:ind w:firstLine="540"/>
        <w:jc w:val="both"/>
        <w:rPr>
          <w:sz w:val="22"/>
          <w:szCs w:val="22"/>
        </w:rPr>
      </w:pPr>
    </w:p>
    <w:p w:rsidR="00E414AB" w:rsidRDefault="00E414AB" w:rsidP="007077E5">
      <w:pPr>
        <w:spacing w:line="360" w:lineRule="auto"/>
        <w:ind w:firstLine="540"/>
        <w:jc w:val="both"/>
        <w:rPr>
          <w:sz w:val="22"/>
          <w:szCs w:val="22"/>
        </w:rPr>
      </w:pPr>
    </w:p>
    <w:p w:rsidR="00E414AB" w:rsidRDefault="00E414AB" w:rsidP="007077E5">
      <w:pPr>
        <w:spacing w:line="360" w:lineRule="auto"/>
        <w:ind w:firstLine="540"/>
        <w:jc w:val="both"/>
        <w:rPr>
          <w:sz w:val="22"/>
          <w:szCs w:val="22"/>
        </w:rPr>
      </w:pPr>
    </w:p>
    <w:p w:rsidR="00E414AB" w:rsidRDefault="00E414AB" w:rsidP="007077E5">
      <w:pPr>
        <w:spacing w:line="360" w:lineRule="auto"/>
        <w:ind w:firstLine="540"/>
        <w:jc w:val="both"/>
        <w:rPr>
          <w:sz w:val="22"/>
          <w:szCs w:val="22"/>
        </w:rPr>
      </w:pPr>
    </w:p>
    <w:p w:rsidR="00E414AB" w:rsidRDefault="00E414AB" w:rsidP="007077E5">
      <w:pPr>
        <w:spacing w:line="360" w:lineRule="auto"/>
        <w:ind w:firstLine="540"/>
        <w:jc w:val="both"/>
        <w:rPr>
          <w:sz w:val="22"/>
          <w:szCs w:val="22"/>
        </w:rPr>
      </w:pPr>
    </w:p>
    <w:p w:rsidR="00E414AB" w:rsidRDefault="00E414AB" w:rsidP="007077E5">
      <w:pPr>
        <w:spacing w:line="360" w:lineRule="auto"/>
        <w:ind w:firstLine="540"/>
        <w:jc w:val="both"/>
        <w:rPr>
          <w:sz w:val="22"/>
          <w:szCs w:val="22"/>
        </w:rPr>
      </w:pPr>
    </w:p>
    <w:p w:rsidR="00E414AB" w:rsidRDefault="00E414AB" w:rsidP="007077E5">
      <w:pPr>
        <w:spacing w:line="360" w:lineRule="auto"/>
        <w:ind w:firstLine="540"/>
        <w:jc w:val="both"/>
        <w:rPr>
          <w:sz w:val="22"/>
          <w:szCs w:val="22"/>
        </w:rPr>
      </w:pPr>
    </w:p>
    <w:p w:rsidR="00E414AB" w:rsidRDefault="00E414AB" w:rsidP="007077E5">
      <w:pPr>
        <w:spacing w:line="360" w:lineRule="auto"/>
        <w:ind w:firstLine="540"/>
        <w:jc w:val="both"/>
        <w:rPr>
          <w:sz w:val="22"/>
          <w:szCs w:val="22"/>
        </w:rPr>
      </w:pPr>
    </w:p>
    <w:p w:rsidR="00E414AB" w:rsidRDefault="00E414AB" w:rsidP="007077E5">
      <w:pPr>
        <w:spacing w:line="360" w:lineRule="auto"/>
        <w:ind w:firstLine="540"/>
        <w:jc w:val="both"/>
        <w:rPr>
          <w:sz w:val="22"/>
          <w:szCs w:val="22"/>
        </w:rPr>
      </w:pPr>
    </w:p>
    <w:p w:rsidR="00E414AB" w:rsidRDefault="00E414AB" w:rsidP="007077E5">
      <w:pPr>
        <w:spacing w:line="360" w:lineRule="auto"/>
        <w:ind w:firstLine="540"/>
        <w:jc w:val="both"/>
        <w:rPr>
          <w:sz w:val="22"/>
          <w:szCs w:val="22"/>
        </w:rPr>
      </w:pPr>
    </w:p>
    <w:p w:rsidR="00E414AB" w:rsidRDefault="00E414AB" w:rsidP="007077E5">
      <w:pPr>
        <w:spacing w:line="360" w:lineRule="auto"/>
        <w:ind w:firstLine="540"/>
        <w:jc w:val="both"/>
        <w:rPr>
          <w:sz w:val="22"/>
          <w:szCs w:val="22"/>
        </w:rPr>
      </w:pPr>
    </w:p>
    <w:p w:rsidR="00E414AB" w:rsidRDefault="00E414AB" w:rsidP="007077E5">
      <w:pPr>
        <w:spacing w:line="360" w:lineRule="auto"/>
        <w:ind w:firstLine="540"/>
        <w:jc w:val="both"/>
        <w:rPr>
          <w:sz w:val="22"/>
          <w:szCs w:val="22"/>
        </w:rPr>
      </w:pPr>
    </w:p>
    <w:sdt>
      <w:sdtPr>
        <w:rPr>
          <w:rFonts w:ascii="Times New Roman" w:eastAsia="Times New Roman" w:hAnsi="Times New Roman" w:cs="Times New Roman"/>
          <w:color w:val="auto"/>
          <w:sz w:val="24"/>
          <w:szCs w:val="24"/>
        </w:rPr>
        <w:id w:val="-123384774"/>
        <w:docPartObj>
          <w:docPartGallery w:val="Bibliographies"/>
          <w:docPartUnique/>
        </w:docPartObj>
      </w:sdtPr>
      <w:sdtEndPr/>
      <w:sdtContent>
        <w:p w:rsidR="00ED0A4C" w:rsidRPr="00E414AB" w:rsidRDefault="00ED0A4C" w:rsidP="00E414AB">
          <w:pPr>
            <w:pStyle w:val="Balk1"/>
            <w:jc w:val="center"/>
            <w:rPr>
              <w:color w:val="auto"/>
            </w:rPr>
          </w:pPr>
          <w:r w:rsidRPr="00E414AB">
            <w:rPr>
              <w:color w:val="auto"/>
            </w:rPr>
            <w:t>Kaynakça</w:t>
          </w:r>
        </w:p>
        <w:sdt>
          <w:sdtPr>
            <w:id w:val="111145805"/>
            <w:bibliography/>
          </w:sdtPr>
          <w:sdtEndPr/>
          <w:sdtContent>
            <w:p w:rsidR="00982E2D" w:rsidRDefault="00ED0A4C" w:rsidP="00982E2D">
              <w:pPr>
                <w:pStyle w:val="Kaynaka"/>
                <w:ind w:left="720" w:hanging="720"/>
                <w:rPr>
                  <w:noProof/>
                </w:rPr>
              </w:pPr>
              <w:r>
                <w:fldChar w:fldCharType="begin"/>
              </w:r>
              <w:r>
                <w:instrText>BIBLIOGRAPHY</w:instrText>
              </w:r>
              <w:r>
                <w:fldChar w:fldCharType="separate"/>
              </w:r>
              <w:r w:rsidR="00982E2D">
                <w:rPr>
                  <w:noProof/>
                </w:rPr>
                <w:t xml:space="preserve">Abbasgil , C. (2004). </w:t>
              </w:r>
              <w:r w:rsidR="00982E2D">
                <w:rPr>
                  <w:i/>
                  <w:iCs/>
                  <w:noProof/>
                </w:rPr>
                <w:t>İş Hukukunda Bütün Yönleriyle Kıdem Tazminatı ve Uygulaması.</w:t>
              </w:r>
              <w:r w:rsidR="00982E2D">
                <w:rPr>
                  <w:noProof/>
                </w:rPr>
                <w:t xml:space="preserve"> İstanbul : Yasa Yayınları.</w:t>
              </w:r>
            </w:p>
            <w:p w:rsidR="00982E2D" w:rsidRDefault="00982E2D" w:rsidP="00982E2D">
              <w:pPr>
                <w:pStyle w:val="Kaynaka"/>
                <w:ind w:left="720" w:hanging="720"/>
                <w:rPr>
                  <w:noProof/>
                </w:rPr>
              </w:pPr>
              <w:r>
                <w:rPr>
                  <w:noProof/>
                </w:rPr>
                <w:t xml:space="preserve">Adak , N. (2010). Sosyal Bir Problem Olarak İşsizlik ve Sonuçları. </w:t>
              </w:r>
              <w:r>
                <w:rPr>
                  <w:i/>
                  <w:iCs/>
                  <w:noProof/>
                </w:rPr>
                <w:t>Toplum ve Sosyal Hizmet</w:t>
              </w:r>
              <w:r>
                <w:rPr>
                  <w:noProof/>
                </w:rPr>
                <w:t>, 110.</w:t>
              </w:r>
            </w:p>
            <w:p w:rsidR="00982E2D" w:rsidRDefault="00982E2D" w:rsidP="00982E2D">
              <w:pPr>
                <w:pStyle w:val="Kaynaka"/>
                <w:ind w:left="720" w:hanging="720"/>
                <w:rPr>
                  <w:noProof/>
                </w:rPr>
              </w:pPr>
              <w:r>
                <w:rPr>
                  <w:noProof/>
                </w:rPr>
                <w:t xml:space="preserve">Akyiğit , E. (1999). </w:t>
              </w:r>
              <w:r>
                <w:rPr>
                  <w:i/>
                  <w:iCs/>
                  <w:noProof/>
                </w:rPr>
                <w:t>Kıdem Tazmînatı (Öğreti-Uygulama).</w:t>
              </w:r>
              <w:r>
                <w:rPr>
                  <w:noProof/>
                </w:rPr>
                <w:t xml:space="preserve"> Ankara: Seçkin Yayınevi.</w:t>
              </w:r>
            </w:p>
            <w:p w:rsidR="00982E2D" w:rsidRDefault="00982E2D" w:rsidP="00982E2D">
              <w:pPr>
                <w:pStyle w:val="Kaynaka"/>
                <w:ind w:left="720" w:hanging="720"/>
                <w:rPr>
                  <w:noProof/>
                </w:rPr>
              </w:pPr>
              <w:r>
                <w:rPr>
                  <w:noProof/>
                </w:rPr>
                <w:t xml:space="preserve">Akyiğit , E. (2008). </w:t>
              </w:r>
              <w:r>
                <w:rPr>
                  <w:i/>
                  <w:iCs/>
                  <w:noProof/>
                </w:rPr>
                <w:t>İçtihatlı ve Açıklamalı 4857 sayılı İş Kanunu Şerhi.</w:t>
              </w:r>
              <w:r>
                <w:rPr>
                  <w:noProof/>
                </w:rPr>
                <w:t xml:space="preserve"> İstanbul: Seçkin Yayınları.</w:t>
              </w:r>
            </w:p>
            <w:p w:rsidR="00982E2D" w:rsidRDefault="00982E2D" w:rsidP="00982E2D">
              <w:pPr>
                <w:pStyle w:val="Kaynaka"/>
                <w:ind w:left="720" w:hanging="720"/>
                <w:rPr>
                  <w:noProof/>
                </w:rPr>
              </w:pPr>
              <w:r>
                <w:rPr>
                  <w:noProof/>
                </w:rPr>
                <w:t xml:space="preserve">Alper , Y. (2000). Kanun Hükmünde Kararnamelerle Sosyal Güvenlik Reformu. </w:t>
              </w:r>
              <w:r>
                <w:rPr>
                  <w:i/>
                  <w:iCs/>
                  <w:noProof/>
                </w:rPr>
                <w:t>İşveren Dergisi</w:t>
              </w:r>
              <w:r>
                <w:rPr>
                  <w:noProof/>
                </w:rPr>
                <w:t>, 305.</w:t>
              </w:r>
            </w:p>
            <w:p w:rsidR="00982E2D" w:rsidRDefault="00982E2D" w:rsidP="00982E2D">
              <w:pPr>
                <w:pStyle w:val="Kaynaka"/>
                <w:ind w:left="720" w:hanging="720"/>
                <w:rPr>
                  <w:noProof/>
                </w:rPr>
              </w:pPr>
              <w:r>
                <w:rPr>
                  <w:noProof/>
                </w:rPr>
                <w:t>Altuntaş , S., &amp; Kurtçu , U. (2007). İşsizlik., (s. 120). Eskişehir.</w:t>
              </w:r>
            </w:p>
            <w:p w:rsidR="00982E2D" w:rsidRDefault="00982E2D" w:rsidP="00982E2D">
              <w:pPr>
                <w:pStyle w:val="Kaynaka"/>
                <w:ind w:left="720" w:hanging="720"/>
                <w:rPr>
                  <w:noProof/>
                </w:rPr>
              </w:pPr>
              <w:r>
                <w:rPr>
                  <w:noProof/>
                </w:rPr>
                <w:t xml:space="preserve">Atkinson, A. B., &amp; Micklewiright , j. (1991). Unemployment Compensation and Labor Market Transitions: A Critical Review. </w:t>
              </w:r>
              <w:r>
                <w:rPr>
                  <w:i/>
                  <w:iCs/>
                  <w:noProof/>
                </w:rPr>
                <w:t>American Economic Association</w:t>
              </w:r>
              <w:r>
                <w:rPr>
                  <w:noProof/>
                </w:rPr>
                <w:t>.</w:t>
              </w:r>
            </w:p>
            <w:p w:rsidR="00982E2D" w:rsidRDefault="00982E2D" w:rsidP="00982E2D">
              <w:pPr>
                <w:pStyle w:val="Kaynaka"/>
                <w:ind w:left="720" w:hanging="720"/>
                <w:rPr>
                  <w:noProof/>
                </w:rPr>
              </w:pPr>
              <w:r>
                <w:rPr>
                  <w:noProof/>
                </w:rPr>
                <w:t xml:space="preserve">Ay, S. (2012). Türkiye’de İşsizliğin Nedenleri: İstihdam Politikaları Üzerine Bir Değerlendirme. </w:t>
              </w:r>
              <w:r>
                <w:rPr>
                  <w:i/>
                  <w:iCs/>
                  <w:noProof/>
                </w:rPr>
                <w:t>Celal Bayar Üniversitesi İktisadi ve İdari Bilimler Fakültesi Dergisi</w:t>
              </w:r>
              <w:r>
                <w:rPr>
                  <w:noProof/>
                </w:rPr>
                <w:t>, 322.</w:t>
              </w:r>
            </w:p>
            <w:p w:rsidR="00982E2D" w:rsidRDefault="00982E2D" w:rsidP="00982E2D">
              <w:pPr>
                <w:pStyle w:val="Kaynaka"/>
                <w:ind w:left="720" w:hanging="720"/>
                <w:rPr>
                  <w:noProof/>
                </w:rPr>
              </w:pPr>
              <w:r>
                <w:rPr>
                  <w:noProof/>
                </w:rPr>
                <w:t xml:space="preserve">Biçerli , M. (2011). </w:t>
              </w:r>
              <w:r>
                <w:rPr>
                  <w:i/>
                  <w:iCs/>
                  <w:noProof/>
                </w:rPr>
                <w:t>Çalışma Ekonomisi.</w:t>
              </w:r>
              <w:r>
                <w:rPr>
                  <w:noProof/>
                </w:rPr>
                <w:t xml:space="preserve"> İstanbul: Beta Yayınları.</w:t>
              </w:r>
            </w:p>
            <w:p w:rsidR="00982E2D" w:rsidRDefault="00982E2D" w:rsidP="00982E2D">
              <w:pPr>
                <w:pStyle w:val="Kaynaka"/>
                <w:ind w:left="720" w:hanging="720"/>
                <w:rPr>
                  <w:noProof/>
                </w:rPr>
              </w:pPr>
              <w:r>
                <w:rPr>
                  <w:noProof/>
                </w:rPr>
                <w:t xml:space="preserve">Biçerli, M. (2000). </w:t>
              </w:r>
              <w:r>
                <w:rPr>
                  <w:i/>
                  <w:iCs/>
                  <w:noProof/>
                </w:rPr>
                <w:t>Çalışma Ekonomisi.</w:t>
              </w:r>
              <w:r>
                <w:rPr>
                  <w:noProof/>
                </w:rPr>
                <w:t xml:space="preserve"> İstanbul: Beta Yayınları.</w:t>
              </w:r>
            </w:p>
            <w:p w:rsidR="00982E2D" w:rsidRDefault="00982E2D" w:rsidP="00982E2D">
              <w:pPr>
                <w:pStyle w:val="Kaynaka"/>
                <w:ind w:left="720" w:hanging="720"/>
                <w:rPr>
                  <w:noProof/>
                </w:rPr>
              </w:pPr>
              <w:r>
                <w:rPr>
                  <w:noProof/>
                </w:rPr>
                <w:t xml:space="preserve">Erkekli, F. (2007). İstihdam Politikaları, Esneklik ve Özel İstihdam Büroları. </w:t>
              </w:r>
              <w:r>
                <w:rPr>
                  <w:i/>
                  <w:iCs/>
                  <w:noProof/>
                </w:rPr>
                <w:t>TİSK İşveren Dergisi</w:t>
              </w:r>
              <w:r>
                <w:rPr>
                  <w:noProof/>
                </w:rPr>
                <w:t>, 3.</w:t>
              </w:r>
            </w:p>
            <w:p w:rsidR="00982E2D" w:rsidRDefault="00982E2D" w:rsidP="00982E2D">
              <w:pPr>
                <w:pStyle w:val="Kaynaka"/>
                <w:ind w:left="720" w:hanging="720"/>
                <w:rPr>
                  <w:noProof/>
                </w:rPr>
              </w:pPr>
              <w:r>
                <w:rPr>
                  <w:noProof/>
                </w:rPr>
                <w:t xml:space="preserve">ERSEL, B. (1999). </w:t>
              </w:r>
              <w:r>
                <w:rPr>
                  <w:i/>
                  <w:iCs/>
                  <w:noProof/>
                </w:rPr>
                <w:t>Türkiye'de İşsizlik ve İşsizlik sigortası.</w:t>
              </w:r>
              <w:r>
                <w:rPr>
                  <w:noProof/>
                </w:rPr>
                <w:t xml:space="preserve"> İstanbul: Dilek Ofset Matbaacılık.</w:t>
              </w:r>
            </w:p>
            <w:p w:rsidR="00982E2D" w:rsidRDefault="00982E2D" w:rsidP="00982E2D">
              <w:pPr>
                <w:pStyle w:val="Kaynaka"/>
                <w:ind w:left="720" w:hanging="720"/>
                <w:rPr>
                  <w:noProof/>
                </w:rPr>
              </w:pPr>
              <w:r>
                <w:rPr>
                  <w:noProof/>
                </w:rPr>
                <w:t xml:space="preserve">IŞIĞIÇOK, Ö. (2011). </w:t>
              </w:r>
              <w:r>
                <w:rPr>
                  <w:i/>
                  <w:iCs/>
                  <w:noProof/>
                </w:rPr>
                <w:t>İstihdam ve İşsizlik .</w:t>
              </w:r>
              <w:r>
                <w:rPr>
                  <w:noProof/>
                </w:rPr>
                <w:t xml:space="preserve"> Bursa: Ekin Basım Yayın Dağıtım.</w:t>
              </w:r>
            </w:p>
            <w:p w:rsidR="0073243B" w:rsidRPr="0073243B" w:rsidRDefault="0073243B" w:rsidP="0073243B">
              <w:pPr>
                <w:pStyle w:val="Kaynaka"/>
                <w:ind w:left="720" w:hanging="720"/>
                <w:rPr>
                  <w:noProof/>
                </w:rPr>
              </w:pPr>
              <w:r>
                <w:rPr>
                  <w:noProof/>
                </w:rPr>
                <w:t>Karakaya, İ. (2020).  İ</w:t>
              </w:r>
              <w:r w:rsidRPr="0073243B">
                <w:rPr>
                  <w:noProof/>
                </w:rPr>
                <w:t>şsizlik Durumunda Sağlanan Gelir Uygulamalarının O</w:t>
              </w:r>
              <w:r>
                <w:rPr>
                  <w:noProof/>
                </w:rPr>
                <w:t>ECD</w:t>
              </w:r>
              <w:r w:rsidRPr="0073243B">
                <w:rPr>
                  <w:noProof/>
                </w:rPr>
                <w:t xml:space="preserve"> Ülkeleri Arasında Karşılaştırmalı Analizi</w:t>
              </w:r>
              <w:r>
                <w:rPr>
                  <w:noProof/>
                </w:rPr>
                <w:t>, Uzmanlık Tezi, Çalışma ve Sosyal Güvenlik Eğitim ve Araştırma Merkezi, Ankara</w:t>
              </w:r>
            </w:p>
            <w:p w:rsidR="00982E2D" w:rsidRDefault="00982E2D" w:rsidP="00982E2D">
              <w:pPr>
                <w:pStyle w:val="Kaynaka"/>
                <w:ind w:left="720" w:hanging="720"/>
                <w:rPr>
                  <w:noProof/>
                </w:rPr>
              </w:pPr>
              <w:r>
                <w:rPr>
                  <w:noProof/>
                </w:rPr>
                <w:t xml:space="preserve">Korkmaz, A., &amp; Mahiroğulları, A. (2007). </w:t>
              </w:r>
              <w:r>
                <w:rPr>
                  <w:i/>
                  <w:iCs/>
                  <w:noProof/>
                </w:rPr>
                <w:t>İşsizlikle Mücadelede Emek Piyasası Politikaları, Türkiye ve AB Ülkeleri.</w:t>
              </w:r>
              <w:r>
                <w:rPr>
                  <w:noProof/>
                </w:rPr>
                <w:t xml:space="preserve"> Bursa: Ekin Basım Yayın.</w:t>
              </w:r>
            </w:p>
            <w:p w:rsidR="00982E2D" w:rsidRDefault="00982E2D" w:rsidP="00982E2D">
              <w:pPr>
                <w:pStyle w:val="Kaynaka"/>
                <w:ind w:left="720" w:hanging="720"/>
                <w:rPr>
                  <w:noProof/>
                </w:rPr>
              </w:pPr>
              <w:r>
                <w:rPr>
                  <w:noProof/>
                </w:rPr>
                <w:t xml:space="preserve">Küçükbayrak, M. (20012). Türkiye’de İşsizlik Sigortasının Kapsamı ve İşsizlik ve İstihdam Süresi Açısından Değerlendirilmesi. </w:t>
              </w:r>
              <w:r>
                <w:rPr>
                  <w:i/>
                  <w:iCs/>
                  <w:noProof/>
                </w:rPr>
                <w:t>Uzmanlık Tezi</w:t>
              </w:r>
              <w:r>
                <w:rPr>
                  <w:noProof/>
                </w:rPr>
                <w:t>. Ankara: Sosyal Sektör ve Koordinasyon Genel Müdürlüğü.</w:t>
              </w:r>
            </w:p>
            <w:p w:rsidR="00982E2D" w:rsidRDefault="00982E2D" w:rsidP="00982E2D">
              <w:pPr>
                <w:pStyle w:val="Kaynaka"/>
                <w:ind w:left="720" w:hanging="720"/>
                <w:rPr>
                  <w:noProof/>
                </w:rPr>
              </w:pPr>
              <w:r>
                <w:rPr>
                  <w:noProof/>
                </w:rPr>
                <w:t xml:space="preserve">Limoncuoğlu , S. A. (2006). Mukayeseli Hukuk ve Türk Hukukunda İşsizlik Sigortası. </w:t>
              </w:r>
              <w:r>
                <w:rPr>
                  <w:i/>
                  <w:iCs/>
                  <w:noProof/>
                </w:rPr>
                <w:t>Doktora Tezi</w:t>
              </w:r>
              <w:r>
                <w:rPr>
                  <w:noProof/>
                </w:rPr>
                <w:t>. İzmir: Dokuz Eylül Üniversitesi Sosyal Bilimler Enstitüsü.</w:t>
              </w:r>
            </w:p>
            <w:p w:rsidR="00982E2D" w:rsidRDefault="00982E2D" w:rsidP="00982E2D">
              <w:pPr>
                <w:pStyle w:val="Kaynaka"/>
                <w:ind w:left="720" w:hanging="720"/>
                <w:rPr>
                  <w:noProof/>
                </w:rPr>
              </w:pPr>
              <w:r>
                <w:rPr>
                  <w:noProof/>
                </w:rPr>
                <w:t xml:space="preserve">Nickell, S. (1997). Unemployment and Labor Market Rigidities: Europe versus North America. </w:t>
              </w:r>
              <w:r>
                <w:rPr>
                  <w:i/>
                  <w:iCs/>
                  <w:noProof/>
                </w:rPr>
                <w:t>Journal of Economic Perspectives,</w:t>
              </w:r>
              <w:r>
                <w:rPr>
                  <w:noProof/>
                </w:rPr>
                <w:t>, 54-77.</w:t>
              </w:r>
            </w:p>
            <w:p w:rsidR="00982E2D" w:rsidRDefault="00982E2D" w:rsidP="00982E2D">
              <w:pPr>
                <w:pStyle w:val="Kaynaka"/>
                <w:ind w:left="720" w:hanging="720"/>
                <w:rPr>
                  <w:noProof/>
                </w:rPr>
              </w:pPr>
              <w:r>
                <w:rPr>
                  <w:noProof/>
                </w:rPr>
                <w:t xml:space="preserve">Nickell, S., Nunziata, L., &amp; Ochel, W. (2005). Unemployment in the OECD Since the 1960s.What Do We Know? </w:t>
              </w:r>
              <w:r>
                <w:rPr>
                  <w:i/>
                  <w:iCs/>
                  <w:noProof/>
                </w:rPr>
                <w:t>Economic Journal</w:t>
              </w:r>
              <w:r>
                <w:rPr>
                  <w:noProof/>
                </w:rPr>
                <w:t>, 1-27.</w:t>
              </w:r>
            </w:p>
            <w:p w:rsidR="00982E2D" w:rsidRDefault="00982E2D" w:rsidP="00982E2D">
              <w:pPr>
                <w:pStyle w:val="Kaynaka"/>
                <w:ind w:left="720" w:hanging="720"/>
                <w:rPr>
                  <w:noProof/>
                </w:rPr>
              </w:pPr>
              <w:r>
                <w:rPr>
                  <w:noProof/>
                </w:rPr>
                <w:t xml:space="preserve">Orhan , S., &amp; Savuk, F. (2014). Emek Teknoloji ve İşsizlik İlişkisi. </w:t>
              </w:r>
              <w:r>
                <w:rPr>
                  <w:i/>
                  <w:iCs/>
                  <w:noProof/>
                </w:rPr>
                <w:t>ÇSGB Çalışma Dünyası Dergisi</w:t>
              </w:r>
              <w:r>
                <w:rPr>
                  <w:noProof/>
                </w:rPr>
                <w:t>, 17.</w:t>
              </w:r>
            </w:p>
            <w:p w:rsidR="00982E2D" w:rsidRDefault="00982E2D" w:rsidP="00982E2D">
              <w:pPr>
                <w:pStyle w:val="Kaynaka"/>
                <w:ind w:left="720" w:hanging="720"/>
                <w:rPr>
                  <w:noProof/>
                </w:rPr>
              </w:pPr>
              <w:r>
                <w:rPr>
                  <w:noProof/>
                </w:rPr>
                <w:t xml:space="preserve">Paya, M. (2013). </w:t>
              </w:r>
              <w:r>
                <w:rPr>
                  <w:i/>
                  <w:iCs/>
                  <w:noProof/>
                </w:rPr>
                <w:t>Makro İktisat.</w:t>
              </w:r>
              <w:r>
                <w:rPr>
                  <w:noProof/>
                </w:rPr>
                <w:t xml:space="preserve"> İstanbul: Türkmen Kitabevi.</w:t>
              </w:r>
            </w:p>
            <w:p w:rsidR="00982E2D" w:rsidRDefault="00982E2D" w:rsidP="00982E2D">
              <w:pPr>
                <w:pStyle w:val="Kaynaka"/>
                <w:ind w:left="720" w:hanging="720"/>
                <w:rPr>
                  <w:noProof/>
                </w:rPr>
              </w:pPr>
              <w:r>
                <w:rPr>
                  <w:noProof/>
                </w:rPr>
                <w:t>Sofracı, İ. (1999). Prafiskal Bir yükümlülük olarak işsizlik. İstanbul: Marmara Üniversitesi Sosyal Bilimler Enstitüsü.</w:t>
              </w:r>
            </w:p>
            <w:p w:rsidR="00982E2D" w:rsidRDefault="00982E2D" w:rsidP="00982E2D">
              <w:pPr>
                <w:pStyle w:val="Kaynaka"/>
                <w:ind w:left="720" w:hanging="720"/>
                <w:rPr>
                  <w:noProof/>
                </w:rPr>
              </w:pPr>
              <w:r>
                <w:rPr>
                  <w:noProof/>
                </w:rPr>
                <w:t>Solak , L. (2012, Eylül). İşsizlik Sorunu, Türkiye'de İşsizlikle Asgari Ücret, Sanayi İstihdam Oranı ve Yolsuzluk Arasındaki İlişkinin Analizi . Nevşehir.</w:t>
              </w:r>
            </w:p>
            <w:p w:rsidR="00982E2D" w:rsidRDefault="00982E2D" w:rsidP="00982E2D">
              <w:pPr>
                <w:pStyle w:val="Kaynaka"/>
                <w:ind w:left="720" w:hanging="720"/>
                <w:rPr>
                  <w:noProof/>
                </w:rPr>
              </w:pPr>
              <w:r>
                <w:rPr>
                  <w:noProof/>
                </w:rPr>
                <w:t xml:space="preserve">Stockhammer, E., Guschanski, A., &amp; Köhler, K. (2014). Unemployment, Capital Accumulation and Labour Market Institutions in the Great Recession. </w:t>
              </w:r>
              <w:r>
                <w:rPr>
                  <w:i/>
                  <w:iCs/>
                  <w:noProof/>
                </w:rPr>
                <w:t>European Journal of Economics and Economic Policies: Intervention</w:t>
              </w:r>
              <w:r>
                <w:rPr>
                  <w:noProof/>
                </w:rPr>
                <w:t>, 182-194.</w:t>
              </w:r>
            </w:p>
            <w:p w:rsidR="00982E2D" w:rsidRDefault="00982E2D" w:rsidP="00982E2D">
              <w:pPr>
                <w:pStyle w:val="Kaynaka"/>
                <w:ind w:left="720" w:hanging="720"/>
                <w:rPr>
                  <w:noProof/>
                </w:rPr>
              </w:pPr>
              <w:r>
                <w:rPr>
                  <w:noProof/>
                </w:rPr>
                <w:t>Şahin , A. (2012). Türkiye'de Tüfe ve Tefe Üzerine Sektörel Enflasyon Direnci. Konya: Selçuk Üniversitesi Sosyal Bilimler Enstitüsü.</w:t>
              </w:r>
            </w:p>
            <w:p w:rsidR="00982E2D" w:rsidRDefault="00982E2D" w:rsidP="00982E2D">
              <w:pPr>
                <w:pStyle w:val="Kaynaka"/>
                <w:ind w:left="720" w:hanging="720"/>
                <w:rPr>
                  <w:noProof/>
                </w:rPr>
              </w:pPr>
              <w:r>
                <w:rPr>
                  <w:noProof/>
                </w:rPr>
                <w:t xml:space="preserve">Taş, H. (2016). Avrupa Birliği ve Türkiye'de İşsizlik Sigortasının Sosyo-Ekonomik Açıdan Karşılaştırılması. </w:t>
              </w:r>
              <w:r>
                <w:rPr>
                  <w:i/>
                  <w:iCs/>
                  <w:noProof/>
                </w:rPr>
                <w:t>Emek ve Toplum Dergisi</w:t>
              </w:r>
              <w:r>
                <w:rPr>
                  <w:noProof/>
                </w:rPr>
                <w:t>, 32.</w:t>
              </w:r>
            </w:p>
            <w:p w:rsidR="00982E2D" w:rsidRDefault="00982E2D" w:rsidP="00982E2D">
              <w:pPr>
                <w:pStyle w:val="Kaynaka"/>
                <w:ind w:left="720" w:hanging="720"/>
                <w:rPr>
                  <w:noProof/>
                </w:rPr>
              </w:pPr>
              <w:r>
                <w:rPr>
                  <w:noProof/>
                </w:rPr>
                <w:lastRenderedPageBreak/>
                <w:t xml:space="preserve">Törüner, M. (1991). </w:t>
              </w:r>
              <w:r>
                <w:rPr>
                  <w:i/>
                  <w:iCs/>
                  <w:noProof/>
                </w:rPr>
                <w:t>İşsizlik Sigortası.</w:t>
              </w:r>
              <w:r>
                <w:rPr>
                  <w:noProof/>
                </w:rPr>
                <w:t xml:space="preserve"> İstanbul: Friedrich Ebert Vakfı.</w:t>
              </w:r>
            </w:p>
            <w:p w:rsidR="00982E2D" w:rsidRDefault="00982E2D" w:rsidP="00982E2D">
              <w:pPr>
                <w:pStyle w:val="Kaynaka"/>
                <w:ind w:left="720" w:hanging="720"/>
                <w:rPr>
                  <w:noProof/>
                </w:rPr>
              </w:pPr>
              <w:r>
                <w:rPr>
                  <w:noProof/>
                </w:rPr>
                <w:t xml:space="preserve">Uğur , S. (2011). Türkiye'de İşsizlik Sigortası'nın Gelişimi. </w:t>
              </w:r>
              <w:r>
                <w:rPr>
                  <w:i/>
                  <w:iCs/>
                  <w:noProof/>
                </w:rPr>
                <w:t>Dergipark</w:t>
              </w:r>
              <w:r>
                <w:rPr>
                  <w:noProof/>
                </w:rPr>
                <w:t>, 101.</w:t>
              </w:r>
            </w:p>
            <w:p w:rsidR="00982E2D" w:rsidRDefault="00982E2D" w:rsidP="00982E2D">
              <w:pPr>
                <w:pStyle w:val="Kaynaka"/>
                <w:ind w:left="720" w:hanging="720"/>
                <w:rPr>
                  <w:noProof/>
                </w:rPr>
              </w:pPr>
              <w:r>
                <w:rPr>
                  <w:noProof/>
                </w:rPr>
                <w:t xml:space="preserve">Unay, C. (2000). </w:t>
              </w:r>
              <w:r>
                <w:rPr>
                  <w:i/>
                  <w:iCs/>
                  <w:noProof/>
                </w:rPr>
                <w:t>Genel İktisat.</w:t>
              </w:r>
              <w:r>
                <w:rPr>
                  <w:noProof/>
                </w:rPr>
                <w:t xml:space="preserve"> Bursa: Ekin Kitapevi.</w:t>
              </w:r>
            </w:p>
            <w:p w:rsidR="00982E2D" w:rsidRDefault="00982E2D" w:rsidP="00982E2D">
              <w:pPr>
                <w:pStyle w:val="Kaynaka"/>
                <w:ind w:left="720" w:hanging="720"/>
                <w:rPr>
                  <w:noProof/>
                </w:rPr>
              </w:pPr>
              <w:r>
                <w:rPr>
                  <w:noProof/>
                </w:rPr>
                <w:t xml:space="preserve">Uyar Bozdağlıoğlu, E. Y. (2008). Türkiye’de İşsizliğin Özellikleri ve İşsizlikle Mücadele Politikalar. </w:t>
              </w:r>
              <w:r>
                <w:rPr>
                  <w:i/>
                  <w:iCs/>
                  <w:noProof/>
                </w:rPr>
                <w:t>Sosyal Bilimler Dergisi</w:t>
              </w:r>
              <w:r>
                <w:rPr>
                  <w:noProof/>
                </w:rPr>
                <w:t>, 47.</w:t>
              </w:r>
            </w:p>
            <w:p w:rsidR="00982E2D" w:rsidRDefault="00982E2D" w:rsidP="00982E2D">
              <w:pPr>
                <w:pStyle w:val="Kaynaka"/>
                <w:ind w:left="720" w:hanging="720"/>
                <w:rPr>
                  <w:noProof/>
                </w:rPr>
              </w:pPr>
              <w:r>
                <w:rPr>
                  <w:noProof/>
                </w:rPr>
                <w:t xml:space="preserve">Ünsal, E. (2009). </w:t>
              </w:r>
              <w:r>
                <w:rPr>
                  <w:i/>
                  <w:iCs/>
                  <w:noProof/>
                </w:rPr>
                <w:t>Makro Ekonomi.</w:t>
              </w:r>
              <w:r>
                <w:rPr>
                  <w:noProof/>
                </w:rPr>
                <w:t xml:space="preserve"> Ankara: İmaj Yayıncılık.</w:t>
              </w:r>
            </w:p>
            <w:p w:rsidR="0073243B" w:rsidRPr="0073243B" w:rsidRDefault="0073243B" w:rsidP="0073243B">
              <w:pPr>
                <w:pStyle w:val="Kaynaka"/>
                <w:ind w:left="720" w:hanging="720"/>
                <w:rPr>
                  <w:noProof/>
                </w:rPr>
              </w:pPr>
              <w:r>
                <w:rPr>
                  <w:noProof/>
                </w:rPr>
                <w:t>Yazar Aslan, B. (2015). Türkiye'</w:t>
              </w:r>
              <w:r w:rsidRPr="0073243B">
                <w:rPr>
                  <w:noProof/>
                </w:rPr>
                <w:t>e Genç İşsizliğe Yönelik Bir Alan Araştırması: Üniversite Öğrencileri Arasında Kaygı Ve Umutsuzluk Düzeylerinin Belirlenmesi</w:t>
              </w:r>
              <w:r>
                <w:rPr>
                  <w:noProof/>
                </w:rPr>
                <w:t>, Uzmanlık Tezi, Çalışma ve Sosyal Güvenlik Eğitim ve Araştırma Merkezi, Ankara.</w:t>
              </w:r>
            </w:p>
            <w:p w:rsidR="00982E2D" w:rsidRDefault="00982E2D" w:rsidP="00982E2D">
              <w:pPr>
                <w:pStyle w:val="Kaynaka"/>
                <w:ind w:left="720" w:hanging="720"/>
                <w:rPr>
                  <w:noProof/>
                </w:rPr>
              </w:pPr>
              <w:r>
                <w:rPr>
                  <w:noProof/>
                </w:rPr>
                <w:t xml:space="preserve">Yüksel , İ. (2003). İŞSİZLİĞİN PSİKO-SOSYAL SONUÇLARININ İNCELENMESİ (ANKARA ÖRNEĞİ). </w:t>
              </w:r>
              <w:r>
                <w:rPr>
                  <w:i/>
                  <w:iCs/>
                  <w:noProof/>
                </w:rPr>
                <w:t>C.Ü. İktisadi ve İdari Bilimler Dergisi,</w:t>
              </w:r>
              <w:r>
                <w:rPr>
                  <w:noProof/>
                </w:rPr>
                <w:t>, 35.</w:t>
              </w:r>
            </w:p>
            <w:p w:rsidR="00982E2D" w:rsidRDefault="00982E2D" w:rsidP="00982E2D">
              <w:pPr>
                <w:pStyle w:val="Kaynaka"/>
                <w:ind w:left="720" w:hanging="720"/>
                <w:rPr>
                  <w:noProof/>
                </w:rPr>
              </w:pPr>
              <w:r>
                <w:rPr>
                  <w:noProof/>
                </w:rPr>
                <w:t xml:space="preserve">Yüksel, İ. (2005). İşsizlik Olgusunun Psikolojik Boyutu: Görgül Bir Araştırması. </w:t>
              </w:r>
              <w:r>
                <w:rPr>
                  <w:i/>
                  <w:iCs/>
                  <w:noProof/>
                </w:rPr>
                <w:t>Ankara Üniversitesi SBF Dergisi</w:t>
              </w:r>
              <w:r>
                <w:rPr>
                  <w:noProof/>
                </w:rPr>
                <w:t>, 255-274.</w:t>
              </w:r>
            </w:p>
            <w:p w:rsidR="00ED0A4C" w:rsidRDefault="00ED0A4C" w:rsidP="00982E2D">
              <w:r>
                <w:rPr>
                  <w:b/>
                  <w:bCs/>
                </w:rPr>
                <w:fldChar w:fldCharType="end"/>
              </w:r>
            </w:p>
          </w:sdtContent>
        </w:sdt>
      </w:sdtContent>
    </w:sdt>
    <w:p w:rsidR="00ED0A4C" w:rsidRDefault="00ED0A4C" w:rsidP="000505DE">
      <w:pPr>
        <w:spacing w:after="120" w:line="360" w:lineRule="auto"/>
        <w:ind w:firstLine="539"/>
        <w:rPr>
          <w:b/>
          <w:iCs/>
          <w:sz w:val="22"/>
          <w:szCs w:val="22"/>
        </w:rPr>
      </w:pPr>
    </w:p>
    <w:p w:rsidR="0072421E" w:rsidRPr="00FD42E3" w:rsidRDefault="0072421E" w:rsidP="000505DE">
      <w:pPr>
        <w:spacing w:after="120" w:line="360" w:lineRule="auto"/>
        <w:ind w:firstLine="539"/>
        <w:rPr>
          <w:b/>
          <w:iCs/>
          <w:sz w:val="22"/>
          <w:szCs w:val="22"/>
        </w:rPr>
      </w:pPr>
    </w:p>
    <w:p w:rsidR="0072421E" w:rsidRDefault="0072421E" w:rsidP="002F361D">
      <w:pPr>
        <w:spacing w:line="360" w:lineRule="auto"/>
        <w:ind w:firstLine="540"/>
        <w:jc w:val="both"/>
        <w:rPr>
          <w:sz w:val="22"/>
          <w:szCs w:val="22"/>
        </w:rPr>
      </w:pPr>
    </w:p>
    <w:p w:rsidR="002168A5" w:rsidRDefault="002168A5" w:rsidP="002168A5">
      <w:pPr>
        <w:spacing w:line="360" w:lineRule="auto"/>
        <w:ind w:firstLine="540"/>
        <w:jc w:val="both"/>
        <w:rPr>
          <w:sz w:val="22"/>
          <w:szCs w:val="22"/>
        </w:rPr>
      </w:pPr>
    </w:p>
    <w:sectPr w:rsidR="002168A5" w:rsidSect="005B5E76">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FFC" w:rsidRDefault="00826FFC" w:rsidP="00D50A9D">
      <w:r>
        <w:separator/>
      </w:r>
    </w:p>
  </w:endnote>
  <w:endnote w:type="continuationSeparator" w:id="0">
    <w:p w:rsidR="00826FFC" w:rsidRDefault="00826FFC" w:rsidP="00D5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10124"/>
      <w:docPartObj>
        <w:docPartGallery w:val="Page Numbers (Bottom of Page)"/>
        <w:docPartUnique/>
      </w:docPartObj>
    </w:sdtPr>
    <w:sdtEndPr/>
    <w:sdtContent>
      <w:p w:rsidR="003D0C76" w:rsidRDefault="00402EE0">
        <w:pPr>
          <w:pStyle w:val="AltBilgi"/>
          <w:jc w:val="right"/>
        </w:pPr>
        <w:r>
          <w:fldChar w:fldCharType="begin"/>
        </w:r>
        <w:r>
          <w:instrText xml:space="preserve"> PAGE   \* MERGEFORMAT </w:instrText>
        </w:r>
        <w:r>
          <w:fldChar w:fldCharType="separate"/>
        </w:r>
        <w:r w:rsidR="00F412C0">
          <w:rPr>
            <w:noProof/>
          </w:rPr>
          <w:t>3</w:t>
        </w:r>
        <w:r>
          <w:rPr>
            <w:noProof/>
          </w:rPr>
          <w:fldChar w:fldCharType="end"/>
        </w:r>
      </w:p>
    </w:sdtContent>
  </w:sdt>
  <w:p w:rsidR="003D0C76" w:rsidRDefault="003D0C7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FFC" w:rsidRDefault="00826FFC" w:rsidP="00D50A9D">
      <w:r>
        <w:separator/>
      </w:r>
    </w:p>
  </w:footnote>
  <w:footnote w:type="continuationSeparator" w:id="0">
    <w:p w:rsidR="00826FFC" w:rsidRDefault="00826FFC" w:rsidP="00D50A9D">
      <w:r>
        <w:continuationSeparator/>
      </w:r>
    </w:p>
  </w:footnote>
  <w:footnote w:id="1">
    <w:p w:rsidR="008E0A45" w:rsidRDefault="008E0A45">
      <w:pPr>
        <w:pStyle w:val="DipnotMetni"/>
      </w:pPr>
      <w:r>
        <w:rPr>
          <w:rStyle w:val="DipnotBavurusu"/>
        </w:rPr>
        <w:footnoteRef/>
      </w:r>
      <w:r>
        <w:t xml:space="preserve"> </w:t>
      </w:r>
      <w:r w:rsidRPr="008E0A45">
        <w:rPr>
          <w:rFonts w:ascii="Times New Roman" w:hAnsi="Times New Roman" w:cs="Times New Roman"/>
          <w:sz w:val="16"/>
          <w:szCs w:val="16"/>
        </w:rPr>
        <w:t>Bu bildiri ÇSG Eğitim Uzm. Yrd. İsmail Karakaya’nın</w:t>
      </w:r>
      <w:r w:rsidRPr="008E0A45">
        <w:rPr>
          <w:rFonts w:ascii="Times New Roman" w:hAnsi="Times New Roman" w:cs="Times New Roman"/>
          <w:sz w:val="16"/>
          <w:szCs w:val="16"/>
        </w:rPr>
        <w:t xml:space="preserve"> “</w:t>
      </w:r>
      <w:r>
        <w:rPr>
          <w:rFonts w:ascii="Times New Roman" w:hAnsi="Times New Roman" w:cs="Times New Roman"/>
          <w:sz w:val="16"/>
          <w:szCs w:val="16"/>
        </w:rPr>
        <w:t>İ</w:t>
      </w:r>
      <w:r w:rsidRPr="008E0A45">
        <w:rPr>
          <w:rFonts w:ascii="Times New Roman" w:hAnsi="Times New Roman" w:cs="Times New Roman"/>
          <w:sz w:val="16"/>
          <w:szCs w:val="16"/>
        </w:rPr>
        <w:t xml:space="preserve">şsizlik Durumunda Sağlanan Gelir Uygulamalarının OECD Ülkeleri Arasında Karşılaştırmalı Analizi,” başlıklı </w:t>
      </w:r>
      <w:r w:rsidRPr="008E0A45">
        <w:rPr>
          <w:rFonts w:ascii="Times New Roman" w:hAnsi="Times New Roman" w:cs="Times New Roman"/>
          <w:sz w:val="16"/>
          <w:szCs w:val="16"/>
        </w:rPr>
        <w:t>uzmanlık</w:t>
      </w:r>
      <w:r w:rsidRPr="008E0A45">
        <w:rPr>
          <w:rFonts w:ascii="Times New Roman" w:hAnsi="Times New Roman" w:cs="Times New Roman"/>
          <w:sz w:val="16"/>
          <w:szCs w:val="16"/>
        </w:rPr>
        <w:t xml:space="preserve"> tezinden üretilmiştir</w:t>
      </w:r>
    </w:p>
  </w:footnote>
  <w:footnote w:id="2">
    <w:p w:rsidR="00E414AB" w:rsidRDefault="00E414AB">
      <w:pPr>
        <w:pStyle w:val="DipnotMetni"/>
      </w:pPr>
      <w:r>
        <w:rPr>
          <w:rStyle w:val="DipnotBavurusu"/>
        </w:rPr>
        <w:footnoteRef/>
      </w:r>
      <w:r>
        <w:rPr>
          <w:rFonts w:ascii="Times New Roman" w:hAnsi="Times New Roman" w:cs="Times New Roman"/>
          <w:sz w:val="16"/>
          <w:szCs w:val="16"/>
        </w:rPr>
        <w:t>Çalışma ve Sosyal Güvenlik Eğitim ve Araştırma Merkezi</w:t>
      </w:r>
      <w:r w:rsidRPr="0077359B">
        <w:rPr>
          <w:rFonts w:ascii="Times New Roman" w:hAnsi="Times New Roman" w:cs="Times New Roman"/>
          <w:sz w:val="16"/>
          <w:szCs w:val="16"/>
        </w:rPr>
        <w:t xml:space="preserve">, , </w:t>
      </w:r>
      <w:r>
        <w:rPr>
          <w:rFonts w:ascii="Times New Roman" w:hAnsi="Times New Roman" w:cs="Times New Roman"/>
          <w:sz w:val="16"/>
          <w:szCs w:val="16"/>
        </w:rPr>
        <w:t>ismail.karakaya</w:t>
      </w:r>
      <w:r w:rsidRPr="0077359B">
        <w:rPr>
          <w:rFonts w:ascii="Times New Roman" w:hAnsi="Times New Roman" w:cs="Times New Roman"/>
          <w:sz w:val="16"/>
          <w:szCs w:val="16"/>
        </w:rPr>
        <w:t>@</w:t>
      </w:r>
      <w:r>
        <w:rPr>
          <w:rFonts w:ascii="Times New Roman" w:hAnsi="Times New Roman" w:cs="Times New Roman"/>
          <w:sz w:val="16"/>
          <w:szCs w:val="16"/>
        </w:rPr>
        <w:t>ailevecalisma.gov.tr</w:t>
      </w:r>
      <w:r w:rsidRPr="0077359B">
        <w:rPr>
          <w:rFonts w:ascii="Times New Roman" w:hAnsi="Times New Roman" w:cs="Times New Roman"/>
          <w:sz w:val="16"/>
          <w:szCs w:val="16"/>
        </w:rPr>
        <w:t>, Tel:</w:t>
      </w:r>
      <w:r>
        <w:rPr>
          <w:rFonts w:ascii="Times New Roman" w:hAnsi="Times New Roman" w:cs="Times New Roman"/>
          <w:sz w:val="16"/>
          <w:szCs w:val="16"/>
        </w:rPr>
        <w:t>03125275127</w:t>
      </w:r>
      <w:r>
        <w:t xml:space="preserve"> </w:t>
      </w:r>
    </w:p>
  </w:footnote>
  <w:footnote w:id="3">
    <w:p w:rsidR="00E414AB" w:rsidRDefault="00E414AB">
      <w:pPr>
        <w:pStyle w:val="DipnotMetni"/>
      </w:pPr>
      <w:r>
        <w:rPr>
          <w:rStyle w:val="DipnotBavurusu"/>
        </w:rPr>
        <w:footnoteRef/>
      </w:r>
      <w:r>
        <w:t xml:space="preserve"> </w:t>
      </w:r>
      <w:r>
        <w:rPr>
          <w:rFonts w:ascii="Times New Roman" w:hAnsi="Times New Roman" w:cs="Times New Roman"/>
          <w:sz w:val="16"/>
          <w:szCs w:val="16"/>
        </w:rPr>
        <w:t>Çalışma ve Sosyal Güvenlik Eğitim ve Araştırma Merkezi</w:t>
      </w:r>
      <w:r w:rsidRPr="0077359B">
        <w:rPr>
          <w:rFonts w:ascii="Times New Roman" w:hAnsi="Times New Roman" w:cs="Times New Roman"/>
          <w:sz w:val="16"/>
          <w:szCs w:val="16"/>
        </w:rPr>
        <w:t xml:space="preserve">, , </w:t>
      </w:r>
      <w:r>
        <w:rPr>
          <w:rFonts w:ascii="Times New Roman" w:hAnsi="Times New Roman" w:cs="Times New Roman"/>
          <w:sz w:val="16"/>
          <w:szCs w:val="16"/>
        </w:rPr>
        <w:t>berna.yazar</w:t>
      </w:r>
      <w:r w:rsidRPr="0077359B">
        <w:rPr>
          <w:rFonts w:ascii="Times New Roman" w:hAnsi="Times New Roman" w:cs="Times New Roman"/>
          <w:sz w:val="16"/>
          <w:szCs w:val="16"/>
        </w:rPr>
        <w:t xml:space="preserve"> @</w:t>
      </w:r>
      <w:r>
        <w:rPr>
          <w:rFonts w:ascii="Times New Roman" w:hAnsi="Times New Roman" w:cs="Times New Roman"/>
          <w:sz w:val="16"/>
          <w:szCs w:val="16"/>
        </w:rPr>
        <w:t>csgb.gov.tr</w:t>
      </w:r>
      <w:r w:rsidRPr="0077359B">
        <w:rPr>
          <w:rFonts w:ascii="Times New Roman" w:hAnsi="Times New Roman" w:cs="Times New Roman"/>
          <w:sz w:val="16"/>
          <w:szCs w:val="16"/>
        </w:rPr>
        <w:t>, Tel:</w:t>
      </w:r>
      <w:r>
        <w:rPr>
          <w:rFonts w:ascii="Times New Roman" w:hAnsi="Times New Roman" w:cs="Times New Roman"/>
          <w:sz w:val="16"/>
          <w:szCs w:val="16"/>
        </w:rPr>
        <w:t>03125275127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A2" w:rsidRDefault="003433A2">
    <w:pPr>
      <w:pStyle w:val="stBilgi"/>
    </w:pPr>
  </w:p>
  <w:p w:rsidR="003433A2" w:rsidRDefault="003433A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70E03"/>
    <w:multiLevelType w:val="hybridMultilevel"/>
    <w:tmpl w:val="E0C6B9AE"/>
    <w:lvl w:ilvl="0" w:tplc="27926292">
      <w:start w:val="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7C0496"/>
    <w:multiLevelType w:val="hybridMultilevel"/>
    <w:tmpl w:val="54CC776A"/>
    <w:lvl w:ilvl="0" w:tplc="9A228EE0">
      <w:start w:val="1"/>
      <w:numFmt w:val="bullet"/>
      <w:lvlText w:val="•"/>
      <w:lvlJc w:val="left"/>
      <w:pPr>
        <w:tabs>
          <w:tab w:val="num" w:pos="720"/>
        </w:tabs>
        <w:ind w:left="720" w:hanging="360"/>
      </w:pPr>
      <w:rPr>
        <w:rFonts w:ascii="Arial" w:hAnsi="Arial" w:hint="default"/>
      </w:rPr>
    </w:lvl>
    <w:lvl w:ilvl="1" w:tplc="90688948" w:tentative="1">
      <w:start w:val="1"/>
      <w:numFmt w:val="bullet"/>
      <w:lvlText w:val="•"/>
      <w:lvlJc w:val="left"/>
      <w:pPr>
        <w:tabs>
          <w:tab w:val="num" w:pos="1440"/>
        </w:tabs>
        <w:ind w:left="1440" w:hanging="360"/>
      </w:pPr>
      <w:rPr>
        <w:rFonts w:ascii="Arial" w:hAnsi="Arial" w:hint="default"/>
      </w:rPr>
    </w:lvl>
    <w:lvl w:ilvl="2" w:tplc="395ABF28" w:tentative="1">
      <w:start w:val="1"/>
      <w:numFmt w:val="bullet"/>
      <w:lvlText w:val="•"/>
      <w:lvlJc w:val="left"/>
      <w:pPr>
        <w:tabs>
          <w:tab w:val="num" w:pos="2160"/>
        </w:tabs>
        <w:ind w:left="2160" w:hanging="360"/>
      </w:pPr>
      <w:rPr>
        <w:rFonts w:ascii="Arial" w:hAnsi="Arial" w:hint="default"/>
      </w:rPr>
    </w:lvl>
    <w:lvl w:ilvl="3" w:tplc="F628FE8C" w:tentative="1">
      <w:start w:val="1"/>
      <w:numFmt w:val="bullet"/>
      <w:lvlText w:val="•"/>
      <w:lvlJc w:val="left"/>
      <w:pPr>
        <w:tabs>
          <w:tab w:val="num" w:pos="2880"/>
        </w:tabs>
        <w:ind w:left="2880" w:hanging="360"/>
      </w:pPr>
      <w:rPr>
        <w:rFonts w:ascii="Arial" w:hAnsi="Arial" w:hint="default"/>
      </w:rPr>
    </w:lvl>
    <w:lvl w:ilvl="4" w:tplc="0FD84128" w:tentative="1">
      <w:start w:val="1"/>
      <w:numFmt w:val="bullet"/>
      <w:lvlText w:val="•"/>
      <w:lvlJc w:val="left"/>
      <w:pPr>
        <w:tabs>
          <w:tab w:val="num" w:pos="3600"/>
        </w:tabs>
        <w:ind w:left="3600" w:hanging="360"/>
      </w:pPr>
      <w:rPr>
        <w:rFonts w:ascii="Arial" w:hAnsi="Arial" w:hint="default"/>
      </w:rPr>
    </w:lvl>
    <w:lvl w:ilvl="5" w:tplc="FD0071A0" w:tentative="1">
      <w:start w:val="1"/>
      <w:numFmt w:val="bullet"/>
      <w:lvlText w:val="•"/>
      <w:lvlJc w:val="left"/>
      <w:pPr>
        <w:tabs>
          <w:tab w:val="num" w:pos="4320"/>
        </w:tabs>
        <w:ind w:left="4320" w:hanging="360"/>
      </w:pPr>
      <w:rPr>
        <w:rFonts w:ascii="Arial" w:hAnsi="Arial" w:hint="default"/>
      </w:rPr>
    </w:lvl>
    <w:lvl w:ilvl="6" w:tplc="9404047E" w:tentative="1">
      <w:start w:val="1"/>
      <w:numFmt w:val="bullet"/>
      <w:lvlText w:val="•"/>
      <w:lvlJc w:val="left"/>
      <w:pPr>
        <w:tabs>
          <w:tab w:val="num" w:pos="5040"/>
        </w:tabs>
        <w:ind w:left="5040" w:hanging="360"/>
      </w:pPr>
      <w:rPr>
        <w:rFonts w:ascii="Arial" w:hAnsi="Arial" w:hint="default"/>
      </w:rPr>
    </w:lvl>
    <w:lvl w:ilvl="7" w:tplc="D7D6D90A" w:tentative="1">
      <w:start w:val="1"/>
      <w:numFmt w:val="bullet"/>
      <w:lvlText w:val="•"/>
      <w:lvlJc w:val="left"/>
      <w:pPr>
        <w:tabs>
          <w:tab w:val="num" w:pos="5760"/>
        </w:tabs>
        <w:ind w:left="5760" w:hanging="360"/>
      </w:pPr>
      <w:rPr>
        <w:rFonts w:ascii="Arial" w:hAnsi="Arial" w:hint="default"/>
      </w:rPr>
    </w:lvl>
    <w:lvl w:ilvl="8" w:tplc="CC0EB9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E52340"/>
    <w:multiLevelType w:val="hybridMultilevel"/>
    <w:tmpl w:val="1E38CFFA"/>
    <w:lvl w:ilvl="0" w:tplc="394C8F88">
      <w:start w:val="1"/>
      <w:numFmt w:val="bullet"/>
      <w:lvlText w:val=""/>
      <w:lvlJc w:val="left"/>
      <w:pPr>
        <w:ind w:left="720" w:hanging="360"/>
      </w:pPr>
      <w:rPr>
        <w:rFonts w:ascii="Symbol" w:hAnsi="Symbol" w:hint="default"/>
      </w:rPr>
    </w:lvl>
    <w:lvl w:ilvl="1" w:tplc="C570F5BC">
      <w:start w:val="1"/>
      <w:numFmt w:val="bullet"/>
      <w:lvlText w:val=""/>
      <w:lvlJc w:val="left"/>
      <w:pPr>
        <w:ind w:left="1440" w:hanging="360"/>
      </w:pPr>
      <w:rPr>
        <w:rFonts w:ascii="Symbol" w:hAnsi="Symbol" w:hint="default"/>
      </w:rPr>
    </w:lvl>
    <w:lvl w:ilvl="2" w:tplc="F4249CAE">
      <w:start w:val="1"/>
      <w:numFmt w:val="bullet"/>
      <w:lvlText w:val=""/>
      <w:lvlJc w:val="left"/>
      <w:pPr>
        <w:ind w:left="2160" w:hanging="360"/>
      </w:pPr>
      <w:rPr>
        <w:rFonts w:ascii="Wingdings" w:hAnsi="Wingdings" w:hint="default"/>
      </w:rPr>
    </w:lvl>
    <w:lvl w:ilvl="3" w:tplc="67F6E3E2">
      <w:start w:val="1"/>
      <w:numFmt w:val="bullet"/>
      <w:lvlText w:val=""/>
      <w:lvlJc w:val="left"/>
      <w:pPr>
        <w:ind w:left="2880" w:hanging="360"/>
      </w:pPr>
      <w:rPr>
        <w:rFonts w:ascii="Symbol" w:hAnsi="Symbol" w:hint="default"/>
      </w:rPr>
    </w:lvl>
    <w:lvl w:ilvl="4" w:tplc="1924CED6">
      <w:start w:val="1"/>
      <w:numFmt w:val="bullet"/>
      <w:lvlText w:val="o"/>
      <w:lvlJc w:val="left"/>
      <w:pPr>
        <w:ind w:left="3600" w:hanging="360"/>
      </w:pPr>
      <w:rPr>
        <w:rFonts w:ascii="Courier New" w:hAnsi="Courier New" w:hint="default"/>
      </w:rPr>
    </w:lvl>
    <w:lvl w:ilvl="5" w:tplc="80D87A9C">
      <w:start w:val="1"/>
      <w:numFmt w:val="bullet"/>
      <w:lvlText w:val=""/>
      <w:lvlJc w:val="left"/>
      <w:pPr>
        <w:ind w:left="4320" w:hanging="360"/>
      </w:pPr>
      <w:rPr>
        <w:rFonts w:ascii="Wingdings" w:hAnsi="Wingdings" w:hint="default"/>
      </w:rPr>
    </w:lvl>
    <w:lvl w:ilvl="6" w:tplc="2C447F2A">
      <w:start w:val="1"/>
      <w:numFmt w:val="bullet"/>
      <w:lvlText w:val=""/>
      <w:lvlJc w:val="left"/>
      <w:pPr>
        <w:ind w:left="5040" w:hanging="360"/>
      </w:pPr>
      <w:rPr>
        <w:rFonts w:ascii="Symbol" w:hAnsi="Symbol" w:hint="default"/>
      </w:rPr>
    </w:lvl>
    <w:lvl w:ilvl="7" w:tplc="0270D634">
      <w:start w:val="1"/>
      <w:numFmt w:val="bullet"/>
      <w:lvlText w:val="o"/>
      <w:lvlJc w:val="left"/>
      <w:pPr>
        <w:ind w:left="5760" w:hanging="360"/>
      </w:pPr>
      <w:rPr>
        <w:rFonts w:ascii="Courier New" w:hAnsi="Courier New" w:hint="default"/>
      </w:rPr>
    </w:lvl>
    <w:lvl w:ilvl="8" w:tplc="29AAD55C">
      <w:start w:val="1"/>
      <w:numFmt w:val="bullet"/>
      <w:lvlText w:val=""/>
      <w:lvlJc w:val="left"/>
      <w:pPr>
        <w:ind w:left="6480" w:hanging="360"/>
      </w:pPr>
      <w:rPr>
        <w:rFonts w:ascii="Wingdings" w:hAnsi="Wingdings" w:hint="default"/>
      </w:rPr>
    </w:lvl>
  </w:abstractNum>
  <w:abstractNum w:abstractNumId="3" w15:restartNumberingAfterBreak="0">
    <w:nsid w:val="12F04035"/>
    <w:multiLevelType w:val="hybridMultilevel"/>
    <w:tmpl w:val="D5ACDC1C"/>
    <w:lvl w:ilvl="0" w:tplc="9856880C">
      <w:start w:val="1"/>
      <w:numFmt w:val="bullet"/>
      <w:lvlText w:val="•"/>
      <w:lvlJc w:val="left"/>
      <w:pPr>
        <w:tabs>
          <w:tab w:val="num" w:pos="720"/>
        </w:tabs>
        <w:ind w:left="720" w:hanging="360"/>
      </w:pPr>
      <w:rPr>
        <w:rFonts w:ascii="Arial" w:hAnsi="Arial" w:hint="default"/>
      </w:rPr>
    </w:lvl>
    <w:lvl w:ilvl="1" w:tplc="DE66786E" w:tentative="1">
      <w:start w:val="1"/>
      <w:numFmt w:val="bullet"/>
      <w:lvlText w:val="•"/>
      <w:lvlJc w:val="left"/>
      <w:pPr>
        <w:tabs>
          <w:tab w:val="num" w:pos="1440"/>
        </w:tabs>
        <w:ind w:left="1440" w:hanging="360"/>
      </w:pPr>
      <w:rPr>
        <w:rFonts w:ascii="Arial" w:hAnsi="Arial" w:hint="default"/>
      </w:rPr>
    </w:lvl>
    <w:lvl w:ilvl="2" w:tplc="9DFC7CB6" w:tentative="1">
      <w:start w:val="1"/>
      <w:numFmt w:val="bullet"/>
      <w:lvlText w:val="•"/>
      <w:lvlJc w:val="left"/>
      <w:pPr>
        <w:tabs>
          <w:tab w:val="num" w:pos="2160"/>
        </w:tabs>
        <w:ind w:left="2160" w:hanging="360"/>
      </w:pPr>
      <w:rPr>
        <w:rFonts w:ascii="Arial" w:hAnsi="Arial" w:hint="default"/>
      </w:rPr>
    </w:lvl>
    <w:lvl w:ilvl="3" w:tplc="D30877E2" w:tentative="1">
      <w:start w:val="1"/>
      <w:numFmt w:val="bullet"/>
      <w:lvlText w:val="•"/>
      <w:lvlJc w:val="left"/>
      <w:pPr>
        <w:tabs>
          <w:tab w:val="num" w:pos="2880"/>
        </w:tabs>
        <w:ind w:left="2880" w:hanging="360"/>
      </w:pPr>
      <w:rPr>
        <w:rFonts w:ascii="Arial" w:hAnsi="Arial" w:hint="default"/>
      </w:rPr>
    </w:lvl>
    <w:lvl w:ilvl="4" w:tplc="80AE0600" w:tentative="1">
      <w:start w:val="1"/>
      <w:numFmt w:val="bullet"/>
      <w:lvlText w:val="•"/>
      <w:lvlJc w:val="left"/>
      <w:pPr>
        <w:tabs>
          <w:tab w:val="num" w:pos="3600"/>
        </w:tabs>
        <w:ind w:left="3600" w:hanging="360"/>
      </w:pPr>
      <w:rPr>
        <w:rFonts w:ascii="Arial" w:hAnsi="Arial" w:hint="default"/>
      </w:rPr>
    </w:lvl>
    <w:lvl w:ilvl="5" w:tplc="9F1EA838" w:tentative="1">
      <w:start w:val="1"/>
      <w:numFmt w:val="bullet"/>
      <w:lvlText w:val="•"/>
      <w:lvlJc w:val="left"/>
      <w:pPr>
        <w:tabs>
          <w:tab w:val="num" w:pos="4320"/>
        </w:tabs>
        <w:ind w:left="4320" w:hanging="360"/>
      </w:pPr>
      <w:rPr>
        <w:rFonts w:ascii="Arial" w:hAnsi="Arial" w:hint="default"/>
      </w:rPr>
    </w:lvl>
    <w:lvl w:ilvl="6" w:tplc="0ABE5BBE" w:tentative="1">
      <w:start w:val="1"/>
      <w:numFmt w:val="bullet"/>
      <w:lvlText w:val="•"/>
      <w:lvlJc w:val="left"/>
      <w:pPr>
        <w:tabs>
          <w:tab w:val="num" w:pos="5040"/>
        </w:tabs>
        <w:ind w:left="5040" w:hanging="360"/>
      </w:pPr>
      <w:rPr>
        <w:rFonts w:ascii="Arial" w:hAnsi="Arial" w:hint="default"/>
      </w:rPr>
    </w:lvl>
    <w:lvl w:ilvl="7" w:tplc="F4B433F4" w:tentative="1">
      <w:start w:val="1"/>
      <w:numFmt w:val="bullet"/>
      <w:lvlText w:val="•"/>
      <w:lvlJc w:val="left"/>
      <w:pPr>
        <w:tabs>
          <w:tab w:val="num" w:pos="5760"/>
        </w:tabs>
        <w:ind w:left="5760" w:hanging="360"/>
      </w:pPr>
      <w:rPr>
        <w:rFonts w:ascii="Arial" w:hAnsi="Arial" w:hint="default"/>
      </w:rPr>
    </w:lvl>
    <w:lvl w:ilvl="8" w:tplc="88661B4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8C51C7"/>
    <w:multiLevelType w:val="hybridMultilevel"/>
    <w:tmpl w:val="00760FF8"/>
    <w:lvl w:ilvl="0" w:tplc="ED6CE952">
      <w:start w:val="1"/>
      <w:numFmt w:val="bullet"/>
      <w:lvlText w:val="•"/>
      <w:lvlJc w:val="left"/>
      <w:pPr>
        <w:tabs>
          <w:tab w:val="num" w:pos="720"/>
        </w:tabs>
        <w:ind w:left="720" w:hanging="360"/>
      </w:pPr>
      <w:rPr>
        <w:rFonts w:ascii="Arial" w:hAnsi="Arial" w:hint="default"/>
      </w:rPr>
    </w:lvl>
    <w:lvl w:ilvl="1" w:tplc="6F6275EC" w:tentative="1">
      <w:start w:val="1"/>
      <w:numFmt w:val="bullet"/>
      <w:lvlText w:val="•"/>
      <w:lvlJc w:val="left"/>
      <w:pPr>
        <w:tabs>
          <w:tab w:val="num" w:pos="1440"/>
        </w:tabs>
        <w:ind w:left="1440" w:hanging="360"/>
      </w:pPr>
      <w:rPr>
        <w:rFonts w:ascii="Arial" w:hAnsi="Arial" w:hint="default"/>
      </w:rPr>
    </w:lvl>
    <w:lvl w:ilvl="2" w:tplc="57A001C6" w:tentative="1">
      <w:start w:val="1"/>
      <w:numFmt w:val="bullet"/>
      <w:lvlText w:val="•"/>
      <w:lvlJc w:val="left"/>
      <w:pPr>
        <w:tabs>
          <w:tab w:val="num" w:pos="2160"/>
        </w:tabs>
        <w:ind w:left="2160" w:hanging="360"/>
      </w:pPr>
      <w:rPr>
        <w:rFonts w:ascii="Arial" w:hAnsi="Arial" w:hint="default"/>
      </w:rPr>
    </w:lvl>
    <w:lvl w:ilvl="3" w:tplc="89F63A82" w:tentative="1">
      <w:start w:val="1"/>
      <w:numFmt w:val="bullet"/>
      <w:lvlText w:val="•"/>
      <w:lvlJc w:val="left"/>
      <w:pPr>
        <w:tabs>
          <w:tab w:val="num" w:pos="2880"/>
        </w:tabs>
        <w:ind w:left="2880" w:hanging="360"/>
      </w:pPr>
      <w:rPr>
        <w:rFonts w:ascii="Arial" w:hAnsi="Arial" w:hint="default"/>
      </w:rPr>
    </w:lvl>
    <w:lvl w:ilvl="4" w:tplc="D75EE904" w:tentative="1">
      <w:start w:val="1"/>
      <w:numFmt w:val="bullet"/>
      <w:lvlText w:val="•"/>
      <w:lvlJc w:val="left"/>
      <w:pPr>
        <w:tabs>
          <w:tab w:val="num" w:pos="3600"/>
        </w:tabs>
        <w:ind w:left="3600" w:hanging="360"/>
      </w:pPr>
      <w:rPr>
        <w:rFonts w:ascii="Arial" w:hAnsi="Arial" w:hint="default"/>
      </w:rPr>
    </w:lvl>
    <w:lvl w:ilvl="5" w:tplc="C2780806" w:tentative="1">
      <w:start w:val="1"/>
      <w:numFmt w:val="bullet"/>
      <w:lvlText w:val="•"/>
      <w:lvlJc w:val="left"/>
      <w:pPr>
        <w:tabs>
          <w:tab w:val="num" w:pos="4320"/>
        </w:tabs>
        <w:ind w:left="4320" w:hanging="360"/>
      </w:pPr>
      <w:rPr>
        <w:rFonts w:ascii="Arial" w:hAnsi="Arial" w:hint="default"/>
      </w:rPr>
    </w:lvl>
    <w:lvl w:ilvl="6" w:tplc="1276BA3C" w:tentative="1">
      <w:start w:val="1"/>
      <w:numFmt w:val="bullet"/>
      <w:lvlText w:val="•"/>
      <w:lvlJc w:val="left"/>
      <w:pPr>
        <w:tabs>
          <w:tab w:val="num" w:pos="5040"/>
        </w:tabs>
        <w:ind w:left="5040" w:hanging="360"/>
      </w:pPr>
      <w:rPr>
        <w:rFonts w:ascii="Arial" w:hAnsi="Arial" w:hint="default"/>
      </w:rPr>
    </w:lvl>
    <w:lvl w:ilvl="7" w:tplc="2E7A493E" w:tentative="1">
      <w:start w:val="1"/>
      <w:numFmt w:val="bullet"/>
      <w:lvlText w:val="•"/>
      <w:lvlJc w:val="left"/>
      <w:pPr>
        <w:tabs>
          <w:tab w:val="num" w:pos="5760"/>
        </w:tabs>
        <w:ind w:left="5760" w:hanging="360"/>
      </w:pPr>
      <w:rPr>
        <w:rFonts w:ascii="Arial" w:hAnsi="Arial" w:hint="default"/>
      </w:rPr>
    </w:lvl>
    <w:lvl w:ilvl="8" w:tplc="468A6F0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F27333"/>
    <w:multiLevelType w:val="hybridMultilevel"/>
    <w:tmpl w:val="5F48BF18"/>
    <w:lvl w:ilvl="0" w:tplc="7CECEE7C">
      <w:start w:val="1"/>
      <w:numFmt w:val="bullet"/>
      <w:lvlText w:val=""/>
      <w:lvlJc w:val="left"/>
      <w:pPr>
        <w:ind w:left="720" w:hanging="360"/>
      </w:pPr>
      <w:rPr>
        <w:rFonts w:ascii="Symbol" w:hAnsi="Symbol" w:hint="default"/>
      </w:rPr>
    </w:lvl>
    <w:lvl w:ilvl="1" w:tplc="8BFEF232">
      <w:start w:val="1"/>
      <w:numFmt w:val="bullet"/>
      <w:lvlText w:val="o"/>
      <w:lvlJc w:val="left"/>
      <w:pPr>
        <w:ind w:left="1440" w:hanging="360"/>
      </w:pPr>
      <w:rPr>
        <w:rFonts w:ascii="Courier New" w:hAnsi="Courier New" w:hint="default"/>
      </w:rPr>
    </w:lvl>
    <w:lvl w:ilvl="2" w:tplc="0D14F4E0">
      <w:start w:val="1"/>
      <w:numFmt w:val="bullet"/>
      <w:lvlText w:val=""/>
      <w:lvlJc w:val="left"/>
      <w:pPr>
        <w:ind w:left="2160" w:hanging="360"/>
      </w:pPr>
      <w:rPr>
        <w:rFonts w:ascii="Wingdings" w:hAnsi="Wingdings" w:hint="default"/>
      </w:rPr>
    </w:lvl>
    <w:lvl w:ilvl="3" w:tplc="E4401F4E">
      <w:start w:val="1"/>
      <w:numFmt w:val="bullet"/>
      <w:lvlText w:val=""/>
      <w:lvlJc w:val="left"/>
      <w:pPr>
        <w:ind w:left="2880" w:hanging="360"/>
      </w:pPr>
      <w:rPr>
        <w:rFonts w:ascii="Symbol" w:hAnsi="Symbol" w:hint="default"/>
      </w:rPr>
    </w:lvl>
    <w:lvl w:ilvl="4" w:tplc="62780BA6">
      <w:start w:val="1"/>
      <w:numFmt w:val="bullet"/>
      <w:lvlText w:val="o"/>
      <w:lvlJc w:val="left"/>
      <w:pPr>
        <w:ind w:left="3600" w:hanging="360"/>
      </w:pPr>
      <w:rPr>
        <w:rFonts w:ascii="Courier New" w:hAnsi="Courier New" w:hint="default"/>
      </w:rPr>
    </w:lvl>
    <w:lvl w:ilvl="5" w:tplc="5B16EB0C">
      <w:start w:val="1"/>
      <w:numFmt w:val="bullet"/>
      <w:lvlText w:val=""/>
      <w:lvlJc w:val="left"/>
      <w:pPr>
        <w:ind w:left="4320" w:hanging="360"/>
      </w:pPr>
      <w:rPr>
        <w:rFonts w:ascii="Wingdings" w:hAnsi="Wingdings" w:hint="default"/>
      </w:rPr>
    </w:lvl>
    <w:lvl w:ilvl="6" w:tplc="E2E051FA">
      <w:start w:val="1"/>
      <w:numFmt w:val="bullet"/>
      <w:lvlText w:val=""/>
      <w:lvlJc w:val="left"/>
      <w:pPr>
        <w:ind w:left="5040" w:hanging="360"/>
      </w:pPr>
      <w:rPr>
        <w:rFonts w:ascii="Symbol" w:hAnsi="Symbol" w:hint="default"/>
      </w:rPr>
    </w:lvl>
    <w:lvl w:ilvl="7" w:tplc="64547584">
      <w:start w:val="1"/>
      <w:numFmt w:val="bullet"/>
      <w:lvlText w:val="o"/>
      <w:lvlJc w:val="left"/>
      <w:pPr>
        <w:ind w:left="5760" w:hanging="360"/>
      </w:pPr>
      <w:rPr>
        <w:rFonts w:ascii="Courier New" w:hAnsi="Courier New" w:hint="default"/>
      </w:rPr>
    </w:lvl>
    <w:lvl w:ilvl="8" w:tplc="E496FC78">
      <w:start w:val="1"/>
      <w:numFmt w:val="bullet"/>
      <w:lvlText w:val=""/>
      <w:lvlJc w:val="left"/>
      <w:pPr>
        <w:ind w:left="6480" w:hanging="360"/>
      </w:pPr>
      <w:rPr>
        <w:rFonts w:ascii="Wingdings" w:hAnsi="Wingdings" w:hint="default"/>
      </w:rPr>
    </w:lvl>
  </w:abstractNum>
  <w:abstractNum w:abstractNumId="6" w15:restartNumberingAfterBreak="0">
    <w:nsid w:val="32396D9C"/>
    <w:multiLevelType w:val="hybridMultilevel"/>
    <w:tmpl w:val="ABEE3A04"/>
    <w:lvl w:ilvl="0" w:tplc="1DEEBE88">
      <w:start w:val="1"/>
      <w:numFmt w:val="bullet"/>
      <w:lvlText w:val="•"/>
      <w:lvlJc w:val="left"/>
      <w:pPr>
        <w:tabs>
          <w:tab w:val="num" w:pos="720"/>
        </w:tabs>
        <w:ind w:left="720" w:hanging="360"/>
      </w:pPr>
      <w:rPr>
        <w:rFonts w:ascii="Arial" w:hAnsi="Arial" w:hint="default"/>
      </w:rPr>
    </w:lvl>
    <w:lvl w:ilvl="1" w:tplc="17126668" w:tentative="1">
      <w:start w:val="1"/>
      <w:numFmt w:val="bullet"/>
      <w:lvlText w:val="•"/>
      <w:lvlJc w:val="left"/>
      <w:pPr>
        <w:tabs>
          <w:tab w:val="num" w:pos="1440"/>
        </w:tabs>
        <w:ind w:left="1440" w:hanging="360"/>
      </w:pPr>
      <w:rPr>
        <w:rFonts w:ascii="Arial" w:hAnsi="Arial" w:hint="default"/>
      </w:rPr>
    </w:lvl>
    <w:lvl w:ilvl="2" w:tplc="FDD44D9A" w:tentative="1">
      <w:start w:val="1"/>
      <w:numFmt w:val="bullet"/>
      <w:lvlText w:val="•"/>
      <w:lvlJc w:val="left"/>
      <w:pPr>
        <w:tabs>
          <w:tab w:val="num" w:pos="2160"/>
        </w:tabs>
        <w:ind w:left="2160" w:hanging="360"/>
      </w:pPr>
      <w:rPr>
        <w:rFonts w:ascii="Arial" w:hAnsi="Arial" w:hint="default"/>
      </w:rPr>
    </w:lvl>
    <w:lvl w:ilvl="3" w:tplc="8138B6CA" w:tentative="1">
      <w:start w:val="1"/>
      <w:numFmt w:val="bullet"/>
      <w:lvlText w:val="•"/>
      <w:lvlJc w:val="left"/>
      <w:pPr>
        <w:tabs>
          <w:tab w:val="num" w:pos="2880"/>
        </w:tabs>
        <w:ind w:left="2880" w:hanging="360"/>
      </w:pPr>
      <w:rPr>
        <w:rFonts w:ascii="Arial" w:hAnsi="Arial" w:hint="default"/>
      </w:rPr>
    </w:lvl>
    <w:lvl w:ilvl="4" w:tplc="F6DAA086" w:tentative="1">
      <w:start w:val="1"/>
      <w:numFmt w:val="bullet"/>
      <w:lvlText w:val="•"/>
      <w:lvlJc w:val="left"/>
      <w:pPr>
        <w:tabs>
          <w:tab w:val="num" w:pos="3600"/>
        </w:tabs>
        <w:ind w:left="3600" w:hanging="360"/>
      </w:pPr>
      <w:rPr>
        <w:rFonts w:ascii="Arial" w:hAnsi="Arial" w:hint="default"/>
      </w:rPr>
    </w:lvl>
    <w:lvl w:ilvl="5" w:tplc="CEF0611C" w:tentative="1">
      <w:start w:val="1"/>
      <w:numFmt w:val="bullet"/>
      <w:lvlText w:val="•"/>
      <w:lvlJc w:val="left"/>
      <w:pPr>
        <w:tabs>
          <w:tab w:val="num" w:pos="4320"/>
        </w:tabs>
        <w:ind w:left="4320" w:hanging="360"/>
      </w:pPr>
      <w:rPr>
        <w:rFonts w:ascii="Arial" w:hAnsi="Arial" w:hint="default"/>
      </w:rPr>
    </w:lvl>
    <w:lvl w:ilvl="6" w:tplc="04940722" w:tentative="1">
      <w:start w:val="1"/>
      <w:numFmt w:val="bullet"/>
      <w:lvlText w:val="•"/>
      <w:lvlJc w:val="left"/>
      <w:pPr>
        <w:tabs>
          <w:tab w:val="num" w:pos="5040"/>
        </w:tabs>
        <w:ind w:left="5040" w:hanging="360"/>
      </w:pPr>
      <w:rPr>
        <w:rFonts w:ascii="Arial" w:hAnsi="Arial" w:hint="default"/>
      </w:rPr>
    </w:lvl>
    <w:lvl w:ilvl="7" w:tplc="1D2C65E0" w:tentative="1">
      <w:start w:val="1"/>
      <w:numFmt w:val="bullet"/>
      <w:lvlText w:val="•"/>
      <w:lvlJc w:val="left"/>
      <w:pPr>
        <w:tabs>
          <w:tab w:val="num" w:pos="5760"/>
        </w:tabs>
        <w:ind w:left="5760" w:hanging="360"/>
      </w:pPr>
      <w:rPr>
        <w:rFonts w:ascii="Arial" w:hAnsi="Arial" w:hint="default"/>
      </w:rPr>
    </w:lvl>
    <w:lvl w:ilvl="8" w:tplc="C0C840A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207E77"/>
    <w:multiLevelType w:val="multilevel"/>
    <w:tmpl w:val="BD6C74A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381B35"/>
    <w:multiLevelType w:val="hybridMultilevel"/>
    <w:tmpl w:val="F2D0DCAA"/>
    <w:lvl w:ilvl="0" w:tplc="1EBEA424">
      <w:start w:val="1"/>
      <w:numFmt w:val="bullet"/>
      <w:lvlText w:val=""/>
      <w:lvlJc w:val="left"/>
      <w:pPr>
        <w:ind w:left="720" w:hanging="360"/>
      </w:pPr>
      <w:rPr>
        <w:rFonts w:ascii="Symbol" w:hAnsi="Symbol" w:hint="default"/>
      </w:rPr>
    </w:lvl>
    <w:lvl w:ilvl="1" w:tplc="8960BBA0">
      <w:start w:val="1"/>
      <w:numFmt w:val="bullet"/>
      <w:lvlText w:val=""/>
      <w:lvlJc w:val="left"/>
      <w:pPr>
        <w:ind w:left="1440" w:hanging="360"/>
      </w:pPr>
      <w:rPr>
        <w:rFonts w:ascii="Symbol" w:hAnsi="Symbol" w:hint="default"/>
      </w:rPr>
    </w:lvl>
    <w:lvl w:ilvl="2" w:tplc="9376AB42">
      <w:start w:val="1"/>
      <w:numFmt w:val="bullet"/>
      <w:lvlText w:val=""/>
      <w:lvlJc w:val="left"/>
      <w:pPr>
        <w:ind w:left="2160" w:hanging="360"/>
      </w:pPr>
      <w:rPr>
        <w:rFonts w:ascii="Wingdings" w:hAnsi="Wingdings" w:hint="default"/>
      </w:rPr>
    </w:lvl>
    <w:lvl w:ilvl="3" w:tplc="AB10346A">
      <w:start w:val="1"/>
      <w:numFmt w:val="bullet"/>
      <w:lvlText w:val=""/>
      <w:lvlJc w:val="left"/>
      <w:pPr>
        <w:ind w:left="2880" w:hanging="360"/>
      </w:pPr>
      <w:rPr>
        <w:rFonts w:ascii="Symbol" w:hAnsi="Symbol" w:hint="default"/>
      </w:rPr>
    </w:lvl>
    <w:lvl w:ilvl="4" w:tplc="34D67254">
      <w:start w:val="1"/>
      <w:numFmt w:val="bullet"/>
      <w:lvlText w:val="o"/>
      <w:lvlJc w:val="left"/>
      <w:pPr>
        <w:ind w:left="3600" w:hanging="360"/>
      </w:pPr>
      <w:rPr>
        <w:rFonts w:ascii="Courier New" w:hAnsi="Courier New" w:hint="default"/>
      </w:rPr>
    </w:lvl>
    <w:lvl w:ilvl="5" w:tplc="7CBA7682">
      <w:start w:val="1"/>
      <w:numFmt w:val="bullet"/>
      <w:lvlText w:val=""/>
      <w:lvlJc w:val="left"/>
      <w:pPr>
        <w:ind w:left="4320" w:hanging="360"/>
      </w:pPr>
      <w:rPr>
        <w:rFonts w:ascii="Wingdings" w:hAnsi="Wingdings" w:hint="default"/>
      </w:rPr>
    </w:lvl>
    <w:lvl w:ilvl="6" w:tplc="EF041F62">
      <w:start w:val="1"/>
      <w:numFmt w:val="bullet"/>
      <w:lvlText w:val=""/>
      <w:lvlJc w:val="left"/>
      <w:pPr>
        <w:ind w:left="5040" w:hanging="360"/>
      </w:pPr>
      <w:rPr>
        <w:rFonts w:ascii="Symbol" w:hAnsi="Symbol" w:hint="default"/>
      </w:rPr>
    </w:lvl>
    <w:lvl w:ilvl="7" w:tplc="373688AA">
      <w:start w:val="1"/>
      <w:numFmt w:val="bullet"/>
      <w:lvlText w:val="o"/>
      <w:lvlJc w:val="left"/>
      <w:pPr>
        <w:ind w:left="5760" w:hanging="360"/>
      </w:pPr>
      <w:rPr>
        <w:rFonts w:ascii="Courier New" w:hAnsi="Courier New" w:hint="default"/>
      </w:rPr>
    </w:lvl>
    <w:lvl w:ilvl="8" w:tplc="64A6C96E">
      <w:start w:val="1"/>
      <w:numFmt w:val="bullet"/>
      <w:lvlText w:val=""/>
      <w:lvlJc w:val="left"/>
      <w:pPr>
        <w:ind w:left="6480" w:hanging="360"/>
      </w:pPr>
      <w:rPr>
        <w:rFonts w:ascii="Wingdings" w:hAnsi="Wingdings" w:hint="default"/>
      </w:rPr>
    </w:lvl>
  </w:abstractNum>
  <w:abstractNum w:abstractNumId="9" w15:restartNumberingAfterBreak="0">
    <w:nsid w:val="3DE95FD9"/>
    <w:multiLevelType w:val="multilevel"/>
    <w:tmpl w:val="F6A8154C"/>
    <w:lvl w:ilvl="0">
      <w:start w:val="1"/>
      <w:numFmt w:val="decimal"/>
      <w:lvlText w:val="%1."/>
      <w:lvlJc w:val="left"/>
      <w:pPr>
        <w:ind w:left="928"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0" w15:restartNumberingAfterBreak="0">
    <w:nsid w:val="4A8D4659"/>
    <w:multiLevelType w:val="hybridMultilevel"/>
    <w:tmpl w:val="09008AFA"/>
    <w:lvl w:ilvl="0" w:tplc="066804CA">
      <w:start w:val="1"/>
      <w:numFmt w:val="bullet"/>
      <w:lvlText w:val="•"/>
      <w:lvlJc w:val="left"/>
      <w:pPr>
        <w:tabs>
          <w:tab w:val="num" w:pos="720"/>
        </w:tabs>
        <w:ind w:left="720" w:hanging="360"/>
      </w:pPr>
      <w:rPr>
        <w:rFonts w:ascii="Arial" w:hAnsi="Arial" w:hint="default"/>
      </w:rPr>
    </w:lvl>
    <w:lvl w:ilvl="1" w:tplc="3A2E8856" w:tentative="1">
      <w:start w:val="1"/>
      <w:numFmt w:val="bullet"/>
      <w:lvlText w:val="•"/>
      <w:lvlJc w:val="left"/>
      <w:pPr>
        <w:tabs>
          <w:tab w:val="num" w:pos="1440"/>
        </w:tabs>
        <w:ind w:left="1440" w:hanging="360"/>
      </w:pPr>
      <w:rPr>
        <w:rFonts w:ascii="Arial" w:hAnsi="Arial" w:hint="default"/>
      </w:rPr>
    </w:lvl>
    <w:lvl w:ilvl="2" w:tplc="BCFEECFA" w:tentative="1">
      <w:start w:val="1"/>
      <w:numFmt w:val="bullet"/>
      <w:lvlText w:val="•"/>
      <w:lvlJc w:val="left"/>
      <w:pPr>
        <w:tabs>
          <w:tab w:val="num" w:pos="2160"/>
        </w:tabs>
        <w:ind w:left="2160" w:hanging="360"/>
      </w:pPr>
      <w:rPr>
        <w:rFonts w:ascii="Arial" w:hAnsi="Arial" w:hint="default"/>
      </w:rPr>
    </w:lvl>
    <w:lvl w:ilvl="3" w:tplc="E3B2AEC8" w:tentative="1">
      <w:start w:val="1"/>
      <w:numFmt w:val="bullet"/>
      <w:lvlText w:val="•"/>
      <w:lvlJc w:val="left"/>
      <w:pPr>
        <w:tabs>
          <w:tab w:val="num" w:pos="2880"/>
        </w:tabs>
        <w:ind w:left="2880" w:hanging="360"/>
      </w:pPr>
      <w:rPr>
        <w:rFonts w:ascii="Arial" w:hAnsi="Arial" w:hint="default"/>
      </w:rPr>
    </w:lvl>
    <w:lvl w:ilvl="4" w:tplc="D2C8CDAE" w:tentative="1">
      <w:start w:val="1"/>
      <w:numFmt w:val="bullet"/>
      <w:lvlText w:val="•"/>
      <w:lvlJc w:val="left"/>
      <w:pPr>
        <w:tabs>
          <w:tab w:val="num" w:pos="3600"/>
        </w:tabs>
        <w:ind w:left="3600" w:hanging="360"/>
      </w:pPr>
      <w:rPr>
        <w:rFonts w:ascii="Arial" w:hAnsi="Arial" w:hint="default"/>
      </w:rPr>
    </w:lvl>
    <w:lvl w:ilvl="5" w:tplc="23024C82" w:tentative="1">
      <w:start w:val="1"/>
      <w:numFmt w:val="bullet"/>
      <w:lvlText w:val="•"/>
      <w:lvlJc w:val="left"/>
      <w:pPr>
        <w:tabs>
          <w:tab w:val="num" w:pos="4320"/>
        </w:tabs>
        <w:ind w:left="4320" w:hanging="360"/>
      </w:pPr>
      <w:rPr>
        <w:rFonts w:ascii="Arial" w:hAnsi="Arial" w:hint="default"/>
      </w:rPr>
    </w:lvl>
    <w:lvl w:ilvl="6" w:tplc="9DC4F0A8" w:tentative="1">
      <w:start w:val="1"/>
      <w:numFmt w:val="bullet"/>
      <w:lvlText w:val="•"/>
      <w:lvlJc w:val="left"/>
      <w:pPr>
        <w:tabs>
          <w:tab w:val="num" w:pos="5040"/>
        </w:tabs>
        <w:ind w:left="5040" w:hanging="360"/>
      </w:pPr>
      <w:rPr>
        <w:rFonts w:ascii="Arial" w:hAnsi="Arial" w:hint="default"/>
      </w:rPr>
    </w:lvl>
    <w:lvl w:ilvl="7" w:tplc="EC4E29DA" w:tentative="1">
      <w:start w:val="1"/>
      <w:numFmt w:val="bullet"/>
      <w:lvlText w:val="•"/>
      <w:lvlJc w:val="left"/>
      <w:pPr>
        <w:tabs>
          <w:tab w:val="num" w:pos="5760"/>
        </w:tabs>
        <w:ind w:left="5760" w:hanging="360"/>
      </w:pPr>
      <w:rPr>
        <w:rFonts w:ascii="Arial" w:hAnsi="Arial" w:hint="default"/>
      </w:rPr>
    </w:lvl>
    <w:lvl w:ilvl="8" w:tplc="1756A36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8A27EC2"/>
    <w:multiLevelType w:val="hybridMultilevel"/>
    <w:tmpl w:val="7EE4519C"/>
    <w:lvl w:ilvl="0" w:tplc="5E9ACCA6">
      <w:start w:val="1"/>
      <w:numFmt w:val="bullet"/>
      <w:lvlText w:val=""/>
      <w:lvlJc w:val="left"/>
      <w:pPr>
        <w:ind w:left="720" w:hanging="360"/>
      </w:pPr>
      <w:rPr>
        <w:rFonts w:ascii="Symbol" w:hAnsi="Symbol" w:hint="default"/>
      </w:rPr>
    </w:lvl>
    <w:lvl w:ilvl="1" w:tplc="A42E14EA">
      <w:start w:val="1"/>
      <w:numFmt w:val="bullet"/>
      <w:lvlText w:val="o"/>
      <w:lvlJc w:val="left"/>
      <w:pPr>
        <w:ind w:left="1440" w:hanging="360"/>
      </w:pPr>
      <w:rPr>
        <w:rFonts w:ascii="Courier New" w:hAnsi="Courier New" w:hint="default"/>
      </w:rPr>
    </w:lvl>
    <w:lvl w:ilvl="2" w:tplc="C644C7D0">
      <w:start w:val="1"/>
      <w:numFmt w:val="bullet"/>
      <w:lvlText w:val=""/>
      <w:lvlJc w:val="left"/>
      <w:pPr>
        <w:ind w:left="2160" w:hanging="360"/>
      </w:pPr>
      <w:rPr>
        <w:rFonts w:ascii="Wingdings" w:hAnsi="Wingdings" w:hint="default"/>
      </w:rPr>
    </w:lvl>
    <w:lvl w:ilvl="3" w:tplc="2C54E488">
      <w:start w:val="1"/>
      <w:numFmt w:val="bullet"/>
      <w:lvlText w:val=""/>
      <w:lvlJc w:val="left"/>
      <w:pPr>
        <w:ind w:left="2880" w:hanging="360"/>
      </w:pPr>
      <w:rPr>
        <w:rFonts w:ascii="Symbol" w:hAnsi="Symbol" w:hint="default"/>
      </w:rPr>
    </w:lvl>
    <w:lvl w:ilvl="4" w:tplc="C1742456">
      <w:start w:val="1"/>
      <w:numFmt w:val="bullet"/>
      <w:lvlText w:val="o"/>
      <w:lvlJc w:val="left"/>
      <w:pPr>
        <w:ind w:left="3600" w:hanging="360"/>
      </w:pPr>
      <w:rPr>
        <w:rFonts w:ascii="Courier New" w:hAnsi="Courier New" w:hint="default"/>
      </w:rPr>
    </w:lvl>
    <w:lvl w:ilvl="5" w:tplc="6BCE44D2">
      <w:start w:val="1"/>
      <w:numFmt w:val="bullet"/>
      <w:lvlText w:val=""/>
      <w:lvlJc w:val="left"/>
      <w:pPr>
        <w:ind w:left="4320" w:hanging="360"/>
      </w:pPr>
      <w:rPr>
        <w:rFonts w:ascii="Wingdings" w:hAnsi="Wingdings" w:hint="default"/>
      </w:rPr>
    </w:lvl>
    <w:lvl w:ilvl="6" w:tplc="8F54EF5C">
      <w:start w:val="1"/>
      <w:numFmt w:val="bullet"/>
      <w:lvlText w:val=""/>
      <w:lvlJc w:val="left"/>
      <w:pPr>
        <w:ind w:left="5040" w:hanging="360"/>
      </w:pPr>
      <w:rPr>
        <w:rFonts w:ascii="Symbol" w:hAnsi="Symbol" w:hint="default"/>
      </w:rPr>
    </w:lvl>
    <w:lvl w:ilvl="7" w:tplc="44BC3BB2">
      <w:start w:val="1"/>
      <w:numFmt w:val="bullet"/>
      <w:lvlText w:val="o"/>
      <w:lvlJc w:val="left"/>
      <w:pPr>
        <w:ind w:left="5760" w:hanging="360"/>
      </w:pPr>
      <w:rPr>
        <w:rFonts w:ascii="Courier New" w:hAnsi="Courier New" w:hint="default"/>
      </w:rPr>
    </w:lvl>
    <w:lvl w:ilvl="8" w:tplc="A424975C">
      <w:start w:val="1"/>
      <w:numFmt w:val="bullet"/>
      <w:lvlText w:val=""/>
      <w:lvlJc w:val="left"/>
      <w:pPr>
        <w:ind w:left="6480" w:hanging="360"/>
      </w:pPr>
      <w:rPr>
        <w:rFonts w:ascii="Wingdings" w:hAnsi="Wingdings" w:hint="default"/>
      </w:rPr>
    </w:lvl>
  </w:abstractNum>
  <w:abstractNum w:abstractNumId="12" w15:restartNumberingAfterBreak="0">
    <w:nsid w:val="748F6825"/>
    <w:multiLevelType w:val="hybridMultilevel"/>
    <w:tmpl w:val="BC18742C"/>
    <w:lvl w:ilvl="0" w:tplc="168A18A8">
      <w:start w:val="1"/>
      <w:numFmt w:val="decimal"/>
      <w:pStyle w:val="Balk3"/>
      <w:lvlText w:val="2.5.%1."/>
      <w:lvlJc w:val="left"/>
      <w:pPr>
        <w:ind w:left="72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5"/>
  </w:num>
  <w:num w:numId="3">
    <w:abstractNumId w:val="0"/>
  </w:num>
  <w:num w:numId="4">
    <w:abstractNumId w:val="12"/>
  </w:num>
  <w:num w:numId="5">
    <w:abstractNumId w:val="7"/>
  </w:num>
  <w:num w:numId="6">
    <w:abstractNumId w:val="11"/>
  </w:num>
  <w:num w:numId="7">
    <w:abstractNumId w:val="8"/>
  </w:num>
  <w:num w:numId="8">
    <w:abstractNumId w:val="2"/>
  </w:num>
  <w:num w:numId="9">
    <w:abstractNumId w:val="10"/>
  </w:num>
  <w:num w:numId="10">
    <w:abstractNumId w:val="4"/>
  </w:num>
  <w:num w:numId="11">
    <w:abstractNumId w:val="3"/>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A9D"/>
    <w:rsid w:val="0000103C"/>
    <w:rsid w:val="00021F45"/>
    <w:rsid w:val="000505DE"/>
    <w:rsid w:val="00072964"/>
    <w:rsid w:val="00072F07"/>
    <w:rsid w:val="000A1B90"/>
    <w:rsid w:val="000C4544"/>
    <w:rsid w:val="000D023A"/>
    <w:rsid w:val="000D5858"/>
    <w:rsid w:val="000F1340"/>
    <w:rsid w:val="00112599"/>
    <w:rsid w:val="001458FF"/>
    <w:rsid w:val="001531DC"/>
    <w:rsid w:val="0016377B"/>
    <w:rsid w:val="00182758"/>
    <w:rsid w:val="00187E35"/>
    <w:rsid w:val="001929CA"/>
    <w:rsid w:val="001D61AA"/>
    <w:rsid w:val="001E1FFD"/>
    <w:rsid w:val="001E224B"/>
    <w:rsid w:val="001E65F8"/>
    <w:rsid w:val="001F52A0"/>
    <w:rsid w:val="001F5F75"/>
    <w:rsid w:val="002168A5"/>
    <w:rsid w:val="002257C0"/>
    <w:rsid w:val="00230C62"/>
    <w:rsid w:val="002463B1"/>
    <w:rsid w:val="00251BC0"/>
    <w:rsid w:val="00254630"/>
    <w:rsid w:val="002762B9"/>
    <w:rsid w:val="002A0466"/>
    <w:rsid w:val="002D015D"/>
    <w:rsid w:val="002D179D"/>
    <w:rsid w:val="002D2710"/>
    <w:rsid w:val="002D71C8"/>
    <w:rsid w:val="002E1162"/>
    <w:rsid w:val="002F361D"/>
    <w:rsid w:val="0032657C"/>
    <w:rsid w:val="00327DA7"/>
    <w:rsid w:val="00330555"/>
    <w:rsid w:val="00334944"/>
    <w:rsid w:val="0033518E"/>
    <w:rsid w:val="00336384"/>
    <w:rsid w:val="00341F1F"/>
    <w:rsid w:val="003433A2"/>
    <w:rsid w:val="0034682B"/>
    <w:rsid w:val="003524A8"/>
    <w:rsid w:val="00352F21"/>
    <w:rsid w:val="00367788"/>
    <w:rsid w:val="00375311"/>
    <w:rsid w:val="0037722A"/>
    <w:rsid w:val="003A3C32"/>
    <w:rsid w:val="003B12E5"/>
    <w:rsid w:val="003B16CF"/>
    <w:rsid w:val="003C2736"/>
    <w:rsid w:val="003C3004"/>
    <w:rsid w:val="003C58DE"/>
    <w:rsid w:val="003D0C76"/>
    <w:rsid w:val="003D5EFF"/>
    <w:rsid w:val="003F134A"/>
    <w:rsid w:val="00401C25"/>
    <w:rsid w:val="00402EE0"/>
    <w:rsid w:val="00414E14"/>
    <w:rsid w:val="00443F1E"/>
    <w:rsid w:val="004563AD"/>
    <w:rsid w:val="00464983"/>
    <w:rsid w:val="004762B3"/>
    <w:rsid w:val="004779B7"/>
    <w:rsid w:val="00482D5F"/>
    <w:rsid w:val="004A4F89"/>
    <w:rsid w:val="004C2B1E"/>
    <w:rsid w:val="004C771D"/>
    <w:rsid w:val="004D1FB8"/>
    <w:rsid w:val="004D4582"/>
    <w:rsid w:val="00515807"/>
    <w:rsid w:val="00551BD5"/>
    <w:rsid w:val="00553538"/>
    <w:rsid w:val="00576244"/>
    <w:rsid w:val="005A1BE2"/>
    <w:rsid w:val="005A2685"/>
    <w:rsid w:val="005A7EA7"/>
    <w:rsid w:val="005B1244"/>
    <w:rsid w:val="005B3C6F"/>
    <w:rsid w:val="005B5E76"/>
    <w:rsid w:val="005B6D26"/>
    <w:rsid w:val="005B6EA6"/>
    <w:rsid w:val="005F1C20"/>
    <w:rsid w:val="005F56F4"/>
    <w:rsid w:val="00640058"/>
    <w:rsid w:val="0064248C"/>
    <w:rsid w:val="006479A0"/>
    <w:rsid w:val="0066411C"/>
    <w:rsid w:val="00664DC1"/>
    <w:rsid w:val="006731D2"/>
    <w:rsid w:val="006777E1"/>
    <w:rsid w:val="00691C44"/>
    <w:rsid w:val="00691D8B"/>
    <w:rsid w:val="00692D6F"/>
    <w:rsid w:val="006C2983"/>
    <w:rsid w:val="006C573F"/>
    <w:rsid w:val="006C5D70"/>
    <w:rsid w:val="006D6272"/>
    <w:rsid w:val="00705ED4"/>
    <w:rsid w:val="007077E5"/>
    <w:rsid w:val="0072421E"/>
    <w:rsid w:val="0073061D"/>
    <w:rsid w:val="0073243B"/>
    <w:rsid w:val="007370D0"/>
    <w:rsid w:val="00763BC3"/>
    <w:rsid w:val="00770E5F"/>
    <w:rsid w:val="00792560"/>
    <w:rsid w:val="007A1487"/>
    <w:rsid w:val="007B4545"/>
    <w:rsid w:val="007B5BD0"/>
    <w:rsid w:val="007C090B"/>
    <w:rsid w:val="007C7182"/>
    <w:rsid w:val="007D2997"/>
    <w:rsid w:val="007F200F"/>
    <w:rsid w:val="00805037"/>
    <w:rsid w:val="00807100"/>
    <w:rsid w:val="00813842"/>
    <w:rsid w:val="008230E3"/>
    <w:rsid w:val="00826FFC"/>
    <w:rsid w:val="00850206"/>
    <w:rsid w:val="0085097B"/>
    <w:rsid w:val="00856BA4"/>
    <w:rsid w:val="00867F78"/>
    <w:rsid w:val="008851C1"/>
    <w:rsid w:val="008952F6"/>
    <w:rsid w:val="00896830"/>
    <w:rsid w:val="008A7822"/>
    <w:rsid w:val="008A7994"/>
    <w:rsid w:val="008B4040"/>
    <w:rsid w:val="008B4C8F"/>
    <w:rsid w:val="008B6ADB"/>
    <w:rsid w:val="008C3E8F"/>
    <w:rsid w:val="008C3F96"/>
    <w:rsid w:val="008E0A45"/>
    <w:rsid w:val="008F57E4"/>
    <w:rsid w:val="00901BEA"/>
    <w:rsid w:val="00916661"/>
    <w:rsid w:val="009232D3"/>
    <w:rsid w:val="00925BCD"/>
    <w:rsid w:val="00925C64"/>
    <w:rsid w:val="00931BEB"/>
    <w:rsid w:val="00952225"/>
    <w:rsid w:val="00976AA6"/>
    <w:rsid w:val="00982E2D"/>
    <w:rsid w:val="0099117F"/>
    <w:rsid w:val="009923E1"/>
    <w:rsid w:val="009C1A09"/>
    <w:rsid w:val="009E6E1A"/>
    <w:rsid w:val="009F3C5F"/>
    <w:rsid w:val="009F49ED"/>
    <w:rsid w:val="009F7FFD"/>
    <w:rsid w:val="00A00CEC"/>
    <w:rsid w:val="00A01DC1"/>
    <w:rsid w:val="00A07816"/>
    <w:rsid w:val="00A20650"/>
    <w:rsid w:val="00A265A3"/>
    <w:rsid w:val="00A37D59"/>
    <w:rsid w:val="00A50436"/>
    <w:rsid w:val="00A52E4D"/>
    <w:rsid w:val="00A721F7"/>
    <w:rsid w:val="00AA5CEA"/>
    <w:rsid w:val="00AA7C16"/>
    <w:rsid w:val="00AB10D8"/>
    <w:rsid w:val="00AB20F7"/>
    <w:rsid w:val="00AB4ECC"/>
    <w:rsid w:val="00AC57AA"/>
    <w:rsid w:val="00AD1CFB"/>
    <w:rsid w:val="00AF01FD"/>
    <w:rsid w:val="00AF37F4"/>
    <w:rsid w:val="00AF6A11"/>
    <w:rsid w:val="00AF72E6"/>
    <w:rsid w:val="00AF7DA2"/>
    <w:rsid w:val="00B05802"/>
    <w:rsid w:val="00B11930"/>
    <w:rsid w:val="00B21511"/>
    <w:rsid w:val="00B215E9"/>
    <w:rsid w:val="00B24C9F"/>
    <w:rsid w:val="00B2556B"/>
    <w:rsid w:val="00B30537"/>
    <w:rsid w:val="00B32A51"/>
    <w:rsid w:val="00B472FB"/>
    <w:rsid w:val="00B92E1D"/>
    <w:rsid w:val="00BB6A29"/>
    <w:rsid w:val="00BB767F"/>
    <w:rsid w:val="00BE068B"/>
    <w:rsid w:val="00BF077C"/>
    <w:rsid w:val="00BF7C93"/>
    <w:rsid w:val="00C052D3"/>
    <w:rsid w:val="00C16491"/>
    <w:rsid w:val="00C3000E"/>
    <w:rsid w:val="00C37EFD"/>
    <w:rsid w:val="00C44BFA"/>
    <w:rsid w:val="00C47D61"/>
    <w:rsid w:val="00C525B6"/>
    <w:rsid w:val="00C60A5C"/>
    <w:rsid w:val="00C66327"/>
    <w:rsid w:val="00C71364"/>
    <w:rsid w:val="00C728A1"/>
    <w:rsid w:val="00C74286"/>
    <w:rsid w:val="00C752D8"/>
    <w:rsid w:val="00C756E1"/>
    <w:rsid w:val="00C94D9B"/>
    <w:rsid w:val="00C96AD5"/>
    <w:rsid w:val="00CA0F2D"/>
    <w:rsid w:val="00CA5FC8"/>
    <w:rsid w:val="00CA6E4B"/>
    <w:rsid w:val="00CB61C2"/>
    <w:rsid w:val="00CD1F27"/>
    <w:rsid w:val="00CE7B22"/>
    <w:rsid w:val="00D057E2"/>
    <w:rsid w:val="00D05834"/>
    <w:rsid w:val="00D17A71"/>
    <w:rsid w:val="00D301F1"/>
    <w:rsid w:val="00D379C3"/>
    <w:rsid w:val="00D50A9D"/>
    <w:rsid w:val="00D53B79"/>
    <w:rsid w:val="00D55055"/>
    <w:rsid w:val="00D5588E"/>
    <w:rsid w:val="00D566D3"/>
    <w:rsid w:val="00D61759"/>
    <w:rsid w:val="00D632A5"/>
    <w:rsid w:val="00D73BBD"/>
    <w:rsid w:val="00D75341"/>
    <w:rsid w:val="00D815F0"/>
    <w:rsid w:val="00D8307F"/>
    <w:rsid w:val="00D830E5"/>
    <w:rsid w:val="00D90306"/>
    <w:rsid w:val="00D96BAF"/>
    <w:rsid w:val="00DA1B2C"/>
    <w:rsid w:val="00DA69F6"/>
    <w:rsid w:val="00DB6F2B"/>
    <w:rsid w:val="00DD25FA"/>
    <w:rsid w:val="00DD3911"/>
    <w:rsid w:val="00DE3115"/>
    <w:rsid w:val="00DF6CFD"/>
    <w:rsid w:val="00E13B53"/>
    <w:rsid w:val="00E2722F"/>
    <w:rsid w:val="00E348C0"/>
    <w:rsid w:val="00E3593F"/>
    <w:rsid w:val="00E414AB"/>
    <w:rsid w:val="00E461C6"/>
    <w:rsid w:val="00E46B1C"/>
    <w:rsid w:val="00E52299"/>
    <w:rsid w:val="00E56AC2"/>
    <w:rsid w:val="00E90E4A"/>
    <w:rsid w:val="00E914F7"/>
    <w:rsid w:val="00E9678A"/>
    <w:rsid w:val="00EA40C7"/>
    <w:rsid w:val="00EA4348"/>
    <w:rsid w:val="00EA5237"/>
    <w:rsid w:val="00EC4CDB"/>
    <w:rsid w:val="00EC5912"/>
    <w:rsid w:val="00ED0A4C"/>
    <w:rsid w:val="00ED2B96"/>
    <w:rsid w:val="00EE48DC"/>
    <w:rsid w:val="00EF7A8F"/>
    <w:rsid w:val="00F00DD0"/>
    <w:rsid w:val="00F2631B"/>
    <w:rsid w:val="00F34669"/>
    <w:rsid w:val="00F412C0"/>
    <w:rsid w:val="00F50F7B"/>
    <w:rsid w:val="00F57A14"/>
    <w:rsid w:val="00F7797D"/>
    <w:rsid w:val="00F819FF"/>
    <w:rsid w:val="00F945AD"/>
    <w:rsid w:val="00FB0736"/>
    <w:rsid w:val="00FB47A0"/>
    <w:rsid w:val="00FD1C86"/>
    <w:rsid w:val="00FD1F16"/>
    <w:rsid w:val="00FD42E3"/>
    <w:rsid w:val="00FD48EA"/>
    <w:rsid w:val="00FD60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4C5C"/>
  <w15:docId w15:val="{358FC8BB-B754-49CB-B372-16968966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A9D"/>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ED0A4C"/>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7D29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aliases w:val="3.derece başlık"/>
    <w:basedOn w:val="Normal"/>
    <w:next w:val="Normal"/>
    <w:link w:val="Balk3Char"/>
    <w:uiPriority w:val="9"/>
    <w:unhideWhenUsed/>
    <w:qFormat/>
    <w:rsid w:val="000D5858"/>
    <w:pPr>
      <w:keepNext/>
      <w:keepLines/>
      <w:numPr>
        <w:numId w:val="4"/>
      </w:numPr>
      <w:spacing w:before="360" w:after="360" w:line="360" w:lineRule="auto"/>
      <w:jc w:val="both"/>
      <w:outlineLvl w:val="2"/>
    </w:pPr>
    <w:rPr>
      <w:rFonts w:eastAsiaTheme="majorEastAsia" w:cstheme="majorBidi"/>
      <w:b/>
      <w:color w:val="000000" w:themeColor="tex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D50A9D"/>
    <w:rPr>
      <w:rFonts w:ascii="Calibri" w:hAnsi="Calibri" w:cs="Calibri"/>
      <w:sz w:val="20"/>
      <w:szCs w:val="20"/>
      <w:lang w:eastAsia="en-US"/>
    </w:rPr>
  </w:style>
  <w:style w:type="character" w:customStyle="1" w:styleId="DipnotMetniChar">
    <w:name w:val="Dipnot Metni Char"/>
    <w:basedOn w:val="VarsaylanParagrafYazTipi"/>
    <w:link w:val="DipnotMetni"/>
    <w:semiHidden/>
    <w:rsid w:val="00D50A9D"/>
    <w:rPr>
      <w:rFonts w:ascii="Calibri" w:eastAsia="Times New Roman" w:hAnsi="Calibri" w:cs="Calibri"/>
      <w:sz w:val="20"/>
      <w:szCs w:val="20"/>
    </w:rPr>
  </w:style>
  <w:style w:type="character" w:styleId="DipnotBavurusu">
    <w:name w:val="footnote reference"/>
    <w:basedOn w:val="VarsaylanParagrafYazTipi"/>
    <w:semiHidden/>
    <w:rsid w:val="00D50A9D"/>
    <w:rPr>
      <w:rFonts w:cs="Times New Roman"/>
      <w:vertAlign w:val="superscript"/>
    </w:rPr>
  </w:style>
  <w:style w:type="paragraph" w:styleId="ListeParagraf">
    <w:name w:val="List Paragraph"/>
    <w:basedOn w:val="Normal"/>
    <w:uiPriority w:val="34"/>
    <w:qFormat/>
    <w:rsid w:val="00692D6F"/>
    <w:pPr>
      <w:ind w:left="720"/>
      <w:contextualSpacing/>
    </w:pPr>
  </w:style>
  <w:style w:type="paragraph" w:customStyle="1" w:styleId="Default">
    <w:name w:val="Default"/>
    <w:rsid w:val="00D75341"/>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semiHidden/>
    <w:unhideWhenUsed/>
    <w:rsid w:val="003433A2"/>
    <w:pPr>
      <w:tabs>
        <w:tab w:val="center" w:pos="4536"/>
        <w:tab w:val="right" w:pos="9072"/>
      </w:tabs>
    </w:pPr>
    <w:rPr>
      <w:rFonts w:asciiTheme="minorHAnsi" w:eastAsiaTheme="minorEastAsia" w:hAnsiTheme="minorHAnsi" w:cstheme="minorBidi"/>
      <w:sz w:val="22"/>
      <w:szCs w:val="22"/>
    </w:rPr>
  </w:style>
  <w:style w:type="character" w:customStyle="1" w:styleId="stBilgiChar">
    <w:name w:val="Üst Bilgi Char"/>
    <w:basedOn w:val="VarsaylanParagrafYazTipi"/>
    <w:link w:val="stBilgi"/>
    <w:uiPriority w:val="99"/>
    <w:semiHidden/>
    <w:rsid w:val="003433A2"/>
    <w:rPr>
      <w:rFonts w:eastAsiaTheme="minorEastAsia"/>
      <w:lang w:eastAsia="tr-TR"/>
    </w:rPr>
  </w:style>
  <w:style w:type="paragraph" w:styleId="BalonMetni">
    <w:name w:val="Balloon Text"/>
    <w:basedOn w:val="Normal"/>
    <w:link w:val="BalonMetniChar"/>
    <w:uiPriority w:val="99"/>
    <w:semiHidden/>
    <w:unhideWhenUsed/>
    <w:rsid w:val="003433A2"/>
    <w:rPr>
      <w:rFonts w:ascii="Tahoma" w:hAnsi="Tahoma" w:cs="Tahoma"/>
      <w:sz w:val="16"/>
      <w:szCs w:val="16"/>
    </w:rPr>
  </w:style>
  <w:style w:type="character" w:customStyle="1" w:styleId="BalonMetniChar">
    <w:name w:val="Balon Metni Char"/>
    <w:basedOn w:val="VarsaylanParagrafYazTipi"/>
    <w:link w:val="BalonMetni"/>
    <w:uiPriority w:val="99"/>
    <w:semiHidden/>
    <w:rsid w:val="003433A2"/>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2463B1"/>
    <w:rPr>
      <w:color w:val="808080"/>
    </w:rPr>
  </w:style>
  <w:style w:type="paragraph" w:styleId="AltBilgi">
    <w:name w:val="footer"/>
    <w:basedOn w:val="Normal"/>
    <w:link w:val="AltBilgiChar"/>
    <w:uiPriority w:val="99"/>
    <w:unhideWhenUsed/>
    <w:rsid w:val="003D0C76"/>
    <w:pPr>
      <w:tabs>
        <w:tab w:val="center" w:pos="4536"/>
        <w:tab w:val="right" w:pos="9072"/>
      </w:tabs>
    </w:pPr>
  </w:style>
  <w:style w:type="character" w:customStyle="1" w:styleId="AltBilgiChar">
    <w:name w:val="Alt Bilgi Char"/>
    <w:basedOn w:val="VarsaylanParagrafYazTipi"/>
    <w:link w:val="AltBilgi"/>
    <w:uiPriority w:val="99"/>
    <w:rsid w:val="003D0C76"/>
    <w:rPr>
      <w:rFonts w:ascii="Times New Roman" w:eastAsia="Times New Roman" w:hAnsi="Times New Roman" w:cs="Times New Roman"/>
      <w:sz w:val="24"/>
      <w:szCs w:val="24"/>
      <w:lang w:eastAsia="tr-TR"/>
    </w:rPr>
  </w:style>
  <w:style w:type="paragraph" w:styleId="ResimYazs">
    <w:name w:val="caption"/>
    <w:basedOn w:val="Normal"/>
    <w:next w:val="Normal"/>
    <w:uiPriority w:val="35"/>
    <w:unhideWhenUsed/>
    <w:qFormat/>
    <w:rsid w:val="00867F78"/>
    <w:pPr>
      <w:spacing w:after="200"/>
      <w:jc w:val="both"/>
    </w:pPr>
    <w:rPr>
      <w:rFonts w:eastAsiaTheme="minorHAnsi" w:cstheme="minorBidi"/>
      <w:i/>
      <w:iCs/>
      <w:color w:val="1F497D" w:themeColor="text2"/>
      <w:sz w:val="18"/>
      <w:szCs w:val="18"/>
      <w:lang w:eastAsia="en-US"/>
    </w:rPr>
  </w:style>
  <w:style w:type="character" w:customStyle="1" w:styleId="Balk3Char">
    <w:name w:val="Başlık 3 Char"/>
    <w:aliases w:val="3.derece başlık Char"/>
    <w:basedOn w:val="VarsaylanParagrafYazTipi"/>
    <w:link w:val="Balk3"/>
    <w:uiPriority w:val="9"/>
    <w:rsid w:val="000D5858"/>
    <w:rPr>
      <w:rFonts w:ascii="Times New Roman" w:eastAsiaTheme="majorEastAsia" w:hAnsi="Times New Roman" w:cstheme="majorBidi"/>
      <w:b/>
      <w:color w:val="000000" w:themeColor="text1"/>
      <w:sz w:val="24"/>
      <w:szCs w:val="24"/>
    </w:rPr>
  </w:style>
  <w:style w:type="character" w:customStyle="1" w:styleId="Balk2Char">
    <w:name w:val="Başlık 2 Char"/>
    <w:basedOn w:val="VarsaylanParagrafYazTipi"/>
    <w:link w:val="Balk2"/>
    <w:uiPriority w:val="9"/>
    <w:semiHidden/>
    <w:rsid w:val="007D2997"/>
    <w:rPr>
      <w:rFonts w:asciiTheme="majorHAnsi" w:eastAsiaTheme="majorEastAsia" w:hAnsiTheme="majorHAnsi" w:cstheme="majorBidi"/>
      <w:color w:val="365F91" w:themeColor="accent1" w:themeShade="BF"/>
      <w:sz w:val="26"/>
      <w:szCs w:val="26"/>
      <w:lang w:eastAsia="tr-TR"/>
    </w:rPr>
  </w:style>
  <w:style w:type="table" w:styleId="TabloKlavuzu">
    <w:name w:val="Table Grid"/>
    <w:basedOn w:val="NormalTablo"/>
    <w:uiPriority w:val="39"/>
    <w:rsid w:val="008C3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3753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aynaka">
    <w:name w:val="Bibliography"/>
    <w:basedOn w:val="Normal"/>
    <w:next w:val="Normal"/>
    <w:uiPriority w:val="37"/>
    <w:unhideWhenUsed/>
    <w:rsid w:val="00ED0A4C"/>
  </w:style>
  <w:style w:type="character" w:customStyle="1" w:styleId="Balk1Char">
    <w:name w:val="Başlık 1 Char"/>
    <w:basedOn w:val="VarsaylanParagrafYazTipi"/>
    <w:link w:val="Balk1"/>
    <w:uiPriority w:val="9"/>
    <w:rsid w:val="00ED0A4C"/>
    <w:rPr>
      <w:rFonts w:asciiTheme="majorHAnsi" w:eastAsiaTheme="majorEastAsia" w:hAnsiTheme="majorHAnsi" w:cstheme="majorBidi"/>
      <w:color w:val="365F91" w:themeColor="accent1" w:themeShade="BF"/>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6706">
      <w:bodyDiv w:val="1"/>
      <w:marLeft w:val="0"/>
      <w:marRight w:val="0"/>
      <w:marTop w:val="0"/>
      <w:marBottom w:val="0"/>
      <w:divBdr>
        <w:top w:val="none" w:sz="0" w:space="0" w:color="auto"/>
        <w:left w:val="none" w:sz="0" w:space="0" w:color="auto"/>
        <w:bottom w:val="none" w:sz="0" w:space="0" w:color="auto"/>
        <w:right w:val="none" w:sz="0" w:space="0" w:color="auto"/>
      </w:divBdr>
      <w:divsChild>
        <w:div w:id="954945775">
          <w:marLeft w:val="360"/>
          <w:marRight w:val="0"/>
          <w:marTop w:val="200"/>
          <w:marBottom w:val="0"/>
          <w:divBdr>
            <w:top w:val="none" w:sz="0" w:space="0" w:color="auto"/>
            <w:left w:val="none" w:sz="0" w:space="0" w:color="auto"/>
            <w:bottom w:val="none" w:sz="0" w:space="0" w:color="auto"/>
            <w:right w:val="none" w:sz="0" w:space="0" w:color="auto"/>
          </w:divBdr>
        </w:div>
        <w:div w:id="362902369">
          <w:marLeft w:val="360"/>
          <w:marRight w:val="0"/>
          <w:marTop w:val="200"/>
          <w:marBottom w:val="0"/>
          <w:divBdr>
            <w:top w:val="none" w:sz="0" w:space="0" w:color="auto"/>
            <w:left w:val="none" w:sz="0" w:space="0" w:color="auto"/>
            <w:bottom w:val="none" w:sz="0" w:space="0" w:color="auto"/>
            <w:right w:val="none" w:sz="0" w:space="0" w:color="auto"/>
          </w:divBdr>
        </w:div>
      </w:divsChild>
    </w:div>
    <w:div w:id="169762051">
      <w:bodyDiv w:val="1"/>
      <w:marLeft w:val="0"/>
      <w:marRight w:val="0"/>
      <w:marTop w:val="0"/>
      <w:marBottom w:val="0"/>
      <w:divBdr>
        <w:top w:val="none" w:sz="0" w:space="0" w:color="auto"/>
        <w:left w:val="none" w:sz="0" w:space="0" w:color="auto"/>
        <w:bottom w:val="none" w:sz="0" w:space="0" w:color="auto"/>
        <w:right w:val="none" w:sz="0" w:space="0" w:color="auto"/>
      </w:divBdr>
    </w:div>
    <w:div w:id="200291668">
      <w:bodyDiv w:val="1"/>
      <w:marLeft w:val="0"/>
      <w:marRight w:val="0"/>
      <w:marTop w:val="0"/>
      <w:marBottom w:val="0"/>
      <w:divBdr>
        <w:top w:val="none" w:sz="0" w:space="0" w:color="auto"/>
        <w:left w:val="none" w:sz="0" w:space="0" w:color="auto"/>
        <w:bottom w:val="none" w:sz="0" w:space="0" w:color="auto"/>
        <w:right w:val="none" w:sz="0" w:space="0" w:color="auto"/>
      </w:divBdr>
    </w:div>
    <w:div w:id="247203350">
      <w:bodyDiv w:val="1"/>
      <w:marLeft w:val="0"/>
      <w:marRight w:val="0"/>
      <w:marTop w:val="0"/>
      <w:marBottom w:val="0"/>
      <w:divBdr>
        <w:top w:val="none" w:sz="0" w:space="0" w:color="auto"/>
        <w:left w:val="none" w:sz="0" w:space="0" w:color="auto"/>
        <w:bottom w:val="none" w:sz="0" w:space="0" w:color="auto"/>
        <w:right w:val="none" w:sz="0" w:space="0" w:color="auto"/>
      </w:divBdr>
    </w:div>
    <w:div w:id="278266419">
      <w:bodyDiv w:val="1"/>
      <w:marLeft w:val="0"/>
      <w:marRight w:val="0"/>
      <w:marTop w:val="0"/>
      <w:marBottom w:val="0"/>
      <w:divBdr>
        <w:top w:val="none" w:sz="0" w:space="0" w:color="auto"/>
        <w:left w:val="none" w:sz="0" w:space="0" w:color="auto"/>
        <w:bottom w:val="none" w:sz="0" w:space="0" w:color="auto"/>
        <w:right w:val="none" w:sz="0" w:space="0" w:color="auto"/>
      </w:divBdr>
    </w:div>
    <w:div w:id="391077157">
      <w:bodyDiv w:val="1"/>
      <w:marLeft w:val="0"/>
      <w:marRight w:val="0"/>
      <w:marTop w:val="0"/>
      <w:marBottom w:val="0"/>
      <w:divBdr>
        <w:top w:val="none" w:sz="0" w:space="0" w:color="auto"/>
        <w:left w:val="none" w:sz="0" w:space="0" w:color="auto"/>
        <w:bottom w:val="none" w:sz="0" w:space="0" w:color="auto"/>
        <w:right w:val="none" w:sz="0" w:space="0" w:color="auto"/>
      </w:divBdr>
      <w:divsChild>
        <w:div w:id="485242686">
          <w:marLeft w:val="360"/>
          <w:marRight w:val="0"/>
          <w:marTop w:val="200"/>
          <w:marBottom w:val="0"/>
          <w:divBdr>
            <w:top w:val="none" w:sz="0" w:space="0" w:color="auto"/>
            <w:left w:val="none" w:sz="0" w:space="0" w:color="auto"/>
            <w:bottom w:val="none" w:sz="0" w:space="0" w:color="auto"/>
            <w:right w:val="none" w:sz="0" w:space="0" w:color="auto"/>
          </w:divBdr>
        </w:div>
        <w:div w:id="684405464">
          <w:marLeft w:val="360"/>
          <w:marRight w:val="0"/>
          <w:marTop w:val="200"/>
          <w:marBottom w:val="0"/>
          <w:divBdr>
            <w:top w:val="none" w:sz="0" w:space="0" w:color="auto"/>
            <w:left w:val="none" w:sz="0" w:space="0" w:color="auto"/>
            <w:bottom w:val="none" w:sz="0" w:space="0" w:color="auto"/>
            <w:right w:val="none" w:sz="0" w:space="0" w:color="auto"/>
          </w:divBdr>
        </w:div>
      </w:divsChild>
    </w:div>
    <w:div w:id="439253563">
      <w:bodyDiv w:val="1"/>
      <w:marLeft w:val="0"/>
      <w:marRight w:val="0"/>
      <w:marTop w:val="0"/>
      <w:marBottom w:val="0"/>
      <w:divBdr>
        <w:top w:val="none" w:sz="0" w:space="0" w:color="auto"/>
        <w:left w:val="none" w:sz="0" w:space="0" w:color="auto"/>
        <w:bottom w:val="none" w:sz="0" w:space="0" w:color="auto"/>
        <w:right w:val="none" w:sz="0" w:space="0" w:color="auto"/>
      </w:divBdr>
    </w:div>
    <w:div w:id="449590023">
      <w:bodyDiv w:val="1"/>
      <w:marLeft w:val="0"/>
      <w:marRight w:val="0"/>
      <w:marTop w:val="0"/>
      <w:marBottom w:val="0"/>
      <w:divBdr>
        <w:top w:val="none" w:sz="0" w:space="0" w:color="auto"/>
        <w:left w:val="none" w:sz="0" w:space="0" w:color="auto"/>
        <w:bottom w:val="none" w:sz="0" w:space="0" w:color="auto"/>
        <w:right w:val="none" w:sz="0" w:space="0" w:color="auto"/>
      </w:divBdr>
    </w:div>
    <w:div w:id="523253453">
      <w:bodyDiv w:val="1"/>
      <w:marLeft w:val="0"/>
      <w:marRight w:val="0"/>
      <w:marTop w:val="0"/>
      <w:marBottom w:val="0"/>
      <w:divBdr>
        <w:top w:val="none" w:sz="0" w:space="0" w:color="auto"/>
        <w:left w:val="none" w:sz="0" w:space="0" w:color="auto"/>
        <w:bottom w:val="none" w:sz="0" w:space="0" w:color="auto"/>
        <w:right w:val="none" w:sz="0" w:space="0" w:color="auto"/>
      </w:divBdr>
    </w:div>
    <w:div w:id="549615786">
      <w:bodyDiv w:val="1"/>
      <w:marLeft w:val="0"/>
      <w:marRight w:val="0"/>
      <w:marTop w:val="0"/>
      <w:marBottom w:val="0"/>
      <w:divBdr>
        <w:top w:val="none" w:sz="0" w:space="0" w:color="auto"/>
        <w:left w:val="none" w:sz="0" w:space="0" w:color="auto"/>
        <w:bottom w:val="none" w:sz="0" w:space="0" w:color="auto"/>
        <w:right w:val="none" w:sz="0" w:space="0" w:color="auto"/>
      </w:divBdr>
    </w:div>
    <w:div w:id="564921078">
      <w:bodyDiv w:val="1"/>
      <w:marLeft w:val="0"/>
      <w:marRight w:val="0"/>
      <w:marTop w:val="0"/>
      <w:marBottom w:val="0"/>
      <w:divBdr>
        <w:top w:val="none" w:sz="0" w:space="0" w:color="auto"/>
        <w:left w:val="none" w:sz="0" w:space="0" w:color="auto"/>
        <w:bottom w:val="none" w:sz="0" w:space="0" w:color="auto"/>
        <w:right w:val="none" w:sz="0" w:space="0" w:color="auto"/>
      </w:divBdr>
    </w:div>
    <w:div w:id="592788428">
      <w:bodyDiv w:val="1"/>
      <w:marLeft w:val="0"/>
      <w:marRight w:val="0"/>
      <w:marTop w:val="0"/>
      <w:marBottom w:val="0"/>
      <w:divBdr>
        <w:top w:val="none" w:sz="0" w:space="0" w:color="auto"/>
        <w:left w:val="none" w:sz="0" w:space="0" w:color="auto"/>
        <w:bottom w:val="none" w:sz="0" w:space="0" w:color="auto"/>
        <w:right w:val="none" w:sz="0" w:space="0" w:color="auto"/>
      </w:divBdr>
      <w:divsChild>
        <w:div w:id="820004019">
          <w:marLeft w:val="360"/>
          <w:marRight w:val="0"/>
          <w:marTop w:val="200"/>
          <w:marBottom w:val="0"/>
          <w:divBdr>
            <w:top w:val="none" w:sz="0" w:space="0" w:color="auto"/>
            <w:left w:val="none" w:sz="0" w:space="0" w:color="auto"/>
            <w:bottom w:val="none" w:sz="0" w:space="0" w:color="auto"/>
            <w:right w:val="none" w:sz="0" w:space="0" w:color="auto"/>
          </w:divBdr>
        </w:div>
      </w:divsChild>
    </w:div>
    <w:div w:id="670982749">
      <w:bodyDiv w:val="1"/>
      <w:marLeft w:val="0"/>
      <w:marRight w:val="0"/>
      <w:marTop w:val="0"/>
      <w:marBottom w:val="0"/>
      <w:divBdr>
        <w:top w:val="none" w:sz="0" w:space="0" w:color="auto"/>
        <w:left w:val="none" w:sz="0" w:space="0" w:color="auto"/>
        <w:bottom w:val="none" w:sz="0" w:space="0" w:color="auto"/>
        <w:right w:val="none" w:sz="0" w:space="0" w:color="auto"/>
      </w:divBdr>
    </w:div>
    <w:div w:id="705716904">
      <w:bodyDiv w:val="1"/>
      <w:marLeft w:val="0"/>
      <w:marRight w:val="0"/>
      <w:marTop w:val="0"/>
      <w:marBottom w:val="0"/>
      <w:divBdr>
        <w:top w:val="none" w:sz="0" w:space="0" w:color="auto"/>
        <w:left w:val="none" w:sz="0" w:space="0" w:color="auto"/>
        <w:bottom w:val="none" w:sz="0" w:space="0" w:color="auto"/>
        <w:right w:val="none" w:sz="0" w:space="0" w:color="auto"/>
      </w:divBdr>
    </w:div>
    <w:div w:id="808206637">
      <w:bodyDiv w:val="1"/>
      <w:marLeft w:val="0"/>
      <w:marRight w:val="0"/>
      <w:marTop w:val="0"/>
      <w:marBottom w:val="0"/>
      <w:divBdr>
        <w:top w:val="none" w:sz="0" w:space="0" w:color="auto"/>
        <w:left w:val="none" w:sz="0" w:space="0" w:color="auto"/>
        <w:bottom w:val="none" w:sz="0" w:space="0" w:color="auto"/>
        <w:right w:val="none" w:sz="0" w:space="0" w:color="auto"/>
      </w:divBdr>
    </w:div>
    <w:div w:id="848179039">
      <w:bodyDiv w:val="1"/>
      <w:marLeft w:val="0"/>
      <w:marRight w:val="0"/>
      <w:marTop w:val="0"/>
      <w:marBottom w:val="0"/>
      <w:divBdr>
        <w:top w:val="none" w:sz="0" w:space="0" w:color="auto"/>
        <w:left w:val="none" w:sz="0" w:space="0" w:color="auto"/>
        <w:bottom w:val="none" w:sz="0" w:space="0" w:color="auto"/>
        <w:right w:val="none" w:sz="0" w:space="0" w:color="auto"/>
      </w:divBdr>
    </w:div>
    <w:div w:id="853345904">
      <w:bodyDiv w:val="1"/>
      <w:marLeft w:val="0"/>
      <w:marRight w:val="0"/>
      <w:marTop w:val="0"/>
      <w:marBottom w:val="0"/>
      <w:divBdr>
        <w:top w:val="none" w:sz="0" w:space="0" w:color="auto"/>
        <w:left w:val="none" w:sz="0" w:space="0" w:color="auto"/>
        <w:bottom w:val="none" w:sz="0" w:space="0" w:color="auto"/>
        <w:right w:val="none" w:sz="0" w:space="0" w:color="auto"/>
      </w:divBdr>
    </w:div>
    <w:div w:id="857498822">
      <w:bodyDiv w:val="1"/>
      <w:marLeft w:val="0"/>
      <w:marRight w:val="0"/>
      <w:marTop w:val="0"/>
      <w:marBottom w:val="0"/>
      <w:divBdr>
        <w:top w:val="none" w:sz="0" w:space="0" w:color="auto"/>
        <w:left w:val="none" w:sz="0" w:space="0" w:color="auto"/>
        <w:bottom w:val="none" w:sz="0" w:space="0" w:color="auto"/>
        <w:right w:val="none" w:sz="0" w:space="0" w:color="auto"/>
      </w:divBdr>
    </w:div>
    <w:div w:id="932477634">
      <w:bodyDiv w:val="1"/>
      <w:marLeft w:val="0"/>
      <w:marRight w:val="0"/>
      <w:marTop w:val="0"/>
      <w:marBottom w:val="0"/>
      <w:divBdr>
        <w:top w:val="none" w:sz="0" w:space="0" w:color="auto"/>
        <w:left w:val="none" w:sz="0" w:space="0" w:color="auto"/>
        <w:bottom w:val="none" w:sz="0" w:space="0" w:color="auto"/>
        <w:right w:val="none" w:sz="0" w:space="0" w:color="auto"/>
      </w:divBdr>
    </w:div>
    <w:div w:id="939216372">
      <w:bodyDiv w:val="1"/>
      <w:marLeft w:val="0"/>
      <w:marRight w:val="0"/>
      <w:marTop w:val="0"/>
      <w:marBottom w:val="0"/>
      <w:divBdr>
        <w:top w:val="none" w:sz="0" w:space="0" w:color="auto"/>
        <w:left w:val="none" w:sz="0" w:space="0" w:color="auto"/>
        <w:bottom w:val="none" w:sz="0" w:space="0" w:color="auto"/>
        <w:right w:val="none" w:sz="0" w:space="0" w:color="auto"/>
      </w:divBdr>
    </w:div>
    <w:div w:id="957219073">
      <w:bodyDiv w:val="1"/>
      <w:marLeft w:val="0"/>
      <w:marRight w:val="0"/>
      <w:marTop w:val="0"/>
      <w:marBottom w:val="0"/>
      <w:divBdr>
        <w:top w:val="none" w:sz="0" w:space="0" w:color="auto"/>
        <w:left w:val="none" w:sz="0" w:space="0" w:color="auto"/>
        <w:bottom w:val="none" w:sz="0" w:space="0" w:color="auto"/>
        <w:right w:val="none" w:sz="0" w:space="0" w:color="auto"/>
      </w:divBdr>
    </w:div>
    <w:div w:id="1013414138">
      <w:bodyDiv w:val="1"/>
      <w:marLeft w:val="0"/>
      <w:marRight w:val="0"/>
      <w:marTop w:val="0"/>
      <w:marBottom w:val="0"/>
      <w:divBdr>
        <w:top w:val="none" w:sz="0" w:space="0" w:color="auto"/>
        <w:left w:val="none" w:sz="0" w:space="0" w:color="auto"/>
        <w:bottom w:val="none" w:sz="0" w:space="0" w:color="auto"/>
        <w:right w:val="none" w:sz="0" w:space="0" w:color="auto"/>
      </w:divBdr>
      <w:divsChild>
        <w:div w:id="1815639746">
          <w:marLeft w:val="360"/>
          <w:marRight w:val="0"/>
          <w:marTop w:val="200"/>
          <w:marBottom w:val="0"/>
          <w:divBdr>
            <w:top w:val="none" w:sz="0" w:space="0" w:color="auto"/>
            <w:left w:val="none" w:sz="0" w:space="0" w:color="auto"/>
            <w:bottom w:val="none" w:sz="0" w:space="0" w:color="auto"/>
            <w:right w:val="none" w:sz="0" w:space="0" w:color="auto"/>
          </w:divBdr>
        </w:div>
        <w:div w:id="1950624462">
          <w:marLeft w:val="360"/>
          <w:marRight w:val="0"/>
          <w:marTop w:val="200"/>
          <w:marBottom w:val="0"/>
          <w:divBdr>
            <w:top w:val="none" w:sz="0" w:space="0" w:color="auto"/>
            <w:left w:val="none" w:sz="0" w:space="0" w:color="auto"/>
            <w:bottom w:val="none" w:sz="0" w:space="0" w:color="auto"/>
            <w:right w:val="none" w:sz="0" w:space="0" w:color="auto"/>
          </w:divBdr>
        </w:div>
      </w:divsChild>
    </w:div>
    <w:div w:id="1057632728">
      <w:bodyDiv w:val="1"/>
      <w:marLeft w:val="0"/>
      <w:marRight w:val="0"/>
      <w:marTop w:val="0"/>
      <w:marBottom w:val="0"/>
      <w:divBdr>
        <w:top w:val="none" w:sz="0" w:space="0" w:color="auto"/>
        <w:left w:val="none" w:sz="0" w:space="0" w:color="auto"/>
        <w:bottom w:val="none" w:sz="0" w:space="0" w:color="auto"/>
        <w:right w:val="none" w:sz="0" w:space="0" w:color="auto"/>
      </w:divBdr>
    </w:div>
    <w:div w:id="1193956265">
      <w:bodyDiv w:val="1"/>
      <w:marLeft w:val="0"/>
      <w:marRight w:val="0"/>
      <w:marTop w:val="0"/>
      <w:marBottom w:val="0"/>
      <w:divBdr>
        <w:top w:val="none" w:sz="0" w:space="0" w:color="auto"/>
        <w:left w:val="none" w:sz="0" w:space="0" w:color="auto"/>
        <w:bottom w:val="none" w:sz="0" w:space="0" w:color="auto"/>
        <w:right w:val="none" w:sz="0" w:space="0" w:color="auto"/>
      </w:divBdr>
    </w:div>
    <w:div w:id="1376349334">
      <w:bodyDiv w:val="1"/>
      <w:marLeft w:val="0"/>
      <w:marRight w:val="0"/>
      <w:marTop w:val="0"/>
      <w:marBottom w:val="0"/>
      <w:divBdr>
        <w:top w:val="none" w:sz="0" w:space="0" w:color="auto"/>
        <w:left w:val="none" w:sz="0" w:space="0" w:color="auto"/>
        <w:bottom w:val="none" w:sz="0" w:space="0" w:color="auto"/>
        <w:right w:val="none" w:sz="0" w:space="0" w:color="auto"/>
      </w:divBdr>
      <w:divsChild>
        <w:div w:id="251284745">
          <w:marLeft w:val="360"/>
          <w:marRight w:val="0"/>
          <w:marTop w:val="200"/>
          <w:marBottom w:val="0"/>
          <w:divBdr>
            <w:top w:val="none" w:sz="0" w:space="0" w:color="auto"/>
            <w:left w:val="none" w:sz="0" w:space="0" w:color="auto"/>
            <w:bottom w:val="none" w:sz="0" w:space="0" w:color="auto"/>
            <w:right w:val="none" w:sz="0" w:space="0" w:color="auto"/>
          </w:divBdr>
        </w:div>
        <w:div w:id="1003557044">
          <w:marLeft w:val="360"/>
          <w:marRight w:val="0"/>
          <w:marTop w:val="200"/>
          <w:marBottom w:val="0"/>
          <w:divBdr>
            <w:top w:val="none" w:sz="0" w:space="0" w:color="auto"/>
            <w:left w:val="none" w:sz="0" w:space="0" w:color="auto"/>
            <w:bottom w:val="none" w:sz="0" w:space="0" w:color="auto"/>
            <w:right w:val="none" w:sz="0" w:space="0" w:color="auto"/>
          </w:divBdr>
        </w:div>
      </w:divsChild>
    </w:div>
    <w:div w:id="1379159850">
      <w:bodyDiv w:val="1"/>
      <w:marLeft w:val="0"/>
      <w:marRight w:val="0"/>
      <w:marTop w:val="0"/>
      <w:marBottom w:val="0"/>
      <w:divBdr>
        <w:top w:val="none" w:sz="0" w:space="0" w:color="auto"/>
        <w:left w:val="none" w:sz="0" w:space="0" w:color="auto"/>
        <w:bottom w:val="none" w:sz="0" w:space="0" w:color="auto"/>
        <w:right w:val="none" w:sz="0" w:space="0" w:color="auto"/>
      </w:divBdr>
    </w:div>
    <w:div w:id="1419712104">
      <w:bodyDiv w:val="1"/>
      <w:marLeft w:val="0"/>
      <w:marRight w:val="0"/>
      <w:marTop w:val="0"/>
      <w:marBottom w:val="0"/>
      <w:divBdr>
        <w:top w:val="none" w:sz="0" w:space="0" w:color="auto"/>
        <w:left w:val="none" w:sz="0" w:space="0" w:color="auto"/>
        <w:bottom w:val="none" w:sz="0" w:space="0" w:color="auto"/>
        <w:right w:val="none" w:sz="0" w:space="0" w:color="auto"/>
      </w:divBdr>
    </w:div>
    <w:div w:id="1706904955">
      <w:bodyDiv w:val="1"/>
      <w:marLeft w:val="0"/>
      <w:marRight w:val="0"/>
      <w:marTop w:val="0"/>
      <w:marBottom w:val="0"/>
      <w:divBdr>
        <w:top w:val="none" w:sz="0" w:space="0" w:color="auto"/>
        <w:left w:val="none" w:sz="0" w:space="0" w:color="auto"/>
        <w:bottom w:val="none" w:sz="0" w:space="0" w:color="auto"/>
        <w:right w:val="none" w:sz="0" w:space="0" w:color="auto"/>
      </w:divBdr>
    </w:div>
    <w:div w:id="1740011792">
      <w:bodyDiv w:val="1"/>
      <w:marLeft w:val="0"/>
      <w:marRight w:val="0"/>
      <w:marTop w:val="0"/>
      <w:marBottom w:val="0"/>
      <w:divBdr>
        <w:top w:val="none" w:sz="0" w:space="0" w:color="auto"/>
        <w:left w:val="none" w:sz="0" w:space="0" w:color="auto"/>
        <w:bottom w:val="none" w:sz="0" w:space="0" w:color="auto"/>
        <w:right w:val="none" w:sz="0" w:space="0" w:color="auto"/>
      </w:divBdr>
    </w:div>
    <w:div w:id="1874611541">
      <w:bodyDiv w:val="1"/>
      <w:marLeft w:val="0"/>
      <w:marRight w:val="0"/>
      <w:marTop w:val="0"/>
      <w:marBottom w:val="0"/>
      <w:divBdr>
        <w:top w:val="none" w:sz="0" w:space="0" w:color="auto"/>
        <w:left w:val="none" w:sz="0" w:space="0" w:color="auto"/>
        <w:bottom w:val="none" w:sz="0" w:space="0" w:color="auto"/>
        <w:right w:val="none" w:sz="0" w:space="0" w:color="auto"/>
      </w:divBdr>
    </w:div>
    <w:div w:id="1895655436">
      <w:bodyDiv w:val="1"/>
      <w:marLeft w:val="0"/>
      <w:marRight w:val="0"/>
      <w:marTop w:val="0"/>
      <w:marBottom w:val="0"/>
      <w:divBdr>
        <w:top w:val="none" w:sz="0" w:space="0" w:color="auto"/>
        <w:left w:val="none" w:sz="0" w:space="0" w:color="auto"/>
        <w:bottom w:val="none" w:sz="0" w:space="0" w:color="auto"/>
        <w:right w:val="none" w:sz="0" w:space="0" w:color="auto"/>
      </w:divBdr>
    </w:div>
    <w:div w:id="1904295450">
      <w:bodyDiv w:val="1"/>
      <w:marLeft w:val="0"/>
      <w:marRight w:val="0"/>
      <w:marTop w:val="0"/>
      <w:marBottom w:val="0"/>
      <w:divBdr>
        <w:top w:val="none" w:sz="0" w:space="0" w:color="auto"/>
        <w:left w:val="none" w:sz="0" w:space="0" w:color="auto"/>
        <w:bottom w:val="none" w:sz="0" w:space="0" w:color="auto"/>
        <w:right w:val="none" w:sz="0" w:space="0" w:color="auto"/>
      </w:divBdr>
    </w:div>
    <w:div w:id="2102018799">
      <w:bodyDiv w:val="1"/>
      <w:marLeft w:val="0"/>
      <w:marRight w:val="0"/>
      <w:marTop w:val="0"/>
      <w:marBottom w:val="0"/>
      <w:divBdr>
        <w:top w:val="none" w:sz="0" w:space="0" w:color="auto"/>
        <w:left w:val="none" w:sz="0" w:space="0" w:color="auto"/>
        <w:bottom w:val="none" w:sz="0" w:space="0" w:color="auto"/>
        <w:right w:val="none" w:sz="0" w:space="0" w:color="auto"/>
      </w:divBdr>
    </w:div>
    <w:div w:id="2102024803">
      <w:bodyDiv w:val="1"/>
      <w:marLeft w:val="0"/>
      <w:marRight w:val="0"/>
      <w:marTop w:val="0"/>
      <w:marBottom w:val="0"/>
      <w:divBdr>
        <w:top w:val="none" w:sz="0" w:space="0" w:color="auto"/>
        <w:left w:val="none" w:sz="0" w:space="0" w:color="auto"/>
        <w:bottom w:val="none" w:sz="0" w:space="0" w:color="auto"/>
        <w:right w:val="none" w:sz="0" w:space="0" w:color="auto"/>
      </w:divBdr>
    </w:div>
    <w:div w:id="212310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smail.karakaya\Desktop\oecd%20&#252;lke%20gfafikleri\OECD%20&#220;lkeleri%20genel%20i&#351;sizlik%20.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ismail.karakaya\Desktop\oecd%20&#252;lke%20gfafikleri\2019%20y&#305;l&#305;%20e&#287;itime%20g&#246;re%20i&#351;sizlik%20oranlar&#305;.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BERNA\Downloads\2016%20y&#305;l&#305;%20oecd%20&#252;lkeleri%20yard&#305;mlar&#305;%20(1).xlsx"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BERNA\Downloads\2016%20y&#305;l&#305;%20oecd%20&#252;lkeleri%20yard&#305;mlar&#305;%20(1).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BERNA\Downloads\2016%20y&#305;l&#305;%20oecd%20&#252;lkeleri%20yard&#305;mlar&#305;%20(1).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BERNA\Downloads\2016%20y&#305;l&#305;%20oecd%20&#252;lkeleri%20yard&#305;mlar&#305;%20(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032204427803713E-2"/>
          <c:y val="0.1185135701122467"/>
          <c:w val="0.94496516547329601"/>
          <c:h val="0.44389545056867874"/>
        </c:manualLayout>
      </c:layout>
      <c:barChart>
        <c:barDir val="col"/>
        <c:grouping val="clustered"/>
        <c:varyColors val="0"/>
        <c:ser>
          <c:idx val="0"/>
          <c:order val="0"/>
          <c:tx>
            <c:strRef>
              <c:f>Sayfa1!$B$1</c:f>
              <c:strCache>
                <c:ptCount val="1"/>
                <c:pt idx="0">
                  <c:v>2000</c:v>
                </c:pt>
              </c:strCache>
            </c:strRef>
          </c:tx>
          <c:spPr>
            <a:solidFill>
              <a:schemeClr val="accent1"/>
            </a:solidFill>
            <a:ln>
              <a:noFill/>
            </a:ln>
            <a:effectLst/>
          </c:spPr>
          <c:invertIfNegative val="0"/>
          <c:cat>
            <c:strRef>
              <c:f>Sayfa1!$A$2:$A$39</c:f>
              <c:strCache>
                <c:ptCount val="38"/>
                <c:pt idx="0">
                  <c:v>Avustralya</c:v>
                </c:pt>
                <c:pt idx="1">
                  <c:v>Avusturya</c:v>
                </c:pt>
                <c:pt idx="2">
                  <c:v>Belçika</c:v>
                </c:pt>
                <c:pt idx="3">
                  <c:v>Kanada</c:v>
                </c:pt>
                <c:pt idx="4">
                  <c:v>Şili</c:v>
                </c:pt>
                <c:pt idx="5">
                  <c:v>Çekya</c:v>
                </c:pt>
                <c:pt idx="6">
                  <c:v>Danimarka</c:v>
                </c:pt>
                <c:pt idx="7">
                  <c:v>Estonya</c:v>
                </c:pt>
                <c:pt idx="8">
                  <c:v>Finlandiya</c:v>
                </c:pt>
                <c:pt idx="9">
                  <c:v>Fransa</c:v>
                </c:pt>
                <c:pt idx="10">
                  <c:v>Almanya</c:v>
                </c:pt>
                <c:pt idx="11">
                  <c:v>Yunanistan</c:v>
                </c:pt>
                <c:pt idx="12">
                  <c:v>Macaristan</c:v>
                </c:pt>
                <c:pt idx="13">
                  <c:v>İzlanda</c:v>
                </c:pt>
                <c:pt idx="14">
                  <c:v>İrlanda</c:v>
                </c:pt>
                <c:pt idx="15">
                  <c:v>İsrail</c:v>
                </c:pt>
                <c:pt idx="16">
                  <c:v>İtalya</c:v>
                </c:pt>
                <c:pt idx="17">
                  <c:v>Japonya</c:v>
                </c:pt>
                <c:pt idx="18">
                  <c:v>Güney kore</c:v>
                </c:pt>
                <c:pt idx="19">
                  <c:v>Letonya</c:v>
                </c:pt>
                <c:pt idx="20">
                  <c:v>Lüksemburg</c:v>
                </c:pt>
                <c:pt idx="21">
                  <c:v>Meksika</c:v>
                </c:pt>
                <c:pt idx="22">
                  <c:v>Hollanda</c:v>
                </c:pt>
                <c:pt idx="23">
                  <c:v>Yeni zellanda</c:v>
                </c:pt>
                <c:pt idx="24">
                  <c:v>Norveç</c:v>
                </c:pt>
                <c:pt idx="25">
                  <c:v>Polonya</c:v>
                </c:pt>
                <c:pt idx="26">
                  <c:v>Portekiz</c:v>
                </c:pt>
                <c:pt idx="27">
                  <c:v>Slovakya</c:v>
                </c:pt>
                <c:pt idx="28">
                  <c:v>Slovenya</c:v>
                </c:pt>
                <c:pt idx="29">
                  <c:v>İspanya</c:v>
                </c:pt>
                <c:pt idx="30">
                  <c:v>İsveç</c:v>
                </c:pt>
                <c:pt idx="31">
                  <c:v>İsviçre</c:v>
                </c:pt>
                <c:pt idx="32">
                  <c:v>Türkiye</c:v>
                </c:pt>
                <c:pt idx="33">
                  <c:v>İngiltere</c:v>
                </c:pt>
                <c:pt idx="34">
                  <c:v>ABD</c:v>
                </c:pt>
                <c:pt idx="35">
                  <c:v>OECD</c:v>
                </c:pt>
                <c:pt idx="36">
                  <c:v>Kolombiya</c:v>
                </c:pt>
                <c:pt idx="37">
                  <c:v>Litvanya</c:v>
                </c:pt>
              </c:strCache>
            </c:strRef>
          </c:cat>
          <c:val>
            <c:numRef>
              <c:f>Sayfa1!$B$2:$B$39</c:f>
              <c:numCache>
                <c:formatCode>General</c:formatCode>
                <c:ptCount val="38"/>
                <c:pt idx="0">
                  <c:v>6.3</c:v>
                </c:pt>
                <c:pt idx="1">
                  <c:v>3.5</c:v>
                </c:pt>
                <c:pt idx="2">
                  <c:v>7</c:v>
                </c:pt>
                <c:pt idx="3">
                  <c:v>6.8</c:v>
                </c:pt>
                <c:pt idx="4">
                  <c:v>10.5</c:v>
                </c:pt>
                <c:pt idx="5">
                  <c:v>8.8000000000000007</c:v>
                </c:pt>
                <c:pt idx="6">
                  <c:v>4.4000000000000004</c:v>
                </c:pt>
                <c:pt idx="7">
                  <c:v>14.5</c:v>
                </c:pt>
                <c:pt idx="8">
                  <c:v>9.7000000000000011</c:v>
                </c:pt>
                <c:pt idx="9">
                  <c:v>8.6</c:v>
                </c:pt>
                <c:pt idx="10">
                  <c:v>7.7</c:v>
                </c:pt>
                <c:pt idx="11">
                  <c:v>11.4</c:v>
                </c:pt>
                <c:pt idx="12">
                  <c:v>6.4</c:v>
                </c:pt>
                <c:pt idx="13">
                  <c:v>2.2999999999999998</c:v>
                </c:pt>
                <c:pt idx="14">
                  <c:v>3.9</c:v>
                </c:pt>
                <c:pt idx="15">
                  <c:v>11</c:v>
                </c:pt>
                <c:pt idx="16">
                  <c:v>10.5</c:v>
                </c:pt>
                <c:pt idx="17">
                  <c:v>4.8</c:v>
                </c:pt>
                <c:pt idx="18">
                  <c:v>4.4000000000000004</c:v>
                </c:pt>
                <c:pt idx="19">
                  <c:v>14.3</c:v>
                </c:pt>
                <c:pt idx="20">
                  <c:v>2.2999999999999998</c:v>
                </c:pt>
                <c:pt idx="21">
                  <c:v>2.6</c:v>
                </c:pt>
                <c:pt idx="22">
                  <c:v>3</c:v>
                </c:pt>
                <c:pt idx="23">
                  <c:v>6.1</c:v>
                </c:pt>
                <c:pt idx="24">
                  <c:v>3.3</c:v>
                </c:pt>
                <c:pt idx="25">
                  <c:v>16.399999999999999</c:v>
                </c:pt>
                <c:pt idx="26">
                  <c:v>3.9</c:v>
                </c:pt>
                <c:pt idx="27">
                  <c:v>18.8</c:v>
                </c:pt>
                <c:pt idx="28">
                  <c:v>6.7</c:v>
                </c:pt>
                <c:pt idx="29">
                  <c:v>13.9</c:v>
                </c:pt>
                <c:pt idx="30">
                  <c:v>5.8</c:v>
                </c:pt>
                <c:pt idx="31">
                  <c:v>2.7</c:v>
                </c:pt>
                <c:pt idx="32">
                  <c:v>6.5</c:v>
                </c:pt>
                <c:pt idx="33">
                  <c:v>5.4</c:v>
                </c:pt>
                <c:pt idx="34">
                  <c:v>4</c:v>
                </c:pt>
                <c:pt idx="35">
                  <c:v>6.3</c:v>
                </c:pt>
                <c:pt idx="37">
                  <c:v>16.399999999999999</c:v>
                </c:pt>
              </c:numCache>
            </c:numRef>
          </c:val>
          <c:extLst>
            <c:ext xmlns:c16="http://schemas.microsoft.com/office/drawing/2014/chart" uri="{C3380CC4-5D6E-409C-BE32-E72D297353CC}">
              <c16:uniqueId val="{00000000-CF67-4D8B-94F7-811F916C58F1}"/>
            </c:ext>
          </c:extLst>
        </c:ser>
        <c:ser>
          <c:idx val="1"/>
          <c:order val="1"/>
          <c:tx>
            <c:strRef>
              <c:f>Sayfa1!$C$1</c:f>
              <c:strCache>
                <c:ptCount val="1"/>
                <c:pt idx="0">
                  <c:v>2005</c:v>
                </c:pt>
              </c:strCache>
            </c:strRef>
          </c:tx>
          <c:spPr>
            <a:solidFill>
              <a:schemeClr val="accent2"/>
            </a:solidFill>
            <a:ln>
              <a:noFill/>
            </a:ln>
            <a:effectLst/>
          </c:spPr>
          <c:invertIfNegative val="0"/>
          <c:cat>
            <c:strRef>
              <c:f>Sayfa1!$A$2:$A$39</c:f>
              <c:strCache>
                <c:ptCount val="38"/>
                <c:pt idx="0">
                  <c:v>Avustralya</c:v>
                </c:pt>
                <c:pt idx="1">
                  <c:v>Avusturya</c:v>
                </c:pt>
                <c:pt idx="2">
                  <c:v>Belçika</c:v>
                </c:pt>
                <c:pt idx="3">
                  <c:v>Kanada</c:v>
                </c:pt>
                <c:pt idx="4">
                  <c:v>Şili</c:v>
                </c:pt>
                <c:pt idx="5">
                  <c:v>Çekya</c:v>
                </c:pt>
                <c:pt idx="6">
                  <c:v>Danimarka</c:v>
                </c:pt>
                <c:pt idx="7">
                  <c:v>Estonya</c:v>
                </c:pt>
                <c:pt idx="8">
                  <c:v>Finlandiya</c:v>
                </c:pt>
                <c:pt idx="9">
                  <c:v>Fransa</c:v>
                </c:pt>
                <c:pt idx="10">
                  <c:v>Almanya</c:v>
                </c:pt>
                <c:pt idx="11">
                  <c:v>Yunanistan</c:v>
                </c:pt>
                <c:pt idx="12">
                  <c:v>Macaristan</c:v>
                </c:pt>
                <c:pt idx="13">
                  <c:v>İzlanda</c:v>
                </c:pt>
                <c:pt idx="14">
                  <c:v>İrlanda</c:v>
                </c:pt>
                <c:pt idx="15">
                  <c:v>İsrail</c:v>
                </c:pt>
                <c:pt idx="16">
                  <c:v>İtalya</c:v>
                </c:pt>
                <c:pt idx="17">
                  <c:v>Japonya</c:v>
                </c:pt>
                <c:pt idx="18">
                  <c:v>Güney kore</c:v>
                </c:pt>
                <c:pt idx="19">
                  <c:v>Letonya</c:v>
                </c:pt>
                <c:pt idx="20">
                  <c:v>Lüksemburg</c:v>
                </c:pt>
                <c:pt idx="21">
                  <c:v>Meksika</c:v>
                </c:pt>
                <c:pt idx="22">
                  <c:v>Hollanda</c:v>
                </c:pt>
                <c:pt idx="23">
                  <c:v>Yeni zellanda</c:v>
                </c:pt>
                <c:pt idx="24">
                  <c:v>Norveç</c:v>
                </c:pt>
                <c:pt idx="25">
                  <c:v>Polonya</c:v>
                </c:pt>
                <c:pt idx="26">
                  <c:v>Portekiz</c:v>
                </c:pt>
                <c:pt idx="27">
                  <c:v>Slovakya</c:v>
                </c:pt>
                <c:pt idx="28">
                  <c:v>Slovenya</c:v>
                </c:pt>
                <c:pt idx="29">
                  <c:v>İspanya</c:v>
                </c:pt>
                <c:pt idx="30">
                  <c:v>İsveç</c:v>
                </c:pt>
                <c:pt idx="31">
                  <c:v>İsviçre</c:v>
                </c:pt>
                <c:pt idx="32">
                  <c:v>Türkiye</c:v>
                </c:pt>
                <c:pt idx="33">
                  <c:v>İngiltere</c:v>
                </c:pt>
                <c:pt idx="34">
                  <c:v>ABD</c:v>
                </c:pt>
                <c:pt idx="35">
                  <c:v>OECD</c:v>
                </c:pt>
                <c:pt idx="36">
                  <c:v>Kolombiya</c:v>
                </c:pt>
                <c:pt idx="37">
                  <c:v>Litvanya</c:v>
                </c:pt>
              </c:strCache>
            </c:strRef>
          </c:cat>
          <c:val>
            <c:numRef>
              <c:f>Sayfa1!$C$2:$C$39</c:f>
              <c:numCache>
                <c:formatCode>General</c:formatCode>
                <c:ptCount val="38"/>
                <c:pt idx="0">
                  <c:v>5</c:v>
                </c:pt>
                <c:pt idx="1">
                  <c:v>5.6</c:v>
                </c:pt>
                <c:pt idx="2">
                  <c:v>8.4</c:v>
                </c:pt>
                <c:pt idx="3">
                  <c:v>6.8</c:v>
                </c:pt>
                <c:pt idx="4">
                  <c:v>9.3000000000000007</c:v>
                </c:pt>
                <c:pt idx="5">
                  <c:v>7.9</c:v>
                </c:pt>
                <c:pt idx="6">
                  <c:v>4.5999999999999996</c:v>
                </c:pt>
                <c:pt idx="7">
                  <c:v>8</c:v>
                </c:pt>
                <c:pt idx="8">
                  <c:v>8.4</c:v>
                </c:pt>
                <c:pt idx="9">
                  <c:v>8.9</c:v>
                </c:pt>
                <c:pt idx="10">
                  <c:v>11.1</c:v>
                </c:pt>
                <c:pt idx="11">
                  <c:v>10</c:v>
                </c:pt>
                <c:pt idx="12">
                  <c:v>7.2</c:v>
                </c:pt>
                <c:pt idx="13">
                  <c:v>2.6</c:v>
                </c:pt>
                <c:pt idx="14">
                  <c:v>4</c:v>
                </c:pt>
                <c:pt idx="15">
                  <c:v>11.3</c:v>
                </c:pt>
                <c:pt idx="16">
                  <c:v>7.7</c:v>
                </c:pt>
                <c:pt idx="17">
                  <c:v>4.4000000000000004</c:v>
                </c:pt>
                <c:pt idx="18">
                  <c:v>3.7</c:v>
                </c:pt>
                <c:pt idx="19">
                  <c:v>10</c:v>
                </c:pt>
                <c:pt idx="20">
                  <c:v>4.5</c:v>
                </c:pt>
                <c:pt idx="21">
                  <c:v>3.6</c:v>
                </c:pt>
                <c:pt idx="22">
                  <c:v>5.9</c:v>
                </c:pt>
                <c:pt idx="23">
                  <c:v>3.8</c:v>
                </c:pt>
                <c:pt idx="24">
                  <c:v>4.4000000000000004</c:v>
                </c:pt>
                <c:pt idx="25">
                  <c:v>17.7</c:v>
                </c:pt>
                <c:pt idx="26">
                  <c:v>7.6</c:v>
                </c:pt>
                <c:pt idx="27">
                  <c:v>16.2</c:v>
                </c:pt>
                <c:pt idx="28">
                  <c:v>6.5</c:v>
                </c:pt>
                <c:pt idx="29">
                  <c:v>9.1</c:v>
                </c:pt>
                <c:pt idx="30">
                  <c:v>7.7</c:v>
                </c:pt>
                <c:pt idx="31">
                  <c:v>4.4000000000000004</c:v>
                </c:pt>
                <c:pt idx="32">
                  <c:v>10.6</c:v>
                </c:pt>
                <c:pt idx="33">
                  <c:v>4.9000000000000004</c:v>
                </c:pt>
                <c:pt idx="34">
                  <c:v>5.0999999999999996</c:v>
                </c:pt>
                <c:pt idx="35">
                  <c:v>6.9</c:v>
                </c:pt>
                <c:pt idx="36">
                  <c:v>11.9</c:v>
                </c:pt>
                <c:pt idx="37">
                  <c:v>8.3000000000000007</c:v>
                </c:pt>
              </c:numCache>
            </c:numRef>
          </c:val>
          <c:extLst>
            <c:ext xmlns:c16="http://schemas.microsoft.com/office/drawing/2014/chart" uri="{C3380CC4-5D6E-409C-BE32-E72D297353CC}">
              <c16:uniqueId val="{00000001-CF67-4D8B-94F7-811F916C58F1}"/>
            </c:ext>
          </c:extLst>
        </c:ser>
        <c:ser>
          <c:idx val="2"/>
          <c:order val="2"/>
          <c:tx>
            <c:strRef>
              <c:f>Sayfa1!$D$1</c:f>
              <c:strCache>
                <c:ptCount val="1"/>
                <c:pt idx="0">
                  <c:v>2010</c:v>
                </c:pt>
              </c:strCache>
            </c:strRef>
          </c:tx>
          <c:spPr>
            <a:solidFill>
              <a:schemeClr val="accent3"/>
            </a:solidFill>
            <a:ln>
              <a:noFill/>
            </a:ln>
            <a:effectLst/>
          </c:spPr>
          <c:invertIfNegative val="0"/>
          <c:cat>
            <c:strRef>
              <c:f>Sayfa1!$A$2:$A$39</c:f>
              <c:strCache>
                <c:ptCount val="38"/>
                <c:pt idx="0">
                  <c:v>Avustralya</c:v>
                </c:pt>
                <c:pt idx="1">
                  <c:v>Avusturya</c:v>
                </c:pt>
                <c:pt idx="2">
                  <c:v>Belçika</c:v>
                </c:pt>
                <c:pt idx="3">
                  <c:v>Kanada</c:v>
                </c:pt>
                <c:pt idx="4">
                  <c:v>Şili</c:v>
                </c:pt>
                <c:pt idx="5">
                  <c:v>Çekya</c:v>
                </c:pt>
                <c:pt idx="6">
                  <c:v>Danimarka</c:v>
                </c:pt>
                <c:pt idx="7">
                  <c:v>Estonya</c:v>
                </c:pt>
                <c:pt idx="8">
                  <c:v>Finlandiya</c:v>
                </c:pt>
                <c:pt idx="9">
                  <c:v>Fransa</c:v>
                </c:pt>
                <c:pt idx="10">
                  <c:v>Almanya</c:v>
                </c:pt>
                <c:pt idx="11">
                  <c:v>Yunanistan</c:v>
                </c:pt>
                <c:pt idx="12">
                  <c:v>Macaristan</c:v>
                </c:pt>
                <c:pt idx="13">
                  <c:v>İzlanda</c:v>
                </c:pt>
                <c:pt idx="14">
                  <c:v>İrlanda</c:v>
                </c:pt>
                <c:pt idx="15">
                  <c:v>İsrail</c:v>
                </c:pt>
                <c:pt idx="16">
                  <c:v>İtalya</c:v>
                </c:pt>
                <c:pt idx="17">
                  <c:v>Japonya</c:v>
                </c:pt>
                <c:pt idx="18">
                  <c:v>Güney kore</c:v>
                </c:pt>
                <c:pt idx="19">
                  <c:v>Letonya</c:v>
                </c:pt>
                <c:pt idx="20">
                  <c:v>Lüksemburg</c:v>
                </c:pt>
                <c:pt idx="21">
                  <c:v>Meksika</c:v>
                </c:pt>
                <c:pt idx="22">
                  <c:v>Hollanda</c:v>
                </c:pt>
                <c:pt idx="23">
                  <c:v>Yeni zellanda</c:v>
                </c:pt>
                <c:pt idx="24">
                  <c:v>Norveç</c:v>
                </c:pt>
                <c:pt idx="25">
                  <c:v>Polonya</c:v>
                </c:pt>
                <c:pt idx="26">
                  <c:v>Portekiz</c:v>
                </c:pt>
                <c:pt idx="27">
                  <c:v>Slovakya</c:v>
                </c:pt>
                <c:pt idx="28">
                  <c:v>Slovenya</c:v>
                </c:pt>
                <c:pt idx="29">
                  <c:v>İspanya</c:v>
                </c:pt>
                <c:pt idx="30">
                  <c:v>İsveç</c:v>
                </c:pt>
                <c:pt idx="31">
                  <c:v>İsviçre</c:v>
                </c:pt>
                <c:pt idx="32">
                  <c:v>Türkiye</c:v>
                </c:pt>
                <c:pt idx="33">
                  <c:v>İngiltere</c:v>
                </c:pt>
                <c:pt idx="34">
                  <c:v>ABD</c:v>
                </c:pt>
                <c:pt idx="35">
                  <c:v>OECD</c:v>
                </c:pt>
                <c:pt idx="36">
                  <c:v>Kolombiya</c:v>
                </c:pt>
                <c:pt idx="37">
                  <c:v>Litvanya</c:v>
                </c:pt>
              </c:strCache>
            </c:strRef>
          </c:cat>
          <c:val>
            <c:numRef>
              <c:f>Sayfa1!$D$2:$D$39</c:f>
              <c:numCache>
                <c:formatCode>General</c:formatCode>
                <c:ptCount val="38"/>
                <c:pt idx="0">
                  <c:v>5.2</c:v>
                </c:pt>
                <c:pt idx="1">
                  <c:v>4.8</c:v>
                </c:pt>
                <c:pt idx="2">
                  <c:v>8.3000000000000007</c:v>
                </c:pt>
                <c:pt idx="3">
                  <c:v>8</c:v>
                </c:pt>
                <c:pt idx="4">
                  <c:v>8.1</c:v>
                </c:pt>
                <c:pt idx="5">
                  <c:v>7.3</c:v>
                </c:pt>
                <c:pt idx="6">
                  <c:v>7.6</c:v>
                </c:pt>
                <c:pt idx="7">
                  <c:v>16.7</c:v>
                </c:pt>
                <c:pt idx="8">
                  <c:v>8.4</c:v>
                </c:pt>
                <c:pt idx="9">
                  <c:v>9.3000000000000007</c:v>
                </c:pt>
                <c:pt idx="10">
                  <c:v>7.1</c:v>
                </c:pt>
                <c:pt idx="11">
                  <c:v>12.7</c:v>
                </c:pt>
                <c:pt idx="12">
                  <c:v>11.2</c:v>
                </c:pt>
                <c:pt idx="13">
                  <c:v>7.6</c:v>
                </c:pt>
                <c:pt idx="14">
                  <c:v>14.4</c:v>
                </c:pt>
                <c:pt idx="15">
                  <c:v>8.5</c:v>
                </c:pt>
                <c:pt idx="16">
                  <c:v>8.4</c:v>
                </c:pt>
                <c:pt idx="17">
                  <c:v>5</c:v>
                </c:pt>
                <c:pt idx="18">
                  <c:v>3.7</c:v>
                </c:pt>
                <c:pt idx="19">
                  <c:v>19.5</c:v>
                </c:pt>
                <c:pt idx="20">
                  <c:v>4.4000000000000004</c:v>
                </c:pt>
                <c:pt idx="21">
                  <c:v>5.3</c:v>
                </c:pt>
                <c:pt idx="22">
                  <c:v>5</c:v>
                </c:pt>
                <c:pt idx="23">
                  <c:v>6.6</c:v>
                </c:pt>
                <c:pt idx="24">
                  <c:v>3.5</c:v>
                </c:pt>
                <c:pt idx="25">
                  <c:v>9.6</c:v>
                </c:pt>
                <c:pt idx="26">
                  <c:v>10.8</c:v>
                </c:pt>
                <c:pt idx="27">
                  <c:v>14.4</c:v>
                </c:pt>
                <c:pt idx="28">
                  <c:v>7.2</c:v>
                </c:pt>
                <c:pt idx="29">
                  <c:v>19.899999999999999</c:v>
                </c:pt>
                <c:pt idx="30">
                  <c:v>8.6</c:v>
                </c:pt>
                <c:pt idx="31">
                  <c:v>4.8</c:v>
                </c:pt>
                <c:pt idx="32">
                  <c:v>11.9</c:v>
                </c:pt>
                <c:pt idx="33">
                  <c:v>7.6</c:v>
                </c:pt>
                <c:pt idx="34">
                  <c:v>9.6</c:v>
                </c:pt>
                <c:pt idx="35">
                  <c:v>8.5</c:v>
                </c:pt>
                <c:pt idx="36">
                  <c:v>11.8</c:v>
                </c:pt>
                <c:pt idx="37">
                  <c:v>17.8</c:v>
                </c:pt>
              </c:numCache>
            </c:numRef>
          </c:val>
          <c:extLst>
            <c:ext xmlns:c16="http://schemas.microsoft.com/office/drawing/2014/chart" uri="{C3380CC4-5D6E-409C-BE32-E72D297353CC}">
              <c16:uniqueId val="{00000002-CF67-4D8B-94F7-811F916C58F1}"/>
            </c:ext>
          </c:extLst>
        </c:ser>
        <c:ser>
          <c:idx val="3"/>
          <c:order val="3"/>
          <c:tx>
            <c:strRef>
              <c:f>Sayfa1!$E$1</c:f>
              <c:strCache>
                <c:ptCount val="1"/>
                <c:pt idx="0">
                  <c:v>2015</c:v>
                </c:pt>
              </c:strCache>
            </c:strRef>
          </c:tx>
          <c:spPr>
            <a:solidFill>
              <a:schemeClr val="accent4"/>
            </a:solidFill>
            <a:ln>
              <a:noFill/>
            </a:ln>
            <a:effectLst/>
          </c:spPr>
          <c:invertIfNegative val="0"/>
          <c:cat>
            <c:strRef>
              <c:f>Sayfa1!$A$2:$A$39</c:f>
              <c:strCache>
                <c:ptCount val="38"/>
                <c:pt idx="0">
                  <c:v>Avustralya</c:v>
                </c:pt>
                <c:pt idx="1">
                  <c:v>Avusturya</c:v>
                </c:pt>
                <c:pt idx="2">
                  <c:v>Belçika</c:v>
                </c:pt>
                <c:pt idx="3">
                  <c:v>Kanada</c:v>
                </c:pt>
                <c:pt idx="4">
                  <c:v>Şili</c:v>
                </c:pt>
                <c:pt idx="5">
                  <c:v>Çekya</c:v>
                </c:pt>
                <c:pt idx="6">
                  <c:v>Danimarka</c:v>
                </c:pt>
                <c:pt idx="7">
                  <c:v>Estonya</c:v>
                </c:pt>
                <c:pt idx="8">
                  <c:v>Finlandiya</c:v>
                </c:pt>
                <c:pt idx="9">
                  <c:v>Fransa</c:v>
                </c:pt>
                <c:pt idx="10">
                  <c:v>Almanya</c:v>
                </c:pt>
                <c:pt idx="11">
                  <c:v>Yunanistan</c:v>
                </c:pt>
                <c:pt idx="12">
                  <c:v>Macaristan</c:v>
                </c:pt>
                <c:pt idx="13">
                  <c:v>İzlanda</c:v>
                </c:pt>
                <c:pt idx="14">
                  <c:v>İrlanda</c:v>
                </c:pt>
                <c:pt idx="15">
                  <c:v>İsrail</c:v>
                </c:pt>
                <c:pt idx="16">
                  <c:v>İtalya</c:v>
                </c:pt>
                <c:pt idx="17">
                  <c:v>Japonya</c:v>
                </c:pt>
                <c:pt idx="18">
                  <c:v>Güney kore</c:v>
                </c:pt>
                <c:pt idx="19">
                  <c:v>Letonya</c:v>
                </c:pt>
                <c:pt idx="20">
                  <c:v>Lüksemburg</c:v>
                </c:pt>
                <c:pt idx="21">
                  <c:v>Meksika</c:v>
                </c:pt>
                <c:pt idx="22">
                  <c:v>Hollanda</c:v>
                </c:pt>
                <c:pt idx="23">
                  <c:v>Yeni zellanda</c:v>
                </c:pt>
                <c:pt idx="24">
                  <c:v>Norveç</c:v>
                </c:pt>
                <c:pt idx="25">
                  <c:v>Polonya</c:v>
                </c:pt>
                <c:pt idx="26">
                  <c:v>Portekiz</c:v>
                </c:pt>
                <c:pt idx="27">
                  <c:v>Slovakya</c:v>
                </c:pt>
                <c:pt idx="28">
                  <c:v>Slovenya</c:v>
                </c:pt>
                <c:pt idx="29">
                  <c:v>İspanya</c:v>
                </c:pt>
                <c:pt idx="30">
                  <c:v>İsveç</c:v>
                </c:pt>
                <c:pt idx="31">
                  <c:v>İsviçre</c:v>
                </c:pt>
                <c:pt idx="32">
                  <c:v>Türkiye</c:v>
                </c:pt>
                <c:pt idx="33">
                  <c:v>İngiltere</c:v>
                </c:pt>
                <c:pt idx="34">
                  <c:v>ABD</c:v>
                </c:pt>
                <c:pt idx="35">
                  <c:v>OECD</c:v>
                </c:pt>
                <c:pt idx="36">
                  <c:v>Kolombiya</c:v>
                </c:pt>
                <c:pt idx="37">
                  <c:v>Litvanya</c:v>
                </c:pt>
              </c:strCache>
            </c:strRef>
          </c:cat>
          <c:val>
            <c:numRef>
              <c:f>Sayfa1!$E$2:$E$39</c:f>
              <c:numCache>
                <c:formatCode>General</c:formatCode>
                <c:ptCount val="38"/>
                <c:pt idx="0">
                  <c:v>6.1</c:v>
                </c:pt>
                <c:pt idx="1">
                  <c:v>5.7</c:v>
                </c:pt>
                <c:pt idx="2">
                  <c:v>8.5</c:v>
                </c:pt>
                <c:pt idx="3">
                  <c:v>6.9</c:v>
                </c:pt>
                <c:pt idx="4">
                  <c:v>6.2</c:v>
                </c:pt>
                <c:pt idx="5">
                  <c:v>5</c:v>
                </c:pt>
                <c:pt idx="6">
                  <c:v>6.1</c:v>
                </c:pt>
                <c:pt idx="7">
                  <c:v>6.2</c:v>
                </c:pt>
                <c:pt idx="8">
                  <c:v>9.3000000000000007</c:v>
                </c:pt>
                <c:pt idx="9">
                  <c:v>10.4</c:v>
                </c:pt>
                <c:pt idx="10">
                  <c:v>4.5999999999999996</c:v>
                </c:pt>
                <c:pt idx="11">
                  <c:v>24.9</c:v>
                </c:pt>
                <c:pt idx="12">
                  <c:v>6.8</c:v>
                </c:pt>
                <c:pt idx="13">
                  <c:v>4</c:v>
                </c:pt>
                <c:pt idx="14">
                  <c:v>9.9</c:v>
                </c:pt>
                <c:pt idx="15">
                  <c:v>5.3</c:v>
                </c:pt>
                <c:pt idx="16">
                  <c:v>11.9</c:v>
                </c:pt>
                <c:pt idx="17">
                  <c:v>3.3</c:v>
                </c:pt>
                <c:pt idx="18">
                  <c:v>3.6</c:v>
                </c:pt>
                <c:pt idx="19">
                  <c:v>9.9</c:v>
                </c:pt>
                <c:pt idx="20">
                  <c:v>6.7</c:v>
                </c:pt>
                <c:pt idx="21">
                  <c:v>4.3</c:v>
                </c:pt>
                <c:pt idx="22">
                  <c:v>6.9</c:v>
                </c:pt>
                <c:pt idx="23">
                  <c:v>5.4</c:v>
                </c:pt>
                <c:pt idx="24">
                  <c:v>4.3</c:v>
                </c:pt>
                <c:pt idx="25">
                  <c:v>7.5</c:v>
                </c:pt>
                <c:pt idx="26">
                  <c:v>12.4</c:v>
                </c:pt>
                <c:pt idx="27">
                  <c:v>11.5</c:v>
                </c:pt>
                <c:pt idx="28">
                  <c:v>9</c:v>
                </c:pt>
                <c:pt idx="29">
                  <c:v>22.1</c:v>
                </c:pt>
                <c:pt idx="30">
                  <c:v>7.4</c:v>
                </c:pt>
                <c:pt idx="31">
                  <c:v>4.8</c:v>
                </c:pt>
                <c:pt idx="32">
                  <c:v>10.3</c:v>
                </c:pt>
                <c:pt idx="33">
                  <c:v>5.3</c:v>
                </c:pt>
                <c:pt idx="34">
                  <c:v>5.3</c:v>
                </c:pt>
                <c:pt idx="35">
                  <c:v>6.9</c:v>
                </c:pt>
                <c:pt idx="36">
                  <c:v>9</c:v>
                </c:pt>
                <c:pt idx="37">
                  <c:v>9.1</c:v>
                </c:pt>
              </c:numCache>
            </c:numRef>
          </c:val>
          <c:extLst>
            <c:ext xmlns:c16="http://schemas.microsoft.com/office/drawing/2014/chart" uri="{C3380CC4-5D6E-409C-BE32-E72D297353CC}">
              <c16:uniqueId val="{00000003-CF67-4D8B-94F7-811F916C58F1}"/>
            </c:ext>
          </c:extLst>
        </c:ser>
        <c:ser>
          <c:idx val="4"/>
          <c:order val="4"/>
          <c:tx>
            <c:strRef>
              <c:f>Sayfa1!$F$1</c:f>
              <c:strCache>
                <c:ptCount val="1"/>
                <c:pt idx="0">
                  <c:v>2019</c:v>
                </c:pt>
              </c:strCache>
            </c:strRef>
          </c:tx>
          <c:spPr>
            <a:solidFill>
              <a:schemeClr val="accent5"/>
            </a:solidFill>
            <a:ln>
              <a:noFill/>
            </a:ln>
            <a:effectLst/>
          </c:spPr>
          <c:invertIfNegative val="0"/>
          <c:cat>
            <c:strRef>
              <c:f>Sayfa1!$A$2:$A$39</c:f>
              <c:strCache>
                <c:ptCount val="38"/>
                <c:pt idx="0">
                  <c:v>Avustralya</c:v>
                </c:pt>
                <c:pt idx="1">
                  <c:v>Avusturya</c:v>
                </c:pt>
                <c:pt idx="2">
                  <c:v>Belçika</c:v>
                </c:pt>
                <c:pt idx="3">
                  <c:v>Kanada</c:v>
                </c:pt>
                <c:pt idx="4">
                  <c:v>Şili</c:v>
                </c:pt>
                <c:pt idx="5">
                  <c:v>Çekya</c:v>
                </c:pt>
                <c:pt idx="6">
                  <c:v>Danimarka</c:v>
                </c:pt>
                <c:pt idx="7">
                  <c:v>Estonya</c:v>
                </c:pt>
                <c:pt idx="8">
                  <c:v>Finlandiya</c:v>
                </c:pt>
                <c:pt idx="9">
                  <c:v>Fransa</c:v>
                </c:pt>
                <c:pt idx="10">
                  <c:v>Almanya</c:v>
                </c:pt>
                <c:pt idx="11">
                  <c:v>Yunanistan</c:v>
                </c:pt>
                <c:pt idx="12">
                  <c:v>Macaristan</c:v>
                </c:pt>
                <c:pt idx="13">
                  <c:v>İzlanda</c:v>
                </c:pt>
                <c:pt idx="14">
                  <c:v>İrlanda</c:v>
                </c:pt>
                <c:pt idx="15">
                  <c:v>İsrail</c:v>
                </c:pt>
                <c:pt idx="16">
                  <c:v>İtalya</c:v>
                </c:pt>
                <c:pt idx="17">
                  <c:v>Japonya</c:v>
                </c:pt>
                <c:pt idx="18">
                  <c:v>Güney kore</c:v>
                </c:pt>
                <c:pt idx="19">
                  <c:v>Letonya</c:v>
                </c:pt>
                <c:pt idx="20">
                  <c:v>Lüksemburg</c:v>
                </c:pt>
                <c:pt idx="21">
                  <c:v>Meksika</c:v>
                </c:pt>
                <c:pt idx="22">
                  <c:v>Hollanda</c:v>
                </c:pt>
                <c:pt idx="23">
                  <c:v>Yeni zellanda</c:v>
                </c:pt>
                <c:pt idx="24">
                  <c:v>Norveç</c:v>
                </c:pt>
                <c:pt idx="25">
                  <c:v>Polonya</c:v>
                </c:pt>
                <c:pt idx="26">
                  <c:v>Portekiz</c:v>
                </c:pt>
                <c:pt idx="27">
                  <c:v>Slovakya</c:v>
                </c:pt>
                <c:pt idx="28">
                  <c:v>Slovenya</c:v>
                </c:pt>
                <c:pt idx="29">
                  <c:v>İspanya</c:v>
                </c:pt>
                <c:pt idx="30">
                  <c:v>İsveç</c:v>
                </c:pt>
                <c:pt idx="31">
                  <c:v>İsviçre</c:v>
                </c:pt>
                <c:pt idx="32">
                  <c:v>Türkiye</c:v>
                </c:pt>
                <c:pt idx="33">
                  <c:v>İngiltere</c:v>
                </c:pt>
                <c:pt idx="34">
                  <c:v>ABD</c:v>
                </c:pt>
                <c:pt idx="35">
                  <c:v>OECD</c:v>
                </c:pt>
                <c:pt idx="36">
                  <c:v>Kolombiya</c:v>
                </c:pt>
                <c:pt idx="37">
                  <c:v>Litvanya</c:v>
                </c:pt>
              </c:strCache>
            </c:strRef>
          </c:cat>
          <c:val>
            <c:numRef>
              <c:f>Sayfa1!$F$2:$F$39</c:f>
              <c:numCache>
                <c:formatCode>General</c:formatCode>
                <c:ptCount val="38"/>
                <c:pt idx="0">
                  <c:v>5.2</c:v>
                </c:pt>
                <c:pt idx="1">
                  <c:v>4.5</c:v>
                </c:pt>
                <c:pt idx="2">
                  <c:v>5.4</c:v>
                </c:pt>
                <c:pt idx="3">
                  <c:v>5.7</c:v>
                </c:pt>
                <c:pt idx="4">
                  <c:v>7</c:v>
                </c:pt>
                <c:pt idx="5">
                  <c:v>2</c:v>
                </c:pt>
                <c:pt idx="6">
                  <c:v>4.7</c:v>
                </c:pt>
                <c:pt idx="7">
                  <c:v>4.4000000000000004</c:v>
                </c:pt>
                <c:pt idx="8">
                  <c:v>6.7</c:v>
                </c:pt>
                <c:pt idx="9">
                  <c:v>8.4</c:v>
                </c:pt>
                <c:pt idx="10">
                  <c:v>3.1</c:v>
                </c:pt>
                <c:pt idx="11">
                  <c:v>17.3</c:v>
                </c:pt>
                <c:pt idx="12">
                  <c:v>3.4</c:v>
                </c:pt>
                <c:pt idx="13">
                  <c:v>3.5</c:v>
                </c:pt>
                <c:pt idx="14">
                  <c:v>4.4000000000000004</c:v>
                </c:pt>
                <c:pt idx="15">
                  <c:v>3.8</c:v>
                </c:pt>
                <c:pt idx="16">
                  <c:v>10</c:v>
                </c:pt>
                <c:pt idx="17">
                  <c:v>2.4</c:v>
                </c:pt>
                <c:pt idx="18">
                  <c:v>3.8</c:v>
                </c:pt>
                <c:pt idx="19">
                  <c:v>6.3</c:v>
                </c:pt>
                <c:pt idx="20">
                  <c:v>5.6</c:v>
                </c:pt>
                <c:pt idx="21">
                  <c:v>3.5</c:v>
                </c:pt>
                <c:pt idx="22">
                  <c:v>3.4</c:v>
                </c:pt>
                <c:pt idx="23">
                  <c:v>4.0999999999999996</c:v>
                </c:pt>
                <c:pt idx="24">
                  <c:v>3.7</c:v>
                </c:pt>
                <c:pt idx="25">
                  <c:v>3.3</c:v>
                </c:pt>
                <c:pt idx="26">
                  <c:v>6.5</c:v>
                </c:pt>
                <c:pt idx="27">
                  <c:v>5.8</c:v>
                </c:pt>
                <c:pt idx="28">
                  <c:v>4.4000000000000004</c:v>
                </c:pt>
                <c:pt idx="29">
                  <c:v>14.1</c:v>
                </c:pt>
                <c:pt idx="30">
                  <c:v>6.8</c:v>
                </c:pt>
                <c:pt idx="31">
                  <c:v>4.4000000000000004</c:v>
                </c:pt>
                <c:pt idx="32">
                  <c:v>13.7</c:v>
                </c:pt>
                <c:pt idx="33">
                  <c:v>3.9</c:v>
                </c:pt>
                <c:pt idx="34">
                  <c:v>3.7</c:v>
                </c:pt>
                <c:pt idx="35">
                  <c:v>5.4</c:v>
                </c:pt>
                <c:pt idx="36">
                  <c:v>10.5</c:v>
                </c:pt>
                <c:pt idx="37">
                  <c:v>6.3</c:v>
                </c:pt>
              </c:numCache>
            </c:numRef>
          </c:val>
          <c:extLst>
            <c:ext xmlns:c16="http://schemas.microsoft.com/office/drawing/2014/chart" uri="{C3380CC4-5D6E-409C-BE32-E72D297353CC}">
              <c16:uniqueId val="{00000004-CF67-4D8B-94F7-811F916C58F1}"/>
            </c:ext>
          </c:extLst>
        </c:ser>
        <c:dLbls>
          <c:showLegendKey val="0"/>
          <c:showVal val="0"/>
          <c:showCatName val="0"/>
          <c:showSerName val="0"/>
          <c:showPercent val="0"/>
          <c:showBubbleSize val="0"/>
        </c:dLbls>
        <c:gapWidth val="219"/>
        <c:overlap val="-27"/>
        <c:axId val="333264200"/>
        <c:axId val="307408408"/>
      </c:barChart>
      <c:catAx>
        <c:axId val="333264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07408408"/>
        <c:crosses val="autoZero"/>
        <c:auto val="1"/>
        <c:lblAlgn val="ctr"/>
        <c:lblOffset val="100"/>
        <c:noMultiLvlLbl val="0"/>
      </c:catAx>
      <c:valAx>
        <c:axId val="307408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33264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3"/>
          <c:order val="3"/>
          <c:tx>
            <c:strRef>
              <c:f>Sayfa1!$E$1</c:f>
              <c:strCache>
                <c:ptCount val="1"/>
                <c:pt idx="0">
                  <c:v>2015</c:v>
                </c:pt>
              </c:strCache>
            </c:strRef>
          </c:tx>
          <c:spPr>
            <a:solidFill>
              <a:schemeClr val="accent4"/>
            </a:solidFill>
            <a:ln>
              <a:noFill/>
            </a:ln>
            <a:effectLst/>
          </c:spPr>
          <c:invertIfNegative val="0"/>
          <c:cat>
            <c:strRef>
              <c:f>Sayfa1!$A$2:$A$39</c:f>
              <c:strCache>
                <c:ptCount val="38"/>
                <c:pt idx="0">
                  <c:v>Avustralya</c:v>
                </c:pt>
                <c:pt idx="1">
                  <c:v>Avusturya</c:v>
                </c:pt>
                <c:pt idx="2">
                  <c:v>Belçika</c:v>
                </c:pt>
                <c:pt idx="3">
                  <c:v>Kanada</c:v>
                </c:pt>
                <c:pt idx="4">
                  <c:v>Şili</c:v>
                </c:pt>
                <c:pt idx="5">
                  <c:v>Kolombiya</c:v>
                </c:pt>
                <c:pt idx="6">
                  <c:v>Çekya</c:v>
                </c:pt>
                <c:pt idx="7">
                  <c:v>Danimarka</c:v>
                </c:pt>
                <c:pt idx="8">
                  <c:v>Estonya</c:v>
                </c:pt>
                <c:pt idx="9">
                  <c:v>Finlandiya</c:v>
                </c:pt>
                <c:pt idx="10">
                  <c:v>Fransa</c:v>
                </c:pt>
                <c:pt idx="11">
                  <c:v>Almanya</c:v>
                </c:pt>
                <c:pt idx="12">
                  <c:v>Yunanistan</c:v>
                </c:pt>
                <c:pt idx="13">
                  <c:v>Macaristan</c:v>
                </c:pt>
                <c:pt idx="14">
                  <c:v>İzlanda</c:v>
                </c:pt>
                <c:pt idx="15">
                  <c:v>İrlanda</c:v>
                </c:pt>
                <c:pt idx="16">
                  <c:v>İsrail</c:v>
                </c:pt>
                <c:pt idx="17">
                  <c:v>İtalya</c:v>
                </c:pt>
                <c:pt idx="18">
                  <c:v>Japonya</c:v>
                </c:pt>
                <c:pt idx="19">
                  <c:v>Güney kore</c:v>
                </c:pt>
                <c:pt idx="20">
                  <c:v>Letonya</c:v>
                </c:pt>
                <c:pt idx="21">
                  <c:v>Litvanya</c:v>
                </c:pt>
                <c:pt idx="22">
                  <c:v>Lüksemburg</c:v>
                </c:pt>
                <c:pt idx="23">
                  <c:v>Meksika</c:v>
                </c:pt>
                <c:pt idx="24">
                  <c:v>Hollanda</c:v>
                </c:pt>
                <c:pt idx="25">
                  <c:v>Yeni zellanda</c:v>
                </c:pt>
                <c:pt idx="26">
                  <c:v>Norveç</c:v>
                </c:pt>
                <c:pt idx="27">
                  <c:v>Polonya</c:v>
                </c:pt>
                <c:pt idx="28">
                  <c:v>Portekiz</c:v>
                </c:pt>
                <c:pt idx="29">
                  <c:v>Slovakya</c:v>
                </c:pt>
                <c:pt idx="30">
                  <c:v>Slovenya</c:v>
                </c:pt>
                <c:pt idx="31">
                  <c:v>İspanya</c:v>
                </c:pt>
                <c:pt idx="32">
                  <c:v>İsveç</c:v>
                </c:pt>
                <c:pt idx="33">
                  <c:v>İsviçre</c:v>
                </c:pt>
                <c:pt idx="34">
                  <c:v>Türkiye</c:v>
                </c:pt>
                <c:pt idx="35">
                  <c:v>İngiltere</c:v>
                </c:pt>
                <c:pt idx="36">
                  <c:v>ABD</c:v>
                </c:pt>
                <c:pt idx="37">
                  <c:v>OECD</c:v>
                </c:pt>
              </c:strCache>
            </c:strRef>
          </c:cat>
          <c:val>
            <c:numRef>
              <c:f>Sayfa1!$E$2:$E$39</c:f>
              <c:numCache>
                <c:formatCode>#,##0.0_ ;\-#,##0.0\ </c:formatCode>
                <c:ptCount val="38"/>
                <c:pt idx="0">
                  <c:v>13.110573734818351</c:v>
                </c:pt>
                <c:pt idx="1">
                  <c:v>10.586503717784231</c:v>
                </c:pt>
                <c:pt idx="2">
                  <c:v>22.131604681170892</c:v>
                </c:pt>
                <c:pt idx="3">
                  <c:v>13.1919075318668</c:v>
                </c:pt>
                <c:pt idx="4">
                  <c:v>15.48887542804014</c:v>
                </c:pt>
                <c:pt idx="5">
                  <c:v>17.659415847654099</c:v>
                </c:pt>
                <c:pt idx="6">
                  <c:v>12.59730294471694</c:v>
                </c:pt>
                <c:pt idx="7">
                  <c:v>12.17466483620545</c:v>
                </c:pt>
                <c:pt idx="8">
                  <c:v>12.555773200841109</c:v>
                </c:pt>
                <c:pt idx="9">
                  <c:v>21.098265895953759</c:v>
                </c:pt>
                <c:pt idx="10">
                  <c:v>24.666426253155429</c:v>
                </c:pt>
                <c:pt idx="11">
                  <c:v>7.2348015248265591</c:v>
                </c:pt>
                <c:pt idx="12">
                  <c:v>49.827506575880413</c:v>
                </c:pt>
                <c:pt idx="13">
                  <c:v>17.27950029704164</c:v>
                </c:pt>
                <c:pt idx="14">
                  <c:v>8.7112136448957038</c:v>
                </c:pt>
                <c:pt idx="15">
                  <c:v>20.228769806649691</c:v>
                </c:pt>
                <c:pt idx="16">
                  <c:v>9.3023028950299977</c:v>
                </c:pt>
                <c:pt idx="17">
                  <c:v>40.323901065891633</c:v>
                </c:pt>
                <c:pt idx="18">
                  <c:v>5.5238095238095237</c:v>
                </c:pt>
                <c:pt idx="19">
                  <c:v>10.52145593837718</c:v>
                </c:pt>
                <c:pt idx="20">
                  <c:v>16.32638954156722</c:v>
                </c:pt>
                <c:pt idx="21">
                  <c:v>16.3</c:v>
                </c:pt>
                <c:pt idx="22">
                  <c:v>17.346289115765231</c:v>
                </c:pt>
                <c:pt idx="23">
                  <c:v>8.610051852325693</c:v>
                </c:pt>
                <c:pt idx="24">
                  <c:v>11.25142581585307</c:v>
                </c:pt>
                <c:pt idx="25">
                  <c:v>13.793976395008309</c:v>
                </c:pt>
                <c:pt idx="26">
                  <c:v>9.9067945594392182</c:v>
                </c:pt>
                <c:pt idx="27">
                  <c:v>20.766164535349681</c:v>
                </c:pt>
                <c:pt idx="28">
                  <c:v>31.96211097088614</c:v>
                </c:pt>
                <c:pt idx="29">
                  <c:v>26.449972009967929</c:v>
                </c:pt>
                <c:pt idx="30">
                  <c:v>16.287183746217089</c:v>
                </c:pt>
                <c:pt idx="31">
                  <c:v>48.331864424957452</c:v>
                </c:pt>
                <c:pt idx="32">
                  <c:v>20.326204102016931</c:v>
                </c:pt>
                <c:pt idx="33">
                  <c:v>8.8171947208868247</c:v>
                </c:pt>
                <c:pt idx="34">
                  <c:v>18.535699878983461</c:v>
                </c:pt>
                <c:pt idx="35">
                  <c:v>14.352739244730531</c:v>
                </c:pt>
                <c:pt idx="36">
                  <c:v>11.62418131272676</c:v>
                </c:pt>
                <c:pt idx="37">
                  <c:v>14.0999415769928</c:v>
                </c:pt>
              </c:numCache>
            </c:numRef>
          </c:val>
          <c:extLst>
            <c:ext xmlns:c16="http://schemas.microsoft.com/office/drawing/2014/chart" uri="{C3380CC4-5D6E-409C-BE32-E72D297353CC}">
              <c16:uniqueId val="{00000000-132C-4F2C-AFAE-4B496376EF75}"/>
            </c:ext>
          </c:extLst>
        </c:ser>
        <c:ser>
          <c:idx val="4"/>
          <c:order val="4"/>
          <c:tx>
            <c:strRef>
              <c:f>Sayfa1!$F$1</c:f>
              <c:strCache>
                <c:ptCount val="1"/>
                <c:pt idx="0">
                  <c:v>2019</c:v>
                </c:pt>
              </c:strCache>
            </c:strRef>
          </c:tx>
          <c:spPr>
            <a:solidFill>
              <a:schemeClr val="accent5"/>
            </a:solidFill>
            <a:ln>
              <a:noFill/>
            </a:ln>
            <a:effectLst/>
          </c:spPr>
          <c:invertIfNegative val="0"/>
          <c:cat>
            <c:strRef>
              <c:f>Sayfa1!$A$2:$A$39</c:f>
              <c:strCache>
                <c:ptCount val="38"/>
                <c:pt idx="0">
                  <c:v>Avustralya</c:v>
                </c:pt>
                <c:pt idx="1">
                  <c:v>Avusturya</c:v>
                </c:pt>
                <c:pt idx="2">
                  <c:v>Belçika</c:v>
                </c:pt>
                <c:pt idx="3">
                  <c:v>Kanada</c:v>
                </c:pt>
                <c:pt idx="4">
                  <c:v>Şili</c:v>
                </c:pt>
                <c:pt idx="5">
                  <c:v>Kolombiya</c:v>
                </c:pt>
                <c:pt idx="6">
                  <c:v>Çekya</c:v>
                </c:pt>
                <c:pt idx="7">
                  <c:v>Danimarka</c:v>
                </c:pt>
                <c:pt idx="8">
                  <c:v>Estonya</c:v>
                </c:pt>
                <c:pt idx="9">
                  <c:v>Finlandiya</c:v>
                </c:pt>
                <c:pt idx="10">
                  <c:v>Fransa</c:v>
                </c:pt>
                <c:pt idx="11">
                  <c:v>Almanya</c:v>
                </c:pt>
                <c:pt idx="12">
                  <c:v>Yunanistan</c:v>
                </c:pt>
                <c:pt idx="13">
                  <c:v>Macaristan</c:v>
                </c:pt>
                <c:pt idx="14">
                  <c:v>İzlanda</c:v>
                </c:pt>
                <c:pt idx="15">
                  <c:v>İrlanda</c:v>
                </c:pt>
                <c:pt idx="16">
                  <c:v>İsrail</c:v>
                </c:pt>
                <c:pt idx="17">
                  <c:v>İtalya</c:v>
                </c:pt>
                <c:pt idx="18">
                  <c:v>Japonya</c:v>
                </c:pt>
                <c:pt idx="19">
                  <c:v>Güney kore</c:v>
                </c:pt>
                <c:pt idx="20">
                  <c:v>Letonya</c:v>
                </c:pt>
                <c:pt idx="21">
                  <c:v>Litvanya</c:v>
                </c:pt>
                <c:pt idx="22">
                  <c:v>Lüksemburg</c:v>
                </c:pt>
                <c:pt idx="23">
                  <c:v>Meksika</c:v>
                </c:pt>
                <c:pt idx="24">
                  <c:v>Hollanda</c:v>
                </c:pt>
                <c:pt idx="25">
                  <c:v>Yeni zellanda</c:v>
                </c:pt>
                <c:pt idx="26">
                  <c:v>Norveç</c:v>
                </c:pt>
                <c:pt idx="27">
                  <c:v>Polonya</c:v>
                </c:pt>
                <c:pt idx="28">
                  <c:v>Portekiz</c:v>
                </c:pt>
                <c:pt idx="29">
                  <c:v>Slovakya</c:v>
                </c:pt>
                <c:pt idx="30">
                  <c:v>Slovenya</c:v>
                </c:pt>
                <c:pt idx="31">
                  <c:v>İspanya</c:v>
                </c:pt>
                <c:pt idx="32">
                  <c:v>İsveç</c:v>
                </c:pt>
                <c:pt idx="33">
                  <c:v>İsviçre</c:v>
                </c:pt>
                <c:pt idx="34">
                  <c:v>Türkiye</c:v>
                </c:pt>
                <c:pt idx="35">
                  <c:v>İngiltere</c:v>
                </c:pt>
                <c:pt idx="36">
                  <c:v>ABD</c:v>
                </c:pt>
                <c:pt idx="37">
                  <c:v>OECD</c:v>
                </c:pt>
              </c:strCache>
            </c:strRef>
          </c:cat>
          <c:val>
            <c:numRef>
              <c:f>Sayfa1!$F$2:$F$39</c:f>
              <c:numCache>
                <c:formatCode>#,##0.0_ ;\-#,##0.0\ </c:formatCode>
                <c:ptCount val="38"/>
                <c:pt idx="0">
                  <c:v>11.72759001780785</c:v>
                </c:pt>
                <c:pt idx="1">
                  <c:v>8.5396330650716017</c:v>
                </c:pt>
                <c:pt idx="2">
                  <c:v>14.24133665398446</c:v>
                </c:pt>
                <c:pt idx="3">
                  <c:v>11.020364605919911</c:v>
                </c:pt>
                <c:pt idx="4">
                  <c:v>19.11382824115972</c:v>
                </c:pt>
                <c:pt idx="5">
                  <c:v>20.835701219737309</c:v>
                </c:pt>
                <c:pt idx="6">
                  <c:v>5.6283408722932053</c:v>
                </c:pt>
                <c:pt idx="7">
                  <c:v>10.05771211948751</c:v>
                </c:pt>
                <c:pt idx="8">
                  <c:v>10.67876461027522</c:v>
                </c:pt>
                <c:pt idx="9">
                  <c:v>16.28088137105291</c:v>
                </c:pt>
                <c:pt idx="10">
                  <c:v>19.602583215026399</c:v>
                </c:pt>
                <c:pt idx="11">
                  <c:v>5.7669474825189511</c:v>
                </c:pt>
                <c:pt idx="12">
                  <c:v>35.224290485073688</c:v>
                </c:pt>
                <c:pt idx="13">
                  <c:v>11.40607233462527</c:v>
                </c:pt>
                <c:pt idx="14">
                  <c:v>8.7480192648565787</c:v>
                </c:pt>
                <c:pt idx="15">
                  <c:v>12.45785107506449</c:v>
                </c:pt>
                <c:pt idx="16">
                  <c:v>6.6767443286229113</c:v>
                </c:pt>
                <c:pt idx="17">
                  <c:v>29.155844119611629</c:v>
                </c:pt>
                <c:pt idx="18">
                  <c:v>3.660565723793678</c:v>
                </c:pt>
                <c:pt idx="19">
                  <c:v>10.44357750532161</c:v>
                </c:pt>
                <c:pt idx="20">
                  <c:v>12.42166094937873</c:v>
                </c:pt>
                <c:pt idx="21">
                  <c:v>11.9</c:v>
                </c:pt>
                <c:pt idx="22">
                  <c:v>16.986156056689531</c:v>
                </c:pt>
                <c:pt idx="23">
                  <c:v>7.2333427237903898</c:v>
                </c:pt>
                <c:pt idx="24">
                  <c:v>6.7346209014412546</c:v>
                </c:pt>
                <c:pt idx="25">
                  <c:v>11.162116288860609</c:v>
                </c:pt>
                <c:pt idx="26">
                  <c:v>9.9571567593524932</c:v>
                </c:pt>
                <c:pt idx="27">
                  <c:v>9.8734827425776164</c:v>
                </c:pt>
                <c:pt idx="28">
                  <c:v>18.27669309388726</c:v>
                </c:pt>
                <c:pt idx="29">
                  <c:v>16.11216744418056</c:v>
                </c:pt>
                <c:pt idx="30">
                  <c:v>8.1324623607785149</c:v>
                </c:pt>
                <c:pt idx="31">
                  <c:v>32.532398468632891</c:v>
                </c:pt>
                <c:pt idx="32">
                  <c:v>19.981000922772029</c:v>
                </c:pt>
                <c:pt idx="33">
                  <c:v>8.0027745129100811</c:v>
                </c:pt>
                <c:pt idx="34">
                  <c:v>25.409994211846421</c:v>
                </c:pt>
                <c:pt idx="35">
                  <c:v>11.325318282626229</c:v>
                </c:pt>
                <c:pt idx="36">
                  <c:v>8.3918073203110168</c:v>
                </c:pt>
                <c:pt idx="37">
                  <c:v>11.71256198904217</c:v>
                </c:pt>
              </c:numCache>
            </c:numRef>
          </c:val>
          <c:extLst>
            <c:ext xmlns:c16="http://schemas.microsoft.com/office/drawing/2014/chart" uri="{C3380CC4-5D6E-409C-BE32-E72D297353CC}">
              <c16:uniqueId val="{00000001-132C-4F2C-AFAE-4B496376EF75}"/>
            </c:ext>
          </c:extLst>
        </c:ser>
        <c:dLbls>
          <c:showLegendKey val="0"/>
          <c:showVal val="0"/>
          <c:showCatName val="0"/>
          <c:showSerName val="0"/>
          <c:showPercent val="0"/>
          <c:showBubbleSize val="0"/>
        </c:dLbls>
        <c:gapWidth val="500"/>
        <c:overlap val="-100"/>
        <c:axId val="190390544"/>
        <c:axId val="190390936"/>
        <c:extLst>
          <c:ext xmlns:c15="http://schemas.microsoft.com/office/drawing/2012/chart" uri="{02D57815-91ED-43cb-92C2-25804820EDAC}">
            <c15:filteredBarSeries>
              <c15:ser>
                <c:idx val="0"/>
                <c:order val="0"/>
                <c:tx>
                  <c:strRef>
                    <c:extLst>
                      <c:ext uri="{02D57815-91ED-43cb-92C2-25804820EDAC}">
                        <c15:formulaRef>
                          <c15:sqref>Sayfa1!$B$1</c15:sqref>
                        </c15:formulaRef>
                      </c:ext>
                    </c:extLst>
                    <c:strCache>
                      <c:ptCount val="1"/>
                      <c:pt idx="0">
                        <c:v>2000</c:v>
                      </c:pt>
                    </c:strCache>
                  </c:strRef>
                </c:tx>
                <c:spPr>
                  <a:solidFill>
                    <a:schemeClr val="accent1"/>
                  </a:solidFill>
                  <a:ln>
                    <a:noFill/>
                  </a:ln>
                  <a:effectLst/>
                </c:spPr>
                <c:invertIfNegative val="0"/>
                <c:cat>
                  <c:strRef>
                    <c:extLst>
                      <c:ext uri="{02D57815-91ED-43cb-92C2-25804820EDAC}">
                        <c15:formulaRef>
                          <c15:sqref>Sayfa1!$A$2:$A$39</c15:sqref>
                        </c15:formulaRef>
                      </c:ext>
                    </c:extLst>
                    <c:strCache>
                      <c:ptCount val="38"/>
                      <c:pt idx="0">
                        <c:v>Avustralya</c:v>
                      </c:pt>
                      <c:pt idx="1">
                        <c:v>Avusturya</c:v>
                      </c:pt>
                      <c:pt idx="2">
                        <c:v>Belçika</c:v>
                      </c:pt>
                      <c:pt idx="3">
                        <c:v>Kanada</c:v>
                      </c:pt>
                      <c:pt idx="4">
                        <c:v>Şili</c:v>
                      </c:pt>
                      <c:pt idx="5">
                        <c:v>Kolombiya</c:v>
                      </c:pt>
                      <c:pt idx="6">
                        <c:v>Çekya</c:v>
                      </c:pt>
                      <c:pt idx="7">
                        <c:v>Danimarka</c:v>
                      </c:pt>
                      <c:pt idx="8">
                        <c:v>Estonya</c:v>
                      </c:pt>
                      <c:pt idx="9">
                        <c:v>Finlandiya</c:v>
                      </c:pt>
                      <c:pt idx="10">
                        <c:v>Fransa</c:v>
                      </c:pt>
                      <c:pt idx="11">
                        <c:v>Almanya</c:v>
                      </c:pt>
                      <c:pt idx="12">
                        <c:v>Yunanistan</c:v>
                      </c:pt>
                      <c:pt idx="13">
                        <c:v>Macaristan</c:v>
                      </c:pt>
                      <c:pt idx="14">
                        <c:v>İzlanda</c:v>
                      </c:pt>
                      <c:pt idx="15">
                        <c:v>İrlanda</c:v>
                      </c:pt>
                      <c:pt idx="16">
                        <c:v>İsrail</c:v>
                      </c:pt>
                      <c:pt idx="17">
                        <c:v>İtalya</c:v>
                      </c:pt>
                      <c:pt idx="18">
                        <c:v>Japonya</c:v>
                      </c:pt>
                      <c:pt idx="19">
                        <c:v>Güney kore</c:v>
                      </c:pt>
                      <c:pt idx="20">
                        <c:v>Letonya</c:v>
                      </c:pt>
                      <c:pt idx="21">
                        <c:v>Litvanya</c:v>
                      </c:pt>
                      <c:pt idx="22">
                        <c:v>Lüksemburg</c:v>
                      </c:pt>
                      <c:pt idx="23">
                        <c:v>Meksika</c:v>
                      </c:pt>
                      <c:pt idx="24">
                        <c:v>Hollanda</c:v>
                      </c:pt>
                      <c:pt idx="25">
                        <c:v>Yeni zellanda</c:v>
                      </c:pt>
                      <c:pt idx="26">
                        <c:v>Norveç</c:v>
                      </c:pt>
                      <c:pt idx="27">
                        <c:v>Polonya</c:v>
                      </c:pt>
                      <c:pt idx="28">
                        <c:v>Portekiz</c:v>
                      </c:pt>
                      <c:pt idx="29">
                        <c:v>Slovakya</c:v>
                      </c:pt>
                      <c:pt idx="30">
                        <c:v>Slovenya</c:v>
                      </c:pt>
                      <c:pt idx="31">
                        <c:v>İspanya</c:v>
                      </c:pt>
                      <c:pt idx="32">
                        <c:v>İsveç</c:v>
                      </c:pt>
                      <c:pt idx="33">
                        <c:v>İsviçre</c:v>
                      </c:pt>
                      <c:pt idx="34">
                        <c:v>Türkiye</c:v>
                      </c:pt>
                      <c:pt idx="35">
                        <c:v>İngiltere</c:v>
                      </c:pt>
                      <c:pt idx="36">
                        <c:v>ABD</c:v>
                      </c:pt>
                      <c:pt idx="37">
                        <c:v>OECD</c:v>
                      </c:pt>
                    </c:strCache>
                  </c:strRef>
                </c:cat>
                <c:val>
                  <c:numRef>
                    <c:extLst>
                      <c:ext uri="{02D57815-91ED-43cb-92C2-25804820EDAC}">
                        <c15:formulaRef>
                          <c15:sqref>Sayfa1!$B$2:$B$39</c15:sqref>
                        </c15:formulaRef>
                      </c:ext>
                    </c:extLst>
                    <c:numCache>
                      <c:formatCode>#,##0.0_ ;\-#,##0.0\ </c:formatCode>
                      <c:ptCount val="38"/>
                      <c:pt idx="0">
                        <c:v>12.09447327204005</c:v>
                      </c:pt>
                      <c:pt idx="1">
                        <c:v>5.0982238158610969</c:v>
                      </c:pt>
                      <c:pt idx="2">
                        <c:v>17.513970199148051</c:v>
                      </c:pt>
                      <c:pt idx="3">
                        <c:v>12.674658602580539</c:v>
                      </c:pt>
                      <c:pt idx="4">
                        <c:v>25.01337210781535</c:v>
                      </c:pt>
                      <c:pt idx="5">
                        <c:v>0</c:v>
                      </c:pt>
                      <c:pt idx="6">
                        <c:v>16.97945850772874</c:v>
                      </c:pt>
                      <c:pt idx="7">
                        <c:v>6.5991849667629081</c:v>
                      </c:pt>
                      <c:pt idx="8">
                        <c:v>22.215165789515328</c:v>
                      </c:pt>
                      <c:pt idx="9">
                        <c:v>20.281690140845068</c:v>
                      </c:pt>
                      <c:pt idx="10">
                        <c:v>16.678495386799149</c:v>
                      </c:pt>
                      <c:pt idx="11">
                        <c:v>8.3917616126205097</c:v>
                      </c:pt>
                      <c:pt idx="12">
                        <c:v>29.219451587607569</c:v>
                      </c:pt>
                      <c:pt idx="13">
                        <c:v>12.68904474223474</c:v>
                      </c:pt>
                      <c:pt idx="14">
                        <c:v>4.6832517672648182</c:v>
                      </c:pt>
                      <c:pt idx="15">
                        <c:v>6.9336812163156214</c:v>
                      </c:pt>
                      <c:pt idx="16">
                        <c:v>17.34944262979948</c:v>
                      </c:pt>
                      <c:pt idx="17">
                        <c:v>29.686710319097461</c:v>
                      </c:pt>
                      <c:pt idx="18">
                        <c:v>9.1984231274638635</c:v>
                      </c:pt>
                      <c:pt idx="19">
                        <c:v>10.832243830025091</c:v>
                      </c:pt>
                      <c:pt idx="20">
                        <c:v>22.065578995242891</c:v>
                      </c:pt>
                      <c:pt idx="21">
                        <c:v>30.2</c:v>
                      </c:pt>
                      <c:pt idx="22">
                        <c:v>6.3805533250396671</c:v>
                      </c:pt>
                      <c:pt idx="23">
                        <c:v>5.0831745665341064</c:v>
                      </c:pt>
                      <c:pt idx="24">
                        <c:v>6.1039939713639786</c:v>
                      </c:pt>
                      <c:pt idx="25">
                        <c:v>13.51186824453735</c:v>
                      </c:pt>
                      <c:pt idx="26">
                        <c:v>10.476483931491099</c:v>
                      </c:pt>
                      <c:pt idx="27">
                        <c:v>35.165833711949112</c:v>
                      </c:pt>
                      <c:pt idx="28">
                        <c:v>8.6153845663707553</c:v>
                      </c:pt>
                      <c:pt idx="29">
                        <c:v>36.96123284372743</c:v>
                      </c:pt>
                      <c:pt idx="30">
                        <c:v>16.349639660747901</c:v>
                      </c:pt>
                      <c:pt idx="31">
                        <c:v>25.29404868899223</c:v>
                      </c:pt>
                      <c:pt idx="32">
                        <c:v>11.730808808396789</c:v>
                      </c:pt>
                      <c:pt idx="33">
                        <c:v>4.8064555119476884</c:v>
                      </c:pt>
                      <c:pt idx="34">
                        <c:v>13.05313830772079</c:v>
                      </c:pt>
                      <c:pt idx="35">
                        <c:v>11.749139791323071</c:v>
                      </c:pt>
                      <c:pt idx="36">
                        <c:v>9.3415619588864711</c:v>
                      </c:pt>
                      <c:pt idx="37">
                        <c:v>12.143692269636469</c:v>
                      </c:pt>
                    </c:numCache>
                  </c:numRef>
                </c:val>
                <c:extLst>
                  <c:ext xmlns:c16="http://schemas.microsoft.com/office/drawing/2014/chart" uri="{C3380CC4-5D6E-409C-BE32-E72D297353CC}">
                    <c16:uniqueId val="{00000002-132C-4F2C-AFAE-4B496376EF75}"/>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Sayfa1!$C$1</c15:sqref>
                        </c15:formulaRef>
                      </c:ext>
                    </c:extLst>
                    <c:strCache>
                      <c:ptCount val="1"/>
                      <c:pt idx="0">
                        <c:v>2005</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Sayfa1!$A$2:$A$39</c15:sqref>
                        </c15:formulaRef>
                      </c:ext>
                    </c:extLst>
                    <c:strCache>
                      <c:ptCount val="38"/>
                      <c:pt idx="0">
                        <c:v>Avustralya</c:v>
                      </c:pt>
                      <c:pt idx="1">
                        <c:v>Avusturya</c:v>
                      </c:pt>
                      <c:pt idx="2">
                        <c:v>Belçika</c:v>
                      </c:pt>
                      <c:pt idx="3">
                        <c:v>Kanada</c:v>
                      </c:pt>
                      <c:pt idx="4">
                        <c:v>Şili</c:v>
                      </c:pt>
                      <c:pt idx="5">
                        <c:v>Kolombiya</c:v>
                      </c:pt>
                      <c:pt idx="6">
                        <c:v>Çekya</c:v>
                      </c:pt>
                      <c:pt idx="7">
                        <c:v>Danimarka</c:v>
                      </c:pt>
                      <c:pt idx="8">
                        <c:v>Estonya</c:v>
                      </c:pt>
                      <c:pt idx="9">
                        <c:v>Finlandiya</c:v>
                      </c:pt>
                      <c:pt idx="10">
                        <c:v>Fransa</c:v>
                      </c:pt>
                      <c:pt idx="11">
                        <c:v>Almanya</c:v>
                      </c:pt>
                      <c:pt idx="12">
                        <c:v>Yunanistan</c:v>
                      </c:pt>
                      <c:pt idx="13">
                        <c:v>Macaristan</c:v>
                      </c:pt>
                      <c:pt idx="14">
                        <c:v>İzlanda</c:v>
                      </c:pt>
                      <c:pt idx="15">
                        <c:v>İrlanda</c:v>
                      </c:pt>
                      <c:pt idx="16">
                        <c:v>İsrail</c:v>
                      </c:pt>
                      <c:pt idx="17">
                        <c:v>İtalya</c:v>
                      </c:pt>
                      <c:pt idx="18">
                        <c:v>Japonya</c:v>
                      </c:pt>
                      <c:pt idx="19">
                        <c:v>Güney kore</c:v>
                      </c:pt>
                      <c:pt idx="20">
                        <c:v>Letonya</c:v>
                      </c:pt>
                      <c:pt idx="21">
                        <c:v>Litvanya</c:v>
                      </c:pt>
                      <c:pt idx="22">
                        <c:v>Lüksemburg</c:v>
                      </c:pt>
                      <c:pt idx="23">
                        <c:v>Meksika</c:v>
                      </c:pt>
                      <c:pt idx="24">
                        <c:v>Hollanda</c:v>
                      </c:pt>
                      <c:pt idx="25">
                        <c:v>Yeni zellanda</c:v>
                      </c:pt>
                      <c:pt idx="26">
                        <c:v>Norveç</c:v>
                      </c:pt>
                      <c:pt idx="27">
                        <c:v>Polonya</c:v>
                      </c:pt>
                      <c:pt idx="28">
                        <c:v>Portekiz</c:v>
                      </c:pt>
                      <c:pt idx="29">
                        <c:v>Slovakya</c:v>
                      </c:pt>
                      <c:pt idx="30">
                        <c:v>Slovenya</c:v>
                      </c:pt>
                      <c:pt idx="31">
                        <c:v>İspanya</c:v>
                      </c:pt>
                      <c:pt idx="32">
                        <c:v>İsveç</c:v>
                      </c:pt>
                      <c:pt idx="33">
                        <c:v>İsviçre</c:v>
                      </c:pt>
                      <c:pt idx="34">
                        <c:v>Türkiye</c:v>
                      </c:pt>
                      <c:pt idx="35">
                        <c:v>İngiltere</c:v>
                      </c:pt>
                      <c:pt idx="36">
                        <c:v>ABD</c:v>
                      </c:pt>
                      <c:pt idx="37">
                        <c:v>OECD</c:v>
                      </c:pt>
                    </c:strCache>
                  </c:strRef>
                </c:cat>
                <c:val>
                  <c:numRef>
                    <c:extLst xmlns:c15="http://schemas.microsoft.com/office/drawing/2012/chart">
                      <c:ext xmlns:c15="http://schemas.microsoft.com/office/drawing/2012/chart" uri="{02D57815-91ED-43cb-92C2-25804820EDAC}">
                        <c15:formulaRef>
                          <c15:sqref>Sayfa1!$C$2:$C$39</c15:sqref>
                        </c15:formulaRef>
                      </c:ext>
                    </c:extLst>
                    <c:numCache>
                      <c:formatCode>#,##0.0_ ;\-#,##0.0\ </c:formatCode>
                      <c:ptCount val="38"/>
                      <c:pt idx="0">
                        <c:v>10.62274056214614</c:v>
                      </c:pt>
                      <c:pt idx="1">
                        <c:v>11.00105893073945</c:v>
                      </c:pt>
                      <c:pt idx="2">
                        <c:v>21.481729410304322</c:v>
                      </c:pt>
                      <c:pt idx="3">
                        <c:v>12.396694493240309</c:v>
                      </c:pt>
                      <c:pt idx="4">
                        <c:v>23.42203151057441</c:v>
                      </c:pt>
                      <c:pt idx="5">
                        <c:v>23.761027507374841</c:v>
                      </c:pt>
                      <c:pt idx="6">
                        <c:v>19.25587467362924</c:v>
                      </c:pt>
                      <c:pt idx="7">
                        <c:v>8.6142093922747254</c:v>
                      </c:pt>
                      <c:pt idx="8">
                        <c:v>14.73815850846243</c:v>
                      </c:pt>
                      <c:pt idx="9">
                        <c:v>18.87905604719764</c:v>
                      </c:pt>
                      <c:pt idx="10">
                        <c:v>20.929443690637719</c:v>
                      </c:pt>
                      <c:pt idx="11">
                        <c:v>15.19038892282631</c:v>
                      </c:pt>
                      <c:pt idx="12">
                        <c:v>25.777602803168879</c:v>
                      </c:pt>
                      <c:pt idx="13">
                        <c:v>19.425087130325849</c:v>
                      </c:pt>
                      <c:pt idx="14">
                        <c:v>7.2172225163225692</c:v>
                      </c:pt>
                      <c:pt idx="15">
                        <c:v>8.5645934374073605</c:v>
                      </c:pt>
                      <c:pt idx="16">
                        <c:v>17.887197564152089</c:v>
                      </c:pt>
                      <c:pt idx="17">
                        <c:v>24.117901943515601</c:v>
                      </c:pt>
                      <c:pt idx="18">
                        <c:v>8.6477987421383649</c:v>
                      </c:pt>
                      <c:pt idx="19">
                        <c:v>10.151843656040301</c:v>
                      </c:pt>
                      <c:pt idx="20">
                        <c:v>15.14570679050764</c:v>
                      </c:pt>
                      <c:pt idx="21">
                        <c:v>15.8</c:v>
                      </c:pt>
                      <c:pt idx="22">
                        <c:v>13.689123229543521</c:v>
                      </c:pt>
                      <c:pt idx="23">
                        <c:v>6.9244217074963821</c:v>
                      </c:pt>
                      <c:pt idx="24">
                        <c:v>11.847999703726581</c:v>
                      </c:pt>
                      <c:pt idx="25">
                        <c:v>9.7527844715075815</c:v>
                      </c:pt>
                      <c:pt idx="26">
                        <c:v>11.488416131443611</c:v>
                      </c:pt>
                      <c:pt idx="27">
                        <c:v>37.772448707700498</c:v>
                      </c:pt>
                      <c:pt idx="28">
                        <c:v>16.220211009844359</c:v>
                      </c:pt>
                      <c:pt idx="29">
                        <c:v>29.881101376720899</c:v>
                      </c:pt>
                      <c:pt idx="30">
                        <c:v>15.945090543431</c:v>
                      </c:pt>
                      <c:pt idx="31">
                        <c:v>19.6311745592741</c:v>
                      </c:pt>
                      <c:pt idx="32">
                        <c:v>21.994134897360698</c:v>
                      </c:pt>
                      <c:pt idx="33">
                        <c:v>8.7614885149247304</c:v>
                      </c:pt>
                      <c:pt idx="34">
                        <c:v>19.882777276825969</c:v>
                      </c:pt>
                      <c:pt idx="35">
                        <c:v>12.93884487140787</c:v>
                      </c:pt>
                      <c:pt idx="36">
                        <c:v>11.30949710645552</c:v>
                      </c:pt>
                      <c:pt idx="37">
                        <c:v>14.10862658472162</c:v>
                      </c:pt>
                    </c:numCache>
                  </c:numRef>
                </c:val>
                <c:extLst xmlns:c15="http://schemas.microsoft.com/office/drawing/2012/chart">
                  <c:ext xmlns:c16="http://schemas.microsoft.com/office/drawing/2014/chart" uri="{C3380CC4-5D6E-409C-BE32-E72D297353CC}">
                    <c16:uniqueId val="{00000003-132C-4F2C-AFAE-4B496376EF75}"/>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Sayfa1!$D$1</c15:sqref>
                        </c15:formulaRef>
                      </c:ext>
                    </c:extLst>
                    <c:strCache>
                      <c:ptCount val="1"/>
                      <c:pt idx="0">
                        <c:v>2010</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Sayfa1!$A$2:$A$39</c15:sqref>
                        </c15:formulaRef>
                      </c:ext>
                    </c:extLst>
                    <c:strCache>
                      <c:ptCount val="38"/>
                      <c:pt idx="0">
                        <c:v>Avustralya</c:v>
                      </c:pt>
                      <c:pt idx="1">
                        <c:v>Avusturya</c:v>
                      </c:pt>
                      <c:pt idx="2">
                        <c:v>Belçika</c:v>
                      </c:pt>
                      <c:pt idx="3">
                        <c:v>Kanada</c:v>
                      </c:pt>
                      <c:pt idx="4">
                        <c:v>Şili</c:v>
                      </c:pt>
                      <c:pt idx="5">
                        <c:v>Kolombiya</c:v>
                      </c:pt>
                      <c:pt idx="6">
                        <c:v>Çekya</c:v>
                      </c:pt>
                      <c:pt idx="7">
                        <c:v>Danimarka</c:v>
                      </c:pt>
                      <c:pt idx="8">
                        <c:v>Estonya</c:v>
                      </c:pt>
                      <c:pt idx="9">
                        <c:v>Finlandiya</c:v>
                      </c:pt>
                      <c:pt idx="10">
                        <c:v>Fransa</c:v>
                      </c:pt>
                      <c:pt idx="11">
                        <c:v>Almanya</c:v>
                      </c:pt>
                      <c:pt idx="12">
                        <c:v>Yunanistan</c:v>
                      </c:pt>
                      <c:pt idx="13">
                        <c:v>Macaristan</c:v>
                      </c:pt>
                      <c:pt idx="14">
                        <c:v>İzlanda</c:v>
                      </c:pt>
                      <c:pt idx="15">
                        <c:v>İrlanda</c:v>
                      </c:pt>
                      <c:pt idx="16">
                        <c:v>İsrail</c:v>
                      </c:pt>
                      <c:pt idx="17">
                        <c:v>İtalya</c:v>
                      </c:pt>
                      <c:pt idx="18">
                        <c:v>Japonya</c:v>
                      </c:pt>
                      <c:pt idx="19">
                        <c:v>Güney kore</c:v>
                      </c:pt>
                      <c:pt idx="20">
                        <c:v>Letonya</c:v>
                      </c:pt>
                      <c:pt idx="21">
                        <c:v>Litvanya</c:v>
                      </c:pt>
                      <c:pt idx="22">
                        <c:v>Lüksemburg</c:v>
                      </c:pt>
                      <c:pt idx="23">
                        <c:v>Meksika</c:v>
                      </c:pt>
                      <c:pt idx="24">
                        <c:v>Hollanda</c:v>
                      </c:pt>
                      <c:pt idx="25">
                        <c:v>Yeni zellanda</c:v>
                      </c:pt>
                      <c:pt idx="26">
                        <c:v>Norveç</c:v>
                      </c:pt>
                      <c:pt idx="27">
                        <c:v>Polonya</c:v>
                      </c:pt>
                      <c:pt idx="28">
                        <c:v>Portekiz</c:v>
                      </c:pt>
                      <c:pt idx="29">
                        <c:v>Slovakya</c:v>
                      </c:pt>
                      <c:pt idx="30">
                        <c:v>Slovenya</c:v>
                      </c:pt>
                      <c:pt idx="31">
                        <c:v>İspanya</c:v>
                      </c:pt>
                      <c:pt idx="32">
                        <c:v>İsveç</c:v>
                      </c:pt>
                      <c:pt idx="33">
                        <c:v>İsviçre</c:v>
                      </c:pt>
                      <c:pt idx="34">
                        <c:v>Türkiye</c:v>
                      </c:pt>
                      <c:pt idx="35">
                        <c:v>İngiltere</c:v>
                      </c:pt>
                      <c:pt idx="36">
                        <c:v>ABD</c:v>
                      </c:pt>
                      <c:pt idx="37">
                        <c:v>OECD</c:v>
                      </c:pt>
                    </c:strCache>
                  </c:strRef>
                </c:cat>
                <c:val>
                  <c:numRef>
                    <c:extLst xmlns:c15="http://schemas.microsoft.com/office/drawing/2012/chart">
                      <c:ext xmlns:c15="http://schemas.microsoft.com/office/drawing/2012/chart" uri="{02D57815-91ED-43cb-92C2-25804820EDAC}">
                        <c15:formulaRef>
                          <c15:sqref>Sayfa1!$D$2:$D$39</c15:sqref>
                        </c15:formulaRef>
                      </c:ext>
                    </c:extLst>
                    <c:numCache>
                      <c:formatCode>#,##0.0_ ;\-#,##0.0\ </c:formatCode>
                      <c:ptCount val="38"/>
                      <c:pt idx="0">
                        <c:v>11.552488462379459</c:v>
                      </c:pt>
                      <c:pt idx="1">
                        <c:v>9.4746568942450917</c:v>
                      </c:pt>
                      <c:pt idx="2">
                        <c:v>22.398885931311121</c:v>
                      </c:pt>
                      <c:pt idx="3">
                        <c:v>14.914331526936129</c:v>
                      </c:pt>
                      <c:pt idx="4">
                        <c:v>18.563383020556689</c:v>
                      </c:pt>
                      <c:pt idx="5">
                        <c:v>23.30443141523158</c:v>
                      </c:pt>
                      <c:pt idx="6">
                        <c:v>18.34178511653468</c:v>
                      </c:pt>
                      <c:pt idx="7">
                        <c:v>15.59570180468164</c:v>
                      </c:pt>
                      <c:pt idx="8">
                        <c:v>31.964711884453251</c:v>
                      </c:pt>
                      <c:pt idx="9">
                        <c:v>20.298507462686569</c:v>
                      </c:pt>
                      <c:pt idx="10">
                        <c:v>23.258958755916161</c:v>
                      </c:pt>
                      <c:pt idx="11">
                        <c:v>9.6917229729729737</c:v>
                      </c:pt>
                      <c:pt idx="12">
                        <c:v>32.95103185962023</c:v>
                      </c:pt>
                      <c:pt idx="13">
                        <c:v>26.4010810326638</c:v>
                      </c:pt>
                      <c:pt idx="14">
                        <c:v>16.17261120104121</c:v>
                      </c:pt>
                      <c:pt idx="15">
                        <c:v>28.143648119684489</c:v>
                      </c:pt>
                      <c:pt idx="16">
                        <c:v>14.250292823527211</c:v>
                      </c:pt>
                      <c:pt idx="17">
                        <c:v>27.903370680942938</c:v>
                      </c:pt>
                      <c:pt idx="18">
                        <c:v>9.2224231464737798</c:v>
                      </c:pt>
                      <c:pt idx="19">
                        <c:v>9.743111779954468</c:v>
                      </c:pt>
                      <c:pt idx="20">
                        <c:v>36.151325933460761</c:v>
                      </c:pt>
                      <c:pt idx="21">
                        <c:v>35.700000000000003</c:v>
                      </c:pt>
                      <c:pt idx="22">
                        <c:v>14.234124809726559</c:v>
                      </c:pt>
                      <c:pt idx="23">
                        <c:v>9.7669277779707073</c:v>
                      </c:pt>
                      <c:pt idx="24">
                        <c:v>11.073953150198641</c:v>
                      </c:pt>
                      <c:pt idx="25">
                        <c:v>17.420937648905181</c:v>
                      </c:pt>
                      <c:pt idx="26">
                        <c:v>9.2854164154713619</c:v>
                      </c:pt>
                      <c:pt idx="27">
                        <c:v>23.666666666666671</c:v>
                      </c:pt>
                      <c:pt idx="28">
                        <c:v>22.75878553607587</c:v>
                      </c:pt>
                      <c:pt idx="29">
                        <c:v>33.633530073589398</c:v>
                      </c:pt>
                      <c:pt idx="30">
                        <c:v>14.65231385624455</c:v>
                      </c:pt>
                      <c:pt idx="31">
                        <c:v>41.480582296614543</c:v>
                      </c:pt>
                      <c:pt idx="32">
                        <c:v>24.773366677086589</c:v>
                      </c:pt>
                      <c:pt idx="33">
                        <c:v>8.2172616052104708</c:v>
                      </c:pt>
                      <c:pt idx="34">
                        <c:v>21.73520108450068</c:v>
                      </c:pt>
                      <c:pt idx="35">
                        <c:v>19.48124866132115</c:v>
                      </c:pt>
                      <c:pt idx="36">
                        <c:v>18.420675488463189</c:v>
                      </c:pt>
                      <c:pt idx="37">
                        <c:v>17.264705619443411</c:v>
                      </c:pt>
                    </c:numCache>
                  </c:numRef>
                </c:val>
                <c:extLst xmlns:c15="http://schemas.microsoft.com/office/drawing/2012/chart">
                  <c:ext xmlns:c16="http://schemas.microsoft.com/office/drawing/2014/chart" uri="{C3380CC4-5D6E-409C-BE32-E72D297353CC}">
                    <c16:uniqueId val="{00000004-132C-4F2C-AFAE-4B496376EF75}"/>
                  </c:ext>
                </c:extLst>
              </c15:ser>
            </c15:filteredBarSeries>
          </c:ext>
        </c:extLst>
      </c:barChart>
      <c:catAx>
        <c:axId val="190390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90390936"/>
        <c:crosses val="autoZero"/>
        <c:auto val="1"/>
        <c:lblAlgn val="ctr"/>
        <c:lblOffset val="100"/>
        <c:noMultiLvlLbl val="0"/>
      </c:catAx>
      <c:valAx>
        <c:axId val="190390936"/>
        <c:scaling>
          <c:orientation val="minMax"/>
        </c:scaling>
        <c:delete val="0"/>
        <c:axPos val="l"/>
        <c:majorGridlines>
          <c:spPr>
            <a:ln w="9525" cap="flat" cmpd="sng" algn="ctr">
              <a:solidFill>
                <a:schemeClr val="tx1">
                  <a:lumMod val="15000"/>
                  <a:lumOff val="85000"/>
                </a:schemeClr>
              </a:solidFill>
              <a:round/>
            </a:ln>
            <a:effectLst/>
          </c:spPr>
        </c:majorGridlines>
        <c:numFmt formatCode="#,##0.0_ ;\-#,##0.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90390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'[2019 yılı eğitime göre işsizlik oranları.xlsx]Sayfa1'!$B$1</c:f>
              <c:strCache>
                <c:ptCount val="1"/>
                <c:pt idx="0">
                  <c:v>Düşük eğitimli</c:v>
                </c:pt>
              </c:strCache>
            </c:strRef>
          </c:tx>
          <c:spPr>
            <a:solidFill>
              <a:schemeClr val="accent1"/>
            </a:solidFill>
            <a:ln>
              <a:noFill/>
            </a:ln>
            <a:effectLst/>
          </c:spPr>
          <c:invertIfNegative val="0"/>
          <c:cat>
            <c:strRef>
              <c:f>'[2019 yılı eğitime göre işsizlik oranları.xlsx]Sayfa1'!$A$2:$A$38</c:f>
              <c:strCache>
                <c:ptCount val="37"/>
                <c:pt idx="0">
                  <c:v>Avustralya</c:v>
                </c:pt>
                <c:pt idx="1">
                  <c:v>Avusturya</c:v>
                </c:pt>
                <c:pt idx="2">
                  <c:v>Belçika</c:v>
                </c:pt>
                <c:pt idx="3">
                  <c:v>Kanada</c:v>
                </c:pt>
                <c:pt idx="4">
                  <c:v>Kolombiya</c:v>
                </c:pt>
                <c:pt idx="5">
                  <c:v>Çekya</c:v>
                </c:pt>
                <c:pt idx="6">
                  <c:v>Danimarka</c:v>
                </c:pt>
                <c:pt idx="7">
                  <c:v>Estonya</c:v>
                </c:pt>
                <c:pt idx="8">
                  <c:v>Finlandiya</c:v>
                </c:pt>
                <c:pt idx="9">
                  <c:v>Fransa</c:v>
                </c:pt>
                <c:pt idx="10">
                  <c:v>Almanya</c:v>
                </c:pt>
                <c:pt idx="11">
                  <c:v>Yunanistan</c:v>
                </c:pt>
                <c:pt idx="12">
                  <c:v>Macaristan</c:v>
                </c:pt>
                <c:pt idx="13">
                  <c:v>İzlanda</c:v>
                </c:pt>
                <c:pt idx="14">
                  <c:v>İrlanda</c:v>
                </c:pt>
                <c:pt idx="15">
                  <c:v>İsrail</c:v>
                </c:pt>
                <c:pt idx="16">
                  <c:v>İtalya</c:v>
                </c:pt>
                <c:pt idx="17">
                  <c:v>Japonya</c:v>
                </c:pt>
                <c:pt idx="18">
                  <c:v>Güney Kore</c:v>
                </c:pt>
                <c:pt idx="19">
                  <c:v>Letonya</c:v>
                </c:pt>
                <c:pt idx="20">
                  <c:v>Litvanya</c:v>
                </c:pt>
                <c:pt idx="21">
                  <c:v>Lüksemburg</c:v>
                </c:pt>
                <c:pt idx="22">
                  <c:v>Meksika</c:v>
                </c:pt>
                <c:pt idx="23">
                  <c:v>Hollanda</c:v>
                </c:pt>
                <c:pt idx="24">
                  <c:v>Yeni zellanda</c:v>
                </c:pt>
                <c:pt idx="25">
                  <c:v>Norveç</c:v>
                </c:pt>
                <c:pt idx="26">
                  <c:v>Polonya</c:v>
                </c:pt>
                <c:pt idx="27">
                  <c:v>Portekiz</c:v>
                </c:pt>
                <c:pt idx="28">
                  <c:v>Slovakya</c:v>
                </c:pt>
                <c:pt idx="29">
                  <c:v>Slovenya</c:v>
                </c:pt>
                <c:pt idx="30">
                  <c:v>İspanya</c:v>
                </c:pt>
                <c:pt idx="31">
                  <c:v>İsveç</c:v>
                </c:pt>
                <c:pt idx="32">
                  <c:v>İsviçre</c:v>
                </c:pt>
                <c:pt idx="33">
                  <c:v>Türkiye</c:v>
                </c:pt>
                <c:pt idx="34">
                  <c:v>İngiltere</c:v>
                </c:pt>
                <c:pt idx="35">
                  <c:v>ABD</c:v>
                </c:pt>
                <c:pt idx="36">
                  <c:v>OECD</c:v>
                </c:pt>
              </c:strCache>
            </c:strRef>
          </c:cat>
          <c:val>
            <c:numRef>
              <c:f>'[2019 yılı eğitime göre işsizlik oranları.xlsx]Sayfa1'!$B$2:$B$38</c:f>
              <c:numCache>
                <c:formatCode>General</c:formatCode>
                <c:ptCount val="37"/>
                <c:pt idx="0">
                  <c:v>5.9</c:v>
                </c:pt>
                <c:pt idx="1">
                  <c:v>10</c:v>
                </c:pt>
                <c:pt idx="2">
                  <c:v>10.4</c:v>
                </c:pt>
                <c:pt idx="3">
                  <c:v>8.6</c:v>
                </c:pt>
                <c:pt idx="4">
                  <c:v>7.3</c:v>
                </c:pt>
                <c:pt idx="5">
                  <c:v>10.200000000000001</c:v>
                </c:pt>
                <c:pt idx="6">
                  <c:v>6.2</c:v>
                </c:pt>
                <c:pt idx="7">
                  <c:v>7.8</c:v>
                </c:pt>
                <c:pt idx="8">
                  <c:v>10.7</c:v>
                </c:pt>
                <c:pt idx="9">
                  <c:v>13.5</c:v>
                </c:pt>
                <c:pt idx="10">
                  <c:v>7.7</c:v>
                </c:pt>
                <c:pt idx="11">
                  <c:v>20</c:v>
                </c:pt>
                <c:pt idx="12">
                  <c:v>8.1</c:v>
                </c:pt>
                <c:pt idx="13">
                  <c:v>3.2</c:v>
                </c:pt>
                <c:pt idx="14">
                  <c:v>6.6</c:v>
                </c:pt>
                <c:pt idx="15">
                  <c:v>4.2</c:v>
                </c:pt>
                <c:pt idx="16">
                  <c:v>12.8</c:v>
                </c:pt>
                <c:pt idx="18">
                  <c:v>3.9</c:v>
                </c:pt>
                <c:pt idx="19">
                  <c:v>11</c:v>
                </c:pt>
                <c:pt idx="20">
                  <c:v>17.3</c:v>
                </c:pt>
                <c:pt idx="21">
                  <c:v>5.5</c:v>
                </c:pt>
                <c:pt idx="22">
                  <c:v>2.2999999999999998</c:v>
                </c:pt>
                <c:pt idx="23">
                  <c:v>4.2</c:v>
                </c:pt>
                <c:pt idx="24">
                  <c:v>4.5999999999999996</c:v>
                </c:pt>
                <c:pt idx="25">
                  <c:v>6</c:v>
                </c:pt>
                <c:pt idx="26">
                  <c:v>8.2000000000000011</c:v>
                </c:pt>
                <c:pt idx="27">
                  <c:v>6.4</c:v>
                </c:pt>
                <c:pt idx="28">
                  <c:v>27.9</c:v>
                </c:pt>
                <c:pt idx="29">
                  <c:v>9.1</c:v>
                </c:pt>
                <c:pt idx="30">
                  <c:v>18.899999999999999</c:v>
                </c:pt>
                <c:pt idx="31">
                  <c:v>14.1</c:v>
                </c:pt>
                <c:pt idx="32">
                  <c:v>8.1</c:v>
                </c:pt>
                <c:pt idx="33">
                  <c:v>12.4</c:v>
                </c:pt>
                <c:pt idx="34">
                  <c:v>4.9000000000000004</c:v>
                </c:pt>
                <c:pt idx="35">
                  <c:v>6.5</c:v>
                </c:pt>
                <c:pt idx="36">
                  <c:v>9.3000000000000007</c:v>
                </c:pt>
              </c:numCache>
            </c:numRef>
          </c:val>
          <c:extLst>
            <c:ext xmlns:c16="http://schemas.microsoft.com/office/drawing/2014/chart" uri="{C3380CC4-5D6E-409C-BE32-E72D297353CC}">
              <c16:uniqueId val="{00000000-0DB9-4943-BB28-2A2EBAA284B0}"/>
            </c:ext>
          </c:extLst>
        </c:ser>
        <c:ser>
          <c:idx val="1"/>
          <c:order val="1"/>
          <c:tx>
            <c:strRef>
              <c:f>'[2019 yılı eğitime göre işsizlik oranları.xlsx]Sayfa1'!$C$1</c:f>
              <c:strCache>
                <c:ptCount val="1"/>
                <c:pt idx="0">
                  <c:v>Orta eğitimli</c:v>
                </c:pt>
              </c:strCache>
            </c:strRef>
          </c:tx>
          <c:spPr>
            <a:solidFill>
              <a:schemeClr val="accent2"/>
            </a:solidFill>
            <a:ln>
              <a:noFill/>
            </a:ln>
            <a:effectLst/>
          </c:spPr>
          <c:invertIfNegative val="0"/>
          <c:cat>
            <c:strRef>
              <c:f>'[2019 yılı eğitime göre işsizlik oranları.xlsx]Sayfa1'!$A$2:$A$38</c:f>
              <c:strCache>
                <c:ptCount val="37"/>
                <c:pt idx="0">
                  <c:v>Avustralya</c:v>
                </c:pt>
                <c:pt idx="1">
                  <c:v>Avusturya</c:v>
                </c:pt>
                <c:pt idx="2">
                  <c:v>Belçika</c:v>
                </c:pt>
                <c:pt idx="3">
                  <c:v>Kanada</c:v>
                </c:pt>
                <c:pt idx="4">
                  <c:v>Kolombiya</c:v>
                </c:pt>
                <c:pt idx="5">
                  <c:v>Çekya</c:v>
                </c:pt>
                <c:pt idx="6">
                  <c:v>Danimarka</c:v>
                </c:pt>
                <c:pt idx="7">
                  <c:v>Estonya</c:v>
                </c:pt>
                <c:pt idx="8">
                  <c:v>Finlandiya</c:v>
                </c:pt>
                <c:pt idx="9">
                  <c:v>Fransa</c:v>
                </c:pt>
                <c:pt idx="10">
                  <c:v>Almanya</c:v>
                </c:pt>
                <c:pt idx="11">
                  <c:v>Yunanistan</c:v>
                </c:pt>
                <c:pt idx="12">
                  <c:v>Macaristan</c:v>
                </c:pt>
                <c:pt idx="13">
                  <c:v>İzlanda</c:v>
                </c:pt>
                <c:pt idx="14">
                  <c:v>İrlanda</c:v>
                </c:pt>
                <c:pt idx="15">
                  <c:v>İsrail</c:v>
                </c:pt>
                <c:pt idx="16">
                  <c:v>İtalya</c:v>
                </c:pt>
                <c:pt idx="17">
                  <c:v>Japonya</c:v>
                </c:pt>
                <c:pt idx="18">
                  <c:v>Güney Kore</c:v>
                </c:pt>
                <c:pt idx="19">
                  <c:v>Letonya</c:v>
                </c:pt>
                <c:pt idx="20">
                  <c:v>Litvanya</c:v>
                </c:pt>
                <c:pt idx="21">
                  <c:v>Lüksemburg</c:v>
                </c:pt>
                <c:pt idx="22">
                  <c:v>Meksika</c:v>
                </c:pt>
                <c:pt idx="23">
                  <c:v>Hollanda</c:v>
                </c:pt>
                <c:pt idx="24">
                  <c:v>Yeni zellanda</c:v>
                </c:pt>
                <c:pt idx="25">
                  <c:v>Norveç</c:v>
                </c:pt>
                <c:pt idx="26">
                  <c:v>Polonya</c:v>
                </c:pt>
                <c:pt idx="27">
                  <c:v>Portekiz</c:v>
                </c:pt>
                <c:pt idx="28">
                  <c:v>Slovakya</c:v>
                </c:pt>
                <c:pt idx="29">
                  <c:v>Slovenya</c:v>
                </c:pt>
                <c:pt idx="30">
                  <c:v>İspanya</c:v>
                </c:pt>
                <c:pt idx="31">
                  <c:v>İsveç</c:v>
                </c:pt>
                <c:pt idx="32">
                  <c:v>İsviçre</c:v>
                </c:pt>
                <c:pt idx="33">
                  <c:v>Türkiye</c:v>
                </c:pt>
                <c:pt idx="34">
                  <c:v>İngiltere</c:v>
                </c:pt>
                <c:pt idx="35">
                  <c:v>ABD</c:v>
                </c:pt>
                <c:pt idx="36">
                  <c:v>OECD</c:v>
                </c:pt>
              </c:strCache>
            </c:strRef>
          </c:cat>
          <c:val>
            <c:numRef>
              <c:f>'[2019 yılı eğitime göre işsizlik oranları.xlsx]Sayfa1'!$C$2:$C$38</c:f>
              <c:numCache>
                <c:formatCode>General</c:formatCode>
                <c:ptCount val="37"/>
                <c:pt idx="0">
                  <c:v>4.0999999999999996</c:v>
                </c:pt>
                <c:pt idx="1">
                  <c:v>3.6</c:v>
                </c:pt>
                <c:pt idx="2">
                  <c:v>4.5999999999999996</c:v>
                </c:pt>
                <c:pt idx="3">
                  <c:v>5.8</c:v>
                </c:pt>
                <c:pt idx="4">
                  <c:v>9.7000000000000011</c:v>
                </c:pt>
                <c:pt idx="5">
                  <c:v>1.6</c:v>
                </c:pt>
                <c:pt idx="6">
                  <c:v>3.5</c:v>
                </c:pt>
                <c:pt idx="7">
                  <c:v>4.5999999999999996</c:v>
                </c:pt>
                <c:pt idx="8">
                  <c:v>6.2</c:v>
                </c:pt>
                <c:pt idx="9">
                  <c:v>7.9</c:v>
                </c:pt>
                <c:pt idx="10">
                  <c:v>2.6</c:v>
                </c:pt>
                <c:pt idx="11">
                  <c:v>18.8</c:v>
                </c:pt>
                <c:pt idx="12">
                  <c:v>2.5</c:v>
                </c:pt>
                <c:pt idx="13">
                  <c:v>3</c:v>
                </c:pt>
                <c:pt idx="14">
                  <c:v>4.5999999999999996</c:v>
                </c:pt>
                <c:pt idx="15">
                  <c:v>4</c:v>
                </c:pt>
                <c:pt idx="16">
                  <c:v>8</c:v>
                </c:pt>
                <c:pt idx="18">
                  <c:v>3.5</c:v>
                </c:pt>
                <c:pt idx="19">
                  <c:v>7</c:v>
                </c:pt>
                <c:pt idx="20">
                  <c:v>8</c:v>
                </c:pt>
                <c:pt idx="21">
                  <c:v>5.2</c:v>
                </c:pt>
                <c:pt idx="22">
                  <c:v>3.1</c:v>
                </c:pt>
                <c:pt idx="23">
                  <c:v>2.8</c:v>
                </c:pt>
                <c:pt idx="24">
                  <c:v>2.9</c:v>
                </c:pt>
                <c:pt idx="25">
                  <c:v>2.7</c:v>
                </c:pt>
                <c:pt idx="26">
                  <c:v>3</c:v>
                </c:pt>
                <c:pt idx="27">
                  <c:v>5.8</c:v>
                </c:pt>
                <c:pt idx="28">
                  <c:v>4.4000000000000004</c:v>
                </c:pt>
                <c:pt idx="29">
                  <c:v>4.4000000000000004</c:v>
                </c:pt>
                <c:pt idx="30">
                  <c:v>12.7</c:v>
                </c:pt>
                <c:pt idx="31">
                  <c:v>3.8</c:v>
                </c:pt>
                <c:pt idx="32">
                  <c:v>4</c:v>
                </c:pt>
                <c:pt idx="33">
                  <c:v>11.9</c:v>
                </c:pt>
                <c:pt idx="34">
                  <c:v>2.7</c:v>
                </c:pt>
                <c:pt idx="35">
                  <c:v>4</c:v>
                </c:pt>
                <c:pt idx="36">
                  <c:v>5.4</c:v>
                </c:pt>
              </c:numCache>
            </c:numRef>
          </c:val>
          <c:extLst>
            <c:ext xmlns:c16="http://schemas.microsoft.com/office/drawing/2014/chart" uri="{C3380CC4-5D6E-409C-BE32-E72D297353CC}">
              <c16:uniqueId val="{00000001-0DB9-4943-BB28-2A2EBAA284B0}"/>
            </c:ext>
          </c:extLst>
        </c:ser>
        <c:ser>
          <c:idx val="2"/>
          <c:order val="2"/>
          <c:tx>
            <c:strRef>
              <c:f>'[2019 yılı eğitime göre işsizlik oranları.xlsx]Sayfa1'!$D$1</c:f>
              <c:strCache>
                <c:ptCount val="1"/>
                <c:pt idx="0">
                  <c:v>Yüksek eğitimli</c:v>
                </c:pt>
              </c:strCache>
            </c:strRef>
          </c:tx>
          <c:spPr>
            <a:solidFill>
              <a:schemeClr val="accent3"/>
            </a:solidFill>
            <a:ln>
              <a:noFill/>
            </a:ln>
            <a:effectLst/>
          </c:spPr>
          <c:invertIfNegative val="0"/>
          <c:cat>
            <c:strRef>
              <c:f>'[2019 yılı eğitime göre işsizlik oranları.xlsx]Sayfa1'!$A$2:$A$38</c:f>
              <c:strCache>
                <c:ptCount val="37"/>
                <c:pt idx="0">
                  <c:v>Avustralya</c:v>
                </c:pt>
                <c:pt idx="1">
                  <c:v>Avusturya</c:v>
                </c:pt>
                <c:pt idx="2">
                  <c:v>Belçika</c:v>
                </c:pt>
                <c:pt idx="3">
                  <c:v>Kanada</c:v>
                </c:pt>
                <c:pt idx="4">
                  <c:v>Kolombiya</c:v>
                </c:pt>
                <c:pt idx="5">
                  <c:v>Çekya</c:v>
                </c:pt>
                <c:pt idx="6">
                  <c:v>Danimarka</c:v>
                </c:pt>
                <c:pt idx="7">
                  <c:v>Estonya</c:v>
                </c:pt>
                <c:pt idx="8">
                  <c:v>Finlandiya</c:v>
                </c:pt>
                <c:pt idx="9">
                  <c:v>Fransa</c:v>
                </c:pt>
                <c:pt idx="10">
                  <c:v>Almanya</c:v>
                </c:pt>
                <c:pt idx="11">
                  <c:v>Yunanistan</c:v>
                </c:pt>
                <c:pt idx="12">
                  <c:v>Macaristan</c:v>
                </c:pt>
                <c:pt idx="13">
                  <c:v>İzlanda</c:v>
                </c:pt>
                <c:pt idx="14">
                  <c:v>İrlanda</c:v>
                </c:pt>
                <c:pt idx="15">
                  <c:v>İsrail</c:v>
                </c:pt>
                <c:pt idx="16">
                  <c:v>İtalya</c:v>
                </c:pt>
                <c:pt idx="17">
                  <c:v>Japonya</c:v>
                </c:pt>
                <c:pt idx="18">
                  <c:v>Güney Kore</c:v>
                </c:pt>
                <c:pt idx="19">
                  <c:v>Letonya</c:v>
                </c:pt>
                <c:pt idx="20">
                  <c:v>Litvanya</c:v>
                </c:pt>
                <c:pt idx="21">
                  <c:v>Lüksemburg</c:v>
                </c:pt>
                <c:pt idx="22">
                  <c:v>Meksika</c:v>
                </c:pt>
                <c:pt idx="23">
                  <c:v>Hollanda</c:v>
                </c:pt>
                <c:pt idx="24">
                  <c:v>Yeni zellanda</c:v>
                </c:pt>
                <c:pt idx="25">
                  <c:v>Norveç</c:v>
                </c:pt>
                <c:pt idx="26">
                  <c:v>Polonya</c:v>
                </c:pt>
                <c:pt idx="27">
                  <c:v>Portekiz</c:v>
                </c:pt>
                <c:pt idx="28">
                  <c:v>Slovakya</c:v>
                </c:pt>
                <c:pt idx="29">
                  <c:v>Slovenya</c:v>
                </c:pt>
                <c:pt idx="30">
                  <c:v>İspanya</c:v>
                </c:pt>
                <c:pt idx="31">
                  <c:v>İsveç</c:v>
                </c:pt>
                <c:pt idx="32">
                  <c:v>İsviçre</c:v>
                </c:pt>
                <c:pt idx="33">
                  <c:v>Türkiye</c:v>
                </c:pt>
                <c:pt idx="34">
                  <c:v>İngiltere</c:v>
                </c:pt>
                <c:pt idx="35">
                  <c:v>ABD</c:v>
                </c:pt>
                <c:pt idx="36">
                  <c:v>OECD</c:v>
                </c:pt>
              </c:strCache>
            </c:strRef>
          </c:cat>
          <c:val>
            <c:numRef>
              <c:f>'[2019 yılı eğitime göre işsizlik oranları.xlsx]Sayfa1'!$D$2:$D$38</c:f>
              <c:numCache>
                <c:formatCode>General</c:formatCode>
                <c:ptCount val="37"/>
                <c:pt idx="0">
                  <c:v>2.9</c:v>
                </c:pt>
                <c:pt idx="1">
                  <c:v>2.8</c:v>
                </c:pt>
                <c:pt idx="2">
                  <c:v>2.9</c:v>
                </c:pt>
                <c:pt idx="3">
                  <c:v>4</c:v>
                </c:pt>
                <c:pt idx="4">
                  <c:v>9.3000000000000007</c:v>
                </c:pt>
                <c:pt idx="5">
                  <c:v>1</c:v>
                </c:pt>
                <c:pt idx="6">
                  <c:v>4.0999999999999996</c:v>
                </c:pt>
                <c:pt idx="7">
                  <c:v>2.6</c:v>
                </c:pt>
                <c:pt idx="8">
                  <c:v>3.9</c:v>
                </c:pt>
                <c:pt idx="9">
                  <c:v>4.7</c:v>
                </c:pt>
                <c:pt idx="10">
                  <c:v>1.8</c:v>
                </c:pt>
                <c:pt idx="11">
                  <c:v>11.6</c:v>
                </c:pt>
                <c:pt idx="12">
                  <c:v>1.4</c:v>
                </c:pt>
                <c:pt idx="13">
                  <c:v>2.2999999999999998</c:v>
                </c:pt>
                <c:pt idx="14">
                  <c:v>2.9</c:v>
                </c:pt>
                <c:pt idx="15">
                  <c:v>2.8</c:v>
                </c:pt>
                <c:pt idx="16">
                  <c:v>5.6</c:v>
                </c:pt>
                <c:pt idx="17">
                  <c:v>1.9000000000000001</c:v>
                </c:pt>
                <c:pt idx="18">
                  <c:v>3.2</c:v>
                </c:pt>
                <c:pt idx="19">
                  <c:v>3.6</c:v>
                </c:pt>
                <c:pt idx="20">
                  <c:v>2.8</c:v>
                </c:pt>
                <c:pt idx="21">
                  <c:v>3.9</c:v>
                </c:pt>
                <c:pt idx="22">
                  <c:v>4</c:v>
                </c:pt>
                <c:pt idx="23">
                  <c:v>2.1</c:v>
                </c:pt>
                <c:pt idx="24">
                  <c:v>2.2000000000000002</c:v>
                </c:pt>
                <c:pt idx="25">
                  <c:v>2.1</c:v>
                </c:pt>
                <c:pt idx="26">
                  <c:v>1.8</c:v>
                </c:pt>
                <c:pt idx="27">
                  <c:v>4.8</c:v>
                </c:pt>
                <c:pt idx="28">
                  <c:v>2.2999999999999998</c:v>
                </c:pt>
                <c:pt idx="29">
                  <c:v>3</c:v>
                </c:pt>
                <c:pt idx="30">
                  <c:v>8.1</c:v>
                </c:pt>
                <c:pt idx="31">
                  <c:v>3.5</c:v>
                </c:pt>
                <c:pt idx="32">
                  <c:v>3.3</c:v>
                </c:pt>
                <c:pt idx="33">
                  <c:v>10.7</c:v>
                </c:pt>
                <c:pt idx="34">
                  <c:v>2.1</c:v>
                </c:pt>
                <c:pt idx="35">
                  <c:v>2.1</c:v>
                </c:pt>
                <c:pt idx="36">
                  <c:v>3.8</c:v>
                </c:pt>
              </c:numCache>
            </c:numRef>
          </c:val>
          <c:extLst>
            <c:ext xmlns:c16="http://schemas.microsoft.com/office/drawing/2014/chart" uri="{C3380CC4-5D6E-409C-BE32-E72D297353CC}">
              <c16:uniqueId val="{00000002-0DB9-4943-BB28-2A2EBAA284B0}"/>
            </c:ext>
          </c:extLst>
        </c:ser>
        <c:dLbls>
          <c:showLegendKey val="0"/>
          <c:showVal val="0"/>
          <c:showCatName val="0"/>
          <c:showSerName val="0"/>
          <c:showPercent val="0"/>
          <c:showBubbleSize val="0"/>
        </c:dLbls>
        <c:gapWidth val="219"/>
        <c:overlap val="-27"/>
        <c:axId val="386638008"/>
        <c:axId val="386638400"/>
      </c:barChart>
      <c:catAx>
        <c:axId val="386638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86638400"/>
        <c:crosses val="autoZero"/>
        <c:auto val="1"/>
        <c:lblAlgn val="ctr"/>
        <c:lblOffset val="100"/>
        <c:noMultiLvlLbl val="0"/>
      </c:catAx>
      <c:valAx>
        <c:axId val="386638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86638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v>UR</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'kümeleme veri'!$W$6:$W$11</c:f>
              <c:strCache>
                <c:ptCount val="6"/>
                <c:pt idx="0">
                  <c:v>Küme1</c:v>
                </c:pt>
                <c:pt idx="1">
                  <c:v>Küme2</c:v>
                </c:pt>
                <c:pt idx="2">
                  <c:v>Küme3</c:v>
                </c:pt>
                <c:pt idx="3">
                  <c:v>Küme4</c:v>
                </c:pt>
                <c:pt idx="4">
                  <c:v>Küme5</c:v>
                </c:pt>
                <c:pt idx="5">
                  <c:v>Küme6</c:v>
                </c:pt>
              </c:strCache>
            </c:strRef>
          </c:cat>
          <c:val>
            <c:numRef>
              <c:f>('kümeleme veri'!$U$14,'kümeleme veri'!$U$21,'kümeleme veri'!$U$29,'kümeleme veri'!$U$41,'kümeleme veri'!$U$49,'kümeleme veri'!$U$55)</c:f>
              <c:numCache>
                <c:formatCode>#,##0.00</c:formatCode>
                <c:ptCount val="6"/>
                <c:pt idx="0">
                  <c:v>6.2873490814950586</c:v>
                </c:pt>
                <c:pt idx="1">
                  <c:v>6.4680166434566209</c:v>
                </c:pt>
                <c:pt idx="2">
                  <c:v>4.3633560909313482</c:v>
                </c:pt>
                <c:pt idx="3">
                  <c:v>7.6271958960936352</c:v>
                </c:pt>
                <c:pt idx="4">
                  <c:v>7.814296712335052</c:v>
                </c:pt>
                <c:pt idx="5">
                  <c:v>18.447671959191872</c:v>
                </c:pt>
              </c:numCache>
            </c:numRef>
          </c:val>
          <c:extLst>
            <c:ext xmlns:c16="http://schemas.microsoft.com/office/drawing/2014/chart" uri="{C3380CC4-5D6E-409C-BE32-E72D297353CC}">
              <c16:uniqueId val="{00000000-CF33-4461-A653-7BC53313ACC9}"/>
            </c:ext>
          </c:extLst>
        </c:ser>
        <c:ser>
          <c:idx val="1"/>
          <c:order val="1"/>
          <c:tx>
            <c:v>LUR</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'kümeleme veri'!$W$6:$W$11</c:f>
              <c:strCache>
                <c:ptCount val="6"/>
                <c:pt idx="0">
                  <c:v>Küme1</c:v>
                </c:pt>
                <c:pt idx="1">
                  <c:v>Küme2</c:v>
                </c:pt>
                <c:pt idx="2">
                  <c:v>Küme3</c:v>
                </c:pt>
                <c:pt idx="3">
                  <c:v>Küme4</c:v>
                </c:pt>
                <c:pt idx="4">
                  <c:v>Küme5</c:v>
                </c:pt>
                <c:pt idx="5">
                  <c:v>Küme6</c:v>
                </c:pt>
              </c:strCache>
            </c:strRef>
          </c:cat>
          <c:val>
            <c:numRef>
              <c:f>('kümeleme veri'!$S$14,'kümeleme veri'!$S$21,'kümeleme veri'!$S$29,'kümeleme veri'!$S$41,'kümeleme veri'!$S$49,'kümeleme veri'!$S$55)</c:f>
              <c:numCache>
                <c:formatCode>#,##0.00</c:formatCode>
                <c:ptCount val="6"/>
                <c:pt idx="0">
                  <c:v>15.869318923587443</c:v>
                </c:pt>
                <c:pt idx="1">
                  <c:v>35.010196585451496</c:v>
                </c:pt>
                <c:pt idx="2">
                  <c:v>34.766108517933084</c:v>
                </c:pt>
                <c:pt idx="3">
                  <c:v>43.850466894571234</c:v>
                </c:pt>
                <c:pt idx="4">
                  <c:v>36.491387119098249</c:v>
                </c:pt>
                <c:pt idx="5">
                  <c:v>59.547704641276766</c:v>
                </c:pt>
              </c:numCache>
            </c:numRef>
          </c:val>
          <c:extLst>
            <c:ext xmlns:c16="http://schemas.microsoft.com/office/drawing/2014/chart" uri="{C3380CC4-5D6E-409C-BE32-E72D297353CC}">
              <c16:uniqueId val="{00000001-CF33-4461-A653-7BC53313ACC9}"/>
            </c:ext>
          </c:extLst>
        </c:ser>
        <c:dLbls>
          <c:dLblPos val="ctr"/>
          <c:showLegendKey val="0"/>
          <c:showVal val="1"/>
          <c:showCatName val="0"/>
          <c:showSerName val="0"/>
          <c:showPercent val="0"/>
          <c:showBubbleSize val="0"/>
        </c:dLbls>
        <c:gapWidth val="150"/>
        <c:overlap val="100"/>
        <c:axId val="394795416"/>
        <c:axId val="333079456"/>
      </c:barChart>
      <c:catAx>
        <c:axId val="394795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33079456"/>
        <c:crosses val="autoZero"/>
        <c:auto val="1"/>
        <c:lblAlgn val="ctr"/>
        <c:lblOffset val="100"/>
        <c:noMultiLvlLbl val="0"/>
      </c:catAx>
      <c:valAx>
        <c:axId val="333079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94795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Küme 1</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'kümeleme veri'!$W$6:$W$11</c:f>
              <c:strCache>
                <c:ptCount val="6"/>
                <c:pt idx="0">
                  <c:v>Küme1</c:v>
                </c:pt>
                <c:pt idx="1">
                  <c:v>Küme2</c:v>
                </c:pt>
                <c:pt idx="2">
                  <c:v>Küme3</c:v>
                </c:pt>
                <c:pt idx="3">
                  <c:v>Küme4</c:v>
                </c:pt>
                <c:pt idx="4">
                  <c:v>Küme5</c:v>
                </c:pt>
                <c:pt idx="5">
                  <c:v>Küme6</c:v>
                </c:pt>
              </c:strCache>
            </c:strRef>
          </c:cat>
          <c:val>
            <c:numRef>
              <c:f>'kümeleme veri'!$Q$14</c:f>
              <c:numCache>
                <c:formatCode>#,##0.00</c:formatCode>
                <c:ptCount val="1"/>
                <c:pt idx="0">
                  <c:v>131.16279808359684</c:v>
                </c:pt>
              </c:numCache>
            </c:numRef>
          </c:val>
          <c:extLst>
            <c:ext xmlns:c16="http://schemas.microsoft.com/office/drawing/2014/chart" uri="{C3380CC4-5D6E-409C-BE32-E72D297353CC}">
              <c16:uniqueId val="{00000000-86E0-4EA9-8680-E82892A2C03F}"/>
            </c:ext>
          </c:extLst>
        </c:ser>
        <c:ser>
          <c:idx val="1"/>
          <c:order val="1"/>
          <c:tx>
            <c:v>Küme 2</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'kümeleme veri'!$W$6:$W$11</c:f>
              <c:strCache>
                <c:ptCount val="6"/>
                <c:pt idx="0">
                  <c:v>Küme1</c:v>
                </c:pt>
                <c:pt idx="1">
                  <c:v>Küme2</c:v>
                </c:pt>
                <c:pt idx="2">
                  <c:v>Küme3</c:v>
                </c:pt>
                <c:pt idx="3">
                  <c:v>Küme4</c:v>
                </c:pt>
                <c:pt idx="4">
                  <c:v>Küme5</c:v>
                </c:pt>
                <c:pt idx="5">
                  <c:v>Küme6</c:v>
                </c:pt>
              </c:strCache>
            </c:strRef>
          </c:cat>
          <c:val>
            <c:numRef>
              <c:f>'kümeleme veri'!$Q$21</c:f>
              <c:numCache>
                <c:formatCode>#,##0.00</c:formatCode>
                <c:ptCount val="1"/>
                <c:pt idx="0">
                  <c:v>242.65561807347183</c:v>
                </c:pt>
              </c:numCache>
            </c:numRef>
          </c:val>
          <c:extLst>
            <c:ext xmlns:c16="http://schemas.microsoft.com/office/drawing/2014/chart" uri="{C3380CC4-5D6E-409C-BE32-E72D297353CC}">
              <c16:uniqueId val="{00000001-86E0-4EA9-8680-E82892A2C03F}"/>
            </c:ext>
          </c:extLst>
        </c:ser>
        <c:ser>
          <c:idx val="2"/>
          <c:order val="2"/>
          <c:tx>
            <c:v>Küme 3</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'kümeleme veri'!$W$6:$W$11</c:f>
              <c:strCache>
                <c:ptCount val="6"/>
                <c:pt idx="0">
                  <c:v>Küme1</c:v>
                </c:pt>
                <c:pt idx="1">
                  <c:v>Küme2</c:v>
                </c:pt>
                <c:pt idx="2">
                  <c:v>Küme3</c:v>
                </c:pt>
                <c:pt idx="3">
                  <c:v>Küme4</c:v>
                </c:pt>
                <c:pt idx="4">
                  <c:v>Küme5</c:v>
                </c:pt>
                <c:pt idx="5">
                  <c:v>Küme6</c:v>
                </c:pt>
              </c:strCache>
            </c:strRef>
          </c:cat>
          <c:val>
            <c:numRef>
              <c:f>'kümeleme veri'!$Q$29</c:f>
              <c:numCache>
                <c:formatCode>#,##0.00</c:formatCode>
                <c:ptCount val="1"/>
                <c:pt idx="0">
                  <c:v>69.102919412172639</c:v>
                </c:pt>
              </c:numCache>
            </c:numRef>
          </c:val>
          <c:extLst>
            <c:ext xmlns:c16="http://schemas.microsoft.com/office/drawing/2014/chart" uri="{C3380CC4-5D6E-409C-BE32-E72D297353CC}">
              <c16:uniqueId val="{00000002-86E0-4EA9-8680-E82892A2C03F}"/>
            </c:ext>
          </c:extLst>
        </c:ser>
        <c:ser>
          <c:idx val="3"/>
          <c:order val="3"/>
          <c:tx>
            <c:v>Küme 4</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'kümeleme veri'!$W$6:$W$11</c:f>
              <c:strCache>
                <c:ptCount val="6"/>
                <c:pt idx="0">
                  <c:v>Küme1</c:v>
                </c:pt>
                <c:pt idx="1">
                  <c:v>Küme2</c:v>
                </c:pt>
                <c:pt idx="2">
                  <c:v>Küme3</c:v>
                </c:pt>
                <c:pt idx="3">
                  <c:v>Küme4</c:v>
                </c:pt>
                <c:pt idx="4">
                  <c:v>Küme5</c:v>
                </c:pt>
                <c:pt idx="5">
                  <c:v>Küme6</c:v>
                </c:pt>
              </c:strCache>
            </c:strRef>
          </c:cat>
          <c:val>
            <c:numRef>
              <c:f>'kümeleme veri'!$Q$41</c:f>
              <c:numCache>
                <c:formatCode>#,##0.00</c:formatCode>
                <c:ptCount val="1"/>
                <c:pt idx="0">
                  <c:v>121.84750510965117</c:v>
                </c:pt>
              </c:numCache>
            </c:numRef>
          </c:val>
          <c:extLst>
            <c:ext xmlns:c16="http://schemas.microsoft.com/office/drawing/2014/chart" uri="{C3380CC4-5D6E-409C-BE32-E72D297353CC}">
              <c16:uniqueId val="{00000003-86E0-4EA9-8680-E82892A2C03F}"/>
            </c:ext>
          </c:extLst>
        </c:ser>
        <c:ser>
          <c:idx val="4"/>
          <c:order val="4"/>
          <c:tx>
            <c:v>Küme 5</c:v>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'kümeleme veri'!$W$6:$W$11</c:f>
              <c:strCache>
                <c:ptCount val="6"/>
                <c:pt idx="0">
                  <c:v>Küme1</c:v>
                </c:pt>
                <c:pt idx="1">
                  <c:v>Küme2</c:v>
                </c:pt>
                <c:pt idx="2">
                  <c:v>Küme3</c:v>
                </c:pt>
                <c:pt idx="3">
                  <c:v>Küme4</c:v>
                </c:pt>
                <c:pt idx="4">
                  <c:v>Küme5</c:v>
                </c:pt>
                <c:pt idx="5">
                  <c:v>Küme6</c:v>
                </c:pt>
              </c:strCache>
            </c:strRef>
          </c:cat>
          <c:val>
            <c:numRef>
              <c:f>'kümeleme veri'!$Q$49</c:f>
              <c:numCache>
                <c:formatCode>#,##0.00</c:formatCode>
                <c:ptCount val="1"/>
                <c:pt idx="0">
                  <c:v>165.49954334277459</c:v>
                </c:pt>
              </c:numCache>
            </c:numRef>
          </c:val>
          <c:extLst>
            <c:ext xmlns:c16="http://schemas.microsoft.com/office/drawing/2014/chart" uri="{C3380CC4-5D6E-409C-BE32-E72D297353CC}">
              <c16:uniqueId val="{00000004-86E0-4EA9-8680-E82892A2C03F}"/>
            </c:ext>
          </c:extLst>
        </c:ser>
        <c:ser>
          <c:idx val="5"/>
          <c:order val="5"/>
          <c:tx>
            <c:v>Küme 6</c:v>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'kümeleme veri'!$W$6:$W$11</c:f>
              <c:strCache>
                <c:ptCount val="6"/>
                <c:pt idx="0">
                  <c:v>Küme1</c:v>
                </c:pt>
                <c:pt idx="1">
                  <c:v>Küme2</c:v>
                </c:pt>
                <c:pt idx="2">
                  <c:v>Küme3</c:v>
                </c:pt>
                <c:pt idx="3">
                  <c:v>Küme4</c:v>
                </c:pt>
                <c:pt idx="4">
                  <c:v>Küme5</c:v>
                </c:pt>
                <c:pt idx="5">
                  <c:v>Küme6</c:v>
                </c:pt>
              </c:strCache>
            </c:strRef>
          </c:cat>
          <c:val>
            <c:numRef>
              <c:f>'kümeleme veri'!$Q$55</c:f>
              <c:numCache>
                <c:formatCode>#,##0.00</c:formatCode>
                <c:ptCount val="1"/>
                <c:pt idx="0">
                  <c:v>205.65879167700595</c:v>
                </c:pt>
              </c:numCache>
            </c:numRef>
          </c:val>
          <c:extLst>
            <c:ext xmlns:c16="http://schemas.microsoft.com/office/drawing/2014/chart" uri="{C3380CC4-5D6E-409C-BE32-E72D297353CC}">
              <c16:uniqueId val="{00000005-86E0-4EA9-8680-E82892A2C03F}"/>
            </c:ext>
          </c:extLst>
        </c:ser>
        <c:dLbls>
          <c:dLblPos val="outEnd"/>
          <c:showLegendKey val="0"/>
          <c:showVal val="1"/>
          <c:showCatName val="0"/>
          <c:showSerName val="0"/>
          <c:showPercent val="0"/>
          <c:showBubbleSize val="0"/>
        </c:dLbls>
        <c:gapWidth val="267"/>
        <c:overlap val="-43"/>
        <c:axId val="333080240"/>
        <c:axId val="333080632"/>
      </c:barChart>
      <c:catAx>
        <c:axId val="333080240"/>
        <c:scaling>
          <c:orientation val="minMax"/>
        </c:scaling>
        <c:delete val="1"/>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crossAx val="333080632"/>
        <c:crosses val="autoZero"/>
        <c:auto val="1"/>
        <c:lblAlgn val="ctr"/>
        <c:lblOffset val="100"/>
        <c:noMultiLvlLbl val="0"/>
      </c:catAx>
      <c:valAx>
        <c:axId val="333080632"/>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tr-TR"/>
          </a:p>
        </c:txPr>
        <c:crossAx val="33308024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tr-TR"/>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tr-TR"/>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772108210883084E-2"/>
          <c:y val="0.17171296296296296"/>
          <c:w val="0.91397854795709588"/>
          <c:h val="0.66584098862642171"/>
        </c:manualLayout>
      </c:layout>
      <c:barChart>
        <c:barDir val="col"/>
        <c:grouping val="clustered"/>
        <c:varyColors val="0"/>
        <c:ser>
          <c:idx val="0"/>
          <c:order val="0"/>
          <c:tx>
            <c:v>Küme 1</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'kümeleme veri'!$AH$21</c:f>
              <c:numCache>
                <c:formatCode>General</c:formatCode>
                <c:ptCount val="1"/>
              </c:numCache>
            </c:numRef>
          </c:cat>
          <c:val>
            <c:numRef>
              <c:f>'kümeleme veri'!$T$14</c:f>
              <c:numCache>
                <c:formatCode>#,##0.00</c:formatCode>
                <c:ptCount val="1"/>
                <c:pt idx="0">
                  <c:v>0.45285714285714285</c:v>
                </c:pt>
              </c:numCache>
            </c:numRef>
          </c:val>
          <c:extLst>
            <c:ext xmlns:c16="http://schemas.microsoft.com/office/drawing/2014/chart" uri="{C3380CC4-5D6E-409C-BE32-E72D297353CC}">
              <c16:uniqueId val="{00000000-2B07-419E-B979-9B759828FB67}"/>
            </c:ext>
          </c:extLst>
        </c:ser>
        <c:ser>
          <c:idx val="1"/>
          <c:order val="1"/>
          <c:tx>
            <c:v>Küme 2</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'kümeleme veri'!$AH$21</c:f>
              <c:numCache>
                <c:formatCode>General</c:formatCode>
                <c:ptCount val="1"/>
              </c:numCache>
            </c:numRef>
          </c:cat>
          <c:val>
            <c:numRef>
              <c:f>'kümeleme veri'!$T$21</c:f>
              <c:numCache>
                <c:formatCode>#,##0.00</c:formatCode>
                <c:ptCount val="1"/>
                <c:pt idx="0">
                  <c:v>0.71</c:v>
                </c:pt>
              </c:numCache>
            </c:numRef>
          </c:val>
          <c:extLst>
            <c:ext xmlns:c16="http://schemas.microsoft.com/office/drawing/2014/chart" uri="{C3380CC4-5D6E-409C-BE32-E72D297353CC}">
              <c16:uniqueId val="{00000001-2B07-419E-B979-9B759828FB67}"/>
            </c:ext>
          </c:extLst>
        </c:ser>
        <c:ser>
          <c:idx val="2"/>
          <c:order val="2"/>
          <c:tx>
            <c:v>Küme 3</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'kümeleme veri'!$AH$21</c:f>
              <c:numCache>
                <c:formatCode>General</c:formatCode>
                <c:ptCount val="1"/>
              </c:numCache>
            </c:numRef>
          </c:cat>
          <c:val>
            <c:numRef>
              <c:f>'kümeleme veri'!$T$29</c:f>
              <c:numCache>
                <c:formatCode>#,##0.00</c:formatCode>
                <c:ptCount val="1"/>
                <c:pt idx="0">
                  <c:v>0.17500000000000002</c:v>
                </c:pt>
              </c:numCache>
            </c:numRef>
          </c:val>
          <c:extLst>
            <c:ext xmlns:c16="http://schemas.microsoft.com/office/drawing/2014/chart" uri="{C3380CC4-5D6E-409C-BE32-E72D297353CC}">
              <c16:uniqueId val="{00000002-2B07-419E-B979-9B759828FB67}"/>
            </c:ext>
          </c:extLst>
        </c:ser>
        <c:ser>
          <c:idx val="3"/>
          <c:order val="3"/>
          <c:tx>
            <c:v>Küme 4</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'kümeleme veri'!$AH$21</c:f>
              <c:numCache>
                <c:formatCode>General</c:formatCode>
                <c:ptCount val="1"/>
              </c:numCache>
            </c:numRef>
          </c:cat>
          <c:val>
            <c:numRef>
              <c:f>'kümeleme veri'!$T$41</c:f>
              <c:numCache>
                <c:formatCode>#,##0.00</c:formatCode>
                <c:ptCount val="1"/>
                <c:pt idx="0">
                  <c:v>0.67000000000000015</c:v>
                </c:pt>
              </c:numCache>
            </c:numRef>
          </c:val>
          <c:extLst>
            <c:ext xmlns:c16="http://schemas.microsoft.com/office/drawing/2014/chart" uri="{C3380CC4-5D6E-409C-BE32-E72D297353CC}">
              <c16:uniqueId val="{00000003-2B07-419E-B979-9B759828FB67}"/>
            </c:ext>
          </c:extLst>
        </c:ser>
        <c:ser>
          <c:idx val="4"/>
          <c:order val="4"/>
          <c:tx>
            <c:v>Küme 5</c:v>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'kümeleme veri'!$AH$21</c:f>
              <c:numCache>
                <c:formatCode>General</c:formatCode>
                <c:ptCount val="1"/>
              </c:numCache>
            </c:numRef>
          </c:cat>
          <c:val>
            <c:numRef>
              <c:f>'kümeleme veri'!$T$49</c:f>
              <c:numCache>
                <c:formatCode>#,##0.00</c:formatCode>
                <c:ptCount val="1"/>
                <c:pt idx="0">
                  <c:v>1.7200000000000002</c:v>
                </c:pt>
              </c:numCache>
            </c:numRef>
          </c:val>
          <c:extLst>
            <c:ext xmlns:c16="http://schemas.microsoft.com/office/drawing/2014/chart" uri="{C3380CC4-5D6E-409C-BE32-E72D297353CC}">
              <c16:uniqueId val="{00000004-2B07-419E-B979-9B759828FB67}"/>
            </c:ext>
          </c:extLst>
        </c:ser>
        <c:ser>
          <c:idx val="5"/>
          <c:order val="5"/>
          <c:tx>
            <c:v>Küme 6</c:v>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'kümeleme veri'!$AH$21</c:f>
              <c:numCache>
                <c:formatCode>General</c:formatCode>
                <c:ptCount val="1"/>
              </c:numCache>
            </c:numRef>
          </c:cat>
          <c:val>
            <c:numRef>
              <c:f>'kümeleme veri'!$T$55</c:f>
              <c:numCache>
                <c:formatCode>#,##0.00</c:formatCode>
                <c:ptCount val="1"/>
                <c:pt idx="0">
                  <c:v>1.1633333333333333</c:v>
                </c:pt>
              </c:numCache>
            </c:numRef>
          </c:val>
          <c:extLst>
            <c:ext xmlns:c16="http://schemas.microsoft.com/office/drawing/2014/chart" uri="{C3380CC4-5D6E-409C-BE32-E72D297353CC}">
              <c16:uniqueId val="{00000005-2B07-419E-B979-9B759828FB67}"/>
            </c:ext>
          </c:extLst>
        </c:ser>
        <c:dLbls>
          <c:dLblPos val="ctr"/>
          <c:showLegendKey val="0"/>
          <c:showVal val="1"/>
          <c:showCatName val="0"/>
          <c:showSerName val="0"/>
          <c:showPercent val="0"/>
          <c:showBubbleSize val="0"/>
        </c:dLbls>
        <c:gapWidth val="219"/>
        <c:overlap val="-27"/>
        <c:axId val="333081416"/>
        <c:axId val="333081808"/>
      </c:barChart>
      <c:catAx>
        <c:axId val="333081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33081808"/>
        <c:crosses val="autoZero"/>
        <c:auto val="1"/>
        <c:lblAlgn val="ctr"/>
        <c:lblOffset val="100"/>
        <c:noMultiLvlLbl val="0"/>
      </c:catAx>
      <c:valAx>
        <c:axId val="3330818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333081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Küme 1</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'kümeleme veri'!$Z$54</c:f>
              <c:numCache>
                <c:formatCode>General</c:formatCode>
                <c:ptCount val="1"/>
              </c:numCache>
            </c:numRef>
          </c:cat>
          <c:val>
            <c:numRef>
              <c:f>'kümeleme veri'!$R$14</c:f>
              <c:numCache>
                <c:formatCode>#,##0.00</c:formatCode>
                <c:ptCount val="1"/>
                <c:pt idx="0">
                  <c:v>80.222222222222229</c:v>
                </c:pt>
              </c:numCache>
            </c:numRef>
          </c:val>
          <c:extLst>
            <c:ext xmlns:c16="http://schemas.microsoft.com/office/drawing/2014/chart" uri="{C3380CC4-5D6E-409C-BE32-E72D297353CC}">
              <c16:uniqueId val="{00000000-3897-4060-B9CE-316E11F0D816}"/>
            </c:ext>
          </c:extLst>
        </c:ser>
        <c:ser>
          <c:idx val="1"/>
          <c:order val="1"/>
          <c:tx>
            <c:v>Küme 2</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'kümeleme veri'!$Z$54</c:f>
              <c:numCache>
                <c:formatCode>General</c:formatCode>
                <c:ptCount val="1"/>
              </c:numCache>
            </c:numRef>
          </c:cat>
          <c:val>
            <c:numRef>
              <c:f>'kümeleme veri'!$R$21</c:f>
              <c:numCache>
                <c:formatCode>#,##0.00</c:formatCode>
                <c:ptCount val="1"/>
                <c:pt idx="0">
                  <c:v>82.25</c:v>
                </c:pt>
              </c:numCache>
            </c:numRef>
          </c:val>
          <c:extLst>
            <c:ext xmlns:c16="http://schemas.microsoft.com/office/drawing/2014/chart" uri="{C3380CC4-5D6E-409C-BE32-E72D297353CC}">
              <c16:uniqueId val="{00000001-3897-4060-B9CE-316E11F0D816}"/>
            </c:ext>
          </c:extLst>
        </c:ser>
        <c:ser>
          <c:idx val="2"/>
          <c:order val="2"/>
          <c:tx>
            <c:v>Küme 3</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'kümeleme veri'!$Z$54</c:f>
              <c:numCache>
                <c:formatCode>General</c:formatCode>
                <c:ptCount val="1"/>
              </c:numCache>
            </c:numRef>
          </c:cat>
          <c:val>
            <c:numRef>
              <c:f>'kümeleme veri'!$R$29</c:f>
              <c:numCache>
                <c:formatCode>#,##0.00</c:formatCode>
                <c:ptCount val="1"/>
                <c:pt idx="0">
                  <c:v>89.4</c:v>
                </c:pt>
              </c:numCache>
            </c:numRef>
          </c:val>
          <c:extLst>
            <c:ext xmlns:c16="http://schemas.microsoft.com/office/drawing/2014/chart" uri="{C3380CC4-5D6E-409C-BE32-E72D297353CC}">
              <c16:uniqueId val="{00000002-3897-4060-B9CE-316E11F0D816}"/>
            </c:ext>
          </c:extLst>
        </c:ser>
        <c:ser>
          <c:idx val="3"/>
          <c:order val="3"/>
          <c:tx>
            <c:v>Küme 4</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'kümeleme veri'!$Z$54</c:f>
              <c:numCache>
                <c:formatCode>General</c:formatCode>
                <c:ptCount val="1"/>
              </c:numCache>
            </c:numRef>
          </c:cat>
          <c:val>
            <c:numRef>
              <c:f>'kümeleme veri'!$R$41</c:f>
              <c:numCache>
                <c:formatCode>#,##0.00</c:formatCode>
                <c:ptCount val="1"/>
                <c:pt idx="0">
                  <c:v>91</c:v>
                </c:pt>
              </c:numCache>
            </c:numRef>
          </c:val>
          <c:extLst>
            <c:ext xmlns:c16="http://schemas.microsoft.com/office/drawing/2014/chart" uri="{C3380CC4-5D6E-409C-BE32-E72D297353CC}">
              <c16:uniqueId val="{00000003-3897-4060-B9CE-316E11F0D816}"/>
            </c:ext>
          </c:extLst>
        </c:ser>
        <c:ser>
          <c:idx val="4"/>
          <c:order val="4"/>
          <c:tx>
            <c:v>Küme 5</c:v>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'kümeleme veri'!$Z$54</c:f>
              <c:numCache>
                <c:formatCode>General</c:formatCode>
                <c:ptCount val="1"/>
              </c:numCache>
            </c:numRef>
          </c:cat>
          <c:val>
            <c:numRef>
              <c:f>'kümeleme veri'!$R$49</c:f>
              <c:numCache>
                <c:formatCode>#,##0.00</c:formatCode>
                <c:ptCount val="1"/>
                <c:pt idx="0">
                  <c:v>82.5</c:v>
                </c:pt>
              </c:numCache>
            </c:numRef>
          </c:val>
          <c:extLst>
            <c:ext xmlns:c16="http://schemas.microsoft.com/office/drawing/2014/chart" uri="{C3380CC4-5D6E-409C-BE32-E72D297353CC}">
              <c16:uniqueId val="{00000004-3897-4060-B9CE-316E11F0D816}"/>
            </c:ext>
          </c:extLst>
        </c:ser>
        <c:ser>
          <c:idx val="5"/>
          <c:order val="5"/>
          <c:tx>
            <c:v>Küme 6</c:v>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'kümeleme veri'!$Z$54</c:f>
              <c:numCache>
                <c:formatCode>General</c:formatCode>
                <c:ptCount val="1"/>
              </c:numCache>
            </c:numRef>
          </c:cat>
          <c:val>
            <c:numRef>
              <c:f>'kümeleme veri'!$R$55</c:f>
              <c:numCache>
                <c:formatCode>#,##0.00</c:formatCode>
                <c:ptCount val="1"/>
                <c:pt idx="0">
                  <c:v>84.333333333333329</c:v>
                </c:pt>
              </c:numCache>
            </c:numRef>
          </c:val>
          <c:extLst>
            <c:ext xmlns:c16="http://schemas.microsoft.com/office/drawing/2014/chart" uri="{C3380CC4-5D6E-409C-BE32-E72D297353CC}">
              <c16:uniqueId val="{00000005-3897-4060-B9CE-316E11F0D816}"/>
            </c:ext>
          </c:extLst>
        </c:ser>
        <c:ser>
          <c:idx val="6"/>
          <c:order val="6"/>
          <c:tx>
            <c:v>OECD</c:v>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'kümeleme veri'!$X$23</c:f>
              <c:numCache>
                <c:formatCode>General</c:formatCode>
                <c:ptCount val="1"/>
                <c:pt idx="0">
                  <c:v>85</c:v>
                </c:pt>
              </c:numCache>
            </c:numRef>
          </c:val>
          <c:extLst>
            <c:ext xmlns:c16="http://schemas.microsoft.com/office/drawing/2014/chart" uri="{C3380CC4-5D6E-409C-BE32-E72D297353CC}">
              <c16:uniqueId val="{00000006-3897-4060-B9CE-316E11F0D816}"/>
            </c:ext>
          </c:extLst>
        </c:ser>
        <c:dLbls>
          <c:dLblPos val="outEnd"/>
          <c:showLegendKey val="0"/>
          <c:showVal val="1"/>
          <c:showCatName val="0"/>
          <c:showSerName val="0"/>
          <c:showPercent val="0"/>
          <c:showBubbleSize val="0"/>
        </c:dLbls>
        <c:gapWidth val="247"/>
        <c:overlap val="-48"/>
        <c:axId val="333082592"/>
        <c:axId val="333082984"/>
      </c:barChart>
      <c:catAx>
        <c:axId val="33308259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tr-TR"/>
          </a:p>
        </c:txPr>
        <c:crossAx val="333082984"/>
        <c:crosses val="autoZero"/>
        <c:auto val="1"/>
        <c:lblAlgn val="ctr"/>
        <c:lblOffset val="100"/>
        <c:noMultiLvlLbl val="0"/>
      </c:catAx>
      <c:valAx>
        <c:axId val="333082984"/>
        <c:scaling>
          <c:orientation val="minMax"/>
        </c:scaling>
        <c:delete val="0"/>
        <c:axPos val="b"/>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tr-TR"/>
          </a:p>
        </c:txPr>
        <c:crossAx val="33308259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tr-TR"/>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drawings/drawing1.xml><?xml version="1.0" encoding="utf-8"?>
<c:userShapes xmlns:c="http://schemas.openxmlformats.org/drawingml/2006/chart">
  <cdr:relSizeAnchor xmlns:cdr="http://schemas.openxmlformats.org/drawingml/2006/chartDrawing">
    <cdr:from>
      <cdr:x>0.1503</cdr:x>
      <cdr:y>0.44749</cdr:y>
    </cdr:from>
    <cdr:to>
      <cdr:x>0.91156</cdr:x>
      <cdr:y>0.44749</cdr:y>
    </cdr:to>
    <cdr:cxnSp macro="">
      <cdr:nvCxnSpPr>
        <cdr:cNvPr id="3" name="Düz Bağlayıcı 2"/>
        <cdr:cNvCxnSpPr/>
      </cdr:nvCxnSpPr>
      <cdr:spPr>
        <a:xfrm xmlns:a="http://schemas.openxmlformats.org/drawingml/2006/main">
          <a:off x="847504" y="1268479"/>
          <a:ext cx="4292593" cy="0"/>
        </a:xfrm>
        <a:prstGeom xmlns:a="http://schemas.openxmlformats.org/drawingml/2006/main" prst="line">
          <a:avLst/>
        </a:prstGeom>
        <a:ln xmlns:a="http://schemas.openxmlformats.org/drawingml/2006/main" w="28575">
          <a:solidFill>
            <a:srgbClr val="FFC000"/>
          </a:solidFill>
          <a:prstDash val="sysDash"/>
          <a:headEnd type="none" w="med" len="med"/>
          <a:tailEnd type="none" w="med" len="med"/>
        </a:ln>
      </cdr:spPr>
      <cdr:style>
        <a:lnRef xmlns:a="http://schemas.openxmlformats.org/drawingml/2006/main" idx="3">
          <a:schemeClr val="accent1"/>
        </a:lnRef>
        <a:fillRef xmlns:a="http://schemas.openxmlformats.org/drawingml/2006/main" idx="0">
          <a:schemeClr val="accent1"/>
        </a:fillRef>
        <a:effectRef xmlns:a="http://schemas.openxmlformats.org/drawingml/2006/main" idx="2">
          <a:schemeClr val="accent1"/>
        </a:effectRef>
        <a:fontRef xmlns:a="http://schemas.openxmlformats.org/drawingml/2006/main" idx="minor">
          <a:schemeClr val="tx1"/>
        </a:fontRef>
      </cdr:style>
    </cdr:cxnSp>
  </cdr:relSizeAnchor>
  <cdr:relSizeAnchor xmlns:cdr="http://schemas.openxmlformats.org/drawingml/2006/chartDrawing">
    <cdr:from>
      <cdr:x>0.91308</cdr:x>
      <cdr:y>0.40054</cdr:y>
    </cdr:from>
    <cdr:to>
      <cdr:x>0.99054</cdr:x>
      <cdr:y>0.48118</cdr:y>
    </cdr:to>
    <cdr:sp macro="" textlink="">
      <cdr:nvSpPr>
        <cdr:cNvPr id="4" name="Metin kutusu 3"/>
        <cdr:cNvSpPr txBox="1"/>
      </cdr:nvSpPr>
      <cdr:spPr>
        <a:xfrm xmlns:a="http://schemas.openxmlformats.org/drawingml/2006/main">
          <a:off x="5148676" y="1135381"/>
          <a:ext cx="436781"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tr-TR" sz="800"/>
            <a:t>150</a:t>
          </a:r>
        </a:p>
      </cdr:txBody>
    </cdr:sp>
  </cdr:relSizeAnchor>
</c:userShapes>
</file>

<file path=word/drawings/drawing2.xml><?xml version="1.0" encoding="utf-8"?>
<c:userShapes xmlns:c="http://schemas.openxmlformats.org/drawingml/2006/chart">
  <cdr:relSizeAnchor xmlns:cdr="http://schemas.openxmlformats.org/drawingml/2006/chartDrawing">
    <cdr:from>
      <cdr:x>0.08333</cdr:x>
      <cdr:y>0.60278</cdr:y>
    </cdr:from>
    <cdr:to>
      <cdr:x>0.925</cdr:x>
      <cdr:y>0.60556</cdr:y>
    </cdr:to>
    <cdr:cxnSp macro="">
      <cdr:nvCxnSpPr>
        <cdr:cNvPr id="3" name="Düz Bağlayıcı 2"/>
        <cdr:cNvCxnSpPr/>
      </cdr:nvCxnSpPr>
      <cdr:spPr>
        <a:xfrm xmlns:a="http://schemas.openxmlformats.org/drawingml/2006/main" flipV="1">
          <a:off x="381000" y="1653540"/>
          <a:ext cx="3848100" cy="7620"/>
        </a:xfrm>
        <a:prstGeom xmlns:a="http://schemas.openxmlformats.org/drawingml/2006/main" prst="line">
          <a:avLst/>
        </a:prstGeom>
        <a:ln xmlns:a="http://schemas.openxmlformats.org/drawingml/2006/main" w="19050">
          <a:solidFill>
            <a:schemeClr val="accent1">
              <a:lumMod val="7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0.91811</cdr:x>
      <cdr:y>0.55556</cdr:y>
    </cdr:from>
    <cdr:to>
      <cdr:x>1</cdr:x>
      <cdr:y>0.64167</cdr:y>
    </cdr:to>
    <cdr:sp macro="" textlink="">
      <cdr:nvSpPr>
        <cdr:cNvPr id="6" name="Metin kutusu 5"/>
        <cdr:cNvSpPr txBox="1"/>
      </cdr:nvSpPr>
      <cdr:spPr>
        <a:xfrm xmlns:a="http://schemas.openxmlformats.org/drawingml/2006/main">
          <a:off x="4442461" y="1524000"/>
          <a:ext cx="396239" cy="2362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tr-TR" sz="700"/>
            <a:t>0,69</a:t>
          </a:r>
        </a:p>
      </cdr:txBody>
    </cdr:sp>
  </cdr:relSizeAnchor>
</c:userShape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Uya08</b:Tag>
    <b:SourceType>JournalArticle</b:SourceType>
    <b:Guid>{F00DBF75-3217-45BC-A8DE-BB044FFE82D3}</b:Guid>
    <b:Title>Türkiye’de İşsizliğin Özellikleri ve İşsizlikle Mücadele Politikalar</b:Title>
    <b:Year>2008</b:Year>
    <b:JournalName>Sosyal Bilimler Dergisi</b:JournalName>
    <b:Pages>47</b:Pages>
    <b:Author>
      <b:Author>
        <b:NameList>
          <b:Person>
            <b:Last>Uyar Bozdağlıoğlu</b:Last>
            <b:Middle>Yasemin</b:Middle>
            <b:First>E. </b:First>
          </b:Person>
        </b:NameList>
      </b:Author>
    </b:Author>
    <b:RefOrder>2</b:RefOrder>
  </b:Source>
  <b:Source>
    <b:Tag>Pay13</b:Tag>
    <b:SourceType>Book</b:SourceType>
    <b:Guid>{E8B30A79-E2D9-4B89-9394-7B346A473795}</b:Guid>
    <b:Title>Makro İktisat</b:Title>
    <b:Year>2013</b:Year>
    <b:City>İstanbul</b:City>
    <b:Publisher>Türkmen Kitabevi</b:Publisher>
    <b:Author>
      <b:Author>
        <b:NameList>
          <b:Person>
            <b:Last>Paya</b:Last>
            <b:First>M. Merih</b:First>
          </b:Person>
        </b:NameList>
      </b:Author>
    </b:Author>
    <b:RefOrder>3</b:RefOrder>
  </b:Source>
  <b:Source>
    <b:Tag>Orh14</b:Tag>
    <b:SourceType>JournalArticle</b:SourceType>
    <b:Guid>{C6206AE5-A1DB-497F-88DF-0063BA472D44}</b:Guid>
    <b:Title>Emek Teknoloji ve İşsizlik İlişkisi</b:Title>
    <b:Year>2014</b:Year>
    <b:JournalName>ÇSGB Çalışma Dünyası Dergisi</b:JournalName>
    <b:Pages>17</b:Pages>
    <b:Author>
      <b:Author>
        <b:NameList>
          <b:Person>
            <b:Last>Orhan </b:Last>
            <b:First>Serdar</b:First>
          </b:Person>
          <b:Person>
            <b:Last>Savuk</b:Last>
            <b:First>Fatih</b:First>
          </b:Person>
        </b:NameList>
      </b:Author>
    </b:Author>
    <b:RefOrder>4</b:RefOrder>
  </b:Source>
  <b:Source>
    <b:Tag>AyS12</b:Tag>
    <b:SourceType>JournalArticle</b:SourceType>
    <b:Guid>{F9CC5EA6-9C9D-4B83-A84F-1E9B5C39D470}</b:Guid>
    <b:Title>Türkiye’de İşsizliğin Nedenleri: İstihdam Politikaları Üzerine Bir Değerlendirme</b:Title>
    <b:Year>2012</b:Year>
    <b:JournalName>Celal Bayar Üniversitesi İktisadi ve İdari Bilimler Fakültesi Dergisi</b:JournalName>
    <b:Pages>322</b:Pages>
    <b:Author>
      <b:Author>
        <b:NameList>
          <b:Person>
            <b:Last>Ay</b:Last>
            <b:First>Sema</b:First>
          </b:Person>
        </b:NameList>
      </b:Author>
    </b:Author>
    <b:RefOrder>8</b:RefOrder>
  </b:Source>
  <b:Source>
    <b:Tag>YerTutucu1</b:Tag>
    <b:SourceType>ConferenceProceedings</b:SourceType>
    <b:Guid>{0CCE59CF-BE14-432F-93F5-C8EAB6C68CC5}</b:Guid>
    <b:Title>İşsizlik</b:Title>
    <b:Year>2007</b:Year>
    <b:Pages>120</b:Pages>
    <b:City>Eskişehir</b:City>
    <b:Author>
      <b:Author>
        <b:NameList>
          <b:Person>
            <b:Last>Altuntaş </b:Last>
            <b:First>Sedat</b:First>
          </b:Person>
          <b:Person>
            <b:Last>Kurtçu </b:Last>
            <b:First>Uygar</b:First>
          </b:Person>
        </b:NameList>
      </b:Author>
    </b:Author>
    <b:RefOrder>9</b:RefOrder>
  </b:Source>
  <b:Source>
    <b:Tag>Sol12</b:Tag>
    <b:SourceType>Misc</b:SourceType>
    <b:Guid>{B9466BE1-8493-43FA-A149-61439288FB26}</b:Guid>
    <b:Title>İşsizlik Sorunu, Türkiye'de İşsizlikle Asgari Ücret, Sanayi İstihdam Oranı ve Yolsuzluk Arasındaki İlişkinin Analizi </b:Title>
    <b:Year>2012</b:Year>
    <b:City>Nevşehir</b:City>
    <b:Month>Eylül</b:Month>
    <b:Author>
      <b:Author>
        <b:NameList>
          <b:Person>
            <b:Last>Solak </b:Last>
            <b:First>Latif</b:First>
          </b:Person>
        </b:NameList>
      </b:Author>
    </b:Author>
    <b:RefOrder>10</b:RefOrder>
  </b:Source>
  <b:Source>
    <b:Tag>Sos10</b:Tag>
    <b:SourceType>JournalArticle</b:SourceType>
    <b:Guid>{14A21C13-0C59-43BA-AE1B-924BD31537AF}</b:Guid>
    <b:Title>Sosyal Bir Problem Olarak İşsizlik ve Sonuçları</b:Title>
    <b:Year>2010</b:Year>
    <b:JournalName>Toplum ve Sosyal Hizmet</b:JournalName>
    <b:Pages>110</b:Pages>
    <b:Author>
      <b:Author>
        <b:NameList>
          <b:Person>
            <b:Last>Adak </b:Last>
            <b:First>Nurşen</b:First>
          </b:Person>
        </b:NameList>
      </b:Author>
    </b:Author>
    <b:RefOrder>11</b:RefOrder>
  </b:Source>
  <b:Source>
    <b:Tag>Yük03</b:Tag>
    <b:SourceType>JournalArticle</b:SourceType>
    <b:Guid>{B0120FAF-0793-480A-A597-A9814F19701A}</b:Guid>
    <b:Title>İŞSİZLİĞİN PSİKO-SOSYAL SONUÇLARININ İNCELENMESİ (ANKARA ÖRNEĞİ)</b:Title>
    <b:JournalName>C.Ü. İktisadi ve İdari Bilimler Dergisi,</b:JournalName>
    <b:Year>2003</b:Year>
    <b:Pages>35</b:Pages>
    <b:Author>
      <b:Author>
        <b:NameList>
          <b:Person>
            <b:Last>Yüksel </b:Last>
            <b:First>İhsan</b:First>
          </b:Person>
        </b:NameList>
      </b:Author>
    </b:Author>
    <b:RefOrder>12</b:RefOrder>
  </b:Source>
  <b:Source>
    <b:Tag>Yük05</b:Tag>
    <b:SourceType>JournalArticle</b:SourceType>
    <b:Guid>{09EA686D-F76B-4327-B8B0-704164A74D9F}</b:Guid>
    <b:Title>İşsizlik  Olgusunun Psikolojik Boyutu: Görgül Bir Araştırması</b:Title>
    <b:JournalName>Ankara Üniversitesi SBF Dergisi</b:JournalName>
    <b:Year>2005</b:Year>
    <b:Pages>255-274</b:Pages>
    <b:Author>
      <b:Author>
        <b:NameList>
          <b:Person>
            <b:Last>Yüksel</b:Last>
            <b:First>İlhan </b:First>
          </b:Person>
        </b:NameList>
      </b:Author>
    </b:Author>
    <b:RefOrder>13</b:RefOrder>
  </b:Source>
  <b:Source>
    <b:Tag>Üns09</b:Tag>
    <b:SourceType>Book</b:SourceType>
    <b:Guid>{730A613C-3E49-4C65-BCB5-9C2AD3DA05F9}</b:Guid>
    <b:Title>Makro Ekonomi</b:Title>
    <b:Year>2009</b:Year>
    <b:Author>
      <b:Author>
        <b:NameList>
          <b:Person>
            <b:Last>Ünsal</b:Last>
            <b:First>Erdal</b:First>
          </b:Person>
        </b:NameList>
      </b:Author>
    </b:Author>
    <b:City>Ankara</b:City>
    <b:Publisher>İmaj Yayıncılık</b:Publisher>
    <b:RefOrder>14</b:RefOrder>
  </b:Source>
  <b:Source>
    <b:Tag>Alp00</b:Tag>
    <b:SourceType>JournalArticle</b:SourceType>
    <b:Guid>{61758B21-3508-4A49-8F4B-A187A49CB3C3}</b:Guid>
    <b:Title>Kanun Hükmünde Kararnamelerle Sosyal Güvenlik Reformu</b:Title>
    <b:JournalName>İşveren Dergisi</b:JournalName>
    <b:Year>2000</b:Year>
    <b:Pages>305</b:Pages>
    <b:Author>
      <b:Author>
        <b:NameList>
          <b:Person>
            <b:Last>Alper </b:Last>
            <b:First>Yusuf</b:First>
          </b:Person>
        </b:NameList>
      </b:Author>
    </b:Author>
    <b:RefOrder>15</b:RefOrder>
  </b:Source>
  <b:Source>
    <b:Tag>Küç12</b:Tag>
    <b:SourceType>Misc</b:SourceType>
    <b:Guid>{74378EE0-D9D6-4E04-A605-F4B07AF1526E}</b:Guid>
    <b:Title>Türkiye’de İşsizlik Sigortasının Kapsamı ve İşsizlik ve İstihdam Süresi Açısından Değerlendirilmesi</b:Title>
    <b:Year>20012</b:Year>
    <b:Author>
      <b:Author>
        <b:NameList>
          <b:Person>
            <b:Last>Küçükbayrak</b:Last>
            <b:First>Müşerref</b:First>
          </b:Person>
        </b:NameList>
      </b:Author>
    </b:Author>
    <b:PublicationTitle>Uzmanlık Tezi</b:PublicationTitle>
    <b:City>Ankara</b:City>
    <b:Publisher>Sosyal Sektör ve Koordinasyon Genel Müdürlüğü</b:Publisher>
    <b:RefOrder>5</b:RefOrder>
  </b:Source>
  <b:Source>
    <b:Tag>Biç00</b:Tag>
    <b:SourceType>Book</b:SourceType>
    <b:Guid>{18A62611-F820-452D-9C2A-BD9BA18170DF}</b:Guid>
    <b:Title>Çalışma Ekonomisi</b:Title>
    <b:Year>2000</b:Year>
    <b:City>İstanbul</b:City>
    <b:Publisher>Beta Yayınları</b:Publisher>
    <b:Author>
      <b:Author>
        <b:NameList>
          <b:Person>
            <b:Last>Biçerli</b:Last>
            <b:First>M. Kemal</b:First>
          </b:Person>
        </b:NameList>
      </b:Author>
    </b:Author>
    <b:RefOrder>16</b:RefOrder>
  </b:Source>
  <b:Source>
    <b:Tag>Şah121</b:Tag>
    <b:SourceType>Misc</b:SourceType>
    <b:Guid>{15E48B67-E047-449F-9ED5-DE3A2ADA8555}</b:Guid>
    <b:Title>Türkiye'de Tüfe ve Tefe Üzerine Sektörel Enflasyon Direnci</b:Title>
    <b:Year>2012</b:Year>
    <b:StateProvince>Konya</b:StateProvince>
    <b:Publisher>Selçuk Üniversitesi Sosyal Bilimler Enstitüsü</b:Publisher>
    <b:Author>
      <b:Author>
        <b:NameList>
          <b:Person>
            <b:Last>Şahin </b:Last>
            <b:First>Afşin</b:First>
          </b:Person>
        </b:NameList>
      </b:Author>
    </b:Author>
    <b:RefOrder>17</b:RefOrder>
  </b:Source>
  <b:Source>
    <b:Tag>Taş16</b:Tag>
    <b:SourceType>JournalArticle</b:SourceType>
    <b:Guid>{77362910-E222-4ECA-B29E-C9F87C621485}</b:Guid>
    <b:Title>Avrupa Birliği ve Türkiye'de İşsizlik Sigortasının Sosyo-Ekonomik Açıdan Karşılaştırılması</b:Title>
    <b:Year>2016</b:Year>
    <b:JournalName>Emek ve Toplum Dergisi</b:JournalName>
    <b:Pages>32</b:Pages>
    <b:Author>
      <b:Author>
        <b:NameList>
          <b:Person>
            <b:Last>Taş</b:Last>
            <b:First>H. Yunus</b:First>
          </b:Person>
        </b:NameList>
      </b:Author>
    </b:Author>
    <b:RefOrder>18</b:RefOrder>
  </b:Source>
  <b:Source>
    <b:Tag>Kor07</b:Tag>
    <b:SourceType>Book</b:SourceType>
    <b:Guid>{2059B95E-D6D1-4E97-8ED4-A10B8BCFB90F}</b:Guid>
    <b:Title> İşsizlikle Mücadelede Emek Piyasası Politikaları, Türkiye ve AB Ülkeleri</b:Title>
    <b:Year>2007</b:Year>
    <b:City>Bursa</b:City>
    <b:Publisher>Ekin Basım Yayın</b:Publisher>
    <b:Author>
      <b:Author>
        <b:NameList>
          <b:Person>
            <b:Last>Korkmaz</b:Last>
            <b:First>Adem</b:First>
          </b:Person>
          <b:Person>
            <b:Last>Mahiroğulları</b:Last>
            <b:First>Adnan</b:First>
          </b:Person>
        </b:NameList>
      </b:Author>
    </b:Author>
    <b:RefOrder>19</b:RefOrder>
  </b:Source>
  <b:Source>
    <b:Tag>Biç11</b:Tag>
    <b:SourceType>Book</b:SourceType>
    <b:Guid>{E9F25284-BC51-41C8-AE94-BB59507ECFD3}</b:Guid>
    <b:Title>Çalışma Ekonomisi</b:Title>
    <b:Year>2011</b:Year>
    <b:City>İstanbul</b:City>
    <b:Publisher>Beta Yayınları</b:Publisher>
    <b:Author>
      <b:Author>
        <b:NameList>
          <b:Person>
            <b:Last>Biçerli </b:Last>
            <b:First>M. Kemal</b:First>
          </b:Person>
        </b:NameList>
      </b:Author>
    </b:Author>
    <b:RefOrder>6</b:RefOrder>
  </b:Source>
  <b:Source>
    <b:Tag>Özl11</b:Tag>
    <b:SourceType>Book</b:SourceType>
    <b:Guid>{14B7B7AB-ACC7-45D3-959B-4E5D416870D8}</b:Guid>
    <b:Author>
      <b:Author>
        <b:NameList>
          <b:Person>
            <b:Last>IŞIĞIÇOK</b:Last>
            <b:First>Özlem</b:First>
          </b:Person>
        </b:NameList>
      </b:Author>
    </b:Author>
    <b:Title>İstihdam ve İşsizlik </b:Title>
    <b:Year>2011</b:Year>
    <b:City>Bursa</b:City>
    <b:Publisher>Ekin Basım Yayın Dağıtım</b:Publisher>
    <b:RefOrder>20</b:RefOrder>
  </b:Source>
  <b:Source>
    <b:Tag>Bir99</b:Tag>
    <b:SourceType>Book</b:SourceType>
    <b:Guid>{38A5D31D-CB5F-4064-8FBB-39C8909B488C}</b:Guid>
    <b:Author>
      <b:Author>
        <b:NameList>
          <b:Person>
            <b:Last>ERSEL</b:Last>
            <b:First>Birsen</b:First>
          </b:Person>
        </b:NameList>
      </b:Author>
    </b:Author>
    <b:Title>Türkiye'de İşsizlik ve İşsizlik sigortası</b:Title>
    <b:Year>1999</b:Year>
    <b:City>İstanbul</b:City>
    <b:Publisher>Dilek Ofset Matbaacılık</b:Publisher>
    <b:RefOrder>21</b:RefOrder>
  </b:Source>
  <b:Source>
    <b:Tag>Sof99</b:Tag>
    <b:SourceType>Misc</b:SourceType>
    <b:Guid>{70723332-49EC-43BD-BE56-BFB2359A1112}</b:Guid>
    <b:Title> Prafiskal Bir yükümlülük olarak işsizlik</b:Title>
    <b:Year>1999</b:Year>
    <b:StateProvince>İstanbul</b:StateProvince>
    <b:Publisher>Marmara Üniversitesi Sosyal Bilimler Enstitüsü</b:Publisher>
    <b:Author>
      <b:Author>
        <b:NameList>
          <b:Person>
            <b:Last>Sofracı</b:Last>
            <b:First>İ. Erdem</b:First>
          </b:Person>
        </b:NameList>
      </b:Author>
    </b:Author>
    <b:RefOrder>22</b:RefOrder>
  </b:Source>
  <b:Source>
    <b:Tag>Tör91</b:Tag>
    <b:SourceType>Book</b:SourceType>
    <b:Guid>{CC0D0960-E54B-4034-887E-45175C1C7DB1}</b:Guid>
    <b:Title>İşsizlik Sigortası</b:Title>
    <b:Year>1991</b:Year>
    <b:City>İstanbul</b:City>
    <b:Publisher>Friedrich Ebert Vakfı</b:Publisher>
    <b:Author>
      <b:Author>
        <b:NameList>
          <b:Person>
            <b:Last>Törüner</b:Last>
            <b:First>Mete</b:First>
          </b:Person>
        </b:NameList>
      </b:Author>
    </b:Author>
    <b:RefOrder>23</b:RefOrder>
  </b:Source>
  <b:Source>
    <b:Tag>Uğu11</b:Tag>
    <b:SourceType>JournalArticle</b:SourceType>
    <b:Guid>{FE74A8B7-5BC2-43CA-9A3E-043ACBF52CCD}</b:Guid>
    <b:Title>Türkiye'de İşsizlik Sigortası'nın Gelişimi</b:Title>
    <b:Year>2011</b:Year>
    <b:JournalName>Dergipark</b:JournalName>
    <b:Pages>101</b:Pages>
    <b:Author>
      <b:Author>
        <b:NameList>
          <b:Person>
            <b:Last>Uğur </b:Last>
            <b:First>Suat</b:First>
          </b:Person>
        </b:NameList>
      </b:Author>
    </b:Author>
    <b:RefOrder>24</b:RefOrder>
  </b:Source>
  <b:Source>
    <b:Tag>Atk91</b:Tag>
    <b:SourceType>JournalArticle</b:SourceType>
    <b:Guid>{D968C7D6-AB62-4A62-A319-99C354F9522F}</b:Guid>
    <b:Title>Unemployment Compensation and Labor Market Transitions: A Critical Review</b:Title>
    <b:Year>1991</b:Year>
    <b:Author>
      <b:Author>
        <b:NameList>
          <b:Person>
            <b:Last>Atkinson</b:Last>
            <b:Middle>B.</b:Middle>
            <b:First>Anthony</b:First>
          </b:Person>
          <b:Person>
            <b:Last>Micklewiright </b:Last>
            <b:First>john</b:First>
          </b:Person>
        </b:NameList>
      </b:Author>
    </b:Author>
    <b:JournalName> American Economic Association</b:JournalName>
    <b:RefOrder>25</b:RefOrder>
  </b:Source>
  <b:Source>
    <b:Tag>Lim06</b:Tag>
    <b:SourceType>Misc</b:SourceType>
    <b:Guid>{541B5455-1BDC-40B4-829F-1D74BE281D29}</b:Guid>
    <b:Title>Mukayeseli Hukuk ve Türk Hukukunda İşsizlik Sigortası</b:Title>
    <b:Year>2006</b:Year>
    <b:PublicationTitle>Doktora Tezi</b:PublicationTitle>
    <b:StateProvince>İzmir</b:StateProvince>
    <b:Publisher>Dokuz Eylül Üniversitesi Sosyal Bilimler Enstitüsü</b:Publisher>
    <b:Author>
      <b:Author>
        <b:NameList>
          <b:Person>
            <b:Last>Limoncuoğlu </b:Last>
            <b:Middle>Alp</b:Middle>
            <b:First>Siyami </b:First>
          </b:Person>
        </b:NameList>
      </b:Author>
    </b:Author>
    <b:RefOrder>7</b:RefOrder>
  </b:Source>
  <b:Source>
    <b:Tag>Abb04</b:Tag>
    <b:SourceType>Book</b:SourceType>
    <b:Guid>{0C798969-25CA-4D5F-98FA-52B7E4C3F76B}</b:Guid>
    <b:Title>İş Hukukunda Bütün Yönleriyle Kıdem Tazminatı ve Uygulaması</b:Title>
    <b:Year>2004</b:Year>
    <b:City>İstanbul </b:City>
    <b:Publisher>Yasa Yayınları</b:Publisher>
    <b:Author>
      <b:Author>
        <b:NameList>
          <b:Person>
            <b:Last>Abbasgil </b:Last>
            <b:First>Cengiz</b:First>
          </b:Person>
        </b:NameList>
      </b:Author>
    </b:Author>
    <b:RefOrder>26</b:RefOrder>
  </b:Source>
  <b:Source>
    <b:Tag>Aky08</b:Tag>
    <b:SourceType>Book</b:SourceType>
    <b:Guid>{4C6971DE-18BF-4E45-8691-35A5E3EDFF73}</b:Guid>
    <b:Title>İçtihatlı ve Açıklamalı 4857 sayılı İş Kanunu Şerhi</b:Title>
    <b:Year>2008</b:Year>
    <b:City>İstanbul</b:City>
    <b:Publisher>Seçkin Yayınları</b:Publisher>
    <b:Author>
      <b:Author>
        <b:NameList>
          <b:Person>
            <b:Last>Akyiğit </b:Last>
            <b:First>Ercan </b:First>
          </b:Person>
        </b:NameList>
      </b:Author>
    </b:Author>
    <b:RefOrder>27</b:RefOrder>
  </b:Source>
  <b:Source>
    <b:Tag>Aky99</b:Tag>
    <b:SourceType>Book</b:SourceType>
    <b:Guid>{D055374D-18B9-49DD-9138-23CA1F11E182}</b:Guid>
    <b:Title>Kıdem Tazmînatı (Öğreti-Uygulama)</b:Title>
    <b:Year>1999</b:Year>
    <b:City>Ankara</b:City>
    <b:Publisher>Seçkin Yayınevi</b:Publisher>
    <b:Author>
      <b:Author>
        <b:NameList>
          <b:Person>
            <b:Last>Akyiğit </b:Last>
            <b:First>Ercan</b:First>
          </b:Person>
        </b:NameList>
      </b:Author>
    </b:Author>
    <b:RefOrder>28</b:RefOrder>
  </b:Source>
  <b:Source>
    <b:Tag>Erk07</b:Tag>
    <b:SourceType>JournalArticle</b:SourceType>
    <b:Guid>{FA85FEDD-70D4-423C-AFAE-D96846B31D11}</b:Guid>
    <b:Title>İstihdam Politikaları, Esneklik ve Özel İstihdam Büroları</b:Title>
    <b:Year>2007</b:Year>
    <b:JournalName>TİSK İşveren Dergisi</b:JournalName>
    <b:Pages>3</b:Pages>
    <b:Author>
      <b:Author>
        <b:NameList>
          <b:Person>
            <b:Last>Erkekli</b:Last>
            <b:First>Ferit</b:First>
          </b:Person>
        </b:NameList>
      </b:Author>
    </b:Author>
    <b:RefOrder>29</b:RefOrder>
  </b:Source>
  <b:Source>
    <b:Tag>Nic97</b:Tag>
    <b:SourceType>JournalArticle</b:SourceType>
    <b:Guid>{C632BF12-1964-4A87-B1DB-03CD1F10FDEF}</b:Guid>
    <b:Title>Unemployment and Labor Market Rigidities: Europe versus North America</b:Title>
    <b:Year>1997</b:Year>
    <b:Author>
      <b:Author>
        <b:NameList>
          <b:Person>
            <b:Last>Nickell</b:Last>
            <b:First>Stephen</b:First>
          </b:Person>
        </b:NameList>
      </b:Author>
    </b:Author>
    <b:JournalName>Journal of Economic Perspectives,</b:JournalName>
    <b:Pages>54-77</b:Pages>
    <b:RefOrder>30</b:RefOrder>
  </b:Source>
  <b:Source>
    <b:Tag>Nic05</b:Tag>
    <b:SourceType>JournalArticle</b:SourceType>
    <b:Guid>{ECB434AB-A42C-4260-A364-F9042368C53E}</b:Guid>
    <b:Title>Unemployment in the OECD Since the 1960s.What Do We Know?</b:Title>
    <b:Year>2005</b:Year>
    <b:Author>
      <b:Author>
        <b:NameList>
          <b:Person>
            <b:Last>Nickell</b:Last>
            <b:First>Stephen</b:First>
          </b:Person>
          <b:Person>
            <b:Last>Nunziata</b:Last>
            <b:First>Luca </b:First>
          </b:Person>
          <b:Person>
            <b:Last>Ochel</b:Last>
            <b:First>Wolfgang </b:First>
          </b:Person>
        </b:NameList>
      </b:Author>
    </b:Author>
    <b:JournalName>Economic Journal</b:JournalName>
    <b:Pages>1-27</b:Pages>
    <b:RefOrder>31</b:RefOrder>
  </b:Source>
  <b:Source>
    <b:Tag>Sto14</b:Tag>
    <b:SourceType>JournalArticle</b:SourceType>
    <b:Guid>{9CAD5A48-4342-4CF1-A382-DDC97AE7577D}</b:Guid>
    <b:Title>Unemployment, Capital Accumulation and Labour Market Institutions in the Great Recession</b:Title>
    <b:JournalName> European Journal of Economics and Economic Policies: Intervention</b:JournalName>
    <b:Year>2014</b:Year>
    <b:Pages>182-194</b:Pages>
    <b:Author>
      <b:Author>
        <b:NameList>
          <b:Person>
            <b:Last>Stockhammer</b:Last>
            <b:First>Engelbert </b:First>
          </b:Person>
          <b:Person>
            <b:Last>Guschanski</b:Last>
            <b:First>Alexander </b:First>
          </b:Person>
          <b:Person>
            <b:Last>Köhler</b:Last>
            <b:First>Karsten </b:First>
          </b:Person>
        </b:NameList>
      </b:Author>
    </b:Author>
    <b:RefOrder>32</b:RefOrder>
  </b:Source>
  <b:Source>
    <b:Tag>Uya00</b:Tag>
    <b:SourceType>Book</b:SourceType>
    <b:Guid>{C605BCA0-BF71-4560-80AE-091741FAFD22}</b:Guid>
    <b:Title>Genel İktisat</b:Title>
    <b:Year>2000</b:Year>
    <b:City>Bursa</b:City>
    <b:Publisher>Ekin Kitapevi</b:Publisher>
    <b:Author>
      <b:Author>
        <b:NameList>
          <b:Person>
            <b:Last>Unay</b:Last>
            <b:First>Cafer</b:First>
          </b:Person>
        </b:NameList>
      </b:Author>
    </b:Author>
    <b:RefOrder>1</b:RefOrder>
  </b:Source>
</b:Sources>
</file>

<file path=customXml/itemProps1.xml><?xml version="1.0" encoding="utf-8"?>
<ds:datastoreItem xmlns:ds="http://schemas.openxmlformats.org/officeDocument/2006/customXml" ds:itemID="{76F9FCD2-B4E0-4EB7-BA86-3BA9DA50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7344</Words>
  <Characters>41867</Characters>
  <Application>Microsoft Office Word</Application>
  <DocSecurity>0</DocSecurity>
  <Lines>348</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49113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ometin</dc:creator>
  <cp:lastModifiedBy>BERNA</cp:lastModifiedBy>
  <cp:revision>3</cp:revision>
  <dcterms:created xsi:type="dcterms:W3CDTF">2021-07-31T19:36:00Z</dcterms:created>
  <dcterms:modified xsi:type="dcterms:W3CDTF">2021-07-31T19:36:00Z</dcterms:modified>
</cp:coreProperties>
</file>