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C73" w:rsidRDefault="000F197E" w:rsidP="00776387">
      <w:pPr>
        <w:spacing w:after="120" w:line="240" w:lineRule="auto"/>
        <w:ind w:left="709"/>
        <w:jc w:val="center"/>
        <w:rPr>
          <w:rFonts w:ascii="Times New Roman" w:hAnsi="Times New Roman" w:cs="Times New Roman"/>
          <w:b/>
          <w:sz w:val="24"/>
          <w:szCs w:val="24"/>
        </w:rPr>
      </w:pPr>
      <w:r>
        <w:rPr>
          <w:rFonts w:ascii="Times New Roman" w:hAnsi="Times New Roman" w:cs="Times New Roman"/>
          <w:b/>
          <w:sz w:val="24"/>
          <w:szCs w:val="24"/>
        </w:rPr>
        <w:t xml:space="preserve"> </w:t>
      </w:r>
      <w:r w:rsidR="00517728" w:rsidRPr="00776387">
        <w:rPr>
          <w:rFonts w:ascii="Times New Roman" w:hAnsi="Times New Roman" w:cs="Times New Roman"/>
          <w:b/>
          <w:sz w:val="24"/>
          <w:szCs w:val="24"/>
        </w:rPr>
        <w:t>ENTROPİ VE EDAS YÖNTEMLERİ İLE AVRUPA VE ORTA ASYA ÜLKELERİNİN İŞ YAPMA KOLAYLIĞI BAKIMINDAN İNCELENMESİ</w:t>
      </w:r>
    </w:p>
    <w:p w:rsidR="001954F3" w:rsidRPr="00776387" w:rsidRDefault="001954F3" w:rsidP="00776387">
      <w:pPr>
        <w:spacing w:after="120" w:line="240" w:lineRule="auto"/>
        <w:ind w:left="709"/>
        <w:jc w:val="center"/>
        <w:rPr>
          <w:rFonts w:ascii="Times New Roman" w:hAnsi="Times New Roman" w:cs="Times New Roman"/>
          <w:b/>
          <w:sz w:val="24"/>
          <w:szCs w:val="24"/>
        </w:rPr>
      </w:pPr>
    </w:p>
    <w:p w:rsidR="00517728" w:rsidRPr="00776387" w:rsidRDefault="007925C2" w:rsidP="00A84490">
      <w:pPr>
        <w:spacing w:before="120" w:after="120" w:line="240" w:lineRule="auto"/>
        <w:ind w:firstLine="708"/>
        <w:jc w:val="center"/>
        <w:rPr>
          <w:rFonts w:ascii="Times New Roman" w:hAnsi="Times New Roman" w:cs="Times New Roman"/>
          <w:b/>
          <w:i/>
          <w:sz w:val="24"/>
          <w:szCs w:val="24"/>
        </w:rPr>
      </w:pPr>
      <w:r w:rsidRPr="00776387">
        <w:rPr>
          <w:rFonts w:ascii="Times New Roman" w:hAnsi="Times New Roman" w:cs="Times New Roman"/>
          <w:b/>
          <w:i/>
          <w:sz w:val="24"/>
          <w:szCs w:val="24"/>
        </w:rPr>
        <w:t>Özet</w:t>
      </w:r>
    </w:p>
    <w:p w:rsidR="00446425" w:rsidRPr="00776387" w:rsidRDefault="00517728" w:rsidP="00776387">
      <w:pPr>
        <w:spacing w:after="120" w:line="240" w:lineRule="auto"/>
        <w:ind w:firstLine="708"/>
        <w:jc w:val="both"/>
        <w:rPr>
          <w:rFonts w:ascii="Times New Roman" w:hAnsi="Times New Roman" w:cs="Times New Roman"/>
          <w:i/>
          <w:sz w:val="20"/>
          <w:szCs w:val="20"/>
        </w:rPr>
      </w:pPr>
      <w:r w:rsidRPr="00776387">
        <w:rPr>
          <w:rFonts w:ascii="Times New Roman" w:hAnsi="Times New Roman" w:cs="Times New Roman"/>
          <w:i/>
          <w:sz w:val="20"/>
          <w:szCs w:val="20"/>
        </w:rPr>
        <w:t>Ülkelerin ekonomik kalkınma ve sürdürülebilir büyümelerini sağla</w:t>
      </w:r>
      <w:r w:rsidR="005505C6" w:rsidRPr="00776387">
        <w:rPr>
          <w:rFonts w:ascii="Times New Roman" w:hAnsi="Times New Roman" w:cs="Times New Roman"/>
          <w:i/>
          <w:sz w:val="20"/>
          <w:szCs w:val="20"/>
        </w:rPr>
        <w:t xml:space="preserve">yabilmek için </w:t>
      </w:r>
      <w:r w:rsidRPr="00776387">
        <w:rPr>
          <w:rFonts w:ascii="Times New Roman" w:hAnsi="Times New Roman" w:cs="Times New Roman"/>
          <w:i/>
          <w:sz w:val="20"/>
          <w:szCs w:val="20"/>
        </w:rPr>
        <w:t>alt yapı</w:t>
      </w:r>
      <w:r w:rsidR="005505C6" w:rsidRPr="00776387">
        <w:rPr>
          <w:rFonts w:ascii="Times New Roman" w:hAnsi="Times New Roman" w:cs="Times New Roman"/>
          <w:i/>
          <w:sz w:val="20"/>
          <w:szCs w:val="20"/>
        </w:rPr>
        <w:t xml:space="preserve"> yatırımlarını</w:t>
      </w:r>
      <w:r w:rsidRPr="00776387">
        <w:rPr>
          <w:rFonts w:ascii="Times New Roman" w:hAnsi="Times New Roman" w:cs="Times New Roman"/>
          <w:i/>
          <w:sz w:val="20"/>
          <w:szCs w:val="20"/>
        </w:rPr>
        <w:t xml:space="preserve"> ve </w:t>
      </w:r>
      <w:r w:rsidR="005505C6" w:rsidRPr="00776387">
        <w:rPr>
          <w:rFonts w:ascii="Times New Roman" w:hAnsi="Times New Roman" w:cs="Times New Roman"/>
          <w:i/>
          <w:sz w:val="20"/>
          <w:szCs w:val="20"/>
        </w:rPr>
        <w:t xml:space="preserve">hukuksal düzenlemelerini </w:t>
      </w:r>
      <w:r w:rsidR="00973568" w:rsidRPr="00776387">
        <w:rPr>
          <w:rFonts w:ascii="Times New Roman" w:hAnsi="Times New Roman" w:cs="Times New Roman"/>
          <w:i/>
          <w:sz w:val="20"/>
          <w:szCs w:val="20"/>
        </w:rPr>
        <w:t xml:space="preserve">evrensel ölçekte </w:t>
      </w:r>
      <w:r w:rsidR="005505C6" w:rsidRPr="00776387">
        <w:rPr>
          <w:rFonts w:ascii="Times New Roman" w:hAnsi="Times New Roman" w:cs="Times New Roman"/>
          <w:i/>
          <w:sz w:val="20"/>
          <w:szCs w:val="20"/>
        </w:rPr>
        <w:t xml:space="preserve">yapmış olmaları çok önemlidir. Ülkeler yabancı doğrudan yatırım çekebilmek </w:t>
      </w:r>
      <w:r w:rsidR="00DA5EE0" w:rsidRPr="00776387">
        <w:rPr>
          <w:rFonts w:ascii="Times New Roman" w:hAnsi="Times New Roman" w:cs="Times New Roman"/>
          <w:i/>
          <w:sz w:val="20"/>
          <w:szCs w:val="20"/>
        </w:rPr>
        <w:t xml:space="preserve">altyapı yatırımları ve mevzuat düzenlemelerini evrensel ölçekte ve rekabet edebilir şekilde yapmak zorundadırlar. Çünkü </w:t>
      </w:r>
      <w:r w:rsidR="001F43E4" w:rsidRPr="00776387">
        <w:rPr>
          <w:rFonts w:ascii="Times New Roman" w:hAnsi="Times New Roman" w:cs="Times New Roman"/>
          <w:i/>
          <w:sz w:val="20"/>
          <w:szCs w:val="20"/>
        </w:rPr>
        <w:t xml:space="preserve">doğrudan yatırım yapmak isteyen firmalar maliyetlerin düşük olduğu, risklerin ölçülebilir ve yönetilebilir olduğu </w:t>
      </w:r>
      <w:r w:rsidR="00973568" w:rsidRPr="00776387">
        <w:rPr>
          <w:rFonts w:ascii="Times New Roman" w:hAnsi="Times New Roman" w:cs="Times New Roman"/>
          <w:i/>
          <w:sz w:val="20"/>
          <w:szCs w:val="20"/>
        </w:rPr>
        <w:t>alanları yatırım alanı olarak seçmek</w:t>
      </w:r>
      <w:r w:rsidR="001F43E4" w:rsidRPr="00776387">
        <w:rPr>
          <w:rFonts w:ascii="Times New Roman" w:hAnsi="Times New Roman" w:cs="Times New Roman"/>
          <w:i/>
          <w:sz w:val="20"/>
          <w:szCs w:val="20"/>
        </w:rPr>
        <w:t xml:space="preserve">tedirler. </w:t>
      </w:r>
    </w:p>
    <w:p w:rsidR="00446425" w:rsidRDefault="00C32EBC" w:rsidP="00776387">
      <w:pPr>
        <w:spacing w:after="120" w:line="240" w:lineRule="auto"/>
        <w:ind w:firstLine="708"/>
        <w:jc w:val="both"/>
        <w:rPr>
          <w:rFonts w:ascii="Times New Roman" w:hAnsi="Times New Roman" w:cs="Times New Roman"/>
          <w:i/>
          <w:sz w:val="20"/>
          <w:szCs w:val="20"/>
        </w:rPr>
      </w:pPr>
      <w:r w:rsidRPr="00776387">
        <w:rPr>
          <w:rFonts w:ascii="Times New Roman" w:hAnsi="Times New Roman" w:cs="Times New Roman"/>
          <w:i/>
          <w:sz w:val="20"/>
          <w:szCs w:val="20"/>
        </w:rPr>
        <w:t xml:space="preserve">Bu çalışmada Avrupa ve Asya ülkeleri iş yapma kolaylığı bakımından ENTROPİ ve EDAS yöntemleri ile incelenmiştir. Ülkeler iş yapma kolaylığı, sözleşmelerin yürütülme süresi ve güvenilirliği, </w:t>
      </w:r>
      <w:r w:rsidR="004D6833" w:rsidRPr="00776387">
        <w:rPr>
          <w:rFonts w:ascii="Times New Roman" w:hAnsi="Times New Roman" w:cs="Times New Roman"/>
          <w:i/>
          <w:sz w:val="20"/>
          <w:szCs w:val="20"/>
        </w:rPr>
        <w:t xml:space="preserve">vergi oranları, dış ticaret yapabilme kolaylığı gibi çeşitli </w:t>
      </w:r>
      <w:proofErr w:type="gramStart"/>
      <w:r w:rsidR="004D6833" w:rsidRPr="00776387">
        <w:rPr>
          <w:rFonts w:ascii="Times New Roman" w:hAnsi="Times New Roman" w:cs="Times New Roman"/>
          <w:i/>
          <w:sz w:val="20"/>
          <w:szCs w:val="20"/>
        </w:rPr>
        <w:t>kriterlere</w:t>
      </w:r>
      <w:proofErr w:type="gramEnd"/>
      <w:r w:rsidR="004D6833" w:rsidRPr="00776387">
        <w:rPr>
          <w:rFonts w:ascii="Times New Roman" w:hAnsi="Times New Roman" w:cs="Times New Roman"/>
          <w:i/>
          <w:sz w:val="20"/>
          <w:szCs w:val="20"/>
        </w:rPr>
        <w:t xml:space="preserve"> göre incelenm</w:t>
      </w:r>
      <w:r w:rsidR="00DF1A81" w:rsidRPr="00776387">
        <w:rPr>
          <w:rFonts w:ascii="Times New Roman" w:hAnsi="Times New Roman" w:cs="Times New Roman"/>
          <w:i/>
          <w:sz w:val="20"/>
          <w:szCs w:val="20"/>
        </w:rPr>
        <w:t xml:space="preserve">iştir. Değerlendirme </w:t>
      </w:r>
      <w:proofErr w:type="gramStart"/>
      <w:r w:rsidR="00DF1A81" w:rsidRPr="00776387">
        <w:rPr>
          <w:rFonts w:ascii="Times New Roman" w:hAnsi="Times New Roman" w:cs="Times New Roman"/>
          <w:i/>
          <w:sz w:val="20"/>
          <w:szCs w:val="20"/>
        </w:rPr>
        <w:t>kriterlerine</w:t>
      </w:r>
      <w:proofErr w:type="gramEnd"/>
      <w:r w:rsidR="00DF1A81" w:rsidRPr="00776387">
        <w:rPr>
          <w:rFonts w:ascii="Times New Roman" w:hAnsi="Times New Roman" w:cs="Times New Roman"/>
          <w:i/>
          <w:sz w:val="20"/>
          <w:szCs w:val="20"/>
        </w:rPr>
        <w:t xml:space="preserve"> ait veriler </w:t>
      </w:r>
      <w:r w:rsidR="004D6833" w:rsidRPr="00776387">
        <w:rPr>
          <w:rFonts w:ascii="Times New Roman" w:hAnsi="Times New Roman" w:cs="Times New Roman"/>
          <w:i/>
          <w:sz w:val="20"/>
          <w:szCs w:val="20"/>
        </w:rPr>
        <w:t>OECD</w:t>
      </w:r>
      <w:r w:rsidR="00D557F3" w:rsidRPr="00776387">
        <w:rPr>
          <w:rFonts w:ascii="Times New Roman" w:hAnsi="Times New Roman" w:cs="Times New Roman"/>
          <w:i/>
          <w:sz w:val="20"/>
          <w:szCs w:val="20"/>
        </w:rPr>
        <w:t xml:space="preserve">’nin ülkelerde yapmış olduğu anketlerle derlemiş olduğu </w:t>
      </w:r>
      <w:r w:rsidR="004D6833" w:rsidRPr="00776387">
        <w:rPr>
          <w:rFonts w:ascii="Times New Roman" w:hAnsi="Times New Roman" w:cs="Times New Roman"/>
          <w:i/>
          <w:sz w:val="20"/>
          <w:szCs w:val="20"/>
        </w:rPr>
        <w:t xml:space="preserve">verilerinden elde edilmiştir. Analizde </w:t>
      </w:r>
      <w:proofErr w:type="gramStart"/>
      <w:r w:rsidR="004D6833" w:rsidRPr="00776387">
        <w:rPr>
          <w:rFonts w:ascii="Times New Roman" w:hAnsi="Times New Roman" w:cs="Times New Roman"/>
          <w:i/>
          <w:sz w:val="20"/>
          <w:szCs w:val="20"/>
        </w:rPr>
        <w:t>kriter</w:t>
      </w:r>
      <w:proofErr w:type="gramEnd"/>
      <w:r w:rsidR="004D6833" w:rsidRPr="00776387">
        <w:rPr>
          <w:rFonts w:ascii="Times New Roman" w:hAnsi="Times New Roman" w:cs="Times New Roman"/>
          <w:i/>
          <w:sz w:val="20"/>
          <w:szCs w:val="20"/>
        </w:rPr>
        <w:t xml:space="preserve"> ağırlıkları ENTROPİ yöntemi ile belirlenmiştir. Ülkelerin iş yapma kolaylığı </w:t>
      </w:r>
      <w:r w:rsidR="00D9026F" w:rsidRPr="00776387">
        <w:rPr>
          <w:rFonts w:ascii="Times New Roman" w:hAnsi="Times New Roman" w:cs="Times New Roman"/>
          <w:i/>
          <w:sz w:val="20"/>
          <w:szCs w:val="20"/>
        </w:rPr>
        <w:t xml:space="preserve">açısından sıralanmasında EDAS yöntemi kullanılmıştır. Çalışma sonuçlarına göre </w:t>
      </w:r>
      <w:r w:rsidR="006E53E6" w:rsidRPr="00776387">
        <w:rPr>
          <w:rFonts w:ascii="Times New Roman" w:hAnsi="Times New Roman" w:cs="Times New Roman"/>
          <w:i/>
          <w:sz w:val="20"/>
          <w:szCs w:val="20"/>
        </w:rPr>
        <w:t>“</w:t>
      </w:r>
      <w:r w:rsidR="00002DA6" w:rsidRPr="00776387">
        <w:rPr>
          <w:rFonts w:ascii="Times New Roman" w:hAnsi="Times New Roman" w:cs="Times New Roman"/>
          <w:i/>
          <w:sz w:val="20"/>
          <w:szCs w:val="20"/>
        </w:rPr>
        <w:t>kurumlar vergisi</w:t>
      </w:r>
      <w:r w:rsidR="00D557F3" w:rsidRPr="00776387">
        <w:rPr>
          <w:rFonts w:ascii="Times New Roman" w:hAnsi="Times New Roman" w:cs="Times New Roman"/>
          <w:i/>
          <w:sz w:val="20"/>
          <w:szCs w:val="20"/>
        </w:rPr>
        <w:t>nin karlılığa</w:t>
      </w:r>
      <w:r w:rsidR="00002DA6" w:rsidRPr="00776387">
        <w:rPr>
          <w:rFonts w:ascii="Times New Roman" w:hAnsi="Times New Roman" w:cs="Times New Roman"/>
          <w:i/>
          <w:sz w:val="20"/>
          <w:szCs w:val="20"/>
        </w:rPr>
        <w:t xml:space="preserve"> oranı</w:t>
      </w:r>
      <w:r w:rsidR="006E53E6" w:rsidRPr="00776387">
        <w:rPr>
          <w:rFonts w:ascii="Times New Roman" w:hAnsi="Times New Roman" w:cs="Times New Roman"/>
          <w:i/>
          <w:sz w:val="20"/>
          <w:szCs w:val="20"/>
        </w:rPr>
        <w:t>”</w:t>
      </w:r>
      <w:r w:rsidR="00002DA6" w:rsidRPr="00776387">
        <w:rPr>
          <w:rFonts w:ascii="Times New Roman" w:hAnsi="Times New Roman" w:cs="Times New Roman"/>
          <w:i/>
          <w:sz w:val="20"/>
          <w:szCs w:val="20"/>
        </w:rPr>
        <w:t xml:space="preserve">, </w:t>
      </w:r>
      <w:r w:rsidR="006E53E6" w:rsidRPr="00776387">
        <w:rPr>
          <w:rFonts w:ascii="Times New Roman" w:hAnsi="Times New Roman" w:cs="Times New Roman"/>
          <w:i/>
          <w:sz w:val="20"/>
          <w:szCs w:val="20"/>
        </w:rPr>
        <w:t>“</w:t>
      </w:r>
      <w:r w:rsidR="00002DA6" w:rsidRPr="00776387">
        <w:rPr>
          <w:rFonts w:ascii="Times New Roman" w:hAnsi="Times New Roman" w:cs="Times New Roman"/>
          <w:i/>
          <w:sz w:val="20"/>
          <w:szCs w:val="20"/>
        </w:rPr>
        <w:t>işgücü vergi oranları</w:t>
      </w:r>
      <w:r w:rsidR="00DF1A81" w:rsidRPr="00776387">
        <w:rPr>
          <w:rFonts w:ascii="Times New Roman" w:hAnsi="Times New Roman" w:cs="Times New Roman"/>
          <w:i/>
          <w:sz w:val="20"/>
          <w:szCs w:val="20"/>
        </w:rPr>
        <w:t>nın karlılığa oranı</w:t>
      </w:r>
      <w:r w:rsidR="006E53E6" w:rsidRPr="00776387">
        <w:rPr>
          <w:rFonts w:ascii="Times New Roman" w:hAnsi="Times New Roman" w:cs="Times New Roman"/>
          <w:i/>
          <w:sz w:val="20"/>
          <w:szCs w:val="20"/>
        </w:rPr>
        <w:t>”</w:t>
      </w:r>
      <w:r w:rsidR="00DF1A81" w:rsidRPr="00776387">
        <w:rPr>
          <w:rFonts w:ascii="Times New Roman" w:hAnsi="Times New Roman" w:cs="Times New Roman"/>
          <w:i/>
          <w:sz w:val="20"/>
          <w:szCs w:val="20"/>
        </w:rPr>
        <w:t xml:space="preserve">, </w:t>
      </w:r>
      <w:r w:rsidR="006E53E6" w:rsidRPr="00776387">
        <w:rPr>
          <w:rFonts w:ascii="Times New Roman" w:hAnsi="Times New Roman" w:cs="Times New Roman"/>
          <w:i/>
          <w:sz w:val="20"/>
          <w:szCs w:val="20"/>
        </w:rPr>
        <w:t>“</w:t>
      </w:r>
      <w:r w:rsidR="00AB3B11">
        <w:rPr>
          <w:rFonts w:ascii="Times New Roman" w:hAnsi="Times New Roman" w:cs="Times New Roman"/>
          <w:i/>
          <w:sz w:val="20"/>
          <w:szCs w:val="20"/>
        </w:rPr>
        <w:t>iflasın çözümlenmesi</w:t>
      </w:r>
      <w:r w:rsidR="006E53E6" w:rsidRPr="00776387">
        <w:rPr>
          <w:rFonts w:ascii="Times New Roman" w:hAnsi="Times New Roman" w:cs="Times New Roman"/>
          <w:i/>
          <w:sz w:val="20"/>
          <w:szCs w:val="20"/>
        </w:rPr>
        <w:t>”</w:t>
      </w:r>
      <w:r w:rsidR="00DF1A81" w:rsidRPr="00776387">
        <w:rPr>
          <w:rFonts w:ascii="Times New Roman" w:hAnsi="Times New Roman" w:cs="Times New Roman"/>
          <w:i/>
          <w:sz w:val="20"/>
          <w:szCs w:val="20"/>
        </w:rPr>
        <w:t xml:space="preserve"> ve </w:t>
      </w:r>
      <w:r w:rsidR="00AB3B11">
        <w:rPr>
          <w:rFonts w:ascii="Times New Roman" w:hAnsi="Times New Roman" w:cs="Times New Roman"/>
          <w:i/>
          <w:sz w:val="20"/>
          <w:szCs w:val="20"/>
        </w:rPr>
        <w:t xml:space="preserve">“sınır ötesi ticaret”, </w:t>
      </w:r>
      <w:r w:rsidR="006E53E6" w:rsidRPr="00776387">
        <w:rPr>
          <w:rFonts w:ascii="Times New Roman" w:hAnsi="Times New Roman" w:cs="Times New Roman"/>
          <w:i/>
          <w:sz w:val="20"/>
          <w:szCs w:val="20"/>
        </w:rPr>
        <w:t>“</w:t>
      </w:r>
      <w:r w:rsidR="00DF1A81" w:rsidRPr="00776387">
        <w:rPr>
          <w:rFonts w:ascii="Times New Roman" w:hAnsi="Times New Roman" w:cs="Times New Roman"/>
          <w:i/>
          <w:sz w:val="20"/>
          <w:szCs w:val="20"/>
        </w:rPr>
        <w:t xml:space="preserve">kredi alabilme </w:t>
      </w:r>
      <w:r w:rsidR="00EC06EE" w:rsidRPr="00776387">
        <w:rPr>
          <w:rFonts w:ascii="Times New Roman" w:hAnsi="Times New Roman" w:cs="Times New Roman"/>
          <w:i/>
          <w:sz w:val="20"/>
          <w:szCs w:val="20"/>
        </w:rPr>
        <w:t>imkânı</w:t>
      </w:r>
      <w:r w:rsidR="006E53E6" w:rsidRPr="00776387">
        <w:rPr>
          <w:rFonts w:ascii="Times New Roman" w:hAnsi="Times New Roman" w:cs="Times New Roman"/>
          <w:i/>
          <w:sz w:val="20"/>
          <w:szCs w:val="20"/>
        </w:rPr>
        <w:t>”</w:t>
      </w:r>
      <w:r w:rsidR="00DF1A81" w:rsidRPr="00776387">
        <w:rPr>
          <w:rFonts w:ascii="Times New Roman" w:hAnsi="Times New Roman" w:cs="Times New Roman"/>
          <w:i/>
          <w:sz w:val="20"/>
          <w:szCs w:val="20"/>
        </w:rPr>
        <w:t xml:space="preserve"> </w:t>
      </w:r>
      <w:proofErr w:type="gramStart"/>
      <w:r w:rsidR="00DF1A81" w:rsidRPr="00776387">
        <w:rPr>
          <w:rFonts w:ascii="Times New Roman" w:hAnsi="Times New Roman" w:cs="Times New Roman"/>
          <w:i/>
          <w:sz w:val="20"/>
          <w:szCs w:val="20"/>
        </w:rPr>
        <w:t>kriterleri</w:t>
      </w:r>
      <w:proofErr w:type="gramEnd"/>
      <w:r w:rsidR="00EC06EE">
        <w:rPr>
          <w:rFonts w:ascii="Times New Roman" w:hAnsi="Times New Roman" w:cs="Times New Roman"/>
          <w:i/>
          <w:sz w:val="20"/>
          <w:szCs w:val="20"/>
        </w:rPr>
        <w:t xml:space="preserve"> </w:t>
      </w:r>
      <w:r w:rsidR="00DF1A81" w:rsidRPr="00776387">
        <w:rPr>
          <w:rFonts w:ascii="Times New Roman" w:hAnsi="Times New Roman" w:cs="Times New Roman"/>
          <w:i/>
          <w:sz w:val="20"/>
          <w:szCs w:val="20"/>
        </w:rPr>
        <w:t xml:space="preserve">önemli kriterler olarak </w:t>
      </w:r>
      <w:r w:rsidR="006E53E6" w:rsidRPr="00776387">
        <w:rPr>
          <w:rFonts w:ascii="Times New Roman" w:hAnsi="Times New Roman" w:cs="Times New Roman"/>
          <w:i/>
          <w:sz w:val="20"/>
          <w:szCs w:val="20"/>
        </w:rPr>
        <w:t xml:space="preserve">öne çıkmıştır. </w:t>
      </w:r>
    </w:p>
    <w:p w:rsidR="00CA2133" w:rsidRPr="00776387" w:rsidRDefault="00CA2133" w:rsidP="00776387">
      <w:pPr>
        <w:spacing w:after="120" w:line="240" w:lineRule="auto"/>
        <w:ind w:firstLine="708"/>
        <w:jc w:val="both"/>
        <w:rPr>
          <w:rFonts w:ascii="Times New Roman" w:hAnsi="Times New Roman" w:cs="Times New Roman"/>
          <w:i/>
          <w:sz w:val="20"/>
          <w:szCs w:val="20"/>
        </w:rPr>
      </w:pPr>
    </w:p>
    <w:p w:rsidR="00962062" w:rsidRDefault="00962062" w:rsidP="00776387">
      <w:pPr>
        <w:spacing w:after="120" w:line="240" w:lineRule="auto"/>
        <w:ind w:left="709"/>
        <w:jc w:val="both"/>
        <w:rPr>
          <w:rFonts w:ascii="Times New Roman" w:hAnsi="Times New Roman" w:cs="Times New Roman"/>
          <w:i/>
          <w:sz w:val="20"/>
          <w:szCs w:val="20"/>
        </w:rPr>
      </w:pPr>
      <w:r w:rsidRPr="00776387">
        <w:rPr>
          <w:rFonts w:ascii="Times New Roman" w:hAnsi="Times New Roman" w:cs="Times New Roman"/>
          <w:b/>
          <w:i/>
          <w:sz w:val="20"/>
          <w:szCs w:val="20"/>
        </w:rPr>
        <w:t>Anahtar Kelimeler:</w:t>
      </w:r>
      <w:r w:rsidRPr="00776387">
        <w:rPr>
          <w:rFonts w:ascii="Times New Roman" w:hAnsi="Times New Roman" w:cs="Times New Roman"/>
          <w:i/>
          <w:sz w:val="20"/>
          <w:szCs w:val="20"/>
        </w:rPr>
        <w:t xml:space="preserve"> Çok Kriterli Karar Verme, ENTROPİ, EDAS, </w:t>
      </w:r>
      <w:r w:rsidR="00B946D7" w:rsidRPr="00776387">
        <w:rPr>
          <w:rFonts w:ascii="Times New Roman" w:hAnsi="Times New Roman" w:cs="Times New Roman"/>
          <w:i/>
          <w:sz w:val="20"/>
          <w:szCs w:val="20"/>
        </w:rPr>
        <w:t xml:space="preserve">Avrupa ve Orta Asya </w:t>
      </w:r>
      <w:r w:rsidRPr="00776387">
        <w:rPr>
          <w:rFonts w:ascii="Times New Roman" w:hAnsi="Times New Roman" w:cs="Times New Roman"/>
          <w:i/>
          <w:sz w:val="20"/>
          <w:szCs w:val="20"/>
        </w:rPr>
        <w:t>Ülkeleri, İş Yapma Kolaylığı</w:t>
      </w:r>
    </w:p>
    <w:p w:rsidR="001954F3" w:rsidRDefault="001954F3" w:rsidP="00776387">
      <w:pPr>
        <w:spacing w:after="120" w:line="240" w:lineRule="auto"/>
        <w:ind w:left="709"/>
        <w:jc w:val="both"/>
        <w:rPr>
          <w:rFonts w:ascii="Times New Roman" w:hAnsi="Times New Roman" w:cs="Times New Roman"/>
          <w:i/>
          <w:sz w:val="20"/>
          <w:szCs w:val="20"/>
        </w:rPr>
      </w:pPr>
    </w:p>
    <w:p w:rsidR="001954F3" w:rsidRPr="00776387" w:rsidRDefault="001954F3" w:rsidP="00776387">
      <w:pPr>
        <w:spacing w:after="120" w:line="240" w:lineRule="auto"/>
        <w:ind w:left="709"/>
        <w:jc w:val="both"/>
        <w:rPr>
          <w:rFonts w:ascii="Times New Roman" w:hAnsi="Times New Roman" w:cs="Times New Roman"/>
          <w:i/>
          <w:sz w:val="20"/>
          <w:szCs w:val="20"/>
        </w:rPr>
      </w:pPr>
    </w:p>
    <w:p w:rsidR="00D379F9" w:rsidRDefault="00D379F9" w:rsidP="00776387">
      <w:pPr>
        <w:spacing w:after="120" w:line="240" w:lineRule="auto"/>
        <w:ind w:left="709"/>
        <w:jc w:val="center"/>
        <w:rPr>
          <w:rFonts w:ascii="Times New Roman" w:hAnsi="Times New Roman" w:cs="Times New Roman"/>
          <w:b/>
          <w:sz w:val="24"/>
          <w:szCs w:val="24"/>
        </w:rPr>
      </w:pPr>
      <w:r w:rsidRPr="00776387">
        <w:rPr>
          <w:rFonts w:ascii="Times New Roman" w:hAnsi="Times New Roman" w:cs="Times New Roman"/>
          <w:b/>
          <w:sz w:val="24"/>
          <w:szCs w:val="24"/>
        </w:rPr>
        <w:t>INVESTIGATION OF EUROPEAN AND CENTRAL ASIAN COUNTRIES IN TERMS OF EASY DOING BUSINESS WITH ENTROPY AND EDAS METHODS</w:t>
      </w:r>
    </w:p>
    <w:p w:rsidR="001954F3" w:rsidRPr="00776387" w:rsidRDefault="001954F3" w:rsidP="00776387">
      <w:pPr>
        <w:spacing w:after="120" w:line="240" w:lineRule="auto"/>
        <w:ind w:left="709"/>
        <w:jc w:val="center"/>
        <w:rPr>
          <w:rFonts w:ascii="Times New Roman" w:hAnsi="Times New Roman" w:cs="Times New Roman"/>
          <w:b/>
          <w:sz w:val="24"/>
          <w:szCs w:val="24"/>
        </w:rPr>
      </w:pPr>
    </w:p>
    <w:p w:rsidR="0019356C" w:rsidRPr="00776387" w:rsidRDefault="007925C2" w:rsidP="00776387">
      <w:pPr>
        <w:spacing w:after="120" w:line="240" w:lineRule="auto"/>
        <w:ind w:firstLine="708"/>
        <w:jc w:val="both"/>
        <w:rPr>
          <w:rFonts w:ascii="Times New Roman" w:hAnsi="Times New Roman" w:cs="Times New Roman"/>
          <w:b/>
          <w:i/>
          <w:sz w:val="20"/>
          <w:szCs w:val="20"/>
        </w:rPr>
      </w:pPr>
      <w:proofErr w:type="spellStart"/>
      <w:r w:rsidRPr="00776387">
        <w:rPr>
          <w:rFonts w:ascii="Times New Roman" w:hAnsi="Times New Roman" w:cs="Times New Roman"/>
          <w:b/>
          <w:i/>
          <w:sz w:val="20"/>
          <w:szCs w:val="20"/>
        </w:rPr>
        <w:t>Abstract</w:t>
      </w:r>
      <w:proofErr w:type="spellEnd"/>
    </w:p>
    <w:p w:rsidR="00446425" w:rsidRPr="00776387" w:rsidRDefault="0019356C" w:rsidP="00776387">
      <w:pPr>
        <w:spacing w:after="120" w:line="240" w:lineRule="auto"/>
        <w:ind w:firstLine="708"/>
        <w:jc w:val="both"/>
        <w:rPr>
          <w:rFonts w:ascii="Times New Roman" w:hAnsi="Times New Roman" w:cs="Times New Roman"/>
          <w:i/>
          <w:sz w:val="20"/>
          <w:szCs w:val="20"/>
        </w:rPr>
      </w:pPr>
      <w:proofErr w:type="spellStart"/>
      <w:r w:rsidRPr="00776387">
        <w:rPr>
          <w:rFonts w:ascii="Times New Roman" w:hAnsi="Times New Roman" w:cs="Times New Roman"/>
          <w:i/>
          <w:sz w:val="20"/>
          <w:szCs w:val="20"/>
        </w:rPr>
        <w:t>It</w:t>
      </w:r>
      <w:proofErr w:type="spellEnd"/>
      <w:r w:rsidRPr="00776387">
        <w:rPr>
          <w:rFonts w:ascii="Times New Roman" w:hAnsi="Times New Roman" w:cs="Times New Roman"/>
          <w:i/>
          <w:sz w:val="20"/>
          <w:szCs w:val="20"/>
        </w:rPr>
        <w:t xml:space="preserve"> is </w:t>
      </w:r>
      <w:proofErr w:type="spellStart"/>
      <w:r w:rsidRPr="00776387">
        <w:rPr>
          <w:rFonts w:ascii="Times New Roman" w:hAnsi="Times New Roman" w:cs="Times New Roman"/>
          <w:i/>
          <w:sz w:val="20"/>
          <w:szCs w:val="20"/>
        </w:rPr>
        <w:t>necessary</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for</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countries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make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infrastructure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investments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and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universal</w:t>
      </w:r>
      <w:proofErr w:type="spellEnd"/>
      <w:r w:rsidRPr="00776387">
        <w:rPr>
          <w:rFonts w:ascii="Times New Roman" w:hAnsi="Times New Roman" w:cs="Times New Roman"/>
          <w:i/>
          <w:sz w:val="20"/>
          <w:szCs w:val="20"/>
        </w:rPr>
        <w:t xml:space="preserve"> legal </w:t>
      </w:r>
      <w:proofErr w:type="spellStart"/>
      <w:r w:rsidRPr="00776387">
        <w:rPr>
          <w:rFonts w:ascii="Times New Roman" w:hAnsi="Times New Roman" w:cs="Times New Roman"/>
          <w:i/>
          <w:sz w:val="20"/>
          <w:szCs w:val="20"/>
        </w:rPr>
        <w:t>arrangements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ensure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economic</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development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and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sustainable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growth</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In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order</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attract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foreign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direct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investment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countries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have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make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infrastructure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investments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and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legislative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arrangements</w:t>
      </w:r>
      <w:proofErr w:type="spellEnd"/>
      <w:r w:rsidRPr="00776387">
        <w:rPr>
          <w:rFonts w:ascii="Times New Roman" w:hAnsi="Times New Roman" w:cs="Times New Roman"/>
          <w:i/>
          <w:sz w:val="20"/>
          <w:szCs w:val="20"/>
        </w:rPr>
        <w:t xml:space="preserve"> in a </w:t>
      </w:r>
      <w:proofErr w:type="spellStart"/>
      <w:r w:rsidRPr="00776387">
        <w:rPr>
          <w:rFonts w:ascii="Times New Roman" w:hAnsi="Times New Roman" w:cs="Times New Roman"/>
          <w:i/>
          <w:sz w:val="20"/>
          <w:szCs w:val="20"/>
        </w:rPr>
        <w:t>way</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that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ensures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competitiveness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Because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companies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that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want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make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direct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investments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choose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areas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where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costs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are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low</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and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risks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are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measurable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and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manageable</w:t>
      </w:r>
      <w:proofErr w:type="spellEnd"/>
      <w:r w:rsidRPr="00776387">
        <w:rPr>
          <w:rFonts w:ascii="Times New Roman" w:hAnsi="Times New Roman" w:cs="Times New Roman"/>
          <w:i/>
          <w:sz w:val="20"/>
          <w:szCs w:val="20"/>
        </w:rPr>
        <w:t xml:space="preserve"> as </w:t>
      </w:r>
      <w:proofErr w:type="spellStart"/>
      <w:r w:rsidRPr="00776387">
        <w:rPr>
          <w:rFonts w:ascii="Times New Roman" w:hAnsi="Times New Roman" w:cs="Times New Roman"/>
          <w:i/>
          <w:sz w:val="20"/>
          <w:szCs w:val="20"/>
        </w:rPr>
        <w:t>investment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areas</w:t>
      </w:r>
      <w:proofErr w:type="spellEnd"/>
      <w:r w:rsidRPr="00776387">
        <w:rPr>
          <w:rFonts w:ascii="Times New Roman" w:hAnsi="Times New Roman" w:cs="Times New Roman"/>
          <w:i/>
          <w:sz w:val="20"/>
          <w:szCs w:val="20"/>
        </w:rPr>
        <w:t xml:space="preserve">. </w:t>
      </w:r>
    </w:p>
    <w:p w:rsidR="00446425" w:rsidRDefault="0019356C" w:rsidP="00776387">
      <w:pPr>
        <w:spacing w:after="120" w:line="240" w:lineRule="auto"/>
        <w:ind w:firstLine="708"/>
        <w:jc w:val="both"/>
        <w:rPr>
          <w:rFonts w:ascii="Times New Roman" w:hAnsi="Times New Roman" w:cs="Times New Roman"/>
          <w:i/>
          <w:sz w:val="20"/>
          <w:szCs w:val="20"/>
        </w:rPr>
      </w:pPr>
      <w:proofErr w:type="spellStart"/>
      <w:r w:rsidRPr="00776387">
        <w:rPr>
          <w:rFonts w:ascii="Times New Roman" w:hAnsi="Times New Roman" w:cs="Times New Roman"/>
          <w:i/>
          <w:sz w:val="20"/>
          <w:szCs w:val="20"/>
        </w:rPr>
        <w:t>In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this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study</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European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and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Asian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countries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were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examined</w:t>
      </w:r>
      <w:proofErr w:type="spellEnd"/>
      <w:r w:rsidRPr="00776387">
        <w:rPr>
          <w:rFonts w:ascii="Times New Roman" w:hAnsi="Times New Roman" w:cs="Times New Roman"/>
          <w:i/>
          <w:sz w:val="20"/>
          <w:szCs w:val="20"/>
        </w:rPr>
        <w:t xml:space="preserve"> in </w:t>
      </w:r>
      <w:proofErr w:type="spellStart"/>
      <w:r w:rsidRPr="00776387">
        <w:rPr>
          <w:rFonts w:ascii="Times New Roman" w:hAnsi="Times New Roman" w:cs="Times New Roman"/>
          <w:i/>
          <w:sz w:val="20"/>
          <w:szCs w:val="20"/>
        </w:rPr>
        <w:t>terms</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ease</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doing</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business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with</w:t>
      </w:r>
      <w:proofErr w:type="spellEnd"/>
      <w:r w:rsidRPr="00776387">
        <w:rPr>
          <w:rFonts w:ascii="Times New Roman" w:hAnsi="Times New Roman" w:cs="Times New Roman"/>
          <w:i/>
          <w:sz w:val="20"/>
          <w:szCs w:val="20"/>
        </w:rPr>
        <w:t xml:space="preserve"> ENTROPY </w:t>
      </w:r>
      <w:proofErr w:type="spellStart"/>
      <w:r w:rsidRPr="00776387">
        <w:rPr>
          <w:rFonts w:ascii="Times New Roman" w:hAnsi="Times New Roman" w:cs="Times New Roman"/>
          <w:i/>
          <w:sz w:val="20"/>
          <w:szCs w:val="20"/>
        </w:rPr>
        <w:t>and</w:t>
      </w:r>
      <w:proofErr w:type="spellEnd"/>
      <w:r w:rsidRPr="00776387">
        <w:rPr>
          <w:rFonts w:ascii="Times New Roman" w:hAnsi="Times New Roman" w:cs="Times New Roman"/>
          <w:i/>
          <w:sz w:val="20"/>
          <w:szCs w:val="20"/>
        </w:rPr>
        <w:t xml:space="preserve"> EDAS </w:t>
      </w:r>
      <w:proofErr w:type="spellStart"/>
      <w:r w:rsidRPr="00776387">
        <w:rPr>
          <w:rFonts w:ascii="Times New Roman" w:hAnsi="Times New Roman" w:cs="Times New Roman"/>
          <w:i/>
          <w:sz w:val="20"/>
          <w:szCs w:val="20"/>
        </w:rPr>
        <w:t>methods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Countries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were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examined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according</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various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criteria</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such</w:t>
      </w:r>
      <w:proofErr w:type="spellEnd"/>
      <w:r w:rsidRPr="00776387">
        <w:rPr>
          <w:rFonts w:ascii="Times New Roman" w:hAnsi="Times New Roman" w:cs="Times New Roman"/>
          <w:i/>
          <w:sz w:val="20"/>
          <w:szCs w:val="20"/>
        </w:rPr>
        <w:t xml:space="preserve"> as </w:t>
      </w:r>
      <w:proofErr w:type="spellStart"/>
      <w:r w:rsidRPr="00776387">
        <w:rPr>
          <w:rFonts w:ascii="Times New Roman" w:hAnsi="Times New Roman" w:cs="Times New Roman"/>
          <w:i/>
          <w:sz w:val="20"/>
          <w:szCs w:val="20"/>
        </w:rPr>
        <w:t>ease</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doing</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business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duration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and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reliability</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contracts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tax</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rates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and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ease</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doing</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foreign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trade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gramStart"/>
      <w:r w:rsidRPr="00776387">
        <w:rPr>
          <w:rFonts w:ascii="Times New Roman" w:hAnsi="Times New Roman" w:cs="Times New Roman"/>
          <w:i/>
          <w:sz w:val="20"/>
          <w:szCs w:val="20"/>
        </w:rPr>
        <w:t>data</w:t>
      </w:r>
      <w:proofErr w:type="gram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evaluation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criteria</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were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obtained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from</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data </w:t>
      </w:r>
      <w:proofErr w:type="spellStart"/>
      <w:r w:rsidRPr="00776387">
        <w:rPr>
          <w:rFonts w:ascii="Times New Roman" w:hAnsi="Times New Roman" w:cs="Times New Roman"/>
          <w:i/>
          <w:sz w:val="20"/>
          <w:szCs w:val="20"/>
        </w:rPr>
        <w:t>compiled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by</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OECD </w:t>
      </w:r>
      <w:proofErr w:type="spellStart"/>
      <w:r w:rsidRPr="00776387">
        <w:rPr>
          <w:rFonts w:ascii="Times New Roman" w:hAnsi="Times New Roman" w:cs="Times New Roman"/>
          <w:i/>
          <w:sz w:val="20"/>
          <w:szCs w:val="20"/>
        </w:rPr>
        <w:t>through</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surveys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conducted</w:t>
      </w:r>
      <w:proofErr w:type="spellEnd"/>
      <w:r w:rsidRPr="00776387">
        <w:rPr>
          <w:rFonts w:ascii="Times New Roman" w:hAnsi="Times New Roman" w:cs="Times New Roman"/>
          <w:i/>
          <w:sz w:val="20"/>
          <w:szCs w:val="20"/>
        </w:rPr>
        <w:t xml:space="preserve"> in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countries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In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analysis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criterion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weights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were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determined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by</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ENTROPI </w:t>
      </w:r>
      <w:proofErr w:type="spellStart"/>
      <w:r w:rsidRPr="00776387">
        <w:rPr>
          <w:rFonts w:ascii="Times New Roman" w:hAnsi="Times New Roman" w:cs="Times New Roman"/>
          <w:i/>
          <w:sz w:val="20"/>
          <w:szCs w:val="20"/>
        </w:rPr>
        <w:t>method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EDAS </w:t>
      </w:r>
      <w:proofErr w:type="spellStart"/>
      <w:r w:rsidRPr="00776387">
        <w:rPr>
          <w:rFonts w:ascii="Times New Roman" w:hAnsi="Times New Roman" w:cs="Times New Roman"/>
          <w:i/>
          <w:sz w:val="20"/>
          <w:szCs w:val="20"/>
        </w:rPr>
        <w:t>method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was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used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rank</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countries</w:t>
      </w:r>
      <w:proofErr w:type="spellEnd"/>
      <w:r w:rsidRPr="00776387">
        <w:rPr>
          <w:rFonts w:ascii="Times New Roman" w:hAnsi="Times New Roman" w:cs="Times New Roman"/>
          <w:i/>
          <w:sz w:val="20"/>
          <w:szCs w:val="20"/>
        </w:rPr>
        <w:t xml:space="preserve"> in </w:t>
      </w:r>
      <w:proofErr w:type="spellStart"/>
      <w:r w:rsidRPr="00776387">
        <w:rPr>
          <w:rFonts w:ascii="Times New Roman" w:hAnsi="Times New Roman" w:cs="Times New Roman"/>
          <w:i/>
          <w:sz w:val="20"/>
          <w:szCs w:val="20"/>
        </w:rPr>
        <w:t>terms</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ease</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doing</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business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According</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results</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study</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criteria</w:t>
      </w:r>
      <w:proofErr w:type="spellEnd"/>
      <w:r w:rsidRPr="00776387">
        <w:rPr>
          <w:rFonts w:ascii="Times New Roman" w:hAnsi="Times New Roman" w:cs="Times New Roman"/>
          <w:i/>
          <w:sz w:val="20"/>
          <w:szCs w:val="20"/>
        </w:rPr>
        <w:t xml:space="preserve"> of  "rate of </w:t>
      </w:r>
      <w:proofErr w:type="spellStart"/>
      <w:r w:rsidRPr="00776387">
        <w:rPr>
          <w:rFonts w:ascii="Times New Roman" w:hAnsi="Times New Roman" w:cs="Times New Roman"/>
          <w:i/>
          <w:sz w:val="20"/>
          <w:szCs w:val="20"/>
        </w:rPr>
        <w:t>corporate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tax</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profitability</w:t>
      </w:r>
      <w:proofErr w:type="spellEnd"/>
      <w:r w:rsidRPr="00776387">
        <w:rPr>
          <w:rFonts w:ascii="Times New Roman" w:hAnsi="Times New Roman" w:cs="Times New Roman"/>
          <w:i/>
          <w:sz w:val="20"/>
          <w:szCs w:val="20"/>
        </w:rPr>
        <w:t>", "</w:t>
      </w:r>
      <w:proofErr w:type="spellStart"/>
      <w:r w:rsidRPr="00776387">
        <w:rPr>
          <w:rFonts w:ascii="Times New Roman" w:hAnsi="Times New Roman" w:cs="Times New Roman"/>
          <w:i/>
          <w:sz w:val="20"/>
          <w:szCs w:val="20"/>
        </w:rPr>
        <w:t>ratio</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labor</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tax</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rates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profitability</w:t>
      </w:r>
      <w:proofErr w:type="spellEnd"/>
      <w:r w:rsidRPr="00776387">
        <w:rPr>
          <w:rFonts w:ascii="Times New Roman" w:hAnsi="Times New Roman" w:cs="Times New Roman"/>
          <w:i/>
          <w:sz w:val="20"/>
          <w:szCs w:val="20"/>
        </w:rPr>
        <w:t>", "</w:t>
      </w:r>
      <w:proofErr w:type="spellStart"/>
      <w:r w:rsidRPr="00776387">
        <w:rPr>
          <w:rFonts w:ascii="Times New Roman" w:hAnsi="Times New Roman" w:cs="Times New Roman"/>
          <w:i/>
          <w:sz w:val="20"/>
          <w:szCs w:val="20"/>
        </w:rPr>
        <w:t>quality</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judicial</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processes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and</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possibility</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obtaining</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credit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came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to</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fore</w:t>
      </w:r>
      <w:proofErr w:type="spellEnd"/>
      <w:r w:rsidRPr="00776387">
        <w:rPr>
          <w:rFonts w:ascii="Times New Roman" w:hAnsi="Times New Roman" w:cs="Times New Roman"/>
          <w:i/>
          <w:sz w:val="20"/>
          <w:szCs w:val="20"/>
        </w:rPr>
        <w:t xml:space="preserve"> as </w:t>
      </w:r>
      <w:proofErr w:type="spellStart"/>
      <w:r w:rsidRPr="00776387">
        <w:rPr>
          <w:rFonts w:ascii="Times New Roman" w:hAnsi="Times New Roman" w:cs="Times New Roman"/>
          <w:i/>
          <w:sz w:val="20"/>
          <w:szCs w:val="20"/>
        </w:rPr>
        <w:t>the</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most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important</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criteria</w:t>
      </w:r>
      <w:proofErr w:type="spellEnd"/>
      <w:r w:rsidR="00D505B5">
        <w:rPr>
          <w:rFonts w:ascii="Times New Roman" w:hAnsi="Times New Roman" w:cs="Times New Roman"/>
          <w:i/>
          <w:sz w:val="20"/>
          <w:szCs w:val="20"/>
        </w:rPr>
        <w:t>.</w:t>
      </w:r>
    </w:p>
    <w:p w:rsidR="00CA2133" w:rsidRPr="00776387" w:rsidRDefault="00CA2133" w:rsidP="00776387">
      <w:pPr>
        <w:spacing w:after="120" w:line="240" w:lineRule="auto"/>
        <w:ind w:firstLine="708"/>
        <w:jc w:val="both"/>
        <w:rPr>
          <w:rFonts w:ascii="Times New Roman" w:hAnsi="Times New Roman" w:cs="Times New Roman"/>
          <w:i/>
          <w:sz w:val="20"/>
          <w:szCs w:val="20"/>
        </w:rPr>
      </w:pPr>
    </w:p>
    <w:p w:rsidR="007D1ECF" w:rsidRPr="00776387" w:rsidRDefault="0019356C" w:rsidP="00776387">
      <w:pPr>
        <w:spacing w:after="120" w:line="240" w:lineRule="auto"/>
        <w:ind w:left="709"/>
        <w:jc w:val="both"/>
        <w:rPr>
          <w:rFonts w:ascii="Times New Roman" w:hAnsi="Times New Roman" w:cs="Times New Roman"/>
          <w:i/>
          <w:sz w:val="20"/>
          <w:szCs w:val="20"/>
        </w:rPr>
      </w:pPr>
      <w:proofErr w:type="spellStart"/>
      <w:r w:rsidRPr="00776387">
        <w:rPr>
          <w:rFonts w:ascii="Times New Roman" w:hAnsi="Times New Roman" w:cs="Times New Roman"/>
          <w:b/>
          <w:i/>
          <w:sz w:val="20"/>
          <w:szCs w:val="20"/>
        </w:rPr>
        <w:t>Keywords</w:t>
      </w:r>
      <w:proofErr w:type="spellEnd"/>
      <w:r w:rsidRPr="00776387">
        <w:rPr>
          <w:rFonts w:ascii="Times New Roman" w:hAnsi="Times New Roman" w:cs="Times New Roman"/>
          <w:b/>
          <w:i/>
          <w:sz w:val="20"/>
          <w:szCs w:val="20"/>
        </w:rPr>
        <w:t>:</w:t>
      </w:r>
      <w:r w:rsidRPr="00776387">
        <w:rPr>
          <w:rFonts w:ascii="Times New Roman" w:hAnsi="Times New Roman" w:cs="Times New Roman"/>
          <w:i/>
          <w:sz w:val="20"/>
          <w:szCs w:val="20"/>
        </w:rPr>
        <w:t xml:space="preserve"> Multi-</w:t>
      </w:r>
      <w:proofErr w:type="spellStart"/>
      <w:r w:rsidRPr="00776387">
        <w:rPr>
          <w:rFonts w:ascii="Times New Roman" w:hAnsi="Times New Roman" w:cs="Times New Roman"/>
          <w:i/>
          <w:sz w:val="20"/>
          <w:szCs w:val="20"/>
        </w:rPr>
        <w:t>Criteria</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Decision</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Making</w:t>
      </w:r>
      <w:proofErr w:type="spellEnd"/>
      <w:r w:rsidRPr="00776387">
        <w:rPr>
          <w:rFonts w:ascii="Times New Roman" w:hAnsi="Times New Roman" w:cs="Times New Roman"/>
          <w:i/>
          <w:sz w:val="20"/>
          <w:szCs w:val="20"/>
        </w:rPr>
        <w:t xml:space="preserve">, ENTROPY, EDAS, </w:t>
      </w:r>
      <w:proofErr w:type="spellStart"/>
      <w:r w:rsidR="009B3638" w:rsidRPr="00776387">
        <w:rPr>
          <w:rFonts w:ascii="Times New Roman" w:hAnsi="Times New Roman" w:cs="Times New Roman"/>
          <w:i/>
          <w:sz w:val="20"/>
          <w:szCs w:val="20"/>
        </w:rPr>
        <w:t>European</w:t>
      </w:r>
      <w:proofErr w:type="spellEnd"/>
      <w:r w:rsidR="009B3638" w:rsidRPr="00776387">
        <w:rPr>
          <w:rFonts w:ascii="Times New Roman" w:hAnsi="Times New Roman" w:cs="Times New Roman"/>
          <w:i/>
          <w:sz w:val="20"/>
          <w:szCs w:val="20"/>
        </w:rPr>
        <w:t xml:space="preserve"> </w:t>
      </w:r>
      <w:proofErr w:type="spellStart"/>
      <w:r w:rsidR="009B3638" w:rsidRPr="00776387">
        <w:rPr>
          <w:rFonts w:ascii="Times New Roman" w:hAnsi="Times New Roman" w:cs="Times New Roman"/>
          <w:i/>
          <w:sz w:val="20"/>
          <w:szCs w:val="20"/>
        </w:rPr>
        <w:t>and</w:t>
      </w:r>
      <w:proofErr w:type="spellEnd"/>
      <w:r w:rsidR="009B3638" w:rsidRPr="00776387">
        <w:rPr>
          <w:rFonts w:ascii="Times New Roman" w:hAnsi="Times New Roman" w:cs="Times New Roman"/>
          <w:i/>
          <w:sz w:val="20"/>
          <w:szCs w:val="20"/>
        </w:rPr>
        <w:t xml:space="preserve"> </w:t>
      </w:r>
      <w:proofErr w:type="spellStart"/>
      <w:r w:rsidR="009B3638" w:rsidRPr="00776387">
        <w:rPr>
          <w:rFonts w:ascii="Times New Roman" w:hAnsi="Times New Roman" w:cs="Times New Roman"/>
          <w:i/>
          <w:sz w:val="20"/>
          <w:szCs w:val="20"/>
        </w:rPr>
        <w:t>Asian</w:t>
      </w:r>
      <w:proofErr w:type="spellEnd"/>
      <w:r w:rsidR="009B3638" w:rsidRPr="00776387">
        <w:rPr>
          <w:rFonts w:ascii="Times New Roman" w:hAnsi="Times New Roman" w:cs="Times New Roman"/>
          <w:i/>
          <w:sz w:val="20"/>
          <w:szCs w:val="20"/>
        </w:rPr>
        <w:t xml:space="preserve"> </w:t>
      </w:r>
      <w:proofErr w:type="spellStart"/>
      <w:r w:rsidR="009B3638" w:rsidRPr="00776387">
        <w:rPr>
          <w:rFonts w:ascii="Times New Roman" w:hAnsi="Times New Roman" w:cs="Times New Roman"/>
          <w:i/>
          <w:sz w:val="20"/>
          <w:szCs w:val="20"/>
        </w:rPr>
        <w:t>Countries</w:t>
      </w:r>
      <w:proofErr w:type="spellEnd"/>
      <w:r w:rsidRPr="00776387">
        <w:rPr>
          <w:rFonts w:ascii="Times New Roman" w:hAnsi="Times New Roman" w:cs="Times New Roman"/>
          <w:i/>
          <w:sz w:val="20"/>
          <w:szCs w:val="20"/>
        </w:rPr>
        <w:t xml:space="preserve">, </w:t>
      </w:r>
      <w:proofErr w:type="spellStart"/>
      <w:r w:rsidRPr="00776387">
        <w:rPr>
          <w:rFonts w:ascii="Times New Roman" w:hAnsi="Times New Roman" w:cs="Times New Roman"/>
          <w:i/>
          <w:sz w:val="20"/>
          <w:szCs w:val="20"/>
        </w:rPr>
        <w:t>Ease</w:t>
      </w:r>
      <w:proofErr w:type="spellEnd"/>
      <w:r w:rsidRPr="00776387">
        <w:rPr>
          <w:rFonts w:ascii="Times New Roman" w:hAnsi="Times New Roman" w:cs="Times New Roman"/>
          <w:i/>
          <w:sz w:val="20"/>
          <w:szCs w:val="20"/>
        </w:rPr>
        <w:t xml:space="preserve"> of </w:t>
      </w:r>
      <w:proofErr w:type="spellStart"/>
      <w:r w:rsidRPr="00776387">
        <w:rPr>
          <w:rFonts w:ascii="Times New Roman" w:hAnsi="Times New Roman" w:cs="Times New Roman"/>
          <w:i/>
          <w:sz w:val="20"/>
          <w:szCs w:val="20"/>
        </w:rPr>
        <w:t>Doing</w:t>
      </w:r>
      <w:proofErr w:type="spellEnd"/>
      <w:r w:rsidRPr="00776387">
        <w:rPr>
          <w:rFonts w:ascii="Times New Roman" w:hAnsi="Times New Roman" w:cs="Times New Roman"/>
          <w:i/>
          <w:sz w:val="20"/>
          <w:szCs w:val="20"/>
        </w:rPr>
        <w:t xml:space="preserve"> Business</w:t>
      </w:r>
    </w:p>
    <w:p w:rsidR="00355690" w:rsidRDefault="00355690" w:rsidP="00776387">
      <w:pPr>
        <w:spacing w:after="120" w:line="240" w:lineRule="auto"/>
        <w:ind w:left="709"/>
        <w:jc w:val="both"/>
        <w:rPr>
          <w:rFonts w:ascii="Times New Roman" w:hAnsi="Times New Roman" w:cs="Times New Roman"/>
          <w:i/>
          <w:sz w:val="20"/>
          <w:szCs w:val="20"/>
        </w:rPr>
      </w:pPr>
    </w:p>
    <w:p w:rsidR="001E75F8" w:rsidRPr="00776387" w:rsidRDefault="001E75F8" w:rsidP="00A84490">
      <w:pPr>
        <w:pStyle w:val="ListeParagraf"/>
        <w:numPr>
          <w:ilvl w:val="0"/>
          <w:numId w:val="2"/>
        </w:numPr>
        <w:spacing w:after="240" w:line="240" w:lineRule="auto"/>
        <w:ind w:left="1066" w:hanging="357"/>
        <w:jc w:val="both"/>
        <w:rPr>
          <w:rFonts w:ascii="Times New Roman" w:hAnsi="Times New Roman" w:cs="Times New Roman"/>
          <w:b/>
          <w:sz w:val="24"/>
          <w:szCs w:val="24"/>
        </w:rPr>
      </w:pPr>
      <w:r w:rsidRPr="00776387">
        <w:rPr>
          <w:rFonts w:ascii="Times New Roman" w:hAnsi="Times New Roman" w:cs="Times New Roman"/>
          <w:b/>
          <w:sz w:val="24"/>
          <w:szCs w:val="24"/>
        </w:rPr>
        <w:t>GİRİŞ</w:t>
      </w:r>
    </w:p>
    <w:p w:rsidR="0037185F" w:rsidRDefault="0037185F" w:rsidP="0077638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İşletmelerin temel amacı kar etmek</w:t>
      </w:r>
      <w:r w:rsidR="00411BD2">
        <w:rPr>
          <w:rFonts w:ascii="Times New Roman" w:hAnsi="Times New Roman" w:cs="Times New Roman"/>
          <w:sz w:val="24"/>
          <w:szCs w:val="24"/>
        </w:rPr>
        <w:t xml:space="preserve"> ve sürekli bir şekilde </w:t>
      </w:r>
      <w:r>
        <w:rPr>
          <w:rFonts w:ascii="Times New Roman" w:hAnsi="Times New Roman" w:cs="Times New Roman"/>
          <w:sz w:val="24"/>
          <w:szCs w:val="24"/>
        </w:rPr>
        <w:t>büyümek</w:t>
      </w:r>
      <w:r w:rsidR="003F6B24">
        <w:rPr>
          <w:rFonts w:ascii="Times New Roman" w:hAnsi="Times New Roman" w:cs="Times New Roman"/>
          <w:sz w:val="24"/>
          <w:szCs w:val="24"/>
        </w:rPr>
        <w:t xml:space="preserve">tir. </w:t>
      </w:r>
      <w:r w:rsidR="00D44D8C">
        <w:rPr>
          <w:rFonts w:ascii="Times New Roman" w:hAnsi="Times New Roman" w:cs="Times New Roman"/>
          <w:sz w:val="24"/>
          <w:szCs w:val="24"/>
        </w:rPr>
        <w:t>Karlılık işletmeler için bir amaç olmanın ötesinde bir varlık nedenidir.</w:t>
      </w:r>
      <w:r w:rsidR="0043218D">
        <w:rPr>
          <w:rFonts w:ascii="Times New Roman" w:hAnsi="Times New Roman" w:cs="Times New Roman"/>
          <w:sz w:val="24"/>
          <w:szCs w:val="24"/>
        </w:rPr>
        <w:t xml:space="preserve"> Ancak k</w:t>
      </w:r>
      <w:r>
        <w:rPr>
          <w:rFonts w:ascii="Times New Roman" w:hAnsi="Times New Roman" w:cs="Times New Roman"/>
          <w:sz w:val="24"/>
          <w:szCs w:val="24"/>
        </w:rPr>
        <w:t xml:space="preserve">ar </w:t>
      </w:r>
      <w:r w:rsidR="00402602">
        <w:rPr>
          <w:rFonts w:ascii="Times New Roman" w:hAnsi="Times New Roman" w:cs="Times New Roman"/>
          <w:sz w:val="24"/>
          <w:szCs w:val="24"/>
        </w:rPr>
        <w:t xml:space="preserve">ederek </w:t>
      </w:r>
      <w:r>
        <w:rPr>
          <w:rFonts w:ascii="Times New Roman" w:hAnsi="Times New Roman" w:cs="Times New Roman"/>
          <w:sz w:val="24"/>
          <w:szCs w:val="24"/>
        </w:rPr>
        <w:t>ayakta kalabilen işletmeler</w:t>
      </w:r>
      <w:r w:rsidR="002069EC">
        <w:rPr>
          <w:rFonts w:ascii="Times New Roman" w:hAnsi="Times New Roman" w:cs="Times New Roman"/>
          <w:sz w:val="24"/>
          <w:szCs w:val="24"/>
        </w:rPr>
        <w:t>,</w:t>
      </w:r>
      <w:r>
        <w:rPr>
          <w:rFonts w:ascii="Times New Roman" w:hAnsi="Times New Roman" w:cs="Times New Roman"/>
          <w:sz w:val="24"/>
          <w:szCs w:val="24"/>
        </w:rPr>
        <w:t xml:space="preserve"> kurulu</w:t>
      </w:r>
      <w:r w:rsidR="00411BD2">
        <w:rPr>
          <w:rFonts w:ascii="Times New Roman" w:hAnsi="Times New Roman" w:cs="Times New Roman"/>
          <w:sz w:val="24"/>
          <w:szCs w:val="24"/>
        </w:rPr>
        <w:t xml:space="preserve">şta ve </w:t>
      </w:r>
      <w:r w:rsidR="00D44D8C">
        <w:rPr>
          <w:rFonts w:ascii="Times New Roman" w:hAnsi="Times New Roman" w:cs="Times New Roman"/>
          <w:sz w:val="24"/>
          <w:szCs w:val="24"/>
        </w:rPr>
        <w:t>yeni yatırım</w:t>
      </w:r>
      <w:r w:rsidR="002069EC">
        <w:rPr>
          <w:rFonts w:ascii="Times New Roman" w:hAnsi="Times New Roman" w:cs="Times New Roman"/>
          <w:sz w:val="24"/>
          <w:szCs w:val="24"/>
        </w:rPr>
        <w:t xml:space="preserve"> karar</w:t>
      </w:r>
      <w:r w:rsidR="00411BD2">
        <w:rPr>
          <w:rFonts w:ascii="Times New Roman" w:hAnsi="Times New Roman" w:cs="Times New Roman"/>
          <w:sz w:val="24"/>
          <w:szCs w:val="24"/>
        </w:rPr>
        <w:t>lar</w:t>
      </w:r>
      <w:r w:rsidR="002069EC">
        <w:rPr>
          <w:rFonts w:ascii="Times New Roman" w:hAnsi="Times New Roman" w:cs="Times New Roman"/>
          <w:sz w:val="24"/>
          <w:szCs w:val="24"/>
        </w:rPr>
        <w:t>ı alırken p</w:t>
      </w:r>
      <w:r w:rsidR="006B6A17">
        <w:rPr>
          <w:rFonts w:ascii="Times New Roman" w:hAnsi="Times New Roman" w:cs="Times New Roman"/>
          <w:sz w:val="24"/>
          <w:szCs w:val="24"/>
        </w:rPr>
        <w:t>ek çok r</w:t>
      </w:r>
      <w:r w:rsidR="00D44D8C">
        <w:rPr>
          <w:rFonts w:ascii="Times New Roman" w:hAnsi="Times New Roman" w:cs="Times New Roman"/>
          <w:sz w:val="24"/>
          <w:szCs w:val="24"/>
        </w:rPr>
        <w:t>i</w:t>
      </w:r>
      <w:r w:rsidR="006B6A17">
        <w:rPr>
          <w:rFonts w:ascii="Times New Roman" w:hAnsi="Times New Roman" w:cs="Times New Roman"/>
          <w:sz w:val="24"/>
          <w:szCs w:val="24"/>
        </w:rPr>
        <w:t>sk faktörünü dikkate al</w:t>
      </w:r>
      <w:r w:rsidR="00D44D8C">
        <w:rPr>
          <w:rFonts w:ascii="Times New Roman" w:hAnsi="Times New Roman" w:cs="Times New Roman"/>
          <w:sz w:val="24"/>
          <w:szCs w:val="24"/>
        </w:rPr>
        <w:t>ırl</w:t>
      </w:r>
      <w:r w:rsidR="006B6A17">
        <w:rPr>
          <w:rFonts w:ascii="Times New Roman" w:hAnsi="Times New Roman" w:cs="Times New Roman"/>
          <w:sz w:val="24"/>
          <w:szCs w:val="24"/>
        </w:rPr>
        <w:t>a</w:t>
      </w:r>
      <w:r w:rsidR="00D44D8C">
        <w:rPr>
          <w:rFonts w:ascii="Times New Roman" w:hAnsi="Times New Roman" w:cs="Times New Roman"/>
          <w:sz w:val="24"/>
          <w:szCs w:val="24"/>
        </w:rPr>
        <w:t>r.</w:t>
      </w:r>
      <w:r w:rsidR="006B6A17">
        <w:rPr>
          <w:rFonts w:ascii="Times New Roman" w:hAnsi="Times New Roman" w:cs="Times New Roman"/>
          <w:sz w:val="24"/>
          <w:szCs w:val="24"/>
        </w:rPr>
        <w:t xml:space="preserve"> </w:t>
      </w:r>
      <w:r w:rsidR="002069EC">
        <w:rPr>
          <w:rFonts w:ascii="Times New Roman" w:hAnsi="Times New Roman" w:cs="Times New Roman"/>
          <w:sz w:val="24"/>
          <w:szCs w:val="24"/>
        </w:rPr>
        <w:lastRenderedPageBreak/>
        <w:t xml:space="preserve">Girişimciler </w:t>
      </w:r>
      <w:r w:rsidR="006B6A17">
        <w:rPr>
          <w:rFonts w:ascii="Times New Roman" w:hAnsi="Times New Roman" w:cs="Times New Roman"/>
          <w:sz w:val="24"/>
          <w:szCs w:val="24"/>
        </w:rPr>
        <w:t xml:space="preserve">uygun yatırım ortamı ve iş yapabilme iklimi olduğunda yatırım </w:t>
      </w:r>
      <w:r w:rsidR="0061112B">
        <w:rPr>
          <w:rFonts w:ascii="Times New Roman" w:hAnsi="Times New Roman" w:cs="Times New Roman"/>
          <w:sz w:val="24"/>
          <w:szCs w:val="24"/>
        </w:rPr>
        <w:t xml:space="preserve">yapma </w:t>
      </w:r>
      <w:r w:rsidR="006B6A17">
        <w:rPr>
          <w:rFonts w:ascii="Times New Roman" w:hAnsi="Times New Roman" w:cs="Times New Roman"/>
          <w:sz w:val="24"/>
          <w:szCs w:val="24"/>
        </w:rPr>
        <w:t>kararı al</w:t>
      </w:r>
      <w:r w:rsidR="00402602">
        <w:rPr>
          <w:rFonts w:ascii="Times New Roman" w:hAnsi="Times New Roman" w:cs="Times New Roman"/>
          <w:sz w:val="24"/>
          <w:szCs w:val="24"/>
        </w:rPr>
        <w:t>ırlar</w:t>
      </w:r>
      <w:r w:rsidR="006B6A17">
        <w:rPr>
          <w:rFonts w:ascii="Times New Roman" w:hAnsi="Times New Roman" w:cs="Times New Roman"/>
          <w:sz w:val="24"/>
          <w:szCs w:val="24"/>
        </w:rPr>
        <w:t>. U</w:t>
      </w:r>
      <w:r w:rsidR="000750A7">
        <w:rPr>
          <w:rFonts w:ascii="Times New Roman" w:hAnsi="Times New Roman" w:cs="Times New Roman"/>
          <w:sz w:val="24"/>
          <w:szCs w:val="24"/>
        </w:rPr>
        <w:t>y</w:t>
      </w:r>
      <w:r w:rsidR="006B6A17">
        <w:rPr>
          <w:rFonts w:ascii="Times New Roman" w:hAnsi="Times New Roman" w:cs="Times New Roman"/>
          <w:sz w:val="24"/>
          <w:szCs w:val="24"/>
        </w:rPr>
        <w:t>gun yatırım ortamı</w:t>
      </w:r>
      <w:r w:rsidR="000750A7">
        <w:rPr>
          <w:rFonts w:ascii="Times New Roman" w:hAnsi="Times New Roman" w:cs="Times New Roman"/>
          <w:sz w:val="24"/>
          <w:szCs w:val="24"/>
        </w:rPr>
        <w:t>nın bulunması</w:t>
      </w:r>
      <w:r w:rsidR="006B6A17">
        <w:rPr>
          <w:rFonts w:ascii="Times New Roman" w:hAnsi="Times New Roman" w:cs="Times New Roman"/>
          <w:sz w:val="24"/>
          <w:szCs w:val="24"/>
        </w:rPr>
        <w:t xml:space="preserve"> </w:t>
      </w:r>
      <w:r w:rsidR="000750A7">
        <w:rPr>
          <w:rFonts w:ascii="Times New Roman" w:hAnsi="Times New Roman" w:cs="Times New Roman"/>
          <w:sz w:val="24"/>
          <w:szCs w:val="24"/>
        </w:rPr>
        <w:t xml:space="preserve">yalnızca </w:t>
      </w:r>
      <w:r w:rsidR="006B6A17">
        <w:rPr>
          <w:rFonts w:ascii="Times New Roman" w:hAnsi="Times New Roman" w:cs="Times New Roman"/>
          <w:sz w:val="24"/>
          <w:szCs w:val="24"/>
        </w:rPr>
        <w:t>yerli</w:t>
      </w:r>
      <w:r w:rsidR="000750A7">
        <w:rPr>
          <w:rFonts w:ascii="Times New Roman" w:hAnsi="Times New Roman" w:cs="Times New Roman"/>
          <w:sz w:val="24"/>
          <w:szCs w:val="24"/>
        </w:rPr>
        <w:t xml:space="preserve"> yatırımcılar</w:t>
      </w:r>
      <w:r w:rsidR="0061112B">
        <w:rPr>
          <w:rFonts w:ascii="Times New Roman" w:hAnsi="Times New Roman" w:cs="Times New Roman"/>
          <w:sz w:val="24"/>
          <w:szCs w:val="24"/>
        </w:rPr>
        <w:t xml:space="preserve"> için </w:t>
      </w:r>
      <w:r w:rsidR="000750A7">
        <w:rPr>
          <w:rFonts w:ascii="Times New Roman" w:hAnsi="Times New Roman" w:cs="Times New Roman"/>
          <w:sz w:val="24"/>
          <w:szCs w:val="24"/>
        </w:rPr>
        <w:t xml:space="preserve">değil aynı zamanda </w:t>
      </w:r>
      <w:r w:rsidR="006B6A17">
        <w:rPr>
          <w:rFonts w:ascii="Times New Roman" w:hAnsi="Times New Roman" w:cs="Times New Roman"/>
          <w:sz w:val="24"/>
          <w:szCs w:val="24"/>
        </w:rPr>
        <w:t>yabancı yatırım</w:t>
      </w:r>
      <w:r w:rsidR="000750A7">
        <w:rPr>
          <w:rFonts w:ascii="Times New Roman" w:hAnsi="Times New Roman" w:cs="Times New Roman"/>
          <w:sz w:val="24"/>
          <w:szCs w:val="24"/>
        </w:rPr>
        <w:t xml:space="preserve">cıların da yatırım </w:t>
      </w:r>
      <w:r w:rsidR="00E50A06">
        <w:rPr>
          <w:rFonts w:ascii="Times New Roman" w:hAnsi="Times New Roman" w:cs="Times New Roman"/>
          <w:sz w:val="24"/>
          <w:szCs w:val="24"/>
        </w:rPr>
        <w:t>yap</w:t>
      </w:r>
      <w:r w:rsidR="00F524EA">
        <w:rPr>
          <w:rFonts w:ascii="Times New Roman" w:hAnsi="Times New Roman" w:cs="Times New Roman"/>
          <w:sz w:val="24"/>
          <w:szCs w:val="24"/>
        </w:rPr>
        <w:t xml:space="preserve">abilmesi </w:t>
      </w:r>
      <w:r w:rsidR="00E50A06">
        <w:rPr>
          <w:rFonts w:ascii="Times New Roman" w:hAnsi="Times New Roman" w:cs="Times New Roman"/>
          <w:sz w:val="24"/>
          <w:szCs w:val="24"/>
        </w:rPr>
        <w:t xml:space="preserve">için </w:t>
      </w:r>
      <w:r w:rsidR="00EB3B40">
        <w:rPr>
          <w:rFonts w:ascii="Times New Roman" w:hAnsi="Times New Roman" w:cs="Times New Roman"/>
          <w:sz w:val="24"/>
          <w:szCs w:val="24"/>
        </w:rPr>
        <w:t>çok</w:t>
      </w:r>
      <w:r w:rsidR="000750A7">
        <w:rPr>
          <w:rFonts w:ascii="Times New Roman" w:hAnsi="Times New Roman" w:cs="Times New Roman"/>
          <w:sz w:val="24"/>
          <w:szCs w:val="24"/>
        </w:rPr>
        <w:t xml:space="preserve"> </w:t>
      </w:r>
      <w:r w:rsidR="0053495F">
        <w:rPr>
          <w:rFonts w:ascii="Times New Roman" w:hAnsi="Times New Roman" w:cs="Times New Roman"/>
          <w:sz w:val="24"/>
          <w:szCs w:val="24"/>
        </w:rPr>
        <w:t xml:space="preserve">önemlidir. </w:t>
      </w:r>
      <w:r w:rsidR="0061112B">
        <w:rPr>
          <w:rFonts w:ascii="Times New Roman" w:hAnsi="Times New Roman" w:cs="Times New Roman"/>
          <w:sz w:val="24"/>
          <w:szCs w:val="24"/>
        </w:rPr>
        <w:t>Buna paralel olarak ülke e</w:t>
      </w:r>
      <w:r w:rsidR="00B14F5C">
        <w:rPr>
          <w:rFonts w:ascii="Times New Roman" w:hAnsi="Times New Roman" w:cs="Times New Roman"/>
          <w:sz w:val="24"/>
          <w:szCs w:val="24"/>
        </w:rPr>
        <w:t>ko</w:t>
      </w:r>
      <w:r w:rsidR="00EB3B40">
        <w:rPr>
          <w:rFonts w:ascii="Times New Roman" w:hAnsi="Times New Roman" w:cs="Times New Roman"/>
          <w:sz w:val="24"/>
          <w:szCs w:val="24"/>
        </w:rPr>
        <w:t>nomileri</w:t>
      </w:r>
      <w:r w:rsidR="00B14F5C">
        <w:rPr>
          <w:rFonts w:ascii="Times New Roman" w:hAnsi="Times New Roman" w:cs="Times New Roman"/>
          <w:sz w:val="24"/>
          <w:szCs w:val="24"/>
        </w:rPr>
        <w:t>n</w:t>
      </w:r>
      <w:r w:rsidR="0061112B">
        <w:rPr>
          <w:rFonts w:ascii="Times New Roman" w:hAnsi="Times New Roman" w:cs="Times New Roman"/>
          <w:sz w:val="24"/>
          <w:szCs w:val="24"/>
        </w:rPr>
        <w:t>in</w:t>
      </w:r>
      <w:r w:rsidR="00EB3B40">
        <w:rPr>
          <w:rFonts w:ascii="Times New Roman" w:hAnsi="Times New Roman" w:cs="Times New Roman"/>
          <w:sz w:val="24"/>
          <w:szCs w:val="24"/>
        </w:rPr>
        <w:t xml:space="preserve"> büyüme</w:t>
      </w:r>
      <w:r w:rsidR="0061112B">
        <w:rPr>
          <w:rFonts w:ascii="Times New Roman" w:hAnsi="Times New Roman" w:cs="Times New Roman"/>
          <w:sz w:val="24"/>
          <w:szCs w:val="24"/>
        </w:rPr>
        <w:t>si</w:t>
      </w:r>
      <w:r w:rsidR="00EB3B40">
        <w:rPr>
          <w:rFonts w:ascii="Times New Roman" w:hAnsi="Times New Roman" w:cs="Times New Roman"/>
          <w:sz w:val="24"/>
          <w:szCs w:val="24"/>
        </w:rPr>
        <w:t xml:space="preserve"> </w:t>
      </w:r>
      <w:r w:rsidR="00E50A06">
        <w:rPr>
          <w:rFonts w:ascii="Times New Roman" w:hAnsi="Times New Roman" w:cs="Times New Roman"/>
          <w:sz w:val="24"/>
          <w:szCs w:val="24"/>
        </w:rPr>
        <w:t xml:space="preserve">ve </w:t>
      </w:r>
      <w:r w:rsidR="00EB3B40">
        <w:rPr>
          <w:rFonts w:ascii="Times New Roman" w:hAnsi="Times New Roman" w:cs="Times New Roman"/>
          <w:sz w:val="24"/>
          <w:szCs w:val="24"/>
        </w:rPr>
        <w:t>kalkınma</w:t>
      </w:r>
      <w:r w:rsidR="00B14F5C">
        <w:rPr>
          <w:rFonts w:ascii="Times New Roman" w:hAnsi="Times New Roman" w:cs="Times New Roman"/>
          <w:sz w:val="24"/>
          <w:szCs w:val="24"/>
        </w:rPr>
        <w:t xml:space="preserve">sı için yatırımların artması </w:t>
      </w:r>
      <w:r w:rsidR="00402602">
        <w:rPr>
          <w:rFonts w:ascii="Times New Roman" w:hAnsi="Times New Roman" w:cs="Times New Roman"/>
          <w:sz w:val="24"/>
          <w:szCs w:val="24"/>
        </w:rPr>
        <w:t>oldukça önemlidir.</w:t>
      </w:r>
      <w:r w:rsidR="00B14F5C">
        <w:rPr>
          <w:rFonts w:ascii="Times New Roman" w:hAnsi="Times New Roman" w:cs="Times New Roman"/>
          <w:sz w:val="24"/>
          <w:szCs w:val="24"/>
        </w:rPr>
        <w:t xml:space="preserve"> </w:t>
      </w:r>
      <w:r w:rsidR="0053495F">
        <w:rPr>
          <w:rFonts w:ascii="Times New Roman" w:hAnsi="Times New Roman" w:cs="Times New Roman"/>
          <w:sz w:val="24"/>
          <w:szCs w:val="24"/>
        </w:rPr>
        <w:t xml:space="preserve">Bunun için ülke içindeki </w:t>
      </w:r>
      <w:r w:rsidR="003448E4">
        <w:rPr>
          <w:rFonts w:ascii="Times New Roman" w:hAnsi="Times New Roman" w:cs="Times New Roman"/>
          <w:sz w:val="24"/>
          <w:szCs w:val="24"/>
        </w:rPr>
        <w:t xml:space="preserve">ulusal </w:t>
      </w:r>
      <w:r w:rsidR="0053495F">
        <w:rPr>
          <w:rFonts w:ascii="Times New Roman" w:hAnsi="Times New Roman" w:cs="Times New Roman"/>
          <w:sz w:val="24"/>
          <w:szCs w:val="24"/>
        </w:rPr>
        <w:t xml:space="preserve">yatırımcıların ülke içinde </w:t>
      </w:r>
      <w:r w:rsidR="00C43F40">
        <w:rPr>
          <w:rFonts w:ascii="Times New Roman" w:hAnsi="Times New Roman" w:cs="Times New Roman"/>
          <w:sz w:val="24"/>
          <w:szCs w:val="24"/>
        </w:rPr>
        <w:t xml:space="preserve">yatırım yapması </w:t>
      </w:r>
      <w:r w:rsidR="00402602">
        <w:rPr>
          <w:rFonts w:ascii="Times New Roman" w:hAnsi="Times New Roman" w:cs="Times New Roman"/>
          <w:sz w:val="24"/>
          <w:szCs w:val="24"/>
        </w:rPr>
        <w:t>ve dışarda</w:t>
      </w:r>
      <w:r w:rsidR="003448E4">
        <w:rPr>
          <w:rFonts w:ascii="Times New Roman" w:hAnsi="Times New Roman" w:cs="Times New Roman"/>
          <w:sz w:val="24"/>
          <w:szCs w:val="24"/>
        </w:rPr>
        <w:t xml:space="preserve">ki uluslararası </w:t>
      </w:r>
      <w:r w:rsidR="0053495F">
        <w:rPr>
          <w:rFonts w:ascii="Times New Roman" w:hAnsi="Times New Roman" w:cs="Times New Roman"/>
          <w:sz w:val="24"/>
          <w:szCs w:val="24"/>
        </w:rPr>
        <w:t>yatırımcılar</w:t>
      </w:r>
      <w:r w:rsidR="003448E4">
        <w:rPr>
          <w:rFonts w:ascii="Times New Roman" w:hAnsi="Times New Roman" w:cs="Times New Roman"/>
          <w:sz w:val="24"/>
          <w:szCs w:val="24"/>
        </w:rPr>
        <w:t>ı</w:t>
      </w:r>
      <w:r w:rsidR="00C43F40">
        <w:rPr>
          <w:rFonts w:ascii="Times New Roman" w:hAnsi="Times New Roman" w:cs="Times New Roman"/>
          <w:sz w:val="24"/>
          <w:szCs w:val="24"/>
        </w:rPr>
        <w:t>n</w:t>
      </w:r>
      <w:r w:rsidR="003448E4">
        <w:rPr>
          <w:rFonts w:ascii="Times New Roman" w:hAnsi="Times New Roman" w:cs="Times New Roman"/>
          <w:sz w:val="24"/>
          <w:szCs w:val="24"/>
        </w:rPr>
        <w:t xml:space="preserve"> ülke</w:t>
      </w:r>
      <w:r w:rsidR="0061112B">
        <w:rPr>
          <w:rFonts w:ascii="Times New Roman" w:hAnsi="Times New Roman" w:cs="Times New Roman"/>
          <w:sz w:val="24"/>
          <w:szCs w:val="24"/>
        </w:rPr>
        <w:t xml:space="preserve">ye </w:t>
      </w:r>
      <w:r w:rsidR="00C43F40">
        <w:rPr>
          <w:rFonts w:ascii="Times New Roman" w:hAnsi="Times New Roman" w:cs="Times New Roman"/>
          <w:sz w:val="24"/>
          <w:szCs w:val="24"/>
        </w:rPr>
        <w:t xml:space="preserve">yatırım yapması </w:t>
      </w:r>
      <w:r w:rsidR="00E8555A">
        <w:rPr>
          <w:rFonts w:ascii="Times New Roman" w:hAnsi="Times New Roman" w:cs="Times New Roman"/>
          <w:sz w:val="24"/>
          <w:szCs w:val="24"/>
        </w:rPr>
        <w:t xml:space="preserve">istenir. </w:t>
      </w:r>
      <w:r w:rsidR="009D1B24">
        <w:rPr>
          <w:rFonts w:ascii="Times New Roman" w:hAnsi="Times New Roman" w:cs="Times New Roman"/>
          <w:sz w:val="24"/>
          <w:szCs w:val="24"/>
        </w:rPr>
        <w:t xml:space="preserve">Uluslararası yatırımcıları ülke içinde yatırım yapmaya </w:t>
      </w:r>
      <w:r w:rsidR="00F524EA">
        <w:rPr>
          <w:rFonts w:ascii="Times New Roman" w:hAnsi="Times New Roman" w:cs="Times New Roman"/>
          <w:sz w:val="24"/>
          <w:szCs w:val="24"/>
        </w:rPr>
        <w:t xml:space="preserve">teşvik </w:t>
      </w:r>
      <w:r w:rsidR="009D1B24">
        <w:rPr>
          <w:rFonts w:ascii="Times New Roman" w:hAnsi="Times New Roman" w:cs="Times New Roman"/>
          <w:sz w:val="24"/>
          <w:szCs w:val="24"/>
        </w:rPr>
        <w:t xml:space="preserve">etmek amacıyla </w:t>
      </w:r>
      <w:r w:rsidR="00E8555A">
        <w:rPr>
          <w:rFonts w:ascii="Times New Roman" w:hAnsi="Times New Roman" w:cs="Times New Roman"/>
          <w:sz w:val="24"/>
          <w:szCs w:val="24"/>
        </w:rPr>
        <w:t xml:space="preserve">başta </w:t>
      </w:r>
      <w:r w:rsidR="009D1B24">
        <w:rPr>
          <w:rFonts w:ascii="Times New Roman" w:hAnsi="Times New Roman" w:cs="Times New Roman"/>
          <w:sz w:val="24"/>
          <w:szCs w:val="24"/>
        </w:rPr>
        <w:t xml:space="preserve">işletmelerin </w:t>
      </w:r>
      <w:r w:rsidR="00E8555A">
        <w:rPr>
          <w:rFonts w:ascii="Times New Roman" w:hAnsi="Times New Roman" w:cs="Times New Roman"/>
          <w:sz w:val="24"/>
          <w:szCs w:val="24"/>
        </w:rPr>
        <w:t>kuruluş</w:t>
      </w:r>
      <w:r w:rsidR="003F6B24">
        <w:rPr>
          <w:rFonts w:ascii="Times New Roman" w:hAnsi="Times New Roman" w:cs="Times New Roman"/>
          <w:sz w:val="24"/>
          <w:szCs w:val="24"/>
        </w:rPr>
        <w:t>u</w:t>
      </w:r>
      <w:r w:rsidR="00E8555A">
        <w:rPr>
          <w:rFonts w:ascii="Times New Roman" w:hAnsi="Times New Roman" w:cs="Times New Roman"/>
          <w:sz w:val="24"/>
          <w:szCs w:val="24"/>
        </w:rPr>
        <w:t xml:space="preserve"> ile ilgili </w:t>
      </w:r>
      <w:r w:rsidR="00533104">
        <w:rPr>
          <w:rFonts w:ascii="Times New Roman" w:hAnsi="Times New Roman" w:cs="Times New Roman"/>
          <w:sz w:val="24"/>
          <w:szCs w:val="24"/>
        </w:rPr>
        <w:t xml:space="preserve">ve faaliyetlerinin karlı ve sorunsuz bir şekilde sürdürülebilmesi amacıyla </w:t>
      </w:r>
      <w:r w:rsidR="00B46CE8">
        <w:rPr>
          <w:rFonts w:ascii="Times New Roman" w:hAnsi="Times New Roman" w:cs="Times New Roman"/>
          <w:sz w:val="24"/>
          <w:szCs w:val="24"/>
        </w:rPr>
        <w:t xml:space="preserve">ülkenin politik ve ekonomik istikrarının sağlanarak, </w:t>
      </w:r>
      <w:r w:rsidR="00533104">
        <w:rPr>
          <w:rFonts w:ascii="Times New Roman" w:hAnsi="Times New Roman" w:cs="Times New Roman"/>
          <w:sz w:val="24"/>
          <w:szCs w:val="24"/>
        </w:rPr>
        <w:t xml:space="preserve">ekonomik, hukuki, </w:t>
      </w:r>
      <w:r w:rsidR="00B46CE8">
        <w:rPr>
          <w:rFonts w:ascii="Times New Roman" w:hAnsi="Times New Roman" w:cs="Times New Roman"/>
          <w:sz w:val="24"/>
          <w:szCs w:val="24"/>
        </w:rPr>
        <w:t xml:space="preserve">idari </w:t>
      </w:r>
      <w:r w:rsidR="009D1B24">
        <w:rPr>
          <w:rFonts w:ascii="Times New Roman" w:hAnsi="Times New Roman" w:cs="Times New Roman"/>
          <w:sz w:val="24"/>
          <w:szCs w:val="24"/>
        </w:rPr>
        <w:t>düzenleme</w:t>
      </w:r>
      <w:r w:rsidR="00B46CE8">
        <w:rPr>
          <w:rFonts w:ascii="Times New Roman" w:hAnsi="Times New Roman" w:cs="Times New Roman"/>
          <w:sz w:val="24"/>
          <w:szCs w:val="24"/>
        </w:rPr>
        <w:t xml:space="preserve">ler başta olmak üzere çeşitli düzenlemeler ve iyileştirmeler </w:t>
      </w:r>
      <w:r w:rsidR="009D1B24">
        <w:rPr>
          <w:rFonts w:ascii="Times New Roman" w:hAnsi="Times New Roman" w:cs="Times New Roman"/>
          <w:sz w:val="24"/>
          <w:szCs w:val="24"/>
        </w:rPr>
        <w:t>yapıl</w:t>
      </w:r>
      <w:r w:rsidR="00B46CE8">
        <w:rPr>
          <w:rFonts w:ascii="Times New Roman" w:hAnsi="Times New Roman" w:cs="Times New Roman"/>
          <w:sz w:val="24"/>
          <w:szCs w:val="24"/>
        </w:rPr>
        <w:t xml:space="preserve">ması gereklidir. </w:t>
      </w:r>
      <w:r w:rsidR="00624B0F">
        <w:rPr>
          <w:rFonts w:ascii="Times New Roman" w:hAnsi="Times New Roman" w:cs="Times New Roman"/>
          <w:sz w:val="24"/>
          <w:szCs w:val="24"/>
        </w:rPr>
        <w:t xml:space="preserve">Gelişmekte olan ülkelerde milli gelirin düşük seviyede olması nedeniyle tasarruflar düşük gerçekleşmekte ve bu da yatırımların istenen miktarda olamaması sonucunu doğurmaktadır. </w:t>
      </w:r>
      <w:r w:rsidR="00AA3CCD">
        <w:rPr>
          <w:rFonts w:ascii="Times New Roman" w:hAnsi="Times New Roman" w:cs="Times New Roman"/>
          <w:sz w:val="24"/>
          <w:szCs w:val="24"/>
        </w:rPr>
        <w:t>Kısa vadede yerli sermaye ve yatırımları artırmak mümkün olmadığından ekonomiler uluslararası</w:t>
      </w:r>
      <w:r w:rsidR="00510EAE">
        <w:rPr>
          <w:rFonts w:ascii="Times New Roman" w:hAnsi="Times New Roman" w:cs="Times New Roman"/>
          <w:sz w:val="24"/>
          <w:szCs w:val="24"/>
        </w:rPr>
        <w:t xml:space="preserve"> sermayeye,</w:t>
      </w:r>
      <w:r w:rsidR="00AA3CCD">
        <w:rPr>
          <w:rFonts w:ascii="Times New Roman" w:hAnsi="Times New Roman" w:cs="Times New Roman"/>
          <w:sz w:val="24"/>
          <w:szCs w:val="24"/>
        </w:rPr>
        <w:t xml:space="preserve"> yabancı yat</w:t>
      </w:r>
      <w:r w:rsidR="00510EAE">
        <w:rPr>
          <w:rFonts w:ascii="Times New Roman" w:hAnsi="Times New Roman" w:cs="Times New Roman"/>
          <w:sz w:val="24"/>
          <w:szCs w:val="24"/>
        </w:rPr>
        <w:t>ırımlara ihtiyaç duymaktadır</w:t>
      </w:r>
      <w:r w:rsidR="0012724E">
        <w:rPr>
          <w:rFonts w:ascii="Times New Roman" w:hAnsi="Times New Roman" w:cs="Times New Roman"/>
          <w:sz w:val="24"/>
          <w:szCs w:val="24"/>
        </w:rPr>
        <w:fldChar w:fldCharType="begin" w:fldLock="1"/>
      </w:r>
      <w:r w:rsidR="00906A89">
        <w:rPr>
          <w:rFonts w:ascii="Times New Roman" w:hAnsi="Times New Roman" w:cs="Times New Roman"/>
          <w:sz w:val="24"/>
          <w:szCs w:val="24"/>
        </w:rPr>
        <w:instrText>ADDIN CSL_CITATION {"citationItems":[{"id":"ITEM-1","itemData":{"author":[{"dropping-particle":"","family":"Kangal, Nalan, Eroğlu, İlhan, Çoban","given":"Mustafa Necati","non-dropping-particle":"","parse-names":false,"suffix":""}],"container-title":"Sosyal Bilimler Araştırmaları Dergisi","id":"ITEM-1","issue":"2 (Kış 2018)","issued":{"date-parts":[["2018"]]},"page":"21-48","title":"İş Yapma Kolaylığı Kapsamında MİNT Ülkeleri Üzerine Bir Değerlendirme","type":"article-journal","volume":"13"},"uris":["http://www.mendeley.com/documents/?uuid=d18a25c4-327c-4646-a659-ea5c0faf017b"]}],"mendeley":{"formattedCitation":"(Kangal, Nalan, Eroğlu, İlhan, Çoban, 2018)","manualFormatting":"(Kangal, vd. 2018:23;","plainTextFormattedCitation":"(Kangal, Nalan, Eroğlu, İlhan, Çoban, 2018)","previouslyFormattedCitation":"(Kangal, Nalan, Eroğlu, İlhan, Çoban, 2018)"},"properties":{"noteIndex":0},"schema":"https://github.com/citation-style-language/schema/raw/master/csl-citation.json"}</w:instrText>
      </w:r>
      <w:r w:rsidR="0012724E">
        <w:rPr>
          <w:rFonts w:ascii="Times New Roman" w:hAnsi="Times New Roman" w:cs="Times New Roman"/>
          <w:sz w:val="24"/>
          <w:szCs w:val="24"/>
        </w:rPr>
        <w:fldChar w:fldCharType="separate"/>
      </w:r>
      <w:r w:rsidR="0012724E" w:rsidRPr="0012724E">
        <w:rPr>
          <w:rFonts w:ascii="Times New Roman" w:hAnsi="Times New Roman" w:cs="Times New Roman"/>
          <w:noProof/>
          <w:sz w:val="24"/>
          <w:szCs w:val="24"/>
        </w:rPr>
        <w:t xml:space="preserve">(Kangal, </w:t>
      </w:r>
      <w:r w:rsidR="00537D7F">
        <w:rPr>
          <w:rFonts w:ascii="Times New Roman" w:hAnsi="Times New Roman" w:cs="Times New Roman"/>
          <w:noProof/>
          <w:sz w:val="24"/>
          <w:szCs w:val="24"/>
        </w:rPr>
        <w:t>vd.</w:t>
      </w:r>
      <w:r w:rsidR="0012724E" w:rsidRPr="0012724E">
        <w:rPr>
          <w:rFonts w:ascii="Times New Roman" w:hAnsi="Times New Roman" w:cs="Times New Roman"/>
          <w:noProof/>
          <w:sz w:val="24"/>
          <w:szCs w:val="24"/>
        </w:rPr>
        <w:t xml:space="preserve"> 2018</w:t>
      </w:r>
      <w:r w:rsidR="0012724E">
        <w:rPr>
          <w:rFonts w:ascii="Times New Roman" w:hAnsi="Times New Roman" w:cs="Times New Roman"/>
          <w:noProof/>
          <w:sz w:val="24"/>
          <w:szCs w:val="24"/>
        </w:rPr>
        <w:t>:23</w:t>
      </w:r>
      <w:r w:rsidR="0009669F">
        <w:rPr>
          <w:rFonts w:ascii="Times New Roman" w:hAnsi="Times New Roman" w:cs="Times New Roman"/>
          <w:noProof/>
          <w:sz w:val="24"/>
          <w:szCs w:val="24"/>
        </w:rPr>
        <w:t>;</w:t>
      </w:r>
      <w:r w:rsidR="0012724E">
        <w:rPr>
          <w:rFonts w:ascii="Times New Roman" w:hAnsi="Times New Roman" w:cs="Times New Roman"/>
          <w:sz w:val="24"/>
          <w:szCs w:val="24"/>
        </w:rPr>
        <w:fldChar w:fldCharType="end"/>
      </w:r>
      <w:r w:rsidR="0009669F">
        <w:rPr>
          <w:rFonts w:ascii="Times New Roman" w:hAnsi="Times New Roman" w:cs="Times New Roman"/>
          <w:sz w:val="24"/>
          <w:szCs w:val="24"/>
        </w:rPr>
        <w:fldChar w:fldCharType="begin" w:fldLock="1"/>
      </w:r>
      <w:r w:rsidR="00906A89">
        <w:rPr>
          <w:rFonts w:ascii="Times New Roman" w:hAnsi="Times New Roman" w:cs="Times New Roman"/>
          <w:sz w:val="24"/>
          <w:szCs w:val="24"/>
        </w:rPr>
        <w:instrText>ADDIN CSL_CITATION {"citationItems":[{"id":"ITEM-1","itemData":{"DOI":"10.24988/ije.202136214","ISSN":"1308-8173","author":[{"dropping-particle":"","family":"BULUT","given":"Ahsen Emir","non-dropping-particle":"","parse-names":false,"suffix":""},{"dropping-particle":"","family":"ACAR BALAYLAR","given":"Nilgün","non-dropping-particle":"","parse-names":false,"suffix":""}],"container-title":"İzmir İktisat Dergisi","id":"ITEM-1","issue":"2","issued":{"date-parts":[["2021"]]},"page":"461-477","title":"Finansal İstikrar ve Doğrudan Yabancı Yatırım İlişkisinin Gelişmekte Olan Ülkeler Perspektifinde Panel Veri ile Analizi","type":"article-journal","volume":"36"},"uris":["http://www.mendeley.com/documents/?uuid=fc7a6c09-9c27-4dfa-abe4-ee2600110f5b"]},{"id":"ITEM-2","itemData":{"DOI":"10.21121/eab.2014318031","ISSN":"1303-099X","abstract":"Due to the increasing competition in the market, taking right decisions about the location selection for businesses is very important. The wrong choice of location for businesses may cause to large losses even bankruptcy. Shopping Centers (AVM) sector is the first sector for which the location selection is quite important. A location chosen as Shopping Center (AVM) should be a place providing high customer potential, low cost and high profit. In this study,the case of a business making a decision to open a new AVM in the province of Erzincan is studied to determine the possible location of a new shopping center. For this purpose we studied with more than one decision makers and Multi-Criteria Decision Making (MCDM) techniques were used to choose the right alternative among the wide range of alternatives. In this study by using techniques of Fuzzy TOPSIS and Fuzzy VIKOR, belonging to Multiple Criteria Decision Making (MCDM) techniques, it is examined to determine the evaluation and selection of the most appropriate potential location for the shopping center in province of Erzincan. (English) [ABSTRACT FROM AUTHOR]","author":[{"dropping-particle":"","family":"DEVECİ","given":"Muhammet","non-dropping-particle":"","parse-names":false,"suffix":""},{"dropping-particle":"","family":"YAVUZ","given":"Selahattin","non-dropping-particle":"","parse-names":false,"suffix":""}],"container-title":"Ege Akademik Bakis (Ege Academic Review)","id":"ITEM-2","issue":"3","issued":{"date-parts":[["2014"]]},"page":"463-463","title":"Bulanık TOPSIS ve Bulanık VIKOR Yöntemleriyle Alışveriş Merkezi Kuruluş Yeri Seçimi ve Bir Uygulama","type":"article-journal","volume":"14"},"uris":["http://www.mendeley.com/documents/?uuid=79518758-9c2c-400f-9c51-a63d0a7ca6e8"]}],"mendeley":{"formattedCitation":"(BULUT ve ACAR BALAYLAR, 2021; DEVECİ ve YAVUZ, 2014)","manualFormatting":"Bulut ve Balaylar, 2021:463)","plainTextFormattedCitation":"(BULUT ve ACAR BALAYLAR, 2021; DEVECİ ve YAVUZ, 2014)","previouslyFormattedCitation":"(BULUT ve ACAR BALAYLAR, 2021; DEVECİ ve YAVUZ, 2014)"},"properties":{"noteIndex":0},"schema":"https://github.com/citation-style-language/schema/raw/master/csl-citation.json"}</w:instrText>
      </w:r>
      <w:r w:rsidR="0009669F">
        <w:rPr>
          <w:rFonts w:ascii="Times New Roman" w:hAnsi="Times New Roman" w:cs="Times New Roman"/>
          <w:sz w:val="24"/>
          <w:szCs w:val="24"/>
        </w:rPr>
        <w:fldChar w:fldCharType="separate"/>
      </w:r>
      <w:r w:rsidR="0009669F" w:rsidRPr="0009669F">
        <w:rPr>
          <w:rFonts w:ascii="Times New Roman" w:hAnsi="Times New Roman" w:cs="Times New Roman"/>
          <w:noProof/>
          <w:sz w:val="24"/>
          <w:szCs w:val="24"/>
        </w:rPr>
        <w:t>B</w:t>
      </w:r>
      <w:r w:rsidR="0009669F">
        <w:rPr>
          <w:rFonts w:ascii="Times New Roman" w:hAnsi="Times New Roman" w:cs="Times New Roman"/>
          <w:noProof/>
          <w:sz w:val="24"/>
          <w:szCs w:val="24"/>
        </w:rPr>
        <w:t>ulut ve Balaylar</w:t>
      </w:r>
      <w:r w:rsidR="00D63761">
        <w:rPr>
          <w:rFonts w:ascii="Times New Roman" w:hAnsi="Times New Roman" w:cs="Times New Roman"/>
          <w:noProof/>
          <w:sz w:val="24"/>
          <w:szCs w:val="24"/>
        </w:rPr>
        <w:t>, 2021:</w:t>
      </w:r>
      <w:r w:rsidR="0009669F">
        <w:rPr>
          <w:rFonts w:ascii="Times New Roman" w:hAnsi="Times New Roman" w:cs="Times New Roman"/>
          <w:noProof/>
          <w:sz w:val="24"/>
          <w:szCs w:val="24"/>
        </w:rPr>
        <w:t>463</w:t>
      </w:r>
      <w:r w:rsidR="0009669F" w:rsidRPr="0009669F">
        <w:rPr>
          <w:rFonts w:ascii="Times New Roman" w:hAnsi="Times New Roman" w:cs="Times New Roman"/>
          <w:noProof/>
          <w:sz w:val="24"/>
          <w:szCs w:val="24"/>
        </w:rPr>
        <w:t>)</w:t>
      </w:r>
      <w:r w:rsidR="0009669F">
        <w:rPr>
          <w:rFonts w:ascii="Times New Roman" w:hAnsi="Times New Roman" w:cs="Times New Roman"/>
          <w:sz w:val="24"/>
          <w:szCs w:val="24"/>
        </w:rPr>
        <w:fldChar w:fldCharType="end"/>
      </w:r>
      <w:r w:rsidR="00434571">
        <w:rPr>
          <w:rFonts w:ascii="Times New Roman" w:hAnsi="Times New Roman" w:cs="Times New Roman"/>
          <w:sz w:val="24"/>
          <w:szCs w:val="24"/>
        </w:rPr>
        <w:t xml:space="preserve"> Bu bağlamda </w:t>
      </w:r>
      <w:r w:rsidR="00D63761">
        <w:rPr>
          <w:rFonts w:ascii="Times New Roman" w:hAnsi="Times New Roman" w:cs="Times New Roman"/>
          <w:sz w:val="24"/>
          <w:szCs w:val="24"/>
        </w:rPr>
        <w:t xml:space="preserve">ülkeler uluslararası yatırımları çekmek amacıyla </w:t>
      </w:r>
      <w:r w:rsidR="00136D48">
        <w:rPr>
          <w:rFonts w:ascii="Times New Roman" w:hAnsi="Times New Roman" w:cs="Times New Roman"/>
          <w:sz w:val="24"/>
          <w:szCs w:val="24"/>
        </w:rPr>
        <w:t>politikalar</w:t>
      </w:r>
      <w:r w:rsidR="00D63761">
        <w:rPr>
          <w:rFonts w:ascii="Times New Roman" w:hAnsi="Times New Roman" w:cs="Times New Roman"/>
          <w:sz w:val="24"/>
          <w:szCs w:val="24"/>
        </w:rPr>
        <w:t xml:space="preserve"> </w:t>
      </w:r>
      <w:r w:rsidR="00136D48">
        <w:rPr>
          <w:rFonts w:ascii="Times New Roman" w:hAnsi="Times New Roman" w:cs="Times New Roman"/>
          <w:sz w:val="24"/>
          <w:szCs w:val="24"/>
        </w:rPr>
        <w:t>oluşturmakta</w:t>
      </w:r>
      <w:r w:rsidR="009C7B6D">
        <w:rPr>
          <w:rFonts w:ascii="Times New Roman" w:hAnsi="Times New Roman" w:cs="Times New Roman"/>
          <w:sz w:val="24"/>
          <w:szCs w:val="24"/>
        </w:rPr>
        <w:t xml:space="preserve"> idari düzenlemeler yapmaktadır</w:t>
      </w:r>
      <w:r w:rsidR="00136D48">
        <w:rPr>
          <w:rFonts w:ascii="Times New Roman" w:hAnsi="Times New Roman" w:cs="Times New Roman"/>
          <w:sz w:val="24"/>
          <w:szCs w:val="24"/>
        </w:rPr>
        <w:t>lar.</w:t>
      </w:r>
      <w:r w:rsidR="00D63761">
        <w:rPr>
          <w:rFonts w:ascii="Times New Roman" w:hAnsi="Times New Roman" w:cs="Times New Roman"/>
          <w:sz w:val="24"/>
          <w:szCs w:val="24"/>
        </w:rPr>
        <w:t xml:space="preserve"> </w:t>
      </w:r>
    </w:p>
    <w:p w:rsidR="00434571" w:rsidRDefault="001E3E2E" w:rsidP="008A10E8">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Teknolojideki ve bilim</w:t>
      </w:r>
      <w:r w:rsidR="009C7B6D">
        <w:rPr>
          <w:rFonts w:ascii="Times New Roman" w:hAnsi="Times New Roman" w:cs="Times New Roman"/>
          <w:sz w:val="24"/>
          <w:szCs w:val="24"/>
        </w:rPr>
        <w:t xml:space="preserve">deki </w:t>
      </w:r>
      <w:r>
        <w:rPr>
          <w:rFonts w:ascii="Times New Roman" w:hAnsi="Times New Roman" w:cs="Times New Roman"/>
          <w:sz w:val="24"/>
          <w:szCs w:val="24"/>
        </w:rPr>
        <w:t xml:space="preserve">gelişmelerle </w:t>
      </w:r>
      <w:r w:rsidR="009C7B6D">
        <w:rPr>
          <w:rFonts w:ascii="Times New Roman" w:hAnsi="Times New Roman" w:cs="Times New Roman"/>
          <w:sz w:val="24"/>
          <w:szCs w:val="24"/>
        </w:rPr>
        <w:t xml:space="preserve">hızlanan </w:t>
      </w:r>
      <w:r>
        <w:rPr>
          <w:rFonts w:ascii="Times New Roman" w:hAnsi="Times New Roman" w:cs="Times New Roman"/>
          <w:sz w:val="24"/>
          <w:szCs w:val="24"/>
        </w:rPr>
        <w:t>küresel</w:t>
      </w:r>
      <w:r w:rsidR="009C7B6D">
        <w:rPr>
          <w:rFonts w:ascii="Times New Roman" w:hAnsi="Times New Roman" w:cs="Times New Roman"/>
          <w:sz w:val="24"/>
          <w:szCs w:val="24"/>
        </w:rPr>
        <w:t xml:space="preserve">leşme </w:t>
      </w:r>
      <w:r>
        <w:rPr>
          <w:rFonts w:ascii="Times New Roman" w:hAnsi="Times New Roman" w:cs="Times New Roman"/>
          <w:sz w:val="24"/>
          <w:szCs w:val="24"/>
        </w:rPr>
        <w:t xml:space="preserve">beraberinde mal ve hizmetler, </w:t>
      </w:r>
      <w:r w:rsidR="00740944">
        <w:rPr>
          <w:rFonts w:ascii="Times New Roman" w:hAnsi="Times New Roman" w:cs="Times New Roman"/>
          <w:sz w:val="24"/>
          <w:szCs w:val="24"/>
        </w:rPr>
        <w:t>işgücü</w:t>
      </w:r>
      <w:r>
        <w:rPr>
          <w:rFonts w:ascii="Times New Roman" w:hAnsi="Times New Roman" w:cs="Times New Roman"/>
          <w:sz w:val="24"/>
          <w:szCs w:val="24"/>
        </w:rPr>
        <w:t xml:space="preserve"> </w:t>
      </w:r>
      <w:r w:rsidR="00122A03">
        <w:rPr>
          <w:rFonts w:ascii="Times New Roman" w:hAnsi="Times New Roman" w:cs="Times New Roman"/>
          <w:sz w:val="24"/>
          <w:szCs w:val="24"/>
        </w:rPr>
        <w:t xml:space="preserve">ve </w:t>
      </w:r>
      <w:r>
        <w:rPr>
          <w:rFonts w:ascii="Times New Roman" w:hAnsi="Times New Roman" w:cs="Times New Roman"/>
          <w:sz w:val="24"/>
          <w:szCs w:val="24"/>
        </w:rPr>
        <w:t>sermaye</w:t>
      </w:r>
      <w:r w:rsidR="00122A03">
        <w:rPr>
          <w:rFonts w:ascii="Times New Roman" w:hAnsi="Times New Roman" w:cs="Times New Roman"/>
          <w:sz w:val="24"/>
          <w:szCs w:val="24"/>
        </w:rPr>
        <w:t xml:space="preserve">nin dünyada serbestçe dolaşmasını </w:t>
      </w:r>
      <w:r>
        <w:rPr>
          <w:rFonts w:ascii="Times New Roman" w:hAnsi="Times New Roman" w:cs="Times New Roman"/>
          <w:sz w:val="24"/>
          <w:szCs w:val="24"/>
        </w:rPr>
        <w:t xml:space="preserve">sağlamıştır. </w:t>
      </w:r>
      <w:r w:rsidR="00434571">
        <w:rPr>
          <w:rFonts w:ascii="Times New Roman" w:hAnsi="Times New Roman" w:cs="Times New Roman"/>
          <w:sz w:val="24"/>
          <w:szCs w:val="24"/>
        </w:rPr>
        <w:t xml:space="preserve">İkinci dünya savaşı sonrasında savaşın yıkımlarını gidermek üzere ülkeler </w:t>
      </w:r>
      <w:r w:rsidR="008A10E8">
        <w:rPr>
          <w:rFonts w:ascii="Times New Roman" w:hAnsi="Times New Roman" w:cs="Times New Roman"/>
          <w:sz w:val="24"/>
          <w:szCs w:val="24"/>
        </w:rPr>
        <w:t>arasındaki</w:t>
      </w:r>
      <w:r w:rsidR="00434571">
        <w:rPr>
          <w:rFonts w:ascii="Times New Roman" w:hAnsi="Times New Roman" w:cs="Times New Roman"/>
          <w:sz w:val="24"/>
          <w:szCs w:val="24"/>
        </w:rPr>
        <w:t xml:space="preserve"> </w:t>
      </w:r>
      <w:r w:rsidR="008A10E8">
        <w:rPr>
          <w:rFonts w:ascii="Times New Roman" w:hAnsi="Times New Roman" w:cs="Times New Roman"/>
          <w:sz w:val="24"/>
          <w:szCs w:val="24"/>
        </w:rPr>
        <w:t>iş bilirliği</w:t>
      </w:r>
      <w:r w:rsidR="00434571">
        <w:rPr>
          <w:rFonts w:ascii="Times New Roman" w:hAnsi="Times New Roman" w:cs="Times New Roman"/>
          <w:sz w:val="24"/>
          <w:szCs w:val="24"/>
        </w:rPr>
        <w:t xml:space="preserve"> ve </w:t>
      </w:r>
      <w:r w:rsidR="008A10E8">
        <w:rPr>
          <w:rFonts w:ascii="Times New Roman" w:hAnsi="Times New Roman" w:cs="Times New Roman"/>
          <w:sz w:val="24"/>
          <w:szCs w:val="24"/>
        </w:rPr>
        <w:t>dayanışmanın</w:t>
      </w:r>
      <w:r w:rsidR="004F693D">
        <w:rPr>
          <w:rFonts w:ascii="Times New Roman" w:hAnsi="Times New Roman" w:cs="Times New Roman"/>
          <w:sz w:val="24"/>
          <w:szCs w:val="24"/>
        </w:rPr>
        <w:t xml:space="preserve"> artması </w:t>
      </w:r>
      <w:r w:rsidR="008A10E8">
        <w:rPr>
          <w:rFonts w:ascii="Times New Roman" w:hAnsi="Times New Roman" w:cs="Times New Roman"/>
          <w:sz w:val="24"/>
          <w:szCs w:val="24"/>
        </w:rPr>
        <w:t>ülkeleri</w:t>
      </w:r>
      <w:r w:rsidR="004F693D">
        <w:rPr>
          <w:rFonts w:ascii="Times New Roman" w:hAnsi="Times New Roman" w:cs="Times New Roman"/>
          <w:sz w:val="24"/>
          <w:szCs w:val="24"/>
        </w:rPr>
        <w:t xml:space="preserve"> </w:t>
      </w:r>
      <w:r w:rsidR="00122A03">
        <w:rPr>
          <w:rFonts w:ascii="Times New Roman" w:hAnsi="Times New Roman" w:cs="Times New Roman"/>
          <w:sz w:val="24"/>
          <w:szCs w:val="24"/>
        </w:rPr>
        <w:t xml:space="preserve">arasında bir </w:t>
      </w:r>
      <w:r w:rsidR="004F693D">
        <w:rPr>
          <w:rFonts w:ascii="Times New Roman" w:hAnsi="Times New Roman" w:cs="Times New Roman"/>
          <w:sz w:val="24"/>
          <w:szCs w:val="24"/>
        </w:rPr>
        <w:t>yakınlaş</w:t>
      </w:r>
      <w:r w:rsidR="00122A03">
        <w:rPr>
          <w:rFonts w:ascii="Times New Roman" w:hAnsi="Times New Roman" w:cs="Times New Roman"/>
          <w:sz w:val="24"/>
          <w:szCs w:val="24"/>
        </w:rPr>
        <w:t>ma sürecinin başlangıcını olmuştur.</w:t>
      </w:r>
      <w:r w:rsidR="004F693D">
        <w:rPr>
          <w:rFonts w:ascii="Times New Roman" w:hAnsi="Times New Roman" w:cs="Times New Roman"/>
          <w:sz w:val="24"/>
          <w:szCs w:val="24"/>
        </w:rPr>
        <w:t xml:space="preserve"> </w:t>
      </w:r>
      <w:r w:rsidR="008A10E8">
        <w:rPr>
          <w:rFonts w:ascii="Times New Roman" w:hAnsi="Times New Roman" w:cs="Times New Roman"/>
          <w:sz w:val="24"/>
          <w:szCs w:val="24"/>
        </w:rPr>
        <w:t>Teknolojik</w:t>
      </w:r>
      <w:r w:rsidR="004F693D">
        <w:rPr>
          <w:rFonts w:ascii="Times New Roman" w:hAnsi="Times New Roman" w:cs="Times New Roman"/>
          <w:sz w:val="24"/>
          <w:szCs w:val="24"/>
        </w:rPr>
        <w:t xml:space="preserve"> gelişmeler</w:t>
      </w:r>
      <w:r w:rsidR="00122A03">
        <w:rPr>
          <w:rFonts w:ascii="Times New Roman" w:hAnsi="Times New Roman" w:cs="Times New Roman"/>
          <w:sz w:val="24"/>
          <w:szCs w:val="24"/>
        </w:rPr>
        <w:t>e</w:t>
      </w:r>
      <w:r w:rsidR="000F7AF8">
        <w:rPr>
          <w:rFonts w:ascii="Times New Roman" w:hAnsi="Times New Roman" w:cs="Times New Roman"/>
          <w:sz w:val="24"/>
          <w:szCs w:val="24"/>
        </w:rPr>
        <w:t xml:space="preserve"> paralel olarak ulaşım ve bilişim sektörlerindeki gelişmeler, </w:t>
      </w:r>
      <w:r w:rsidR="00F03556">
        <w:rPr>
          <w:rFonts w:ascii="Times New Roman" w:hAnsi="Times New Roman" w:cs="Times New Roman"/>
          <w:sz w:val="24"/>
          <w:szCs w:val="24"/>
        </w:rPr>
        <w:t xml:space="preserve">üretimde bulunan </w:t>
      </w:r>
      <w:r w:rsidR="004F693D">
        <w:rPr>
          <w:rFonts w:ascii="Times New Roman" w:hAnsi="Times New Roman" w:cs="Times New Roman"/>
          <w:sz w:val="24"/>
          <w:szCs w:val="24"/>
        </w:rPr>
        <w:t xml:space="preserve">gelişmiş ülkelerin </w:t>
      </w:r>
      <w:r w:rsidR="00122A03">
        <w:rPr>
          <w:rFonts w:ascii="Times New Roman" w:hAnsi="Times New Roman" w:cs="Times New Roman"/>
          <w:sz w:val="24"/>
          <w:szCs w:val="24"/>
        </w:rPr>
        <w:t>dış pazarlara açılmasını</w:t>
      </w:r>
      <w:r w:rsidR="00F03556">
        <w:rPr>
          <w:rFonts w:ascii="Times New Roman" w:hAnsi="Times New Roman" w:cs="Times New Roman"/>
          <w:sz w:val="24"/>
          <w:szCs w:val="24"/>
        </w:rPr>
        <w:t xml:space="preserve"> beraberinde getirmiştir. Sermayenin </w:t>
      </w:r>
      <w:r w:rsidR="004F693D">
        <w:rPr>
          <w:rFonts w:ascii="Times New Roman" w:hAnsi="Times New Roman" w:cs="Times New Roman"/>
          <w:sz w:val="24"/>
          <w:szCs w:val="24"/>
        </w:rPr>
        <w:t>yeni pazar arayış</w:t>
      </w:r>
      <w:r w:rsidR="008A10E8">
        <w:rPr>
          <w:rFonts w:ascii="Times New Roman" w:hAnsi="Times New Roman" w:cs="Times New Roman"/>
          <w:sz w:val="24"/>
          <w:szCs w:val="24"/>
        </w:rPr>
        <w:t>ları</w:t>
      </w:r>
      <w:r w:rsidR="004F693D">
        <w:rPr>
          <w:rFonts w:ascii="Times New Roman" w:hAnsi="Times New Roman" w:cs="Times New Roman"/>
          <w:sz w:val="24"/>
          <w:szCs w:val="24"/>
        </w:rPr>
        <w:t xml:space="preserve">, geniş </w:t>
      </w:r>
      <w:r w:rsidR="008A10E8">
        <w:rPr>
          <w:rFonts w:ascii="Times New Roman" w:hAnsi="Times New Roman" w:cs="Times New Roman"/>
          <w:sz w:val="24"/>
          <w:szCs w:val="24"/>
        </w:rPr>
        <w:t>p</w:t>
      </w:r>
      <w:r w:rsidR="004F693D">
        <w:rPr>
          <w:rFonts w:ascii="Times New Roman" w:hAnsi="Times New Roman" w:cs="Times New Roman"/>
          <w:sz w:val="24"/>
          <w:szCs w:val="24"/>
        </w:rPr>
        <w:t>azar</w:t>
      </w:r>
      <w:r w:rsidR="008A10E8">
        <w:rPr>
          <w:rFonts w:ascii="Times New Roman" w:hAnsi="Times New Roman" w:cs="Times New Roman"/>
          <w:sz w:val="24"/>
          <w:szCs w:val="24"/>
        </w:rPr>
        <w:t>lara</w:t>
      </w:r>
      <w:r w:rsidR="004F693D">
        <w:rPr>
          <w:rFonts w:ascii="Times New Roman" w:hAnsi="Times New Roman" w:cs="Times New Roman"/>
          <w:sz w:val="24"/>
          <w:szCs w:val="24"/>
        </w:rPr>
        <w:t xml:space="preserve"> ve dinamik</w:t>
      </w:r>
      <w:r w:rsidR="000F7AF8">
        <w:rPr>
          <w:rFonts w:ascii="Times New Roman" w:hAnsi="Times New Roman" w:cs="Times New Roman"/>
          <w:sz w:val="24"/>
          <w:szCs w:val="24"/>
        </w:rPr>
        <w:t xml:space="preserve"> ve genç bir</w:t>
      </w:r>
      <w:r w:rsidR="004F693D">
        <w:rPr>
          <w:rFonts w:ascii="Times New Roman" w:hAnsi="Times New Roman" w:cs="Times New Roman"/>
          <w:sz w:val="24"/>
          <w:szCs w:val="24"/>
        </w:rPr>
        <w:t xml:space="preserve"> işgücüne sahip </w:t>
      </w:r>
      <w:r w:rsidR="00F03556">
        <w:rPr>
          <w:rFonts w:ascii="Times New Roman" w:hAnsi="Times New Roman" w:cs="Times New Roman"/>
          <w:sz w:val="24"/>
          <w:szCs w:val="24"/>
        </w:rPr>
        <w:t xml:space="preserve">olan </w:t>
      </w:r>
      <w:r w:rsidR="004F693D">
        <w:rPr>
          <w:rFonts w:ascii="Times New Roman" w:hAnsi="Times New Roman" w:cs="Times New Roman"/>
          <w:sz w:val="24"/>
          <w:szCs w:val="24"/>
        </w:rPr>
        <w:t>gelişme</w:t>
      </w:r>
      <w:r w:rsidR="00F03556">
        <w:rPr>
          <w:rFonts w:ascii="Times New Roman" w:hAnsi="Times New Roman" w:cs="Times New Roman"/>
          <w:sz w:val="24"/>
          <w:szCs w:val="24"/>
        </w:rPr>
        <w:t xml:space="preserve"> sürecindeki </w:t>
      </w:r>
      <w:r w:rsidR="004F693D">
        <w:rPr>
          <w:rFonts w:ascii="Times New Roman" w:hAnsi="Times New Roman" w:cs="Times New Roman"/>
          <w:sz w:val="24"/>
          <w:szCs w:val="24"/>
        </w:rPr>
        <w:t xml:space="preserve">ülkelere sermaye akımını başlatan nedenler arasındadır. </w:t>
      </w:r>
      <w:r w:rsidR="008A10E8">
        <w:rPr>
          <w:rFonts w:ascii="Times New Roman" w:hAnsi="Times New Roman" w:cs="Times New Roman"/>
          <w:sz w:val="24"/>
          <w:szCs w:val="24"/>
        </w:rPr>
        <w:t>1970</w:t>
      </w:r>
      <w:r w:rsidR="00080561">
        <w:rPr>
          <w:rFonts w:ascii="Times New Roman" w:hAnsi="Times New Roman" w:cs="Times New Roman"/>
          <w:sz w:val="24"/>
          <w:szCs w:val="24"/>
        </w:rPr>
        <w:t>’</w:t>
      </w:r>
      <w:r w:rsidR="008A10E8">
        <w:rPr>
          <w:rFonts w:ascii="Times New Roman" w:hAnsi="Times New Roman" w:cs="Times New Roman"/>
          <w:sz w:val="24"/>
          <w:szCs w:val="24"/>
        </w:rPr>
        <w:t xml:space="preserve">lere kadar dışa kapalı ve kendi içinde </w:t>
      </w:r>
      <w:r w:rsidR="000152DD">
        <w:rPr>
          <w:rFonts w:ascii="Times New Roman" w:hAnsi="Times New Roman" w:cs="Times New Roman"/>
          <w:sz w:val="24"/>
          <w:szCs w:val="24"/>
        </w:rPr>
        <w:t xml:space="preserve">yavaş bir gelişme hızına sahip </w:t>
      </w:r>
      <w:r w:rsidR="008A10E8">
        <w:rPr>
          <w:rFonts w:ascii="Times New Roman" w:hAnsi="Times New Roman" w:cs="Times New Roman"/>
          <w:sz w:val="24"/>
          <w:szCs w:val="24"/>
        </w:rPr>
        <w:t>olan ülkeler</w:t>
      </w:r>
      <w:r w:rsidR="00F03556">
        <w:rPr>
          <w:rFonts w:ascii="Times New Roman" w:hAnsi="Times New Roman" w:cs="Times New Roman"/>
          <w:sz w:val="24"/>
          <w:szCs w:val="24"/>
        </w:rPr>
        <w:t>,</w:t>
      </w:r>
      <w:r w:rsidR="008A10E8">
        <w:rPr>
          <w:rFonts w:ascii="Times New Roman" w:hAnsi="Times New Roman" w:cs="Times New Roman"/>
          <w:sz w:val="24"/>
          <w:szCs w:val="24"/>
        </w:rPr>
        <w:t xml:space="preserve"> kürese</w:t>
      </w:r>
      <w:r w:rsidR="00CD6743">
        <w:rPr>
          <w:rFonts w:ascii="Times New Roman" w:hAnsi="Times New Roman" w:cs="Times New Roman"/>
          <w:sz w:val="24"/>
          <w:szCs w:val="24"/>
        </w:rPr>
        <w:t xml:space="preserve">lleşmenin hızlanarak doğrudan ve dolaylı </w:t>
      </w:r>
      <w:r w:rsidR="00080561">
        <w:rPr>
          <w:rFonts w:ascii="Times New Roman" w:hAnsi="Times New Roman" w:cs="Times New Roman"/>
          <w:sz w:val="24"/>
          <w:szCs w:val="24"/>
        </w:rPr>
        <w:t>sermayenin</w:t>
      </w:r>
      <w:r w:rsidR="00CD6743">
        <w:rPr>
          <w:rFonts w:ascii="Times New Roman" w:hAnsi="Times New Roman" w:cs="Times New Roman"/>
          <w:sz w:val="24"/>
          <w:szCs w:val="24"/>
        </w:rPr>
        <w:t xml:space="preserve"> </w:t>
      </w:r>
      <w:r w:rsidR="00080561">
        <w:rPr>
          <w:rFonts w:ascii="Times New Roman" w:hAnsi="Times New Roman" w:cs="Times New Roman"/>
          <w:sz w:val="24"/>
          <w:szCs w:val="24"/>
        </w:rPr>
        <w:t>küresel hareket</w:t>
      </w:r>
      <w:r w:rsidR="00CD6743">
        <w:rPr>
          <w:rFonts w:ascii="Times New Roman" w:hAnsi="Times New Roman" w:cs="Times New Roman"/>
          <w:sz w:val="24"/>
          <w:szCs w:val="24"/>
        </w:rPr>
        <w:t xml:space="preserve"> etmeye başlaması ile birlikte </w:t>
      </w:r>
      <w:r w:rsidR="00080561">
        <w:rPr>
          <w:rFonts w:ascii="Times New Roman" w:hAnsi="Times New Roman" w:cs="Times New Roman"/>
          <w:sz w:val="24"/>
          <w:szCs w:val="24"/>
        </w:rPr>
        <w:t>uluslararası</w:t>
      </w:r>
      <w:r w:rsidR="000152DD">
        <w:rPr>
          <w:rFonts w:ascii="Times New Roman" w:hAnsi="Times New Roman" w:cs="Times New Roman"/>
          <w:sz w:val="24"/>
          <w:szCs w:val="24"/>
        </w:rPr>
        <w:t xml:space="preserve">, finansman ve </w:t>
      </w:r>
      <w:r w:rsidR="000F7AF8">
        <w:rPr>
          <w:rFonts w:ascii="Times New Roman" w:hAnsi="Times New Roman" w:cs="Times New Roman"/>
          <w:sz w:val="24"/>
          <w:szCs w:val="24"/>
        </w:rPr>
        <w:t xml:space="preserve">yatırımcı </w:t>
      </w:r>
      <w:r w:rsidR="00DC41A3">
        <w:rPr>
          <w:rFonts w:ascii="Times New Roman" w:hAnsi="Times New Roman" w:cs="Times New Roman"/>
          <w:sz w:val="24"/>
          <w:szCs w:val="24"/>
        </w:rPr>
        <w:t>çekmeye başlamışlardır</w:t>
      </w:r>
      <w:r w:rsidR="00DC41A3">
        <w:rPr>
          <w:rFonts w:ascii="Times New Roman" w:hAnsi="Times New Roman" w:cs="Times New Roman"/>
          <w:sz w:val="24"/>
          <w:szCs w:val="24"/>
        </w:rPr>
        <w:fldChar w:fldCharType="begin" w:fldLock="1"/>
      </w:r>
      <w:r w:rsidR="009A0671">
        <w:rPr>
          <w:rFonts w:ascii="Times New Roman" w:hAnsi="Times New Roman" w:cs="Times New Roman"/>
          <w:sz w:val="24"/>
          <w:szCs w:val="24"/>
        </w:rPr>
        <w:instrText>ADDIN CSL_CITATION {"citationItems":[{"id":"ITEM-1","itemData":{"author":[{"dropping-particle":"","family":"Çivi, E. Çavuşgil","given":"S.T.","non-dropping-particle":"","parse-names":false,"suffix":""}],"container-title":"Yönetim ve Ekonomi","id":"ITEM-1","issue":"1","issued":{"date-parts":[["2001"]]},"page":"113-128","title":"YEN DÜNYA DÜZEN NDE GÜÇ KAZANAN ÜLKELER: YÜKSELEN EKONOM LER","type":"article-journal","volume":"7"},"uris":["http://www.mendeley.com/documents/?uuid=5726bb08-85a0-4d69-b34b-865429e046e1"]},{"id":"ITEM-2","itemData":{"DOI":"10.1111/j.1475-3995.2007.00589.x","ISSN":"14753995","abstract":"Ranking and selecting projects is a common yet often difficult task with typically more than one dimension for measuring project impacts and more than one decision maker. We describe a project selection methodology developed and used since 1998 for Mighty River Power, a New Zealand electricity generator, which incorporates the ELECTRE III decision support tool. Although several other multiple criteria approaches could have been used, features of ELECTRE III such as outranking, and indifference and preference thresholds were well received by our decision makers. More than the use of a specific decision support tool, we focus particularly on the successful implementation of a simple, structured multicriteria methodology for a yearly project selection exercise and document this over 8 years in a changing managerial context. © 2017 Wiley. All rights reserved.","author":[{"dropping-particle":"","family":"Buchanan","given":"John","non-dropping-particle":"","parse-names":false,"suffix":""},{"dropping-particle":"","family":"Vanderpooten","given":"Daniel","non-dropping-particle":"","parse-names":false,"suffix":""}],"container-title":"International Transactions in Operational Research","id":"ITEM-2","issue":"4","issued":{"date-parts":[["2007"]]},"page":"309-323","title":"Ranking projects for an electricity utility using ELECTRE III","type":"article-journal","volume":"14"},"uris":["http://www.mendeley.com/documents/?uuid=36ad53e8-eba0-4457-ae1f-abf646f0548e"]}],"mendeley":{"formattedCitation":"(Buchanan ve Vanderpooten, 2007; Çivi, E. Çavuşgil, 2001)","manualFormatting":"(Çivi, ve Çavuşgil, 2001","plainTextFormattedCitation":"(Buchanan ve Vanderpooten, 2007; Çivi, E. Çavuşgil, 2001)","previouslyFormattedCitation":"(Buchanan ve Vanderpooten, 2007; Çivi, E. Çavuşgil, 2001)"},"properties":{"noteIndex":0},"schema":"https://github.com/citation-style-language/schema/raw/master/csl-citation.json"}</w:instrText>
      </w:r>
      <w:r w:rsidR="00DC41A3">
        <w:rPr>
          <w:rFonts w:ascii="Times New Roman" w:hAnsi="Times New Roman" w:cs="Times New Roman"/>
          <w:sz w:val="24"/>
          <w:szCs w:val="24"/>
        </w:rPr>
        <w:fldChar w:fldCharType="separate"/>
      </w:r>
      <w:r w:rsidR="00DC41A3" w:rsidRPr="00DC41A3">
        <w:rPr>
          <w:rFonts w:ascii="Times New Roman" w:hAnsi="Times New Roman" w:cs="Times New Roman"/>
          <w:noProof/>
          <w:sz w:val="24"/>
          <w:szCs w:val="24"/>
        </w:rPr>
        <w:t>(</w:t>
      </w:r>
      <w:r w:rsidR="00DC41A3">
        <w:rPr>
          <w:rFonts w:ascii="Times New Roman" w:hAnsi="Times New Roman" w:cs="Times New Roman"/>
          <w:noProof/>
          <w:sz w:val="24"/>
          <w:szCs w:val="24"/>
        </w:rPr>
        <w:t>Çivi, ve</w:t>
      </w:r>
      <w:r w:rsidR="00DC41A3" w:rsidRPr="00DC41A3">
        <w:rPr>
          <w:rFonts w:ascii="Times New Roman" w:hAnsi="Times New Roman" w:cs="Times New Roman"/>
          <w:noProof/>
          <w:sz w:val="24"/>
          <w:szCs w:val="24"/>
        </w:rPr>
        <w:t xml:space="preserve"> Çavuşgil, 2001</w:t>
      </w:r>
      <w:r w:rsidR="00DC41A3">
        <w:rPr>
          <w:rFonts w:ascii="Times New Roman" w:hAnsi="Times New Roman" w:cs="Times New Roman"/>
          <w:sz w:val="24"/>
          <w:szCs w:val="24"/>
        </w:rPr>
        <w:fldChar w:fldCharType="end"/>
      </w:r>
      <w:r w:rsidR="009A0671">
        <w:rPr>
          <w:rFonts w:ascii="Times New Roman" w:hAnsi="Times New Roman" w:cs="Times New Roman"/>
          <w:sz w:val="24"/>
          <w:szCs w:val="24"/>
        </w:rPr>
        <w:fldChar w:fldCharType="begin" w:fldLock="1"/>
      </w:r>
      <w:r w:rsidR="00124A19">
        <w:rPr>
          <w:rFonts w:ascii="Times New Roman" w:hAnsi="Times New Roman" w:cs="Times New Roman"/>
          <w:sz w:val="24"/>
          <w:szCs w:val="24"/>
        </w:rPr>
        <w:instrText>ADDIN CSL_CITATION {"citationItems":[{"id":"ITEM-1","itemData":{"DOI":"10.24988/ije.202136214","ISSN":"1308-8173","author":[{"dropping-particle":"","family":"BULUT","given":"Ahsen Emir","non-dropping-particle":"","parse-names":false,"suffix":""},{"dropping-particle":"","family":"ACAR BALAYLAR","given":"Nilgün","non-dropping-particle":"","parse-names":false,"suffix":""}],"container-title":"İzmir İktisat Dergisi","id":"ITEM-1","issue":"2","issued":{"date-parts":[["2021"]]},"page":"461-477","title":"Finansal İstikrar ve Doğrudan Yabancı Yatırım İlişkisinin Gelişmekte Olan Ülkeler Perspektifinde Panel Veri ile Analizi","type":"article-journal","volume":"36"},"uris":["http://www.mendeley.com/documents/?uuid=fc7a6c09-9c27-4dfa-abe4-ee2600110f5b"]}],"mendeley":{"formattedCitation":"(BULUT ve ACAR BALAYLAR, 2021)","manualFormatting":"; Bulut ve Balyalar, 2021)","plainTextFormattedCitation":"(BULUT ve ACAR BALAYLAR, 2021)","previouslyFormattedCitation":"(BULUT ve ACAR BALAYLAR, 2021)"},"properties":{"noteIndex":0},"schema":"https://github.com/citation-style-language/schema/raw/master/csl-citation.json"}</w:instrText>
      </w:r>
      <w:r w:rsidR="009A0671">
        <w:rPr>
          <w:rFonts w:ascii="Times New Roman" w:hAnsi="Times New Roman" w:cs="Times New Roman"/>
          <w:sz w:val="24"/>
          <w:szCs w:val="24"/>
        </w:rPr>
        <w:fldChar w:fldCharType="separate"/>
      </w:r>
      <w:r w:rsidR="009A0671">
        <w:rPr>
          <w:rFonts w:ascii="Times New Roman" w:hAnsi="Times New Roman" w:cs="Times New Roman"/>
          <w:noProof/>
          <w:sz w:val="24"/>
          <w:szCs w:val="24"/>
        </w:rPr>
        <w:t>; Bulut ve Balyalar</w:t>
      </w:r>
      <w:r w:rsidR="009A0671" w:rsidRPr="009A0671">
        <w:rPr>
          <w:rFonts w:ascii="Times New Roman" w:hAnsi="Times New Roman" w:cs="Times New Roman"/>
          <w:noProof/>
          <w:sz w:val="24"/>
          <w:szCs w:val="24"/>
        </w:rPr>
        <w:t>, 2021)</w:t>
      </w:r>
      <w:r w:rsidR="009A0671">
        <w:rPr>
          <w:rFonts w:ascii="Times New Roman" w:hAnsi="Times New Roman" w:cs="Times New Roman"/>
          <w:sz w:val="24"/>
          <w:szCs w:val="24"/>
        </w:rPr>
        <w:fldChar w:fldCharType="end"/>
      </w:r>
      <w:r w:rsidR="009A0671">
        <w:rPr>
          <w:rFonts w:ascii="Times New Roman" w:hAnsi="Times New Roman" w:cs="Times New Roman"/>
          <w:sz w:val="24"/>
          <w:szCs w:val="24"/>
        </w:rPr>
        <w:t>.</w:t>
      </w:r>
    </w:p>
    <w:p w:rsidR="00E567F3" w:rsidRPr="00776387" w:rsidRDefault="00DF528C" w:rsidP="00776387">
      <w:pPr>
        <w:spacing w:after="120" w:line="240" w:lineRule="auto"/>
        <w:ind w:firstLine="708"/>
        <w:jc w:val="both"/>
        <w:rPr>
          <w:rFonts w:ascii="Times New Roman" w:hAnsi="Times New Roman" w:cs="Times New Roman"/>
          <w:sz w:val="24"/>
          <w:szCs w:val="24"/>
        </w:rPr>
      </w:pPr>
      <w:r w:rsidRPr="00776387">
        <w:rPr>
          <w:rFonts w:ascii="Times New Roman" w:hAnsi="Times New Roman" w:cs="Times New Roman"/>
          <w:sz w:val="24"/>
          <w:szCs w:val="24"/>
        </w:rPr>
        <w:t>Uluslararası yatırım kavramı</w:t>
      </w:r>
      <w:r w:rsidR="00E567F3" w:rsidRPr="00776387">
        <w:rPr>
          <w:rFonts w:ascii="Times New Roman" w:hAnsi="Times New Roman" w:cs="Times New Roman"/>
          <w:sz w:val="24"/>
          <w:szCs w:val="24"/>
        </w:rPr>
        <w:t xml:space="preserve"> iki</w:t>
      </w:r>
      <w:r w:rsidRPr="00776387">
        <w:rPr>
          <w:rFonts w:ascii="Times New Roman" w:hAnsi="Times New Roman" w:cs="Times New Roman"/>
          <w:sz w:val="24"/>
          <w:szCs w:val="24"/>
        </w:rPr>
        <w:t>ye ayrıl</w:t>
      </w:r>
      <w:r w:rsidR="00B23BAF" w:rsidRPr="00776387">
        <w:rPr>
          <w:rFonts w:ascii="Times New Roman" w:hAnsi="Times New Roman" w:cs="Times New Roman"/>
          <w:sz w:val="24"/>
          <w:szCs w:val="24"/>
        </w:rPr>
        <w:t xml:space="preserve">maktadır. </w:t>
      </w:r>
      <w:r w:rsidR="00E567F3" w:rsidRPr="00776387">
        <w:rPr>
          <w:rFonts w:ascii="Times New Roman" w:hAnsi="Times New Roman" w:cs="Times New Roman"/>
          <w:sz w:val="24"/>
          <w:szCs w:val="24"/>
        </w:rPr>
        <w:t xml:space="preserve">Birincisi bir ülkeye </w:t>
      </w:r>
      <w:r w:rsidR="00A8432E" w:rsidRPr="00776387">
        <w:rPr>
          <w:rFonts w:ascii="Times New Roman" w:hAnsi="Times New Roman" w:cs="Times New Roman"/>
          <w:sz w:val="24"/>
          <w:szCs w:val="24"/>
        </w:rPr>
        <w:t>yabancıların ülke içinde</w:t>
      </w:r>
      <w:r w:rsidRPr="00776387">
        <w:rPr>
          <w:rFonts w:ascii="Times New Roman" w:hAnsi="Times New Roman" w:cs="Times New Roman"/>
          <w:sz w:val="24"/>
          <w:szCs w:val="24"/>
        </w:rPr>
        <w:t xml:space="preserve"> üretimde bulunmak üzere sabit varlık al</w:t>
      </w:r>
      <w:r w:rsidR="00B6515A" w:rsidRPr="00776387">
        <w:rPr>
          <w:rFonts w:ascii="Times New Roman" w:hAnsi="Times New Roman" w:cs="Times New Roman"/>
          <w:sz w:val="24"/>
          <w:szCs w:val="24"/>
        </w:rPr>
        <w:t>arak</w:t>
      </w:r>
      <w:r w:rsidR="00A8432E" w:rsidRPr="00776387">
        <w:rPr>
          <w:rFonts w:ascii="Times New Roman" w:hAnsi="Times New Roman" w:cs="Times New Roman"/>
          <w:sz w:val="24"/>
          <w:szCs w:val="24"/>
        </w:rPr>
        <w:t xml:space="preserve"> fabrika kurmak, ya da kurulu bir tesise ortak olmak</w:t>
      </w:r>
      <w:r w:rsidR="00D9026A" w:rsidRPr="00776387">
        <w:rPr>
          <w:rFonts w:ascii="Times New Roman" w:hAnsi="Times New Roman" w:cs="Times New Roman"/>
          <w:sz w:val="24"/>
          <w:szCs w:val="24"/>
        </w:rPr>
        <w:t xml:space="preserve"> </w:t>
      </w:r>
      <w:r w:rsidR="00EF0A57" w:rsidRPr="00776387">
        <w:rPr>
          <w:rFonts w:ascii="Times New Roman" w:hAnsi="Times New Roman" w:cs="Times New Roman"/>
          <w:sz w:val="24"/>
          <w:szCs w:val="24"/>
        </w:rPr>
        <w:t>şeklinde</w:t>
      </w:r>
      <w:r w:rsidR="00EA4B14" w:rsidRPr="00776387">
        <w:rPr>
          <w:rFonts w:ascii="Times New Roman" w:hAnsi="Times New Roman" w:cs="Times New Roman"/>
          <w:sz w:val="24"/>
          <w:szCs w:val="24"/>
        </w:rPr>
        <w:t xml:space="preserve"> yaptıkları y</w:t>
      </w:r>
      <w:r w:rsidR="00EF0A57" w:rsidRPr="00776387">
        <w:rPr>
          <w:rFonts w:ascii="Times New Roman" w:hAnsi="Times New Roman" w:cs="Times New Roman"/>
          <w:sz w:val="24"/>
          <w:szCs w:val="24"/>
        </w:rPr>
        <w:t xml:space="preserve">atırımlar </w:t>
      </w:r>
      <w:r w:rsidR="00B23BAF" w:rsidRPr="00776387">
        <w:rPr>
          <w:rFonts w:ascii="Times New Roman" w:hAnsi="Times New Roman" w:cs="Times New Roman"/>
          <w:sz w:val="24"/>
          <w:szCs w:val="24"/>
        </w:rPr>
        <w:t xml:space="preserve">doğrudan yabancı yatırımları </w:t>
      </w:r>
      <w:r w:rsidR="00EF0A57" w:rsidRPr="00776387">
        <w:rPr>
          <w:rFonts w:ascii="Times New Roman" w:hAnsi="Times New Roman" w:cs="Times New Roman"/>
          <w:sz w:val="24"/>
          <w:szCs w:val="24"/>
        </w:rPr>
        <w:t xml:space="preserve">ifade eder. </w:t>
      </w:r>
      <w:r w:rsidR="00A8432E" w:rsidRPr="00776387">
        <w:rPr>
          <w:rFonts w:ascii="Times New Roman" w:hAnsi="Times New Roman" w:cs="Times New Roman"/>
          <w:sz w:val="24"/>
          <w:szCs w:val="24"/>
        </w:rPr>
        <w:t>İkincisi</w:t>
      </w:r>
      <w:r w:rsidR="008A5FA1" w:rsidRPr="00776387">
        <w:rPr>
          <w:rFonts w:ascii="Times New Roman" w:hAnsi="Times New Roman" w:cs="Times New Roman"/>
          <w:sz w:val="24"/>
          <w:szCs w:val="24"/>
        </w:rPr>
        <w:t>,</w:t>
      </w:r>
      <w:r w:rsidR="00D9026A" w:rsidRPr="00776387">
        <w:rPr>
          <w:rFonts w:ascii="Times New Roman" w:hAnsi="Times New Roman" w:cs="Times New Roman"/>
          <w:sz w:val="24"/>
          <w:szCs w:val="24"/>
        </w:rPr>
        <w:t xml:space="preserve"> yab</w:t>
      </w:r>
      <w:r w:rsidR="00A8432E" w:rsidRPr="00776387">
        <w:rPr>
          <w:rFonts w:ascii="Times New Roman" w:hAnsi="Times New Roman" w:cs="Times New Roman"/>
          <w:sz w:val="24"/>
          <w:szCs w:val="24"/>
        </w:rPr>
        <w:t>a</w:t>
      </w:r>
      <w:r w:rsidR="00D9026A" w:rsidRPr="00776387">
        <w:rPr>
          <w:rFonts w:ascii="Times New Roman" w:hAnsi="Times New Roman" w:cs="Times New Roman"/>
          <w:sz w:val="24"/>
          <w:szCs w:val="24"/>
        </w:rPr>
        <w:t>n</w:t>
      </w:r>
      <w:r w:rsidR="00A8432E" w:rsidRPr="00776387">
        <w:rPr>
          <w:rFonts w:ascii="Times New Roman" w:hAnsi="Times New Roman" w:cs="Times New Roman"/>
          <w:sz w:val="24"/>
          <w:szCs w:val="24"/>
        </w:rPr>
        <w:t xml:space="preserve">cıların bir ülkede </w:t>
      </w:r>
      <w:r w:rsidR="00D9026A" w:rsidRPr="00776387">
        <w:rPr>
          <w:rFonts w:ascii="Times New Roman" w:hAnsi="Times New Roman" w:cs="Times New Roman"/>
          <w:sz w:val="24"/>
          <w:szCs w:val="24"/>
        </w:rPr>
        <w:t>hisse senedi</w:t>
      </w:r>
      <w:r w:rsidR="007B56C8" w:rsidRPr="00776387">
        <w:rPr>
          <w:rFonts w:ascii="Times New Roman" w:hAnsi="Times New Roman" w:cs="Times New Roman"/>
          <w:sz w:val="24"/>
          <w:szCs w:val="24"/>
        </w:rPr>
        <w:t>,</w:t>
      </w:r>
      <w:r w:rsidR="00D9026A" w:rsidRPr="00776387">
        <w:rPr>
          <w:rFonts w:ascii="Times New Roman" w:hAnsi="Times New Roman" w:cs="Times New Roman"/>
          <w:sz w:val="24"/>
          <w:szCs w:val="24"/>
        </w:rPr>
        <w:t xml:space="preserve"> tahvil, bono gibi finansal yatırım araçları</w:t>
      </w:r>
      <w:r w:rsidR="007B56C8" w:rsidRPr="00776387">
        <w:rPr>
          <w:rFonts w:ascii="Times New Roman" w:hAnsi="Times New Roman" w:cs="Times New Roman"/>
          <w:sz w:val="24"/>
          <w:szCs w:val="24"/>
        </w:rPr>
        <w:t>nı satın alarak yapmış oldukları</w:t>
      </w:r>
      <w:r w:rsidR="00EA4B14" w:rsidRPr="00776387">
        <w:rPr>
          <w:rFonts w:ascii="Times New Roman" w:hAnsi="Times New Roman" w:cs="Times New Roman"/>
          <w:sz w:val="24"/>
          <w:szCs w:val="24"/>
        </w:rPr>
        <w:t xml:space="preserve"> yatırımlar</w:t>
      </w:r>
      <w:r w:rsidR="00D9026A" w:rsidRPr="00776387">
        <w:rPr>
          <w:rFonts w:ascii="Times New Roman" w:hAnsi="Times New Roman" w:cs="Times New Roman"/>
          <w:sz w:val="24"/>
          <w:szCs w:val="24"/>
        </w:rPr>
        <w:t xml:space="preserve"> </w:t>
      </w:r>
      <w:r w:rsidR="00EA4B14" w:rsidRPr="00776387">
        <w:rPr>
          <w:rFonts w:ascii="Times New Roman" w:hAnsi="Times New Roman" w:cs="Times New Roman"/>
          <w:sz w:val="24"/>
          <w:szCs w:val="24"/>
        </w:rPr>
        <w:t xml:space="preserve">dolaylı yatırımları </w:t>
      </w:r>
      <w:r w:rsidR="00D9026A" w:rsidRPr="00776387">
        <w:rPr>
          <w:rFonts w:ascii="Times New Roman" w:hAnsi="Times New Roman" w:cs="Times New Roman"/>
          <w:sz w:val="24"/>
          <w:szCs w:val="24"/>
        </w:rPr>
        <w:t xml:space="preserve">ifade eder. </w:t>
      </w:r>
      <w:r w:rsidR="00A8432E" w:rsidRPr="00776387">
        <w:rPr>
          <w:rFonts w:ascii="Times New Roman" w:hAnsi="Times New Roman" w:cs="Times New Roman"/>
          <w:sz w:val="24"/>
          <w:szCs w:val="24"/>
        </w:rPr>
        <w:t xml:space="preserve"> </w:t>
      </w:r>
    </w:p>
    <w:p w:rsidR="00624B0F" w:rsidRPr="00776387" w:rsidRDefault="00EF0A57" w:rsidP="00624B0F">
      <w:pPr>
        <w:spacing w:after="120" w:line="240" w:lineRule="auto"/>
        <w:ind w:firstLine="709"/>
        <w:jc w:val="both"/>
        <w:rPr>
          <w:rFonts w:ascii="Times New Roman" w:hAnsi="Times New Roman" w:cs="Times New Roman"/>
          <w:sz w:val="24"/>
          <w:szCs w:val="24"/>
        </w:rPr>
      </w:pPr>
      <w:r w:rsidRPr="00776387">
        <w:rPr>
          <w:rFonts w:ascii="Times New Roman" w:hAnsi="Times New Roman" w:cs="Times New Roman"/>
          <w:sz w:val="24"/>
          <w:szCs w:val="24"/>
        </w:rPr>
        <w:t>Doğrudan yabancı yatırımlar dolaylı yabancı yatırımların aksine uzun vadeli ve yatırım yapılan ülkede üretim</w:t>
      </w:r>
      <w:r w:rsidR="009F22BB" w:rsidRPr="00776387">
        <w:rPr>
          <w:rFonts w:ascii="Times New Roman" w:hAnsi="Times New Roman" w:cs="Times New Roman"/>
          <w:sz w:val="24"/>
          <w:szCs w:val="24"/>
        </w:rPr>
        <w:t xml:space="preserve"> yapan</w:t>
      </w:r>
      <w:r w:rsidRPr="00776387">
        <w:rPr>
          <w:rFonts w:ascii="Times New Roman" w:hAnsi="Times New Roman" w:cs="Times New Roman"/>
          <w:sz w:val="24"/>
          <w:szCs w:val="24"/>
        </w:rPr>
        <w:t xml:space="preserve">, istihdam sağlayan, </w:t>
      </w:r>
      <w:r w:rsidR="0038514F" w:rsidRPr="00776387">
        <w:rPr>
          <w:rFonts w:ascii="Times New Roman" w:hAnsi="Times New Roman" w:cs="Times New Roman"/>
          <w:sz w:val="24"/>
          <w:szCs w:val="24"/>
        </w:rPr>
        <w:t>yeni teknolojileri kuran ve</w:t>
      </w:r>
      <w:r w:rsidR="00B6515A" w:rsidRPr="00776387">
        <w:rPr>
          <w:rFonts w:ascii="Times New Roman" w:hAnsi="Times New Roman" w:cs="Times New Roman"/>
          <w:sz w:val="24"/>
          <w:szCs w:val="24"/>
        </w:rPr>
        <w:t xml:space="preserve"> üretimin </w:t>
      </w:r>
      <w:r w:rsidR="00924CB5" w:rsidRPr="00776387">
        <w:rPr>
          <w:rFonts w:ascii="Times New Roman" w:hAnsi="Times New Roman" w:cs="Times New Roman"/>
          <w:sz w:val="24"/>
          <w:szCs w:val="24"/>
        </w:rPr>
        <w:t xml:space="preserve">altyapısını geliştiren özelliklere sahiptir. Dolaylı yatırımlar ise kısa </w:t>
      </w:r>
      <w:r w:rsidR="00A1035E" w:rsidRPr="00776387">
        <w:rPr>
          <w:rFonts w:ascii="Times New Roman" w:hAnsi="Times New Roman" w:cs="Times New Roman"/>
          <w:sz w:val="24"/>
          <w:szCs w:val="24"/>
        </w:rPr>
        <w:t xml:space="preserve">vadeli finansal yatırımlar olup mevcut </w:t>
      </w:r>
      <w:r w:rsidR="005448D1" w:rsidRPr="00776387">
        <w:rPr>
          <w:rFonts w:ascii="Times New Roman" w:hAnsi="Times New Roman" w:cs="Times New Roman"/>
          <w:sz w:val="24"/>
          <w:szCs w:val="24"/>
        </w:rPr>
        <w:t xml:space="preserve">sanayi ve ticaret şirketlerinin </w:t>
      </w:r>
      <w:r w:rsidR="00A1035E" w:rsidRPr="00776387">
        <w:rPr>
          <w:rFonts w:ascii="Times New Roman" w:hAnsi="Times New Roman" w:cs="Times New Roman"/>
          <w:sz w:val="24"/>
          <w:szCs w:val="24"/>
        </w:rPr>
        <w:t xml:space="preserve">değerli </w:t>
      </w:r>
      <w:r w:rsidR="0038514F" w:rsidRPr="00776387">
        <w:rPr>
          <w:rFonts w:ascii="Times New Roman" w:hAnsi="Times New Roman" w:cs="Times New Roman"/>
          <w:sz w:val="24"/>
          <w:szCs w:val="24"/>
        </w:rPr>
        <w:t>kâğıtlarını</w:t>
      </w:r>
      <w:r w:rsidR="00A1035E" w:rsidRPr="00776387">
        <w:rPr>
          <w:rFonts w:ascii="Times New Roman" w:hAnsi="Times New Roman" w:cs="Times New Roman"/>
          <w:sz w:val="24"/>
          <w:szCs w:val="24"/>
        </w:rPr>
        <w:t xml:space="preserve"> alıp satmak ya da borç vermek amaçlı </w:t>
      </w:r>
      <w:r w:rsidR="009F22BB" w:rsidRPr="00776387">
        <w:rPr>
          <w:rFonts w:ascii="Times New Roman" w:hAnsi="Times New Roman" w:cs="Times New Roman"/>
          <w:sz w:val="24"/>
          <w:szCs w:val="24"/>
        </w:rPr>
        <w:t xml:space="preserve">yapılan </w:t>
      </w:r>
      <w:r w:rsidR="00A1035E" w:rsidRPr="00776387">
        <w:rPr>
          <w:rFonts w:ascii="Times New Roman" w:hAnsi="Times New Roman" w:cs="Times New Roman"/>
          <w:sz w:val="24"/>
          <w:szCs w:val="24"/>
        </w:rPr>
        <w:t>yatırımlardır.</w:t>
      </w:r>
      <w:r w:rsidR="00385F6D" w:rsidRPr="00776387">
        <w:rPr>
          <w:rFonts w:ascii="Times New Roman" w:hAnsi="Times New Roman" w:cs="Times New Roman"/>
          <w:sz w:val="24"/>
          <w:szCs w:val="24"/>
        </w:rPr>
        <w:t xml:space="preserve"> Bu nedenle ülke ekonomilerinin büyümesi ve kalkınması için doğrudan yabancı yatırımlar</w:t>
      </w:r>
      <w:r w:rsidR="009F22BB" w:rsidRPr="00776387">
        <w:rPr>
          <w:rFonts w:ascii="Times New Roman" w:hAnsi="Times New Roman" w:cs="Times New Roman"/>
          <w:sz w:val="24"/>
          <w:szCs w:val="24"/>
        </w:rPr>
        <w:t xml:space="preserve"> dolaylı yabancı yatırımlara göre çok daha </w:t>
      </w:r>
      <w:r w:rsidR="00385F6D" w:rsidRPr="00776387">
        <w:rPr>
          <w:rFonts w:ascii="Times New Roman" w:hAnsi="Times New Roman" w:cs="Times New Roman"/>
          <w:sz w:val="24"/>
          <w:szCs w:val="24"/>
        </w:rPr>
        <w:t xml:space="preserve">önemlidir. </w:t>
      </w:r>
    </w:p>
    <w:p w:rsidR="00DD7704" w:rsidRPr="00776387" w:rsidRDefault="004B4229" w:rsidP="00776387">
      <w:pPr>
        <w:spacing w:before="120" w:after="120" w:line="240" w:lineRule="auto"/>
        <w:ind w:firstLine="709"/>
        <w:jc w:val="both"/>
        <w:rPr>
          <w:rFonts w:ascii="Times New Roman" w:hAnsi="Times New Roman" w:cs="Times New Roman"/>
          <w:sz w:val="24"/>
          <w:szCs w:val="24"/>
        </w:rPr>
      </w:pPr>
      <w:r w:rsidRPr="00776387">
        <w:rPr>
          <w:rFonts w:ascii="Times New Roman" w:hAnsi="Times New Roman" w:cs="Times New Roman"/>
          <w:sz w:val="24"/>
          <w:szCs w:val="24"/>
        </w:rPr>
        <w:t>Uluslararası y</w:t>
      </w:r>
      <w:r w:rsidR="0001059C" w:rsidRPr="00776387">
        <w:rPr>
          <w:rFonts w:ascii="Times New Roman" w:hAnsi="Times New Roman" w:cs="Times New Roman"/>
          <w:sz w:val="24"/>
          <w:szCs w:val="24"/>
        </w:rPr>
        <w:t>atırımcılar</w:t>
      </w:r>
      <w:r w:rsidRPr="00776387">
        <w:rPr>
          <w:rFonts w:ascii="Times New Roman" w:hAnsi="Times New Roman" w:cs="Times New Roman"/>
          <w:sz w:val="24"/>
          <w:szCs w:val="24"/>
        </w:rPr>
        <w:t xml:space="preserve"> </w:t>
      </w:r>
      <w:r w:rsidR="006C5CC3" w:rsidRPr="00776387">
        <w:rPr>
          <w:rFonts w:ascii="Times New Roman" w:hAnsi="Times New Roman" w:cs="Times New Roman"/>
          <w:sz w:val="24"/>
          <w:szCs w:val="24"/>
        </w:rPr>
        <w:t>ülkeleri</w:t>
      </w:r>
      <w:r w:rsidR="00DD7704" w:rsidRPr="00776387">
        <w:rPr>
          <w:rFonts w:ascii="Times New Roman" w:hAnsi="Times New Roman" w:cs="Times New Roman"/>
          <w:sz w:val="24"/>
          <w:szCs w:val="24"/>
        </w:rPr>
        <w:t xml:space="preserve"> </w:t>
      </w:r>
      <w:r w:rsidR="006C5CC3" w:rsidRPr="00776387">
        <w:rPr>
          <w:rFonts w:ascii="Times New Roman" w:hAnsi="Times New Roman" w:cs="Times New Roman"/>
          <w:sz w:val="24"/>
          <w:szCs w:val="24"/>
        </w:rPr>
        <w:t xml:space="preserve">çeşitli </w:t>
      </w:r>
      <w:proofErr w:type="gramStart"/>
      <w:r w:rsidR="006C5CC3" w:rsidRPr="00776387">
        <w:rPr>
          <w:rFonts w:ascii="Times New Roman" w:hAnsi="Times New Roman" w:cs="Times New Roman"/>
          <w:sz w:val="24"/>
          <w:szCs w:val="24"/>
        </w:rPr>
        <w:t>kriterlere</w:t>
      </w:r>
      <w:proofErr w:type="gramEnd"/>
      <w:r w:rsidR="006C5CC3" w:rsidRPr="00776387">
        <w:rPr>
          <w:rFonts w:ascii="Times New Roman" w:hAnsi="Times New Roman" w:cs="Times New Roman"/>
          <w:sz w:val="24"/>
          <w:szCs w:val="24"/>
        </w:rPr>
        <w:t xml:space="preserve"> göre </w:t>
      </w:r>
      <w:r w:rsidR="0090649D" w:rsidRPr="00776387">
        <w:rPr>
          <w:rFonts w:ascii="Times New Roman" w:hAnsi="Times New Roman" w:cs="Times New Roman"/>
          <w:sz w:val="24"/>
          <w:szCs w:val="24"/>
        </w:rPr>
        <w:t xml:space="preserve">uygun yatırım ortamı </w:t>
      </w:r>
      <w:r w:rsidR="00F251AA" w:rsidRPr="00776387">
        <w:rPr>
          <w:rFonts w:ascii="Times New Roman" w:hAnsi="Times New Roman" w:cs="Times New Roman"/>
          <w:sz w:val="24"/>
          <w:szCs w:val="24"/>
        </w:rPr>
        <w:t>olup</w:t>
      </w:r>
      <w:r w:rsidR="0090649D" w:rsidRPr="00776387">
        <w:rPr>
          <w:rFonts w:ascii="Times New Roman" w:hAnsi="Times New Roman" w:cs="Times New Roman"/>
          <w:sz w:val="24"/>
          <w:szCs w:val="24"/>
        </w:rPr>
        <w:t xml:space="preserve"> olmadığı</w:t>
      </w:r>
      <w:r w:rsidR="00BC557D" w:rsidRPr="00776387">
        <w:rPr>
          <w:rFonts w:ascii="Times New Roman" w:hAnsi="Times New Roman" w:cs="Times New Roman"/>
          <w:sz w:val="24"/>
          <w:szCs w:val="24"/>
        </w:rPr>
        <w:t xml:space="preserve"> konusunda </w:t>
      </w:r>
      <w:r w:rsidR="0090649D" w:rsidRPr="00776387">
        <w:rPr>
          <w:rFonts w:ascii="Times New Roman" w:hAnsi="Times New Roman" w:cs="Times New Roman"/>
          <w:sz w:val="24"/>
          <w:szCs w:val="24"/>
        </w:rPr>
        <w:t xml:space="preserve">değerlendirir. </w:t>
      </w:r>
      <w:r w:rsidR="00482E4A" w:rsidRPr="00776387">
        <w:rPr>
          <w:rFonts w:ascii="Times New Roman" w:hAnsi="Times New Roman" w:cs="Times New Roman"/>
          <w:sz w:val="24"/>
          <w:szCs w:val="24"/>
        </w:rPr>
        <w:t xml:space="preserve">Bu nedenle uluslararası yatırımcılar </w:t>
      </w:r>
      <w:r w:rsidR="006C5CC3" w:rsidRPr="00776387">
        <w:rPr>
          <w:rFonts w:ascii="Times New Roman" w:hAnsi="Times New Roman" w:cs="Times New Roman"/>
          <w:sz w:val="24"/>
          <w:szCs w:val="24"/>
        </w:rPr>
        <w:t xml:space="preserve">yabancı oldukları </w:t>
      </w:r>
      <w:r w:rsidR="00482E4A" w:rsidRPr="00776387">
        <w:rPr>
          <w:rFonts w:ascii="Times New Roman" w:hAnsi="Times New Roman" w:cs="Times New Roman"/>
          <w:sz w:val="24"/>
          <w:szCs w:val="24"/>
        </w:rPr>
        <w:t xml:space="preserve">yatırım ortamı hakkında pek çok bilgiye ihtiyaç duyarlar. </w:t>
      </w:r>
      <w:r w:rsidR="00BC557D" w:rsidRPr="00776387">
        <w:rPr>
          <w:rFonts w:ascii="Times New Roman" w:hAnsi="Times New Roman" w:cs="Times New Roman"/>
          <w:sz w:val="24"/>
          <w:szCs w:val="24"/>
        </w:rPr>
        <w:t xml:space="preserve">Uluslararası yatırımcılar bilgiye dayalı olarak </w:t>
      </w:r>
      <w:r w:rsidR="0001059C" w:rsidRPr="00776387">
        <w:rPr>
          <w:rFonts w:ascii="Times New Roman" w:hAnsi="Times New Roman" w:cs="Times New Roman"/>
          <w:sz w:val="24"/>
          <w:szCs w:val="24"/>
        </w:rPr>
        <w:t xml:space="preserve">risk faktörlerini </w:t>
      </w:r>
      <w:r w:rsidR="0038514F" w:rsidRPr="00776387">
        <w:rPr>
          <w:rFonts w:ascii="Times New Roman" w:hAnsi="Times New Roman" w:cs="Times New Roman"/>
          <w:sz w:val="24"/>
          <w:szCs w:val="24"/>
        </w:rPr>
        <w:t>incele</w:t>
      </w:r>
      <w:r w:rsidR="002E7735">
        <w:rPr>
          <w:rFonts w:ascii="Times New Roman" w:hAnsi="Times New Roman" w:cs="Times New Roman"/>
          <w:sz w:val="24"/>
          <w:szCs w:val="24"/>
        </w:rPr>
        <w:t>yerek y</w:t>
      </w:r>
      <w:r w:rsidR="002B2FD7" w:rsidRPr="00776387">
        <w:rPr>
          <w:rFonts w:ascii="Times New Roman" w:hAnsi="Times New Roman" w:cs="Times New Roman"/>
          <w:sz w:val="24"/>
          <w:szCs w:val="24"/>
        </w:rPr>
        <w:t xml:space="preserve">atırım </w:t>
      </w:r>
      <w:r w:rsidR="002E7735">
        <w:rPr>
          <w:rFonts w:ascii="Times New Roman" w:hAnsi="Times New Roman" w:cs="Times New Roman"/>
          <w:sz w:val="24"/>
          <w:szCs w:val="24"/>
        </w:rPr>
        <w:t>k</w:t>
      </w:r>
      <w:r w:rsidR="002B2FD7" w:rsidRPr="00776387">
        <w:rPr>
          <w:rFonts w:ascii="Times New Roman" w:hAnsi="Times New Roman" w:cs="Times New Roman"/>
          <w:sz w:val="24"/>
          <w:szCs w:val="24"/>
        </w:rPr>
        <w:t>ararı ver</w:t>
      </w:r>
      <w:r w:rsidR="002E7735">
        <w:rPr>
          <w:rFonts w:ascii="Times New Roman" w:hAnsi="Times New Roman" w:cs="Times New Roman"/>
          <w:sz w:val="24"/>
          <w:szCs w:val="24"/>
        </w:rPr>
        <w:t>irler</w:t>
      </w:r>
      <w:r w:rsidR="00DD7704" w:rsidRPr="00776387">
        <w:rPr>
          <w:rFonts w:ascii="Times New Roman" w:hAnsi="Times New Roman" w:cs="Times New Roman"/>
          <w:sz w:val="24"/>
          <w:szCs w:val="24"/>
        </w:rPr>
        <w:t>. Özellikle yabancı yatırımcılar için yatırım kararı belirsizlikler ve riskler içeren bir süreçtir. Bu ne</w:t>
      </w:r>
      <w:r w:rsidR="00171AE8">
        <w:rPr>
          <w:rFonts w:ascii="Times New Roman" w:hAnsi="Times New Roman" w:cs="Times New Roman"/>
          <w:sz w:val="24"/>
          <w:szCs w:val="24"/>
        </w:rPr>
        <w:t>denle uluslararası yatırımcılar</w:t>
      </w:r>
      <w:r w:rsidR="002E7735" w:rsidRPr="002E7735">
        <w:t xml:space="preserve"> </w:t>
      </w:r>
      <w:r w:rsidR="002E7735" w:rsidRPr="002E7735">
        <w:rPr>
          <w:rFonts w:ascii="Times New Roman" w:hAnsi="Times New Roman" w:cs="Times New Roman"/>
          <w:sz w:val="24"/>
          <w:szCs w:val="24"/>
        </w:rPr>
        <w:t>bilgi edinmek amacıyla</w:t>
      </w:r>
      <w:r w:rsidR="00171AE8">
        <w:rPr>
          <w:rFonts w:ascii="Times New Roman" w:hAnsi="Times New Roman" w:cs="Times New Roman"/>
          <w:sz w:val="24"/>
          <w:szCs w:val="24"/>
        </w:rPr>
        <w:t xml:space="preserve">, ulusal ve uluslararası </w:t>
      </w:r>
      <w:r w:rsidR="00DD7704" w:rsidRPr="00776387">
        <w:rPr>
          <w:rFonts w:ascii="Times New Roman" w:hAnsi="Times New Roman" w:cs="Times New Roman"/>
          <w:sz w:val="24"/>
          <w:szCs w:val="24"/>
        </w:rPr>
        <w:t>kurum ve kuruluş</w:t>
      </w:r>
      <w:r w:rsidR="00171AE8">
        <w:rPr>
          <w:rFonts w:ascii="Times New Roman" w:hAnsi="Times New Roman" w:cs="Times New Roman"/>
          <w:sz w:val="24"/>
          <w:szCs w:val="24"/>
        </w:rPr>
        <w:t xml:space="preserve">lardan </w:t>
      </w:r>
      <w:r w:rsidR="00DD7704" w:rsidRPr="00776387">
        <w:rPr>
          <w:rFonts w:ascii="Times New Roman" w:hAnsi="Times New Roman" w:cs="Times New Roman"/>
          <w:sz w:val="24"/>
          <w:szCs w:val="24"/>
        </w:rPr>
        <w:t>yararlanır</w:t>
      </w:r>
      <w:r w:rsidR="00BC557D" w:rsidRPr="00776387">
        <w:rPr>
          <w:rFonts w:ascii="Times New Roman" w:hAnsi="Times New Roman" w:cs="Times New Roman"/>
          <w:sz w:val="24"/>
          <w:szCs w:val="24"/>
        </w:rPr>
        <w:t>.</w:t>
      </w:r>
      <w:r w:rsidR="00DD7704" w:rsidRPr="00776387">
        <w:rPr>
          <w:rFonts w:ascii="Times New Roman" w:hAnsi="Times New Roman" w:cs="Times New Roman"/>
          <w:sz w:val="24"/>
          <w:szCs w:val="24"/>
        </w:rPr>
        <w:t xml:space="preserve"> </w:t>
      </w:r>
    </w:p>
    <w:p w:rsidR="00D21B15" w:rsidRDefault="00BA1ED1" w:rsidP="00D21B15">
      <w:pPr>
        <w:spacing w:after="120" w:line="240" w:lineRule="auto"/>
        <w:ind w:firstLine="708"/>
        <w:jc w:val="both"/>
        <w:rPr>
          <w:rFonts w:ascii="Times New Roman" w:hAnsi="Times New Roman" w:cs="Times New Roman"/>
          <w:sz w:val="24"/>
          <w:szCs w:val="24"/>
        </w:rPr>
      </w:pPr>
      <w:r w:rsidRPr="00776387">
        <w:rPr>
          <w:rFonts w:ascii="Times New Roman" w:hAnsi="Times New Roman" w:cs="Times New Roman"/>
          <w:sz w:val="24"/>
          <w:szCs w:val="24"/>
        </w:rPr>
        <w:t>Küresel dünyada uluslararası kurum ve kuruluş</w:t>
      </w:r>
      <w:r w:rsidR="001345B4">
        <w:rPr>
          <w:rFonts w:ascii="Times New Roman" w:hAnsi="Times New Roman" w:cs="Times New Roman"/>
          <w:sz w:val="24"/>
          <w:szCs w:val="24"/>
        </w:rPr>
        <w:t>ların</w:t>
      </w:r>
      <w:r w:rsidRPr="00776387">
        <w:rPr>
          <w:rFonts w:ascii="Times New Roman" w:hAnsi="Times New Roman" w:cs="Times New Roman"/>
          <w:sz w:val="24"/>
          <w:szCs w:val="24"/>
        </w:rPr>
        <w:t xml:space="preserve"> başta ekonomik, sosyal, siyasal gelişmeleri desteklemek ve </w:t>
      </w:r>
      <w:r w:rsidR="006C2BEE">
        <w:rPr>
          <w:rFonts w:ascii="Times New Roman" w:hAnsi="Times New Roman" w:cs="Times New Roman"/>
          <w:sz w:val="24"/>
          <w:szCs w:val="24"/>
        </w:rPr>
        <w:t xml:space="preserve">standartlar </w:t>
      </w:r>
      <w:r w:rsidRPr="00776387">
        <w:rPr>
          <w:rFonts w:ascii="Times New Roman" w:hAnsi="Times New Roman" w:cs="Times New Roman"/>
          <w:sz w:val="24"/>
          <w:szCs w:val="24"/>
        </w:rPr>
        <w:t>oluşturma</w:t>
      </w:r>
      <w:r w:rsidR="0005025C" w:rsidRPr="00776387">
        <w:rPr>
          <w:rFonts w:ascii="Times New Roman" w:hAnsi="Times New Roman" w:cs="Times New Roman"/>
          <w:sz w:val="24"/>
          <w:szCs w:val="24"/>
        </w:rPr>
        <w:t>k</w:t>
      </w:r>
      <w:r w:rsidRPr="00776387">
        <w:rPr>
          <w:rFonts w:ascii="Times New Roman" w:hAnsi="Times New Roman" w:cs="Times New Roman"/>
          <w:sz w:val="24"/>
          <w:szCs w:val="24"/>
        </w:rPr>
        <w:t xml:space="preserve"> ama</w:t>
      </w:r>
      <w:r w:rsidR="0005025C" w:rsidRPr="00776387">
        <w:rPr>
          <w:rFonts w:ascii="Times New Roman" w:hAnsi="Times New Roman" w:cs="Times New Roman"/>
          <w:sz w:val="24"/>
          <w:szCs w:val="24"/>
        </w:rPr>
        <w:t xml:space="preserve">cıyla </w:t>
      </w:r>
      <w:r w:rsidRPr="00776387">
        <w:rPr>
          <w:rFonts w:ascii="Times New Roman" w:hAnsi="Times New Roman" w:cs="Times New Roman"/>
          <w:sz w:val="24"/>
          <w:szCs w:val="24"/>
        </w:rPr>
        <w:t>çalışmalar yap</w:t>
      </w:r>
      <w:r w:rsidR="001345B4">
        <w:rPr>
          <w:rFonts w:ascii="Times New Roman" w:hAnsi="Times New Roman" w:cs="Times New Roman"/>
          <w:sz w:val="24"/>
          <w:szCs w:val="24"/>
        </w:rPr>
        <w:t>tığı görülmektedir.</w:t>
      </w:r>
      <w:r w:rsidR="0005025C" w:rsidRPr="00776387">
        <w:rPr>
          <w:rFonts w:ascii="Times New Roman" w:hAnsi="Times New Roman" w:cs="Times New Roman"/>
          <w:sz w:val="24"/>
          <w:szCs w:val="24"/>
        </w:rPr>
        <w:t xml:space="preserve"> </w:t>
      </w:r>
      <w:r w:rsidR="00EE5895">
        <w:rPr>
          <w:rFonts w:ascii="Times New Roman" w:hAnsi="Times New Roman" w:cs="Times New Roman"/>
          <w:sz w:val="24"/>
          <w:szCs w:val="24"/>
        </w:rPr>
        <w:t>Uluslararası</w:t>
      </w:r>
      <w:r w:rsidR="006C2BEE">
        <w:rPr>
          <w:rFonts w:ascii="Times New Roman" w:hAnsi="Times New Roman" w:cs="Times New Roman"/>
          <w:sz w:val="24"/>
          <w:szCs w:val="24"/>
        </w:rPr>
        <w:t xml:space="preserve"> kurum kuruluşlar düzenleme önerilerinde</w:t>
      </w:r>
      <w:r w:rsidR="00A30841">
        <w:rPr>
          <w:rFonts w:ascii="Times New Roman" w:hAnsi="Times New Roman" w:cs="Times New Roman"/>
          <w:sz w:val="24"/>
          <w:szCs w:val="24"/>
        </w:rPr>
        <w:t xml:space="preserve"> bulunarak ülkelerin oluşturulan gelişme standartları yakalamasını amaçlar. </w:t>
      </w:r>
      <w:r w:rsidR="00BE6364">
        <w:rPr>
          <w:rFonts w:ascii="Times New Roman" w:hAnsi="Times New Roman" w:cs="Times New Roman"/>
          <w:sz w:val="24"/>
          <w:szCs w:val="24"/>
        </w:rPr>
        <w:t xml:space="preserve">Uluslararası kuruluşlardan olan </w:t>
      </w:r>
      <w:r w:rsidR="00E761B5" w:rsidRPr="00776387">
        <w:rPr>
          <w:rFonts w:ascii="Times New Roman" w:hAnsi="Times New Roman" w:cs="Times New Roman"/>
          <w:sz w:val="24"/>
          <w:szCs w:val="24"/>
        </w:rPr>
        <w:t xml:space="preserve">Dünya </w:t>
      </w:r>
      <w:r w:rsidR="00BE6364">
        <w:rPr>
          <w:rFonts w:ascii="Times New Roman" w:hAnsi="Times New Roman" w:cs="Times New Roman"/>
          <w:sz w:val="24"/>
          <w:szCs w:val="24"/>
        </w:rPr>
        <w:t>B</w:t>
      </w:r>
      <w:r w:rsidR="00E761B5" w:rsidRPr="00776387">
        <w:rPr>
          <w:rFonts w:ascii="Times New Roman" w:hAnsi="Times New Roman" w:cs="Times New Roman"/>
          <w:sz w:val="24"/>
          <w:szCs w:val="24"/>
        </w:rPr>
        <w:t xml:space="preserve">ankası </w:t>
      </w:r>
      <w:r w:rsidR="001345B4">
        <w:rPr>
          <w:rFonts w:ascii="Times New Roman" w:hAnsi="Times New Roman" w:cs="Times New Roman"/>
          <w:sz w:val="24"/>
          <w:szCs w:val="24"/>
        </w:rPr>
        <w:t xml:space="preserve">çeşitli </w:t>
      </w:r>
      <w:r w:rsidR="00463FB7">
        <w:rPr>
          <w:rFonts w:ascii="Times New Roman" w:hAnsi="Times New Roman" w:cs="Times New Roman"/>
          <w:sz w:val="24"/>
          <w:szCs w:val="24"/>
        </w:rPr>
        <w:lastRenderedPageBreak/>
        <w:t>alan</w:t>
      </w:r>
      <w:r w:rsidR="001345B4">
        <w:rPr>
          <w:rFonts w:ascii="Times New Roman" w:hAnsi="Times New Roman" w:cs="Times New Roman"/>
          <w:sz w:val="24"/>
          <w:szCs w:val="24"/>
        </w:rPr>
        <w:t>lar</w:t>
      </w:r>
      <w:r w:rsidR="00463FB7">
        <w:rPr>
          <w:rFonts w:ascii="Times New Roman" w:hAnsi="Times New Roman" w:cs="Times New Roman"/>
          <w:sz w:val="24"/>
          <w:szCs w:val="24"/>
        </w:rPr>
        <w:t xml:space="preserve">da </w:t>
      </w:r>
      <w:r w:rsidR="007E2276">
        <w:rPr>
          <w:rFonts w:ascii="Times New Roman" w:hAnsi="Times New Roman" w:cs="Times New Roman"/>
          <w:sz w:val="24"/>
          <w:szCs w:val="24"/>
        </w:rPr>
        <w:t>uluslararası</w:t>
      </w:r>
      <w:r w:rsidR="00463FB7">
        <w:rPr>
          <w:rFonts w:ascii="Times New Roman" w:hAnsi="Times New Roman" w:cs="Times New Roman"/>
          <w:sz w:val="24"/>
          <w:szCs w:val="24"/>
        </w:rPr>
        <w:t xml:space="preserve"> çalışmalar yapmakta</w:t>
      </w:r>
      <w:r w:rsidR="007E2276">
        <w:rPr>
          <w:rFonts w:ascii="Times New Roman" w:hAnsi="Times New Roman" w:cs="Times New Roman"/>
          <w:sz w:val="24"/>
          <w:szCs w:val="24"/>
        </w:rPr>
        <w:t>, bölgesel</w:t>
      </w:r>
      <w:r w:rsidR="000963CF">
        <w:rPr>
          <w:rFonts w:ascii="Times New Roman" w:hAnsi="Times New Roman" w:cs="Times New Roman"/>
          <w:sz w:val="24"/>
          <w:szCs w:val="24"/>
        </w:rPr>
        <w:t>,</w:t>
      </w:r>
      <w:r w:rsidR="007E2276">
        <w:rPr>
          <w:rFonts w:ascii="Times New Roman" w:hAnsi="Times New Roman" w:cs="Times New Roman"/>
          <w:sz w:val="24"/>
          <w:szCs w:val="24"/>
        </w:rPr>
        <w:t xml:space="preserve"> yerel ve küresel </w:t>
      </w:r>
      <w:r w:rsidR="00463FB7">
        <w:rPr>
          <w:rFonts w:ascii="Times New Roman" w:hAnsi="Times New Roman" w:cs="Times New Roman"/>
          <w:sz w:val="24"/>
          <w:szCs w:val="24"/>
        </w:rPr>
        <w:t>değerlendirmeler yapmakta ve raporlar hazırlamaktadır.</w:t>
      </w:r>
      <w:r w:rsidR="00BA60BF">
        <w:rPr>
          <w:rFonts w:ascii="Times New Roman" w:hAnsi="Times New Roman" w:cs="Times New Roman"/>
          <w:sz w:val="24"/>
          <w:szCs w:val="24"/>
        </w:rPr>
        <w:t xml:space="preserve"> Dünya bankasının yaptığı b</w:t>
      </w:r>
      <w:r w:rsidR="001345B4">
        <w:rPr>
          <w:rFonts w:ascii="Times New Roman" w:hAnsi="Times New Roman" w:cs="Times New Roman"/>
          <w:sz w:val="24"/>
          <w:szCs w:val="24"/>
        </w:rPr>
        <w:t xml:space="preserve">u çalışmalardan </w:t>
      </w:r>
      <w:r w:rsidR="00BA60BF">
        <w:rPr>
          <w:rFonts w:ascii="Times New Roman" w:hAnsi="Times New Roman" w:cs="Times New Roman"/>
          <w:sz w:val="24"/>
          <w:szCs w:val="24"/>
        </w:rPr>
        <w:t>birisi</w:t>
      </w:r>
      <w:r w:rsidR="001345B4">
        <w:rPr>
          <w:rFonts w:ascii="Times New Roman" w:hAnsi="Times New Roman" w:cs="Times New Roman"/>
          <w:sz w:val="24"/>
          <w:szCs w:val="24"/>
        </w:rPr>
        <w:t xml:space="preserve"> de </w:t>
      </w:r>
      <w:r w:rsidR="00BA60BF">
        <w:rPr>
          <w:rFonts w:ascii="Times New Roman" w:hAnsi="Times New Roman" w:cs="Times New Roman"/>
          <w:sz w:val="24"/>
          <w:szCs w:val="24"/>
        </w:rPr>
        <w:t>“İş Yapma Kolaylığı” endeksi çalışmasıdır. Bu çalışma ile dünya bankası</w:t>
      </w:r>
      <w:r w:rsidR="00AB2D63">
        <w:rPr>
          <w:rFonts w:ascii="Times New Roman" w:hAnsi="Times New Roman" w:cs="Times New Roman"/>
          <w:sz w:val="24"/>
          <w:szCs w:val="24"/>
        </w:rPr>
        <w:t>,</w:t>
      </w:r>
      <w:r w:rsidR="00BA60BF">
        <w:rPr>
          <w:rFonts w:ascii="Times New Roman" w:hAnsi="Times New Roman" w:cs="Times New Roman"/>
          <w:sz w:val="24"/>
          <w:szCs w:val="24"/>
        </w:rPr>
        <w:t xml:space="preserve"> ülkeleri yatırım</w:t>
      </w:r>
      <w:r w:rsidR="00AB2D63">
        <w:rPr>
          <w:rFonts w:ascii="Times New Roman" w:hAnsi="Times New Roman" w:cs="Times New Roman"/>
          <w:sz w:val="24"/>
          <w:szCs w:val="24"/>
        </w:rPr>
        <w:t xml:space="preserve"> yapma</w:t>
      </w:r>
      <w:r w:rsidR="00BA60BF">
        <w:rPr>
          <w:rFonts w:ascii="Times New Roman" w:hAnsi="Times New Roman" w:cs="Times New Roman"/>
          <w:sz w:val="24"/>
          <w:szCs w:val="24"/>
        </w:rPr>
        <w:t xml:space="preserve"> ve iş yapma </w:t>
      </w:r>
      <w:r w:rsidR="00AB2D63">
        <w:rPr>
          <w:rFonts w:ascii="Times New Roman" w:hAnsi="Times New Roman" w:cs="Times New Roman"/>
          <w:sz w:val="24"/>
          <w:szCs w:val="24"/>
        </w:rPr>
        <w:t xml:space="preserve">kolaylığı </w:t>
      </w:r>
      <w:r w:rsidR="00BA60BF">
        <w:rPr>
          <w:rFonts w:ascii="Times New Roman" w:hAnsi="Times New Roman" w:cs="Times New Roman"/>
          <w:sz w:val="24"/>
          <w:szCs w:val="24"/>
        </w:rPr>
        <w:t xml:space="preserve">bakımından çeşitli </w:t>
      </w:r>
      <w:proofErr w:type="gramStart"/>
      <w:r w:rsidR="00BA60BF">
        <w:rPr>
          <w:rFonts w:ascii="Times New Roman" w:hAnsi="Times New Roman" w:cs="Times New Roman"/>
          <w:sz w:val="24"/>
          <w:szCs w:val="24"/>
        </w:rPr>
        <w:t>kriterlere</w:t>
      </w:r>
      <w:proofErr w:type="gramEnd"/>
      <w:r w:rsidR="00BA60BF">
        <w:rPr>
          <w:rFonts w:ascii="Times New Roman" w:hAnsi="Times New Roman" w:cs="Times New Roman"/>
          <w:sz w:val="24"/>
          <w:szCs w:val="24"/>
        </w:rPr>
        <w:t xml:space="preserve"> göre değerlendirmekte ve sırala</w:t>
      </w:r>
      <w:r w:rsidR="00AB2D63">
        <w:rPr>
          <w:rFonts w:ascii="Times New Roman" w:hAnsi="Times New Roman" w:cs="Times New Roman"/>
          <w:sz w:val="24"/>
          <w:szCs w:val="24"/>
        </w:rPr>
        <w:t>maktadır.</w:t>
      </w:r>
      <w:r w:rsidR="00BA60BF">
        <w:rPr>
          <w:rFonts w:ascii="Times New Roman" w:hAnsi="Times New Roman" w:cs="Times New Roman"/>
          <w:sz w:val="24"/>
          <w:szCs w:val="24"/>
        </w:rPr>
        <w:t xml:space="preserve"> </w:t>
      </w:r>
      <w:r w:rsidR="00D21B15">
        <w:rPr>
          <w:rFonts w:ascii="Times New Roman" w:hAnsi="Times New Roman" w:cs="Times New Roman"/>
          <w:sz w:val="24"/>
          <w:szCs w:val="24"/>
        </w:rPr>
        <w:t xml:space="preserve">İş yapma kolaylığı endeksi her yıl kapsam ve içerik olarak genişletilerek oluşturulan bir endekstir. İş yapma endeksi bir işletmenin faaliyet başlaması için gerekli tüm işlemleri, bu işlemlerin yürütülmesi için gereken zamanı ve maliyetleri kaydederek bir ülkede iş kurmanın ve faaliyetleri sürdürmenin kolaylık derecesini ve o ülkenin iş ortamının kalitesini ölçmektedir </w:t>
      </w:r>
      <w:r w:rsidR="00D21B15">
        <w:rPr>
          <w:rFonts w:ascii="Times New Roman" w:hAnsi="Times New Roman" w:cs="Times New Roman"/>
          <w:sz w:val="24"/>
          <w:szCs w:val="24"/>
        </w:rPr>
        <w:fldChar w:fldCharType="begin" w:fldLock="1"/>
      </w:r>
      <w:r w:rsidR="005073AF">
        <w:rPr>
          <w:rFonts w:ascii="Times New Roman" w:hAnsi="Times New Roman" w:cs="Times New Roman"/>
          <w:sz w:val="24"/>
          <w:szCs w:val="24"/>
        </w:rPr>
        <w:instrText>ADDIN CSL_CITATION {"citationItems":[{"id":"ITEM-1","itemData":{"author":[{"dropping-particle":"","family":"Koç, E., Kaya K.","given":"Şenel M.C.","non-dropping-particle":"","parse-names":false,"suffix":""}],"container-title":"Mühendis ve Makina cilt 58, sayı 685,","id":"ITEM-1","issue":"685","issued":{"date-parts":[["2017"]]},"page":"17-42","title":"Dünyada ve Türkiye ’ de Ekonomik Göstergeler-İş Yapma / İş Kurma Kolaylığı Endeksi","type":"article-journal","volume":"58"},"uris":["http://www.mendeley.com/documents/?uuid=c2a0c746-24d8-4c5c-8e40-fc555eb9262c"]},{"id":"ITEM-2","itemData":{"DOI":"10.1080/014461900370690","ISSN":"01446193","abstract":"The Electre model may be considered as a decision-aid technique suited to the appraisal of complex civil/structural engineering projects. This conclusion is based on an assessment that the model permits a general ordering of alternatives, even when individual pairs of options remain uncompared where there is insufficient information to distinguish between them. Also, the technique is capable of dealing with the mix of both quantitative and qualitative information obtained within an engineering project appraisal. Electre is applied to the evaluation of 11 alternative multi-family housing systems on the basis of 7 criteria covering labour, material and energy demand. Using this case study, the benefits of Electre over other decision models in the selection process concerned are emphasized. © 2000 Taylor &amp; Francis Ltd.","author":[{"dropping-particle":"","family":"Rogers","given":"Martin","non-dropping-particle":"","parse-names":false,"suffix":""}],"container-title":"Construction Management and Economics","id":"ITEM-2","issue":"3","issued":{"date-parts":[["2000"]]},"page":"333-342","title":"Using Electre to aid the choice of housing construction process within structural engineering","type":"article-journal","volume":"18"},"uris":["http://www.mendeley.com/documents/?uuid=ccdca998-f295-44e4-8e6b-5e14f5d71ff0"]}],"mendeley":{"formattedCitation":"(Koç, E., Kaya K., 2017; Rogers, 2000)","manualFormatting":"(Koç vd. 2017:33)","plainTextFormattedCitation":"(Koç, E., Kaya K., 2017; Rogers, 2000)","previouslyFormattedCitation":"(Koç, E., Kaya K., 2017; Rogers, 2000)"},"properties":{"noteIndex":0},"schema":"https://github.com/citation-style-language/schema/raw/master/csl-citation.json"}</w:instrText>
      </w:r>
      <w:r w:rsidR="00D21B15">
        <w:rPr>
          <w:rFonts w:ascii="Times New Roman" w:hAnsi="Times New Roman" w:cs="Times New Roman"/>
          <w:sz w:val="24"/>
          <w:szCs w:val="24"/>
        </w:rPr>
        <w:fldChar w:fldCharType="separate"/>
      </w:r>
      <w:r w:rsidR="00D21B15" w:rsidRPr="003B1C84">
        <w:rPr>
          <w:rFonts w:ascii="Times New Roman" w:hAnsi="Times New Roman" w:cs="Times New Roman"/>
          <w:noProof/>
          <w:sz w:val="24"/>
          <w:szCs w:val="24"/>
        </w:rPr>
        <w:t>(Koç</w:t>
      </w:r>
      <w:r w:rsidR="00D21B15">
        <w:rPr>
          <w:rFonts w:ascii="Times New Roman" w:hAnsi="Times New Roman" w:cs="Times New Roman"/>
          <w:noProof/>
          <w:sz w:val="24"/>
          <w:szCs w:val="24"/>
        </w:rPr>
        <w:t xml:space="preserve"> vd. </w:t>
      </w:r>
      <w:r w:rsidR="00D21B15" w:rsidRPr="003B1C84">
        <w:rPr>
          <w:rFonts w:ascii="Times New Roman" w:hAnsi="Times New Roman" w:cs="Times New Roman"/>
          <w:noProof/>
          <w:sz w:val="24"/>
          <w:szCs w:val="24"/>
        </w:rPr>
        <w:t>2017</w:t>
      </w:r>
      <w:r w:rsidR="00D21B15">
        <w:rPr>
          <w:rFonts w:ascii="Times New Roman" w:hAnsi="Times New Roman" w:cs="Times New Roman"/>
          <w:noProof/>
          <w:sz w:val="24"/>
          <w:szCs w:val="24"/>
        </w:rPr>
        <w:t>:33</w:t>
      </w:r>
      <w:r w:rsidR="00D21B15" w:rsidRPr="003B1C84">
        <w:rPr>
          <w:rFonts w:ascii="Times New Roman" w:hAnsi="Times New Roman" w:cs="Times New Roman"/>
          <w:noProof/>
          <w:sz w:val="24"/>
          <w:szCs w:val="24"/>
        </w:rPr>
        <w:t>)</w:t>
      </w:r>
      <w:r w:rsidR="00D21B15">
        <w:rPr>
          <w:rFonts w:ascii="Times New Roman" w:hAnsi="Times New Roman" w:cs="Times New Roman"/>
          <w:sz w:val="24"/>
          <w:szCs w:val="24"/>
        </w:rPr>
        <w:fldChar w:fldCharType="end"/>
      </w:r>
      <w:r w:rsidR="00D21B15">
        <w:rPr>
          <w:rFonts w:ascii="Times New Roman" w:hAnsi="Times New Roman" w:cs="Times New Roman"/>
          <w:sz w:val="24"/>
          <w:szCs w:val="24"/>
        </w:rPr>
        <w:t xml:space="preserve">. </w:t>
      </w:r>
    </w:p>
    <w:p w:rsidR="000D05A6" w:rsidRDefault="0033447B" w:rsidP="0077638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Dünya bankası uzmanlarından </w:t>
      </w:r>
      <w:proofErr w:type="spellStart"/>
      <w:r>
        <w:rPr>
          <w:rFonts w:ascii="Times New Roman" w:hAnsi="Times New Roman" w:cs="Times New Roman"/>
          <w:sz w:val="24"/>
          <w:szCs w:val="24"/>
        </w:rPr>
        <w:t>Djankov</w:t>
      </w:r>
      <w:proofErr w:type="spellEnd"/>
      <w:r>
        <w:rPr>
          <w:rFonts w:ascii="Times New Roman" w:hAnsi="Times New Roman" w:cs="Times New Roman"/>
          <w:sz w:val="24"/>
          <w:szCs w:val="24"/>
        </w:rPr>
        <w:t xml:space="preserve">(2016) iş yapma kolaylığı endeksi fikrinin banka yönetici ve uzmanlarının, kalkınmada iş yapma </w:t>
      </w:r>
      <w:proofErr w:type="gramStart"/>
      <w:r>
        <w:rPr>
          <w:rFonts w:ascii="Times New Roman" w:hAnsi="Times New Roman" w:cs="Times New Roman"/>
          <w:sz w:val="24"/>
          <w:szCs w:val="24"/>
        </w:rPr>
        <w:t>kriterlerini</w:t>
      </w:r>
      <w:proofErr w:type="gramEnd"/>
      <w:r>
        <w:rPr>
          <w:rFonts w:ascii="Times New Roman" w:hAnsi="Times New Roman" w:cs="Times New Roman"/>
          <w:sz w:val="24"/>
          <w:szCs w:val="24"/>
        </w:rPr>
        <w:t xml:space="preserve"> önemli bulması ve bu nedenle piyasalar için gösterge oluşturma istekleri ile başladığını ifade eder. </w:t>
      </w:r>
      <w:r w:rsidR="007E2276">
        <w:rPr>
          <w:rFonts w:ascii="Times New Roman" w:hAnsi="Times New Roman" w:cs="Times New Roman"/>
          <w:sz w:val="24"/>
          <w:szCs w:val="24"/>
        </w:rPr>
        <w:t xml:space="preserve">Dünya bankası </w:t>
      </w:r>
      <w:r w:rsidR="00463FB7" w:rsidRPr="00776387">
        <w:rPr>
          <w:rFonts w:ascii="Times New Roman" w:hAnsi="Times New Roman" w:cs="Times New Roman"/>
          <w:sz w:val="24"/>
          <w:szCs w:val="24"/>
        </w:rPr>
        <w:t xml:space="preserve">(DB, </w:t>
      </w:r>
      <w:proofErr w:type="spellStart"/>
      <w:r w:rsidR="00463FB7" w:rsidRPr="00776387">
        <w:rPr>
          <w:rFonts w:ascii="Times New Roman" w:hAnsi="Times New Roman" w:cs="Times New Roman"/>
          <w:sz w:val="24"/>
          <w:szCs w:val="24"/>
        </w:rPr>
        <w:t>Wold</w:t>
      </w:r>
      <w:proofErr w:type="spellEnd"/>
      <w:r w:rsidR="00463FB7" w:rsidRPr="00776387">
        <w:rPr>
          <w:rFonts w:ascii="Times New Roman" w:hAnsi="Times New Roman" w:cs="Times New Roman"/>
          <w:sz w:val="24"/>
          <w:szCs w:val="24"/>
        </w:rPr>
        <w:t xml:space="preserve"> Bank) ülkeleri</w:t>
      </w:r>
      <w:r w:rsidR="00463FB7">
        <w:rPr>
          <w:rFonts w:ascii="Times New Roman" w:hAnsi="Times New Roman" w:cs="Times New Roman"/>
          <w:sz w:val="24"/>
          <w:szCs w:val="24"/>
        </w:rPr>
        <w:t xml:space="preserve"> oluşturmuş olduğu </w:t>
      </w:r>
      <w:r w:rsidR="00463FB7" w:rsidRPr="00776387">
        <w:rPr>
          <w:rFonts w:ascii="Times New Roman" w:hAnsi="Times New Roman" w:cs="Times New Roman"/>
          <w:sz w:val="24"/>
          <w:szCs w:val="24"/>
        </w:rPr>
        <w:t xml:space="preserve"> “iş yapma kolaylığı” endeksine</w:t>
      </w:r>
      <w:r w:rsidR="00463FB7">
        <w:rPr>
          <w:rFonts w:ascii="Times New Roman" w:hAnsi="Times New Roman" w:cs="Times New Roman"/>
          <w:sz w:val="24"/>
          <w:szCs w:val="24"/>
        </w:rPr>
        <w:t xml:space="preserve"> göre</w:t>
      </w:r>
      <w:r w:rsidR="00463FB7" w:rsidRPr="00776387">
        <w:rPr>
          <w:rFonts w:ascii="Times New Roman" w:hAnsi="Times New Roman" w:cs="Times New Roman"/>
          <w:sz w:val="24"/>
          <w:szCs w:val="24"/>
        </w:rPr>
        <w:t xml:space="preserve"> 12 başlık altında </w:t>
      </w:r>
      <w:r w:rsidR="00463FB7">
        <w:rPr>
          <w:rFonts w:ascii="Times New Roman" w:hAnsi="Times New Roman" w:cs="Times New Roman"/>
          <w:sz w:val="24"/>
          <w:szCs w:val="24"/>
        </w:rPr>
        <w:t xml:space="preserve">toplanan </w:t>
      </w:r>
      <w:r w:rsidR="00463FB7" w:rsidRPr="00776387">
        <w:rPr>
          <w:rFonts w:ascii="Times New Roman" w:hAnsi="Times New Roman" w:cs="Times New Roman"/>
          <w:sz w:val="24"/>
          <w:szCs w:val="24"/>
        </w:rPr>
        <w:t xml:space="preserve">çok sayıda </w:t>
      </w:r>
      <w:proofErr w:type="gramStart"/>
      <w:r w:rsidR="00463FB7" w:rsidRPr="00776387">
        <w:rPr>
          <w:rFonts w:ascii="Times New Roman" w:hAnsi="Times New Roman" w:cs="Times New Roman"/>
          <w:sz w:val="24"/>
          <w:szCs w:val="24"/>
        </w:rPr>
        <w:t>kritere</w:t>
      </w:r>
      <w:proofErr w:type="gramEnd"/>
      <w:r w:rsidR="00463FB7" w:rsidRPr="00776387">
        <w:rPr>
          <w:rFonts w:ascii="Times New Roman" w:hAnsi="Times New Roman" w:cs="Times New Roman"/>
          <w:sz w:val="24"/>
          <w:szCs w:val="24"/>
        </w:rPr>
        <w:t xml:space="preserve"> göre inceleyerek değerlendirmeler yapmakta ve raporlar hazırlamaktadır. </w:t>
      </w:r>
      <w:r w:rsidR="007E2276">
        <w:rPr>
          <w:rFonts w:ascii="Times New Roman" w:hAnsi="Times New Roman" w:cs="Times New Roman"/>
          <w:sz w:val="24"/>
          <w:szCs w:val="24"/>
        </w:rPr>
        <w:t>Dü</w:t>
      </w:r>
      <w:r w:rsidR="00406B16">
        <w:rPr>
          <w:rFonts w:ascii="Times New Roman" w:hAnsi="Times New Roman" w:cs="Times New Roman"/>
          <w:sz w:val="24"/>
          <w:szCs w:val="24"/>
        </w:rPr>
        <w:t>n</w:t>
      </w:r>
      <w:r w:rsidR="007E2276">
        <w:rPr>
          <w:rFonts w:ascii="Times New Roman" w:hAnsi="Times New Roman" w:cs="Times New Roman"/>
          <w:sz w:val="24"/>
          <w:szCs w:val="24"/>
        </w:rPr>
        <w:t xml:space="preserve">ya bankası </w:t>
      </w:r>
      <w:r w:rsidR="00E761B5" w:rsidRPr="00776387">
        <w:rPr>
          <w:rFonts w:ascii="Times New Roman" w:hAnsi="Times New Roman" w:cs="Times New Roman"/>
          <w:sz w:val="24"/>
          <w:szCs w:val="24"/>
        </w:rPr>
        <w:t>piyasa ekonomisi işleyişini sağlamak amacıyla bu endeksi</w:t>
      </w:r>
      <w:r w:rsidR="00406B16">
        <w:rPr>
          <w:rFonts w:ascii="Times New Roman" w:hAnsi="Times New Roman" w:cs="Times New Roman"/>
          <w:sz w:val="24"/>
          <w:szCs w:val="24"/>
        </w:rPr>
        <w:t xml:space="preserve"> ülkelerin </w:t>
      </w:r>
      <w:r w:rsidR="00E761B5" w:rsidRPr="00776387">
        <w:rPr>
          <w:rFonts w:ascii="Times New Roman" w:hAnsi="Times New Roman" w:cs="Times New Roman"/>
          <w:sz w:val="24"/>
          <w:szCs w:val="24"/>
        </w:rPr>
        <w:t>ekonomik büyüme</w:t>
      </w:r>
      <w:r w:rsidR="00406B16">
        <w:rPr>
          <w:rFonts w:ascii="Times New Roman" w:hAnsi="Times New Roman" w:cs="Times New Roman"/>
          <w:sz w:val="24"/>
          <w:szCs w:val="24"/>
        </w:rPr>
        <w:t xml:space="preserve"> ve kalkınmalarını</w:t>
      </w:r>
      <w:r w:rsidR="00E761B5" w:rsidRPr="00776387">
        <w:rPr>
          <w:rFonts w:ascii="Times New Roman" w:hAnsi="Times New Roman" w:cs="Times New Roman"/>
          <w:sz w:val="24"/>
          <w:szCs w:val="24"/>
        </w:rPr>
        <w:t xml:space="preserve"> sağlamak üzere atılan adımlar için bir sıçrama tahtası olarak nitelendirmiş</w:t>
      </w:r>
      <w:r w:rsidR="006A2D25" w:rsidRPr="00776387">
        <w:rPr>
          <w:rFonts w:ascii="Times New Roman" w:hAnsi="Times New Roman" w:cs="Times New Roman"/>
          <w:sz w:val="24"/>
          <w:szCs w:val="24"/>
        </w:rPr>
        <w:t>tir</w:t>
      </w:r>
      <w:r w:rsidR="00810D17" w:rsidRPr="00776387">
        <w:rPr>
          <w:rFonts w:ascii="Times New Roman" w:hAnsi="Times New Roman" w:cs="Times New Roman"/>
          <w:sz w:val="24"/>
          <w:szCs w:val="24"/>
        </w:rPr>
        <w:t>(Dünya Bankası, 2020)</w:t>
      </w:r>
      <w:r w:rsidR="00E761B5" w:rsidRPr="00776387">
        <w:rPr>
          <w:rFonts w:ascii="Times New Roman" w:hAnsi="Times New Roman" w:cs="Times New Roman"/>
          <w:sz w:val="24"/>
          <w:szCs w:val="24"/>
        </w:rPr>
        <w:t xml:space="preserve"> </w:t>
      </w:r>
      <w:r w:rsidR="00B86ED7" w:rsidRPr="00776387">
        <w:rPr>
          <w:rFonts w:ascii="Times New Roman" w:hAnsi="Times New Roman" w:cs="Times New Roman"/>
          <w:sz w:val="24"/>
          <w:szCs w:val="24"/>
        </w:rPr>
        <w:t>Dünya bankası</w:t>
      </w:r>
      <w:r w:rsidR="006372BF" w:rsidRPr="00776387">
        <w:rPr>
          <w:rFonts w:ascii="Times New Roman" w:hAnsi="Times New Roman" w:cs="Times New Roman"/>
          <w:sz w:val="24"/>
          <w:szCs w:val="24"/>
        </w:rPr>
        <w:t xml:space="preserve">nın oluşturmuş olduğu </w:t>
      </w:r>
      <w:r w:rsidR="00B86ED7" w:rsidRPr="00776387">
        <w:rPr>
          <w:rFonts w:ascii="Times New Roman" w:hAnsi="Times New Roman" w:cs="Times New Roman"/>
          <w:sz w:val="24"/>
          <w:szCs w:val="24"/>
        </w:rPr>
        <w:t xml:space="preserve">“iş yapma kolaylığı” endeksi </w:t>
      </w:r>
      <w:r w:rsidR="006372BF" w:rsidRPr="00776387">
        <w:rPr>
          <w:rFonts w:ascii="Times New Roman" w:hAnsi="Times New Roman" w:cs="Times New Roman"/>
          <w:sz w:val="24"/>
          <w:szCs w:val="24"/>
        </w:rPr>
        <w:t xml:space="preserve">ülkeler ve uluslararası yatırımcılar için çok önemli bir endekstir. </w:t>
      </w:r>
      <w:r w:rsidR="009B3B56" w:rsidRPr="00776387">
        <w:rPr>
          <w:rFonts w:ascii="Times New Roman" w:hAnsi="Times New Roman" w:cs="Times New Roman"/>
          <w:sz w:val="24"/>
          <w:szCs w:val="24"/>
        </w:rPr>
        <w:t>Dün</w:t>
      </w:r>
      <w:r w:rsidR="002A61E7" w:rsidRPr="00776387">
        <w:rPr>
          <w:rFonts w:ascii="Times New Roman" w:hAnsi="Times New Roman" w:cs="Times New Roman"/>
          <w:sz w:val="24"/>
          <w:szCs w:val="24"/>
        </w:rPr>
        <w:t xml:space="preserve">ya bankası bu endekste ülkeleri, </w:t>
      </w:r>
      <w:r w:rsidR="009B3B56" w:rsidRPr="00776387">
        <w:rPr>
          <w:rFonts w:ascii="Times New Roman" w:hAnsi="Times New Roman" w:cs="Times New Roman"/>
          <w:sz w:val="24"/>
          <w:szCs w:val="24"/>
        </w:rPr>
        <w:t xml:space="preserve">yatırım süreçleri bakımından çok geniş katılımlı bir anket uygulayarak </w:t>
      </w:r>
      <w:r w:rsidR="002A61E7" w:rsidRPr="00776387">
        <w:rPr>
          <w:rFonts w:ascii="Times New Roman" w:hAnsi="Times New Roman" w:cs="Times New Roman"/>
          <w:sz w:val="24"/>
          <w:szCs w:val="24"/>
        </w:rPr>
        <w:t xml:space="preserve">değerlendirmektedir. </w:t>
      </w:r>
      <w:r w:rsidR="00345D54">
        <w:rPr>
          <w:rFonts w:ascii="Times New Roman" w:hAnsi="Times New Roman" w:cs="Times New Roman"/>
          <w:sz w:val="24"/>
          <w:szCs w:val="24"/>
        </w:rPr>
        <w:t>Banka i</w:t>
      </w:r>
      <w:r w:rsidR="000963CF">
        <w:rPr>
          <w:rFonts w:ascii="Times New Roman" w:hAnsi="Times New Roman" w:cs="Times New Roman"/>
          <w:sz w:val="24"/>
          <w:szCs w:val="24"/>
        </w:rPr>
        <w:t xml:space="preserve">lk olarak 2003 yılında 133 ülkeyi beş temel </w:t>
      </w:r>
      <w:proofErr w:type="gramStart"/>
      <w:r w:rsidR="000963CF">
        <w:rPr>
          <w:rFonts w:ascii="Times New Roman" w:hAnsi="Times New Roman" w:cs="Times New Roman"/>
          <w:sz w:val="24"/>
          <w:szCs w:val="24"/>
        </w:rPr>
        <w:t>kritere</w:t>
      </w:r>
      <w:proofErr w:type="gramEnd"/>
      <w:r w:rsidR="000963CF">
        <w:rPr>
          <w:rFonts w:ascii="Times New Roman" w:hAnsi="Times New Roman" w:cs="Times New Roman"/>
          <w:sz w:val="24"/>
          <w:szCs w:val="24"/>
        </w:rPr>
        <w:t xml:space="preserve"> göre iş yapma kolaylığı, iş ortamı kalitesi </w:t>
      </w:r>
      <w:r w:rsidR="00027EFE">
        <w:rPr>
          <w:rFonts w:ascii="Times New Roman" w:hAnsi="Times New Roman" w:cs="Times New Roman"/>
          <w:sz w:val="24"/>
          <w:szCs w:val="24"/>
        </w:rPr>
        <w:t xml:space="preserve">bakımından değerlendirmiştir. Dünya bankası yaptığı bu değerlendirme çalışmasını </w:t>
      </w:r>
      <w:proofErr w:type="gramStart"/>
      <w:r w:rsidR="00027EFE">
        <w:rPr>
          <w:rFonts w:ascii="Times New Roman" w:hAnsi="Times New Roman" w:cs="Times New Roman"/>
          <w:sz w:val="24"/>
          <w:szCs w:val="24"/>
        </w:rPr>
        <w:t>kriterler</w:t>
      </w:r>
      <w:proofErr w:type="gramEnd"/>
      <w:r w:rsidR="00027EFE">
        <w:rPr>
          <w:rFonts w:ascii="Times New Roman" w:hAnsi="Times New Roman" w:cs="Times New Roman"/>
          <w:sz w:val="24"/>
          <w:szCs w:val="24"/>
        </w:rPr>
        <w:t xml:space="preserve"> ve ülkeler bakımından her yıl genişleterek günümüze kadar yayınlamıştır. </w:t>
      </w:r>
      <w:r w:rsidR="004962F7" w:rsidRPr="00776387">
        <w:rPr>
          <w:rFonts w:ascii="Times New Roman" w:hAnsi="Times New Roman" w:cs="Times New Roman"/>
          <w:sz w:val="24"/>
          <w:szCs w:val="24"/>
        </w:rPr>
        <w:t xml:space="preserve">2020 yılında hazırlanan raporda yer </w:t>
      </w:r>
      <w:r w:rsidR="00B23BAF" w:rsidRPr="00776387">
        <w:rPr>
          <w:rFonts w:ascii="Times New Roman" w:hAnsi="Times New Roman" w:cs="Times New Roman"/>
          <w:sz w:val="24"/>
          <w:szCs w:val="24"/>
        </w:rPr>
        <w:t>alan endeks, iş yapma kolaylığı</w:t>
      </w:r>
      <w:r w:rsidR="004962F7" w:rsidRPr="00776387">
        <w:rPr>
          <w:rFonts w:ascii="Times New Roman" w:hAnsi="Times New Roman" w:cs="Times New Roman"/>
          <w:sz w:val="24"/>
          <w:szCs w:val="24"/>
        </w:rPr>
        <w:t xml:space="preserve">, </w:t>
      </w:r>
      <w:r w:rsidR="00593EB8" w:rsidRPr="00776387">
        <w:rPr>
          <w:rFonts w:ascii="Times New Roman" w:hAnsi="Times New Roman" w:cs="Times New Roman"/>
          <w:sz w:val="24"/>
          <w:szCs w:val="24"/>
        </w:rPr>
        <w:t>inşaat izinleri, elektrik alma, mülkiyet kaydı, kredi alma, azınlık yatırımcıları koruma, vergi ödeme, sınır ötesi ticaret, sözleşmelerin uygulanması, iflasın çözülmesi, işçi çalıştırma ve hükümetle söz</w:t>
      </w:r>
      <w:r w:rsidR="00982E73" w:rsidRPr="00776387">
        <w:rPr>
          <w:rFonts w:ascii="Times New Roman" w:hAnsi="Times New Roman" w:cs="Times New Roman"/>
          <w:sz w:val="24"/>
          <w:szCs w:val="24"/>
        </w:rPr>
        <w:t xml:space="preserve">leşme yapmak başlıklarını içermektedir. 2020 yılı ülke değerlendirmesi ve sıralamalarında işçi çalıştırma ve hükümetle sözleşme yapma </w:t>
      </w:r>
      <w:proofErr w:type="gramStart"/>
      <w:r w:rsidR="00982E73" w:rsidRPr="00776387">
        <w:rPr>
          <w:rFonts w:ascii="Times New Roman" w:hAnsi="Times New Roman" w:cs="Times New Roman"/>
          <w:sz w:val="24"/>
          <w:szCs w:val="24"/>
        </w:rPr>
        <w:t>kriterleri</w:t>
      </w:r>
      <w:proofErr w:type="gramEnd"/>
      <w:r w:rsidR="00982E73" w:rsidRPr="00776387">
        <w:rPr>
          <w:rFonts w:ascii="Times New Roman" w:hAnsi="Times New Roman" w:cs="Times New Roman"/>
          <w:sz w:val="24"/>
          <w:szCs w:val="24"/>
        </w:rPr>
        <w:t xml:space="preserve"> kullanılmamıştır. </w:t>
      </w:r>
      <w:r w:rsidR="00AE2148" w:rsidRPr="00776387">
        <w:rPr>
          <w:rFonts w:ascii="Times New Roman" w:hAnsi="Times New Roman" w:cs="Times New Roman"/>
          <w:sz w:val="24"/>
          <w:szCs w:val="24"/>
        </w:rPr>
        <w:t xml:space="preserve">Dünya bankası </w:t>
      </w:r>
      <w:r w:rsidR="00D0739B" w:rsidRPr="00776387">
        <w:rPr>
          <w:rFonts w:ascii="Times New Roman" w:hAnsi="Times New Roman" w:cs="Times New Roman"/>
          <w:sz w:val="24"/>
          <w:szCs w:val="24"/>
        </w:rPr>
        <w:t xml:space="preserve">2020 yılında 190 ülkede </w:t>
      </w:r>
      <w:r w:rsidR="00DE5A35">
        <w:rPr>
          <w:rFonts w:ascii="Times New Roman" w:hAnsi="Times New Roman" w:cs="Times New Roman"/>
          <w:sz w:val="24"/>
          <w:szCs w:val="24"/>
        </w:rPr>
        <w:t>13.800</w:t>
      </w:r>
      <w:r w:rsidR="00D0739B" w:rsidRPr="00776387">
        <w:rPr>
          <w:rFonts w:ascii="Times New Roman" w:hAnsi="Times New Roman" w:cs="Times New Roman"/>
          <w:sz w:val="24"/>
          <w:szCs w:val="24"/>
        </w:rPr>
        <w:t xml:space="preserve"> profesyonel katılımcı ile </w:t>
      </w:r>
      <w:r w:rsidR="00AE2148" w:rsidRPr="00776387">
        <w:rPr>
          <w:rFonts w:ascii="Times New Roman" w:hAnsi="Times New Roman" w:cs="Times New Roman"/>
          <w:sz w:val="24"/>
          <w:szCs w:val="24"/>
        </w:rPr>
        <w:t>10 ayrı başlık altında iş yapma kolaylığı bakımından ülkelerin performansını değerlendirm</w:t>
      </w:r>
      <w:r w:rsidR="00D0739B" w:rsidRPr="00776387">
        <w:rPr>
          <w:rFonts w:ascii="Times New Roman" w:hAnsi="Times New Roman" w:cs="Times New Roman"/>
          <w:sz w:val="24"/>
          <w:szCs w:val="24"/>
        </w:rPr>
        <w:t>iş ü</w:t>
      </w:r>
      <w:r w:rsidR="00AE2148" w:rsidRPr="00776387">
        <w:rPr>
          <w:rFonts w:ascii="Times New Roman" w:hAnsi="Times New Roman" w:cs="Times New Roman"/>
          <w:sz w:val="24"/>
          <w:szCs w:val="24"/>
        </w:rPr>
        <w:t>lkeleri iş yapma ko</w:t>
      </w:r>
      <w:r w:rsidR="00D0739B" w:rsidRPr="00776387">
        <w:rPr>
          <w:rFonts w:ascii="Times New Roman" w:hAnsi="Times New Roman" w:cs="Times New Roman"/>
          <w:sz w:val="24"/>
          <w:szCs w:val="24"/>
        </w:rPr>
        <w:t xml:space="preserve">laylığı puanlarına göre sıralamıştır. </w:t>
      </w:r>
      <w:r w:rsidR="007A38CA" w:rsidRPr="00776387">
        <w:rPr>
          <w:rFonts w:ascii="Times New Roman" w:hAnsi="Times New Roman" w:cs="Times New Roman"/>
          <w:sz w:val="24"/>
          <w:szCs w:val="24"/>
        </w:rPr>
        <w:t>Değerlendirme</w:t>
      </w:r>
      <w:r w:rsidR="004B66AA">
        <w:rPr>
          <w:rFonts w:ascii="Times New Roman" w:hAnsi="Times New Roman" w:cs="Times New Roman"/>
          <w:sz w:val="24"/>
          <w:szCs w:val="24"/>
        </w:rPr>
        <w:t xml:space="preserve"> ülkelerdeki </w:t>
      </w:r>
      <w:r w:rsidR="007A38CA" w:rsidRPr="00776387">
        <w:rPr>
          <w:rFonts w:ascii="Times New Roman" w:hAnsi="Times New Roman" w:cs="Times New Roman"/>
          <w:sz w:val="24"/>
          <w:szCs w:val="24"/>
        </w:rPr>
        <w:t xml:space="preserve">büyük şehirlerde faaliyet gösteren küçük ve orta ölçekli işletmeler </w:t>
      </w:r>
      <w:proofErr w:type="gramStart"/>
      <w:r w:rsidR="007A38CA" w:rsidRPr="00776387">
        <w:rPr>
          <w:rFonts w:ascii="Times New Roman" w:hAnsi="Times New Roman" w:cs="Times New Roman"/>
          <w:sz w:val="24"/>
          <w:szCs w:val="24"/>
        </w:rPr>
        <w:t>baz</w:t>
      </w:r>
      <w:proofErr w:type="gramEnd"/>
      <w:r w:rsidR="007A38CA" w:rsidRPr="00776387">
        <w:rPr>
          <w:rFonts w:ascii="Times New Roman" w:hAnsi="Times New Roman" w:cs="Times New Roman"/>
          <w:sz w:val="24"/>
          <w:szCs w:val="24"/>
        </w:rPr>
        <w:t xml:space="preserve"> alınarak, onların çalışma güçlükleri ve süreçleri göz önüne alınarak yapılmıştır. </w:t>
      </w:r>
      <w:r w:rsidR="00740944">
        <w:rPr>
          <w:rFonts w:ascii="Times New Roman" w:hAnsi="Times New Roman" w:cs="Times New Roman"/>
          <w:sz w:val="24"/>
          <w:szCs w:val="24"/>
        </w:rPr>
        <w:t xml:space="preserve">Dünya bankası iş yapma kolaylığı endeksinin dört bilgi kaynağına dayandığı ifade edilmiştir. </w:t>
      </w:r>
      <w:r w:rsidR="008F7D41">
        <w:rPr>
          <w:rFonts w:ascii="Times New Roman" w:hAnsi="Times New Roman" w:cs="Times New Roman"/>
          <w:sz w:val="24"/>
          <w:szCs w:val="24"/>
        </w:rPr>
        <w:t xml:space="preserve">İlgili yasa ve yönetmelikler, katılımcılar, ülke ekonomi yönetimleri ve dünya bankası çalışanları bu bilgi kaynaklarını oluşturmaktadır.  </w:t>
      </w:r>
    </w:p>
    <w:p w:rsidR="000965F5" w:rsidRDefault="00DD5EEF" w:rsidP="00776387">
      <w:pPr>
        <w:spacing w:after="120" w:line="240" w:lineRule="auto"/>
        <w:ind w:firstLine="708"/>
        <w:jc w:val="both"/>
        <w:rPr>
          <w:rFonts w:ascii="Times New Roman" w:hAnsi="Times New Roman" w:cs="Times New Roman"/>
          <w:sz w:val="24"/>
          <w:szCs w:val="24"/>
        </w:rPr>
      </w:pPr>
      <w:r w:rsidRPr="00776387">
        <w:rPr>
          <w:rFonts w:ascii="Times New Roman" w:hAnsi="Times New Roman" w:cs="Times New Roman"/>
          <w:sz w:val="24"/>
          <w:szCs w:val="24"/>
        </w:rPr>
        <w:t xml:space="preserve">Dünya bankasının </w:t>
      </w:r>
      <w:r w:rsidR="00A42E1F" w:rsidRPr="00776387">
        <w:rPr>
          <w:rFonts w:ascii="Times New Roman" w:hAnsi="Times New Roman" w:cs="Times New Roman"/>
          <w:sz w:val="24"/>
          <w:szCs w:val="24"/>
        </w:rPr>
        <w:t xml:space="preserve">oluşturduğu iş yapma endeksi yatırımcılar için önemli olduğu kadar ülke yönetimleri için de son derece önemlidir. Ülkelerin politika </w:t>
      </w:r>
      <w:r w:rsidR="00530A7A">
        <w:rPr>
          <w:rFonts w:ascii="Times New Roman" w:hAnsi="Times New Roman" w:cs="Times New Roman"/>
          <w:sz w:val="24"/>
          <w:szCs w:val="24"/>
        </w:rPr>
        <w:t xml:space="preserve">yapıcıları </w:t>
      </w:r>
      <w:r w:rsidR="00A42E1F" w:rsidRPr="00776387">
        <w:rPr>
          <w:rFonts w:ascii="Times New Roman" w:hAnsi="Times New Roman" w:cs="Times New Roman"/>
          <w:sz w:val="24"/>
          <w:szCs w:val="24"/>
        </w:rPr>
        <w:t xml:space="preserve">ve karar </w:t>
      </w:r>
      <w:r w:rsidR="004B66AA">
        <w:rPr>
          <w:rFonts w:ascii="Times New Roman" w:hAnsi="Times New Roman" w:cs="Times New Roman"/>
          <w:sz w:val="24"/>
          <w:szCs w:val="24"/>
        </w:rPr>
        <w:t xml:space="preserve">mekanizmaları </w:t>
      </w:r>
      <w:r w:rsidR="00A30841">
        <w:rPr>
          <w:rFonts w:ascii="Times New Roman" w:hAnsi="Times New Roman" w:cs="Times New Roman"/>
          <w:sz w:val="24"/>
          <w:szCs w:val="24"/>
        </w:rPr>
        <w:t>oluşturulan bu endeksten</w:t>
      </w:r>
      <w:r w:rsidR="00A42E1F" w:rsidRPr="00776387">
        <w:rPr>
          <w:rFonts w:ascii="Times New Roman" w:hAnsi="Times New Roman" w:cs="Times New Roman"/>
          <w:sz w:val="24"/>
          <w:szCs w:val="24"/>
        </w:rPr>
        <w:t xml:space="preserve"> yararlanarak ekonomileri için </w:t>
      </w:r>
      <w:r w:rsidR="004E1CAC" w:rsidRPr="00776387">
        <w:rPr>
          <w:rFonts w:ascii="Times New Roman" w:hAnsi="Times New Roman" w:cs="Times New Roman"/>
          <w:sz w:val="24"/>
          <w:szCs w:val="24"/>
        </w:rPr>
        <w:t xml:space="preserve">önerilen </w:t>
      </w:r>
      <w:r w:rsidR="00A42E1F" w:rsidRPr="00776387">
        <w:rPr>
          <w:rFonts w:ascii="Times New Roman" w:hAnsi="Times New Roman" w:cs="Times New Roman"/>
          <w:sz w:val="24"/>
          <w:szCs w:val="24"/>
        </w:rPr>
        <w:t xml:space="preserve">düzenlemeleri </w:t>
      </w:r>
      <w:r w:rsidR="004E1CAC" w:rsidRPr="00776387">
        <w:rPr>
          <w:rFonts w:ascii="Times New Roman" w:hAnsi="Times New Roman" w:cs="Times New Roman"/>
          <w:sz w:val="24"/>
          <w:szCs w:val="24"/>
        </w:rPr>
        <w:t>tartışıp değerlendir</w:t>
      </w:r>
      <w:r w:rsidR="004B66AA">
        <w:rPr>
          <w:rFonts w:ascii="Times New Roman" w:hAnsi="Times New Roman" w:cs="Times New Roman"/>
          <w:sz w:val="24"/>
          <w:szCs w:val="24"/>
        </w:rPr>
        <w:t xml:space="preserve">me </w:t>
      </w:r>
      <w:r w:rsidR="000965F5">
        <w:rPr>
          <w:rFonts w:ascii="Times New Roman" w:hAnsi="Times New Roman" w:cs="Times New Roman"/>
          <w:sz w:val="24"/>
          <w:szCs w:val="24"/>
        </w:rPr>
        <w:t>imkânı</w:t>
      </w:r>
      <w:r w:rsidR="004B66AA">
        <w:rPr>
          <w:rFonts w:ascii="Times New Roman" w:hAnsi="Times New Roman" w:cs="Times New Roman"/>
          <w:sz w:val="24"/>
          <w:szCs w:val="24"/>
        </w:rPr>
        <w:t xml:space="preserve"> bulabilmektedir. </w:t>
      </w:r>
    </w:p>
    <w:p w:rsidR="003D1C97" w:rsidRDefault="000E1AD5" w:rsidP="00A84490">
      <w:pPr>
        <w:spacing w:before="120" w:after="24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İş yapma kolaylığı endeksi 10 ayrı </w:t>
      </w:r>
      <w:r w:rsidR="00ED3EBC">
        <w:rPr>
          <w:rFonts w:ascii="Times New Roman" w:hAnsi="Times New Roman" w:cs="Times New Roman"/>
          <w:sz w:val="24"/>
          <w:szCs w:val="24"/>
        </w:rPr>
        <w:t xml:space="preserve">alt </w:t>
      </w:r>
      <w:r>
        <w:rPr>
          <w:rFonts w:ascii="Times New Roman" w:hAnsi="Times New Roman" w:cs="Times New Roman"/>
          <w:sz w:val="24"/>
          <w:szCs w:val="24"/>
        </w:rPr>
        <w:t>endeksin ortalamasından oluşan an</w:t>
      </w:r>
      <w:r w:rsidR="00ED3EBC">
        <w:rPr>
          <w:rFonts w:ascii="Times New Roman" w:hAnsi="Times New Roman" w:cs="Times New Roman"/>
          <w:sz w:val="24"/>
          <w:szCs w:val="24"/>
        </w:rPr>
        <w:t>a</w:t>
      </w:r>
      <w:r>
        <w:rPr>
          <w:rFonts w:ascii="Times New Roman" w:hAnsi="Times New Roman" w:cs="Times New Roman"/>
          <w:sz w:val="24"/>
          <w:szCs w:val="24"/>
        </w:rPr>
        <w:t xml:space="preserve"> endekstir. Endeksin oluşturulmasında kullanılan veriler sübjektif yargıları içermektedir. Endeksin farklı yöntemlerle incelenerek ayrıntılarının tartışılması yararlı bilgiler sunacaktır. </w:t>
      </w:r>
      <w:r w:rsidR="008C129C">
        <w:rPr>
          <w:rFonts w:ascii="Times New Roman" w:hAnsi="Times New Roman" w:cs="Times New Roman"/>
          <w:sz w:val="24"/>
          <w:szCs w:val="24"/>
        </w:rPr>
        <w:t>Endeksin</w:t>
      </w:r>
      <w:r w:rsidR="00F51203">
        <w:rPr>
          <w:rFonts w:ascii="Times New Roman" w:hAnsi="Times New Roman" w:cs="Times New Roman"/>
          <w:sz w:val="24"/>
          <w:szCs w:val="24"/>
        </w:rPr>
        <w:t xml:space="preserve"> oluşturulmasında yeni bir katı sunmak amacıyla endeksin</w:t>
      </w:r>
      <w:r w:rsidR="008C129C">
        <w:rPr>
          <w:rFonts w:ascii="Times New Roman" w:hAnsi="Times New Roman" w:cs="Times New Roman"/>
          <w:sz w:val="24"/>
          <w:szCs w:val="24"/>
        </w:rPr>
        <w:t xml:space="preserve"> alt başlıkları olan ve </w:t>
      </w:r>
      <w:proofErr w:type="gramStart"/>
      <w:r w:rsidR="008C129C">
        <w:rPr>
          <w:rFonts w:ascii="Times New Roman" w:hAnsi="Times New Roman" w:cs="Times New Roman"/>
          <w:sz w:val="24"/>
          <w:szCs w:val="24"/>
        </w:rPr>
        <w:t>kriterleri</w:t>
      </w:r>
      <w:proofErr w:type="gramEnd"/>
      <w:r w:rsidR="008C129C">
        <w:rPr>
          <w:rFonts w:ascii="Times New Roman" w:hAnsi="Times New Roman" w:cs="Times New Roman"/>
          <w:sz w:val="24"/>
          <w:szCs w:val="24"/>
        </w:rPr>
        <w:t xml:space="preserve"> ifade eden alt endekslerin önem ağırlıkları belirsizliğin ölçü</w:t>
      </w:r>
      <w:r w:rsidR="00F51203">
        <w:rPr>
          <w:rFonts w:ascii="Times New Roman" w:hAnsi="Times New Roman" w:cs="Times New Roman"/>
          <w:sz w:val="24"/>
          <w:szCs w:val="24"/>
        </w:rPr>
        <w:t xml:space="preserve">lmesinde </w:t>
      </w:r>
      <w:r w:rsidR="008C129C">
        <w:rPr>
          <w:rFonts w:ascii="Times New Roman" w:hAnsi="Times New Roman" w:cs="Times New Roman"/>
          <w:sz w:val="24"/>
          <w:szCs w:val="24"/>
        </w:rPr>
        <w:t>kullanılan bir yöntem olan ENTROPİ yöntemi ile incelenmiştir.</w:t>
      </w:r>
      <w:r w:rsidR="003D1C97" w:rsidRPr="00776387">
        <w:rPr>
          <w:rFonts w:ascii="Times New Roman" w:hAnsi="Times New Roman" w:cs="Times New Roman"/>
          <w:sz w:val="24"/>
          <w:szCs w:val="24"/>
        </w:rPr>
        <w:t xml:space="preserve"> ENTROPİ yöntemi iş yapma kolaylığı </w:t>
      </w:r>
      <w:r w:rsidR="00F51203">
        <w:rPr>
          <w:rFonts w:ascii="Times New Roman" w:hAnsi="Times New Roman" w:cs="Times New Roman"/>
          <w:sz w:val="24"/>
          <w:szCs w:val="24"/>
        </w:rPr>
        <w:t xml:space="preserve">alt </w:t>
      </w:r>
      <w:proofErr w:type="gramStart"/>
      <w:r w:rsidR="00F51203">
        <w:rPr>
          <w:rFonts w:ascii="Times New Roman" w:hAnsi="Times New Roman" w:cs="Times New Roman"/>
          <w:sz w:val="24"/>
          <w:szCs w:val="24"/>
        </w:rPr>
        <w:t xml:space="preserve">endekslerinin </w:t>
      </w:r>
      <w:r w:rsidR="003D1C97" w:rsidRPr="00776387">
        <w:rPr>
          <w:rFonts w:ascii="Times New Roman" w:hAnsi="Times New Roman" w:cs="Times New Roman"/>
          <w:sz w:val="24"/>
          <w:szCs w:val="24"/>
        </w:rPr>
        <w:t xml:space="preserve"> önem</w:t>
      </w:r>
      <w:proofErr w:type="gramEnd"/>
      <w:r w:rsidR="003D1C97" w:rsidRPr="00776387">
        <w:rPr>
          <w:rFonts w:ascii="Times New Roman" w:hAnsi="Times New Roman" w:cs="Times New Roman"/>
          <w:sz w:val="24"/>
          <w:szCs w:val="24"/>
        </w:rPr>
        <w:t xml:space="preserve"> ağırlıklarını belirlemek için kullanılmış ve daha sonra Avrupa ve Orta Asya ülkeleri EDAS yöntemi ile sıralanarak değerlendirilmiştir. </w:t>
      </w:r>
    </w:p>
    <w:p w:rsidR="00A84490" w:rsidRDefault="00A84490" w:rsidP="00A84490">
      <w:pPr>
        <w:spacing w:before="120" w:after="240" w:line="240" w:lineRule="auto"/>
        <w:ind w:firstLine="709"/>
        <w:jc w:val="both"/>
        <w:rPr>
          <w:rFonts w:ascii="Times New Roman" w:hAnsi="Times New Roman" w:cs="Times New Roman"/>
          <w:sz w:val="24"/>
          <w:szCs w:val="24"/>
        </w:rPr>
      </w:pPr>
    </w:p>
    <w:p w:rsidR="004B4229" w:rsidRDefault="00D83EB4" w:rsidP="00776387">
      <w:pPr>
        <w:pStyle w:val="ListeParagraf"/>
        <w:numPr>
          <w:ilvl w:val="0"/>
          <w:numId w:val="2"/>
        </w:numPr>
        <w:spacing w:after="120" w:line="240" w:lineRule="auto"/>
        <w:jc w:val="both"/>
        <w:rPr>
          <w:rFonts w:ascii="Times New Roman" w:hAnsi="Times New Roman" w:cs="Times New Roman"/>
          <w:b/>
          <w:sz w:val="24"/>
          <w:szCs w:val="24"/>
        </w:rPr>
      </w:pPr>
      <w:r w:rsidRPr="00776387">
        <w:rPr>
          <w:rFonts w:ascii="Times New Roman" w:hAnsi="Times New Roman" w:cs="Times New Roman"/>
          <w:b/>
          <w:sz w:val="24"/>
          <w:szCs w:val="24"/>
        </w:rPr>
        <w:lastRenderedPageBreak/>
        <w:t xml:space="preserve">İŞ YAPMA ENDEKSİNİN KAPSAMI </w:t>
      </w:r>
    </w:p>
    <w:p w:rsidR="0042532B" w:rsidRDefault="0053778E" w:rsidP="0042532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Yatırımcılar ister ulusal isterse </w:t>
      </w:r>
      <w:r w:rsidR="00941FC7">
        <w:rPr>
          <w:rFonts w:ascii="Times New Roman" w:hAnsi="Times New Roman" w:cs="Times New Roman"/>
          <w:sz w:val="24"/>
          <w:szCs w:val="24"/>
        </w:rPr>
        <w:t>uluslararası</w:t>
      </w:r>
      <w:r>
        <w:rPr>
          <w:rFonts w:ascii="Times New Roman" w:hAnsi="Times New Roman" w:cs="Times New Roman"/>
          <w:sz w:val="24"/>
          <w:szCs w:val="24"/>
        </w:rPr>
        <w:t xml:space="preserve"> olsun iş yapma kolaylığı olan ve karlılık ve süreklilik amacına uygun yatırım iklimine sahip ülkeleri tercih etmektedir.</w:t>
      </w:r>
      <w:r w:rsidR="00941FC7">
        <w:rPr>
          <w:rFonts w:ascii="Times New Roman" w:hAnsi="Times New Roman" w:cs="Times New Roman"/>
          <w:sz w:val="24"/>
          <w:szCs w:val="24"/>
        </w:rPr>
        <w:t xml:space="preserve"> Temel amacın aynı olması yanında</w:t>
      </w:r>
      <w:r w:rsidR="00E50E35">
        <w:rPr>
          <w:rFonts w:ascii="Times New Roman" w:hAnsi="Times New Roman" w:cs="Times New Roman"/>
          <w:sz w:val="24"/>
          <w:szCs w:val="24"/>
        </w:rPr>
        <w:t xml:space="preserve"> amacın gerçekleştirilmesi için faaliyet gösterilen coğrafyada</w:t>
      </w:r>
      <w:r w:rsidR="00941FC7">
        <w:rPr>
          <w:rFonts w:ascii="Times New Roman" w:hAnsi="Times New Roman" w:cs="Times New Roman"/>
          <w:sz w:val="24"/>
          <w:szCs w:val="24"/>
        </w:rPr>
        <w:t xml:space="preserve"> ulusal ve uluslararası yatırımcıların bu amaçlarına ulaşmak için benimsedikleri stratejiler farklılık göstermektedir. </w:t>
      </w:r>
      <w:r>
        <w:rPr>
          <w:rFonts w:ascii="Times New Roman" w:hAnsi="Times New Roman" w:cs="Times New Roman"/>
          <w:sz w:val="24"/>
          <w:szCs w:val="24"/>
        </w:rPr>
        <w:t xml:space="preserve"> </w:t>
      </w:r>
      <w:r w:rsidR="0042532B" w:rsidRPr="00776387">
        <w:rPr>
          <w:rFonts w:ascii="Times New Roman" w:hAnsi="Times New Roman" w:cs="Times New Roman"/>
          <w:sz w:val="24"/>
          <w:szCs w:val="24"/>
        </w:rPr>
        <w:t>Uluslararası yatırımcılar için pazar</w:t>
      </w:r>
      <w:r w:rsidR="00941FC7">
        <w:rPr>
          <w:rFonts w:ascii="Times New Roman" w:hAnsi="Times New Roman" w:cs="Times New Roman"/>
          <w:sz w:val="24"/>
          <w:szCs w:val="24"/>
        </w:rPr>
        <w:t>lar</w:t>
      </w:r>
      <w:r w:rsidR="0042532B" w:rsidRPr="00776387">
        <w:rPr>
          <w:rFonts w:ascii="Times New Roman" w:hAnsi="Times New Roman" w:cs="Times New Roman"/>
          <w:sz w:val="24"/>
          <w:szCs w:val="24"/>
        </w:rPr>
        <w:t xml:space="preserve">a yakınlık ve işgücü maliyetleri önemli </w:t>
      </w:r>
      <w:proofErr w:type="gramStart"/>
      <w:r w:rsidR="0042532B" w:rsidRPr="00776387">
        <w:rPr>
          <w:rFonts w:ascii="Times New Roman" w:hAnsi="Times New Roman" w:cs="Times New Roman"/>
          <w:sz w:val="24"/>
          <w:szCs w:val="24"/>
        </w:rPr>
        <w:t>kriterlerdir</w:t>
      </w:r>
      <w:proofErr w:type="gramEnd"/>
      <w:r w:rsidR="0042532B" w:rsidRPr="00776387">
        <w:rPr>
          <w:rFonts w:ascii="Times New Roman" w:hAnsi="Times New Roman" w:cs="Times New Roman"/>
          <w:sz w:val="24"/>
          <w:szCs w:val="24"/>
        </w:rPr>
        <w:t>. Dolayısıyla uluslararası yatırımcılar üretim, dağıtım ve satış faaliyetlerini planlarken temel olarak dünyadaki ülkeleri sahip oldukları</w:t>
      </w:r>
      <w:r w:rsidR="0042532B">
        <w:rPr>
          <w:rFonts w:ascii="Times New Roman" w:hAnsi="Times New Roman" w:cs="Times New Roman"/>
          <w:sz w:val="24"/>
          <w:szCs w:val="24"/>
        </w:rPr>
        <w:t xml:space="preserve"> nüfus yoğunluğu, stratejik </w:t>
      </w:r>
      <w:r w:rsidR="00906A89">
        <w:rPr>
          <w:rFonts w:ascii="Times New Roman" w:hAnsi="Times New Roman" w:cs="Times New Roman"/>
          <w:sz w:val="24"/>
          <w:szCs w:val="24"/>
        </w:rPr>
        <w:t xml:space="preserve">coğrafi </w:t>
      </w:r>
      <w:r w:rsidR="0042532B">
        <w:rPr>
          <w:rFonts w:ascii="Times New Roman" w:hAnsi="Times New Roman" w:cs="Times New Roman"/>
          <w:sz w:val="24"/>
          <w:szCs w:val="24"/>
        </w:rPr>
        <w:t>konumları</w:t>
      </w:r>
      <w:r w:rsidR="0042532B" w:rsidRPr="00776387">
        <w:rPr>
          <w:rFonts w:ascii="Times New Roman" w:hAnsi="Times New Roman" w:cs="Times New Roman"/>
          <w:sz w:val="24"/>
          <w:szCs w:val="24"/>
        </w:rPr>
        <w:t xml:space="preserve">, </w:t>
      </w:r>
      <w:r w:rsidR="0042532B">
        <w:rPr>
          <w:rFonts w:ascii="Times New Roman" w:hAnsi="Times New Roman" w:cs="Times New Roman"/>
          <w:sz w:val="24"/>
          <w:szCs w:val="24"/>
        </w:rPr>
        <w:t xml:space="preserve">genç </w:t>
      </w:r>
      <w:r w:rsidR="0042532B" w:rsidRPr="00776387">
        <w:rPr>
          <w:rFonts w:ascii="Times New Roman" w:hAnsi="Times New Roman" w:cs="Times New Roman"/>
          <w:sz w:val="24"/>
          <w:szCs w:val="24"/>
        </w:rPr>
        <w:t xml:space="preserve">işgücü </w:t>
      </w:r>
      <w:r w:rsidR="0042532B">
        <w:rPr>
          <w:rFonts w:ascii="Times New Roman" w:hAnsi="Times New Roman" w:cs="Times New Roman"/>
          <w:sz w:val="24"/>
          <w:szCs w:val="24"/>
        </w:rPr>
        <w:t>büyüklüğü</w:t>
      </w:r>
      <w:r w:rsidR="00906A89">
        <w:rPr>
          <w:rFonts w:ascii="Times New Roman" w:hAnsi="Times New Roman" w:cs="Times New Roman"/>
          <w:sz w:val="24"/>
          <w:szCs w:val="24"/>
        </w:rPr>
        <w:t>, finansal serbestleşme</w:t>
      </w:r>
      <w:r w:rsidR="0042532B">
        <w:rPr>
          <w:rFonts w:ascii="Times New Roman" w:hAnsi="Times New Roman" w:cs="Times New Roman"/>
          <w:sz w:val="24"/>
          <w:szCs w:val="24"/>
        </w:rPr>
        <w:t xml:space="preserve"> </w:t>
      </w:r>
      <w:r w:rsidR="00E50E35">
        <w:rPr>
          <w:rFonts w:ascii="Times New Roman" w:hAnsi="Times New Roman" w:cs="Times New Roman"/>
          <w:sz w:val="24"/>
          <w:szCs w:val="24"/>
        </w:rPr>
        <w:t xml:space="preserve">gibi pek çok </w:t>
      </w:r>
      <w:proofErr w:type="gramStart"/>
      <w:r w:rsidR="0042532B">
        <w:rPr>
          <w:rFonts w:ascii="Times New Roman" w:hAnsi="Times New Roman" w:cs="Times New Roman"/>
          <w:sz w:val="24"/>
          <w:szCs w:val="24"/>
        </w:rPr>
        <w:t>kritere</w:t>
      </w:r>
      <w:proofErr w:type="gramEnd"/>
      <w:r w:rsidR="0042532B">
        <w:rPr>
          <w:rFonts w:ascii="Times New Roman" w:hAnsi="Times New Roman" w:cs="Times New Roman"/>
          <w:sz w:val="24"/>
          <w:szCs w:val="24"/>
        </w:rPr>
        <w:t xml:space="preserve"> </w:t>
      </w:r>
      <w:r w:rsidR="0042532B" w:rsidRPr="00776387">
        <w:rPr>
          <w:rFonts w:ascii="Times New Roman" w:hAnsi="Times New Roman" w:cs="Times New Roman"/>
          <w:sz w:val="24"/>
          <w:szCs w:val="24"/>
        </w:rPr>
        <w:t xml:space="preserve">göre değerlendirmektedir. </w:t>
      </w:r>
      <w:r w:rsidR="0042532B">
        <w:rPr>
          <w:rFonts w:ascii="Times New Roman" w:hAnsi="Times New Roman" w:cs="Times New Roman"/>
          <w:sz w:val="24"/>
          <w:szCs w:val="24"/>
        </w:rPr>
        <w:t>Bu anlamda yükselen piyasa tanımlaması içine alına</w:t>
      </w:r>
      <w:r w:rsidR="00E50E35">
        <w:rPr>
          <w:rFonts w:ascii="Times New Roman" w:hAnsi="Times New Roman" w:cs="Times New Roman"/>
          <w:sz w:val="24"/>
          <w:szCs w:val="24"/>
        </w:rPr>
        <w:t>n</w:t>
      </w:r>
      <w:r w:rsidR="0042532B">
        <w:rPr>
          <w:rFonts w:ascii="Times New Roman" w:hAnsi="Times New Roman" w:cs="Times New Roman"/>
          <w:sz w:val="24"/>
          <w:szCs w:val="24"/>
        </w:rPr>
        <w:t xml:space="preserve"> bu özellikleri taşıyan ülkeler batılı uluslararası yatırımcılar için cazip fırsatlar sunmaktadır</w:t>
      </w:r>
      <w:r w:rsidR="0042532B">
        <w:rPr>
          <w:rFonts w:ascii="Times New Roman" w:hAnsi="Times New Roman" w:cs="Times New Roman"/>
          <w:sz w:val="24"/>
          <w:szCs w:val="24"/>
        </w:rPr>
        <w:fldChar w:fldCharType="begin" w:fldLock="1"/>
      </w:r>
      <w:r w:rsidR="00906A89">
        <w:rPr>
          <w:rFonts w:ascii="Times New Roman" w:hAnsi="Times New Roman" w:cs="Times New Roman"/>
          <w:sz w:val="24"/>
          <w:szCs w:val="24"/>
        </w:rPr>
        <w:instrText>ADDIN CSL_CITATION {"citationItems":[{"id":"ITEM-1","itemData":{"author":[{"dropping-particle":"","family":"Çavuşgil","given":"S.T.","non-dropping-particle":"","parse-names":false,"suffix":""}],"container-title":"Business Horizons","id":"ITEM-1","issue":"1","issued":{"date-parts":[["1997"]]},"page":"87-92","title":"Measuring the potential of emerging markets: An indexing approach","type":"article-journal","volume":"40"},"uris":["http://www.mendeley.com/documents/?uuid=215b7365-2183-4f4e-8bc1-c5efc6a9dcc0"]},{"id":"ITEM-2","itemData":{"author":[{"dropping-particle":"","family":"Yardımcıoğlu","given":"M.","non-dropping-particle":"","parse-names":false,"suffix":""}],"container-title":"Kahramanmaraş Sütçü İmam Üniversitesi İktisadi ve İdari Bilimler Fakültesi Dergisi","id":"ITEM-2","issue":"1","issued":{"date-parts":[["2014"]]},"page":"279-294","title":"Yükselen pi̇yasa ekonomi̇leri̇ ve i̇ş yapabi̇li̇rli̇k endeksi̇ karşilaştirmasi","type":"article-journal","volume":"4"},"uris":["http://www.mendeley.com/documents/?uuid=55fb6be0-9b35-40bb-8d2d-3da8a2984d82"]}],"mendeley":{"formattedCitation":"(Çavuşgil, 1997; Yardımcıoğlu, 2014)","manualFormatting":"(Çavuşgil, 1997; Yardımcıoğlu, 2014:","plainTextFormattedCitation":"(Çavuşgil, 1997; Yardımcıoğlu, 2014)","previouslyFormattedCitation":"(Çavuşgil, 1997; Yardımcıoğlu, 2014)"},"properties":{"noteIndex":0},"schema":"https://github.com/citation-style-language/schema/raw/master/csl-citation.json"}</w:instrText>
      </w:r>
      <w:r w:rsidR="0042532B">
        <w:rPr>
          <w:rFonts w:ascii="Times New Roman" w:hAnsi="Times New Roman" w:cs="Times New Roman"/>
          <w:sz w:val="24"/>
          <w:szCs w:val="24"/>
        </w:rPr>
        <w:fldChar w:fldCharType="separate"/>
      </w:r>
      <w:r w:rsidR="0042532B" w:rsidRPr="00864FD7">
        <w:rPr>
          <w:rFonts w:ascii="Times New Roman" w:hAnsi="Times New Roman" w:cs="Times New Roman"/>
          <w:noProof/>
          <w:sz w:val="24"/>
          <w:szCs w:val="24"/>
        </w:rPr>
        <w:t>(Çavuşgil, 1997; Yardımcıoğlu, 2014</w:t>
      </w:r>
      <w:r w:rsidR="00906A89">
        <w:rPr>
          <w:rFonts w:ascii="Times New Roman" w:hAnsi="Times New Roman" w:cs="Times New Roman"/>
          <w:noProof/>
          <w:sz w:val="24"/>
          <w:szCs w:val="24"/>
        </w:rPr>
        <w:t>:</w:t>
      </w:r>
      <w:r w:rsidR="0042532B">
        <w:rPr>
          <w:rFonts w:ascii="Times New Roman" w:hAnsi="Times New Roman" w:cs="Times New Roman"/>
          <w:sz w:val="24"/>
          <w:szCs w:val="24"/>
        </w:rPr>
        <w:fldChar w:fldCharType="end"/>
      </w:r>
      <w:r w:rsidR="00906A89">
        <w:rPr>
          <w:rFonts w:ascii="Times New Roman" w:hAnsi="Times New Roman" w:cs="Times New Roman"/>
          <w:sz w:val="24"/>
          <w:szCs w:val="24"/>
        </w:rPr>
        <w:fldChar w:fldCharType="begin" w:fldLock="1"/>
      </w:r>
      <w:r w:rsidR="00DC41A3">
        <w:rPr>
          <w:rFonts w:ascii="Times New Roman" w:hAnsi="Times New Roman" w:cs="Times New Roman"/>
          <w:sz w:val="24"/>
          <w:szCs w:val="24"/>
        </w:rPr>
        <w:instrText>ADDIN CSL_CITATION {"citationItems":[{"id":"ITEM-1","itemData":{"DOI":"10.24988/ije.202136214","ISSN":"1308-8173","author":[{"dropping-particle":"","family":"BULUT","given":"Ahsen Emir","non-dropping-particle":"","parse-names":false,"suffix":""},{"dropping-particle":"","family":"ACAR BALAYLAR","given":"Nilgün","non-dropping-particle":"","parse-names":false,"suffix":""}],"container-title":"İzmir İktisat Dergisi","id":"ITEM-1","issue":"2","issued":{"date-parts":[["2021"]]},"page":"461-477","title":"Finansal İstikrar ve Doğrudan Yabancı Yatırım İlişkisinin Gelişmekte Olan Ülkeler Perspektifinde Panel Veri ile Analizi","type":"article-journal","volume":"36"},"uris":["http://www.mendeley.com/documents/?uuid=fc7a6c09-9c27-4dfa-abe4-ee2600110f5b"]}],"mendeley":{"formattedCitation":"(BULUT ve ACAR BALAYLAR, 2021)","manualFormatting":"Bulut ve Balaylar, 2021)","plainTextFormattedCitation":"(BULUT ve ACAR BALAYLAR, 2021)","previouslyFormattedCitation":"(BULUT ve ACAR BALAYLAR, 2021)"},"properties":{"noteIndex":0},"schema":"https://github.com/citation-style-language/schema/raw/master/csl-citation.json"}</w:instrText>
      </w:r>
      <w:r w:rsidR="00906A89">
        <w:rPr>
          <w:rFonts w:ascii="Times New Roman" w:hAnsi="Times New Roman" w:cs="Times New Roman"/>
          <w:sz w:val="24"/>
          <w:szCs w:val="24"/>
        </w:rPr>
        <w:fldChar w:fldCharType="separate"/>
      </w:r>
      <w:r w:rsidR="00906A89" w:rsidRPr="00906A89">
        <w:rPr>
          <w:rFonts w:ascii="Times New Roman" w:hAnsi="Times New Roman" w:cs="Times New Roman"/>
          <w:noProof/>
          <w:sz w:val="24"/>
          <w:szCs w:val="24"/>
        </w:rPr>
        <w:t>B</w:t>
      </w:r>
      <w:r w:rsidR="00906A89">
        <w:rPr>
          <w:rFonts w:ascii="Times New Roman" w:hAnsi="Times New Roman" w:cs="Times New Roman"/>
          <w:noProof/>
          <w:sz w:val="24"/>
          <w:szCs w:val="24"/>
        </w:rPr>
        <w:t xml:space="preserve">ulut ve Balaylar, </w:t>
      </w:r>
      <w:r w:rsidR="00906A89" w:rsidRPr="00906A89">
        <w:rPr>
          <w:rFonts w:ascii="Times New Roman" w:hAnsi="Times New Roman" w:cs="Times New Roman"/>
          <w:noProof/>
          <w:sz w:val="24"/>
          <w:szCs w:val="24"/>
        </w:rPr>
        <w:t>2021)</w:t>
      </w:r>
      <w:r w:rsidR="00906A89">
        <w:rPr>
          <w:rFonts w:ascii="Times New Roman" w:hAnsi="Times New Roman" w:cs="Times New Roman"/>
          <w:sz w:val="24"/>
          <w:szCs w:val="24"/>
        </w:rPr>
        <w:fldChar w:fldCharType="end"/>
      </w:r>
      <w:r w:rsidR="0042532B">
        <w:rPr>
          <w:rFonts w:ascii="Times New Roman" w:hAnsi="Times New Roman" w:cs="Times New Roman"/>
          <w:sz w:val="24"/>
          <w:szCs w:val="24"/>
        </w:rPr>
        <w:t xml:space="preserve">. </w:t>
      </w:r>
      <w:r w:rsidR="0044284E">
        <w:rPr>
          <w:rFonts w:ascii="Times New Roman" w:hAnsi="Times New Roman" w:cs="Times New Roman"/>
          <w:sz w:val="24"/>
          <w:szCs w:val="24"/>
        </w:rPr>
        <w:t xml:space="preserve">Uluslararası yatırımcıların </w:t>
      </w:r>
      <w:r w:rsidR="0042532B">
        <w:rPr>
          <w:rFonts w:ascii="Times New Roman" w:hAnsi="Times New Roman" w:cs="Times New Roman"/>
          <w:sz w:val="24"/>
          <w:szCs w:val="24"/>
        </w:rPr>
        <w:t xml:space="preserve">hem kaynak hem </w:t>
      </w:r>
      <w:r w:rsidR="0042532B" w:rsidRPr="00776387">
        <w:rPr>
          <w:rFonts w:ascii="Times New Roman" w:hAnsi="Times New Roman" w:cs="Times New Roman"/>
          <w:sz w:val="24"/>
          <w:szCs w:val="24"/>
        </w:rPr>
        <w:t>pazar</w:t>
      </w:r>
      <w:r w:rsidR="0042532B">
        <w:rPr>
          <w:rFonts w:ascii="Times New Roman" w:hAnsi="Times New Roman" w:cs="Times New Roman"/>
          <w:sz w:val="24"/>
          <w:szCs w:val="24"/>
        </w:rPr>
        <w:t xml:space="preserve"> fırsatını birlikte sunan </w:t>
      </w:r>
      <w:r w:rsidR="0042532B" w:rsidRPr="00776387">
        <w:rPr>
          <w:rFonts w:ascii="Times New Roman" w:hAnsi="Times New Roman" w:cs="Times New Roman"/>
          <w:sz w:val="24"/>
          <w:szCs w:val="24"/>
        </w:rPr>
        <w:t xml:space="preserve">bir üretim </w:t>
      </w:r>
      <w:r w:rsidR="0098245D">
        <w:rPr>
          <w:rFonts w:ascii="Times New Roman" w:hAnsi="Times New Roman" w:cs="Times New Roman"/>
          <w:sz w:val="24"/>
          <w:szCs w:val="24"/>
        </w:rPr>
        <w:t xml:space="preserve">yeri </w:t>
      </w:r>
      <w:r w:rsidR="0042532B" w:rsidRPr="00776387">
        <w:rPr>
          <w:rFonts w:ascii="Times New Roman" w:hAnsi="Times New Roman" w:cs="Times New Roman"/>
          <w:sz w:val="24"/>
          <w:szCs w:val="24"/>
        </w:rPr>
        <w:t xml:space="preserve">planlaması yaptıkları görülmektedir. Uluslararası yatırımcılar pek çok </w:t>
      </w:r>
      <w:proofErr w:type="gramStart"/>
      <w:r w:rsidR="0042532B" w:rsidRPr="00776387">
        <w:rPr>
          <w:rFonts w:ascii="Times New Roman" w:hAnsi="Times New Roman" w:cs="Times New Roman"/>
          <w:sz w:val="24"/>
          <w:szCs w:val="24"/>
        </w:rPr>
        <w:t>kriteri</w:t>
      </w:r>
      <w:proofErr w:type="gramEnd"/>
      <w:r w:rsidR="0042532B" w:rsidRPr="00776387">
        <w:rPr>
          <w:rFonts w:ascii="Times New Roman" w:hAnsi="Times New Roman" w:cs="Times New Roman"/>
          <w:sz w:val="24"/>
          <w:szCs w:val="24"/>
        </w:rPr>
        <w:t xml:space="preserve"> dikkate almakla birlikte, üretim merkezi ve satış-dağıtım yeri seçiminde stratejik merkez düşüncesin</w:t>
      </w:r>
      <w:r w:rsidR="0044284E">
        <w:rPr>
          <w:rFonts w:ascii="Times New Roman" w:hAnsi="Times New Roman" w:cs="Times New Roman"/>
          <w:sz w:val="24"/>
          <w:szCs w:val="24"/>
        </w:rPr>
        <w:t xml:space="preserve">den hareketle dünya ekonomisinde önemli bir </w:t>
      </w:r>
      <w:r w:rsidR="0042532B" w:rsidRPr="00776387">
        <w:rPr>
          <w:rFonts w:ascii="Times New Roman" w:hAnsi="Times New Roman" w:cs="Times New Roman"/>
          <w:sz w:val="24"/>
          <w:szCs w:val="24"/>
        </w:rPr>
        <w:t xml:space="preserve">üretim ve pazar </w:t>
      </w:r>
      <w:r w:rsidR="0044284E">
        <w:rPr>
          <w:rFonts w:ascii="Times New Roman" w:hAnsi="Times New Roman" w:cs="Times New Roman"/>
          <w:sz w:val="24"/>
          <w:szCs w:val="24"/>
        </w:rPr>
        <w:t xml:space="preserve">merkezi </w:t>
      </w:r>
      <w:r w:rsidR="0042532B" w:rsidRPr="00776387">
        <w:rPr>
          <w:rFonts w:ascii="Times New Roman" w:hAnsi="Times New Roman" w:cs="Times New Roman"/>
          <w:sz w:val="24"/>
          <w:szCs w:val="24"/>
        </w:rPr>
        <w:t xml:space="preserve">oluşturan Avrupa ve Orta Asya ülkeleri bu çalışmanın araştırma </w:t>
      </w:r>
      <w:r w:rsidR="00CF2CBF">
        <w:rPr>
          <w:rFonts w:ascii="Times New Roman" w:hAnsi="Times New Roman" w:cs="Times New Roman"/>
          <w:sz w:val="24"/>
          <w:szCs w:val="24"/>
        </w:rPr>
        <w:t xml:space="preserve">konusu </w:t>
      </w:r>
      <w:r w:rsidR="0042532B" w:rsidRPr="00776387">
        <w:rPr>
          <w:rFonts w:ascii="Times New Roman" w:hAnsi="Times New Roman" w:cs="Times New Roman"/>
          <w:sz w:val="24"/>
          <w:szCs w:val="24"/>
        </w:rPr>
        <w:t xml:space="preserve">olarak belirlenmiştir. </w:t>
      </w:r>
    </w:p>
    <w:p w:rsidR="0098245D" w:rsidRDefault="002E3159" w:rsidP="0042532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Uluslararası</w:t>
      </w:r>
      <w:r w:rsidR="0098245D">
        <w:rPr>
          <w:rFonts w:ascii="Times New Roman" w:hAnsi="Times New Roman" w:cs="Times New Roman"/>
          <w:sz w:val="24"/>
          <w:szCs w:val="24"/>
        </w:rPr>
        <w:t xml:space="preserve"> yatırımlar için </w:t>
      </w:r>
      <w:r w:rsidR="00CF2CBF">
        <w:rPr>
          <w:rFonts w:ascii="Times New Roman" w:hAnsi="Times New Roman" w:cs="Times New Roman"/>
          <w:sz w:val="24"/>
          <w:szCs w:val="24"/>
        </w:rPr>
        <w:t>stratejik merkez yaklaşımı dışında</w:t>
      </w:r>
      <w:r>
        <w:rPr>
          <w:rFonts w:ascii="Times New Roman" w:hAnsi="Times New Roman" w:cs="Times New Roman"/>
          <w:sz w:val="24"/>
          <w:szCs w:val="24"/>
        </w:rPr>
        <w:t xml:space="preserve">, </w:t>
      </w:r>
      <w:r w:rsidR="00CF2CBF">
        <w:rPr>
          <w:rFonts w:ascii="Times New Roman" w:hAnsi="Times New Roman" w:cs="Times New Roman"/>
          <w:sz w:val="24"/>
          <w:szCs w:val="24"/>
        </w:rPr>
        <w:t xml:space="preserve">ulaşım, altyapı, yatırım süreçlerinin bürokratik işleyişleri, hukuk sistemi ve işleyişi, </w:t>
      </w:r>
      <w:r w:rsidR="00561F30">
        <w:rPr>
          <w:rFonts w:ascii="Times New Roman" w:hAnsi="Times New Roman" w:cs="Times New Roman"/>
          <w:sz w:val="24"/>
          <w:szCs w:val="24"/>
        </w:rPr>
        <w:t>dış ticaret imkanları</w:t>
      </w:r>
      <w:r w:rsidR="00F841C8">
        <w:rPr>
          <w:rFonts w:ascii="Times New Roman" w:hAnsi="Times New Roman" w:cs="Times New Roman"/>
          <w:sz w:val="24"/>
          <w:szCs w:val="24"/>
        </w:rPr>
        <w:t>, finansal si</w:t>
      </w:r>
      <w:r w:rsidR="005E0433">
        <w:rPr>
          <w:rFonts w:ascii="Times New Roman" w:hAnsi="Times New Roman" w:cs="Times New Roman"/>
          <w:sz w:val="24"/>
          <w:szCs w:val="24"/>
        </w:rPr>
        <w:t>s</w:t>
      </w:r>
      <w:r w:rsidR="00F841C8">
        <w:rPr>
          <w:rFonts w:ascii="Times New Roman" w:hAnsi="Times New Roman" w:cs="Times New Roman"/>
          <w:sz w:val="24"/>
          <w:szCs w:val="24"/>
        </w:rPr>
        <w:t>tem ve işleyişi</w:t>
      </w:r>
      <w:r w:rsidR="00561F30">
        <w:rPr>
          <w:rFonts w:ascii="Times New Roman" w:hAnsi="Times New Roman" w:cs="Times New Roman"/>
          <w:sz w:val="24"/>
          <w:szCs w:val="24"/>
        </w:rPr>
        <w:t xml:space="preserve"> gibi pek </w:t>
      </w:r>
      <w:proofErr w:type="gramStart"/>
      <w:r>
        <w:rPr>
          <w:rFonts w:ascii="Times New Roman" w:hAnsi="Times New Roman" w:cs="Times New Roman"/>
          <w:sz w:val="24"/>
          <w:szCs w:val="24"/>
        </w:rPr>
        <w:t>çok  kriterin</w:t>
      </w:r>
      <w:proofErr w:type="gramEnd"/>
      <w:r>
        <w:rPr>
          <w:rFonts w:ascii="Times New Roman" w:hAnsi="Times New Roman" w:cs="Times New Roman"/>
          <w:sz w:val="24"/>
          <w:szCs w:val="24"/>
        </w:rPr>
        <w:t xml:space="preserve"> önemli olduğu görülmektedir.</w:t>
      </w:r>
      <w:r w:rsidR="00611F60">
        <w:rPr>
          <w:rFonts w:ascii="Times New Roman" w:hAnsi="Times New Roman" w:cs="Times New Roman"/>
          <w:sz w:val="24"/>
          <w:szCs w:val="24"/>
        </w:rPr>
        <w:t xml:space="preserve"> Yatırım yapılan ülkede</w:t>
      </w:r>
      <w:r w:rsidR="00F841C8">
        <w:rPr>
          <w:rFonts w:ascii="Times New Roman" w:hAnsi="Times New Roman" w:cs="Times New Roman"/>
          <w:sz w:val="24"/>
          <w:szCs w:val="24"/>
        </w:rPr>
        <w:t xml:space="preserve"> dikkate alınan </w:t>
      </w:r>
      <w:proofErr w:type="gramStart"/>
      <w:r w:rsidR="00611F60">
        <w:rPr>
          <w:rFonts w:ascii="Times New Roman" w:hAnsi="Times New Roman" w:cs="Times New Roman"/>
          <w:sz w:val="24"/>
          <w:szCs w:val="24"/>
        </w:rPr>
        <w:t>kriter</w:t>
      </w:r>
      <w:r w:rsidR="005E0433">
        <w:rPr>
          <w:rFonts w:ascii="Times New Roman" w:hAnsi="Times New Roman" w:cs="Times New Roman"/>
          <w:sz w:val="24"/>
          <w:szCs w:val="24"/>
        </w:rPr>
        <w:t>ler</w:t>
      </w:r>
      <w:proofErr w:type="gramEnd"/>
      <w:r w:rsidR="005E0433">
        <w:rPr>
          <w:rFonts w:ascii="Times New Roman" w:hAnsi="Times New Roman" w:cs="Times New Roman"/>
          <w:sz w:val="24"/>
          <w:szCs w:val="24"/>
        </w:rPr>
        <w:t>,</w:t>
      </w:r>
      <w:r w:rsidR="00611F60">
        <w:rPr>
          <w:rFonts w:ascii="Times New Roman" w:hAnsi="Times New Roman" w:cs="Times New Roman"/>
          <w:sz w:val="24"/>
          <w:szCs w:val="24"/>
        </w:rPr>
        <w:t xml:space="preserve"> </w:t>
      </w:r>
      <w:r w:rsidR="00142BE6">
        <w:rPr>
          <w:rFonts w:ascii="Times New Roman" w:hAnsi="Times New Roman" w:cs="Times New Roman"/>
          <w:sz w:val="24"/>
          <w:szCs w:val="24"/>
        </w:rPr>
        <w:t>uluslararası yatırımcılar</w:t>
      </w:r>
      <w:r w:rsidR="00561F30">
        <w:rPr>
          <w:rFonts w:ascii="Times New Roman" w:hAnsi="Times New Roman" w:cs="Times New Roman"/>
          <w:sz w:val="24"/>
          <w:szCs w:val="24"/>
        </w:rPr>
        <w:t xml:space="preserve">ın güvenli ve karlı bir yatırımın temelini oluşturması nedeniyle önemlidir. </w:t>
      </w:r>
      <w:r w:rsidR="00142BE6">
        <w:rPr>
          <w:rFonts w:ascii="Times New Roman" w:hAnsi="Times New Roman" w:cs="Times New Roman"/>
          <w:sz w:val="24"/>
          <w:szCs w:val="24"/>
        </w:rPr>
        <w:t xml:space="preserve">Bu kapsamda dünya bankası 12 başlık altında geniş bir </w:t>
      </w:r>
      <w:proofErr w:type="gramStart"/>
      <w:r w:rsidR="00142BE6">
        <w:rPr>
          <w:rFonts w:ascii="Times New Roman" w:hAnsi="Times New Roman" w:cs="Times New Roman"/>
          <w:sz w:val="24"/>
          <w:szCs w:val="24"/>
        </w:rPr>
        <w:t>kriter</w:t>
      </w:r>
      <w:proofErr w:type="gramEnd"/>
      <w:r w:rsidR="00142BE6">
        <w:rPr>
          <w:rFonts w:ascii="Times New Roman" w:hAnsi="Times New Roman" w:cs="Times New Roman"/>
          <w:sz w:val="24"/>
          <w:szCs w:val="24"/>
        </w:rPr>
        <w:t xml:space="preserve"> seti ile ülkeleri değerlendirmektedir. </w:t>
      </w:r>
      <w:r w:rsidR="006559DC">
        <w:rPr>
          <w:rFonts w:ascii="Times New Roman" w:hAnsi="Times New Roman" w:cs="Times New Roman"/>
          <w:sz w:val="24"/>
          <w:szCs w:val="24"/>
        </w:rPr>
        <w:t xml:space="preserve">Bu </w:t>
      </w:r>
      <w:proofErr w:type="gramStart"/>
      <w:r w:rsidR="006559DC">
        <w:rPr>
          <w:rFonts w:ascii="Times New Roman" w:hAnsi="Times New Roman" w:cs="Times New Roman"/>
          <w:sz w:val="24"/>
          <w:szCs w:val="24"/>
        </w:rPr>
        <w:t>kriterler</w:t>
      </w:r>
      <w:proofErr w:type="gramEnd"/>
      <w:r w:rsidR="006559DC">
        <w:rPr>
          <w:rFonts w:ascii="Times New Roman" w:hAnsi="Times New Roman" w:cs="Times New Roman"/>
          <w:sz w:val="24"/>
          <w:szCs w:val="24"/>
        </w:rPr>
        <w:t xml:space="preserve"> Tablo 1.’de </w:t>
      </w:r>
      <w:r w:rsidR="00142BE6">
        <w:rPr>
          <w:rFonts w:ascii="Times New Roman" w:hAnsi="Times New Roman" w:cs="Times New Roman"/>
          <w:sz w:val="24"/>
          <w:szCs w:val="24"/>
        </w:rPr>
        <w:t xml:space="preserve">verilmiştir. </w:t>
      </w:r>
    </w:p>
    <w:p w:rsidR="00DC41A3" w:rsidRDefault="00DC41A3" w:rsidP="0042532B">
      <w:pPr>
        <w:spacing w:after="120" w:line="240" w:lineRule="auto"/>
        <w:ind w:firstLine="708"/>
        <w:jc w:val="both"/>
        <w:rPr>
          <w:rFonts w:ascii="Times New Roman" w:hAnsi="Times New Roman" w:cs="Times New Roman"/>
          <w:sz w:val="24"/>
          <w:szCs w:val="24"/>
        </w:rPr>
      </w:pPr>
    </w:p>
    <w:p w:rsidR="0098245D" w:rsidRPr="008F7D41" w:rsidRDefault="006559DC" w:rsidP="000956FA">
      <w:pPr>
        <w:spacing w:after="120" w:line="240" w:lineRule="auto"/>
        <w:ind w:firstLine="708"/>
        <w:jc w:val="center"/>
        <w:rPr>
          <w:rFonts w:ascii="Times New Roman" w:hAnsi="Times New Roman" w:cs="Times New Roman"/>
          <w:b/>
          <w:sz w:val="24"/>
          <w:szCs w:val="24"/>
        </w:rPr>
      </w:pPr>
      <w:r w:rsidRPr="008F7D41">
        <w:rPr>
          <w:rFonts w:ascii="Times New Roman" w:hAnsi="Times New Roman" w:cs="Times New Roman"/>
          <w:b/>
          <w:sz w:val="24"/>
          <w:szCs w:val="24"/>
        </w:rPr>
        <w:t xml:space="preserve">Tablo 1. İş Yapma Kolaylığı endeksi kapsamındaki </w:t>
      </w:r>
      <w:proofErr w:type="gramStart"/>
      <w:r w:rsidRPr="008F7D41">
        <w:rPr>
          <w:rFonts w:ascii="Times New Roman" w:hAnsi="Times New Roman" w:cs="Times New Roman"/>
          <w:b/>
          <w:sz w:val="24"/>
          <w:szCs w:val="24"/>
        </w:rPr>
        <w:t>kriterler</w:t>
      </w:r>
      <w:proofErr w:type="gramEnd"/>
    </w:p>
    <w:tbl>
      <w:tblPr>
        <w:tblStyle w:val="DzTablo2"/>
        <w:tblW w:w="9046" w:type="dxa"/>
        <w:tblLook w:val="04A0" w:firstRow="1" w:lastRow="0" w:firstColumn="1" w:lastColumn="0" w:noHBand="0" w:noVBand="1"/>
      </w:tblPr>
      <w:tblGrid>
        <w:gridCol w:w="2373"/>
        <w:gridCol w:w="6673"/>
      </w:tblGrid>
      <w:tr w:rsidR="000615F4" w:rsidRPr="00B50308" w:rsidTr="00F1117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373" w:type="dxa"/>
          </w:tcPr>
          <w:p w:rsidR="000615F4" w:rsidRPr="00F1117A" w:rsidRDefault="000615F4" w:rsidP="00761AF9">
            <w:pPr>
              <w:spacing w:after="120"/>
              <w:rPr>
                <w:rFonts w:ascii="Times New Roman" w:hAnsi="Times New Roman" w:cs="Times New Roman"/>
                <w:sz w:val="20"/>
                <w:szCs w:val="20"/>
              </w:rPr>
            </w:pPr>
            <w:r w:rsidRPr="00F1117A">
              <w:rPr>
                <w:rFonts w:ascii="Times New Roman" w:hAnsi="Times New Roman" w:cs="Times New Roman"/>
                <w:sz w:val="20"/>
                <w:szCs w:val="20"/>
              </w:rPr>
              <w:t>Kriterler</w:t>
            </w:r>
          </w:p>
        </w:tc>
        <w:tc>
          <w:tcPr>
            <w:tcW w:w="6673" w:type="dxa"/>
          </w:tcPr>
          <w:p w:rsidR="000615F4" w:rsidRPr="00F1117A" w:rsidRDefault="000615F4" w:rsidP="00761AF9">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1117A">
              <w:rPr>
                <w:rFonts w:ascii="Times New Roman" w:hAnsi="Times New Roman" w:cs="Times New Roman"/>
                <w:sz w:val="20"/>
                <w:szCs w:val="20"/>
              </w:rPr>
              <w:t>Açıklama</w:t>
            </w:r>
          </w:p>
        </w:tc>
      </w:tr>
      <w:tr w:rsidR="000615F4" w:rsidRPr="00B50308" w:rsidTr="00F1117A">
        <w:trPr>
          <w:cnfStyle w:val="000000100000" w:firstRow="0" w:lastRow="0" w:firstColumn="0" w:lastColumn="0" w:oddVBand="0" w:evenVBand="0" w:oddHBand="1"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0615F4" w:rsidP="00761AF9">
            <w:pPr>
              <w:spacing w:after="120"/>
              <w:rPr>
                <w:rFonts w:ascii="Times New Roman" w:hAnsi="Times New Roman" w:cs="Times New Roman"/>
                <w:sz w:val="20"/>
                <w:szCs w:val="20"/>
              </w:rPr>
            </w:pPr>
            <w:r w:rsidRPr="00B50308">
              <w:rPr>
                <w:rFonts w:ascii="Times New Roman" w:hAnsi="Times New Roman" w:cs="Times New Roman"/>
                <w:sz w:val="20"/>
                <w:szCs w:val="20"/>
              </w:rPr>
              <w:t xml:space="preserve">İşe başlama </w:t>
            </w:r>
            <w:r w:rsidR="00AF3DFC" w:rsidRPr="00B50308">
              <w:rPr>
                <w:rFonts w:ascii="Times New Roman" w:hAnsi="Times New Roman" w:cs="Times New Roman"/>
                <w:sz w:val="20"/>
                <w:szCs w:val="20"/>
              </w:rPr>
              <w:t>işlemleri</w:t>
            </w:r>
          </w:p>
        </w:tc>
        <w:tc>
          <w:tcPr>
            <w:tcW w:w="6673" w:type="dxa"/>
          </w:tcPr>
          <w:p w:rsidR="000615F4" w:rsidRPr="00B50308" w:rsidRDefault="000615F4" w:rsidP="00761AF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0308">
              <w:rPr>
                <w:rFonts w:ascii="Times New Roman" w:hAnsi="Times New Roman" w:cs="Times New Roman"/>
                <w:sz w:val="20"/>
                <w:szCs w:val="20"/>
              </w:rPr>
              <w:t>Kadın ve Erkeklerin Limited Şirket kurarak bir işe başlaması için gerekli minimum sermaye, iş</w:t>
            </w:r>
            <w:r w:rsidR="00975341" w:rsidRPr="00B50308">
              <w:rPr>
                <w:rFonts w:ascii="Times New Roman" w:hAnsi="Times New Roman" w:cs="Times New Roman"/>
                <w:sz w:val="20"/>
                <w:szCs w:val="20"/>
              </w:rPr>
              <w:t>lemler</w:t>
            </w:r>
            <w:r w:rsidRPr="00B50308">
              <w:rPr>
                <w:rFonts w:ascii="Times New Roman" w:hAnsi="Times New Roman" w:cs="Times New Roman"/>
                <w:sz w:val="20"/>
                <w:szCs w:val="20"/>
              </w:rPr>
              <w:t>, zaman, maliyet</w:t>
            </w:r>
            <w:r w:rsidR="00975341" w:rsidRPr="00B50308">
              <w:rPr>
                <w:rFonts w:ascii="Times New Roman" w:hAnsi="Times New Roman" w:cs="Times New Roman"/>
                <w:sz w:val="20"/>
                <w:szCs w:val="20"/>
              </w:rPr>
              <w:t>ler.</w:t>
            </w:r>
          </w:p>
        </w:tc>
      </w:tr>
      <w:tr w:rsidR="000615F4" w:rsidRPr="00B50308" w:rsidTr="00F1117A">
        <w:trPr>
          <w:trHeight w:val="422"/>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AF3DFC" w:rsidP="00761AF9">
            <w:pPr>
              <w:spacing w:after="120"/>
              <w:rPr>
                <w:rFonts w:ascii="Times New Roman" w:hAnsi="Times New Roman" w:cs="Times New Roman"/>
                <w:sz w:val="20"/>
                <w:szCs w:val="20"/>
              </w:rPr>
            </w:pPr>
            <w:r w:rsidRPr="00B50308">
              <w:rPr>
                <w:rFonts w:ascii="Times New Roman" w:hAnsi="Times New Roman" w:cs="Times New Roman"/>
                <w:sz w:val="20"/>
                <w:szCs w:val="20"/>
              </w:rPr>
              <w:t xml:space="preserve">İnşaat izinlerinin alınması </w:t>
            </w:r>
          </w:p>
        </w:tc>
        <w:tc>
          <w:tcPr>
            <w:tcW w:w="6673" w:type="dxa"/>
          </w:tcPr>
          <w:p w:rsidR="000615F4" w:rsidRPr="00B50308" w:rsidRDefault="00975341" w:rsidP="0048497C">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0308">
              <w:rPr>
                <w:rFonts w:ascii="Times New Roman" w:hAnsi="Times New Roman" w:cs="Times New Roman"/>
                <w:sz w:val="20"/>
                <w:szCs w:val="20"/>
              </w:rPr>
              <w:t xml:space="preserve">Bir depo inşa etmek için </w:t>
            </w:r>
            <w:r w:rsidR="0048497C" w:rsidRPr="00B50308">
              <w:rPr>
                <w:rFonts w:ascii="Times New Roman" w:hAnsi="Times New Roman" w:cs="Times New Roman"/>
                <w:sz w:val="20"/>
                <w:szCs w:val="20"/>
              </w:rPr>
              <w:t xml:space="preserve">gerekli işlemler, </w:t>
            </w:r>
            <w:r w:rsidRPr="00B50308">
              <w:rPr>
                <w:rFonts w:ascii="Times New Roman" w:hAnsi="Times New Roman" w:cs="Times New Roman"/>
                <w:sz w:val="20"/>
                <w:szCs w:val="20"/>
              </w:rPr>
              <w:t>zaman ve maliyet ile inşaat izin sistemindeki kalite kontrol ve güvenlik mekanizmaları</w:t>
            </w:r>
          </w:p>
        </w:tc>
      </w:tr>
      <w:tr w:rsidR="000615F4" w:rsidRPr="00B50308" w:rsidTr="00F1117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761AF9" w:rsidP="00761AF9">
            <w:pPr>
              <w:spacing w:after="120"/>
              <w:rPr>
                <w:rFonts w:ascii="Times New Roman" w:hAnsi="Times New Roman" w:cs="Times New Roman"/>
                <w:sz w:val="20"/>
                <w:szCs w:val="20"/>
              </w:rPr>
            </w:pPr>
            <w:r w:rsidRPr="00B50308">
              <w:rPr>
                <w:rFonts w:ascii="Times New Roman" w:hAnsi="Times New Roman" w:cs="Times New Roman"/>
                <w:sz w:val="20"/>
                <w:szCs w:val="20"/>
              </w:rPr>
              <w:t>Elektrik bağlatma</w:t>
            </w:r>
          </w:p>
        </w:tc>
        <w:tc>
          <w:tcPr>
            <w:tcW w:w="6673" w:type="dxa"/>
          </w:tcPr>
          <w:p w:rsidR="000615F4" w:rsidRPr="00B50308" w:rsidRDefault="00761AF9" w:rsidP="0048497C">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0308">
              <w:rPr>
                <w:rFonts w:ascii="Times New Roman" w:hAnsi="Times New Roman" w:cs="Times New Roman"/>
                <w:sz w:val="20"/>
                <w:szCs w:val="20"/>
              </w:rPr>
              <w:t xml:space="preserve">Elektrik bağlatmak için yapılan işlemler, </w:t>
            </w:r>
            <w:r w:rsidR="0048497C" w:rsidRPr="00B50308">
              <w:rPr>
                <w:rFonts w:ascii="Times New Roman" w:hAnsi="Times New Roman" w:cs="Times New Roman"/>
                <w:sz w:val="20"/>
                <w:szCs w:val="20"/>
              </w:rPr>
              <w:t>zaman ve maliyet; E</w:t>
            </w:r>
            <w:r w:rsidRPr="00B50308">
              <w:rPr>
                <w:rFonts w:ascii="Times New Roman" w:hAnsi="Times New Roman" w:cs="Times New Roman"/>
                <w:sz w:val="20"/>
                <w:szCs w:val="20"/>
              </w:rPr>
              <w:t>lektrik arzının güvenilirliği</w:t>
            </w:r>
            <w:r w:rsidR="0048497C" w:rsidRPr="00B50308">
              <w:rPr>
                <w:rFonts w:ascii="Times New Roman" w:hAnsi="Times New Roman" w:cs="Times New Roman"/>
                <w:sz w:val="20"/>
                <w:szCs w:val="20"/>
              </w:rPr>
              <w:t xml:space="preserve">, </w:t>
            </w:r>
            <w:r w:rsidRPr="00B50308">
              <w:rPr>
                <w:rFonts w:ascii="Times New Roman" w:hAnsi="Times New Roman" w:cs="Times New Roman"/>
                <w:sz w:val="20"/>
                <w:szCs w:val="20"/>
              </w:rPr>
              <w:t>tarifelerin şeffaflığı</w:t>
            </w:r>
            <w:r w:rsidR="0048497C" w:rsidRPr="00B50308">
              <w:rPr>
                <w:rFonts w:ascii="Times New Roman" w:hAnsi="Times New Roman" w:cs="Times New Roman"/>
                <w:sz w:val="20"/>
                <w:szCs w:val="20"/>
              </w:rPr>
              <w:t>.</w:t>
            </w:r>
          </w:p>
        </w:tc>
      </w:tr>
      <w:tr w:rsidR="000615F4" w:rsidRPr="00B50308" w:rsidTr="00F1117A">
        <w:trPr>
          <w:trHeight w:val="422"/>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B50308" w:rsidP="00761AF9">
            <w:pPr>
              <w:spacing w:after="120"/>
              <w:rPr>
                <w:rFonts w:ascii="Times New Roman" w:hAnsi="Times New Roman" w:cs="Times New Roman"/>
                <w:sz w:val="20"/>
                <w:szCs w:val="20"/>
              </w:rPr>
            </w:pPr>
            <w:r w:rsidRPr="00B50308">
              <w:rPr>
                <w:rFonts w:ascii="Times New Roman" w:hAnsi="Times New Roman" w:cs="Times New Roman"/>
                <w:sz w:val="20"/>
                <w:szCs w:val="20"/>
              </w:rPr>
              <w:t>Mülkiyetin kaydı</w:t>
            </w:r>
          </w:p>
        </w:tc>
        <w:tc>
          <w:tcPr>
            <w:tcW w:w="6673" w:type="dxa"/>
          </w:tcPr>
          <w:p w:rsidR="000615F4" w:rsidRPr="00B50308" w:rsidRDefault="00112EAB" w:rsidP="00B50308">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50308">
              <w:rPr>
                <w:rFonts w:ascii="Times New Roman" w:hAnsi="Times New Roman" w:cs="Times New Roman"/>
                <w:sz w:val="20"/>
                <w:szCs w:val="20"/>
              </w:rPr>
              <w:t>Bir mülkün devri için</w:t>
            </w:r>
            <w:r w:rsidR="00B50308" w:rsidRPr="00B50308">
              <w:rPr>
                <w:rFonts w:ascii="Times New Roman" w:hAnsi="Times New Roman" w:cs="Times New Roman"/>
                <w:sz w:val="20"/>
                <w:szCs w:val="20"/>
              </w:rPr>
              <w:t xml:space="preserve"> gerekli işlem</w:t>
            </w:r>
            <w:r w:rsidRPr="00B50308">
              <w:rPr>
                <w:rFonts w:ascii="Times New Roman" w:hAnsi="Times New Roman" w:cs="Times New Roman"/>
                <w:sz w:val="20"/>
                <w:szCs w:val="20"/>
              </w:rPr>
              <w:t xml:space="preserve">ler, zaman ve maliyet ile </w:t>
            </w:r>
            <w:r w:rsidR="00B50308" w:rsidRPr="00B50308">
              <w:rPr>
                <w:rFonts w:ascii="Times New Roman" w:hAnsi="Times New Roman" w:cs="Times New Roman"/>
                <w:sz w:val="20"/>
                <w:szCs w:val="20"/>
              </w:rPr>
              <w:t xml:space="preserve">Tapu sicil </w:t>
            </w:r>
            <w:r w:rsidRPr="00B50308">
              <w:rPr>
                <w:rFonts w:ascii="Times New Roman" w:hAnsi="Times New Roman" w:cs="Times New Roman"/>
                <w:sz w:val="20"/>
                <w:szCs w:val="20"/>
              </w:rPr>
              <w:t>yönetim sisteminin kalitesi</w:t>
            </w:r>
            <w:r w:rsidR="00B50308" w:rsidRPr="00B50308">
              <w:rPr>
                <w:rFonts w:ascii="Times New Roman" w:hAnsi="Times New Roman" w:cs="Times New Roman"/>
                <w:sz w:val="20"/>
                <w:szCs w:val="20"/>
              </w:rPr>
              <w:t>.</w:t>
            </w:r>
          </w:p>
        </w:tc>
      </w:tr>
      <w:tr w:rsidR="000615F4" w:rsidRPr="00B50308" w:rsidTr="00F1117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B50308" w:rsidP="00761AF9">
            <w:pPr>
              <w:spacing w:after="120"/>
              <w:rPr>
                <w:rFonts w:ascii="Times New Roman" w:hAnsi="Times New Roman" w:cs="Times New Roman"/>
                <w:sz w:val="20"/>
                <w:szCs w:val="20"/>
              </w:rPr>
            </w:pPr>
            <w:r>
              <w:rPr>
                <w:rFonts w:ascii="Times New Roman" w:hAnsi="Times New Roman" w:cs="Times New Roman"/>
                <w:sz w:val="20"/>
                <w:szCs w:val="20"/>
              </w:rPr>
              <w:t>Kredi alma</w:t>
            </w:r>
          </w:p>
        </w:tc>
        <w:tc>
          <w:tcPr>
            <w:tcW w:w="6673" w:type="dxa"/>
          </w:tcPr>
          <w:p w:rsidR="000615F4" w:rsidRPr="00B50308" w:rsidRDefault="000821B1" w:rsidP="00761AF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Teminat hukuku ve kredi sistemleri</w:t>
            </w:r>
          </w:p>
        </w:tc>
      </w:tr>
      <w:tr w:rsidR="000615F4" w:rsidRPr="00B50308" w:rsidTr="00F1117A">
        <w:trPr>
          <w:trHeight w:val="422"/>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9B17A1" w:rsidP="009B17A1">
            <w:pPr>
              <w:spacing w:after="120"/>
              <w:rPr>
                <w:rFonts w:ascii="Times New Roman" w:hAnsi="Times New Roman" w:cs="Times New Roman"/>
                <w:sz w:val="20"/>
                <w:szCs w:val="20"/>
              </w:rPr>
            </w:pPr>
            <w:r>
              <w:rPr>
                <w:rFonts w:ascii="Times New Roman" w:hAnsi="Times New Roman" w:cs="Times New Roman"/>
                <w:sz w:val="20"/>
                <w:szCs w:val="20"/>
              </w:rPr>
              <w:t xml:space="preserve">Azınlık </w:t>
            </w:r>
            <w:r w:rsidR="00020D70">
              <w:rPr>
                <w:rFonts w:ascii="Times New Roman" w:hAnsi="Times New Roman" w:cs="Times New Roman"/>
                <w:sz w:val="20"/>
                <w:szCs w:val="20"/>
              </w:rPr>
              <w:t>Yatırımcıların Haklarının Korunması</w:t>
            </w:r>
          </w:p>
        </w:tc>
        <w:tc>
          <w:tcPr>
            <w:tcW w:w="6673" w:type="dxa"/>
          </w:tcPr>
          <w:p w:rsidR="000615F4" w:rsidRPr="00B50308" w:rsidRDefault="00AC651E" w:rsidP="009B17A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Azınlık pay sahiplerinin haklarının ilgili taraf işlemlerinde ve şirket yönetiminde korunması </w:t>
            </w:r>
          </w:p>
        </w:tc>
      </w:tr>
      <w:tr w:rsidR="000615F4" w:rsidRPr="00B50308" w:rsidTr="00F1117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D6500B" w:rsidP="00761AF9">
            <w:pPr>
              <w:spacing w:after="120"/>
              <w:rPr>
                <w:rFonts w:ascii="Times New Roman" w:hAnsi="Times New Roman" w:cs="Times New Roman"/>
                <w:sz w:val="20"/>
                <w:szCs w:val="20"/>
              </w:rPr>
            </w:pPr>
            <w:r>
              <w:rPr>
                <w:rFonts w:ascii="Times New Roman" w:hAnsi="Times New Roman" w:cs="Times New Roman"/>
                <w:sz w:val="20"/>
                <w:szCs w:val="20"/>
              </w:rPr>
              <w:t>Vergi Ödeme</w:t>
            </w:r>
          </w:p>
        </w:tc>
        <w:tc>
          <w:tcPr>
            <w:tcW w:w="6673" w:type="dxa"/>
          </w:tcPr>
          <w:p w:rsidR="000615F4" w:rsidRPr="00B50308" w:rsidRDefault="00D6500B" w:rsidP="00443F2F">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6500B">
              <w:rPr>
                <w:rFonts w:ascii="Times New Roman" w:hAnsi="Times New Roman" w:cs="Times New Roman"/>
                <w:sz w:val="20"/>
                <w:szCs w:val="20"/>
              </w:rPr>
              <w:t>Bir firma</w:t>
            </w:r>
            <w:r w:rsidR="00443F2F">
              <w:rPr>
                <w:rFonts w:ascii="Times New Roman" w:hAnsi="Times New Roman" w:cs="Times New Roman"/>
                <w:sz w:val="20"/>
                <w:szCs w:val="20"/>
              </w:rPr>
              <w:t>nın</w:t>
            </w:r>
            <w:r>
              <w:rPr>
                <w:rFonts w:ascii="Times New Roman" w:hAnsi="Times New Roman" w:cs="Times New Roman"/>
                <w:sz w:val="20"/>
                <w:szCs w:val="20"/>
              </w:rPr>
              <w:t xml:space="preserve"> </w:t>
            </w:r>
            <w:r w:rsidR="00443F2F">
              <w:rPr>
                <w:rFonts w:ascii="Times New Roman" w:hAnsi="Times New Roman" w:cs="Times New Roman"/>
                <w:sz w:val="20"/>
                <w:szCs w:val="20"/>
              </w:rPr>
              <w:t>v</w:t>
            </w:r>
            <w:r w:rsidRPr="00D6500B">
              <w:rPr>
                <w:rFonts w:ascii="Times New Roman" w:hAnsi="Times New Roman" w:cs="Times New Roman"/>
                <w:sz w:val="20"/>
                <w:szCs w:val="20"/>
              </w:rPr>
              <w:t>ergi düzenlemeleri</w:t>
            </w:r>
            <w:r w:rsidR="00443F2F">
              <w:rPr>
                <w:rFonts w:ascii="Times New Roman" w:hAnsi="Times New Roman" w:cs="Times New Roman"/>
                <w:sz w:val="20"/>
                <w:szCs w:val="20"/>
              </w:rPr>
              <w:t xml:space="preserve">ne </w:t>
            </w:r>
            <w:r w:rsidRPr="00D6500B">
              <w:rPr>
                <w:rFonts w:ascii="Times New Roman" w:hAnsi="Times New Roman" w:cs="Times New Roman"/>
                <w:sz w:val="20"/>
                <w:szCs w:val="20"/>
              </w:rPr>
              <w:t>uy</w:t>
            </w:r>
            <w:r w:rsidR="00443F2F">
              <w:rPr>
                <w:rFonts w:ascii="Times New Roman" w:hAnsi="Times New Roman" w:cs="Times New Roman"/>
                <w:sz w:val="20"/>
                <w:szCs w:val="20"/>
              </w:rPr>
              <w:t xml:space="preserve">gun olarak yaptığı </w:t>
            </w:r>
            <w:r w:rsidRPr="00D6500B">
              <w:rPr>
                <w:rFonts w:ascii="Times New Roman" w:hAnsi="Times New Roman" w:cs="Times New Roman"/>
                <w:sz w:val="20"/>
                <w:szCs w:val="20"/>
              </w:rPr>
              <w:t xml:space="preserve">ödemeler, </w:t>
            </w:r>
            <w:r w:rsidR="00B6608D">
              <w:rPr>
                <w:rFonts w:ascii="Times New Roman" w:hAnsi="Times New Roman" w:cs="Times New Roman"/>
                <w:sz w:val="20"/>
                <w:szCs w:val="20"/>
              </w:rPr>
              <w:t xml:space="preserve">gereken işlem </w:t>
            </w:r>
            <w:r w:rsidRPr="00D6500B">
              <w:rPr>
                <w:rFonts w:ascii="Times New Roman" w:hAnsi="Times New Roman" w:cs="Times New Roman"/>
                <w:sz w:val="20"/>
                <w:szCs w:val="20"/>
              </w:rPr>
              <w:t>zaman</w:t>
            </w:r>
            <w:r w:rsidR="00B6608D">
              <w:rPr>
                <w:rFonts w:ascii="Times New Roman" w:hAnsi="Times New Roman" w:cs="Times New Roman"/>
                <w:sz w:val="20"/>
                <w:szCs w:val="20"/>
              </w:rPr>
              <w:t>ı</w:t>
            </w:r>
            <w:r w:rsidR="00443F2F">
              <w:rPr>
                <w:rFonts w:ascii="Times New Roman" w:hAnsi="Times New Roman" w:cs="Times New Roman"/>
                <w:sz w:val="20"/>
                <w:szCs w:val="20"/>
              </w:rPr>
              <w:t xml:space="preserve">, </w:t>
            </w:r>
            <w:r w:rsidRPr="00D6500B">
              <w:rPr>
                <w:rFonts w:ascii="Times New Roman" w:hAnsi="Times New Roman" w:cs="Times New Roman"/>
                <w:sz w:val="20"/>
                <w:szCs w:val="20"/>
              </w:rPr>
              <w:t xml:space="preserve"> toplam vergi ve </w:t>
            </w:r>
            <w:r w:rsidR="00443F2F">
              <w:rPr>
                <w:rFonts w:ascii="Times New Roman" w:hAnsi="Times New Roman" w:cs="Times New Roman"/>
                <w:sz w:val="20"/>
                <w:szCs w:val="20"/>
              </w:rPr>
              <w:t xml:space="preserve">vergi </w:t>
            </w:r>
            <w:r w:rsidRPr="00D6500B">
              <w:rPr>
                <w:rFonts w:ascii="Times New Roman" w:hAnsi="Times New Roman" w:cs="Times New Roman"/>
                <w:sz w:val="20"/>
                <w:szCs w:val="20"/>
              </w:rPr>
              <w:t>oranı</w:t>
            </w:r>
          </w:p>
        </w:tc>
      </w:tr>
      <w:tr w:rsidR="000615F4" w:rsidRPr="00B50308" w:rsidTr="00F1117A">
        <w:trPr>
          <w:trHeight w:val="399"/>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B11937" w:rsidP="00761AF9">
            <w:pPr>
              <w:spacing w:after="120"/>
              <w:rPr>
                <w:rFonts w:ascii="Times New Roman" w:hAnsi="Times New Roman" w:cs="Times New Roman"/>
                <w:sz w:val="20"/>
                <w:szCs w:val="20"/>
              </w:rPr>
            </w:pPr>
            <w:r>
              <w:rPr>
                <w:rFonts w:ascii="Times New Roman" w:hAnsi="Times New Roman" w:cs="Times New Roman"/>
                <w:sz w:val="20"/>
                <w:szCs w:val="20"/>
              </w:rPr>
              <w:t>Sınır Ötesi Ticaret</w:t>
            </w:r>
          </w:p>
        </w:tc>
        <w:tc>
          <w:tcPr>
            <w:tcW w:w="6673" w:type="dxa"/>
          </w:tcPr>
          <w:p w:rsidR="000615F4" w:rsidRPr="00B50308" w:rsidRDefault="00B11937" w:rsidP="00B11937">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Sınır ötesi ticaret için gerekli olan işlem zamanı ve işlem maliyetleri </w:t>
            </w:r>
          </w:p>
        </w:tc>
      </w:tr>
      <w:tr w:rsidR="000615F4" w:rsidRPr="00B50308" w:rsidTr="00F1117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41363F" w:rsidP="00761AF9">
            <w:pPr>
              <w:spacing w:after="120"/>
              <w:rPr>
                <w:rFonts w:ascii="Times New Roman" w:hAnsi="Times New Roman" w:cs="Times New Roman"/>
                <w:sz w:val="20"/>
                <w:szCs w:val="20"/>
              </w:rPr>
            </w:pPr>
            <w:r>
              <w:rPr>
                <w:rFonts w:ascii="Times New Roman" w:hAnsi="Times New Roman" w:cs="Times New Roman"/>
                <w:sz w:val="20"/>
                <w:szCs w:val="20"/>
              </w:rPr>
              <w:t>Sözleşmelerin Uygulanması</w:t>
            </w:r>
          </w:p>
        </w:tc>
        <w:tc>
          <w:tcPr>
            <w:tcW w:w="6673" w:type="dxa"/>
          </w:tcPr>
          <w:p w:rsidR="000615F4" w:rsidRPr="00B50308" w:rsidRDefault="0041363F" w:rsidP="0041363F">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1363F">
              <w:rPr>
                <w:rFonts w:ascii="Times New Roman" w:hAnsi="Times New Roman" w:cs="Times New Roman"/>
                <w:sz w:val="20"/>
                <w:szCs w:val="20"/>
              </w:rPr>
              <w:t xml:space="preserve">Ticari bir </w:t>
            </w:r>
            <w:r>
              <w:rPr>
                <w:rFonts w:ascii="Times New Roman" w:hAnsi="Times New Roman" w:cs="Times New Roman"/>
                <w:sz w:val="20"/>
                <w:szCs w:val="20"/>
              </w:rPr>
              <w:t xml:space="preserve">uyuşmazlığı </w:t>
            </w:r>
            <w:r w:rsidRPr="0041363F">
              <w:rPr>
                <w:rFonts w:ascii="Times New Roman" w:hAnsi="Times New Roman" w:cs="Times New Roman"/>
                <w:sz w:val="20"/>
                <w:szCs w:val="20"/>
              </w:rPr>
              <w:t>çözmek için</w:t>
            </w:r>
            <w:r>
              <w:rPr>
                <w:rFonts w:ascii="Times New Roman" w:hAnsi="Times New Roman" w:cs="Times New Roman"/>
                <w:sz w:val="20"/>
                <w:szCs w:val="20"/>
              </w:rPr>
              <w:t xml:space="preserve"> gereken işlem zamanı, işlem </w:t>
            </w:r>
            <w:r w:rsidRPr="0041363F">
              <w:rPr>
                <w:rFonts w:ascii="Times New Roman" w:hAnsi="Times New Roman" w:cs="Times New Roman"/>
                <w:sz w:val="20"/>
                <w:szCs w:val="20"/>
              </w:rPr>
              <w:t>maliyet</w:t>
            </w:r>
            <w:r>
              <w:rPr>
                <w:rFonts w:ascii="Times New Roman" w:hAnsi="Times New Roman" w:cs="Times New Roman"/>
                <w:sz w:val="20"/>
                <w:szCs w:val="20"/>
              </w:rPr>
              <w:t>i</w:t>
            </w:r>
            <w:r w:rsidRPr="0041363F">
              <w:rPr>
                <w:rFonts w:ascii="Times New Roman" w:hAnsi="Times New Roman" w:cs="Times New Roman"/>
                <w:sz w:val="20"/>
                <w:szCs w:val="20"/>
              </w:rPr>
              <w:t xml:space="preserve"> ile </w:t>
            </w:r>
            <w:r>
              <w:rPr>
                <w:rFonts w:ascii="Times New Roman" w:hAnsi="Times New Roman" w:cs="Times New Roman"/>
                <w:sz w:val="20"/>
                <w:szCs w:val="20"/>
              </w:rPr>
              <w:t>yargı</w:t>
            </w:r>
            <w:r w:rsidRPr="0041363F">
              <w:rPr>
                <w:rFonts w:ascii="Times New Roman" w:hAnsi="Times New Roman" w:cs="Times New Roman"/>
                <w:sz w:val="20"/>
                <w:szCs w:val="20"/>
              </w:rPr>
              <w:t xml:space="preserve"> süreçlerinin kalitesi</w:t>
            </w:r>
          </w:p>
        </w:tc>
      </w:tr>
      <w:tr w:rsidR="000615F4" w:rsidRPr="00B50308" w:rsidTr="00F1117A">
        <w:trPr>
          <w:trHeight w:val="422"/>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1963F6" w:rsidP="00761AF9">
            <w:pPr>
              <w:spacing w:after="120"/>
              <w:rPr>
                <w:rFonts w:ascii="Times New Roman" w:hAnsi="Times New Roman" w:cs="Times New Roman"/>
                <w:sz w:val="20"/>
                <w:szCs w:val="20"/>
              </w:rPr>
            </w:pPr>
            <w:r>
              <w:rPr>
                <w:rFonts w:ascii="Times New Roman" w:hAnsi="Times New Roman" w:cs="Times New Roman"/>
                <w:sz w:val="20"/>
                <w:szCs w:val="20"/>
              </w:rPr>
              <w:t>İflasın Çözümlenmesi</w:t>
            </w:r>
          </w:p>
        </w:tc>
        <w:tc>
          <w:tcPr>
            <w:tcW w:w="6673" w:type="dxa"/>
          </w:tcPr>
          <w:p w:rsidR="000615F4" w:rsidRPr="00B50308" w:rsidRDefault="001963F6" w:rsidP="00761A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963F6">
              <w:rPr>
                <w:rFonts w:ascii="Times New Roman" w:hAnsi="Times New Roman" w:cs="Times New Roman"/>
                <w:sz w:val="20"/>
                <w:szCs w:val="20"/>
              </w:rPr>
              <w:t>Ticari bir iflas için zaman, maliyet, sonuç ve kurtarma oranı ve iflas için yasal çerçevenin gücü</w:t>
            </w:r>
          </w:p>
        </w:tc>
      </w:tr>
      <w:tr w:rsidR="000615F4" w:rsidRPr="00B50308" w:rsidTr="00F1117A">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286824" w:rsidP="00761AF9">
            <w:pPr>
              <w:spacing w:after="120"/>
              <w:rPr>
                <w:rFonts w:ascii="Times New Roman" w:hAnsi="Times New Roman" w:cs="Times New Roman"/>
                <w:sz w:val="20"/>
                <w:szCs w:val="20"/>
              </w:rPr>
            </w:pPr>
            <w:r>
              <w:rPr>
                <w:rFonts w:ascii="Times New Roman" w:hAnsi="Times New Roman" w:cs="Times New Roman"/>
                <w:sz w:val="20"/>
                <w:szCs w:val="20"/>
              </w:rPr>
              <w:lastRenderedPageBreak/>
              <w:t>İşçi İstihdamı</w:t>
            </w:r>
          </w:p>
        </w:tc>
        <w:tc>
          <w:tcPr>
            <w:tcW w:w="6673" w:type="dxa"/>
          </w:tcPr>
          <w:p w:rsidR="000615F4" w:rsidRPr="00B50308" w:rsidRDefault="00286824" w:rsidP="00761AF9">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İşçi çalıştırma ve İstihdam mevzuatının esnekliği</w:t>
            </w:r>
          </w:p>
        </w:tc>
      </w:tr>
      <w:tr w:rsidR="000615F4" w:rsidRPr="00B50308" w:rsidTr="00F1117A">
        <w:trPr>
          <w:trHeight w:val="399"/>
        </w:trPr>
        <w:tc>
          <w:tcPr>
            <w:cnfStyle w:val="001000000000" w:firstRow="0" w:lastRow="0" w:firstColumn="1" w:lastColumn="0" w:oddVBand="0" w:evenVBand="0" w:oddHBand="0" w:evenHBand="0" w:firstRowFirstColumn="0" w:firstRowLastColumn="0" w:lastRowFirstColumn="0" w:lastRowLastColumn="0"/>
            <w:tcW w:w="2373" w:type="dxa"/>
          </w:tcPr>
          <w:p w:rsidR="000615F4" w:rsidRPr="00B50308" w:rsidRDefault="00286824" w:rsidP="00761AF9">
            <w:pPr>
              <w:spacing w:after="120"/>
              <w:rPr>
                <w:rFonts w:ascii="Times New Roman" w:hAnsi="Times New Roman" w:cs="Times New Roman"/>
                <w:sz w:val="20"/>
                <w:szCs w:val="20"/>
              </w:rPr>
            </w:pPr>
            <w:r>
              <w:rPr>
                <w:rFonts w:ascii="Times New Roman" w:hAnsi="Times New Roman" w:cs="Times New Roman"/>
                <w:sz w:val="20"/>
                <w:szCs w:val="20"/>
              </w:rPr>
              <w:t>Hükümetle sözleşme yapma</w:t>
            </w:r>
          </w:p>
        </w:tc>
        <w:tc>
          <w:tcPr>
            <w:tcW w:w="6673" w:type="dxa"/>
          </w:tcPr>
          <w:p w:rsidR="000615F4" w:rsidRPr="00B50308" w:rsidRDefault="00286824" w:rsidP="0025178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86824">
              <w:rPr>
                <w:rFonts w:ascii="Times New Roman" w:hAnsi="Times New Roman" w:cs="Times New Roman"/>
                <w:sz w:val="20"/>
                <w:szCs w:val="20"/>
              </w:rPr>
              <w:t xml:space="preserve">Kamu alımları ve kamu </w:t>
            </w:r>
            <w:r w:rsidR="00251789">
              <w:rPr>
                <w:rFonts w:ascii="Times New Roman" w:hAnsi="Times New Roman" w:cs="Times New Roman"/>
                <w:sz w:val="20"/>
                <w:szCs w:val="20"/>
              </w:rPr>
              <w:t xml:space="preserve">ihaleleri </w:t>
            </w:r>
            <w:r w:rsidRPr="00286824">
              <w:rPr>
                <w:rFonts w:ascii="Times New Roman" w:hAnsi="Times New Roman" w:cs="Times New Roman"/>
                <w:sz w:val="20"/>
                <w:szCs w:val="20"/>
              </w:rPr>
              <w:t>düzenleyici çerçevesi</w:t>
            </w:r>
            <w:r w:rsidR="00251789">
              <w:rPr>
                <w:rFonts w:ascii="Times New Roman" w:hAnsi="Times New Roman" w:cs="Times New Roman"/>
                <w:sz w:val="20"/>
                <w:szCs w:val="20"/>
              </w:rPr>
              <w:t xml:space="preserve">nde </w:t>
            </w:r>
            <w:r w:rsidRPr="00286824">
              <w:rPr>
                <w:rFonts w:ascii="Times New Roman" w:hAnsi="Times New Roman" w:cs="Times New Roman"/>
                <w:sz w:val="20"/>
                <w:szCs w:val="20"/>
              </w:rPr>
              <w:t>bir yapım işi sözleşmesine katıl</w:t>
            </w:r>
            <w:r w:rsidR="00251789">
              <w:rPr>
                <w:rFonts w:ascii="Times New Roman" w:hAnsi="Times New Roman" w:cs="Times New Roman"/>
                <w:sz w:val="20"/>
                <w:szCs w:val="20"/>
              </w:rPr>
              <w:t xml:space="preserve">abilme, </w:t>
            </w:r>
            <w:r w:rsidRPr="00286824">
              <w:rPr>
                <w:rFonts w:ascii="Times New Roman" w:hAnsi="Times New Roman" w:cs="Times New Roman"/>
                <w:sz w:val="20"/>
                <w:szCs w:val="20"/>
              </w:rPr>
              <w:t xml:space="preserve">kazanmak için </w:t>
            </w:r>
            <w:r w:rsidR="00251789">
              <w:rPr>
                <w:rFonts w:ascii="Times New Roman" w:hAnsi="Times New Roman" w:cs="Times New Roman"/>
                <w:sz w:val="20"/>
                <w:szCs w:val="20"/>
              </w:rPr>
              <w:t xml:space="preserve">gereken işlemler ve işlem zamanı </w:t>
            </w:r>
            <w:r w:rsidRPr="00286824">
              <w:rPr>
                <w:rFonts w:ascii="Times New Roman" w:hAnsi="Times New Roman" w:cs="Times New Roman"/>
                <w:sz w:val="20"/>
                <w:szCs w:val="20"/>
              </w:rPr>
              <w:t>zaman</w:t>
            </w:r>
          </w:p>
        </w:tc>
      </w:tr>
    </w:tbl>
    <w:p w:rsidR="006559DC" w:rsidRPr="00917865" w:rsidRDefault="001F10C1" w:rsidP="0042532B">
      <w:pPr>
        <w:spacing w:after="120" w:line="240" w:lineRule="auto"/>
        <w:ind w:firstLine="708"/>
        <w:jc w:val="both"/>
        <w:rPr>
          <w:rFonts w:ascii="Times New Roman" w:hAnsi="Times New Roman" w:cs="Times New Roman"/>
        </w:rPr>
      </w:pPr>
      <w:r w:rsidRPr="00917865">
        <w:rPr>
          <w:rFonts w:ascii="Times New Roman" w:hAnsi="Times New Roman" w:cs="Times New Roman"/>
        </w:rPr>
        <w:t>Kaynak: Dünya Bankası</w:t>
      </w:r>
      <w:r w:rsidR="00822D8F" w:rsidRPr="00917865">
        <w:rPr>
          <w:rFonts w:ascii="Times New Roman" w:hAnsi="Times New Roman" w:cs="Times New Roman"/>
        </w:rPr>
        <w:t xml:space="preserve">, İş Yapma </w:t>
      </w:r>
      <w:r w:rsidR="002E6C96" w:rsidRPr="00917865">
        <w:rPr>
          <w:rFonts w:ascii="Times New Roman" w:hAnsi="Times New Roman" w:cs="Times New Roman"/>
        </w:rPr>
        <w:t xml:space="preserve">Raporu </w:t>
      </w:r>
      <w:proofErr w:type="gramStart"/>
      <w:r w:rsidRPr="00917865">
        <w:rPr>
          <w:rFonts w:ascii="Times New Roman" w:hAnsi="Times New Roman" w:cs="Times New Roman"/>
        </w:rPr>
        <w:t>2020</w:t>
      </w:r>
      <w:r w:rsidR="002E6C96" w:rsidRPr="00917865">
        <w:rPr>
          <w:rFonts w:ascii="Times New Roman" w:hAnsi="Times New Roman" w:cs="Times New Roman"/>
        </w:rPr>
        <w:t>:19</w:t>
      </w:r>
      <w:proofErr w:type="gramEnd"/>
    </w:p>
    <w:p w:rsidR="00F1117A" w:rsidRDefault="00F1117A" w:rsidP="0042532B">
      <w:pPr>
        <w:spacing w:after="120" w:line="240" w:lineRule="auto"/>
        <w:ind w:firstLine="708"/>
        <w:jc w:val="both"/>
        <w:rPr>
          <w:rFonts w:ascii="Times New Roman" w:hAnsi="Times New Roman" w:cs="Times New Roman"/>
          <w:sz w:val="24"/>
          <w:szCs w:val="24"/>
        </w:rPr>
      </w:pPr>
    </w:p>
    <w:p w:rsidR="008458C3" w:rsidRDefault="001F10C1" w:rsidP="0042532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İş yapma kolaylığı endeksi Tablo 1.’de verilen ana başlıklar ile ifade edilen </w:t>
      </w:r>
      <w:proofErr w:type="gramStart"/>
      <w:r>
        <w:rPr>
          <w:rFonts w:ascii="Times New Roman" w:hAnsi="Times New Roman" w:cs="Times New Roman"/>
          <w:sz w:val="24"/>
          <w:szCs w:val="24"/>
        </w:rPr>
        <w:t>kriterlerin</w:t>
      </w:r>
      <w:proofErr w:type="gramEnd"/>
      <w:r>
        <w:rPr>
          <w:rFonts w:ascii="Times New Roman" w:hAnsi="Times New Roman" w:cs="Times New Roman"/>
          <w:sz w:val="24"/>
          <w:szCs w:val="24"/>
        </w:rPr>
        <w:t xml:space="preserve"> ortalamasını ifade etmektedir. </w:t>
      </w:r>
      <w:r w:rsidR="00FF7905">
        <w:rPr>
          <w:rFonts w:ascii="Times New Roman" w:hAnsi="Times New Roman" w:cs="Times New Roman"/>
          <w:sz w:val="24"/>
          <w:szCs w:val="24"/>
        </w:rPr>
        <w:t xml:space="preserve">2020 yılı iş yapma kolaylığı endeksinin oluşturulmasında ve ülke değerlendirmesinde İşçi istihdamı ve hükümetle sözleşme yapma </w:t>
      </w:r>
      <w:proofErr w:type="gramStart"/>
      <w:r w:rsidR="00FF7905">
        <w:rPr>
          <w:rFonts w:ascii="Times New Roman" w:hAnsi="Times New Roman" w:cs="Times New Roman"/>
          <w:sz w:val="24"/>
          <w:szCs w:val="24"/>
        </w:rPr>
        <w:t>kriterleri</w:t>
      </w:r>
      <w:proofErr w:type="gramEnd"/>
      <w:r w:rsidR="00FF7905">
        <w:rPr>
          <w:rFonts w:ascii="Times New Roman" w:hAnsi="Times New Roman" w:cs="Times New Roman"/>
          <w:sz w:val="24"/>
          <w:szCs w:val="24"/>
        </w:rPr>
        <w:t xml:space="preserve"> kullanılmamıştır. </w:t>
      </w:r>
      <w:r w:rsidR="00F841C8">
        <w:rPr>
          <w:rFonts w:ascii="Times New Roman" w:hAnsi="Times New Roman" w:cs="Times New Roman"/>
          <w:sz w:val="24"/>
          <w:szCs w:val="24"/>
        </w:rPr>
        <w:t xml:space="preserve">Dünya bankası tarafından </w:t>
      </w:r>
      <w:r w:rsidR="00AC623E">
        <w:rPr>
          <w:rFonts w:ascii="Times New Roman" w:hAnsi="Times New Roman" w:cs="Times New Roman"/>
          <w:sz w:val="24"/>
          <w:szCs w:val="24"/>
        </w:rPr>
        <w:t xml:space="preserve">hazırlanan </w:t>
      </w:r>
      <w:r w:rsidR="008458C3">
        <w:rPr>
          <w:rFonts w:ascii="Times New Roman" w:hAnsi="Times New Roman" w:cs="Times New Roman"/>
          <w:sz w:val="24"/>
          <w:szCs w:val="24"/>
        </w:rPr>
        <w:t xml:space="preserve">İş Yapma kolaylığı endeksinin bileşenleri olan ve Tablo 1.’de gösterilen alt göstergeler </w:t>
      </w:r>
      <w:r w:rsidR="00B85874">
        <w:rPr>
          <w:rFonts w:ascii="Times New Roman" w:hAnsi="Times New Roman" w:cs="Times New Roman"/>
          <w:sz w:val="24"/>
          <w:szCs w:val="24"/>
        </w:rPr>
        <w:t xml:space="preserve">aşağıda </w:t>
      </w:r>
      <w:r w:rsidR="008458C3">
        <w:rPr>
          <w:rFonts w:ascii="Times New Roman" w:hAnsi="Times New Roman" w:cs="Times New Roman"/>
          <w:sz w:val="24"/>
          <w:szCs w:val="24"/>
        </w:rPr>
        <w:t>açıklanmıştır.</w:t>
      </w:r>
    </w:p>
    <w:p w:rsid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İşe Başlama İşlemleri</w:t>
      </w:r>
    </w:p>
    <w:p w:rsidR="009E2E8B" w:rsidRPr="00545F35" w:rsidRDefault="009E2E8B" w:rsidP="009E2E8B">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545F35">
        <w:rPr>
          <w:rFonts w:ascii="Times New Roman" w:hAnsi="Times New Roman" w:cs="Times New Roman"/>
          <w:sz w:val="24"/>
          <w:szCs w:val="24"/>
        </w:rPr>
        <w:t xml:space="preserve">İşe başlama işlemleri </w:t>
      </w:r>
      <w:r w:rsidR="004218D4" w:rsidRPr="00545F35">
        <w:rPr>
          <w:rFonts w:ascii="Times New Roman" w:hAnsi="Times New Roman" w:cs="Times New Roman"/>
          <w:sz w:val="24"/>
          <w:szCs w:val="24"/>
        </w:rPr>
        <w:t xml:space="preserve">bir </w:t>
      </w:r>
      <w:r w:rsidRPr="00545F35">
        <w:rPr>
          <w:rFonts w:ascii="Times New Roman" w:hAnsi="Times New Roman" w:cs="Times New Roman"/>
          <w:sz w:val="24"/>
          <w:szCs w:val="24"/>
        </w:rPr>
        <w:t xml:space="preserve">işletmenin kurulması için gereken </w:t>
      </w:r>
      <w:r w:rsidR="004218D4" w:rsidRPr="00545F35">
        <w:rPr>
          <w:rFonts w:ascii="Times New Roman" w:hAnsi="Times New Roman" w:cs="Times New Roman"/>
          <w:sz w:val="24"/>
          <w:szCs w:val="24"/>
        </w:rPr>
        <w:t xml:space="preserve">işlem adedi, zaman ve maliyetlerin ölçüldüğü </w:t>
      </w:r>
      <w:proofErr w:type="gramStart"/>
      <w:r w:rsidR="004218D4" w:rsidRPr="00545F35">
        <w:rPr>
          <w:rFonts w:ascii="Times New Roman" w:hAnsi="Times New Roman" w:cs="Times New Roman"/>
          <w:sz w:val="24"/>
          <w:szCs w:val="24"/>
        </w:rPr>
        <w:t>kriterdir</w:t>
      </w:r>
      <w:proofErr w:type="gramEnd"/>
      <w:r w:rsidR="004218D4" w:rsidRPr="00545F35">
        <w:rPr>
          <w:rFonts w:ascii="Times New Roman" w:hAnsi="Times New Roman" w:cs="Times New Roman"/>
          <w:sz w:val="24"/>
          <w:szCs w:val="24"/>
        </w:rPr>
        <w:t xml:space="preserve">. İşe başlama </w:t>
      </w:r>
      <w:proofErr w:type="gramStart"/>
      <w:r w:rsidR="004218D4" w:rsidRPr="00545F35">
        <w:rPr>
          <w:rFonts w:ascii="Times New Roman" w:hAnsi="Times New Roman" w:cs="Times New Roman"/>
          <w:sz w:val="24"/>
          <w:szCs w:val="24"/>
        </w:rPr>
        <w:t>kriterinde</w:t>
      </w:r>
      <w:proofErr w:type="gramEnd"/>
      <w:r w:rsidR="004218D4" w:rsidRPr="00545F35">
        <w:rPr>
          <w:rFonts w:ascii="Times New Roman" w:hAnsi="Times New Roman" w:cs="Times New Roman"/>
          <w:sz w:val="24"/>
          <w:szCs w:val="24"/>
        </w:rPr>
        <w:t xml:space="preserve"> </w:t>
      </w:r>
      <w:r w:rsidRPr="00545F35">
        <w:rPr>
          <w:rFonts w:ascii="Times New Roman" w:hAnsi="Times New Roman" w:cs="Times New Roman"/>
          <w:sz w:val="24"/>
          <w:szCs w:val="24"/>
        </w:rPr>
        <w:t>bürokratik işlem</w:t>
      </w:r>
      <w:r w:rsidR="004218D4" w:rsidRPr="00545F35">
        <w:rPr>
          <w:rFonts w:ascii="Times New Roman" w:hAnsi="Times New Roman" w:cs="Times New Roman"/>
          <w:sz w:val="24"/>
          <w:szCs w:val="24"/>
        </w:rPr>
        <w:t>ler</w:t>
      </w:r>
      <w:r w:rsidRPr="00545F35">
        <w:rPr>
          <w:rFonts w:ascii="Times New Roman" w:hAnsi="Times New Roman" w:cs="Times New Roman"/>
          <w:sz w:val="24"/>
          <w:szCs w:val="24"/>
        </w:rPr>
        <w:t xml:space="preserve"> </w:t>
      </w:r>
      <w:r w:rsidR="004218D4" w:rsidRPr="00545F35">
        <w:rPr>
          <w:rFonts w:ascii="Times New Roman" w:hAnsi="Times New Roman" w:cs="Times New Roman"/>
          <w:sz w:val="24"/>
          <w:szCs w:val="24"/>
        </w:rPr>
        <w:t xml:space="preserve">için geçen zamanın gün cinsinden ölçülerek değerlendirilir. </w:t>
      </w:r>
      <w:r w:rsidR="00963D23" w:rsidRPr="00545F35">
        <w:rPr>
          <w:rFonts w:ascii="Times New Roman" w:hAnsi="Times New Roman" w:cs="Times New Roman"/>
          <w:sz w:val="24"/>
          <w:szCs w:val="24"/>
        </w:rPr>
        <w:t xml:space="preserve">İşe başlama işlemleri endeksinde bir işin kurulması ve işe başlanması için gerekli işlem adedi diğer bir ölçümdür. İşe başlama </w:t>
      </w:r>
      <w:proofErr w:type="gramStart"/>
      <w:r w:rsidR="00963D23" w:rsidRPr="00545F35">
        <w:rPr>
          <w:rFonts w:ascii="Times New Roman" w:hAnsi="Times New Roman" w:cs="Times New Roman"/>
          <w:sz w:val="24"/>
          <w:szCs w:val="24"/>
        </w:rPr>
        <w:t>kriterindeki</w:t>
      </w:r>
      <w:proofErr w:type="gramEnd"/>
      <w:r w:rsidR="00963D23" w:rsidRPr="00545F35">
        <w:rPr>
          <w:rFonts w:ascii="Times New Roman" w:hAnsi="Times New Roman" w:cs="Times New Roman"/>
          <w:sz w:val="24"/>
          <w:szCs w:val="24"/>
        </w:rPr>
        <w:t xml:space="preserve"> </w:t>
      </w:r>
      <w:r w:rsidRPr="00545F35">
        <w:rPr>
          <w:rFonts w:ascii="Times New Roman" w:hAnsi="Times New Roman" w:cs="Times New Roman"/>
          <w:sz w:val="24"/>
          <w:szCs w:val="24"/>
        </w:rPr>
        <w:t>iş kurma maliyeti,</w:t>
      </w:r>
      <w:r w:rsidR="00963D23" w:rsidRPr="00545F35">
        <w:rPr>
          <w:rFonts w:ascii="Times New Roman" w:hAnsi="Times New Roman" w:cs="Times New Roman"/>
          <w:sz w:val="24"/>
          <w:szCs w:val="24"/>
        </w:rPr>
        <w:t xml:space="preserve"> iş </w:t>
      </w:r>
      <w:r w:rsidR="00545F35" w:rsidRPr="00545F35">
        <w:rPr>
          <w:rFonts w:ascii="Times New Roman" w:hAnsi="Times New Roman" w:cs="Times New Roman"/>
          <w:sz w:val="24"/>
          <w:szCs w:val="24"/>
        </w:rPr>
        <w:t>kurmanın</w:t>
      </w:r>
      <w:r w:rsidR="00963D23" w:rsidRPr="00545F35">
        <w:rPr>
          <w:rFonts w:ascii="Times New Roman" w:hAnsi="Times New Roman" w:cs="Times New Roman"/>
          <w:sz w:val="24"/>
          <w:szCs w:val="24"/>
        </w:rPr>
        <w:t xml:space="preserve"> o ülkedeki kişi başına düşen milli hasılaya oranı ve bir işin kurulması için gereken minimum sermaye tutarı cinsinden ölçülerek değerlendirilir. </w:t>
      </w:r>
      <w:r w:rsidR="009F69B9">
        <w:rPr>
          <w:rFonts w:ascii="Times New Roman" w:hAnsi="Times New Roman" w:cs="Times New Roman"/>
          <w:sz w:val="24"/>
          <w:szCs w:val="24"/>
        </w:rPr>
        <w:t>Bir ülkede iş kurmak için gerekli sürenin kısa olması ve işlem adetlerinin az olması, iş kurma maliyetlerinin düşük olması endeks değerini yükselten olumlu etki göstermektedir. Yatırımcı açısından</w:t>
      </w:r>
      <w:r w:rsidR="00AB75AE">
        <w:rPr>
          <w:rFonts w:ascii="Times New Roman" w:hAnsi="Times New Roman" w:cs="Times New Roman"/>
          <w:sz w:val="24"/>
          <w:szCs w:val="24"/>
        </w:rPr>
        <w:t xml:space="preserve"> iş kurmak için gerekli</w:t>
      </w:r>
      <w:r w:rsidR="009F69B9">
        <w:rPr>
          <w:rFonts w:ascii="Times New Roman" w:hAnsi="Times New Roman" w:cs="Times New Roman"/>
          <w:sz w:val="24"/>
          <w:szCs w:val="24"/>
        </w:rPr>
        <w:t xml:space="preserve"> kısa süreler ve düşük maliyet</w:t>
      </w:r>
      <w:r w:rsidR="00AB75AE">
        <w:rPr>
          <w:rFonts w:ascii="Times New Roman" w:hAnsi="Times New Roman" w:cs="Times New Roman"/>
          <w:sz w:val="24"/>
          <w:szCs w:val="24"/>
        </w:rPr>
        <w:t xml:space="preserve"> yatırım kararını etkileyen etkenlerdendir. </w:t>
      </w:r>
      <w:r w:rsidR="009F69B9">
        <w:rPr>
          <w:rFonts w:ascii="Times New Roman" w:hAnsi="Times New Roman" w:cs="Times New Roman"/>
          <w:sz w:val="24"/>
          <w:szCs w:val="24"/>
        </w:rPr>
        <w:t xml:space="preserve"> </w:t>
      </w:r>
    </w:p>
    <w:p w:rsid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 xml:space="preserve">İnşaat İzinlerinin Alınması </w:t>
      </w:r>
    </w:p>
    <w:p w:rsidR="00545F35" w:rsidRDefault="00545F35" w:rsidP="009E2E8B">
      <w:pPr>
        <w:spacing w:after="120" w:line="240" w:lineRule="auto"/>
        <w:ind w:firstLine="708"/>
        <w:jc w:val="both"/>
        <w:rPr>
          <w:rFonts w:ascii="Times New Roman" w:hAnsi="Times New Roman" w:cs="Times New Roman"/>
          <w:sz w:val="24"/>
          <w:szCs w:val="24"/>
        </w:rPr>
      </w:pPr>
      <w:r w:rsidRPr="00F1117A">
        <w:rPr>
          <w:rFonts w:ascii="Times New Roman" w:hAnsi="Times New Roman" w:cs="Times New Roman"/>
          <w:sz w:val="24"/>
          <w:szCs w:val="24"/>
        </w:rPr>
        <w:t>İnşaat izinlerinin alınması başlığı içinde bir ülkenin en büyük şehirlerinden birinde bir depo inşa etmek üzere yapılması gerek</w:t>
      </w:r>
      <w:r w:rsidR="000D6ED4" w:rsidRPr="00F1117A">
        <w:rPr>
          <w:rFonts w:ascii="Times New Roman" w:hAnsi="Times New Roman" w:cs="Times New Roman"/>
          <w:sz w:val="24"/>
          <w:szCs w:val="24"/>
        </w:rPr>
        <w:t>e</w:t>
      </w:r>
      <w:r w:rsidRPr="00F1117A">
        <w:rPr>
          <w:rFonts w:ascii="Times New Roman" w:hAnsi="Times New Roman" w:cs="Times New Roman"/>
          <w:sz w:val="24"/>
          <w:szCs w:val="24"/>
        </w:rPr>
        <w:t>n işlemler, bu işlemlerin gerçekleştirilmesi için ge</w:t>
      </w:r>
      <w:r w:rsidR="000D6ED4" w:rsidRPr="00F1117A">
        <w:rPr>
          <w:rFonts w:ascii="Times New Roman" w:hAnsi="Times New Roman" w:cs="Times New Roman"/>
          <w:sz w:val="24"/>
          <w:szCs w:val="24"/>
        </w:rPr>
        <w:t>r</w:t>
      </w:r>
      <w:r w:rsidRPr="00F1117A">
        <w:rPr>
          <w:rFonts w:ascii="Times New Roman" w:hAnsi="Times New Roman" w:cs="Times New Roman"/>
          <w:sz w:val="24"/>
          <w:szCs w:val="24"/>
        </w:rPr>
        <w:t>ek</w:t>
      </w:r>
      <w:r w:rsidR="000D6ED4" w:rsidRPr="00F1117A">
        <w:rPr>
          <w:rFonts w:ascii="Times New Roman" w:hAnsi="Times New Roman" w:cs="Times New Roman"/>
          <w:sz w:val="24"/>
          <w:szCs w:val="24"/>
        </w:rPr>
        <w:t>e</w:t>
      </w:r>
      <w:r w:rsidRPr="00F1117A">
        <w:rPr>
          <w:rFonts w:ascii="Times New Roman" w:hAnsi="Times New Roman" w:cs="Times New Roman"/>
          <w:sz w:val="24"/>
          <w:szCs w:val="24"/>
        </w:rPr>
        <w:t xml:space="preserve">n süre ve </w:t>
      </w:r>
      <w:r w:rsidR="000D6ED4" w:rsidRPr="00F1117A">
        <w:rPr>
          <w:rFonts w:ascii="Times New Roman" w:hAnsi="Times New Roman" w:cs="Times New Roman"/>
          <w:sz w:val="24"/>
          <w:szCs w:val="24"/>
        </w:rPr>
        <w:t xml:space="preserve">maliyetler incelenmektedir. </w:t>
      </w:r>
      <w:r w:rsidRPr="00F1117A">
        <w:rPr>
          <w:rFonts w:ascii="Times New Roman" w:hAnsi="Times New Roman" w:cs="Times New Roman"/>
          <w:sz w:val="24"/>
          <w:szCs w:val="24"/>
        </w:rPr>
        <w:t xml:space="preserve"> </w:t>
      </w:r>
      <w:r w:rsidR="0051725D">
        <w:rPr>
          <w:rFonts w:ascii="Times New Roman" w:hAnsi="Times New Roman" w:cs="Times New Roman"/>
          <w:sz w:val="24"/>
          <w:szCs w:val="24"/>
        </w:rPr>
        <w:t>İnşa izni alınması için gereken işlem sayısı ve bu iznin alınması için gerek</w:t>
      </w:r>
      <w:r w:rsidR="001031DA">
        <w:rPr>
          <w:rFonts w:ascii="Times New Roman" w:hAnsi="Times New Roman" w:cs="Times New Roman"/>
          <w:sz w:val="24"/>
          <w:szCs w:val="24"/>
        </w:rPr>
        <w:t>e</w:t>
      </w:r>
      <w:r w:rsidR="0051725D">
        <w:rPr>
          <w:rFonts w:ascii="Times New Roman" w:hAnsi="Times New Roman" w:cs="Times New Roman"/>
          <w:sz w:val="24"/>
          <w:szCs w:val="24"/>
        </w:rPr>
        <w:t>n zaman gün olarak ülke sıralam</w:t>
      </w:r>
      <w:r w:rsidR="001031DA">
        <w:rPr>
          <w:rFonts w:ascii="Times New Roman" w:hAnsi="Times New Roman" w:cs="Times New Roman"/>
          <w:sz w:val="24"/>
          <w:szCs w:val="24"/>
        </w:rPr>
        <w:t>a</w:t>
      </w:r>
      <w:r w:rsidR="0051725D">
        <w:rPr>
          <w:rFonts w:ascii="Times New Roman" w:hAnsi="Times New Roman" w:cs="Times New Roman"/>
          <w:sz w:val="24"/>
          <w:szCs w:val="24"/>
        </w:rPr>
        <w:t>lar</w:t>
      </w:r>
      <w:r w:rsidR="001031DA">
        <w:rPr>
          <w:rFonts w:ascii="Times New Roman" w:hAnsi="Times New Roman" w:cs="Times New Roman"/>
          <w:sz w:val="24"/>
          <w:szCs w:val="24"/>
        </w:rPr>
        <w:t>ın</w:t>
      </w:r>
      <w:r w:rsidR="0051725D">
        <w:rPr>
          <w:rFonts w:ascii="Times New Roman" w:hAnsi="Times New Roman" w:cs="Times New Roman"/>
          <w:sz w:val="24"/>
          <w:szCs w:val="24"/>
        </w:rPr>
        <w:t xml:space="preserve">da kullanılmaktadır. </w:t>
      </w:r>
      <w:r w:rsidR="001031DA">
        <w:rPr>
          <w:rFonts w:ascii="Times New Roman" w:hAnsi="Times New Roman" w:cs="Times New Roman"/>
          <w:sz w:val="24"/>
          <w:szCs w:val="24"/>
        </w:rPr>
        <w:t xml:space="preserve">Bu başlık altında değerlendirilen inşa izni alınması maliyeti kişi başına milli hasılanın yüzdesi olarak ifade edilip değerlendirilmektedir. </w:t>
      </w:r>
      <w:r w:rsidR="008A0FE7" w:rsidRPr="008A0FE7">
        <w:rPr>
          <w:rFonts w:ascii="Times New Roman" w:hAnsi="Times New Roman" w:cs="Times New Roman"/>
          <w:sz w:val="24"/>
          <w:szCs w:val="24"/>
        </w:rPr>
        <w:t xml:space="preserve">Üretim ve depolama </w:t>
      </w:r>
      <w:r w:rsidR="008A0FE7">
        <w:rPr>
          <w:rFonts w:ascii="Times New Roman" w:hAnsi="Times New Roman" w:cs="Times New Roman"/>
          <w:sz w:val="24"/>
          <w:szCs w:val="24"/>
        </w:rPr>
        <w:t>için yapılacak olan binaların inşa</w:t>
      </w:r>
      <w:r w:rsidR="00AB75AE">
        <w:rPr>
          <w:rFonts w:ascii="Times New Roman" w:hAnsi="Times New Roman" w:cs="Times New Roman"/>
          <w:sz w:val="24"/>
          <w:szCs w:val="24"/>
        </w:rPr>
        <w:t xml:space="preserve"> izinlerinin kısa sürede alınarak inşaatın kısa sürede tamamlanması yatırım kararı</w:t>
      </w:r>
      <w:r w:rsidR="008A0FE7">
        <w:rPr>
          <w:rFonts w:ascii="Times New Roman" w:hAnsi="Times New Roman" w:cs="Times New Roman"/>
          <w:sz w:val="24"/>
          <w:szCs w:val="24"/>
        </w:rPr>
        <w:t xml:space="preserve"> etkenlerindendir.  </w:t>
      </w:r>
    </w:p>
    <w:p w:rsid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Elektrik Bağlatma</w:t>
      </w:r>
    </w:p>
    <w:p w:rsidR="00462E42" w:rsidRPr="00C060C7" w:rsidRDefault="000A3F8E" w:rsidP="009E2E8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Enerji üretim, depolama, saklama ve diğer faaliyetlerin sürdürülebilmesi için son derece önemlidir. Enerji önemli bir girdi maliyeti olduğu için kesintisiz ve şeffaf maliyetlerle izlenmesi yatırımcılar açısından önemlidir. </w:t>
      </w:r>
      <w:r w:rsidR="00462E42" w:rsidRPr="00C060C7">
        <w:rPr>
          <w:rFonts w:ascii="Times New Roman" w:hAnsi="Times New Roman" w:cs="Times New Roman"/>
          <w:sz w:val="24"/>
          <w:szCs w:val="24"/>
        </w:rPr>
        <w:t xml:space="preserve">Elektrik bağlatma endeksi ile bir işletmenin elektrik bağlatabilmesi için gerekli işlemler ile bu işlemlerin tamamlanması için gereken süre ve işlem maliyetleri ölçülerek değerlendirilmektedir. </w:t>
      </w:r>
      <w:r w:rsidR="00C060C7" w:rsidRPr="00C060C7">
        <w:rPr>
          <w:rFonts w:ascii="Times New Roman" w:hAnsi="Times New Roman" w:cs="Times New Roman"/>
          <w:sz w:val="24"/>
          <w:szCs w:val="24"/>
        </w:rPr>
        <w:t xml:space="preserve">İşlem sayısı dışında bu işlemlerin tamamlanması için gereken süre gün olarak ve işlemlerin maliyetleri kişi başın milli hasılanın yüzdesi olarak ifade edilmektedir. </w:t>
      </w:r>
    </w:p>
    <w:p w:rsid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Mülkiyetin Kaydı</w:t>
      </w:r>
    </w:p>
    <w:p w:rsidR="00C060C7" w:rsidRDefault="00207A0F" w:rsidP="009E2E8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Mülkiyet uluslararası yatırımcılar için olduğu kadar ulusal yatırımcılar için de üçüncü şahıslar ve ülke yönetimlerine karşı ileri sürülen temel güvencelerdendir. </w:t>
      </w:r>
      <w:r w:rsidR="00916C4A" w:rsidRPr="008A15C4">
        <w:rPr>
          <w:rFonts w:ascii="Times New Roman" w:hAnsi="Times New Roman" w:cs="Times New Roman"/>
          <w:sz w:val="24"/>
          <w:szCs w:val="24"/>
        </w:rPr>
        <w:t xml:space="preserve">Mülkiyetin kaydı endeksi le bir işletmenin mülk kaydı alması ya da başka bir işletmeyi kendi mülküne alması için gereken işlem adedi, işlemlerin tamamlanması için gereken süre ve işlemlerin toplam maliyetini ölçer. İşlem maliyetleri kaydı yapılan mülkün değerine oranı olarak ölçülmektedir. </w:t>
      </w:r>
    </w:p>
    <w:p w:rsid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Kredi Alma</w:t>
      </w:r>
    </w:p>
    <w:p w:rsidR="009F23F6" w:rsidRDefault="00C616F9" w:rsidP="009E2E8B">
      <w:pPr>
        <w:spacing w:after="120" w:line="240" w:lineRule="auto"/>
        <w:ind w:firstLine="708"/>
        <w:jc w:val="both"/>
        <w:rPr>
          <w:rFonts w:ascii="Times New Roman" w:hAnsi="Times New Roman" w:cs="Times New Roman"/>
          <w:b/>
          <w:sz w:val="24"/>
          <w:szCs w:val="24"/>
        </w:rPr>
      </w:pPr>
      <w:r>
        <w:rPr>
          <w:rFonts w:ascii="Times New Roman" w:hAnsi="Times New Roman" w:cs="Times New Roman"/>
          <w:sz w:val="24"/>
          <w:szCs w:val="24"/>
        </w:rPr>
        <w:lastRenderedPageBreak/>
        <w:t>Üretici açısından gerek kısa vadeli gerekse uzun vadeli finansman ihtiyacı faaliyetlerin gerekli olan finansman açığının kapatılarak faaliyetlerin kesintisiz sürdürülebilmesi için çok önemlidir. Kredi taleplerinin kısa sürede ve etkin bir şekilde değerlendirilebilmesi</w:t>
      </w:r>
      <w:r w:rsidR="005C77B9">
        <w:rPr>
          <w:rFonts w:ascii="Times New Roman" w:hAnsi="Times New Roman" w:cs="Times New Roman"/>
          <w:sz w:val="24"/>
          <w:szCs w:val="24"/>
        </w:rPr>
        <w:t xml:space="preserve"> ve kredi kullandırırım sürelerinin kısalığı</w:t>
      </w:r>
      <w:r>
        <w:rPr>
          <w:rFonts w:ascii="Times New Roman" w:hAnsi="Times New Roman" w:cs="Times New Roman"/>
          <w:sz w:val="24"/>
          <w:szCs w:val="24"/>
        </w:rPr>
        <w:t xml:space="preserve"> finans sistemine duyul</w:t>
      </w:r>
      <w:r w:rsidR="005C77B9">
        <w:rPr>
          <w:rFonts w:ascii="Times New Roman" w:hAnsi="Times New Roman" w:cs="Times New Roman"/>
          <w:sz w:val="24"/>
          <w:szCs w:val="24"/>
        </w:rPr>
        <w:t xml:space="preserve">an güveni artıran bir unsurdur. </w:t>
      </w:r>
      <w:r w:rsidR="009F23F6" w:rsidRPr="008A15C4">
        <w:rPr>
          <w:rFonts w:ascii="Times New Roman" w:hAnsi="Times New Roman" w:cs="Times New Roman"/>
          <w:sz w:val="24"/>
          <w:szCs w:val="24"/>
        </w:rPr>
        <w:t xml:space="preserve">Kredi alma indeksi ile kredi alanalar ile kredi verenlerin </w:t>
      </w:r>
      <w:r w:rsidR="00A47EB2" w:rsidRPr="008A15C4">
        <w:rPr>
          <w:rFonts w:ascii="Times New Roman" w:hAnsi="Times New Roman" w:cs="Times New Roman"/>
          <w:sz w:val="24"/>
          <w:szCs w:val="24"/>
        </w:rPr>
        <w:t xml:space="preserve">yasal hakları ile bilgi paylaşımlarının seviyesi belirlenerek ölçülmektedir. Kredi derinlik endeksindeki </w:t>
      </w:r>
      <w:r w:rsidR="008A15C4" w:rsidRPr="008A15C4">
        <w:rPr>
          <w:rFonts w:ascii="Times New Roman" w:hAnsi="Times New Roman" w:cs="Times New Roman"/>
          <w:sz w:val="24"/>
          <w:szCs w:val="24"/>
        </w:rPr>
        <w:t>Yasal haklar gücü</w:t>
      </w:r>
      <w:r w:rsidR="00A47EB2" w:rsidRPr="008A15C4">
        <w:rPr>
          <w:rFonts w:ascii="Times New Roman" w:hAnsi="Times New Roman" w:cs="Times New Roman"/>
          <w:sz w:val="24"/>
          <w:szCs w:val="24"/>
        </w:rPr>
        <w:t xml:space="preserve"> endeks değeri ve </w:t>
      </w:r>
      <w:r w:rsidR="008A15C4" w:rsidRPr="008A15C4">
        <w:rPr>
          <w:rFonts w:ascii="Times New Roman" w:hAnsi="Times New Roman" w:cs="Times New Roman"/>
          <w:sz w:val="24"/>
          <w:szCs w:val="24"/>
        </w:rPr>
        <w:t xml:space="preserve">kredi bilgi derinlik endeksi 0-10 </w:t>
      </w:r>
      <w:proofErr w:type="gramStart"/>
      <w:r w:rsidR="008A15C4" w:rsidRPr="008A15C4">
        <w:rPr>
          <w:rFonts w:ascii="Times New Roman" w:hAnsi="Times New Roman" w:cs="Times New Roman"/>
          <w:sz w:val="24"/>
          <w:szCs w:val="24"/>
        </w:rPr>
        <w:t>aralığında</w:t>
      </w:r>
      <w:proofErr w:type="gramEnd"/>
      <w:r w:rsidR="008A15C4" w:rsidRPr="008A15C4">
        <w:rPr>
          <w:rFonts w:ascii="Times New Roman" w:hAnsi="Times New Roman" w:cs="Times New Roman"/>
          <w:sz w:val="24"/>
          <w:szCs w:val="24"/>
        </w:rPr>
        <w:t xml:space="preserve"> puanlanarak ölçülmektedir. </w:t>
      </w:r>
    </w:p>
    <w:p w:rsid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Azınlık Yatırımcıların Haklarının Korunması</w:t>
      </w:r>
    </w:p>
    <w:p w:rsidR="008A15C4" w:rsidRDefault="005C77B9" w:rsidP="009E2E8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Şirket yönetimlerinin azınlık haklarına saygılı ve koruyucu olması yatırımcılar için son derece önemlidir. </w:t>
      </w:r>
      <w:r w:rsidR="007957FF">
        <w:rPr>
          <w:rFonts w:ascii="Times New Roman" w:hAnsi="Times New Roman" w:cs="Times New Roman"/>
          <w:sz w:val="24"/>
          <w:szCs w:val="24"/>
        </w:rPr>
        <w:t xml:space="preserve">Hukuksal süreçlerin büyük yatırımcının kararlarını denetim altına alarak şirket yönetimlerini şeffaf ve </w:t>
      </w:r>
      <w:r w:rsidR="00353C00">
        <w:rPr>
          <w:rFonts w:ascii="Times New Roman" w:hAnsi="Times New Roman" w:cs="Times New Roman"/>
          <w:sz w:val="24"/>
          <w:szCs w:val="24"/>
        </w:rPr>
        <w:t xml:space="preserve">sorumlu davranmaya zorlaması istenmektedir. Azınlık yatırımcıların gerektiğinde yargısal </w:t>
      </w:r>
      <w:r w:rsidR="00F13DC3">
        <w:rPr>
          <w:rFonts w:ascii="Times New Roman" w:hAnsi="Times New Roman" w:cs="Times New Roman"/>
          <w:sz w:val="24"/>
          <w:szCs w:val="24"/>
        </w:rPr>
        <w:t xml:space="preserve">başvuru </w:t>
      </w:r>
      <w:r w:rsidR="00353C00">
        <w:rPr>
          <w:rFonts w:ascii="Times New Roman" w:hAnsi="Times New Roman" w:cs="Times New Roman"/>
          <w:sz w:val="24"/>
          <w:szCs w:val="24"/>
        </w:rPr>
        <w:t xml:space="preserve">haklarını kullanması ve yargı süreçlerini kolay bir şekilde takip edebilmesi istenmektedir. </w:t>
      </w:r>
      <w:r w:rsidR="008A15C4" w:rsidRPr="00725729">
        <w:rPr>
          <w:rFonts w:ascii="Times New Roman" w:hAnsi="Times New Roman" w:cs="Times New Roman"/>
          <w:sz w:val="24"/>
          <w:szCs w:val="24"/>
        </w:rPr>
        <w:t xml:space="preserve">Azınlık yatırımcıları haklarının korunması endeksi ile şirket yönetimleri azınlık haklarını </w:t>
      </w:r>
      <w:r w:rsidR="00DF032D" w:rsidRPr="00725729">
        <w:rPr>
          <w:rFonts w:ascii="Times New Roman" w:hAnsi="Times New Roman" w:cs="Times New Roman"/>
          <w:sz w:val="24"/>
          <w:szCs w:val="24"/>
        </w:rPr>
        <w:t xml:space="preserve">gözeterek ve şeffaflık içinde bir yönetim sergilenip sergilenmediğini ölçmektedir. Bu kapsamda endeks hukuksal süreçlerin kalitesini ölçmektedir. Bu amaçla hissedar davası kolaylığı endeksi 0-7 puan aralığında değerlendirilmektedir. </w:t>
      </w:r>
      <w:r w:rsidR="00527161" w:rsidRPr="00725729">
        <w:rPr>
          <w:rFonts w:ascii="Times New Roman" w:hAnsi="Times New Roman" w:cs="Times New Roman"/>
          <w:sz w:val="24"/>
          <w:szCs w:val="24"/>
        </w:rPr>
        <w:t xml:space="preserve">Pay sahipliği hakları kapsamı endeksi 0-6 puan aralığında ve </w:t>
      </w:r>
      <w:r w:rsidR="00725729" w:rsidRPr="00725729">
        <w:rPr>
          <w:rFonts w:ascii="Times New Roman" w:hAnsi="Times New Roman" w:cs="Times New Roman"/>
          <w:sz w:val="24"/>
          <w:szCs w:val="24"/>
        </w:rPr>
        <w:t xml:space="preserve">sahiplik kapsamı ve kontrol endeksi 0-7 puan aralığı ile bu endeks </w:t>
      </w:r>
      <w:r w:rsidR="00DF032D" w:rsidRPr="00725729">
        <w:rPr>
          <w:rFonts w:ascii="Times New Roman" w:hAnsi="Times New Roman" w:cs="Times New Roman"/>
          <w:sz w:val="24"/>
          <w:szCs w:val="24"/>
        </w:rPr>
        <w:t>kapsamında de</w:t>
      </w:r>
      <w:r w:rsidR="00725729" w:rsidRPr="00725729">
        <w:rPr>
          <w:rFonts w:ascii="Times New Roman" w:hAnsi="Times New Roman" w:cs="Times New Roman"/>
          <w:sz w:val="24"/>
          <w:szCs w:val="24"/>
        </w:rPr>
        <w:t xml:space="preserve">ğerlendirilmektedir. </w:t>
      </w:r>
      <w:r w:rsidR="00DF032D" w:rsidRPr="00725729">
        <w:rPr>
          <w:rFonts w:ascii="Times New Roman" w:hAnsi="Times New Roman" w:cs="Times New Roman"/>
          <w:sz w:val="24"/>
          <w:szCs w:val="24"/>
        </w:rPr>
        <w:t xml:space="preserve"> </w:t>
      </w:r>
    </w:p>
    <w:p w:rsid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Vergi Ödeme</w:t>
      </w:r>
    </w:p>
    <w:p w:rsidR="00725729" w:rsidRPr="004B501F" w:rsidRDefault="00F13DC3" w:rsidP="009E2E8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Ticari kar üzerinden alınan vergi oranları ile diğer ödeme ve katkı payları maliyetlere doğrudan etki eden</w:t>
      </w:r>
      <w:r w:rsidR="008E10D4">
        <w:rPr>
          <w:rFonts w:ascii="Times New Roman" w:hAnsi="Times New Roman" w:cs="Times New Roman"/>
          <w:sz w:val="24"/>
          <w:szCs w:val="24"/>
        </w:rPr>
        <w:t xml:space="preserve"> temel</w:t>
      </w:r>
      <w:r>
        <w:rPr>
          <w:rFonts w:ascii="Times New Roman" w:hAnsi="Times New Roman" w:cs="Times New Roman"/>
          <w:sz w:val="24"/>
          <w:szCs w:val="24"/>
        </w:rPr>
        <w:t xml:space="preserve"> bir </w:t>
      </w:r>
      <w:proofErr w:type="gramStart"/>
      <w:r>
        <w:rPr>
          <w:rFonts w:ascii="Times New Roman" w:hAnsi="Times New Roman" w:cs="Times New Roman"/>
          <w:sz w:val="24"/>
          <w:szCs w:val="24"/>
        </w:rPr>
        <w:t>kriterdir</w:t>
      </w:r>
      <w:proofErr w:type="gramEnd"/>
      <w:r>
        <w:rPr>
          <w:rFonts w:ascii="Times New Roman" w:hAnsi="Times New Roman" w:cs="Times New Roman"/>
          <w:sz w:val="24"/>
          <w:szCs w:val="24"/>
        </w:rPr>
        <w:t xml:space="preserve">. Ulusa ve uluslararası yatırımcılar vergi teşvik ve istisnalarına karşı oldukça duyarlı oldukları görülmektedir. </w:t>
      </w:r>
      <w:r w:rsidR="00725729" w:rsidRPr="004B501F">
        <w:rPr>
          <w:rFonts w:ascii="Times New Roman" w:hAnsi="Times New Roman" w:cs="Times New Roman"/>
          <w:sz w:val="24"/>
          <w:szCs w:val="24"/>
        </w:rPr>
        <w:t xml:space="preserve">Bu endeks kapsamında bir işletmenin bir yıl boyunca </w:t>
      </w:r>
      <w:r w:rsidR="004B501F" w:rsidRPr="004B501F">
        <w:rPr>
          <w:rFonts w:ascii="Times New Roman" w:hAnsi="Times New Roman" w:cs="Times New Roman"/>
          <w:sz w:val="24"/>
          <w:szCs w:val="24"/>
        </w:rPr>
        <w:t xml:space="preserve">ödemesi gereken vergilerin oran ve toplamı ile bu işlemler için gereken işlem süresi incelenmektedir. </w:t>
      </w:r>
      <w:r w:rsidR="00725729" w:rsidRPr="004B501F">
        <w:rPr>
          <w:rFonts w:ascii="Times New Roman" w:hAnsi="Times New Roman" w:cs="Times New Roman"/>
          <w:sz w:val="24"/>
          <w:szCs w:val="24"/>
        </w:rPr>
        <w:t xml:space="preserve"> </w:t>
      </w:r>
      <w:r w:rsidR="004B501F" w:rsidRPr="004B501F">
        <w:rPr>
          <w:rFonts w:ascii="Times New Roman" w:hAnsi="Times New Roman" w:cs="Times New Roman"/>
          <w:sz w:val="24"/>
          <w:szCs w:val="24"/>
        </w:rPr>
        <w:t xml:space="preserve">Bir yıl içerinde ödene vergilerin kara oranı ve bu işlemler için geçen zaman saat olarak ölçülmektedir. </w:t>
      </w:r>
    </w:p>
    <w:p w:rsidR="00C27654"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Sınır Ötesi Ticaret</w:t>
      </w:r>
    </w:p>
    <w:p w:rsidR="00BD2984" w:rsidRPr="00F27ED4" w:rsidRDefault="008E10D4" w:rsidP="009E2E8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Uluslararası yatırımcının yatırım yaptıkları ülkeyi bir üretim ve dağıtım-satış üssü </w:t>
      </w:r>
      <w:r w:rsidR="006A53B9">
        <w:rPr>
          <w:rFonts w:ascii="Times New Roman" w:hAnsi="Times New Roman" w:cs="Times New Roman"/>
          <w:sz w:val="24"/>
          <w:szCs w:val="24"/>
        </w:rPr>
        <w:t xml:space="preserve">olarak da </w:t>
      </w:r>
      <w:r>
        <w:rPr>
          <w:rFonts w:ascii="Times New Roman" w:hAnsi="Times New Roman" w:cs="Times New Roman"/>
          <w:sz w:val="24"/>
          <w:szCs w:val="24"/>
        </w:rPr>
        <w:t>değerlendi</w:t>
      </w:r>
      <w:r w:rsidR="006A53B9">
        <w:rPr>
          <w:rFonts w:ascii="Times New Roman" w:hAnsi="Times New Roman" w:cs="Times New Roman"/>
          <w:sz w:val="24"/>
          <w:szCs w:val="24"/>
        </w:rPr>
        <w:t xml:space="preserve">ği </w:t>
      </w:r>
      <w:r>
        <w:rPr>
          <w:rFonts w:ascii="Times New Roman" w:hAnsi="Times New Roman" w:cs="Times New Roman"/>
          <w:sz w:val="24"/>
          <w:szCs w:val="24"/>
        </w:rPr>
        <w:t>dikkate alındığında o ülkenin sınır ticareti kolaylığı ve</w:t>
      </w:r>
      <w:r w:rsidR="006A53B9">
        <w:rPr>
          <w:rFonts w:ascii="Times New Roman" w:hAnsi="Times New Roman" w:cs="Times New Roman"/>
          <w:sz w:val="24"/>
          <w:szCs w:val="24"/>
        </w:rPr>
        <w:t xml:space="preserve"> gümrük</w:t>
      </w:r>
      <w:r>
        <w:rPr>
          <w:rFonts w:ascii="Times New Roman" w:hAnsi="Times New Roman" w:cs="Times New Roman"/>
          <w:sz w:val="24"/>
          <w:szCs w:val="24"/>
        </w:rPr>
        <w:t xml:space="preserve"> tarifelerinin çok önemli olduğu görül</w:t>
      </w:r>
      <w:r w:rsidR="006A53B9">
        <w:rPr>
          <w:rFonts w:ascii="Times New Roman" w:hAnsi="Times New Roman" w:cs="Times New Roman"/>
          <w:sz w:val="24"/>
          <w:szCs w:val="24"/>
        </w:rPr>
        <w:t xml:space="preserve">mektedir. Uluslararası ticarette gümrük işlem ve tarifeleri son derece önemlidir. Gümrük tarifeleri bir teşvik unsuru olarak kullanılabildiği gibi bir engel unsuru olarak da kullanılabilmektedir. </w:t>
      </w:r>
      <w:r w:rsidR="00F27ED4">
        <w:rPr>
          <w:rFonts w:ascii="Times New Roman" w:hAnsi="Times New Roman" w:cs="Times New Roman"/>
          <w:sz w:val="24"/>
          <w:szCs w:val="24"/>
        </w:rPr>
        <w:t xml:space="preserve">Sınır ötesi ticaret </w:t>
      </w:r>
      <w:r w:rsidR="00F14E56">
        <w:rPr>
          <w:rFonts w:ascii="Times New Roman" w:hAnsi="Times New Roman" w:cs="Times New Roman"/>
          <w:sz w:val="24"/>
          <w:szCs w:val="24"/>
        </w:rPr>
        <w:t xml:space="preserve">bölgesel üretim ve dağıtım merkezi belirleme stratejileri nedeniyle </w:t>
      </w:r>
      <w:r w:rsidR="00F27ED4">
        <w:rPr>
          <w:rFonts w:ascii="Times New Roman" w:hAnsi="Times New Roman" w:cs="Times New Roman"/>
          <w:sz w:val="24"/>
          <w:szCs w:val="24"/>
        </w:rPr>
        <w:t xml:space="preserve">uluslararası yatırımcılar açısından </w:t>
      </w:r>
      <w:r w:rsidR="00E843DC">
        <w:rPr>
          <w:rFonts w:ascii="Times New Roman" w:hAnsi="Times New Roman" w:cs="Times New Roman"/>
          <w:sz w:val="24"/>
          <w:szCs w:val="24"/>
        </w:rPr>
        <w:t xml:space="preserve">oldukça </w:t>
      </w:r>
      <w:r w:rsidR="00F27ED4">
        <w:rPr>
          <w:rFonts w:ascii="Times New Roman" w:hAnsi="Times New Roman" w:cs="Times New Roman"/>
          <w:sz w:val="24"/>
          <w:szCs w:val="24"/>
        </w:rPr>
        <w:t>önemli</w:t>
      </w:r>
      <w:r w:rsidR="00E843DC">
        <w:rPr>
          <w:rFonts w:ascii="Times New Roman" w:hAnsi="Times New Roman" w:cs="Times New Roman"/>
          <w:sz w:val="24"/>
          <w:szCs w:val="24"/>
        </w:rPr>
        <w:t xml:space="preserve">dir. </w:t>
      </w:r>
      <w:r w:rsidR="00BD2984" w:rsidRPr="00F27ED4">
        <w:rPr>
          <w:rFonts w:ascii="Times New Roman" w:hAnsi="Times New Roman" w:cs="Times New Roman"/>
          <w:sz w:val="24"/>
          <w:szCs w:val="24"/>
        </w:rPr>
        <w:t>Sınır ötesi ticaret endeksi kapsamında bir ülkede ihracat ve ithalat yapmak için gerek</w:t>
      </w:r>
      <w:r w:rsidR="0036153B" w:rsidRPr="00F27ED4">
        <w:rPr>
          <w:rFonts w:ascii="Times New Roman" w:hAnsi="Times New Roman" w:cs="Times New Roman"/>
          <w:sz w:val="24"/>
          <w:szCs w:val="24"/>
        </w:rPr>
        <w:t>e</w:t>
      </w:r>
      <w:r w:rsidR="00BD2984" w:rsidRPr="00F27ED4">
        <w:rPr>
          <w:rFonts w:ascii="Times New Roman" w:hAnsi="Times New Roman" w:cs="Times New Roman"/>
          <w:sz w:val="24"/>
          <w:szCs w:val="24"/>
        </w:rPr>
        <w:t xml:space="preserve">n zaman </w:t>
      </w:r>
      <w:r w:rsidR="0036153B" w:rsidRPr="00F27ED4">
        <w:rPr>
          <w:rFonts w:ascii="Times New Roman" w:hAnsi="Times New Roman" w:cs="Times New Roman"/>
          <w:sz w:val="24"/>
          <w:szCs w:val="24"/>
        </w:rPr>
        <w:t xml:space="preserve">saat olarak ve </w:t>
      </w:r>
      <w:r w:rsidR="00BD2984" w:rsidRPr="00F27ED4">
        <w:rPr>
          <w:rFonts w:ascii="Times New Roman" w:hAnsi="Times New Roman" w:cs="Times New Roman"/>
          <w:sz w:val="24"/>
          <w:szCs w:val="24"/>
        </w:rPr>
        <w:t xml:space="preserve">ihracat yapma ve ithalat yapma maliyetleri </w:t>
      </w:r>
      <w:r w:rsidR="0036153B" w:rsidRPr="00F27ED4">
        <w:rPr>
          <w:rFonts w:ascii="Times New Roman" w:hAnsi="Times New Roman" w:cs="Times New Roman"/>
          <w:sz w:val="24"/>
          <w:szCs w:val="24"/>
        </w:rPr>
        <w:t xml:space="preserve">ve işlem yükleri </w:t>
      </w:r>
      <w:r w:rsidR="00BD2984" w:rsidRPr="00F27ED4">
        <w:rPr>
          <w:rFonts w:ascii="Times New Roman" w:hAnsi="Times New Roman" w:cs="Times New Roman"/>
          <w:sz w:val="24"/>
          <w:szCs w:val="24"/>
        </w:rPr>
        <w:t xml:space="preserve">ölçülmektedir. </w:t>
      </w:r>
    </w:p>
    <w:p w:rsid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Sözleşmelerin Uygulanması</w:t>
      </w:r>
    </w:p>
    <w:p w:rsidR="0036153B" w:rsidRDefault="007D6077" w:rsidP="009E2E8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Bir ülkedeki ticari uyuşmazlıklarda yargısal süreçlerin kısalığı, işlem yüklerinin azlığı ve süreç maliyetleri o ülkenin değerlendirilmesinde son derece önemlidir. Ticari uyuşmazlıkların hızlı bir şekilde çözümlenmesi</w:t>
      </w:r>
      <w:r w:rsidR="00D12168">
        <w:rPr>
          <w:rFonts w:ascii="Times New Roman" w:hAnsi="Times New Roman" w:cs="Times New Roman"/>
          <w:sz w:val="24"/>
          <w:szCs w:val="24"/>
        </w:rPr>
        <w:t xml:space="preserve"> üretim ve diğer ticari</w:t>
      </w:r>
      <w:r>
        <w:rPr>
          <w:rFonts w:ascii="Times New Roman" w:hAnsi="Times New Roman" w:cs="Times New Roman"/>
          <w:sz w:val="24"/>
          <w:szCs w:val="24"/>
        </w:rPr>
        <w:t xml:space="preserve"> faaliyetlerin sürekliliğini ve işletme maliyetlerini etkilemektedir.</w:t>
      </w:r>
      <w:r w:rsidR="00D12168">
        <w:rPr>
          <w:rFonts w:ascii="Times New Roman" w:hAnsi="Times New Roman" w:cs="Times New Roman"/>
          <w:sz w:val="24"/>
          <w:szCs w:val="24"/>
        </w:rPr>
        <w:t xml:space="preserve"> Ülkelerdeki yargısal süreçlerin hızlı ve etkin çalışması uluslararası yatırımcıyı teşvik eden </w:t>
      </w:r>
      <w:proofErr w:type="gramStart"/>
      <w:r w:rsidR="00D12168">
        <w:rPr>
          <w:rFonts w:ascii="Times New Roman" w:hAnsi="Times New Roman" w:cs="Times New Roman"/>
          <w:sz w:val="24"/>
          <w:szCs w:val="24"/>
        </w:rPr>
        <w:t>önemli  bir</w:t>
      </w:r>
      <w:proofErr w:type="gramEnd"/>
      <w:r w:rsidR="00D12168">
        <w:rPr>
          <w:rFonts w:ascii="Times New Roman" w:hAnsi="Times New Roman" w:cs="Times New Roman"/>
          <w:sz w:val="24"/>
          <w:szCs w:val="24"/>
        </w:rPr>
        <w:t xml:space="preserve"> kriterdir. </w:t>
      </w:r>
      <w:r>
        <w:rPr>
          <w:rFonts w:ascii="Times New Roman" w:hAnsi="Times New Roman" w:cs="Times New Roman"/>
          <w:sz w:val="24"/>
          <w:szCs w:val="24"/>
        </w:rPr>
        <w:t xml:space="preserve"> </w:t>
      </w:r>
      <w:r w:rsidR="0036153B" w:rsidRPr="00F27ED4">
        <w:rPr>
          <w:rFonts w:ascii="Times New Roman" w:hAnsi="Times New Roman" w:cs="Times New Roman"/>
          <w:sz w:val="24"/>
          <w:szCs w:val="24"/>
        </w:rPr>
        <w:t>Bu endeks kapsamında bir ticari uy</w:t>
      </w:r>
      <w:r w:rsidR="00F27ED4" w:rsidRPr="00F27ED4">
        <w:rPr>
          <w:rFonts w:ascii="Times New Roman" w:hAnsi="Times New Roman" w:cs="Times New Roman"/>
          <w:sz w:val="24"/>
          <w:szCs w:val="24"/>
        </w:rPr>
        <w:t>u</w:t>
      </w:r>
      <w:r w:rsidR="0036153B" w:rsidRPr="00F27ED4">
        <w:rPr>
          <w:rFonts w:ascii="Times New Roman" w:hAnsi="Times New Roman" w:cs="Times New Roman"/>
          <w:sz w:val="24"/>
          <w:szCs w:val="24"/>
        </w:rPr>
        <w:t>şmazlığın yargıda çözümle</w:t>
      </w:r>
      <w:r w:rsidR="00F27ED4" w:rsidRPr="00F27ED4">
        <w:rPr>
          <w:rFonts w:ascii="Times New Roman" w:hAnsi="Times New Roman" w:cs="Times New Roman"/>
          <w:sz w:val="24"/>
          <w:szCs w:val="24"/>
        </w:rPr>
        <w:t xml:space="preserve">nmesi için gereken zaman, işlemler yükü, katlanılması gereken maliyet ve yargı sürecinin kalitesi ölçülmektedir. İşlem yükleri adet olarak, maliyet sözleşme taleplerinin yüzdesi olarak ve zaman ise yargı sürecinin ortalama tamamlanma süresi gün olarak ölçülmektedir. Yargısal sürecin kalitesi ise aralık ölçeği le sorulmaktadır. </w:t>
      </w:r>
    </w:p>
    <w:p w:rsidR="00A84490" w:rsidRDefault="00A84490" w:rsidP="009E2E8B">
      <w:pPr>
        <w:spacing w:after="120" w:line="240" w:lineRule="auto"/>
        <w:ind w:firstLine="708"/>
        <w:jc w:val="both"/>
        <w:rPr>
          <w:rFonts w:ascii="Times New Roman" w:hAnsi="Times New Roman" w:cs="Times New Roman"/>
          <w:sz w:val="24"/>
          <w:szCs w:val="24"/>
        </w:rPr>
      </w:pPr>
    </w:p>
    <w:p w:rsidR="00A84490" w:rsidRDefault="00A84490" w:rsidP="009E2E8B">
      <w:pPr>
        <w:spacing w:after="120" w:line="240" w:lineRule="auto"/>
        <w:ind w:firstLine="708"/>
        <w:jc w:val="both"/>
        <w:rPr>
          <w:rFonts w:ascii="Times New Roman" w:hAnsi="Times New Roman" w:cs="Times New Roman"/>
          <w:sz w:val="24"/>
          <w:szCs w:val="24"/>
        </w:rPr>
      </w:pPr>
    </w:p>
    <w:p w:rsid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lastRenderedPageBreak/>
        <w:t>İflasın Çözümlenmesi</w:t>
      </w:r>
    </w:p>
    <w:p w:rsidR="001A2BBC" w:rsidRPr="00584F0A" w:rsidRDefault="00FB39A9" w:rsidP="009E2E8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Yargısal süreçlerin önemli bir boyutu da iflasın yargıda çözümlenmesidir. </w:t>
      </w:r>
      <w:r w:rsidR="00893326" w:rsidRPr="00584F0A">
        <w:rPr>
          <w:rFonts w:ascii="Times New Roman" w:hAnsi="Times New Roman" w:cs="Times New Roman"/>
          <w:sz w:val="24"/>
          <w:szCs w:val="24"/>
        </w:rPr>
        <w:t xml:space="preserve">Bir işletmenin iflası nedeni ile bu işletmeden alacakların tahsil oranı, </w:t>
      </w:r>
      <w:r w:rsidR="00584F0A" w:rsidRPr="00584F0A">
        <w:rPr>
          <w:rFonts w:ascii="Times New Roman" w:hAnsi="Times New Roman" w:cs="Times New Roman"/>
          <w:sz w:val="24"/>
          <w:szCs w:val="24"/>
        </w:rPr>
        <w:t xml:space="preserve">iflasın sonuçlandırılması için geçen zaman ve iflasla ilgili yargısal süreçlerin kalitesi ölçülmektedir. </w:t>
      </w:r>
      <w:r w:rsidR="00584F0A">
        <w:rPr>
          <w:rFonts w:ascii="Times New Roman" w:hAnsi="Times New Roman" w:cs="Times New Roman"/>
          <w:sz w:val="24"/>
          <w:szCs w:val="24"/>
        </w:rPr>
        <w:t>İflasa konu alacağın türüne göre mülkün yüzdesi ya da bir dolarlık alacağın oransal olarak ne kadarlık kısm</w:t>
      </w:r>
      <w:r w:rsidR="00CB5039">
        <w:rPr>
          <w:rFonts w:ascii="Times New Roman" w:hAnsi="Times New Roman" w:cs="Times New Roman"/>
          <w:sz w:val="24"/>
          <w:szCs w:val="24"/>
        </w:rPr>
        <w:t>ı</w:t>
      </w:r>
      <w:r w:rsidR="00584F0A">
        <w:rPr>
          <w:rFonts w:ascii="Times New Roman" w:hAnsi="Times New Roman" w:cs="Times New Roman"/>
          <w:sz w:val="24"/>
          <w:szCs w:val="24"/>
        </w:rPr>
        <w:t xml:space="preserve">nın tahsil edilebildiği ölçülmektedir. Endeks kapsamında </w:t>
      </w:r>
      <w:r w:rsidR="00CB5039">
        <w:rPr>
          <w:rFonts w:ascii="Times New Roman" w:hAnsi="Times New Roman" w:cs="Times New Roman"/>
          <w:sz w:val="24"/>
          <w:szCs w:val="24"/>
        </w:rPr>
        <w:t xml:space="preserve">yargılama zamanı gün olarak ölçülmektedir. </w:t>
      </w:r>
    </w:p>
    <w:p w:rsid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İşçi İstihdamı</w:t>
      </w:r>
    </w:p>
    <w:p w:rsidR="00CB5039" w:rsidRPr="00F25331" w:rsidRDefault="00FB39A9" w:rsidP="009E2E8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İşgücü verimliliği, işgücü maliyetleri, işgücü kalitesi yatırımcılar için son derece önemlidir. İşgücü uluslararası yatırımcılar için önemli bir maliyet unsuru olduğu kadar önemli bir rekabet unsurudur. </w:t>
      </w:r>
      <w:r w:rsidR="009B7C7D">
        <w:rPr>
          <w:rFonts w:ascii="Times New Roman" w:hAnsi="Times New Roman" w:cs="Times New Roman"/>
          <w:sz w:val="24"/>
          <w:szCs w:val="24"/>
        </w:rPr>
        <w:t xml:space="preserve">Hızla değişen talep ve piyasa yapısı nedeniyle nitelikli işgücü, esnek çalışma sistemleri yatırımcılar için önemli hale gelmiştir. </w:t>
      </w:r>
      <w:r w:rsidR="00AA2A08">
        <w:rPr>
          <w:rFonts w:ascii="Times New Roman" w:hAnsi="Times New Roman" w:cs="Times New Roman"/>
          <w:sz w:val="24"/>
          <w:szCs w:val="24"/>
        </w:rPr>
        <w:t>Buna ilaveten y</w:t>
      </w:r>
      <w:r w:rsidR="009B7C7D">
        <w:rPr>
          <w:rFonts w:ascii="Times New Roman" w:hAnsi="Times New Roman" w:cs="Times New Roman"/>
          <w:sz w:val="24"/>
          <w:szCs w:val="24"/>
        </w:rPr>
        <w:t>aşanan salgın hastalıklar esnek ve uzaktan çalışmayı öne çıkar</w:t>
      </w:r>
      <w:r w:rsidR="00AA2A08">
        <w:rPr>
          <w:rFonts w:ascii="Times New Roman" w:hAnsi="Times New Roman" w:cs="Times New Roman"/>
          <w:sz w:val="24"/>
          <w:szCs w:val="24"/>
        </w:rPr>
        <w:t xml:space="preserve">mıştır. </w:t>
      </w:r>
      <w:r w:rsidR="00CB5039" w:rsidRPr="00F25331">
        <w:rPr>
          <w:rFonts w:ascii="Times New Roman" w:hAnsi="Times New Roman" w:cs="Times New Roman"/>
          <w:sz w:val="24"/>
          <w:szCs w:val="24"/>
        </w:rPr>
        <w:t xml:space="preserve">İşçi </w:t>
      </w:r>
      <w:r w:rsidR="00F25331" w:rsidRPr="00F25331">
        <w:rPr>
          <w:rFonts w:ascii="Times New Roman" w:hAnsi="Times New Roman" w:cs="Times New Roman"/>
          <w:sz w:val="24"/>
          <w:szCs w:val="24"/>
        </w:rPr>
        <w:t>istihdamı</w:t>
      </w:r>
      <w:r w:rsidR="00CB5039" w:rsidRPr="00F25331">
        <w:rPr>
          <w:rFonts w:ascii="Times New Roman" w:hAnsi="Times New Roman" w:cs="Times New Roman"/>
          <w:sz w:val="24"/>
          <w:szCs w:val="24"/>
        </w:rPr>
        <w:t xml:space="preserve"> 2020 </w:t>
      </w:r>
      <w:r w:rsidR="00F25331" w:rsidRPr="00F25331">
        <w:rPr>
          <w:rFonts w:ascii="Times New Roman" w:hAnsi="Times New Roman" w:cs="Times New Roman"/>
          <w:sz w:val="24"/>
          <w:szCs w:val="24"/>
        </w:rPr>
        <w:t>yılı</w:t>
      </w:r>
      <w:r w:rsidR="00CB5039" w:rsidRPr="00F25331">
        <w:rPr>
          <w:rFonts w:ascii="Times New Roman" w:hAnsi="Times New Roman" w:cs="Times New Roman"/>
          <w:sz w:val="24"/>
          <w:szCs w:val="24"/>
        </w:rPr>
        <w:t xml:space="preserve"> </w:t>
      </w:r>
      <w:r w:rsidR="00F25331" w:rsidRPr="00F25331">
        <w:rPr>
          <w:rFonts w:ascii="Times New Roman" w:hAnsi="Times New Roman" w:cs="Times New Roman"/>
          <w:sz w:val="24"/>
          <w:szCs w:val="24"/>
        </w:rPr>
        <w:t>değerlendirmelerinde</w:t>
      </w:r>
      <w:r w:rsidR="00CB5039" w:rsidRPr="00F25331">
        <w:rPr>
          <w:rFonts w:ascii="Times New Roman" w:hAnsi="Times New Roman" w:cs="Times New Roman"/>
          <w:sz w:val="24"/>
          <w:szCs w:val="24"/>
        </w:rPr>
        <w:t xml:space="preserve"> kullanılmamakla birlikte bu endeks </w:t>
      </w:r>
      <w:r w:rsidR="00F25331" w:rsidRPr="00F25331">
        <w:rPr>
          <w:rFonts w:ascii="Times New Roman" w:hAnsi="Times New Roman" w:cs="Times New Roman"/>
          <w:sz w:val="24"/>
          <w:szCs w:val="24"/>
        </w:rPr>
        <w:t>kapsamında</w:t>
      </w:r>
      <w:r w:rsidR="00F25331">
        <w:rPr>
          <w:rFonts w:ascii="Times New Roman" w:hAnsi="Times New Roman" w:cs="Times New Roman"/>
          <w:sz w:val="24"/>
          <w:szCs w:val="24"/>
        </w:rPr>
        <w:t xml:space="preserve"> asgari ücret seviyesi</w:t>
      </w:r>
      <w:r w:rsidR="00CB5039" w:rsidRPr="00F25331">
        <w:rPr>
          <w:rFonts w:ascii="Times New Roman" w:hAnsi="Times New Roman" w:cs="Times New Roman"/>
          <w:sz w:val="24"/>
          <w:szCs w:val="24"/>
        </w:rPr>
        <w:t xml:space="preserve">, </w:t>
      </w:r>
      <w:r w:rsidR="00F25331">
        <w:rPr>
          <w:rFonts w:ascii="Times New Roman" w:hAnsi="Times New Roman" w:cs="Times New Roman"/>
          <w:sz w:val="24"/>
          <w:szCs w:val="24"/>
        </w:rPr>
        <w:t xml:space="preserve">iş </w:t>
      </w:r>
      <w:r w:rsidR="00CB5039" w:rsidRPr="00F25331">
        <w:rPr>
          <w:rFonts w:ascii="Times New Roman" w:hAnsi="Times New Roman" w:cs="Times New Roman"/>
          <w:sz w:val="24"/>
          <w:szCs w:val="24"/>
        </w:rPr>
        <w:t>sözleşmelerin</w:t>
      </w:r>
      <w:r w:rsidR="00F25331">
        <w:rPr>
          <w:rFonts w:ascii="Times New Roman" w:hAnsi="Times New Roman" w:cs="Times New Roman"/>
          <w:sz w:val="24"/>
          <w:szCs w:val="24"/>
        </w:rPr>
        <w:t>in</w:t>
      </w:r>
      <w:r w:rsidR="00CB5039" w:rsidRPr="00F25331">
        <w:rPr>
          <w:rFonts w:ascii="Times New Roman" w:hAnsi="Times New Roman" w:cs="Times New Roman"/>
          <w:sz w:val="24"/>
          <w:szCs w:val="24"/>
        </w:rPr>
        <w:t xml:space="preserve"> esnekliği ve istihdam üzerinden alınan vergilerin işletmeleri için oluşturduğu maliyetler ölçülmektedir. </w:t>
      </w:r>
      <w:r w:rsidR="00AB2E8E">
        <w:rPr>
          <w:rFonts w:ascii="Times New Roman" w:hAnsi="Times New Roman" w:cs="Times New Roman"/>
          <w:sz w:val="24"/>
          <w:szCs w:val="24"/>
        </w:rPr>
        <w:t>İ</w:t>
      </w:r>
      <w:r w:rsidR="00F25331" w:rsidRPr="00F25331">
        <w:rPr>
          <w:rFonts w:ascii="Times New Roman" w:hAnsi="Times New Roman" w:cs="Times New Roman"/>
          <w:sz w:val="24"/>
          <w:szCs w:val="24"/>
        </w:rPr>
        <w:t>şgücünün</w:t>
      </w:r>
      <w:r w:rsidR="00CB5039" w:rsidRPr="00F25331">
        <w:rPr>
          <w:rFonts w:ascii="Times New Roman" w:hAnsi="Times New Roman" w:cs="Times New Roman"/>
          <w:sz w:val="24"/>
          <w:szCs w:val="24"/>
        </w:rPr>
        <w:t xml:space="preserve"> verimliliği, iş yasalarının esnek çalışma </w:t>
      </w:r>
      <w:r w:rsidR="00F25331" w:rsidRPr="00F25331">
        <w:rPr>
          <w:rFonts w:ascii="Times New Roman" w:hAnsi="Times New Roman" w:cs="Times New Roman"/>
          <w:sz w:val="24"/>
          <w:szCs w:val="24"/>
        </w:rPr>
        <w:t>şekillerini</w:t>
      </w:r>
      <w:r w:rsidR="00CB5039" w:rsidRPr="00F25331">
        <w:rPr>
          <w:rFonts w:ascii="Times New Roman" w:hAnsi="Times New Roman" w:cs="Times New Roman"/>
          <w:sz w:val="24"/>
          <w:szCs w:val="24"/>
        </w:rPr>
        <w:t xml:space="preserve"> </w:t>
      </w:r>
      <w:r w:rsidR="00F25331" w:rsidRPr="00F25331">
        <w:rPr>
          <w:rFonts w:ascii="Times New Roman" w:hAnsi="Times New Roman" w:cs="Times New Roman"/>
          <w:sz w:val="24"/>
          <w:szCs w:val="24"/>
        </w:rPr>
        <w:t>destekleyip</w:t>
      </w:r>
      <w:r w:rsidR="00CB5039" w:rsidRPr="00F25331">
        <w:rPr>
          <w:rFonts w:ascii="Times New Roman" w:hAnsi="Times New Roman" w:cs="Times New Roman"/>
          <w:sz w:val="24"/>
          <w:szCs w:val="24"/>
        </w:rPr>
        <w:t xml:space="preserve"> </w:t>
      </w:r>
      <w:r w:rsidR="00F25331" w:rsidRPr="00F25331">
        <w:rPr>
          <w:rFonts w:ascii="Times New Roman" w:hAnsi="Times New Roman" w:cs="Times New Roman"/>
          <w:sz w:val="24"/>
          <w:szCs w:val="24"/>
        </w:rPr>
        <w:t>destelemediği</w:t>
      </w:r>
      <w:r w:rsidR="00CB5039" w:rsidRPr="00F25331">
        <w:rPr>
          <w:rFonts w:ascii="Times New Roman" w:hAnsi="Times New Roman" w:cs="Times New Roman"/>
          <w:sz w:val="24"/>
          <w:szCs w:val="24"/>
        </w:rPr>
        <w:t xml:space="preserve"> ve işçilik maliyetleri </w:t>
      </w:r>
      <w:r w:rsidR="00472F55">
        <w:rPr>
          <w:rFonts w:ascii="Times New Roman" w:hAnsi="Times New Roman" w:cs="Times New Roman"/>
          <w:sz w:val="24"/>
          <w:szCs w:val="24"/>
        </w:rPr>
        <w:t xml:space="preserve">gibi işgücü piyasası düzenlemeleri yatırımcılar için </w:t>
      </w:r>
      <w:r w:rsidR="00CB5039" w:rsidRPr="00F25331">
        <w:rPr>
          <w:rFonts w:ascii="Times New Roman" w:hAnsi="Times New Roman" w:cs="Times New Roman"/>
          <w:sz w:val="24"/>
          <w:szCs w:val="24"/>
        </w:rPr>
        <w:t xml:space="preserve">öne çıkmaktadır. </w:t>
      </w:r>
    </w:p>
    <w:p w:rsidR="00C27654" w:rsidRPr="009E2E8B" w:rsidRDefault="009E2E8B" w:rsidP="009E2E8B">
      <w:pPr>
        <w:spacing w:after="120" w:line="240" w:lineRule="auto"/>
        <w:ind w:firstLine="708"/>
        <w:jc w:val="both"/>
        <w:rPr>
          <w:rFonts w:ascii="Times New Roman" w:hAnsi="Times New Roman" w:cs="Times New Roman"/>
          <w:b/>
          <w:sz w:val="24"/>
          <w:szCs w:val="24"/>
        </w:rPr>
      </w:pPr>
      <w:r w:rsidRPr="009E2E8B">
        <w:rPr>
          <w:rFonts w:ascii="Times New Roman" w:hAnsi="Times New Roman" w:cs="Times New Roman"/>
          <w:b/>
          <w:sz w:val="24"/>
          <w:szCs w:val="24"/>
        </w:rPr>
        <w:t>Hükümetle Sözleşme Yapma</w:t>
      </w:r>
    </w:p>
    <w:p w:rsidR="00C27654" w:rsidRDefault="00AA2A08" w:rsidP="0042532B">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Bu </w:t>
      </w:r>
      <w:proofErr w:type="gramStart"/>
      <w:r>
        <w:rPr>
          <w:rFonts w:ascii="Times New Roman" w:hAnsi="Times New Roman" w:cs="Times New Roman"/>
          <w:sz w:val="24"/>
          <w:szCs w:val="24"/>
        </w:rPr>
        <w:t>kriter</w:t>
      </w:r>
      <w:proofErr w:type="gramEnd"/>
      <w:r>
        <w:rPr>
          <w:rFonts w:ascii="Times New Roman" w:hAnsi="Times New Roman" w:cs="Times New Roman"/>
          <w:sz w:val="24"/>
          <w:szCs w:val="24"/>
        </w:rPr>
        <w:t>, şirketlerin h</w:t>
      </w:r>
      <w:r w:rsidR="00DB3589">
        <w:rPr>
          <w:rFonts w:ascii="Times New Roman" w:hAnsi="Times New Roman" w:cs="Times New Roman"/>
          <w:sz w:val="24"/>
          <w:szCs w:val="24"/>
        </w:rPr>
        <w:t xml:space="preserve">ükümetle sözleşme yapma ve uluslararası hukuk standartlarına uygun olarak bu sözleşmelerin sürdürülmesini inceler. Kamu kesiminin alıcı ya da satıcı olarak </w:t>
      </w:r>
      <w:r w:rsidR="00BA3135">
        <w:rPr>
          <w:rFonts w:ascii="Times New Roman" w:hAnsi="Times New Roman" w:cs="Times New Roman"/>
          <w:sz w:val="24"/>
          <w:szCs w:val="24"/>
        </w:rPr>
        <w:t>piyasada</w:t>
      </w:r>
      <w:r w:rsidR="00DB3589">
        <w:rPr>
          <w:rFonts w:ascii="Times New Roman" w:hAnsi="Times New Roman" w:cs="Times New Roman"/>
          <w:sz w:val="24"/>
          <w:szCs w:val="24"/>
        </w:rPr>
        <w:t xml:space="preserve"> bir aktör olması halinde açılan ihalelere başvurabilme, süreci </w:t>
      </w:r>
      <w:r w:rsidR="00BA3135">
        <w:rPr>
          <w:rFonts w:ascii="Times New Roman" w:hAnsi="Times New Roman" w:cs="Times New Roman"/>
          <w:sz w:val="24"/>
          <w:szCs w:val="24"/>
        </w:rPr>
        <w:t>uluslararası</w:t>
      </w:r>
      <w:r w:rsidR="00DB3589">
        <w:rPr>
          <w:rFonts w:ascii="Times New Roman" w:hAnsi="Times New Roman" w:cs="Times New Roman"/>
          <w:sz w:val="24"/>
          <w:szCs w:val="24"/>
        </w:rPr>
        <w:t xml:space="preserve"> standartlarda sürdürebilme </w:t>
      </w:r>
      <w:r w:rsidR="00BA3135">
        <w:rPr>
          <w:rFonts w:ascii="Times New Roman" w:hAnsi="Times New Roman" w:cs="Times New Roman"/>
          <w:sz w:val="24"/>
          <w:szCs w:val="24"/>
        </w:rPr>
        <w:t>konusundaki</w:t>
      </w:r>
      <w:r w:rsidR="00DB3589">
        <w:rPr>
          <w:rFonts w:ascii="Times New Roman" w:hAnsi="Times New Roman" w:cs="Times New Roman"/>
          <w:sz w:val="24"/>
          <w:szCs w:val="24"/>
        </w:rPr>
        <w:t xml:space="preserve"> kolaylıkların </w:t>
      </w:r>
      <w:r w:rsidR="00BA3135">
        <w:rPr>
          <w:rFonts w:ascii="Times New Roman" w:hAnsi="Times New Roman" w:cs="Times New Roman"/>
          <w:sz w:val="24"/>
          <w:szCs w:val="24"/>
        </w:rPr>
        <w:t>değerlendirilmesini</w:t>
      </w:r>
      <w:r w:rsidR="00DB3589">
        <w:rPr>
          <w:rFonts w:ascii="Times New Roman" w:hAnsi="Times New Roman" w:cs="Times New Roman"/>
          <w:sz w:val="24"/>
          <w:szCs w:val="24"/>
        </w:rPr>
        <w:t xml:space="preserve"> içerir. Bu endekste 2020 yılı iş yapma kolaylığı endeksinin belirlenmesinde </w:t>
      </w:r>
      <w:r w:rsidR="00BA3135">
        <w:rPr>
          <w:rFonts w:ascii="Times New Roman" w:hAnsi="Times New Roman" w:cs="Times New Roman"/>
          <w:sz w:val="24"/>
          <w:szCs w:val="24"/>
        </w:rPr>
        <w:t xml:space="preserve">işçi istihdamı ve işgücü piyasası endeksinde olduğu gibi kullanılmamıştır. </w:t>
      </w:r>
    </w:p>
    <w:p w:rsidR="00005E85" w:rsidRPr="00056492" w:rsidRDefault="00AA2A08" w:rsidP="00090EA0">
      <w:pPr>
        <w:spacing w:after="240" w:line="240" w:lineRule="auto"/>
        <w:ind w:firstLine="709"/>
        <w:jc w:val="both"/>
        <w:rPr>
          <w:rFonts w:ascii="Times New Roman" w:hAnsi="Times New Roman" w:cs="Times New Roman"/>
          <w:color w:val="FF0000"/>
          <w:sz w:val="24"/>
          <w:szCs w:val="24"/>
        </w:rPr>
      </w:pPr>
      <w:r>
        <w:rPr>
          <w:rFonts w:ascii="Times New Roman" w:hAnsi="Times New Roman" w:cs="Times New Roman"/>
          <w:sz w:val="24"/>
          <w:szCs w:val="24"/>
        </w:rPr>
        <w:t xml:space="preserve">Tablo 2’de iş yapma kolaylığı endeksi bileşenleri verilmiştir. Tabloda ölçüm </w:t>
      </w:r>
      <w:proofErr w:type="gramStart"/>
      <w:r>
        <w:rPr>
          <w:rFonts w:ascii="Times New Roman" w:hAnsi="Times New Roman" w:cs="Times New Roman"/>
          <w:sz w:val="24"/>
          <w:szCs w:val="24"/>
        </w:rPr>
        <w:t>kriterleri</w:t>
      </w:r>
      <w:proofErr w:type="gramEnd"/>
      <w:r>
        <w:rPr>
          <w:rFonts w:ascii="Times New Roman" w:hAnsi="Times New Roman" w:cs="Times New Roman"/>
          <w:sz w:val="24"/>
          <w:szCs w:val="24"/>
        </w:rPr>
        <w:t xml:space="preserve"> ile ölçüm birimleri açıklanmıştır.</w:t>
      </w:r>
      <w:r w:rsidR="009870D0">
        <w:rPr>
          <w:rFonts w:ascii="Times New Roman" w:hAnsi="Times New Roman" w:cs="Times New Roman"/>
          <w:sz w:val="24"/>
          <w:szCs w:val="24"/>
        </w:rPr>
        <w:t xml:space="preserve"> Tablodaki göstergelerden bazıları birden fazla soru ile ölçülen göstergelerdir. T</w:t>
      </w:r>
      <w:r>
        <w:rPr>
          <w:rFonts w:ascii="Times New Roman" w:hAnsi="Times New Roman" w:cs="Times New Roman"/>
          <w:sz w:val="24"/>
          <w:szCs w:val="24"/>
        </w:rPr>
        <w:t xml:space="preserve">ablodaki ölçüm </w:t>
      </w:r>
      <w:proofErr w:type="gramStart"/>
      <w:r>
        <w:rPr>
          <w:rFonts w:ascii="Times New Roman" w:hAnsi="Times New Roman" w:cs="Times New Roman"/>
          <w:sz w:val="24"/>
          <w:szCs w:val="24"/>
        </w:rPr>
        <w:t>kriterlerinin</w:t>
      </w:r>
      <w:proofErr w:type="gramEnd"/>
      <w:r>
        <w:rPr>
          <w:rFonts w:ascii="Times New Roman" w:hAnsi="Times New Roman" w:cs="Times New Roman"/>
          <w:sz w:val="24"/>
          <w:szCs w:val="24"/>
        </w:rPr>
        <w:t xml:space="preserve"> zaman içinde genişleyerek yeni ölçütlerin endeksin hesaplanmasına katıldığı görülmektedir. Bu durum endeksin ölçüm gücünü ve güveni</w:t>
      </w:r>
      <w:r w:rsidR="00946298">
        <w:rPr>
          <w:rFonts w:ascii="Times New Roman" w:hAnsi="Times New Roman" w:cs="Times New Roman"/>
          <w:sz w:val="24"/>
          <w:szCs w:val="24"/>
        </w:rPr>
        <w:t>li</w:t>
      </w:r>
      <w:r>
        <w:rPr>
          <w:rFonts w:ascii="Times New Roman" w:hAnsi="Times New Roman" w:cs="Times New Roman"/>
          <w:sz w:val="24"/>
          <w:szCs w:val="24"/>
        </w:rPr>
        <w:t>rliğini artırmaktadır. Buna karşın endeksin ölçüm gücü ve güveni</w:t>
      </w:r>
      <w:r w:rsidR="00946298">
        <w:rPr>
          <w:rFonts w:ascii="Times New Roman" w:hAnsi="Times New Roman" w:cs="Times New Roman"/>
          <w:sz w:val="24"/>
          <w:szCs w:val="24"/>
        </w:rPr>
        <w:t>li</w:t>
      </w:r>
      <w:r>
        <w:rPr>
          <w:rFonts w:ascii="Times New Roman" w:hAnsi="Times New Roman" w:cs="Times New Roman"/>
          <w:sz w:val="24"/>
          <w:szCs w:val="24"/>
        </w:rPr>
        <w:t xml:space="preserve">rliği </w:t>
      </w:r>
      <w:r w:rsidR="00946298">
        <w:rPr>
          <w:rFonts w:ascii="Times New Roman" w:hAnsi="Times New Roman" w:cs="Times New Roman"/>
          <w:sz w:val="24"/>
          <w:szCs w:val="24"/>
        </w:rPr>
        <w:t>konusu tartışma ve araştırma konusu olamaya devam etmektedir. Endekse için toplanan anketlerin ülkenin</w:t>
      </w:r>
      <w:r w:rsidR="00EF0F88">
        <w:rPr>
          <w:rFonts w:ascii="Times New Roman" w:hAnsi="Times New Roman" w:cs="Times New Roman"/>
          <w:sz w:val="24"/>
          <w:szCs w:val="24"/>
        </w:rPr>
        <w:t xml:space="preserve"> en büyük ticari merkezlerinde yapılması, </w:t>
      </w:r>
      <w:r w:rsidR="00CF624B">
        <w:rPr>
          <w:rFonts w:ascii="Times New Roman" w:hAnsi="Times New Roman" w:cs="Times New Roman"/>
          <w:sz w:val="24"/>
          <w:szCs w:val="24"/>
        </w:rPr>
        <w:t xml:space="preserve">belirli büyüklükteki şirketler için veri toplanması, </w:t>
      </w:r>
      <w:proofErr w:type="spellStart"/>
      <w:r w:rsidR="00EF0F88">
        <w:rPr>
          <w:rFonts w:ascii="Times New Roman" w:hAnsi="Times New Roman" w:cs="Times New Roman"/>
          <w:sz w:val="24"/>
          <w:szCs w:val="24"/>
        </w:rPr>
        <w:t>sektör</w:t>
      </w:r>
      <w:r w:rsidR="00CF624B">
        <w:rPr>
          <w:rFonts w:ascii="Times New Roman" w:hAnsi="Times New Roman" w:cs="Times New Roman"/>
          <w:sz w:val="24"/>
          <w:szCs w:val="24"/>
        </w:rPr>
        <w:t>el</w:t>
      </w:r>
      <w:proofErr w:type="spellEnd"/>
      <w:r w:rsidR="00CF624B">
        <w:rPr>
          <w:rFonts w:ascii="Times New Roman" w:hAnsi="Times New Roman" w:cs="Times New Roman"/>
          <w:sz w:val="24"/>
          <w:szCs w:val="24"/>
        </w:rPr>
        <w:t xml:space="preserve"> ayrım yapılmaması ve sektör</w:t>
      </w:r>
      <w:r w:rsidR="00EF0F88">
        <w:rPr>
          <w:rFonts w:ascii="Times New Roman" w:hAnsi="Times New Roman" w:cs="Times New Roman"/>
          <w:sz w:val="24"/>
          <w:szCs w:val="24"/>
        </w:rPr>
        <w:t xml:space="preserve"> özelliklerinin dikkate alınmaması</w:t>
      </w:r>
      <w:r w:rsidR="00946298">
        <w:rPr>
          <w:rFonts w:ascii="Times New Roman" w:hAnsi="Times New Roman" w:cs="Times New Roman"/>
          <w:sz w:val="24"/>
          <w:szCs w:val="24"/>
        </w:rPr>
        <w:t>,</w:t>
      </w:r>
      <w:r w:rsidR="00EF0F88">
        <w:rPr>
          <w:rFonts w:ascii="Times New Roman" w:hAnsi="Times New Roman" w:cs="Times New Roman"/>
          <w:sz w:val="24"/>
          <w:szCs w:val="24"/>
        </w:rPr>
        <w:t xml:space="preserve"> işgücü </w:t>
      </w:r>
      <w:r w:rsidR="00CF624B">
        <w:rPr>
          <w:rFonts w:ascii="Times New Roman" w:hAnsi="Times New Roman" w:cs="Times New Roman"/>
          <w:sz w:val="24"/>
          <w:szCs w:val="24"/>
        </w:rPr>
        <w:t xml:space="preserve">istihdam şartları, hükümet sözleşmeleri gibi </w:t>
      </w:r>
      <w:r w:rsidR="00EF0F88">
        <w:rPr>
          <w:rFonts w:ascii="Times New Roman" w:hAnsi="Times New Roman" w:cs="Times New Roman"/>
          <w:sz w:val="24"/>
          <w:szCs w:val="24"/>
        </w:rPr>
        <w:t xml:space="preserve">dışarda bırakılan </w:t>
      </w:r>
      <w:proofErr w:type="gramStart"/>
      <w:r w:rsidR="00EF0F88">
        <w:rPr>
          <w:rFonts w:ascii="Times New Roman" w:hAnsi="Times New Roman" w:cs="Times New Roman"/>
          <w:sz w:val="24"/>
          <w:szCs w:val="24"/>
        </w:rPr>
        <w:t>kriterlerin</w:t>
      </w:r>
      <w:proofErr w:type="gramEnd"/>
      <w:r w:rsidR="00EF0F88">
        <w:rPr>
          <w:rFonts w:ascii="Times New Roman" w:hAnsi="Times New Roman" w:cs="Times New Roman"/>
          <w:sz w:val="24"/>
          <w:szCs w:val="24"/>
        </w:rPr>
        <w:t xml:space="preserve"> olması</w:t>
      </w:r>
      <w:r w:rsidR="00CF624B">
        <w:rPr>
          <w:rFonts w:ascii="Times New Roman" w:hAnsi="Times New Roman" w:cs="Times New Roman"/>
          <w:sz w:val="24"/>
          <w:szCs w:val="24"/>
        </w:rPr>
        <w:t xml:space="preserve"> endeksin zay</w:t>
      </w:r>
      <w:r w:rsidR="00EF799C">
        <w:rPr>
          <w:rFonts w:ascii="Times New Roman" w:hAnsi="Times New Roman" w:cs="Times New Roman"/>
          <w:sz w:val="24"/>
          <w:szCs w:val="24"/>
        </w:rPr>
        <w:t>ıf noktalarını oluşturmaktadır(Dünya Bankası, 2020)</w:t>
      </w:r>
      <w:r w:rsidR="00FA5022">
        <w:rPr>
          <w:rFonts w:ascii="Times New Roman" w:hAnsi="Times New Roman" w:cs="Times New Roman"/>
          <w:sz w:val="24"/>
          <w:szCs w:val="24"/>
        </w:rPr>
        <w:t xml:space="preserve"> Bu eleştirilere rağmen </w:t>
      </w:r>
      <w:r w:rsidR="005D1FB7">
        <w:rPr>
          <w:rFonts w:ascii="Times New Roman" w:hAnsi="Times New Roman" w:cs="Times New Roman"/>
          <w:sz w:val="24"/>
          <w:szCs w:val="24"/>
        </w:rPr>
        <w:t>“</w:t>
      </w:r>
      <w:r w:rsidR="00FA5022">
        <w:rPr>
          <w:rFonts w:ascii="Times New Roman" w:hAnsi="Times New Roman" w:cs="Times New Roman"/>
          <w:sz w:val="24"/>
          <w:szCs w:val="24"/>
        </w:rPr>
        <w:t>iş yapma kolaylığı endeksi</w:t>
      </w:r>
      <w:r w:rsidR="005D1FB7">
        <w:rPr>
          <w:rFonts w:ascii="Times New Roman" w:hAnsi="Times New Roman" w:cs="Times New Roman"/>
          <w:sz w:val="24"/>
          <w:szCs w:val="24"/>
        </w:rPr>
        <w:t>” ülke yönetimleri, karar ve politika birimleri, şirketler ve yatırımcılar için</w:t>
      </w:r>
      <w:r w:rsidR="00FA5022">
        <w:rPr>
          <w:rFonts w:ascii="Times New Roman" w:hAnsi="Times New Roman" w:cs="Times New Roman"/>
          <w:sz w:val="24"/>
          <w:szCs w:val="24"/>
        </w:rPr>
        <w:t xml:space="preserve"> önemli bir uluslararası gösterge, önemli bir değerlendirme rehberidir.  </w:t>
      </w:r>
    </w:p>
    <w:p w:rsidR="00917183" w:rsidRPr="00917183" w:rsidRDefault="00917183" w:rsidP="0042532B">
      <w:pPr>
        <w:spacing w:after="120" w:line="240" w:lineRule="auto"/>
        <w:ind w:firstLine="708"/>
        <w:jc w:val="both"/>
        <w:rPr>
          <w:rFonts w:ascii="Times New Roman" w:hAnsi="Times New Roman" w:cs="Times New Roman"/>
          <w:b/>
          <w:sz w:val="24"/>
          <w:szCs w:val="24"/>
        </w:rPr>
      </w:pPr>
      <w:r w:rsidRPr="00917183">
        <w:rPr>
          <w:rFonts w:ascii="Times New Roman" w:hAnsi="Times New Roman" w:cs="Times New Roman"/>
          <w:b/>
          <w:sz w:val="24"/>
          <w:szCs w:val="24"/>
        </w:rPr>
        <w:t xml:space="preserve">Tablo 2. </w:t>
      </w:r>
      <w:r w:rsidR="00895732">
        <w:rPr>
          <w:rFonts w:ascii="Times New Roman" w:hAnsi="Times New Roman" w:cs="Times New Roman"/>
          <w:b/>
          <w:sz w:val="24"/>
          <w:szCs w:val="24"/>
        </w:rPr>
        <w:t xml:space="preserve">2020 Yılı </w:t>
      </w:r>
      <w:r w:rsidRPr="00917183">
        <w:rPr>
          <w:rFonts w:ascii="Times New Roman" w:hAnsi="Times New Roman" w:cs="Times New Roman"/>
          <w:b/>
          <w:sz w:val="24"/>
          <w:szCs w:val="24"/>
        </w:rPr>
        <w:t>İş Yapma Kolaylığı Endeksi</w:t>
      </w:r>
      <w:r w:rsidR="00B41132">
        <w:rPr>
          <w:rFonts w:ascii="Times New Roman" w:hAnsi="Times New Roman" w:cs="Times New Roman"/>
          <w:b/>
          <w:sz w:val="24"/>
          <w:szCs w:val="24"/>
        </w:rPr>
        <w:t xml:space="preserve"> </w:t>
      </w:r>
      <w:r w:rsidR="002500F5">
        <w:rPr>
          <w:rFonts w:ascii="Times New Roman" w:hAnsi="Times New Roman" w:cs="Times New Roman"/>
          <w:b/>
          <w:sz w:val="24"/>
          <w:szCs w:val="24"/>
        </w:rPr>
        <w:t>Ölçütleri</w:t>
      </w:r>
      <w:r w:rsidR="00895732">
        <w:rPr>
          <w:rFonts w:ascii="Times New Roman" w:hAnsi="Times New Roman" w:cs="Times New Roman"/>
          <w:b/>
          <w:sz w:val="24"/>
          <w:szCs w:val="24"/>
        </w:rPr>
        <w:t xml:space="preserve"> </w:t>
      </w:r>
    </w:p>
    <w:tbl>
      <w:tblPr>
        <w:tblStyle w:val="DzTablo2"/>
        <w:tblW w:w="0" w:type="auto"/>
        <w:tblLook w:val="04A0" w:firstRow="1" w:lastRow="0" w:firstColumn="1" w:lastColumn="0" w:noHBand="0" w:noVBand="1"/>
      </w:tblPr>
      <w:tblGrid>
        <w:gridCol w:w="5382"/>
        <w:gridCol w:w="3678"/>
      </w:tblGrid>
      <w:tr w:rsidR="00917183" w:rsidRPr="002500F5" w:rsidTr="004627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917183" w:rsidRPr="00B41132" w:rsidRDefault="00006FD1" w:rsidP="00B41132">
            <w:pPr>
              <w:spacing w:after="120"/>
              <w:jc w:val="both"/>
              <w:rPr>
                <w:rFonts w:ascii="Times New Roman" w:hAnsi="Times New Roman" w:cs="Times New Roman"/>
                <w:sz w:val="20"/>
                <w:szCs w:val="20"/>
              </w:rPr>
            </w:pPr>
            <w:r w:rsidRPr="00B41132">
              <w:rPr>
                <w:rFonts w:ascii="Times New Roman" w:hAnsi="Times New Roman" w:cs="Times New Roman"/>
                <w:sz w:val="20"/>
                <w:szCs w:val="20"/>
              </w:rPr>
              <w:t>Ölçü</w:t>
            </w:r>
            <w:r w:rsidR="00B41132">
              <w:rPr>
                <w:rFonts w:ascii="Times New Roman" w:hAnsi="Times New Roman" w:cs="Times New Roman"/>
                <w:sz w:val="20"/>
                <w:szCs w:val="20"/>
              </w:rPr>
              <w:t>tler</w:t>
            </w:r>
          </w:p>
        </w:tc>
        <w:tc>
          <w:tcPr>
            <w:tcW w:w="3678" w:type="dxa"/>
          </w:tcPr>
          <w:p w:rsidR="00917183" w:rsidRPr="00B41132" w:rsidRDefault="00386B6C" w:rsidP="0042532B">
            <w:pPr>
              <w:spacing w:after="12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41132">
              <w:rPr>
                <w:rFonts w:ascii="Times New Roman" w:hAnsi="Times New Roman" w:cs="Times New Roman"/>
                <w:sz w:val="20"/>
                <w:szCs w:val="20"/>
              </w:rPr>
              <w:t xml:space="preserve">Ölçü </w:t>
            </w:r>
            <w:r w:rsidR="00006FD1" w:rsidRPr="00B41132">
              <w:rPr>
                <w:rFonts w:ascii="Times New Roman" w:hAnsi="Times New Roman" w:cs="Times New Roman"/>
                <w:sz w:val="20"/>
                <w:szCs w:val="20"/>
              </w:rPr>
              <w:t>Birim</w:t>
            </w:r>
            <w:r w:rsidRPr="00B41132">
              <w:rPr>
                <w:rFonts w:ascii="Times New Roman" w:hAnsi="Times New Roman" w:cs="Times New Roman"/>
                <w:sz w:val="20"/>
                <w:szCs w:val="20"/>
              </w:rPr>
              <w:t>i</w:t>
            </w:r>
          </w:p>
        </w:tc>
      </w:tr>
      <w:tr w:rsidR="00917183"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917183" w:rsidRPr="002500F5" w:rsidRDefault="00006FD1" w:rsidP="0042532B">
            <w:pPr>
              <w:spacing w:after="120"/>
              <w:jc w:val="both"/>
              <w:rPr>
                <w:rFonts w:ascii="Times New Roman" w:hAnsi="Times New Roman" w:cs="Times New Roman"/>
                <w:b w:val="0"/>
                <w:sz w:val="20"/>
                <w:szCs w:val="20"/>
              </w:rPr>
            </w:pPr>
            <w:r w:rsidRPr="002500F5">
              <w:rPr>
                <w:rFonts w:ascii="Times New Roman" w:hAnsi="Times New Roman" w:cs="Times New Roman"/>
                <w:b w:val="0"/>
                <w:sz w:val="20"/>
                <w:szCs w:val="20"/>
              </w:rPr>
              <w:t xml:space="preserve">Bir </w:t>
            </w:r>
            <w:r w:rsidR="007C6487" w:rsidRPr="002500F5">
              <w:rPr>
                <w:rFonts w:ascii="Times New Roman" w:hAnsi="Times New Roman" w:cs="Times New Roman"/>
                <w:b w:val="0"/>
                <w:sz w:val="20"/>
                <w:szCs w:val="20"/>
              </w:rPr>
              <w:t>işe başlama</w:t>
            </w:r>
          </w:p>
        </w:tc>
        <w:tc>
          <w:tcPr>
            <w:tcW w:w="3678" w:type="dxa"/>
          </w:tcPr>
          <w:p w:rsidR="00917183" w:rsidRPr="002500F5" w:rsidRDefault="00006FD1" w:rsidP="0042532B">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Küçük ve Orta Ölçekte bir Limited Şirket</w:t>
            </w:r>
          </w:p>
        </w:tc>
      </w:tr>
      <w:tr w:rsidR="00917183"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917183" w:rsidRPr="002500F5" w:rsidRDefault="00006FD1" w:rsidP="0064600D">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227C88" w:rsidRPr="002500F5">
              <w:rPr>
                <w:rFonts w:ascii="Times New Roman" w:hAnsi="Times New Roman" w:cs="Times New Roman"/>
                <w:sz w:val="20"/>
                <w:szCs w:val="20"/>
              </w:rPr>
              <w:t xml:space="preserve">Bir şirketin kurulması ve </w:t>
            </w:r>
            <w:r w:rsidR="0064600D" w:rsidRPr="002500F5">
              <w:rPr>
                <w:rFonts w:ascii="Times New Roman" w:hAnsi="Times New Roman" w:cs="Times New Roman"/>
                <w:sz w:val="20"/>
                <w:szCs w:val="20"/>
              </w:rPr>
              <w:t xml:space="preserve">kuruluş </w:t>
            </w:r>
            <w:r w:rsidR="00227C88" w:rsidRPr="002500F5">
              <w:rPr>
                <w:rFonts w:ascii="Times New Roman" w:hAnsi="Times New Roman" w:cs="Times New Roman"/>
                <w:sz w:val="20"/>
                <w:szCs w:val="20"/>
              </w:rPr>
              <w:t xml:space="preserve">işlemleri </w:t>
            </w:r>
          </w:p>
        </w:tc>
        <w:tc>
          <w:tcPr>
            <w:tcW w:w="3678" w:type="dxa"/>
          </w:tcPr>
          <w:p w:rsidR="00917183" w:rsidRPr="002500F5" w:rsidRDefault="005444A0" w:rsidP="0042532B">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Adet</w:t>
            </w:r>
          </w:p>
        </w:tc>
      </w:tr>
      <w:tr w:rsidR="00917183"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917183" w:rsidRPr="002500F5" w:rsidRDefault="005444A0" w:rsidP="0064600D">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Bir şirketin kuruluş işlemlerinin tamamlanma süresi </w:t>
            </w:r>
            <w:r w:rsidR="00CE50C8" w:rsidRPr="002500F5">
              <w:rPr>
                <w:rFonts w:ascii="Times New Roman" w:hAnsi="Times New Roman" w:cs="Times New Roman"/>
                <w:sz w:val="20"/>
                <w:szCs w:val="20"/>
              </w:rPr>
              <w:t xml:space="preserve">    </w:t>
            </w:r>
          </w:p>
        </w:tc>
        <w:tc>
          <w:tcPr>
            <w:tcW w:w="3678" w:type="dxa"/>
          </w:tcPr>
          <w:p w:rsidR="00917183" w:rsidRPr="002500F5" w:rsidRDefault="005444A0" w:rsidP="0042532B">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Gün</w:t>
            </w:r>
          </w:p>
        </w:tc>
      </w:tr>
      <w:tr w:rsidR="00917183"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917183" w:rsidRPr="002500F5" w:rsidRDefault="005444A0" w:rsidP="0042532B">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Bir şirketin kuruluş işlemlerinin maliyeti </w:t>
            </w:r>
          </w:p>
        </w:tc>
        <w:tc>
          <w:tcPr>
            <w:tcW w:w="3678" w:type="dxa"/>
          </w:tcPr>
          <w:p w:rsidR="00917183" w:rsidRPr="002500F5" w:rsidRDefault="007B2364" w:rsidP="0042532B">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 xml:space="preserve">Kişi başına düşen milli gelire oranı </w:t>
            </w:r>
          </w:p>
        </w:tc>
      </w:tr>
      <w:tr w:rsidR="007B2364"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7B2364" w:rsidRPr="002500F5" w:rsidRDefault="007B2364" w:rsidP="007B2364">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Bir şirket kuruluşu için gereken asgari sermaye </w:t>
            </w:r>
          </w:p>
        </w:tc>
        <w:tc>
          <w:tcPr>
            <w:tcW w:w="3678" w:type="dxa"/>
          </w:tcPr>
          <w:p w:rsidR="007B2364" w:rsidRPr="002500F5" w:rsidRDefault="007B2364" w:rsidP="007B2364">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 xml:space="preserve">Kişi başına düşen milli gelire oranı </w:t>
            </w:r>
          </w:p>
        </w:tc>
      </w:tr>
      <w:tr w:rsidR="00917183"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917183" w:rsidRPr="002500F5" w:rsidRDefault="00386B6C" w:rsidP="00386B6C">
            <w:pPr>
              <w:spacing w:after="120"/>
              <w:jc w:val="both"/>
              <w:rPr>
                <w:rFonts w:ascii="Times New Roman" w:hAnsi="Times New Roman" w:cs="Times New Roman"/>
                <w:b w:val="0"/>
                <w:sz w:val="20"/>
                <w:szCs w:val="20"/>
              </w:rPr>
            </w:pPr>
            <w:r w:rsidRPr="002500F5">
              <w:rPr>
                <w:rFonts w:ascii="Times New Roman" w:hAnsi="Times New Roman" w:cs="Times New Roman"/>
                <w:b w:val="0"/>
                <w:sz w:val="20"/>
                <w:szCs w:val="20"/>
              </w:rPr>
              <w:lastRenderedPageBreak/>
              <w:t xml:space="preserve">İnşaat İzinleri ile ilgilenmek </w:t>
            </w:r>
          </w:p>
        </w:tc>
        <w:tc>
          <w:tcPr>
            <w:tcW w:w="3678" w:type="dxa"/>
          </w:tcPr>
          <w:p w:rsidR="00917183" w:rsidRPr="002500F5" w:rsidRDefault="00386B6C" w:rsidP="00386B6C">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Standart bir depo inşa etmek</w:t>
            </w:r>
          </w:p>
        </w:tc>
      </w:tr>
      <w:tr w:rsidR="00917183"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917183" w:rsidRPr="002500F5" w:rsidRDefault="00386B6C" w:rsidP="00386B6C">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Bir depo inşa etmek için gerekli işlemler</w:t>
            </w:r>
          </w:p>
        </w:tc>
        <w:tc>
          <w:tcPr>
            <w:tcW w:w="3678" w:type="dxa"/>
          </w:tcPr>
          <w:p w:rsidR="00917183" w:rsidRPr="002500F5" w:rsidRDefault="00386B6C" w:rsidP="0042532B">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Adet</w:t>
            </w:r>
          </w:p>
        </w:tc>
      </w:tr>
      <w:tr w:rsidR="00917183"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917183" w:rsidRPr="002500F5" w:rsidRDefault="00386B6C" w:rsidP="00E50D7C">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E50D7C" w:rsidRPr="002500F5">
              <w:rPr>
                <w:rFonts w:ascii="Times New Roman" w:hAnsi="Times New Roman" w:cs="Times New Roman"/>
                <w:sz w:val="20"/>
                <w:szCs w:val="20"/>
              </w:rPr>
              <w:t>Bir depo inşa etmek için gerekli işlemlerin tamamla süresi</w:t>
            </w:r>
          </w:p>
        </w:tc>
        <w:tc>
          <w:tcPr>
            <w:tcW w:w="3678" w:type="dxa"/>
          </w:tcPr>
          <w:p w:rsidR="00917183" w:rsidRPr="002500F5" w:rsidRDefault="00E50D7C" w:rsidP="0042532B">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Gün</w:t>
            </w:r>
          </w:p>
        </w:tc>
      </w:tr>
      <w:tr w:rsidR="00005E8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005E85" w:rsidRPr="002500F5" w:rsidRDefault="00005E85" w:rsidP="00005E8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Bir depo inşa etmenin maliyeti </w:t>
            </w:r>
          </w:p>
        </w:tc>
        <w:tc>
          <w:tcPr>
            <w:tcW w:w="3678" w:type="dxa"/>
          </w:tcPr>
          <w:p w:rsidR="00005E85" w:rsidRPr="002500F5" w:rsidRDefault="00005E85" w:rsidP="00005E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 xml:space="preserve">Kişi başına düşen milli gelire oranı </w:t>
            </w:r>
          </w:p>
        </w:tc>
      </w:tr>
      <w:tr w:rsidR="003C4122"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3C4122" w:rsidRPr="002500F5" w:rsidRDefault="003C4122" w:rsidP="001D478C">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B41132">
              <w:rPr>
                <w:rFonts w:ascii="Times New Roman" w:hAnsi="Times New Roman" w:cs="Times New Roman"/>
                <w:sz w:val="20"/>
                <w:szCs w:val="20"/>
              </w:rPr>
              <w:t xml:space="preserve"> </w:t>
            </w:r>
            <w:r w:rsidR="001D478C">
              <w:rPr>
                <w:rFonts w:ascii="Times New Roman" w:hAnsi="Times New Roman" w:cs="Times New Roman"/>
                <w:sz w:val="20"/>
                <w:szCs w:val="20"/>
              </w:rPr>
              <w:t>*</w:t>
            </w:r>
            <w:r w:rsidRPr="002500F5">
              <w:rPr>
                <w:rFonts w:ascii="Times New Roman" w:hAnsi="Times New Roman" w:cs="Times New Roman"/>
                <w:sz w:val="20"/>
                <w:szCs w:val="20"/>
              </w:rPr>
              <w:t xml:space="preserve">Bina kalite kontrol endeksi </w:t>
            </w:r>
          </w:p>
        </w:tc>
        <w:tc>
          <w:tcPr>
            <w:tcW w:w="3678" w:type="dxa"/>
          </w:tcPr>
          <w:p w:rsidR="003C4122" w:rsidRPr="002500F5" w:rsidRDefault="003C4122" w:rsidP="00005E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Endeks 0-15</w:t>
            </w:r>
          </w:p>
        </w:tc>
      </w:tr>
      <w:tr w:rsidR="00005E8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005E85" w:rsidRPr="002500F5" w:rsidRDefault="00202545" w:rsidP="00005E85">
            <w:pPr>
              <w:spacing w:after="120"/>
              <w:jc w:val="both"/>
              <w:rPr>
                <w:rFonts w:ascii="Times New Roman" w:hAnsi="Times New Roman" w:cs="Times New Roman"/>
                <w:b w:val="0"/>
                <w:sz w:val="20"/>
                <w:szCs w:val="20"/>
              </w:rPr>
            </w:pPr>
            <w:r w:rsidRPr="002500F5">
              <w:rPr>
                <w:rFonts w:ascii="Times New Roman" w:hAnsi="Times New Roman" w:cs="Times New Roman"/>
                <w:b w:val="0"/>
                <w:sz w:val="20"/>
                <w:szCs w:val="20"/>
              </w:rPr>
              <w:t>Elektrik bağlatma</w:t>
            </w:r>
          </w:p>
        </w:tc>
        <w:tc>
          <w:tcPr>
            <w:tcW w:w="3678" w:type="dxa"/>
          </w:tcPr>
          <w:p w:rsidR="00005E85" w:rsidRPr="002500F5" w:rsidRDefault="00202545" w:rsidP="0020254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Enerji temini, enerji kalitesi ve maliyetleri</w:t>
            </w:r>
          </w:p>
        </w:tc>
      </w:tr>
      <w:tr w:rsidR="00005E8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005E85" w:rsidRPr="002500F5" w:rsidRDefault="004149B5" w:rsidP="00005E8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Bir depoya elektrik bağlatma maliyeti </w:t>
            </w:r>
          </w:p>
        </w:tc>
        <w:tc>
          <w:tcPr>
            <w:tcW w:w="3678" w:type="dxa"/>
          </w:tcPr>
          <w:p w:rsidR="00005E85" w:rsidRPr="002500F5" w:rsidRDefault="004149B5" w:rsidP="00005E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Kişi başına düşen milli gelire oranı</w:t>
            </w:r>
          </w:p>
        </w:tc>
      </w:tr>
      <w:tr w:rsidR="00005E8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005E85" w:rsidRPr="002500F5" w:rsidRDefault="001D423E" w:rsidP="0050388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Elektrik bağlatma süresi </w:t>
            </w:r>
          </w:p>
        </w:tc>
        <w:tc>
          <w:tcPr>
            <w:tcW w:w="3678" w:type="dxa"/>
          </w:tcPr>
          <w:p w:rsidR="00005E85" w:rsidRPr="002500F5" w:rsidRDefault="001D423E" w:rsidP="00005E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Gün</w:t>
            </w:r>
          </w:p>
        </w:tc>
      </w:tr>
      <w:tr w:rsidR="001D423E"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1D423E" w:rsidRPr="002500F5" w:rsidRDefault="001D423E" w:rsidP="0050388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Elektrik bağlatma işlemleri </w:t>
            </w:r>
          </w:p>
        </w:tc>
        <w:tc>
          <w:tcPr>
            <w:tcW w:w="3678" w:type="dxa"/>
          </w:tcPr>
          <w:p w:rsidR="001D423E" w:rsidRPr="002500F5" w:rsidRDefault="001D423E" w:rsidP="00005E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Adet</w:t>
            </w:r>
          </w:p>
        </w:tc>
      </w:tr>
      <w:tr w:rsidR="00DC66EC"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DC66EC" w:rsidRPr="002500F5" w:rsidRDefault="00DC66EC" w:rsidP="001D478C">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1D478C">
              <w:rPr>
                <w:rFonts w:ascii="Times New Roman" w:hAnsi="Times New Roman" w:cs="Times New Roman"/>
                <w:sz w:val="20"/>
                <w:szCs w:val="20"/>
              </w:rPr>
              <w:t>*</w:t>
            </w:r>
            <w:r w:rsidRPr="002500F5">
              <w:rPr>
                <w:rFonts w:ascii="Times New Roman" w:hAnsi="Times New Roman" w:cs="Times New Roman"/>
                <w:sz w:val="20"/>
                <w:szCs w:val="20"/>
              </w:rPr>
              <w:t>Enerji arzı güvenilirliği ve tarife şeffaflığı endeksi</w:t>
            </w:r>
          </w:p>
        </w:tc>
        <w:tc>
          <w:tcPr>
            <w:tcW w:w="3678" w:type="dxa"/>
          </w:tcPr>
          <w:p w:rsidR="00DC66EC" w:rsidRPr="002500F5" w:rsidRDefault="00DC66EC" w:rsidP="00005E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Endeks 0-8</w:t>
            </w:r>
          </w:p>
        </w:tc>
      </w:tr>
      <w:tr w:rsidR="0020254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202545" w:rsidRPr="002500F5" w:rsidRDefault="00202545" w:rsidP="00202545">
            <w:pPr>
              <w:spacing w:after="120"/>
              <w:jc w:val="both"/>
              <w:rPr>
                <w:rFonts w:ascii="Times New Roman" w:hAnsi="Times New Roman" w:cs="Times New Roman"/>
                <w:b w:val="0"/>
                <w:sz w:val="20"/>
                <w:szCs w:val="20"/>
              </w:rPr>
            </w:pPr>
            <w:r w:rsidRPr="002500F5">
              <w:rPr>
                <w:rFonts w:ascii="Times New Roman" w:hAnsi="Times New Roman" w:cs="Times New Roman"/>
                <w:b w:val="0"/>
                <w:sz w:val="20"/>
                <w:szCs w:val="20"/>
              </w:rPr>
              <w:t xml:space="preserve">Mülkiyetin kaydedilmesi </w:t>
            </w:r>
          </w:p>
        </w:tc>
        <w:tc>
          <w:tcPr>
            <w:tcW w:w="3678" w:type="dxa"/>
          </w:tcPr>
          <w:p w:rsidR="00202545" w:rsidRPr="002500F5" w:rsidRDefault="00202545" w:rsidP="0020254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İki şirket arasında mülk devri işlemleri</w:t>
            </w:r>
          </w:p>
        </w:tc>
      </w:tr>
      <w:tr w:rsidR="0020254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202545" w:rsidRPr="002500F5" w:rsidRDefault="00202545" w:rsidP="0020254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Bir gayrimenkulün devri için gerekli tapu işlemleri</w:t>
            </w:r>
          </w:p>
        </w:tc>
        <w:tc>
          <w:tcPr>
            <w:tcW w:w="3678" w:type="dxa"/>
          </w:tcPr>
          <w:p w:rsidR="00202545" w:rsidRPr="002500F5" w:rsidRDefault="00202545" w:rsidP="0020254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Adet</w:t>
            </w:r>
          </w:p>
        </w:tc>
      </w:tr>
      <w:tr w:rsidR="0020254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202545" w:rsidRPr="002500F5" w:rsidRDefault="00202545" w:rsidP="0020254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Bir gayrimenkulün devri için gerekli işlemlerin süresi</w:t>
            </w:r>
          </w:p>
        </w:tc>
        <w:tc>
          <w:tcPr>
            <w:tcW w:w="3678" w:type="dxa"/>
          </w:tcPr>
          <w:p w:rsidR="00202545" w:rsidRPr="002500F5" w:rsidRDefault="00202545" w:rsidP="0020254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Gün</w:t>
            </w:r>
          </w:p>
        </w:tc>
      </w:tr>
      <w:tr w:rsidR="0020254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202545" w:rsidRPr="002500F5" w:rsidRDefault="00202545" w:rsidP="0020254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Bir gayrimenkulün devri için gerekli maliyet</w:t>
            </w:r>
          </w:p>
        </w:tc>
        <w:tc>
          <w:tcPr>
            <w:tcW w:w="3678" w:type="dxa"/>
          </w:tcPr>
          <w:p w:rsidR="00202545" w:rsidRPr="002500F5" w:rsidRDefault="00202545" w:rsidP="0020254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 xml:space="preserve">Taşınmaz değerine oranı </w:t>
            </w:r>
          </w:p>
        </w:tc>
      </w:tr>
      <w:tr w:rsidR="005A5F0E"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5A5F0E" w:rsidRPr="002500F5" w:rsidRDefault="001D478C" w:rsidP="00B41132">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5A5F0E" w:rsidRPr="002500F5">
              <w:rPr>
                <w:rFonts w:ascii="Times New Roman" w:hAnsi="Times New Roman" w:cs="Times New Roman"/>
                <w:sz w:val="20"/>
                <w:szCs w:val="20"/>
              </w:rPr>
              <w:t>Arazi yönetim kalitesi endeksi</w:t>
            </w:r>
          </w:p>
        </w:tc>
        <w:tc>
          <w:tcPr>
            <w:tcW w:w="3678" w:type="dxa"/>
          </w:tcPr>
          <w:p w:rsidR="005A5F0E" w:rsidRPr="002500F5" w:rsidRDefault="005A5F0E" w:rsidP="0020254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 xml:space="preserve">Endeks 0-30 </w:t>
            </w:r>
          </w:p>
        </w:tc>
      </w:tr>
      <w:tr w:rsidR="0020254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202545" w:rsidRPr="002500F5" w:rsidRDefault="00202545" w:rsidP="00202545">
            <w:pPr>
              <w:spacing w:after="120"/>
              <w:jc w:val="both"/>
              <w:rPr>
                <w:rFonts w:ascii="Times New Roman" w:hAnsi="Times New Roman" w:cs="Times New Roman"/>
                <w:b w:val="0"/>
                <w:sz w:val="20"/>
                <w:szCs w:val="20"/>
              </w:rPr>
            </w:pPr>
            <w:r w:rsidRPr="002500F5">
              <w:rPr>
                <w:rFonts w:ascii="Times New Roman" w:hAnsi="Times New Roman" w:cs="Times New Roman"/>
                <w:b w:val="0"/>
                <w:sz w:val="20"/>
                <w:szCs w:val="20"/>
              </w:rPr>
              <w:t>Kredi alma</w:t>
            </w:r>
          </w:p>
        </w:tc>
        <w:tc>
          <w:tcPr>
            <w:tcW w:w="3678" w:type="dxa"/>
          </w:tcPr>
          <w:p w:rsidR="00202545" w:rsidRPr="002500F5" w:rsidRDefault="00202545" w:rsidP="0020254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 xml:space="preserve">Finansa erişim ve teminat gösterimi süreci </w:t>
            </w:r>
          </w:p>
        </w:tc>
      </w:tr>
      <w:tr w:rsidR="0020254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202545" w:rsidRPr="002500F5" w:rsidRDefault="00202545" w:rsidP="0020254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FC1429">
              <w:rPr>
                <w:rFonts w:ascii="Times New Roman" w:hAnsi="Times New Roman" w:cs="Times New Roman"/>
                <w:sz w:val="20"/>
                <w:szCs w:val="20"/>
              </w:rPr>
              <w:t>*</w:t>
            </w:r>
            <w:r w:rsidRPr="002500F5">
              <w:rPr>
                <w:rFonts w:ascii="Times New Roman" w:hAnsi="Times New Roman" w:cs="Times New Roman"/>
                <w:sz w:val="20"/>
                <w:szCs w:val="20"/>
              </w:rPr>
              <w:t xml:space="preserve">Kredi bilgisi derinliği endeksi </w:t>
            </w:r>
          </w:p>
        </w:tc>
        <w:tc>
          <w:tcPr>
            <w:tcW w:w="3678" w:type="dxa"/>
          </w:tcPr>
          <w:p w:rsidR="00202545" w:rsidRPr="002500F5" w:rsidRDefault="00202545" w:rsidP="006226DA">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2500F5">
              <w:rPr>
                <w:rFonts w:ascii="Times New Roman" w:hAnsi="Times New Roman" w:cs="Times New Roman"/>
                <w:sz w:val="20"/>
                <w:szCs w:val="20"/>
              </w:rPr>
              <w:t>Endeks  0</w:t>
            </w:r>
            <w:proofErr w:type="gramEnd"/>
            <w:r w:rsidRPr="002500F5">
              <w:rPr>
                <w:rFonts w:ascii="Times New Roman" w:hAnsi="Times New Roman" w:cs="Times New Roman"/>
                <w:sz w:val="20"/>
                <w:szCs w:val="20"/>
              </w:rPr>
              <w:t>-</w:t>
            </w:r>
            <w:r w:rsidR="006226DA">
              <w:rPr>
                <w:rFonts w:ascii="Times New Roman" w:hAnsi="Times New Roman" w:cs="Times New Roman"/>
                <w:sz w:val="20"/>
                <w:szCs w:val="20"/>
              </w:rPr>
              <w:t>6</w:t>
            </w:r>
          </w:p>
        </w:tc>
      </w:tr>
      <w:tr w:rsidR="0020254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202545" w:rsidRPr="002500F5" w:rsidRDefault="00202545" w:rsidP="0020254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FC1429">
              <w:rPr>
                <w:rFonts w:ascii="Times New Roman" w:hAnsi="Times New Roman" w:cs="Times New Roman"/>
                <w:sz w:val="20"/>
                <w:szCs w:val="20"/>
              </w:rPr>
              <w:t>*</w:t>
            </w:r>
            <w:r w:rsidRPr="002500F5">
              <w:rPr>
                <w:rFonts w:ascii="Times New Roman" w:hAnsi="Times New Roman" w:cs="Times New Roman"/>
                <w:sz w:val="20"/>
                <w:szCs w:val="20"/>
              </w:rPr>
              <w:t>Yasal hakların gücü endeksi</w:t>
            </w:r>
          </w:p>
        </w:tc>
        <w:tc>
          <w:tcPr>
            <w:tcW w:w="3678" w:type="dxa"/>
          </w:tcPr>
          <w:p w:rsidR="00202545" w:rsidRPr="002500F5" w:rsidRDefault="00202545" w:rsidP="0020254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2500F5">
              <w:rPr>
                <w:rFonts w:ascii="Times New Roman" w:hAnsi="Times New Roman" w:cs="Times New Roman"/>
                <w:sz w:val="20"/>
                <w:szCs w:val="20"/>
              </w:rPr>
              <w:t>Endeks  0</w:t>
            </w:r>
            <w:proofErr w:type="gramEnd"/>
            <w:r w:rsidRPr="002500F5">
              <w:rPr>
                <w:rFonts w:ascii="Times New Roman" w:hAnsi="Times New Roman" w:cs="Times New Roman"/>
                <w:sz w:val="20"/>
                <w:szCs w:val="20"/>
              </w:rPr>
              <w:t>-10</w:t>
            </w:r>
          </w:p>
        </w:tc>
      </w:tr>
      <w:tr w:rsidR="002500F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2500F5" w:rsidRPr="002500F5" w:rsidRDefault="002500F5" w:rsidP="00B41132">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1D478C">
              <w:rPr>
                <w:rFonts w:ascii="Times New Roman" w:hAnsi="Times New Roman" w:cs="Times New Roman"/>
                <w:sz w:val="20"/>
                <w:szCs w:val="20"/>
              </w:rPr>
              <w:t xml:space="preserve"> </w:t>
            </w:r>
            <w:r>
              <w:rPr>
                <w:rFonts w:ascii="Times New Roman" w:hAnsi="Times New Roman" w:cs="Times New Roman"/>
                <w:sz w:val="20"/>
                <w:szCs w:val="20"/>
              </w:rPr>
              <w:t>Kredi bürosu kapsamı</w:t>
            </w:r>
          </w:p>
        </w:tc>
        <w:tc>
          <w:tcPr>
            <w:tcW w:w="3678" w:type="dxa"/>
          </w:tcPr>
          <w:p w:rsidR="002500F5" w:rsidRPr="002500F5" w:rsidRDefault="00387D82" w:rsidP="00387D82">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Yıllık olarak k</w:t>
            </w:r>
            <w:r w:rsidR="002500F5">
              <w:rPr>
                <w:rFonts w:ascii="Times New Roman" w:hAnsi="Times New Roman" w:cs="Times New Roman"/>
                <w:sz w:val="20"/>
                <w:szCs w:val="20"/>
              </w:rPr>
              <w:t>redi bürosunda kayıtlı kişi sayısı</w:t>
            </w:r>
            <w:r w:rsidR="00315C89">
              <w:rPr>
                <w:rFonts w:ascii="Times New Roman" w:hAnsi="Times New Roman" w:cs="Times New Roman"/>
                <w:sz w:val="20"/>
                <w:szCs w:val="20"/>
              </w:rPr>
              <w:t>nın yetişkin nüfusa oranı</w:t>
            </w:r>
          </w:p>
        </w:tc>
      </w:tr>
      <w:tr w:rsidR="00315C89"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315C89" w:rsidRDefault="00591A0C" w:rsidP="00B41132">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1D478C">
              <w:rPr>
                <w:rFonts w:ascii="Times New Roman" w:hAnsi="Times New Roman" w:cs="Times New Roman"/>
                <w:sz w:val="20"/>
                <w:szCs w:val="20"/>
              </w:rPr>
              <w:t xml:space="preserve"> </w:t>
            </w:r>
            <w:r>
              <w:rPr>
                <w:rFonts w:ascii="Times New Roman" w:hAnsi="Times New Roman" w:cs="Times New Roman"/>
                <w:sz w:val="20"/>
                <w:szCs w:val="20"/>
              </w:rPr>
              <w:t>Kredi sicili kapsamı</w:t>
            </w:r>
          </w:p>
        </w:tc>
        <w:tc>
          <w:tcPr>
            <w:tcW w:w="3678" w:type="dxa"/>
          </w:tcPr>
          <w:p w:rsidR="00315C89" w:rsidRDefault="00591A0C" w:rsidP="00387D82">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Son 5 yıl içinde kredi ku</w:t>
            </w:r>
            <w:r w:rsidR="00387D82">
              <w:rPr>
                <w:rFonts w:ascii="Times New Roman" w:hAnsi="Times New Roman" w:cs="Times New Roman"/>
                <w:sz w:val="20"/>
                <w:szCs w:val="20"/>
              </w:rPr>
              <w:t>l</w:t>
            </w:r>
            <w:r>
              <w:rPr>
                <w:rFonts w:ascii="Times New Roman" w:hAnsi="Times New Roman" w:cs="Times New Roman"/>
                <w:sz w:val="20"/>
                <w:szCs w:val="20"/>
              </w:rPr>
              <w:t xml:space="preserve">lananların </w:t>
            </w:r>
            <w:r w:rsidR="00387D82">
              <w:rPr>
                <w:rFonts w:ascii="Times New Roman" w:hAnsi="Times New Roman" w:cs="Times New Roman"/>
                <w:sz w:val="20"/>
                <w:szCs w:val="20"/>
              </w:rPr>
              <w:t xml:space="preserve">sayısının yetişkin nüfusa oranı </w:t>
            </w:r>
          </w:p>
        </w:tc>
      </w:tr>
      <w:tr w:rsidR="0020254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202545" w:rsidRPr="002500F5" w:rsidRDefault="00202545" w:rsidP="00202545">
            <w:pPr>
              <w:spacing w:after="120"/>
              <w:jc w:val="both"/>
              <w:rPr>
                <w:rFonts w:ascii="Times New Roman" w:hAnsi="Times New Roman" w:cs="Times New Roman"/>
                <w:b w:val="0"/>
                <w:sz w:val="20"/>
                <w:szCs w:val="20"/>
              </w:rPr>
            </w:pPr>
            <w:r w:rsidRPr="002500F5">
              <w:rPr>
                <w:rFonts w:ascii="Times New Roman" w:hAnsi="Times New Roman" w:cs="Times New Roman"/>
                <w:b w:val="0"/>
                <w:sz w:val="20"/>
                <w:szCs w:val="20"/>
              </w:rPr>
              <w:t xml:space="preserve">Azınlık (Küçük hissedar) haklarının korunması </w:t>
            </w:r>
          </w:p>
        </w:tc>
        <w:tc>
          <w:tcPr>
            <w:tcW w:w="3678" w:type="dxa"/>
          </w:tcPr>
          <w:p w:rsidR="00202545" w:rsidRPr="002500F5" w:rsidRDefault="00D80D85" w:rsidP="009F69B9">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 xml:space="preserve">Küçük hissedarların </w:t>
            </w:r>
            <w:r w:rsidR="009F69B9">
              <w:rPr>
                <w:rFonts w:ascii="Times New Roman" w:hAnsi="Times New Roman" w:cs="Times New Roman"/>
                <w:sz w:val="20"/>
                <w:szCs w:val="20"/>
              </w:rPr>
              <w:t>ş</w:t>
            </w:r>
            <w:r w:rsidRPr="002500F5">
              <w:rPr>
                <w:rFonts w:ascii="Times New Roman" w:hAnsi="Times New Roman" w:cs="Times New Roman"/>
                <w:sz w:val="20"/>
                <w:szCs w:val="20"/>
              </w:rPr>
              <w:t xml:space="preserve">irket yönetimine karşı haklarının korunması </w:t>
            </w:r>
          </w:p>
        </w:tc>
      </w:tr>
      <w:tr w:rsidR="0020254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202545" w:rsidRPr="002500F5" w:rsidRDefault="00F63CE6" w:rsidP="00DF7DF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FC1429">
              <w:rPr>
                <w:rFonts w:ascii="Times New Roman" w:hAnsi="Times New Roman" w:cs="Times New Roman"/>
                <w:sz w:val="20"/>
                <w:szCs w:val="20"/>
              </w:rPr>
              <w:t>*</w:t>
            </w:r>
            <w:r w:rsidR="00DF7DF5" w:rsidRPr="002500F5">
              <w:rPr>
                <w:rFonts w:ascii="Times New Roman" w:hAnsi="Times New Roman" w:cs="Times New Roman"/>
                <w:sz w:val="20"/>
                <w:szCs w:val="20"/>
              </w:rPr>
              <w:t xml:space="preserve">Açıklama yapma kapsamı endeksi  </w:t>
            </w:r>
          </w:p>
        </w:tc>
        <w:tc>
          <w:tcPr>
            <w:tcW w:w="3678" w:type="dxa"/>
          </w:tcPr>
          <w:p w:rsidR="00202545" w:rsidRPr="002500F5" w:rsidRDefault="00202545" w:rsidP="0020254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2500F5">
              <w:rPr>
                <w:rFonts w:ascii="Times New Roman" w:hAnsi="Times New Roman" w:cs="Times New Roman"/>
                <w:sz w:val="20"/>
                <w:szCs w:val="20"/>
              </w:rPr>
              <w:t>Endeks  0</w:t>
            </w:r>
            <w:proofErr w:type="gramEnd"/>
            <w:r w:rsidRPr="002500F5">
              <w:rPr>
                <w:rFonts w:ascii="Times New Roman" w:hAnsi="Times New Roman" w:cs="Times New Roman"/>
                <w:sz w:val="20"/>
                <w:szCs w:val="20"/>
              </w:rPr>
              <w:t>-10</w:t>
            </w:r>
          </w:p>
        </w:tc>
      </w:tr>
      <w:tr w:rsidR="0020254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202545" w:rsidRPr="002500F5" w:rsidRDefault="00F63CE6" w:rsidP="00DF7DF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FC1429">
              <w:rPr>
                <w:rFonts w:ascii="Times New Roman" w:hAnsi="Times New Roman" w:cs="Times New Roman"/>
                <w:sz w:val="20"/>
                <w:szCs w:val="20"/>
              </w:rPr>
              <w:t>*</w:t>
            </w:r>
            <w:r w:rsidRPr="002500F5">
              <w:rPr>
                <w:rFonts w:ascii="Times New Roman" w:hAnsi="Times New Roman" w:cs="Times New Roman"/>
                <w:sz w:val="20"/>
                <w:szCs w:val="20"/>
              </w:rPr>
              <w:t>Yönetici sorumluluk</w:t>
            </w:r>
            <w:r w:rsidR="00DF7DF5" w:rsidRPr="002500F5">
              <w:rPr>
                <w:rFonts w:ascii="Times New Roman" w:hAnsi="Times New Roman" w:cs="Times New Roman"/>
                <w:sz w:val="20"/>
                <w:szCs w:val="20"/>
              </w:rPr>
              <w:t xml:space="preserve"> kapsamı endeksi </w:t>
            </w:r>
          </w:p>
        </w:tc>
        <w:tc>
          <w:tcPr>
            <w:tcW w:w="3678" w:type="dxa"/>
          </w:tcPr>
          <w:p w:rsidR="00202545" w:rsidRPr="002500F5" w:rsidRDefault="00202545" w:rsidP="0020254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2500F5">
              <w:rPr>
                <w:rFonts w:ascii="Times New Roman" w:hAnsi="Times New Roman" w:cs="Times New Roman"/>
                <w:sz w:val="20"/>
                <w:szCs w:val="20"/>
              </w:rPr>
              <w:t>Endeks  0</w:t>
            </w:r>
            <w:proofErr w:type="gramEnd"/>
            <w:r w:rsidRPr="002500F5">
              <w:rPr>
                <w:rFonts w:ascii="Times New Roman" w:hAnsi="Times New Roman" w:cs="Times New Roman"/>
                <w:sz w:val="20"/>
                <w:szCs w:val="20"/>
              </w:rPr>
              <w:t>-10</w:t>
            </w:r>
          </w:p>
        </w:tc>
      </w:tr>
      <w:tr w:rsidR="00D80D8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F63CE6" w:rsidP="00D80D85">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FC1429">
              <w:rPr>
                <w:rFonts w:ascii="Times New Roman" w:hAnsi="Times New Roman" w:cs="Times New Roman"/>
                <w:sz w:val="20"/>
                <w:szCs w:val="20"/>
              </w:rPr>
              <w:t>*</w:t>
            </w:r>
            <w:r w:rsidR="005941C0" w:rsidRPr="002500F5">
              <w:rPr>
                <w:rFonts w:ascii="Times New Roman" w:hAnsi="Times New Roman" w:cs="Times New Roman"/>
                <w:sz w:val="20"/>
                <w:szCs w:val="20"/>
              </w:rPr>
              <w:t>Hissedarların dava açma ve kanıtlara erişimi</w:t>
            </w:r>
          </w:p>
        </w:tc>
        <w:tc>
          <w:tcPr>
            <w:tcW w:w="3678" w:type="dxa"/>
          </w:tcPr>
          <w:p w:rsidR="00D80D85" w:rsidRPr="002500F5" w:rsidRDefault="00D80D85"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gramStart"/>
            <w:r w:rsidRPr="002500F5">
              <w:rPr>
                <w:rFonts w:ascii="Times New Roman" w:hAnsi="Times New Roman" w:cs="Times New Roman"/>
                <w:sz w:val="20"/>
                <w:szCs w:val="20"/>
              </w:rPr>
              <w:t>Endeks  0</w:t>
            </w:r>
            <w:proofErr w:type="gramEnd"/>
            <w:r w:rsidRPr="002500F5">
              <w:rPr>
                <w:rFonts w:ascii="Times New Roman" w:hAnsi="Times New Roman" w:cs="Times New Roman"/>
                <w:sz w:val="20"/>
                <w:szCs w:val="20"/>
              </w:rPr>
              <w:t>-10</w:t>
            </w:r>
          </w:p>
        </w:tc>
      </w:tr>
      <w:tr w:rsidR="00E0167D"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E0167D" w:rsidRPr="002500F5" w:rsidRDefault="00E0167D" w:rsidP="00D80D85">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FC1429">
              <w:rPr>
                <w:rFonts w:ascii="Times New Roman" w:hAnsi="Times New Roman" w:cs="Times New Roman"/>
                <w:sz w:val="20"/>
                <w:szCs w:val="20"/>
              </w:rPr>
              <w:t>*</w:t>
            </w:r>
            <w:r>
              <w:rPr>
                <w:rFonts w:ascii="Times New Roman" w:hAnsi="Times New Roman" w:cs="Times New Roman"/>
                <w:sz w:val="20"/>
                <w:szCs w:val="20"/>
              </w:rPr>
              <w:t xml:space="preserve">Hissedar hakları kapsamı endeksi </w:t>
            </w:r>
          </w:p>
        </w:tc>
        <w:tc>
          <w:tcPr>
            <w:tcW w:w="3678" w:type="dxa"/>
          </w:tcPr>
          <w:p w:rsidR="00E0167D" w:rsidRPr="002500F5" w:rsidRDefault="00E0167D" w:rsidP="00D80D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Endeks 0-6</w:t>
            </w:r>
          </w:p>
        </w:tc>
      </w:tr>
      <w:tr w:rsidR="00E0167D"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E0167D" w:rsidRDefault="00E0167D" w:rsidP="00D80D85">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FC1429">
              <w:rPr>
                <w:rFonts w:ascii="Times New Roman" w:hAnsi="Times New Roman" w:cs="Times New Roman"/>
                <w:sz w:val="20"/>
                <w:szCs w:val="20"/>
              </w:rPr>
              <w:t>*</w:t>
            </w:r>
            <w:r>
              <w:rPr>
                <w:rFonts w:ascii="Times New Roman" w:hAnsi="Times New Roman" w:cs="Times New Roman"/>
                <w:sz w:val="20"/>
                <w:szCs w:val="20"/>
              </w:rPr>
              <w:t>Mülkiyetin sahipliği ve kontrol endeksi kapsamı</w:t>
            </w:r>
          </w:p>
        </w:tc>
        <w:tc>
          <w:tcPr>
            <w:tcW w:w="3678" w:type="dxa"/>
          </w:tcPr>
          <w:p w:rsidR="00E0167D" w:rsidRDefault="00E0167D"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Endeks 0-7</w:t>
            </w:r>
          </w:p>
        </w:tc>
      </w:tr>
      <w:tr w:rsidR="00BA32A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BA32A5" w:rsidRDefault="00BA32A5" w:rsidP="00D80D85">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FC1429">
              <w:rPr>
                <w:rFonts w:ascii="Times New Roman" w:hAnsi="Times New Roman" w:cs="Times New Roman"/>
                <w:sz w:val="20"/>
                <w:szCs w:val="20"/>
              </w:rPr>
              <w:t>*</w:t>
            </w:r>
            <w:r>
              <w:rPr>
                <w:rFonts w:ascii="Times New Roman" w:hAnsi="Times New Roman" w:cs="Times New Roman"/>
                <w:sz w:val="20"/>
                <w:szCs w:val="20"/>
              </w:rPr>
              <w:t>Kurumsal şeffaflık endeksi kapsamı</w:t>
            </w:r>
          </w:p>
        </w:tc>
        <w:tc>
          <w:tcPr>
            <w:tcW w:w="3678" w:type="dxa"/>
          </w:tcPr>
          <w:p w:rsidR="00BA32A5" w:rsidRDefault="00BA32A5" w:rsidP="00D80D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Endeks 0-7 </w:t>
            </w:r>
          </w:p>
        </w:tc>
      </w:tr>
      <w:tr w:rsidR="00D80D8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ED2232" w:rsidP="00D80D85">
            <w:pPr>
              <w:spacing w:after="120"/>
              <w:jc w:val="both"/>
              <w:rPr>
                <w:rFonts w:ascii="Times New Roman" w:hAnsi="Times New Roman" w:cs="Times New Roman"/>
                <w:b w:val="0"/>
                <w:sz w:val="20"/>
                <w:szCs w:val="20"/>
              </w:rPr>
            </w:pPr>
            <w:r w:rsidRPr="002500F5">
              <w:rPr>
                <w:rFonts w:ascii="Times New Roman" w:hAnsi="Times New Roman" w:cs="Times New Roman"/>
                <w:b w:val="0"/>
                <w:sz w:val="20"/>
                <w:szCs w:val="20"/>
              </w:rPr>
              <w:t>Vergi Ödeme</w:t>
            </w:r>
          </w:p>
        </w:tc>
        <w:tc>
          <w:tcPr>
            <w:tcW w:w="3678" w:type="dxa"/>
          </w:tcPr>
          <w:p w:rsidR="00D80D85" w:rsidRPr="002500F5" w:rsidRDefault="00ED2232"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İşletmenin ticari kar ve diğer vergi ödemeleri</w:t>
            </w:r>
          </w:p>
        </w:tc>
      </w:tr>
      <w:tr w:rsidR="00D80D8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ED2232" w:rsidP="00835A3F">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835A3F" w:rsidRPr="002500F5">
              <w:rPr>
                <w:rFonts w:ascii="Times New Roman" w:hAnsi="Times New Roman" w:cs="Times New Roman"/>
                <w:sz w:val="20"/>
                <w:szCs w:val="20"/>
              </w:rPr>
              <w:t xml:space="preserve">Toplam vergi ve ödenen katkı payları </w:t>
            </w:r>
          </w:p>
        </w:tc>
        <w:tc>
          <w:tcPr>
            <w:tcW w:w="3678" w:type="dxa"/>
          </w:tcPr>
          <w:p w:rsidR="00D80D85" w:rsidRPr="002500F5" w:rsidRDefault="00F82325" w:rsidP="00F8232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 xml:space="preserve">Yıllık </w:t>
            </w:r>
            <w:r w:rsidR="00835A3F" w:rsidRPr="002500F5">
              <w:rPr>
                <w:rFonts w:ascii="Times New Roman" w:hAnsi="Times New Roman" w:cs="Times New Roman"/>
                <w:sz w:val="20"/>
                <w:szCs w:val="20"/>
              </w:rPr>
              <w:t>K</w:t>
            </w:r>
            <w:r w:rsidRPr="002500F5">
              <w:rPr>
                <w:rFonts w:ascii="Times New Roman" w:hAnsi="Times New Roman" w:cs="Times New Roman"/>
                <w:sz w:val="20"/>
                <w:szCs w:val="20"/>
              </w:rPr>
              <w:t>â</w:t>
            </w:r>
            <w:r w:rsidR="00835A3F" w:rsidRPr="002500F5">
              <w:rPr>
                <w:rFonts w:ascii="Times New Roman" w:hAnsi="Times New Roman" w:cs="Times New Roman"/>
                <w:sz w:val="20"/>
                <w:szCs w:val="20"/>
              </w:rPr>
              <w:t xml:space="preserve">ra oranı </w:t>
            </w:r>
          </w:p>
        </w:tc>
      </w:tr>
      <w:tr w:rsidR="00D80D8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F82325" w:rsidP="008C0B52">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E564D0" w:rsidRPr="002500F5">
              <w:rPr>
                <w:rFonts w:ascii="Times New Roman" w:hAnsi="Times New Roman" w:cs="Times New Roman"/>
                <w:sz w:val="20"/>
                <w:szCs w:val="20"/>
              </w:rPr>
              <w:t>Vergi ödeme sıklığı</w:t>
            </w:r>
          </w:p>
        </w:tc>
        <w:tc>
          <w:tcPr>
            <w:tcW w:w="3678" w:type="dxa"/>
          </w:tcPr>
          <w:p w:rsidR="00D80D85" w:rsidRPr="002500F5" w:rsidRDefault="00E564D0"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Adet</w:t>
            </w:r>
          </w:p>
        </w:tc>
      </w:tr>
      <w:tr w:rsidR="00FD4AC2"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FD4AC2" w:rsidRPr="002500F5" w:rsidRDefault="00FD4AC2" w:rsidP="008C0B52">
            <w:pPr>
              <w:spacing w:after="120"/>
              <w:jc w:val="both"/>
              <w:rPr>
                <w:rFonts w:ascii="Times New Roman" w:hAnsi="Times New Roman" w:cs="Times New Roman"/>
                <w:sz w:val="20"/>
                <w:szCs w:val="20"/>
              </w:rPr>
            </w:pPr>
            <w:r>
              <w:rPr>
                <w:rFonts w:ascii="Times New Roman" w:hAnsi="Times New Roman" w:cs="Times New Roman"/>
                <w:sz w:val="20"/>
                <w:szCs w:val="20"/>
              </w:rPr>
              <w:t xml:space="preserve">       Üç ana vergiyi ve katkı paylarını ödemek için gerekli süre </w:t>
            </w:r>
          </w:p>
        </w:tc>
        <w:tc>
          <w:tcPr>
            <w:tcW w:w="3678" w:type="dxa"/>
          </w:tcPr>
          <w:p w:rsidR="00FD4AC2" w:rsidRPr="002500F5" w:rsidRDefault="00FD4AC2" w:rsidP="00D80D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Saat/Yıl</w:t>
            </w:r>
          </w:p>
        </w:tc>
      </w:tr>
      <w:tr w:rsidR="00B76B72"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B76B72" w:rsidRDefault="00B76B72" w:rsidP="008C0B52">
            <w:pPr>
              <w:spacing w:after="120"/>
              <w:jc w:val="both"/>
              <w:rPr>
                <w:rFonts w:ascii="Times New Roman" w:hAnsi="Times New Roman" w:cs="Times New Roman"/>
                <w:sz w:val="20"/>
                <w:szCs w:val="20"/>
              </w:rPr>
            </w:pPr>
            <w:r>
              <w:rPr>
                <w:rFonts w:ascii="Times New Roman" w:hAnsi="Times New Roman" w:cs="Times New Roman"/>
                <w:sz w:val="20"/>
                <w:szCs w:val="20"/>
              </w:rPr>
              <w:t xml:space="preserve">       Vergi ödeme sürecinde dosyalama ive kayıt </w:t>
            </w:r>
            <w:proofErr w:type="spellStart"/>
            <w:r>
              <w:rPr>
                <w:rFonts w:ascii="Times New Roman" w:hAnsi="Times New Roman" w:cs="Times New Roman"/>
                <w:sz w:val="20"/>
                <w:szCs w:val="20"/>
              </w:rPr>
              <w:t>şlemleri</w:t>
            </w:r>
            <w:proofErr w:type="spellEnd"/>
            <w:r>
              <w:rPr>
                <w:rFonts w:ascii="Times New Roman" w:hAnsi="Times New Roman" w:cs="Times New Roman"/>
                <w:sz w:val="20"/>
                <w:szCs w:val="20"/>
              </w:rPr>
              <w:t xml:space="preserve"> </w:t>
            </w:r>
          </w:p>
        </w:tc>
        <w:tc>
          <w:tcPr>
            <w:tcW w:w="3678" w:type="dxa"/>
          </w:tcPr>
          <w:p w:rsidR="00B76B72" w:rsidRDefault="00B76B72"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Endeks 0-100</w:t>
            </w:r>
          </w:p>
        </w:tc>
      </w:tr>
      <w:tr w:rsidR="00D80D8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A145A1" w:rsidP="00D80D85">
            <w:pPr>
              <w:spacing w:after="120"/>
              <w:jc w:val="both"/>
              <w:rPr>
                <w:rFonts w:ascii="Times New Roman" w:hAnsi="Times New Roman" w:cs="Times New Roman"/>
                <w:b w:val="0"/>
                <w:sz w:val="20"/>
                <w:szCs w:val="20"/>
              </w:rPr>
            </w:pPr>
            <w:r w:rsidRPr="002500F5">
              <w:rPr>
                <w:rFonts w:ascii="Times New Roman" w:hAnsi="Times New Roman" w:cs="Times New Roman"/>
                <w:b w:val="0"/>
                <w:sz w:val="20"/>
                <w:szCs w:val="20"/>
              </w:rPr>
              <w:t>Sözleşmelerin uygulanması</w:t>
            </w:r>
          </w:p>
        </w:tc>
        <w:tc>
          <w:tcPr>
            <w:tcW w:w="3678" w:type="dxa"/>
          </w:tcPr>
          <w:p w:rsidR="00D80D85" w:rsidRPr="002500F5" w:rsidRDefault="00A145A1" w:rsidP="00A145A1">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Sözleşmelerin, zaman, maliyet ve işlemleri</w:t>
            </w:r>
          </w:p>
        </w:tc>
      </w:tr>
      <w:tr w:rsidR="00D80D8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A145A1" w:rsidP="008C0B52">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Sözleşmelerin uygulama maliyeti </w:t>
            </w:r>
          </w:p>
        </w:tc>
        <w:tc>
          <w:tcPr>
            <w:tcW w:w="3678" w:type="dxa"/>
          </w:tcPr>
          <w:p w:rsidR="00D80D85" w:rsidRPr="002500F5" w:rsidRDefault="00A476DC"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Sözleşme tutarına oranı</w:t>
            </w:r>
          </w:p>
        </w:tc>
      </w:tr>
      <w:tr w:rsidR="00D80D8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A476DC" w:rsidP="008C0B52">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w:t>
            </w:r>
            <w:r w:rsidR="00877EF6" w:rsidRPr="002500F5">
              <w:rPr>
                <w:rFonts w:ascii="Times New Roman" w:hAnsi="Times New Roman" w:cs="Times New Roman"/>
                <w:sz w:val="20"/>
                <w:szCs w:val="20"/>
              </w:rPr>
              <w:t>Sözleşme/</w:t>
            </w:r>
            <w:r w:rsidR="003D5BBA" w:rsidRPr="002500F5">
              <w:rPr>
                <w:rFonts w:ascii="Times New Roman" w:hAnsi="Times New Roman" w:cs="Times New Roman"/>
                <w:sz w:val="20"/>
                <w:szCs w:val="20"/>
              </w:rPr>
              <w:t xml:space="preserve">Mahkeme kararının uygulanma </w:t>
            </w:r>
            <w:r w:rsidR="00877EF6" w:rsidRPr="002500F5">
              <w:rPr>
                <w:rFonts w:ascii="Times New Roman" w:hAnsi="Times New Roman" w:cs="Times New Roman"/>
                <w:sz w:val="20"/>
                <w:szCs w:val="20"/>
              </w:rPr>
              <w:t>süresi</w:t>
            </w:r>
          </w:p>
        </w:tc>
        <w:tc>
          <w:tcPr>
            <w:tcW w:w="3678" w:type="dxa"/>
          </w:tcPr>
          <w:p w:rsidR="00D80D85" w:rsidRPr="002500F5" w:rsidRDefault="003D5BBA" w:rsidP="00D80D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 xml:space="preserve">Gün </w:t>
            </w:r>
          </w:p>
        </w:tc>
      </w:tr>
      <w:tr w:rsidR="00D80D8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877EF6" w:rsidP="008C0B52">
            <w:pPr>
              <w:spacing w:after="120"/>
              <w:jc w:val="both"/>
              <w:rPr>
                <w:rFonts w:ascii="Times New Roman" w:hAnsi="Times New Roman" w:cs="Times New Roman"/>
                <w:sz w:val="20"/>
                <w:szCs w:val="20"/>
              </w:rPr>
            </w:pPr>
            <w:r w:rsidRPr="002500F5">
              <w:rPr>
                <w:rFonts w:ascii="Times New Roman" w:hAnsi="Times New Roman" w:cs="Times New Roman"/>
                <w:sz w:val="20"/>
                <w:szCs w:val="20"/>
              </w:rPr>
              <w:t xml:space="preserve">       Sözleşmelerin uygulanmasına ilişkin işlemler</w:t>
            </w:r>
          </w:p>
        </w:tc>
        <w:tc>
          <w:tcPr>
            <w:tcW w:w="3678" w:type="dxa"/>
          </w:tcPr>
          <w:p w:rsidR="00D80D85" w:rsidRPr="002500F5" w:rsidRDefault="00877EF6"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500F5">
              <w:rPr>
                <w:rFonts w:ascii="Times New Roman" w:hAnsi="Times New Roman" w:cs="Times New Roman"/>
                <w:sz w:val="20"/>
                <w:szCs w:val="20"/>
              </w:rPr>
              <w:t xml:space="preserve">Adet </w:t>
            </w:r>
          </w:p>
        </w:tc>
      </w:tr>
      <w:tr w:rsidR="00D80D8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FD0DE2" w:rsidP="00B41132">
            <w:pPr>
              <w:spacing w:after="12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FC1429">
              <w:rPr>
                <w:rFonts w:ascii="Times New Roman" w:hAnsi="Times New Roman" w:cs="Times New Roman"/>
                <w:sz w:val="20"/>
                <w:szCs w:val="20"/>
              </w:rPr>
              <w:t>*</w:t>
            </w:r>
            <w:r>
              <w:rPr>
                <w:rFonts w:ascii="Times New Roman" w:hAnsi="Times New Roman" w:cs="Times New Roman"/>
                <w:sz w:val="20"/>
                <w:szCs w:val="20"/>
              </w:rPr>
              <w:t xml:space="preserve">Yargı süreçlerinin kalitesi </w:t>
            </w:r>
          </w:p>
        </w:tc>
        <w:tc>
          <w:tcPr>
            <w:tcW w:w="3678" w:type="dxa"/>
          </w:tcPr>
          <w:p w:rsidR="00D80D85" w:rsidRPr="002500F5" w:rsidRDefault="00FD0DE2" w:rsidP="00D80D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Endeks 0-18</w:t>
            </w:r>
          </w:p>
        </w:tc>
      </w:tr>
      <w:tr w:rsidR="00D80D8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D80D85" w:rsidRPr="00200228" w:rsidRDefault="00200228" w:rsidP="00D80D85">
            <w:pPr>
              <w:spacing w:after="120"/>
              <w:jc w:val="both"/>
              <w:rPr>
                <w:rFonts w:ascii="Times New Roman" w:hAnsi="Times New Roman" w:cs="Times New Roman"/>
                <w:b w:val="0"/>
                <w:sz w:val="20"/>
                <w:szCs w:val="20"/>
              </w:rPr>
            </w:pPr>
            <w:r w:rsidRPr="00200228">
              <w:rPr>
                <w:rFonts w:ascii="Times New Roman" w:hAnsi="Times New Roman" w:cs="Times New Roman"/>
                <w:b w:val="0"/>
                <w:sz w:val="20"/>
                <w:szCs w:val="20"/>
              </w:rPr>
              <w:t>İflasın Çözümlenmesi</w:t>
            </w:r>
          </w:p>
        </w:tc>
        <w:tc>
          <w:tcPr>
            <w:tcW w:w="3678" w:type="dxa"/>
          </w:tcPr>
          <w:p w:rsidR="00D80D85" w:rsidRPr="002500F5" w:rsidRDefault="00200228"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İflasın çözülmesi süre, maliyet ve geri kazanım oranı </w:t>
            </w:r>
          </w:p>
        </w:tc>
      </w:tr>
      <w:tr w:rsidR="00D16AFD"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D16AFD" w:rsidRPr="00D16AFD" w:rsidRDefault="00D16AFD" w:rsidP="00D80D85">
            <w:pPr>
              <w:spacing w:after="120"/>
              <w:jc w:val="both"/>
              <w:rPr>
                <w:rFonts w:ascii="Times New Roman" w:hAnsi="Times New Roman" w:cs="Times New Roman"/>
                <w:sz w:val="20"/>
                <w:szCs w:val="20"/>
              </w:rPr>
            </w:pPr>
            <w:r w:rsidRPr="00D16AFD">
              <w:rPr>
                <w:rFonts w:ascii="Times New Roman" w:hAnsi="Times New Roman" w:cs="Times New Roman"/>
                <w:sz w:val="20"/>
                <w:szCs w:val="20"/>
              </w:rPr>
              <w:t xml:space="preserve">       İflasın çözümlenmesi için geçen süre </w:t>
            </w:r>
          </w:p>
        </w:tc>
        <w:tc>
          <w:tcPr>
            <w:tcW w:w="3678" w:type="dxa"/>
          </w:tcPr>
          <w:p w:rsidR="00D16AFD" w:rsidRDefault="00D16AFD" w:rsidP="00D80D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Yıl </w:t>
            </w:r>
          </w:p>
        </w:tc>
      </w:tr>
      <w:tr w:rsidR="00D80D85"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8C0B52" w:rsidP="008C0B52">
            <w:pPr>
              <w:spacing w:after="120"/>
              <w:jc w:val="both"/>
              <w:rPr>
                <w:rFonts w:ascii="Times New Roman" w:hAnsi="Times New Roman" w:cs="Times New Roman"/>
                <w:sz w:val="20"/>
                <w:szCs w:val="20"/>
              </w:rPr>
            </w:pPr>
            <w:r>
              <w:rPr>
                <w:rFonts w:ascii="Times New Roman" w:hAnsi="Times New Roman" w:cs="Times New Roman"/>
                <w:sz w:val="20"/>
                <w:szCs w:val="20"/>
              </w:rPr>
              <w:t xml:space="preserve">       İflasın çözümlenme maliyeti</w:t>
            </w:r>
          </w:p>
        </w:tc>
        <w:tc>
          <w:tcPr>
            <w:tcW w:w="3678" w:type="dxa"/>
          </w:tcPr>
          <w:p w:rsidR="00D80D85" w:rsidRPr="002500F5" w:rsidRDefault="008C0B52"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Tüm masraflar </w:t>
            </w:r>
            <w:proofErr w:type="gramStart"/>
            <w:r>
              <w:rPr>
                <w:rFonts w:ascii="Times New Roman" w:hAnsi="Times New Roman" w:cs="Times New Roman"/>
                <w:sz w:val="20"/>
                <w:szCs w:val="20"/>
              </w:rPr>
              <w:t>dahil</w:t>
            </w:r>
            <w:proofErr w:type="gramEnd"/>
            <w:r>
              <w:rPr>
                <w:rFonts w:ascii="Times New Roman" w:hAnsi="Times New Roman" w:cs="Times New Roman"/>
                <w:sz w:val="20"/>
                <w:szCs w:val="20"/>
              </w:rPr>
              <w:t xml:space="preserve"> borçlunun mülk değerine oranı </w:t>
            </w:r>
          </w:p>
        </w:tc>
      </w:tr>
      <w:tr w:rsidR="00D80D85"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D80D85" w:rsidRPr="002500F5" w:rsidRDefault="008C0B52" w:rsidP="00D80D85">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221970">
              <w:rPr>
                <w:rFonts w:ascii="Times New Roman" w:hAnsi="Times New Roman" w:cs="Times New Roman"/>
                <w:sz w:val="20"/>
                <w:szCs w:val="20"/>
              </w:rPr>
              <w:t xml:space="preserve"> </w:t>
            </w:r>
            <w:r>
              <w:rPr>
                <w:rFonts w:ascii="Times New Roman" w:hAnsi="Times New Roman" w:cs="Times New Roman"/>
                <w:sz w:val="20"/>
                <w:szCs w:val="20"/>
              </w:rPr>
              <w:t xml:space="preserve"> </w:t>
            </w:r>
            <w:r w:rsidR="00A270F9">
              <w:rPr>
                <w:rFonts w:ascii="Times New Roman" w:hAnsi="Times New Roman" w:cs="Times New Roman"/>
                <w:sz w:val="20"/>
                <w:szCs w:val="20"/>
              </w:rPr>
              <w:t xml:space="preserve"> Geri alma oranı</w:t>
            </w:r>
            <w:r>
              <w:rPr>
                <w:rFonts w:ascii="Times New Roman" w:hAnsi="Times New Roman" w:cs="Times New Roman"/>
                <w:sz w:val="20"/>
                <w:szCs w:val="20"/>
              </w:rPr>
              <w:t xml:space="preserve">   </w:t>
            </w:r>
          </w:p>
        </w:tc>
        <w:tc>
          <w:tcPr>
            <w:tcW w:w="3678" w:type="dxa"/>
          </w:tcPr>
          <w:p w:rsidR="00D80D85" w:rsidRPr="002500F5" w:rsidRDefault="00A270F9" w:rsidP="00D80D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Alacaklının alacaklarını tahsil oranı</w:t>
            </w:r>
          </w:p>
        </w:tc>
      </w:tr>
      <w:tr w:rsidR="00A270F9"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A270F9" w:rsidRDefault="00A270F9" w:rsidP="00221970">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221970">
              <w:rPr>
                <w:rFonts w:ascii="Times New Roman" w:hAnsi="Times New Roman" w:cs="Times New Roman"/>
                <w:sz w:val="20"/>
                <w:szCs w:val="20"/>
              </w:rPr>
              <w:t xml:space="preserve"> </w:t>
            </w:r>
            <w:r>
              <w:rPr>
                <w:rFonts w:ascii="Times New Roman" w:hAnsi="Times New Roman" w:cs="Times New Roman"/>
                <w:sz w:val="20"/>
                <w:szCs w:val="20"/>
              </w:rPr>
              <w:t xml:space="preserve"> </w:t>
            </w:r>
            <w:r w:rsidR="00FC1429">
              <w:rPr>
                <w:rFonts w:ascii="Times New Roman" w:hAnsi="Times New Roman" w:cs="Times New Roman"/>
                <w:sz w:val="20"/>
                <w:szCs w:val="20"/>
              </w:rPr>
              <w:t>*</w:t>
            </w:r>
            <w:r w:rsidR="00221970">
              <w:rPr>
                <w:rFonts w:ascii="Times New Roman" w:hAnsi="Times New Roman" w:cs="Times New Roman"/>
                <w:sz w:val="20"/>
                <w:szCs w:val="20"/>
              </w:rPr>
              <w:t xml:space="preserve">İflasın çözümleme gücü endeksi </w:t>
            </w:r>
          </w:p>
        </w:tc>
        <w:tc>
          <w:tcPr>
            <w:tcW w:w="3678" w:type="dxa"/>
          </w:tcPr>
          <w:p w:rsidR="00A270F9" w:rsidRDefault="00221970"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Endeks 0-16</w:t>
            </w:r>
          </w:p>
        </w:tc>
      </w:tr>
      <w:tr w:rsidR="00937E02"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937E02" w:rsidRPr="00937E02" w:rsidRDefault="00937E02" w:rsidP="00221970">
            <w:pPr>
              <w:spacing w:after="120"/>
              <w:jc w:val="both"/>
              <w:rPr>
                <w:rFonts w:ascii="Times New Roman" w:hAnsi="Times New Roman" w:cs="Times New Roman"/>
                <w:b w:val="0"/>
                <w:sz w:val="20"/>
                <w:szCs w:val="20"/>
              </w:rPr>
            </w:pPr>
            <w:r w:rsidRPr="00937E02">
              <w:rPr>
                <w:rFonts w:ascii="Times New Roman" w:hAnsi="Times New Roman" w:cs="Times New Roman"/>
                <w:b w:val="0"/>
                <w:sz w:val="20"/>
                <w:szCs w:val="20"/>
              </w:rPr>
              <w:t xml:space="preserve">Sınır ötesi ticaret </w:t>
            </w:r>
          </w:p>
        </w:tc>
        <w:tc>
          <w:tcPr>
            <w:tcW w:w="3678" w:type="dxa"/>
          </w:tcPr>
          <w:p w:rsidR="00937E02" w:rsidRDefault="00937E02" w:rsidP="00D80D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Dış ticaret süre, maliyet ve işlemleri</w:t>
            </w:r>
          </w:p>
        </w:tc>
      </w:tr>
      <w:tr w:rsidR="00937E02"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937E02" w:rsidRPr="00724465" w:rsidRDefault="00937E02" w:rsidP="00221970">
            <w:pPr>
              <w:spacing w:after="120"/>
              <w:jc w:val="both"/>
              <w:rPr>
                <w:rFonts w:ascii="Times New Roman" w:hAnsi="Times New Roman" w:cs="Times New Roman"/>
                <w:sz w:val="20"/>
                <w:szCs w:val="20"/>
              </w:rPr>
            </w:pPr>
            <w:r>
              <w:rPr>
                <w:rFonts w:ascii="Times New Roman" w:hAnsi="Times New Roman" w:cs="Times New Roman"/>
                <w:b w:val="0"/>
                <w:sz w:val="20"/>
                <w:szCs w:val="20"/>
              </w:rPr>
              <w:t xml:space="preserve">       </w:t>
            </w:r>
            <w:r w:rsidR="00724465" w:rsidRPr="00724465">
              <w:rPr>
                <w:rFonts w:ascii="Times New Roman" w:hAnsi="Times New Roman" w:cs="Times New Roman"/>
                <w:sz w:val="20"/>
                <w:szCs w:val="20"/>
              </w:rPr>
              <w:t xml:space="preserve">İhracat </w:t>
            </w:r>
            <w:r w:rsidR="002E7C2A">
              <w:rPr>
                <w:rFonts w:ascii="Times New Roman" w:hAnsi="Times New Roman" w:cs="Times New Roman"/>
                <w:sz w:val="20"/>
                <w:szCs w:val="20"/>
              </w:rPr>
              <w:t xml:space="preserve">gönderisinin sınırı geçerek ihracat </w:t>
            </w:r>
            <w:r w:rsidR="00724465" w:rsidRPr="00724465">
              <w:rPr>
                <w:rFonts w:ascii="Times New Roman" w:hAnsi="Times New Roman" w:cs="Times New Roman"/>
                <w:sz w:val="20"/>
                <w:szCs w:val="20"/>
              </w:rPr>
              <w:t xml:space="preserve">işlemlerinin tamamlanması için gerekli süre </w:t>
            </w:r>
          </w:p>
        </w:tc>
        <w:tc>
          <w:tcPr>
            <w:tcW w:w="3678" w:type="dxa"/>
          </w:tcPr>
          <w:p w:rsidR="00937E02" w:rsidRDefault="00724465"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Saat</w:t>
            </w:r>
          </w:p>
        </w:tc>
      </w:tr>
      <w:tr w:rsidR="00937E02"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937E02" w:rsidRPr="00862B62" w:rsidRDefault="008B2E98" w:rsidP="00221970">
            <w:pPr>
              <w:spacing w:after="120"/>
              <w:jc w:val="both"/>
              <w:rPr>
                <w:rFonts w:ascii="Times New Roman" w:hAnsi="Times New Roman" w:cs="Times New Roman"/>
                <w:sz w:val="20"/>
                <w:szCs w:val="20"/>
              </w:rPr>
            </w:pPr>
            <w:r w:rsidRPr="00862B62">
              <w:rPr>
                <w:rFonts w:ascii="Times New Roman" w:hAnsi="Times New Roman" w:cs="Times New Roman"/>
                <w:sz w:val="20"/>
                <w:szCs w:val="20"/>
              </w:rPr>
              <w:t xml:space="preserve">       İhracat işlemlerinin tamamlanması maliyeti </w:t>
            </w:r>
          </w:p>
        </w:tc>
        <w:tc>
          <w:tcPr>
            <w:tcW w:w="3678" w:type="dxa"/>
          </w:tcPr>
          <w:p w:rsidR="00937E02" w:rsidRDefault="008B2E98" w:rsidP="00D80D85">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Dolar </w:t>
            </w:r>
            <w:r w:rsidR="00073FAD">
              <w:rPr>
                <w:rFonts w:ascii="Times New Roman" w:hAnsi="Times New Roman" w:cs="Times New Roman"/>
                <w:sz w:val="20"/>
                <w:szCs w:val="20"/>
              </w:rPr>
              <w:t>/Konteyner</w:t>
            </w:r>
          </w:p>
        </w:tc>
      </w:tr>
      <w:tr w:rsidR="00937E02"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937E02" w:rsidRPr="00862B62" w:rsidRDefault="00862B62" w:rsidP="00221970">
            <w:pPr>
              <w:spacing w:after="120"/>
              <w:jc w:val="both"/>
              <w:rPr>
                <w:rFonts w:ascii="Times New Roman" w:hAnsi="Times New Roman" w:cs="Times New Roman"/>
                <w:sz w:val="20"/>
                <w:szCs w:val="20"/>
              </w:rPr>
            </w:pPr>
            <w:r w:rsidRPr="00862B62">
              <w:rPr>
                <w:rFonts w:ascii="Times New Roman" w:hAnsi="Times New Roman" w:cs="Times New Roman"/>
                <w:sz w:val="20"/>
                <w:szCs w:val="20"/>
              </w:rPr>
              <w:t xml:space="preserve">       İhracat evrak ve bürokratik süreçlerinin hazırlanması </w:t>
            </w:r>
            <w:proofErr w:type="gramStart"/>
            <w:r w:rsidRPr="00862B62">
              <w:rPr>
                <w:rFonts w:ascii="Times New Roman" w:hAnsi="Times New Roman" w:cs="Times New Roman"/>
                <w:sz w:val="20"/>
                <w:szCs w:val="20"/>
              </w:rPr>
              <w:t xml:space="preserve">için </w:t>
            </w:r>
            <w:r>
              <w:rPr>
                <w:rFonts w:ascii="Times New Roman" w:hAnsi="Times New Roman" w:cs="Times New Roman"/>
                <w:sz w:val="20"/>
                <w:szCs w:val="20"/>
              </w:rPr>
              <w:t xml:space="preserve">    </w:t>
            </w:r>
            <w:r w:rsidRPr="00862B62">
              <w:rPr>
                <w:rFonts w:ascii="Times New Roman" w:hAnsi="Times New Roman" w:cs="Times New Roman"/>
                <w:sz w:val="20"/>
                <w:szCs w:val="20"/>
              </w:rPr>
              <w:t>gerekli</w:t>
            </w:r>
            <w:proofErr w:type="gramEnd"/>
            <w:r w:rsidRPr="00862B62">
              <w:rPr>
                <w:rFonts w:ascii="Times New Roman" w:hAnsi="Times New Roman" w:cs="Times New Roman"/>
                <w:sz w:val="20"/>
                <w:szCs w:val="20"/>
              </w:rPr>
              <w:t xml:space="preserve"> süre</w:t>
            </w:r>
          </w:p>
        </w:tc>
        <w:tc>
          <w:tcPr>
            <w:tcW w:w="3678" w:type="dxa"/>
          </w:tcPr>
          <w:p w:rsidR="00937E02" w:rsidRDefault="00862B62" w:rsidP="00D80D85">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Saat</w:t>
            </w:r>
          </w:p>
        </w:tc>
      </w:tr>
      <w:tr w:rsidR="00937E02"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937E02" w:rsidRPr="00862B62" w:rsidRDefault="00862B62" w:rsidP="00862B62">
            <w:pPr>
              <w:spacing w:after="120"/>
              <w:jc w:val="both"/>
              <w:rPr>
                <w:rFonts w:ascii="Times New Roman" w:hAnsi="Times New Roman" w:cs="Times New Roman"/>
                <w:sz w:val="20"/>
                <w:szCs w:val="20"/>
              </w:rPr>
            </w:pPr>
            <w:r w:rsidRPr="00862B62">
              <w:rPr>
                <w:rFonts w:ascii="Times New Roman" w:hAnsi="Times New Roman" w:cs="Times New Roman"/>
                <w:sz w:val="20"/>
                <w:szCs w:val="20"/>
              </w:rPr>
              <w:t xml:space="preserve">       İhracat işlemleri için gerekli evrak işlem maliyetleri</w:t>
            </w:r>
          </w:p>
        </w:tc>
        <w:tc>
          <w:tcPr>
            <w:tcW w:w="3678" w:type="dxa"/>
          </w:tcPr>
          <w:p w:rsidR="00937E02" w:rsidRDefault="00862B62" w:rsidP="003111E0">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Dolar </w:t>
            </w:r>
          </w:p>
        </w:tc>
      </w:tr>
      <w:tr w:rsidR="008C4D46"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8C4D46" w:rsidRPr="00724465" w:rsidRDefault="008C4D46" w:rsidP="008C4D46">
            <w:pPr>
              <w:spacing w:after="120"/>
              <w:jc w:val="both"/>
              <w:rPr>
                <w:rFonts w:ascii="Times New Roman" w:hAnsi="Times New Roman" w:cs="Times New Roman"/>
                <w:sz w:val="20"/>
                <w:szCs w:val="20"/>
              </w:rPr>
            </w:pPr>
            <w:r>
              <w:rPr>
                <w:rFonts w:ascii="Times New Roman" w:hAnsi="Times New Roman" w:cs="Times New Roman"/>
                <w:b w:val="0"/>
                <w:sz w:val="20"/>
                <w:szCs w:val="20"/>
              </w:rPr>
              <w:t xml:space="preserve">       </w:t>
            </w:r>
            <w:r w:rsidRPr="00724465">
              <w:rPr>
                <w:rFonts w:ascii="Times New Roman" w:hAnsi="Times New Roman" w:cs="Times New Roman"/>
                <w:sz w:val="20"/>
                <w:szCs w:val="20"/>
              </w:rPr>
              <w:t>İ</w:t>
            </w:r>
            <w:r>
              <w:rPr>
                <w:rFonts w:ascii="Times New Roman" w:hAnsi="Times New Roman" w:cs="Times New Roman"/>
                <w:sz w:val="20"/>
                <w:szCs w:val="20"/>
              </w:rPr>
              <w:t>thalat</w:t>
            </w:r>
            <w:r w:rsidRPr="00724465">
              <w:rPr>
                <w:rFonts w:ascii="Times New Roman" w:hAnsi="Times New Roman" w:cs="Times New Roman"/>
                <w:sz w:val="20"/>
                <w:szCs w:val="20"/>
              </w:rPr>
              <w:t xml:space="preserve"> </w:t>
            </w:r>
            <w:r>
              <w:rPr>
                <w:rFonts w:ascii="Times New Roman" w:hAnsi="Times New Roman" w:cs="Times New Roman"/>
                <w:sz w:val="20"/>
                <w:szCs w:val="20"/>
              </w:rPr>
              <w:t xml:space="preserve">gönderisinin sınırı geçerek ithalat </w:t>
            </w:r>
            <w:r w:rsidRPr="00724465">
              <w:rPr>
                <w:rFonts w:ascii="Times New Roman" w:hAnsi="Times New Roman" w:cs="Times New Roman"/>
                <w:sz w:val="20"/>
                <w:szCs w:val="20"/>
              </w:rPr>
              <w:t xml:space="preserve">işlemlerinin tamamlanması için gerekli süre </w:t>
            </w:r>
          </w:p>
        </w:tc>
        <w:tc>
          <w:tcPr>
            <w:tcW w:w="3678" w:type="dxa"/>
          </w:tcPr>
          <w:p w:rsidR="008C4D46" w:rsidRDefault="00567E14" w:rsidP="008C4D4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Saat</w:t>
            </w:r>
          </w:p>
        </w:tc>
      </w:tr>
      <w:tr w:rsidR="008C4D46"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8C4D46" w:rsidRPr="00862B62" w:rsidRDefault="008C4D46" w:rsidP="008C4D46">
            <w:pPr>
              <w:spacing w:after="120"/>
              <w:jc w:val="both"/>
              <w:rPr>
                <w:rFonts w:ascii="Times New Roman" w:hAnsi="Times New Roman" w:cs="Times New Roman"/>
                <w:sz w:val="20"/>
                <w:szCs w:val="20"/>
              </w:rPr>
            </w:pPr>
            <w:r w:rsidRPr="00862B62">
              <w:rPr>
                <w:rFonts w:ascii="Times New Roman" w:hAnsi="Times New Roman" w:cs="Times New Roman"/>
                <w:sz w:val="20"/>
                <w:szCs w:val="20"/>
              </w:rPr>
              <w:t xml:space="preserve">       </w:t>
            </w:r>
            <w:r>
              <w:rPr>
                <w:rFonts w:ascii="Times New Roman" w:hAnsi="Times New Roman" w:cs="Times New Roman"/>
                <w:sz w:val="20"/>
                <w:szCs w:val="20"/>
              </w:rPr>
              <w:t>İthalat</w:t>
            </w:r>
            <w:r w:rsidRPr="00862B62">
              <w:rPr>
                <w:rFonts w:ascii="Times New Roman" w:hAnsi="Times New Roman" w:cs="Times New Roman"/>
                <w:sz w:val="20"/>
                <w:szCs w:val="20"/>
              </w:rPr>
              <w:t xml:space="preserve"> işlemlerinin tamamlanması maliyeti </w:t>
            </w:r>
          </w:p>
        </w:tc>
        <w:tc>
          <w:tcPr>
            <w:tcW w:w="3678" w:type="dxa"/>
          </w:tcPr>
          <w:p w:rsidR="008C4D46" w:rsidRDefault="00567E14" w:rsidP="008C4D4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Dolar</w:t>
            </w:r>
            <w:r w:rsidR="00073FAD">
              <w:rPr>
                <w:rFonts w:ascii="Times New Roman" w:hAnsi="Times New Roman" w:cs="Times New Roman"/>
                <w:sz w:val="20"/>
                <w:szCs w:val="20"/>
              </w:rPr>
              <w:t>/Konteyner</w:t>
            </w:r>
          </w:p>
        </w:tc>
      </w:tr>
      <w:tr w:rsidR="008C4D46" w:rsidRPr="002500F5" w:rsidTr="004627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tcPr>
          <w:p w:rsidR="008C4D46" w:rsidRPr="00862B62" w:rsidRDefault="008C4D46" w:rsidP="00567E14">
            <w:pPr>
              <w:spacing w:after="120"/>
              <w:jc w:val="both"/>
              <w:rPr>
                <w:rFonts w:ascii="Times New Roman" w:hAnsi="Times New Roman" w:cs="Times New Roman"/>
                <w:sz w:val="20"/>
                <w:szCs w:val="20"/>
              </w:rPr>
            </w:pPr>
            <w:r w:rsidRPr="00862B62">
              <w:rPr>
                <w:rFonts w:ascii="Times New Roman" w:hAnsi="Times New Roman" w:cs="Times New Roman"/>
                <w:sz w:val="20"/>
                <w:szCs w:val="20"/>
              </w:rPr>
              <w:t xml:space="preserve">       İ</w:t>
            </w:r>
            <w:r w:rsidR="00567E14">
              <w:rPr>
                <w:rFonts w:ascii="Times New Roman" w:hAnsi="Times New Roman" w:cs="Times New Roman"/>
                <w:sz w:val="20"/>
                <w:szCs w:val="20"/>
              </w:rPr>
              <w:t>thalat</w:t>
            </w:r>
            <w:r w:rsidRPr="00862B62">
              <w:rPr>
                <w:rFonts w:ascii="Times New Roman" w:hAnsi="Times New Roman" w:cs="Times New Roman"/>
                <w:sz w:val="20"/>
                <w:szCs w:val="20"/>
              </w:rPr>
              <w:t xml:space="preserve"> evrak ve bürokratik süreçlerinin hazırlanması </w:t>
            </w:r>
            <w:proofErr w:type="gramStart"/>
            <w:r w:rsidRPr="00862B62">
              <w:rPr>
                <w:rFonts w:ascii="Times New Roman" w:hAnsi="Times New Roman" w:cs="Times New Roman"/>
                <w:sz w:val="20"/>
                <w:szCs w:val="20"/>
              </w:rPr>
              <w:t xml:space="preserve">için </w:t>
            </w:r>
            <w:r>
              <w:rPr>
                <w:rFonts w:ascii="Times New Roman" w:hAnsi="Times New Roman" w:cs="Times New Roman"/>
                <w:sz w:val="20"/>
                <w:szCs w:val="20"/>
              </w:rPr>
              <w:t xml:space="preserve">    </w:t>
            </w:r>
            <w:r w:rsidRPr="00862B62">
              <w:rPr>
                <w:rFonts w:ascii="Times New Roman" w:hAnsi="Times New Roman" w:cs="Times New Roman"/>
                <w:sz w:val="20"/>
                <w:szCs w:val="20"/>
              </w:rPr>
              <w:t>gerekli</w:t>
            </w:r>
            <w:proofErr w:type="gramEnd"/>
            <w:r w:rsidRPr="00862B62">
              <w:rPr>
                <w:rFonts w:ascii="Times New Roman" w:hAnsi="Times New Roman" w:cs="Times New Roman"/>
                <w:sz w:val="20"/>
                <w:szCs w:val="20"/>
              </w:rPr>
              <w:t xml:space="preserve"> süre</w:t>
            </w:r>
          </w:p>
        </w:tc>
        <w:tc>
          <w:tcPr>
            <w:tcW w:w="3678" w:type="dxa"/>
          </w:tcPr>
          <w:p w:rsidR="008C4D46" w:rsidRDefault="00567E14" w:rsidP="008C4D46">
            <w:pPr>
              <w:spacing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Saat</w:t>
            </w:r>
          </w:p>
        </w:tc>
      </w:tr>
      <w:tr w:rsidR="008C4D46" w:rsidRPr="002500F5" w:rsidTr="004627A0">
        <w:tc>
          <w:tcPr>
            <w:cnfStyle w:val="001000000000" w:firstRow="0" w:lastRow="0" w:firstColumn="1" w:lastColumn="0" w:oddVBand="0" w:evenVBand="0" w:oddHBand="0" w:evenHBand="0" w:firstRowFirstColumn="0" w:firstRowLastColumn="0" w:lastRowFirstColumn="0" w:lastRowLastColumn="0"/>
            <w:tcW w:w="5382" w:type="dxa"/>
          </w:tcPr>
          <w:p w:rsidR="008C4D46" w:rsidRPr="00862B62" w:rsidRDefault="008C4D46" w:rsidP="00567E14">
            <w:pPr>
              <w:spacing w:after="120"/>
              <w:jc w:val="both"/>
              <w:rPr>
                <w:rFonts w:ascii="Times New Roman" w:hAnsi="Times New Roman" w:cs="Times New Roman"/>
                <w:sz w:val="20"/>
                <w:szCs w:val="20"/>
              </w:rPr>
            </w:pPr>
            <w:r w:rsidRPr="00862B62">
              <w:rPr>
                <w:rFonts w:ascii="Times New Roman" w:hAnsi="Times New Roman" w:cs="Times New Roman"/>
                <w:sz w:val="20"/>
                <w:szCs w:val="20"/>
              </w:rPr>
              <w:t xml:space="preserve">       İ</w:t>
            </w:r>
            <w:r w:rsidR="00567E14">
              <w:rPr>
                <w:rFonts w:ascii="Times New Roman" w:hAnsi="Times New Roman" w:cs="Times New Roman"/>
                <w:sz w:val="20"/>
                <w:szCs w:val="20"/>
              </w:rPr>
              <w:t>thalat</w:t>
            </w:r>
            <w:r w:rsidRPr="00862B62">
              <w:rPr>
                <w:rFonts w:ascii="Times New Roman" w:hAnsi="Times New Roman" w:cs="Times New Roman"/>
                <w:sz w:val="20"/>
                <w:szCs w:val="20"/>
              </w:rPr>
              <w:t xml:space="preserve"> işlemleri için gerekli evrak işlem maliyetleri</w:t>
            </w:r>
          </w:p>
        </w:tc>
        <w:tc>
          <w:tcPr>
            <w:tcW w:w="3678" w:type="dxa"/>
          </w:tcPr>
          <w:p w:rsidR="008C4D46" w:rsidRDefault="00567E14" w:rsidP="008C4D46">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Dolar</w:t>
            </w:r>
          </w:p>
        </w:tc>
      </w:tr>
    </w:tbl>
    <w:p w:rsidR="00090EA0" w:rsidRDefault="003348C4" w:rsidP="00090EA0">
      <w:pPr>
        <w:spacing w:after="120" w:line="240" w:lineRule="auto"/>
        <w:ind w:firstLine="708"/>
        <w:jc w:val="both"/>
        <w:rPr>
          <w:rFonts w:ascii="Times New Roman" w:hAnsi="Times New Roman" w:cs="Times New Roman"/>
          <w:i/>
        </w:rPr>
      </w:pPr>
      <w:proofErr w:type="gramStart"/>
      <w:r w:rsidRPr="006644E2">
        <w:rPr>
          <w:rFonts w:ascii="Times New Roman" w:hAnsi="Times New Roman" w:cs="Times New Roman"/>
          <w:i/>
        </w:rPr>
        <w:t xml:space="preserve">Kaynak: Dünya Bankası raporu. </w:t>
      </w:r>
      <w:proofErr w:type="gramEnd"/>
      <w:r w:rsidR="00FC1429">
        <w:rPr>
          <w:rFonts w:ascii="Times New Roman" w:hAnsi="Times New Roman" w:cs="Times New Roman"/>
          <w:i/>
        </w:rPr>
        <w:fldChar w:fldCharType="begin"/>
      </w:r>
      <w:r w:rsidR="00FC1429">
        <w:rPr>
          <w:rFonts w:ascii="Times New Roman" w:hAnsi="Times New Roman" w:cs="Times New Roman"/>
          <w:i/>
        </w:rPr>
        <w:instrText xml:space="preserve"> HYPERLINK "</w:instrText>
      </w:r>
      <w:r w:rsidR="00FC1429" w:rsidRPr="006644E2">
        <w:rPr>
          <w:rFonts w:ascii="Times New Roman" w:hAnsi="Times New Roman" w:cs="Times New Roman"/>
          <w:i/>
        </w:rPr>
        <w:instrText>https://www.doingbusiness.org/en/reports/global-reports/doing-business-2020</w:instrText>
      </w:r>
      <w:r w:rsidR="00FC1429">
        <w:rPr>
          <w:rFonts w:ascii="Times New Roman" w:hAnsi="Times New Roman" w:cs="Times New Roman"/>
          <w:i/>
        </w:rPr>
        <w:instrText xml:space="preserve">" </w:instrText>
      </w:r>
      <w:r w:rsidR="00FC1429">
        <w:rPr>
          <w:rFonts w:ascii="Times New Roman" w:hAnsi="Times New Roman" w:cs="Times New Roman"/>
          <w:i/>
        </w:rPr>
        <w:fldChar w:fldCharType="separate"/>
      </w:r>
      <w:r w:rsidR="00FC1429" w:rsidRPr="008C69F6">
        <w:rPr>
          <w:rStyle w:val="Kpr"/>
          <w:rFonts w:ascii="Times New Roman" w:hAnsi="Times New Roman" w:cs="Times New Roman"/>
          <w:i/>
        </w:rPr>
        <w:t>https://www.doingbusiness.org/en/reports/global-reports/doing-business-2020</w:t>
      </w:r>
      <w:r w:rsidR="00FC1429">
        <w:rPr>
          <w:rFonts w:ascii="Times New Roman" w:hAnsi="Times New Roman" w:cs="Times New Roman"/>
          <w:i/>
        </w:rPr>
        <w:fldChar w:fldCharType="end"/>
      </w:r>
      <w:r w:rsidR="00FC1429">
        <w:rPr>
          <w:rFonts w:ascii="Times New Roman" w:hAnsi="Times New Roman" w:cs="Times New Roman"/>
          <w:i/>
        </w:rPr>
        <w:t>.</w:t>
      </w:r>
    </w:p>
    <w:p w:rsidR="00FC1429" w:rsidRDefault="00FC1429" w:rsidP="00090EA0">
      <w:pPr>
        <w:spacing w:after="240" w:line="240" w:lineRule="auto"/>
        <w:ind w:firstLine="709"/>
        <w:jc w:val="both"/>
        <w:rPr>
          <w:rFonts w:ascii="Times New Roman" w:hAnsi="Times New Roman" w:cs="Times New Roman"/>
          <w:i/>
        </w:rPr>
      </w:pPr>
      <w:r>
        <w:rPr>
          <w:rFonts w:ascii="Times New Roman" w:hAnsi="Times New Roman" w:cs="Times New Roman"/>
          <w:i/>
        </w:rPr>
        <w:t xml:space="preserve">* Birden fazla </w:t>
      </w:r>
      <w:proofErr w:type="gramStart"/>
      <w:r>
        <w:rPr>
          <w:rFonts w:ascii="Times New Roman" w:hAnsi="Times New Roman" w:cs="Times New Roman"/>
          <w:i/>
        </w:rPr>
        <w:t>kriterin</w:t>
      </w:r>
      <w:proofErr w:type="gramEnd"/>
      <w:r>
        <w:rPr>
          <w:rFonts w:ascii="Times New Roman" w:hAnsi="Times New Roman" w:cs="Times New Roman"/>
          <w:i/>
        </w:rPr>
        <w:t xml:space="preserve"> birlikte değerlendirmesini içerir. </w:t>
      </w:r>
    </w:p>
    <w:p w:rsidR="00FF0499" w:rsidRDefault="00FF0499" w:rsidP="00776387">
      <w:pPr>
        <w:spacing w:after="120" w:line="240" w:lineRule="auto"/>
        <w:ind w:firstLine="708"/>
        <w:jc w:val="both"/>
        <w:rPr>
          <w:rFonts w:ascii="Times New Roman" w:hAnsi="Times New Roman" w:cs="Times New Roman"/>
          <w:b/>
          <w:sz w:val="24"/>
          <w:szCs w:val="24"/>
        </w:rPr>
      </w:pPr>
      <w:r w:rsidRPr="00776387">
        <w:rPr>
          <w:rFonts w:ascii="Times New Roman" w:hAnsi="Times New Roman" w:cs="Times New Roman"/>
          <w:b/>
          <w:sz w:val="24"/>
          <w:szCs w:val="24"/>
        </w:rPr>
        <w:t xml:space="preserve">2.1. İş Yapma Kolaylığı </w:t>
      </w:r>
      <w:r w:rsidR="00D67609">
        <w:rPr>
          <w:rFonts w:ascii="Times New Roman" w:hAnsi="Times New Roman" w:cs="Times New Roman"/>
          <w:b/>
          <w:sz w:val="24"/>
          <w:szCs w:val="24"/>
        </w:rPr>
        <w:t xml:space="preserve">Endeksinin </w:t>
      </w:r>
      <w:r w:rsidR="0042532B">
        <w:rPr>
          <w:rFonts w:ascii="Times New Roman" w:hAnsi="Times New Roman" w:cs="Times New Roman"/>
          <w:b/>
          <w:sz w:val="24"/>
          <w:szCs w:val="24"/>
        </w:rPr>
        <w:t>Girişimciler Açısından</w:t>
      </w:r>
      <w:r w:rsidRPr="00776387">
        <w:rPr>
          <w:rFonts w:ascii="Times New Roman" w:hAnsi="Times New Roman" w:cs="Times New Roman"/>
          <w:b/>
          <w:sz w:val="24"/>
          <w:szCs w:val="24"/>
        </w:rPr>
        <w:t xml:space="preserve"> Önemi </w:t>
      </w:r>
    </w:p>
    <w:p w:rsidR="00760A13" w:rsidRPr="00776387" w:rsidRDefault="00760A13" w:rsidP="00760A13">
      <w:pPr>
        <w:spacing w:after="120" w:line="240" w:lineRule="auto"/>
        <w:ind w:firstLine="708"/>
        <w:jc w:val="both"/>
        <w:rPr>
          <w:rFonts w:ascii="Times New Roman" w:hAnsi="Times New Roman" w:cs="Times New Roman"/>
          <w:sz w:val="24"/>
          <w:szCs w:val="24"/>
        </w:rPr>
      </w:pPr>
      <w:r w:rsidRPr="00776387">
        <w:rPr>
          <w:rFonts w:ascii="Times New Roman" w:hAnsi="Times New Roman" w:cs="Times New Roman"/>
          <w:sz w:val="24"/>
          <w:szCs w:val="24"/>
        </w:rPr>
        <w:t xml:space="preserve">Doğrudan yatırım kararı ve yer seçimi çok uzun </w:t>
      </w:r>
      <w:r>
        <w:rPr>
          <w:rFonts w:ascii="Times New Roman" w:hAnsi="Times New Roman" w:cs="Times New Roman"/>
          <w:sz w:val="24"/>
          <w:szCs w:val="24"/>
        </w:rPr>
        <w:t>vadede</w:t>
      </w:r>
      <w:r w:rsidRPr="00776387">
        <w:rPr>
          <w:rFonts w:ascii="Times New Roman" w:hAnsi="Times New Roman" w:cs="Times New Roman"/>
          <w:sz w:val="24"/>
          <w:szCs w:val="24"/>
        </w:rPr>
        <w:t xml:space="preserve"> işletmelerin her bakımdan yürüteceği çalışmaları </w:t>
      </w:r>
      <w:r>
        <w:rPr>
          <w:rFonts w:ascii="Times New Roman" w:hAnsi="Times New Roman" w:cs="Times New Roman"/>
          <w:sz w:val="24"/>
          <w:szCs w:val="24"/>
        </w:rPr>
        <w:t xml:space="preserve">ve alacağı kararları </w:t>
      </w:r>
      <w:r w:rsidRPr="00776387">
        <w:rPr>
          <w:rFonts w:ascii="Times New Roman" w:hAnsi="Times New Roman" w:cs="Times New Roman"/>
          <w:sz w:val="24"/>
          <w:szCs w:val="24"/>
        </w:rPr>
        <w:t>etkile</w:t>
      </w:r>
      <w:r>
        <w:rPr>
          <w:rFonts w:ascii="Times New Roman" w:hAnsi="Times New Roman" w:cs="Times New Roman"/>
          <w:sz w:val="24"/>
          <w:szCs w:val="24"/>
        </w:rPr>
        <w:t xml:space="preserve">yeceği için </w:t>
      </w:r>
      <w:r w:rsidRPr="00776387">
        <w:rPr>
          <w:rFonts w:ascii="Times New Roman" w:hAnsi="Times New Roman" w:cs="Times New Roman"/>
          <w:sz w:val="24"/>
          <w:szCs w:val="24"/>
        </w:rPr>
        <w:t xml:space="preserve">son derece önemlidir. Bu bağlamda uluslararası yatırımcılar yatırım yaptıkları ülkede uzun </w:t>
      </w:r>
      <w:r>
        <w:rPr>
          <w:rFonts w:ascii="Times New Roman" w:hAnsi="Times New Roman" w:cs="Times New Roman"/>
          <w:sz w:val="24"/>
          <w:szCs w:val="24"/>
        </w:rPr>
        <w:t xml:space="preserve">vadeli </w:t>
      </w:r>
      <w:r w:rsidRPr="00776387">
        <w:rPr>
          <w:rFonts w:ascii="Times New Roman" w:hAnsi="Times New Roman" w:cs="Times New Roman"/>
          <w:sz w:val="24"/>
          <w:szCs w:val="24"/>
        </w:rPr>
        <w:t xml:space="preserve">kalacağı için, kurumsal ilişkiler kurabilecekleri, siyasal ve ekonomik istikrarın olduğu ülkeleri tercih etmektedir. Bu amaçla uzman kişi ve kuruluşların bilgi ve tecrübelerinden yararlanmak istemektedirler. Çünkü alınan uluslararası yatırım kararının kısa vadede revize edilme imkânı yoktur. Yatırım kararının en önemli </w:t>
      </w:r>
      <w:r>
        <w:rPr>
          <w:rFonts w:ascii="Times New Roman" w:hAnsi="Times New Roman" w:cs="Times New Roman"/>
          <w:sz w:val="24"/>
          <w:szCs w:val="24"/>
        </w:rPr>
        <w:t xml:space="preserve">boyutu </w:t>
      </w:r>
      <w:r w:rsidRPr="00776387">
        <w:rPr>
          <w:rFonts w:ascii="Times New Roman" w:hAnsi="Times New Roman" w:cs="Times New Roman"/>
          <w:sz w:val="24"/>
          <w:szCs w:val="24"/>
        </w:rPr>
        <w:t xml:space="preserve">yer seçimidir. Yatırımın yapılacağı yer işletmenin üretim, hammadde, işgücü temini, satış-dağıtım gibi temel faaliyetlerini doğrudan etkilemekte ve şekillendirmektedir. Bu nedenle bilimsel ve objektif bir şekilde yatırım yapılacak yerin seçimi işletmenin sürekliliği ve karlılığı açısından çok önemlidir.   </w:t>
      </w:r>
    </w:p>
    <w:p w:rsidR="00290F14" w:rsidRPr="00776387" w:rsidRDefault="00B630C5" w:rsidP="00776387">
      <w:pPr>
        <w:spacing w:after="120" w:line="240" w:lineRule="auto"/>
        <w:ind w:firstLine="708"/>
        <w:jc w:val="both"/>
        <w:rPr>
          <w:rFonts w:ascii="Times New Roman" w:hAnsi="Times New Roman" w:cs="Times New Roman"/>
          <w:sz w:val="24"/>
          <w:szCs w:val="24"/>
        </w:rPr>
      </w:pPr>
      <w:r w:rsidRPr="00776387">
        <w:rPr>
          <w:rFonts w:ascii="Times New Roman" w:hAnsi="Times New Roman" w:cs="Times New Roman"/>
          <w:sz w:val="24"/>
          <w:szCs w:val="24"/>
        </w:rPr>
        <w:t>Belirsizlik, istikrar ve güvenlik yatırımlarda öne çıkan kavramlardır. Yalnızca ulusal yatırımcılar için değil uluslararası yatırımcılar için de bu kavramlar önemlidir. Ekonomiler piyasa kurallarının etkin bir şekilde işlediği ve uluslararası standartlarda bir hukuk sistemi ile belirsizliği azaltarak istikrar sağlamaktadır.</w:t>
      </w:r>
      <w:r w:rsidR="00290F14" w:rsidRPr="00776387">
        <w:rPr>
          <w:rFonts w:ascii="Times New Roman" w:hAnsi="Times New Roman" w:cs="Times New Roman"/>
          <w:sz w:val="24"/>
          <w:szCs w:val="24"/>
        </w:rPr>
        <w:t xml:space="preserve"> İş yapma kolaylığı endeksinin ülke ekonomilerine etkisini yatırımcılar ve ülke yönetimleri açısından ele almak mümkündür. İş yapma kolaylığı ülkelerin ekonomik büyüme ve kalkınmasında önemli rol oynamaktadır.</w:t>
      </w:r>
      <w:r w:rsidR="00392640" w:rsidRPr="00776387">
        <w:rPr>
          <w:rFonts w:ascii="Times New Roman" w:hAnsi="Times New Roman" w:cs="Times New Roman"/>
          <w:sz w:val="24"/>
          <w:szCs w:val="24"/>
        </w:rPr>
        <w:t xml:space="preserve"> Diğer </w:t>
      </w:r>
      <w:r w:rsidR="007C797C" w:rsidRPr="00776387">
        <w:rPr>
          <w:rFonts w:ascii="Times New Roman" w:hAnsi="Times New Roman" w:cs="Times New Roman"/>
          <w:sz w:val="24"/>
          <w:szCs w:val="24"/>
        </w:rPr>
        <w:t>taraftan uluslararası</w:t>
      </w:r>
      <w:r w:rsidR="00290F14" w:rsidRPr="00776387">
        <w:rPr>
          <w:rFonts w:ascii="Times New Roman" w:hAnsi="Times New Roman" w:cs="Times New Roman"/>
          <w:sz w:val="24"/>
          <w:szCs w:val="24"/>
        </w:rPr>
        <w:t xml:space="preserve"> yatırımcılar iş yapma kolaylığı endeksi kapsamındaki </w:t>
      </w:r>
      <w:proofErr w:type="gramStart"/>
      <w:r w:rsidR="00290F14" w:rsidRPr="00776387">
        <w:rPr>
          <w:rFonts w:ascii="Times New Roman" w:hAnsi="Times New Roman" w:cs="Times New Roman"/>
          <w:sz w:val="24"/>
          <w:szCs w:val="24"/>
        </w:rPr>
        <w:t>kriterlere</w:t>
      </w:r>
      <w:proofErr w:type="gramEnd"/>
      <w:r w:rsidR="00290F14" w:rsidRPr="00776387">
        <w:rPr>
          <w:rFonts w:ascii="Times New Roman" w:hAnsi="Times New Roman" w:cs="Times New Roman"/>
          <w:sz w:val="24"/>
          <w:szCs w:val="24"/>
        </w:rPr>
        <w:t xml:space="preserve"> göre ülkeleri değerlendirerek yatırımlarına yön vermektedirler. </w:t>
      </w:r>
    </w:p>
    <w:p w:rsidR="00226EAF" w:rsidRPr="00776387" w:rsidRDefault="00226EAF" w:rsidP="00776387">
      <w:pPr>
        <w:spacing w:after="120" w:line="240" w:lineRule="auto"/>
        <w:ind w:firstLine="708"/>
        <w:jc w:val="both"/>
        <w:rPr>
          <w:rFonts w:ascii="Times New Roman" w:hAnsi="Times New Roman" w:cs="Times New Roman"/>
          <w:sz w:val="24"/>
          <w:szCs w:val="24"/>
        </w:rPr>
      </w:pPr>
      <w:r w:rsidRPr="00776387">
        <w:rPr>
          <w:rFonts w:ascii="Times New Roman" w:hAnsi="Times New Roman" w:cs="Times New Roman"/>
          <w:sz w:val="24"/>
          <w:szCs w:val="24"/>
        </w:rPr>
        <w:lastRenderedPageBreak/>
        <w:t xml:space="preserve">Doğrudan yatırımlar ekonomik büyüme ve kalınmanın temel kaynağıdır. Bir ekonomide iyi tanımlanmış yasal ve kurumsal çerçeve </w:t>
      </w:r>
      <w:r w:rsidR="009A3D4A" w:rsidRPr="00776387">
        <w:rPr>
          <w:rFonts w:ascii="Times New Roman" w:hAnsi="Times New Roman" w:cs="Times New Roman"/>
          <w:sz w:val="24"/>
          <w:szCs w:val="24"/>
        </w:rPr>
        <w:t xml:space="preserve">yatırım kararlarının en önemli </w:t>
      </w:r>
      <w:r w:rsidR="007C797C" w:rsidRPr="00776387">
        <w:rPr>
          <w:rFonts w:ascii="Times New Roman" w:hAnsi="Times New Roman" w:cs="Times New Roman"/>
          <w:sz w:val="24"/>
          <w:szCs w:val="24"/>
        </w:rPr>
        <w:t>belirleyicilerinden belirsizlik</w:t>
      </w:r>
      <w:r w:rsidR="009A3D4A" w:rsidRPr="00776387">
        <w:rPr>
          <w:rFonts w:ascii="Times New Roman" w:hAnsi="Times New Roman" w:cs="Times New Roman"/>
          <w:sz w:val="24"/>
          <w:szCs w:val="24"/>
        </w:rPr>
        <w:t xml:space="preserve"> ve istikrarsızlık sorununu ortadan kaldırarak yatırımların önünü açar(Öztürkler, 2016: 82).</w:t>
      </w:r>
      <w:r w:rsidR="00D7678B" w:rsidRPr="00776387">
        <w:rPr>
          <w:rFonts w:ascii="Times New Roman" w:hAnsi="Times New Roman" w:cs="Times New Roman"/>
          <w:sz w:val="24"/>
          <w:szCs w:val="24"/>
        </w:rPr>
        <w:t xml:space="preserve"> </w:t>
      </w:r>
      <w:r w:rsidR="00D3765D">
        <w:rPr>
          <w:rFonts w:ascii="Times New Roman" w:hAnsi="Times New Roman" w:cs="Times New Roman"/>
          <w:sz w:val="24"/>
          <w:szCs w:val="24"/>
        </w:rPr>
        <w:t xml:space="preserve">Gelişmekte olan teknoloji ile birlikte yeni iş modellerine açık enek işgücü piyasası düzenlemeleri ekonomik </w:t>
      </w:r>
      <w:r w:rsidR="005073AF">
        <w:rPr>
          <w:rFonts w:ascii="Times New Roman" w:hAnsi="Times New Roman" w:cs="Times New Roman"/>
          <w:sz w:val="24"/>
          <w:szCs w:val="24"/>
        </w:rPr>
        <w:t>büyüme ve kalkınmanın sağlanması için önemlidir</w:t>
      </w:r>
      <w:r w:rsidR="005073AF">
        <w:rPr>
          <w:rFonts w:ascii="Times New Roman" w:hAnsi="Times New Roman" w:cs="Times New Roman"/>
          <w:sz w:val="24"/>
          <w:szCs w:val="24"/>
        </w:rPr>
        <w:fldChar w:fldCharType="begin" w:fldLock="1"/>
      </w:r>
      <w:r w:rsidR="005B1F59">
        <w:rPr>
          <w:rFonts w:ascii="Times New Roman" w:hAnsi="Times New Roman" w:cs="Times New Roman"/>
          <w:sz w:val="24"/>
          <w:szCs w:val="24"/>
        </w:rPr>
        <w:instrText>ADDIN CSL_CITATION {"citationItems":[{"id":"ITEM-1","itemData":{"DOI":"10.3390/axioms10030140","ISSN":"20751680","abstract":"The global economy has been hit by the unexpected COVID-19 outbreak, and foreign investment has been seen as one of the most important tools to boost the economy. However, in the highly uncertain post-epidemic era, determining how to attract foreign investment is the key to re-vitalizing the economy. What are the important factors for governments to attract investment, and how to improve them? This will be an important decision in the post-epidemic era. Therefore, this study develops a novel decision-making model to explore the key factors in attracting foreign in-vestment. The model first uses fuzzy Delphi to explore the key factors of attracting foreign investment in the post-epidemic era, and then uses DEMATEL to construct the causal relationships among these factors. To overcome the uncertainty of various information sources and inconsistent mes-sages from decision-makers, this study combined neutrosophic set theory to conduct quantitative analysis. The results of the study show that the model is suitable for analyzing the key factors of investment attraction in the post-epidemic period. Based on the results of the study, we also propose strategies that will help the relevant policy-making departments to understand the root causes of the problem and to formulate appropriate investment strategies in advance. In addition, the model is also used for comparative analysis, which reveals that this novel approach can integrate more incomplete information and present expert opinions in a more objective way.","author":[{"dropping-particle":"","family":"Huang","given":"Sun Weng","non-dropping-particle":"","parse-names":false,"suffix":""},{"dropping-particle":"","family":"Liou","given":"James J.H.","non-dropping-particle":"","parse-names":false,"suffix":""},{"dropping-particle":"","family":"Cheng","given":"Shih Hsiung","non-dropping-particle":"","parse-names":false,"suffix":""},{"dropping-particle":"","family":"Tang","given":"William","non-dropping-particle":"","parse-names":false,"suffix":""},{"dropping-particle":"","family":"Ma","given":"Jessica C.Y.","non-dropping-particle":"","parse-names":false,"suffix":""},{"dropping-particle":"","family":"Tzeng","given":"Gwo Hshiung","non-dropping-particle":"","parse-names":false,"suffix":""}],"container-title":"Axioms","id":"ITEM-1","issue":"3","issued":{"date-parts":[["2021"]]},"page":"1-25","title":"The key success factors for attracting foreign investment in the post-epidemic era","type":"article-journal","volume":"10"},"uris":["http://www.mendeley.com/documents/?uuid=d19b3f6d-379f-4580-97cd-f7e03462dd3b"]}],"mendeley":{"formattedCitation":"(Huang ve diğerleri, 2021)","manualFormatting":"(Huang vd., 2021:21)","plainTextFormattedCitation":"(Huang ve diğerleri, 2021)","previouslyFormattedCitation":"(Huang ve diğerleri, 2021)"},"properties":{"noteIndex":0},"schema":"https://github.com/citation-style-language/schema/raw/master/csl-citation.json"}</w:instrText>
      </w:r>
      <w:r w:rsidR="005073AF">
        <w:rPr>
          <w:rFonts w:ascii="Times New Roman" w:hAnsi="Times New Roman" w:cs="Times New Roman"/>
          <w:sz w:val="24"/>
          <w:szCs w:val="24"/>
        </w:rPr>
        <w:fldChar w:fldCharType="separate"/>
      </w:r>
      <w:r w:rsidR="005073AF" w:rsidRPr="005073AF">
        <w:rPr>
          <w:rFonts w:ascii="Times New Roman" w:hAnsi="Times New Roman" w:cs="Times New Roman"/>
          <w:noProof/>
          <w:sz w:val="24"/>
          <w:szCs w:val="24"/>
        </w:rPr>
        <w:t>(Huang v</w:t>
      </w:r>
      <w:r w:rsidR="005073AF">
        <w:rPr>
          <w:rFonts w:ascii="Times New Roman" w:hAnsi="Times New Roman" w:cs="Times New Roman"/>
          <w:noProof/>
          <w:sz w:val="24"/>
          <w:szCs w:val="24"/>
        </w:rPr>
        <w:t>d.</w:t>
      </w:r>
      <w:r w:rsidR="005073AF" w:rsidRPr="005073AF">
        <w:rPr>
          <w:rFonts w:ascii="Times New Roman" w:hAnsi="Times New Roman" w:cs="Times New Roman"/>
          <w:noProof/>
          <w:sz w:val="24"/>
          <w:szCs w:val="24"/>
        </w:rPr>
        <w:t>, 2021</w:t>
      </w:r>
      <w:r w:rsidR="005073AF">
        <w:rPr>
          <w:rFonts w:ascii="Times New Roman" w:hAnsi="Times New Roman" w:cs="Times New Roman"/>
          <w:noProof/>
          <w:sz w:val="24"/>
          <w:szCs w:val="24"/>
        </w:rPr>
        <w:t>:21</w:t>
      </w:r>
      <w:r w:rsidR="005073AF" w:rsidRPr="005073AF">
        <w:rPr>
          <w:rFonts w:ascii="Times New Roman" w:hAnsi="Times New Roman" w:cs="Times New Roman"/>
          <w:noProof/>
          <w:sz w:val="24"/>
          <w:szCs w:val="24"/>
        </w:rPr>
        <w:t>)</w:t>
      </w:r>
      <w:r w:rsidR="005073AF">
        <w:rPr>
          <w:rFonts w:ascii="Times New Roman" w:hAnsi="Times New Roman" w:cs="Times New Roman"/>
          <w:sz w:val="24"/>
          <w:szCs w:val="24"/>
        </w:rPr>
        <w:fldChar w:fldCharType="end"/>
      </w:r>
      <w:r w:rsidR="00D7678B" w:rsidRPr="00776387">
        <w:rPr>
          <w:rFonts w:ascii="Times New Roman" w:hAnsi="Times New Roman" w:cs="Times New Roman"/>
          <w:sz w:val="24"/>
          <w:szCs w:val="24"/>
        </w:rPr>
        <w:t>Bir ekonomideki basit ve anlaşılır kurumsal yapı yatırımcılara adil yarış imkânı tanır. Basit ve anlaşılır ve kurumsallaşmış yapılar yatırımcılarda güven duygusu oluşturarak yatırım yapmaya teşvik eder. Bürokratik süreçlerin kısaltılması</w:t>
      </w:r>
      <w:r w:rsidR="00447E6A" w:rsidRPr="00776387">
        <w:rPr>
          <w:rFonts w:ascii="Times New Roman" w:hAnsi="Times New Roman" w:cs="Times New Roman"/>
          <w:sz w:val="24"/>
          <w:szCs w:val="24"/>
        </w:rPr>
        <w:t xml:space="preserve">, mevzuatın </w:t>
      </w:r>
      <w:r w:rsidR="00D7678B" w:rsidRPr="00776387">
        <w:rPr>
          <w:rFonts w:ascii="Times New Roman" w:hAnsi="Times New Roman" w:cs="Times New Roman"/>
          <w:sz w:val="24"/>
          <w:szCs w:val="24"/>
        </w:rPr>
        <w:t>açık ve anlaşılır</w:t>
      </w:r>
      <w:r w:rsidR="00447E6A" w:rsidRPr="00776387">
        <w:rPr>
          <w:rFonts w:ascii="Times New Roman" w:hAnsi="Times New Roman" w:cs="Times New Roman"/>
          <w:sz w:val="24"/>
          <w:szCs w:val="24"/>
        </w:rPr>
        <w:t xml:space="preserve"> olması, </w:t>
      </w:r>
      <w:r w:rsidR="00D7678B" w:rsidRPr="00776387">
        <w:rPr>
          <w:rFonts w:ascii="Times New Roman" w:hAnsi="Times New Roman" w:cs="Times New Roman"/>
          <w:sz w:val="24"/>
          <w:szCs w:val="24"/>
        </w:rPr>
        <w:t>adil</w:t>
      </w:r>
      <w:r w:rsidR="00447E6A" w:rsidRPr="00776387">
        <w:rPr>
          <w:rFonts w:ascii="Times New Roman" w:hAnsi="Times New Roman" w:cs="Times New Roman"/>
          <w:sz w:val="24"/>
          <w:szCs w:val="24"/>
        </w:rPr>
        <w:t xml:space="preserve"> süreç ve uygulamalar yatırım süreleri ve maliyetlerini azaltarak yatırımcıya cazip yatırım ortamları sunar. </w:t>
      </w:r>
      <w:r w:rsidR="009A3D4A" w:rsidRPr="00776387">
        <w:rPr>
          <w:rFonts w:ascii="Times New Roman" w:hAnsi="Times New Roman" w:cs="Times New Roman"/>
          <w:sz w:val="24"/>
          <w:szCs w:val="24"/>
        </w:rPr>
        <w:t xml:space="preserve"> </w:t>
      </w:r>
      <w:r w:rsidR="00447E6A" w:rsidRPr="00776387">
        <w:rPr>
          <w:rFonts w:ascii="Times New Roman" w:hAnsi="Times New Roman" w:cs="Times New Roman"/>
          <w:sz w:val="24"/>
          <w:szCs w:val="24"/>
        </w:rPr>
        <w:t xml:space="preserve">Piyasa ekonomisinin işlerliği </w:t>
      </w:r>
      <w:r w:rsidR="00A647C4" w:rsidRPr="00776387">
        <w:rPr>
          <w:rFonts w:ascii="Times New Roman" w:hAnsi="Times New Roman" w:cs="Times New Roman"/>
          <w:sz w:val="24"/>
          <w:szCs w:val="24"/>
        </w:rPr>
        <w:t xml:space="preserve">öngörülemez piyasa müdahalelerinin önüne geçerek yatırım kararlarını teşvik eder. </w:t>
      </w:r>
      <w:r w:rsidR="00447E6A" w:rsidRPr="00776387">
        <w:rPr>
          <w:rFonts w:ascii="Times New Roman" w:hAnsi="Times New Roman" w:cs="Times New Roman"/>
          <w:sz w:val="24"/>
          <w:szCs w:val="24"/>
        </w:rPr>
        <w:t xml:space="preserve"> </w:t>
      </w:r>
      <w:r w:rsidRPr="00776387">
        <w:rPr>
          <w:rFonts w:ascii="Times New Roman" w:hAnsi="Times New Roman" w:cs="Times New Roman"/>
          <w:sz w:val="24"/>
          <w:szCs w:val="24"/>
        </w:rPr>
        <w:t xml:space="preserve"> </w:t>
      </w:r>
    </w:p>
    <w:p w:rsidR="0091739E" w:rsidRDefault="00B270D6" w:rsidP="00776387">
      <w:pPr>
        <w:spacing w:after="120" w:line="240" w:lineRule="auto"/>
        <w:ind w:firstLine="708"/>
        <w:jc w:val="both"/>
        <w:rPr>
          <w:rFonts w:ascii="Times New Roman" w:hAnsi="Times New Roman" w:cs="Times New Roman"/>
          <w:sz w:val="24"/>
          <w:szCs w:val="24"/>
        </w:rPr>
      </w:pPr>
      <w:r w:rsidRPr="00776387">
        <w:rPr>
          <w:rFonts w:ascii="Times New Roman" w:hAnsi="Times New Roman" w:cs="Times New Roman"/>
          <w:sz w:val="24"/>
          <w:szCs w:val="24"/>
        </w:rPr>
        <w:t xml:space="preserve">Endeks kapsamında ülkelerin finansal piyasalarda yapmış olduğu </w:t>
      </w:r>
      <w:r w:rsidR="00EA02C7" w:rsidRPr="00776387">
        <w:rPr>
          <w:rFonts w:ascii="Times New Roman" w:hAnsi="Times New Roman" w:cs="Times New Roman"/>
          <w:sz w:val="24"/>
          <w:szCs w:val="24"/>
        </w:rPr>
        <w:t>düzenlemel</w:t>
      </w:r>
      <w:r w:rsidR="00F370FA" w:rsidRPr="00776387">
        <w:rPr>
          <w:rFonts w:ascii="Times New Roman" w:hAnsi="Times New Roman" w:cs="Times New Roman"/>
          <w:sz w:val="24"/>
          <w:szCs w:val="24"/>
        </w:rPr>
        <w:t>e</w:t>
      </w:r>
      <w:r w:rsidR="00EA02C7" w:rsidRPr="00776387">
        <w:rPr>
          <w:rFonts w:ascii="Times New Roman" w:hAnsi="Times New Roman" w:cs="Times New Roman"/>
          <w:sz w:val="24"/>
          <w:szCs w:val="24"/>
        </w:rPr>
        <w:t xml:space="preserve">r </w:t>
      </w:r>
      <w:r w:rsidRPr="00776387">
        <w:rPr>
          <w:rFonts w:ascii="Times New Roman" w:hAnsi="Times New Roman" w:cs="Times New Roman"/>
          <w:sz w:val="24"/>
          <w:szCs w:val="24"/>
        </w:rPr>
        <w:t>tasarruflar</w:t>
      </w:r>
      <w:r w:rsidR="00EA02C7" w:rsidRPr="00776387">
        <w:rPr>
          <w:rFonts w:ascii="Times New Roman" w:hAnsi="Times New Roman" w:cs="Times New Roman"/>
          <w:sz w:val="24"/>
          <w:szCs w:val="24"/>
        </w:rPr>
        <w:t>ın etkin bir şekilde y</w:t>
      </w:r>
      <w:r w:rsidRPr="00776387">
        <w:rPr>
          <w:rFonts w:ascii="Times New Roman" w:hAnsi="Times New Roman" w:cs="Times New Roman"/>
          <w:sz w:val="24"/>
          <w:szCs w:val="24"/>
        </w:rPr>
        <w:t>atırımlar</w:t>
      </w:r>
      <w:r w:rsidR="00EA02C7" w:rsidRPr="00776387">
        <w:rPr>
          <w:rFonts w:ascii="Times New Roman" w:hAnsi="Times New Roman" w:cs="Times New Roman"/>
          <w:sz w:val="24"/>
          <w:szCs w:val="24"/>
        </w:rPr>
        <w:t xml:space="preserve">a aktarımını sağlar. Aynı şekilde etkin, adil ve verimli bir maliye ve para politikası yatırımları </w:t>
      </w:r>
      <w:r w:rsidR="00F370FA" w:rsidRPr="00776387">
        <w:rPr>
          <w:rFonts w:ascii="Times New Roman" w:hAnsi="Times New Roman" w:cs="Times New Roman"/>
          <w:sz w:val="24"/>
          <w:szCs w:val="24"/>
        </w:rPr>
        <w:t xml:space="preserve">teşvik edicidir. Demokratik gelişme ve etkin işgücü piyasalarının varlığı </w:t>
      </w:r>
      <w:r w:rsidR="00022E86" w:rsidRPr="00776387">
        <w:rPr>
          <w:rFonts w:ascii="Times New Roman" w:hAnsi="Times New Roman" w:cs="Times New Roman"/>
          <w:sz w:val="24"/>
          <w:szCs w:val="24"/>
        </w:rPr>
        <w:t>ülkelerin ekonomik ve sosyal kalkınmalarında önemli rol oynar</w:t>
      </w:r>
      <w:r w:rsidR="00F370FA" w:rsidRPr="00776387">
        <w:rPr>
          <w:rFonts w:ascii="Times New Roman" w:hAnsi="Times New Roman" w:cs="Times New Roman"/>
          <w:sz w:val="24"/>
          <w:szCs w:val="24"/>
        </w:rPr>
        <w:t xml:space="preserve">(Öztürkler, </w:t>
      </w:r>
      <w:proofErr w:type="gramStart"/>
      <w:r w:rsidR="00F370FA" w:rsidRPr="00776387">
        <w:rPr>
          <w:rFonts w:ascii="Times New Roman" w:hAnsi="Times New Roman" w:cs="Times New Roman"/>
          <w:sz w:val="24"/>
          <w:szCs w:val="24"/>
        </w:rPr>
        <w:t>2016:82</w:t>
      </w:r>
      <w:proofErr w:type="gramEnd"/>
      <w:r w:rsidR="00F370FA" w:rsidRPr="00776387">
        <w:rPr>
          <w:rFonts w:ascii="Times New Roman" w:hAnsi="Times New Roman" w:cs="Times New Roman"/>
          <w:sz w:val="24"/>
          <w:szCs w:val="24"/>
        </w:rPr>
        <w:t>).</w:t>
      </w:r>
      <w:r w:rsidR="00022E86" w:rsidRPr="00776387">
        <w:rPr>
          <w:rFonts w:ascii="Times New Roman" w:hAnsi="Times New Roman" w:cs="Times New Roman"/>
          <w:sz w:val="24"/>
          <w:szCs w:val="24"/>
        </w:rPr>
        <w:t xml:space="preserve"> İş yapma kolaylığı endeksine ülke yönetimleri açısından bakıldığında endeks bir yönetim performansı göstergesi gibidir. Yatırımcı çekebilen ülkeler ekonomik, siyasal, huku</w:t>
      </w:r>
      <w:r w:rsidR="00D649CA" w:rsidRPr="00776387">
        <w:rPr>
          <w:rFonts w:ascii="Times New Roman" w:hAnsi="Times New Roman" w:cs="Times New Roman"/>
          <w:sz w:val="24"/>
          <w:szCs w:val="24"/>
        </w:rPr>
        <w:t>k</w:t>
      </w:r>
      <w:r w:rsidR="00022E86" w:rsidRPr="00776387">
        <w:rPr>
          <w:rFonts w:ascii="Times New Roman" w:hAnsi="Times New Roman" w:cs="Times New Roman"/>
          <w:sz w:val="24"/>
          <w:szCs w:val="24"/>
        </w:rPr>
        <w:t xml:space="preserve">sal, istikrarın sağlandığı ve </w:t>
      </w:r>
      <w:r w:rsidR="00D649CA" w:rsidRPr="00776387">
        <w:rPr>
          <w:rFonts w:ascii="Times New Roman" w:hAnsi="Times New Roman" w:cs="Times New Roman"/>
          <w:sz w:val="24"/>
          <w:szCs w:val="24"/>
        </w:rPr>
        <w:t xml:space="preserve">uluslararası standartlara sahip ülkeler olarak ifade edilmektedir. </w:t>
      </w:r>
    </w:p>
    <w:p w:rsidR="00FF0499" w:rsidRPr="008238AB" w:rsidRDefault="00AC2A30" w:rsidP="00776387">
      <w:pPr>
        <w:spacing w:after="120" w:line="240" w:lineRule="auto"/>
        <w:ind w:firstLine="708"/>
        <w:jc w:val="both"/>
        <w:rPr>
          <w:rFonts w:ascii="Times New Roman" w:hAnsi="Times New Roman" w:cs="Times New Roman"/>
          <w:sz w:val="24"/>
          <w:szCs w:val="24"/>
        </w:rPr>
      </w:pPr>
      <w:r w:rsidRPr="008238AB">
        <w:rPr>
          <w:rFonts w:ascii="Times New Roman" w:hAnsi="Times New Roman" w:cs="Times New Roman"/>
          <w:sz w:val="24"/>
          <w:szCs w:val="24"/>
        </w:rPr>
        <w:t xml:space="preserve">Doğrudan yabancı yatırımlar ile iş yapma kolaylığı endeksi </w:t>
      </w:r>
      <w:r w:rsidR="00E50A06" w:rsidRPr="008238AB">
        <w:rPr>
          <w:rFonts w:ascii="Times New Roman" w:hAnsi="Times New Roman" w:cs="Times New Roman"/>
          <w:sz w:val="24"/>
          <w:szCs w:val="24"/>
        </w:rPr>
        <w:t>arasındaki</w:t>
      </w:r>
      <w:r w:rsidRPr="008238AB">
        <w:rPr>
          <w:rFonts w:ascii="Times New Roman" w:hAnsi="Times New Roman" w:cs="Times New Roman"/>
          <w:sz w:val="24"/>
          <w:szCs w:val="24"/>
        </w:rPr>
        <w:t xml:space="preserve"> ilişkiler araştırmacılar tarafından çok sayıda çalışmaya konu olmuştur. Bu kapsamda ülkelere yapılan dolaylı yatırımlar ile iş yapma kolaylığı endeks puanı arasında </w:t>
      </w:r>
      <w:proofErr w:type="spellStart"/>
      <w:r w:rsidRPr="008238AB">
        <w:rPr>
          <w:rFonts w:ascii="Times New Roman" w:hAnsi="Times New Roman" w:cs="Times New Roman"/>
          <w:sz w:val="24"/>
          <w:szCs w:val="24"/>
        </w:rPr>
        <w:t>nedensel</w:t>
      </w:r>
      <w:proofErr w:type="spellEnd"/>
      <w:r w:rsidRPr="008238AB">
        <w:rPr>
          <w:rFonts w:ascii="Times New Roman" w:hAnsi="Times New Roman" w:cs="Times New Roman"/>
          <w:sz w:val="24"/>
          <w:szCs w:val="24"/>
        </w:rPr>
        <w:t xml:space="preserve"> ilişki bulunmuştur(</w:t>
      </w:r>
      <w:proofErr w:type="spellStart"/>
      <w:r w:rsidR="002A5662" w:rsidRPr="008238AB">
        <w:rPr>
          <w:rFonts w:ascii="Times New Roman" w:hAnsi="Times New Roman" w:cs="Times New Roman"/>
          <w:sz w:val="24"/>
          <w:szCs w:val="24"/>
        </w:rPr>
        <w:t>Javasuriya</w:t>
      </w:r>
      <w:proofErr w:type="spellEnd"/>
      <w:r w:rsidR="002A5662" w:rsidRPr="008238AB">
        <w:rPr>
          <w:rFonts w:ascii="Times New Roman" w:hAnsi="Times New Roman" w:cs="Times New Roman"/>
          <w:sz w:val="24"/>
          <w:szCs w:val="24"/>
        </w:rPr>
        <w:t xml:space="preserve">, 2011; Bayraktar 2013; </w:t>
      </w:r>
      <w:proofErr w:type="spellStart"/>
      <w:r w:rsidR="002A5662" w:rsidRPr="008238AB">
        <w:rPr>
          <w:rFonts w:ascii="Times New Roman" w:hAnsi="Times New Roman" w:cs="Times New Roman"/>
          <w:sz w:val="24"/>
          <w:szCs w:val="24"/>
        </w:rPr>
        <w:t>Corcoran</w:t>
      </w:r>
      <w:proofErr w:type="spellEnd"/>
      <w:r w:rsidR="002A5662" w:rsidRPr="008238AB">
        <w:rPr>
          <w:rFonts w:ascii="Times New Roman" w:hAnsi="Times New Roman" w:cs="Times New Roman"/>
          <w:sz w:val="24"/>
          <w:szCs w:val="24"/>
        </w:rPr>
        <w:t xml:space="preserve"> ve </w:t>
      </w:r>
      <w:proofErr w:type="spellStart"/>
      <w:r w:rsidR="002A5662" w:rsidRPr="008238AB">
        <w:rPr>
          <w:rFonts w:ascii="Times New Roman" w:hAnsi="Times New Roman" w:cs="Times New Roman"/>
          <w:sz w:val="24"/>
          <w:szCs w:val="24"/>
        </w:rPr>
        <w:t>Gillanders</w:t>
      </w:r>
      <w:proofErr w:type="spellEnd"/>
      <w:r w:rsidR="002A5662" w:rsidRPr="008238AB">
        <w:rPr>
          <w:rFonts w:ascii="Times New Roman" w:hAnsi="Times New Roman" w:cs="Times New Roman"/>
          <w:sz w:val="24"/>
          <w:szCs w:val="24"/>
        </w:rPr>
        <w:t>, 201</w:t>
      </w:r>
      <w:r w:rsidR="00C66D33">
        <w:rPr>
          <w:rFonts w:ascii="Times New Roman" w:hAnsi="Times New Roman" w:cs="Times New Roman"/>
          <w:sz w:val="24"/>
          <w:szCs w:val="24"/>
        </w:rPr>
        <w:t>3</w:t>
      </w:r>
      <w:r w:rsidR="002A5662" w:rsidRPr="008238AB">
        <w:rPr>
          <w:rFonts w:ascii="Times New Roman" w:hAnsi="Times New Roman" w:cs="Times New Roman"/>
          <w:sz w:val="24"/>
          <w:szCs w:val="24"/>
        </w:rPr>
        <w:t xml:space="preserve">; Çalışkan, 2019). </w:t>
      </w:r>
      <w:r w:rsidR="0033336A">
        <w:rPr>
          <w:rFonts w:ascii="Times New Roman" w:hAnsi="Times New Roman" w:cs="Times New Roman"/>
          <w:sz w:val="24"/>
          <w:szCs w:val="24"/>
        </w:rPr>
        <w:t>Çömez ve Bingöl(2019)</w:t>
      </w:r>
      <w:r w:rsidR="003F742C">
        <w:rPr>
          <w:rFonts w:ascii="Times New Roman" w:hAnsi="Times New Roman" w:cs="Times New Roman"/>
          <w:sz w:val="24"/>
          <w:szCs w:val="24"/>
        </w:rPr>
        <w:t xml:space="preserve"> iş yapma endeksi ile yabancı yatırımlar arasındaki ilişkiyi incelemiş </w:t>
      </w:r>
      <w:proofErr w:type="gramStart"/>
      <w:r w:rsidR="003F742C">
        <w:rPr>
          <w:rFonts w:ascii="Times New Roman" w:hAnsi="Times New Roman" w:cs="Times New Roman"/>
          <w:sz w:val="24"/>
          <w:szCs w:val="24"/>
        </w:rPr>
        <w:t xml:space="preserve">ve </w:t>
      </w:r>
      <w:r w:rsidR="0033336A">
        <w:rPr>
          <w:rFonts w:ascii="Times New Roman" w:hAnsi="Times New Roman" w:cs="Times New Roman"/>
          <w:sz w:val="24"/>
          <w:szCs w:val="24"/>
        </w:rPr>
        <w:t xml:space="preserve"> iş</w:t>
      </w:r>
      <w:proofErr w:type="gramEnd"/>
      <w:r w:rsidR="0033336A">
        <w:rPr>
          <w:rFonts w:ascii="Times New Roman" w:hAnsi="Times New Roman" w:cs="Times New Roman"/>
          <w:sz w:val="24"/>
          <w:szCs w:val="24"/>
        </w:rPr>
        <w:t xml:space="preserve"> yapma endeksindeki bir artışın doğrudan yabancı yatırım girişi sağladığını belirtmişlerdir.</w:t>
      </w:r>
    </w:p>
    <w:p w:rsidR="003D1C97" w:rsidRDefault="003D1C97" w:rsidP="003D1C97">
      <w:pPr>
        <w:spacing w:after="120" w:line="240" w:lineRule="auto"/>
        <w:ind w:firstLine="708"/>
        <w:jc w:val="both"/>
        <w:rPr>
          <w:rFonts w:ascii="Times New Roman" w:hAnsi="Times New Roman" w:cs="Times New Roman"/>
          <w:sz w:val="24"/>
          <w:szCs w:val="24"/>
        </w:rPr>
      </w:pPr>
      <w:r w:rsidRPr="005D1FB7">
        <w:rPr>
          <w:rFonts w:ascii="Times New Roman" w:hAnsi="Times New Roman" w:cs="Times New Roman"/>
          <w:sz w:val="24"/>
          <w:szCs w:val="24"/>
        </w:rPr>
        <w:t xml:space="preserve">Bu kapsamda </w:t>
      </w:r>
      <w:r w:rsidRPr="00776387">
        <w:rPr>
          <w:rFonts w:ascii="Times New Roman" w:hAnsi="Times New Roman" w:cs="Times New Roman"/>
          <w:sz w:val="24"/>
          <w:szCs w:val="24"/>
        </w:rPr>
        <w:t>2020 yılı raporunda Dünya Bankası iş yapma kolaylığının temelinde ekonomik özgürlüklerin olduğunu, özel kesime müdahalenin yaygın olduğu ekonomileri uluslararası yabancı yatırımların tercih etmediğini vurgulam</w:t>
      </w:r>
      <w:r>
        <w:rPr>
          <w:rFonts w:ascii="Times New Roman" w:hAnsi="Times New Roman" w:cs="Times New Roman"/>
          <w:sz w:val="24"/>
          <w:szCs w:val="24"/>
        </w:rPr>
        <w:t>ıştır.</w:t>
      </w:r>
      <w:r w:rsidRPr="00776387">
        <w:rPr>
          <w:rFonts w:ascii="Times New Roman" w:hAnsi="Times New Roman" w:cs="Times New Roman"/>
          <w:sz w:val="24"/>
          <w:szCs w:val="24"/>
        </w:rPr>
        <w:t xml:space="preserve"> Bu anlamda devletin ekonomik düzenlemelerinin piyasayı bozucu, aksak rekabete yol açtığı, kayıt dışı ekonomiye neden olduğu ve girişimcilerin üretimden çekilmesine neden olduğu aynı raporda ifade edilm</w:t>
      </w:r>
      <w:r>
        <w:rPr>
          <w:rFonts w:ascii="Times New Roman" w:hAnsi="Times New Roman" w:cs="Times New Roman"/>
          <w:sz w:val="24"/>
          <w:szCs w:val="24"/>
        </w:rPr>
        <w:t>iştir.</w:t>
      </w:r>
      <w:r w:rsidRPr="00776387">
        <w:rPr>
          <w:rFonts w:ascii="Times New Roman" w:hAnsi="Times New Roman" w:cs="Times New Roman"/>
          <w:sz w:val="24"/>
          <w:szCs w:val="24"/>
        </w:rPr>
        <w:t>(Dünya Bankası, 2020: 2).</w:t>
      </w:r>
    </w:p>
    <w:p w:rsidR="0042532B" w:rsidRPr="00D67609" w:rsidRDefault="0042532B" w:rsidP="00090EA0">
      <w:pPr>
        <w:spacing w:before="240" w:after="120" w:line="240" w:lineRule="auto"/>
        <w:ind w:firstLine="709"/>
        <w:jc w:val="both"/>
        <w:rPr>
          <w:rFonts w:ascii="Times New Roman" w:hAnsi="Times New Roman" w:cs="Times New Roman"/>
          <w:b/>
          <w:sz w:val="24"/>
          <w:szCs w:val="24"/>
        </w:rPr>
      </w:pPr>
      <w:r w:rsidRPr="00D67609">
        <w:rPr>
          <w:rFonts w:ascii="Times New Roman" w:hAnsi="Times New Roman" w:cs="Times New Roman"/>
          <w:b/>
          <w:sz w:val="24"/>
          <w:szCs w:val="24"/>
        </w:rPr>
        <w:t xml:space="preserve">2.2. İş Yapma </w:t>
      </w:r>
      <w:r w:rsidR="00D67609" w:rsidRPr="00D67609">
        <w:rPr>
          <w:rFonts w:ascii="Times New Roman" w:hAnsi="Times New Roman" w:cs="Times New Roman"/>
          <w:b/>
          <w:sz w:val="24"/>
          <w:szCs w:val="24"/>
        </w:rPr>
        <w:t xml:space="preserve">Kolaylığı Endeksinin Ekonomi Yönetimleri Aşısından Önemi </w:t>
      </w:r>
    </w:p>
    <w:p w:rsidR="005C5218" w:rsidRPr="00461B02" w:rsidRDefault="00352863" w:rsidP="00776387">
      <w:pPr>
        <w:spacing w:after="120" w:line="240" w:lineRule="auto"/>
        <w:ind w:firstLine="708"/>
        <w:jc w:val="both"/>
        <w:rPr>
          <w:rFonts w:ascii="Times New Roman" w:hAnsi="Times New Roman" w:cs="Times New Roman"/>
          <w:sz w:val="24"/>
          <w:szCs w:val="24"/>
        </w:rPr>
      </w:pPr>
      <w:r w:rsidRPr="00461B02">
        <w:rPr>
          <w:rFonts w:ascii="Times New Roman" w:hAnsi="Times New Roman" w:cs="Times New Roman"/>
          <w:sz w:val="24"/>
          <w:szCs w:val="24"/>
        </w:rPr>
        <w:t xml:space="preserve">Ülke yönetimleri ekonomik, sosyal, askeri, kültürel ve daha pek çok alanda iyileştirmeler yapmak ve ülkelerini zenginleştirmek ve güçlendirmekle sorumludurlar. </w:t>
      </w:r>
      <w:r w:rsidR="00893C87" w:rsidRPr="00461B02">
        <w:rPr>
          <w:rFonts w:ascii="Times New Roman" w:hAnsi="Times New Roman" w:cs="Times New Roman"/>
          <w:sz w:val="24"/>
          <w:szCs w:val="24"/>
        </w:rPr>
        <w:t>Ülke yönetiminde ve tabi ki e</w:t>
      </w:r>
      <w:r w:rsidRPr="00461B02">
        <w:rPr>
          <w:rFonts w:ascii="Times New Roman" w:hAnsi="Times New Roman" w:cs="Times New Roman"/>
          <w:sz w:val="24"/>
          <w:szCs w:val="24"/>
        </w:rPr>
        <w:t xml:space="preserve">konomik alanda </w:t>
      </w:r>
      <w:r w:rsidR="00893C87" w:rsidRPr="00461B02">
        <w:rPr>
          <w:rFonts w:ascii="Times New Roman" w:hAnsi="Times New Roman" w:cs="Times New Roman"/>
          <w:sz w:val="24"/>
          <w:szCs w:val="24"/>
        </w:rPr>
        <w:t xml:space="preserve">sağlanan </w:t>
      </w:r>
      <w:r w:rsidRPr="00461B02">
        <w:rPr>
          <w:rFonts w:ascii="Times New Roman" w:hAnsi="Times New Roman" w:cs="Times New Roman"/>
          <w:sz w:val="24"/>
          <w:szCs w:val="24"/>
        </w:rPr>
        <w:t>gelişmelerin yöneticilere</w:t>
      </w:r>
      <w:r w:rsidR="00893C87" w:rsidRPr="00461B02">
        <w:rPr>
          <w:rFonts w:ascii="Times New Roman" w:hAnsi="Times New Roman" w:cs="Times New Roman"/>
          <w:sz w:val="24"/>
          <w:szCs w:val="24"/>
        </w:rPr>
        <w:t xml:space="preserve"> başarı getirerek iktidarların sürdürülmesini sağladığı görülmektedir. Bu anlamda bir ülkedeki yatırımların artırılarak ekonomik büyüme</w:t>
      </w:r>
      <w:r w:rsidR="005C5218" w:rsidRPr="00461B02">
        <w:rPr>
          <w:rFonts w:ascii="Times New Roman" w:hAnsi="Times New Roman" w:cs="Times New Roman"/>
          <w:sz w:val="24"/>
          <w:szCs w:val="24"/>
        </w:rPr>
        <w:t xml:space="preserve"> ve refah artışı</w:t>
      </w:r>
      <w:r w:rsidR="00893C87" w:rsidRPr="00461B02">
        <w:rPr>
          <w:rFonts w:ascii="Times New Roman" w:hAnsi="Times New Roman" w:cs="Times New Roman"/>
          <w:sz w:val="24"/>
          <w:szCs w:val="24"/>
        </w:rPr>
        <w:t xml:space="preserve"> sağlanması</w:t>
      </w:r>
      <w:r w:rsidR="005C5218" w:rsidRPr="00461B02">
        <w:rPr>
          <w:rFonts w:ascii="Times New Roman" w:hAnsi="Times New Roman" w:cs="Times New Roman"/>
          <w:sz w:val="24"/>
          <w:szCs w:val="24"/>
        </w:rPr>
        <w:t xml:space="preserve"> karar mekanizmalarının temel amacıdır. </w:t>
      </w:r>
    </w:p>
    <w:p w:rsidR="003D1C97" w:rsidRPr="00461B02" w:rsidRDefault="005C5218" w:rsidP="00776387">
      <w:pPr>
        <w:spacing w:after="120" w:line="240" w:lineRule="auto"/>
        <w:ind w:firstLine="708"/>
        <w:jc w:val="both"/>
        <w:rPr>
          <w:rFonts w:ascii="Times New Roman" w:hAnsi="Times New Roman" w:cs="Times New Roman"/>
          <w:sz w:val="24"/>
          <w:szCs w:val="24"/>
        </w:rPr>
      </w:pPr>
      <w:r w:rsidRPr="00461B02">
        <w:rPr>
          <w:rFonts w:ascii="Times New Roman" w:hAnsi="Times New Roman" w:cs="Times New Roman"/>
          <w:sz w:val="24"/>
          <w:szCs w:val="24"/>
        </w:rPr>
        <w:t>Yönetim ve karar</w:t>
      </w:r>
      <w:r w:rsidR="006D0A94" w:rsidRPr="00461B02">
        <w:rPr>
          <w:rFonts w:ascii="Times New Roman" w:hAnsi="Times New Roman" w:cs="Times New Roman"/>
          <w:sz w:val="24"/>
          <w:szCs w:val="24"/>
        </w:rPr>
        <w:t xml:space="preserve"> mekanizmaları </w:t>
      </w:r>
      <w:r w:rsidR="00FF2581" w:rsidRPr="00461B02">
        <w:rPr>
          <w:rFonts w:ascii="Times New Roman" w:hAnsi="Times New Roman" w:cs="Times New Roman"/>
          <w:sz w:val="24"/>
          <w:szCs w:val="24"/>
        </w:rPr>
        <w:t>politika</w:t>
      </w:r>
      <w:r w:rsidR="006D0A94" w:rsidRPr="00461B02">
        <w:rPr>
          <w:rFonts w:ascii="Times New Roman" w:hAnsi="Times New Roman" w:cs="Times New Roman"/>
          <w:sz w:val="24"/>
          <w:szCs w:val="24"/>
        </w:rPr>
        <w:t xml:space="preserve"> belirlerken ve karar alırken ulusal kurum ve uzmanlar yanında uluslararası kurum ve kuruluşların uzmanlık bilgilerinden faydalanırlar. Bu anlamda çeşitli alanlarda faaliyet gösteren </w:t>
      </w:r>
      <w:r w:rsidR="00FF2581" w:rsidRPr="00461B02">
        <w:rPr>
          <w:rFonts w:ascii="Times New Roman" w:hAnsi="Times New Roman" w:cs="Times New Roman"/>
          <w:sz w:val="24"/>
          <w:szCs w:val="24"/>
        </w:rPr>
        <w:t>uluslararası</w:t>
      </w:r>
      <w:r w:rsidR="006D0A94" w:rsidRPr="00461B02">
        <w:rPr>
          <w:rFonts w:ascii="Times New Roman" w:hAnsi="Times New Roman" w:cs="Times New Roman"/>
          <w:sz w:val="24"/>
          <w:szCs w:val="24"/>
        </w:rPr>
        <w:t xml:space="preserve"> kuruluşlarla pek çok alanda işbirliği ve anlaşmalar yapıldığı görülmektedir. </w:t>
      </w:r>
      <w:r w:rsidR="00164D1A" w:rsidRPr="00461B02">
        <w:rPr>
          <w:rFonts w:ascii="Times New Roman" w:hAnsi="Times New Roman" w:cs="Times New Roman"/>
          <w:sz w:val="24"/>
          <w:szCs w:val="24"/>
        </w:rPr>
        <w:t>Bu kuruluşlar küresel ölçekte ya da bölgesel ölçekte faaliyet gösteren kurumlardır.</w:t>
      </w:r>
      <w:r w:rsidR="008C6674" w:rsidRPr="00461B02">
        <w:rPr>
          <w:rFonts w:ascii="Times New Roman" w:hAnsi="Times New Roman" w:cs="Times New Roman"/>
          <w:sz w:val="24"/>
          <w:szCs w:val="24"/>
        </w:rPr>
        <w:t xml:space="preserve"> </w:t>
      </w:r>
      <w:r w:rsidR="00A234E6" w:rsidRPr="00461B02">
        <w:rPr>
          <w:rFonts w:ascii="Times New Roman" w:hAnsi="Times New Roman" w:cs="Times New Roman"/>
          <w:sz w:val="24"/>
          <w:szCs w:val="24"/>
        </w:rPr>
        <w:t xml:space="preserve">Uluslararası Para Fonu(IMF) Dünya Ticaret Örgütü(GATT), Ekonomik İşbirliği ve Kalınma Örgütü(OECD), Dünya Bankası(WB) </w:t>
      </w:r>
      <w:r w:rsidR="008C6674" w:rsidRPr="00461B02">
        <w:rPr>
          <w:rFonts w:ascii="Times New Roman" w:hAnsi="Times New Roman" w:cs="Times New Roman"/>
          <w:sz w:val="24"/>
          <w:szCs w:val="24"/>
        </w:rPr>
        <w:t xml:space="preserve">küresel ekonomik kuruluşlardır. Bu kuruluşlar küresel ekonomik veriler toplayarak analizler yapma </w:t>
      </w:r>
      <w:r w:rsidR="008F689A" w:rsidRPr="00461B02">
        <w:rPr>
          <w:rFonts w:ascii="Times New Roman" w:hAnsi="Times New Roman" w:cs="Times New Roman"/>
          <w:sz w:val="24"/>
          <w:szCs w:val="24"/>
        </w:rPr>
        <w:t>imkânına</w:t>
      </w:r>
      <w:r w:rsidR="008C6674" w:rsidRPr="00461B02">
        <w:rPr>
          <w:rFonts w:ascii="Times New Roman" w:hAnsi="Times New Roman" w:cs="Times New Roman"/>
          <w:sz w:val="24"/>
          <w:szCs w:val="24"/>
        </w:rPr>
        <w:t xml:space="preserve"> sahip önemli kuruluşlardır. Bu kuruluşların ekonomik anal</w:t>
      </w:r>
      <w:r w:rsidR="008F689A" w:rsidRPr="00461B02">
        <w:rPr>
          <w:rFonts w:ascii="Times New Roman" w:hAnsi="Times New Roman" w:cs="Times New Roman"/>
          <w:sz w:val="24"/>
          <w:szCs w:val="24"/>
        </w:rPr>
        <w:t xml:space="preserve">izlerinin daha kapsamlı ve analizlerinin geniş örneklere dayanması nedeniyle çok yararlı bilgiler sunabilmektedir. Küresel ve bölgesel analizlerin </w:t>
      </w:r>
      <w:r w:rsidR="00B564AF" w:rsidRPr="00461B02">
        <w:rPr>
          <w:rFonts w:ascii="Times New Roman" w:hAnsi="Times New Roman" w:cs="Times New Roman"/>
          <w:sz w:val="24"/>
          <w:szCs w:val="24"/>
        </w:rPr>
        <w:t xml:space="preserve">dikkate alınarak ülke ekonomilerinin </w:t>
      </w:r>
      <w:r w:rsidR="008F689A" w:rsidRPr="00461B02">
        <w:rPr>
          <w:rFonts w:ascii="Times New Roman" w:hAnsi="Times New Roman" w:cs="Times New Roman"/>
          <w:sz w:val="24"/>
          <w:szCs w:val="24"/>
        </w:rPr>
        <w:t xml:space="preserve">birlikte </w:t>
      </w:r>
      <w:r w:rsidR="00B564AF" w:rsidRPr="00461B02">
        <w:rPr>
          <w:rFonts w:ascii="Times New Roman" w:hAnsi="Times New Roman" w:cs="Times New Roman"/>
          <w:sz w:val="24"/>
          <w:szCs w:val="24"/>
        </w:rPr>
        <w:t>değerlendirilmesi</w:t>
      </w:r>
      <w:r w:rsidR="008F689A" w:rsidRPr="00461B02">
        <w:rPr>
          <w:rFonts w:ascii="Times New Roman" w:hAnsi="Times New Roman" w:cs="Times New Roman"/>
          <w:sz w:val="24"/>
          <w:szCs w:val="24"/>
        </w:rPr>
        <w:t xml:space="preserve"> küresel </w:t>
      </w:r>
      <w:r w:rsidR="008F689A" w:rsidRPr="00461B02">
        <w:rPr>
          <w:rFonts w:ascii="Times New Roman" w:hAnsi="Times New Roman" w:cs="Times New Roman"/>
          <w:sz w:val="24"/>
          <w:szCs w:val="24"/>
        </w:rPr>
        <w:lastRenderedPageBreak/>
        <w:t>ekonomi</w:t>
      </w:r>
      <w:r w:rsidR="00B564AF" w:rsidRPr="00461B02">
        <w:rPr>
          <w:rFonts w:ascii="Times New Roman" w:hAnsi="Times New Roman" w:cs="Times New Roman"/>
          <w:sz w:val="24"/>
          <w:szCs w:val="24"/>
        </w:rPr>
        <w:t xml:space="preserve">de önemlidir. </w:t>
      </w:r>
      <w:r w:rsidR="008F689A" w:rsidRPr="00461B02">
        <w:rPr>
          <w:rFonts w:ascii="Times New Roman" w:hAnsi="Times New Roman" w:cs="Times New Roman"/>
          <w:sz w:val="24"/>
          <w:szCs w:val="24"/>
        </w:rPr>
        <w:t>Dolayısıyla ülke</w:t>
      </w:r>
      <w:r w:rsidR="009C0AC0" w:rsidRPr="00461B02">
        <w:rPr>
          <w:rFonts w:ascii="Times New Roman" w:hAnsi="Times New Roman" w:cs="Times New Roman"/>
          <w:sz w:val="24"/>
          <w:szCs w:val="24"/>
        </w:rPr>
        <w:t xml:space="preserve"> ekonomilerinin </w:t>
      </w:r>
      <w:r w:rsidR="00B564AF" w:rsidRPr="00461B02">
        <w:rPr>
          <w:rFonts w:ascii="Times New Roman" w:hAnsi="Times New Roman" w:cs="Times New Roman"/>
          <w:sz w:val="24"/>
          <w:szCs w:val="24"/>
        </w:rPr>
        <w:t>küresel ekonomi</w:t>
      </w:r>
      <w:r w:rsidR="009C0AC0" w:rsidRPr="00461B02">
        <w:rPr>
          <w:rFonts w:ascii="Times New Roman" w:hAnsi="Times New Roman" w:cs="Times New Roman"/>
          <w:sz w:val="24"/>
          <w:szCs w:val="24"/>
        </w:rPr>
        <w:t xml:space="preserve">nin </w:t>
      </w:r>
      <w:proofErr w:type="gramStart"/>
      <w:r w:rsidR="009C0AC0" w:rsidRPr="00461B02">
        <w:rPr>
          <w:rFonts w:ascii="Times New Roman" w:hAnsi="Times New Roman" w:cs="Times New Roman"/>
          <w:sz w:val="24"/>
          <w:szCs w:val="24"/>
        </w:rPr>
        <w:t xml:space="preserve">bir </w:t>
      </w:r>
      <w:r w:rsidR="008F689A" w:rsidRPr="00461B02">
        <w:rPr>
          <w:rFonts w:ascii="Times New Roman" w:hAnsi="Times New Roman" w:cs="Times New Roman"/>
          <w:sz w:val="24"/>
          <w:szCs w:val="24"/>
        </w:rPr>
        <w:t xml:space="preserve"> parçası</w:t>
      </w:r>
      <w:proofErr w:type="gramEnd"/>
      <w:r w:rsidR="008F689A" w:rsidRPr="00461B02">
        <w:rPr>
          <w:rFonts w:ascii="Times New Roman" w:hAnsi="Times New Roman" w:cs="Times New Roman"/>
          <w:sz w:val="24"/>
          <w:szCs w:val="24"/>
        </w:rPr>
        <w:t xml:space="preserve"> olduğu düşünüldüğünde</w:t>
      </w:r>
      <w:r w:rsidR="00B564AF" w:rsidRPr="00461B02">
        <w:rPr>
          <w:rFonts w:ascii="Times New Roman" w:hAnsi="Times New Roman" w:cs="Times New Roman"/>
          <w:sz w:val="24"/>
          <w:szCs w:val="24"/>
        </w:rPr>
        <w:t xml:space="preserve"> ekonomik</w:t>
      </w:r>
      <w:r w:rsidR="008F689A" w:rsidRPr="00461B02">
        <w:rPr>
          <w:rFonts w:ascii="Times New Roman" w:hAnsi="Times New Roman" w:cs="Times New Roman"/>
          <w:sz w:val="24"/>
          <w:szCs w:val="24"/>
        </w:rPr>
        <w:t xml:space="preserve"> p</w:t>
      </w:r>
      <w:r w:rsidR="00B564AF" w:rsidRPr="00461B02">
        <w:rPr>
          <w:rFonts w:ascii="Times New Roman" w:hAnsi="Times New Roman" w:cs="Times New Roman"/>
          <w:sz w:val="24"/>
          <w:szCs w:val="24"/>
        </w:rPr>
        <w:t>olitikalar</w:t>
      </w:r>
      <w:r w:rsidR="008F689A" w:rsidRPr="00461B02">
        <w:rPr>
          <w:rFonts w:ascii="Times New Roman" w:hAnsi="Times New Roman" w:cs="Times New Roman"/>
          <w:sz w:val="24"/>
          <w:szCs w:val="24"/>
        </w:rPr>
        <w:t xml:space="preserve"> ve kararlar tüm ülkeleri ayrı ayrı etkilemektedir.</w:t>
      </w:r>
      <w:r w:rsidR="009C0AC0" w:rsidRPr="00461B02">
        <w:rPr>
          <w:rFonts w:ascii="Times New Roman" w:hAnsi="Times New Roman" w:cs="Times New Roman"/>
          <w:sz w:val="24"/>
          <w:szCs w:val="24"/>
        </w:rPr>
        <w:t xml:space="preserve"> Uluslararası kurum ve kuruluşlar</w:t>
      </w:r>
      <w:r w:rsidR="00306A5C" w:rsidRPr="00461B02">
        <w:rPr>
          <w:rFonts w:ascii="Times New Roman" w:hAnsi="Times New Roman" w:cs="Times New Roman"/>
          <w:sz w:val="24"/>
          <w:szCs w:val="24"/>
        </w:rPr>
        <w:t>ın</w:t>
      </w:r>
      <w:r w:rsidR="009C0AC0" w:rsidRPr="00461B02">
        <w:rPr>
          <w:rFonts w:ascii="Times New Roman" w:hAnsi="Times New Roman" w:cs="Times New Roman"/>
          <w:sz w:val="24"/>
          <w:szCs w:val="24"/>
        </w:rPr>
        <w:t xml:space="preserve"> ister küresel ister Avrupa Birliği(AB) gibi bölgesel olsun dikkatle izlenip değerlendirilmek durumundadır. </w:t>
      </w:r>
      <w:r w:rsidR="004A7C35" w:rsidRPr="00461B02">
        <w:rPr>
          <w:rFonts w:ascii="Times New Roman" w:hAnsi="Times New Roman" w:cs="Times New Roman"/>
          <w:sz w:val="24"/>
          <w:szCs w:val="24"/>
        </w:rPr>
        <w:t>Bu kurum ve kuruluşalar aldıkları karar ile uluslara</w:t>
      </w:r>
      <w:r w:rsidR="00306A5C" w:rsidRPr="00461B02">
        <w:rPr>
          <w:rFonts w:ascii="Times New Roman" w:hAnsi="Times New Roman" w:cs="Times New Roman"/>
          <w:sz w:val="24"/>
          <w:szCs w:val="24"/>
        </w:rPr>
        <w:t>r</w:t>
      </w:r>
      <w:r w:rsidR="004A7C35" w:rsidRPr="00461B02">
        <w:rPr>
          <w:rFonts w:ascii="Times New Roman" w:hAnsi="Times New Roman" w:cs="Times New Roman"/>
          <w:sz w:val="24"/>
          <w:szCs w:val="24"/>
        </w:rPr>
        <w:t>a</w:t>
      </w:r>
      <w:r w:rsidR="00306A5C" w:rsidRPr="00461B02">
        <w:rPr>
          <w:rFonts w:ascii="Times New Roman" w:hAnsi="Times New Roman" w:cs="Times New Roman"/>
          <w:sz w:val="24"/>
          <w:szCs w:val="24"/>
        </w:rPr>
        <w:t>sı fin</w:t>
      </w:r>
      <w:r w:rsidR="004A7C35" w:rsidRPr="00461B02">
        <w:rPr>
          <w:rFonts w:ascii="Times New Roman" w:hAnsi="Times New Roman" w:cs="Times New Roman"/>
          <w:sz w:val="24"/>
          <w:szCs w:val="24"/>
        </w:rPr>
        <w:t xml:space="preserve">ans ve yatırımların akışını etkilediği </w:t>
      </w:r>
      <w:r w:rsidR="00306A5C" w:rsidRPr="00461B02">
        <w:rPr>
          <w:rFonts w:ascii="Times New Roman" w:hAnsi="Times New Roman" w:cs="Times New Roman"/>
          <w:sz w:val="24"/>
          <w:szCs w:val="24"/>
        </w:rPr>
        <w:t xml:space="preserve">görülmektedir. </w:t>
      </w:r>
    </w:p>
    <w:p w:rsidR="00461B02" w:rsidRDefault="00024CE6" w:rsidP="00776387">
      <w:pPr>
        <w:spacing w:after="120" w:line="240" w:lineRule="auto"/>
        <w:ind w:firstLine="708"/>
        <w:jc w:val="both"/>
        <w:rPr>
          <w:rFonts w:ascii="Times New Roman" w:hAnsi="Times New Roman" w:cs="Times New Roman"/>
          <w:sz w:val="24"/>
          <w:szCs w:val="24"/>
        </w:rPr>
      </w:pPr>
      <w:r w:rsidRPr="00461B02">
        <w:rPr>
          <w:rFonts w:ascii="Times New Roman" w:hAnsi="Times New Roman" w:cs="Times New Roman"/>
          <w:sz w:val="24"/>
          <w:szCs w:val="24"/>
        </w:rPr>
        <w:t>Uluslararası</w:t>
      </w:r>
      <w:r w:rsidR="004A7C35" w:rsidRPr="00461B02">
        <w:rPr>
          <w:rFonts w:ascii="Times New Roman" w:hAnsi="Times New Roman" w:cs="Times New Roman"/>
          <w:sz w:val="24"/>
          <w:szCs w:val="24"/>
        </w:rPr>
        <w:t xml:space="preserve"> kuruluşlar geniş bir uzman ağı ve büyü</w:t>
      </w:r>
      <w:r w:rsidR="00B73234" w:rsidRPr="00461B02">
        <w:rPr>
          <w:rFonts w:ascii="Times New Roman" w:hAnsi="Times New Roman" w:cs="Times New Roman"/>
          <w:sz w:val="24"/>
          <w:szCs w:val="24"/>
        </w:rPr>
        <w:t xml:space="preserve">k verilere sahip olmanın </w:t>
      </w:r>
      <w:r w:rsidR="004A7C35" w:rsidRPr="00461B02">
        <w:rPr>
          <w:rFonts w:ascii="Times New Roman" w:hAnsi="Times New Roman" w:cs="Times New Roman"/>
          <w:sz w:val="24"/>
          <w:szCs w:val="24"/>
        </w:rPr>
        <w:t>do</w:t>
      </w:r>
      <w:r w:rsidR="00B73234" w:rsidRPr="00461B02">
        <w:rPr>
          <w:rFonts w:ascii="Times New Roman" w:hAnsi="Times New Roman" w:cs="Times New Roman"/>
          <w:sz w:val="24"/>
          <w:szCs w:val="24"/>
        </w:rPr>
        <w:t>ğ</w:t>
      </w:r>
      <w:r w:rsidR="004A7C35" w:rsidRPr="00461B02">
        <w:rPr>
          <w:rFonts w:ascii="Times New Roman" w:hAnsi="Times New Roman" w:cs="Times New Roman"/>
          <w:sz w:val="24"/>
          <w:szCs w:val="24"/>
        </w:rPr>
        <w:t>al</w:t>
      </w:r>
      <w:r w:rsidR="00B73234" w:rsidRPr="00461B02">
        <w:rPr>
          <w:rFonts w:ascii="Times New Roman" w:hAnsi="Times New Roman" w:cs="Times New Roman"/>
          <w:sz w:val="24"/>
          <w:szCs w:val="24"/>
        </w:rPr>
        <w:t xml:space="preserve"> bir </w:t>
      </w:r>
      <w:r w:rsidR="004A7C35" w:rsidRPr="00461B02">
        <w:rPr>
          <w:rFonts w:ascii="Times New Roman" w:hAnsi="Times New Roman" w:cs="Times New Roman"/>
          <w:sz w:val="24"/>
          <w:szCs w:val="24"/>
        </w:rPr>
        <w:t xml:space="preserve">sonucu olarak </w:t>
      </w:r>
      <w:r w:rsidRPr="00461B02">
        <w:rPr>
          <w:rFonts w:ascii="Times New Roman" w:hAnsi="Times New Roman" w:cs="Times New Roman"/>
          <w:sz w:val="24"/>
          <w:szCs w:val="24"/>
        </w:rPr>
        <w:t>yapmış oldukları analizler ve hazırladıkları raporlar ile uluslararası</w:t>
      </w:r>
      <w:r w:rsidR="004A7C35" w:rsidRPr="00461B02">
        <w:rPr>
          <w:rFonts w:ascii="Times New Roman" w:hAnsi="Times New Roman" w:cs="Times New Roman"/>
          <w:sz w:val="24"/>
          <w:szCs w:val="24"/>
        </w:rPr>
        <w:t xml:space="preserve"> yatırımcılar</w:t>
      </w:r>
      <w:r w:rsidR="007415F0" w:rsidRPr="00461B02">
        <w:rPr>
          <w:rFonts w:ascii="Times New Roman" w:hAnsi="Times New Roman" w:cs="Times New Roman"/>
          <w:sz w:val="24"/>
          <w:szCs w:val="24"/>
        </w:rPr>
        <w:t xml:space="preserve">ı ve ülkeleri yönlendirici olabilmektedir. </w:t>
      </w:r>
      <w:r w:rsidRPr="00461B02">
        <w:rPr>
          <w:rFonts w:ascii="Times New Roman" w:hAnsi="Times New Roman" w:cs="Times New Roman"/>
          <w:sz w:val="24"/>
          <w:szCs w:val="24"/>
        </w:rPr>
        <w:t>Uluslararası yatırımcılar</w:t>
      </w:r>
      <w:r w:rsidR="000A1D8E" w:rsidRPr="00461B02">
        <w:rPr>
          <w:rFonts w:ascii="Times New Roman" w:hAnsi="Times New Roman" w:cs="Times New Roman"/>
          <w:sz w:val="24"/>
          <w:szCs w:val="24"/>
        </w:rPr>
        <w:t xml:space="preserve"> bu kuruluşların yanı sıra </w:t>
      </w:r>
      <w:r w:rsidRPr="00461B02">
        <w:rPr>
          <w:rFonts w:ascii="Times New Roman" w:hAnsi="Times New Roman" w:cs="Times New Roman"/>
          <w:sz w:val="24"/>
          <w:szCs w:val="24"/>
        </w:rPr>
        <w:t>uluslararası</w:t>
      </w:r>
      <w:r w:rsidR="000A1D8E" w:rsidRPr="00461B02">
        <w:rPr>
          <w:rFonts w:ascii="Times New Roman" w:hAnsi="Times New Roman" w:cs="Times New Roman"/>
          <w:sz w:val="24"/>
          <w:szCs w:val="24"/>
        </w:rPr>
        <w:t xml:space="preserve"> derecelendirme kuruluşlarından ve </w:t>
      </w:r>
      <w:r w:rsidRPr="00461B02">
        <w:rPr>
          <w:rFonts w:ascii="Times New Roman" w:hAnsi="Times New Roman" w:cs="Times New Roman"/>
          <w:sz w:val="24"/>
          <w:szCs w:val="24"/>
        </w:rPr>
        <w:t>banklardan</w:t>
      </w:r>
      <w:r w:rsidR="000A1D8E" w:rsidRPr="00461B02">
        <w:rPr>
          <w:rFonts w:ascii="Times New Roman" w:hAnsi="Times New Roman" w:cs="Times New Roman"/>
          <w:sz w:val="24"/>
          <w:szCs w:val="24"/>
        </w:rPr>
        <w:t xml:space="preserve"> da bilgi almak amacıyla yar</w:t>
      </w:r>
      <w:r w:rsidRPr="00461B02">
        <w:rPr>
          <w:rFonts w:ascii="Times New Roman" w:hAnsi="Times New Roman" w:cs="Times New Roman"/>
          <w:sz w:val="24"/>
          <w:szCs w:val="24"/>
        </w:rPr>
        <w:t>a</w:t>
      </w:r>
      <w:r w:rsidR="000A1D8E" w:rsidRPr="00461B02">
        <w:rPr>
          <w:rFonts w:ascii="Times New Roman" w:hAnsi="Times New Roman" w:cs="Times New Roman"/>
          <w:sz w:val="24"/>
          <w:szCs w:val="24"/>
        </w:rPr>
        <w:t>rl</w:t>
      </w:r>
      <w:r w:rsidRPr="00461B02">
        <w:rPr>
          <w:rFonts w:ascii="Times New Roman" w:hAnsi="Times New Roman" w:cs="Times New Roman"/>
          <w:sz w:val="24"/>
          <w:szCs w:val="24"/>
        </w:rPr>
        <w:t>a</w:t>
      </w:r>
      <w:r w:rsidR="000A1D8E" w:rsidRPr="00461B02">
        <w:rPr>
          <w:rFonts w:ascii="Times New Roman" w:hAnsi="Times New Roman" w:cs="Times New Roman"/>
          <w:sz w:val="24"/>
          <w:szCs w:val="24"/>
        </w:rPr>
        <w:t>nm</w:t>
      </w:r>
      <w:r w:rsidRPr="00461B02">
        <w:rPr>
          <w:rFonts w:ascii="Times New Roman" w:hAnsi="Times New Roman" w:cs="Times New Roman"/>
          <w:sz w:val="24"/>
          <w:szCs w:val="24"/>
        </w:rPr>
        <w:t>a</w:t>
      </w:r>
      <w:r w:rsidR="000A1D8E" w:rsidRPr="00461B02">
        <w:rPr>
          <w:rFonts w:ascii="Times New Roman" w:hAnsi="Times New Roman" w:cs="Times New Roman"/>
          <w:sz w:val="24"/>
          <w:szCs w:val="24"/>
        </w:rPr>
        <w:t>k</w:t>
      </w:r>
      <w:r w:rsidRPr="00461B02">
        <w:rPr>
          <w:rFonts w:ascii="Times New Roman" w:hAnsi="Times New Roman" w:cs="Times New Roman"/>
          <w:sz w:val="24"/>
          <w:szCs w:val="24"/>
        </w:rPr>
        <w:t>t</w:t>
      </w:r>
      <w:r w:rsidR="000A1D8E" w:rsidRPr="00461B02">
        <w:rPr>
          <w:rFonts w:ascii="Times New Roman" w:hAnsi="Times New Roman" w:cs="Times New Roman"/>
          <w:sz w:val="24"/>
          <w:szCs w:val="24"/>
        </w:rPr>
        <w:t>adır. Bu kurul</w:t>
      </w:r>
      <w:r w:rsidR="00DD2E90" w:rsidRPr="00461B02">
        <w:rPr>
          <w:rFonts w:ascii="Times New Roman" w:hAnsi="Times New Roman" w:cs="Times New Roman"/>
          <w:sz w:val="24"/>
          <w:szCs w:val="24"/>
        </w:rPr>
        <w:t xml:space="preserve">uşlara örnek olarak </w:t>
      </w:r>
      <w:proofErr w:type="spellStart"/>
      <w:r w:rsidR="00B73234" w:rsidRPr="00461B02">
        <w:rPr>
          <w:rFonts w:ascii="Times New Roman" w:hAnsi="Times New Roman" w:cs="Times New Roman"/>
          <w:sz w:val="24"/>
          <w:szCs w:val="24"/>
        </w:rPr>
        <w:t>Mood’s</w:t>
      </w:r>
      <w:proofErr w:type="spellEnd"/>
      <w:r w:rsidR="00B73234" w:rsidRPr="00461B02">
        <w:rPr>
          <w:rFonts w:ascii="Times New Roman" w:hAnsi="Times New Roman" w:cs="Times New Roman"/>
          <w:sz w:val="24"/>
          <w:szCs w:val="24"/>
        </w:rPr>
        <w:t xml:space="preserve">, </w:t>
      </w:r>
      <w:proofErr w:type="spellStart"/>
      <w:r w:rsidR="00B73234" w:rsidRPr="00461B02">
        <w:rPr>
          <w:rFonts w:ascii="Times New Roman" w:hAnsi="Times New Roman" w:cs="Times New Roman"/>
          <w:sz w:val="24"/>
          <w:szCs w:val="24"/>
        </w:rPr>
        <w:t>Fitch</w:t>
      </w:r>
      <w:proofErr w:type="spellEnd"/>
      <w:r w:rsidR="00B73234" w:rsidRPr="00461B02">
        <w:rPr>
          <w:rFonts w:ascii="Times New Roman" w:hAnsi="Times New Roman" w:cs="Times New Roman"/>
          <w:sz w:val="24"/>
          <w:szCs w:val="24"/>
        </w:rPr>
        <w:t xml:space="preserve"> </w:t>
      </w:r>
      <w:proofErr w:type="spellStart"/>
      <w:r w:rsidR="00B73234" w:rsidRPr="00461B02">
        <w:rPr>
          <w:rFonts w:ascii="Times New Roman" w:hAnsi="Times New Roman" w:cs="Times New Roman"/>
          <w:sz w:val="24"/>
          <w:szCs w:val="24"/>
        </w:rPr>
        <w:t>Rating</w:t>
      </w:r>
      <w:proofErr w:type="spellEnd"/>
      <w:r w:rsidR="00B73234" w:rsidRPr="00461B02">
        <w:rPr>
          <w:rFonts w:ascii="Times New Roman" w:hAnsi="Times New Roman" w:cs="Times New Roman"/>
          <w:sz w:val="24"/>
          <w:szCs w:val="24"/>
        </w:rPr>
        <w:t xml:space="preserve">, </w:t>
      </w:r>
      <w:proofErr w:type="spellStart"/>
      <w:r w:rsidR="00B73234" w:rsidRPr="00461B02">
        <w:rPr>
          <w:rFonts w:ascii="Times New Roman" w:hAnsi="Times New Roman" w:cs="Times New Roman"/>
          <w:sz w:val="24"/>
          <w:szCs w:val="24"/>
        </w:rPr>
        <w:t>Her</w:t>
      </w:r>
      <w:r w:rsidR="00DD2E90" w:rsidRPr="00461B02">
        <w:rPr>
          <w:rFonts w:ascii="Times New Roman" w:hAnsi="Times New Roman" w:cs="Times New Roman"/>
          <w:sz w:val="24"/>
          <w:szCs w:val="24"/>
        </w:rPr>
        <w:t>itage</w:t>
      </w:r>
      <w:proofErr w:type="spellEnd"/>
      <w:r w:rsidR="00DD2E90" w:rsidRPr="00461B02">
        <w:rPr>
          <w:rFonts w:ascii="Times New Roman" w:hAnsi="Times New Roman" w:cs="Times New Roman"/>
          <w:sz w:val="24"/>
          <w:szCs w:val="24"/>
        </w:rPr>
        <w:t xml:space="preserve"> Vakfı, Standard </w:t>
      </w:r>
      <w:proofErr w:type="spellStart"/>
      <w:r w:rsidR="00DD2E90" w:rsidRPr="00461B02">
        <w:rPr>
          <w:rFonts w:ascii="Times New Roman" w:hAnsi="Times New Roman" w:cs="Times New Roman"/>
          <w:sz w:val="24"/>
          <w:szCs w:val="24"/>
        </w:rPr>
        <w:t>and</w:t>
      </w:r>
      <w:proofErr w:type="spellEnd"/>
      <w:r w:rsidR="00DD2E90" w:rsidRPr="00461B02">
        <w:rPr>
          <w:rFonts w:ascii="Times New Roman" w:hAnsi="Times New Roman" w:cs="Times New Roman"/>
          <w:sz w:val="24"/>
          <w:szCs w:val="24"/>
        </w:rPr>
        <w:t xml:space="preserve"> </w:t>
      </w:r>
      <w:proofErr w:type="spellStart"/>
      <w:r w:rsidR="00DD2E90" w:rsidRPr="00461B02">
        <w:rPr>
          <w:rFonts w:ascii="Times New Roman" w:hAnsi="Times New Roman" w:cs="Times New Roman"/>
          <w:sz w:val="24"/>
          <w:szCs w:val="24"/>
        </w:rPr>
        <w:t>Poor’s</w:t>
      </w:r>
      <w:proofErr w:type="spellEnd"/>
      <w:r w:rsidR="00B73234" w:rsidRPr="00461B02">
        <w:rPr>
          <w:rFonts w:ascii="Times New Roman" w:hAnsi="Times New Roman" w:cs="Times New Roman"/>
          <w:sz w:val="24"/>
          <w:szCs w:val="24"/>
        </w:rPr>
        <w:t xml:space="preserve"> örnek olarak verilebilir. </w:t>
      </w:r>
      <w:r w:rsidR="00DD2E90" w:rsidRPr="00461B02">
        <w:rPr>
          <w:rFonts w:ascii="Times New Roman" w:hAnsi="Times New Roman" w:cs="Times New Roman"/>
          <w:sz w:val="24"/>
          <w:szCs w:val="24"/>
        </w:rPr>
        <w:t xml:space="preserve"> </w:t>
      </w:r>
      <w:r w:rsidR="005A3C7F" w:rsidRPr="00461B02">
        <w:rPr>
          <w:rFonts w:ascii="Times New Roman" w:hAnsi="Times New Roman" w:cs="Times New Roman"/>
          <w:sz w:val="24"/>
          <w:szCs w:val="24"/>
        </w:rPr>
        <w:t xml:space="preserve">Bu kapsamda dünya bankası </w:t>
      </w:r>
      <w:r w:rsidR="00317688" w:rsidRPr="00461B02">
        <w:rPr>
          <w:rFonts w:ascii="Times New Roman" w:hAnsi="Times New Roman" w:cs="Times New Roman"/>
          <w:sz w:val="24"/>
          <w:szCs w:val="24"/>
        </w:rPr>
        <w:t>“</w:t>
      </w:r>
      <w:r w:rsidR="005A3C7F" w:rsidRPr="00461B02">
        <w:rPr>
          <w:rFonts w:ascii="Times New Roman" w:hAnsi="Times New Roman" w:cs="Times New Roman"/>
          <w:sz w:val="24"/>
          <w:szCs w:val="24"/>
        </w:rPr>
        <w:t>İş Yapma Kolaylığı” endeksi ile yatırımcılar yanında ülke yönetimlerine ekonomi politika</w:t>
      </w:r>
      <w:r w:rsidR="00317688" w:rsidRPr="00461B02">
        <w:rPr>
          <w:rFonts w:ascii="Times New Roman" w:hAnsi="Times New Roman" w:cs="Times New Roman"/>
          <w:sz w:val="24"/>
          <w:szCs w:val="24"/>
        </w:rPr>
        <w:t>ları</w:t>
      </w:r>
      <w:r w:rsidR="005A3C7F" w:rsidRPr="00461B02">
        <w:rPr>
          <w:rFonts w:ascii="Times New Roman" w:hAnsi="Times New Roman" w:cs="Times New Roman"/>
          <w:sz w:val="24"/>
          <w:szCs w:val="24"/>
        </w:rPr>
        <w:t>, mevzuat</w:t>
      </w:r>
      <w:r w:rsidR="00317688" w:rsidRPr="00461B02">
        <w:rPr>
          <w:rFonts w:ascii="Times New Roman" w:hAnsi="Times New Roman" w:cs="Times New Roman"/>
          <w:sz w:val="24"/>
          <w:szCs w:val="24"/>
        </w:rPr>
        <w:t xml:space="preserve">, iş piyasası ve diğer </w:t>
      </w:r>
      <w:r w:rsidR="002E32CA" w:rsidRPr="00461B02">
        <w:rPr>
          <w:rFonts w:ascii="Times New Roman" w:hAnsi="Times New Roman" w:cs="Times New Roman"/>
          <w:sz w:val="24"/>
          <w:szCs w:val="24"/>
        </w:rPr>
        <w:t xml:space="preserve">konularda </w:t>
      </w:r>
      <w:r w:rsidR="00317688" w:rsidRPr="00461B02">
        <w:rPr>
          <w:rFonts w:ascii="Times New Roman" w:hAnsi="Times New Roman" w:cs="Times New Roman"/>
          <w:sz w:val="24"/>
          <w:szCs w:val="24"/>
        </w:rPr>
        <w:t>tavsiyelerde bulunarak analizlerini paylaşmaktadır. Bu analizler</w:t>
      </w:r>
      <w:r w:rsidR="00461B02">
        <w:rPr>
          <w:rFonts w:ascii="Times New Roman" w:hAnsi="Times New Roman" w:cs="Times New Roman"/>
          <w:sz w:val="24"/>
          <w:szCs w:val="24"/>
        </w:rPr>
        <w:t>,</w:t>
      </w:r>
      <w:r w:rsidR="00317688" w:rsidRPr="00461B02">
        <w:rPr>
          <w:rFonts w:ascii="Times New Roman" w:hAnsi="Times New Roman" w:cs="Times New Roman"/>
          <w:sz w:val="24"/>
          <w:szCs w:val="24"/>
        </w:rPr>
        <w:t xml:space="preserve"> yönetim</w:t>
      </w:r>
      <w:r w:rsidR="002E32CA" w:rsidRPr="00461B02">
        <w:rPr>
          <w:rFonts w:ascii="Times New Roman" w:hAnsi="Times New Roman" w:cs="Times New Roman"/>
          <w:sz w:val="24"/>
          <w:szCs w:val="24"/>
        </w:rPr>
        <w:t xml:space="preserve"> ve karar mekanizmalar</w:t>
      </w:r>
      <w:r w:rsidR="00461B02" w:rsidRPr="00461B02">
        <w:rPr>
          <w:rFonts w:ascii="Times New Roman" w:hAnsi="Times New Roman" w:cs="Times New Roman"/>
          <w:sz w:val="24"/>
          <w:szCs w:val="24"/>
        </w:rPr>
        <w:t xml:space="preserve">ına ekonomik gelişme ve kalkınmayı sağlamak </w:t>
      </w:r>
      <w:r w:rsidR="00461B02">
        <w:rPr>
          <w:rFonts w:ascii="Times New Roman" w:hAnsi="Times New Roman" w:cs="Times New Roman"/>
          <w:sz w:val="24"/>
          <w:szCs w:val="24"/>
        </w:rPr>
        <w:t xml:space="preserve">konusunda </w:t>
      </w:r>
      <w:r w:rsidR="00461B02" w:rsidRPr="00461B02">
        <w:rPr>
          <w:rFonts w:ascii="Times New Roman" w:hAnsi="Times New Roman" w:cs="Times New Roman"/>
          <w:sz w:val="24"/>
          <w:szCs w:val="24"/>
        </w:rPr>
        <w:t>yararl</w:t>
      </w:r>
      <w:r w:rsidR="00461B02">
        <w:rPr>
          <w:rFonts w:ascii="Times New Roman" w:hAnsi="Times New Roman" w:cs="Times New Roman"/>
          <w:sz w:val="24"/>
          <w:szCs w:val="24"/>
        </w:rPr>
        <w:t>anabilecekleri</w:t>
      </w:r>
      <w:r w:rsidR="00461B02" w:rsidRPr="00461B02">
        <w:rPr>
          <w:rFonts w:ascii="Times New Roman" w:hAnsi="Times New Roman" w:cs="Times New Roman"/>
          <w:sz w:val="24"/>
          <w:szCs w:val="24"/>
        </w:rPr>
        <w:t xml:space="preserve"> bilgiler sunabilmektedir</w:t>
      </w:r>
      <w:r w:rsidR="00461B02">
        <w:rPr>
          <w:rFonts w:ascii="Times New Roman" w:hAnsi="Times New Roman" w:cs="Times New Roman"/>
          <w:sz w:val="24"/>
          <w:szCs w:val="24"/>
        </w:rPr>
        <w:t xml:space="preserve">. </w:t>
      </w:r>
    </w:p>
    <w:p w:rsidR="0091739E" w:rsidRPr="00776387" w:rsidRDefault="0091739E" w:rsidP="0091739E">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İş yapma kolaylığı endeksi iş dünyası ile ilgili reformları karar vericilerin tartışmasına zemin hazırlar. Ayrıca ülkeler diğer ülkeler ile kendilerini kıyaslama imkânını elde ederek iş yapma ortamı ve yapılacak iyileştirmeler konusunda ortak bir bakış açısı kazanmalarını sağlar</w:t>
      </w:r>
      <w:r>
        <w:rPr>
          <w:rFonts w:ascii="Times New Roman" w:hAnsi="Times New Roman" w:cs="Times New Roman"/>
          <w:sz w:val="24"/>
          <w:szCs w:val="24"/>
        </w:rPr>
        <w:fldChar w:fldCharType="begin" w:fldLock="1"/>
      </w:r>
      <w:r w:rsidR="003B1C84">
        <w:rPr>
          <w:rFonts w:ascii="Times New Roman" w:hAnsi="Times New Roman" w:cs="Times New Roman"/>
          <w:sz w:val="24"/>
          <w:szCs w:val="24"/>
        </w:rPr>
        <w:instrText>ADDIN CSL_CITATION {"citationItems":[{"id":"ITEM-1","itemData":{"DOI":"10.17065/huniibf.378541","ISSN":"1301-8752","author":[{"dropping-particle":"","family":"Önalmış","given":"Çağlayan","non-dropping-particle":"","parse-names":false,"suffix":""},{"dropping-particle":"","family":"Ulucan","given":"Aydın","non-dropping-particle":"","parse-names":false,"suffix":""},{"dropping-particle":"","family":"Atıcı","given":"Kazım Barış","non-dropping-particle":"","parse-names":false,"suffix":""}],"container-title":"Hacettepe Üniversitesi İktisadi ve İdari Bilimler Fakültesi Dergisi","id":"ITEM-1","issued":{"date-parts":[["2019"]]},"title":"OECD Ülkelerinin İş Yapma Kolaylığı Açısından Çok Kriterli Karar Analizi ile Sıralanması","type":"article-journal"},"uris":["http://www.mendeley.com/documents/?uuid=cd34abaa-368e-4b34-8e9f-1ef56c18e48d"]}],"mendeley":{"formattedCitation":"(Önalmış, Ulucan ve Atıcı, 2019)","manualFormatting":"(Önalmış, vd. 2019:343)","plainTextFormattedCitation":"(Önalmış, Ulucan ve Atıcı, 2019)","previouslyFormattedCitation":"(Önalmış, Ulucan ve Atıcı, 2019)"},"properties":{"noteIndex":0},"schema":"https://github.com/citation-style-language/schema/raw/master/csl-citation.json"}</w:instrText>
      </w:r>
      <w:r>
        <w:rPr>
          <w:rFonts w:ascii="Times New Roman" w:hAnsi="Times New Roman" w:cs="Times New Roman"/>
          <w:sz w:val="24"/>
          <w:szCs w:val="24"/>
        </w:rPr>
        <w:fldChar w:fldCharType="separate"/>
      </w:r>
      <w:r w:rsidRPr="00124A19">
        <w:rPr>
          <w:rFonts w:ascii="Times New Roman" w:hAnsi="Times New Roman" w:cs="Times New Roman"/>
          <w:noProof/>
          <w:sz w:val="24"/>
          <w:szCs w:val="24"/>
        </w:rPr>
        <w:t xml:space="preserve">(Önalmış, </w:t>
      </w:r>
      <w:r>
        <w:rPr>
          <w:rFonts w:ascii="Times New Roman" w:hAnsi="Times New Roman" w:cs="Times New Roman"/>
          <w:noProof/>
          <w:sz w:val="24"/>
          <w:szCs w:val="24"/>
        </w:rPr>
        <w:t xml:space="preserve">vd. </w:t>
      </w:r>
      <w:r w:rsidRPr="00124A19">
        <w:rPr>
          <w:rFonts w:ascii="Times New Roman" w:hAnsi="Times New Roman" w:cs="Times New Roman"/>
          <w:noProof/>
          <w:sz w:val="24"/>
          <w:szCs w:val="24"/>
        </w:rPr>
        <w:t>2019</w:t>
      </w:r>
      <w:r>
        <w:rPr>
          <w:rFonts w:ascii="Times New Roman" w:hAnsi="Times New Roman" w:cs="Times New Roman"/>
          <w:noProof/>
          <w:sz w:val="24"/>
          <w:szCs w:val="24"/>
        </w:rPr>
        <w:t>:343</w:t>
      </w:r>
      <w:r w:rsidRPr="00124A19">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p>
    <w:p w:rsidR="0004591D" w:rsidRDefault="0004591D" w:rsidP="00776387">
      <w:pPr>
        <w:spacing w:after="120" w:line="240" w:lineRule="auto"/>
        <w:ind w:firstLine="708"/>
        <w:jc w:val="both"/>
        <w:rPr>
          <w:rFonts w:ascii="Times New Roman" w:hAnsi="Times New Roman" w:cs="Times New Roman"/>
          <w:sz w:val="24"/>
          <w:szCs w:val="24"/>
        </w:rPr>
      </w:pPr>
      <w:proofErr w:type="spellStart"/>
      <w:r>
        <w:rPr>
          <w:rFonts w:ascii="Times New Roman" w:hAnsi="Times New Roman" w:cs="Times New Roman"/>
          <w:sz w:val="24"/>
          <w:szCs w:val="24"/>
        </w:rPr>
        <w:t>Önalmış</w:t>
      </w:r>
      <w:proofErr w:type="spellEnd"/>
      <w:r>
        <w:rPr>
          <w:rFonts w:ascii="Times New Roman" w:hAnsi="Times New Roman" w:cs="Times New Roman"/>
          <w:sz w:val="24"/>
          <w:szCs w:val="24"/>
        </w:rPr>
        <w:t>(2017) iş yapma kolaylığı endeksinin daha çok işletmeler ile ilgili olduğu ve makroekonomik iyileştirmeler ile</w:t>
      </w:r>
      <w:r w:rsidR="009156B6">
        <w:rPr>
          <w:rFonts w:ascii="Times New Roman" w:hAnsi="Times New Roman" w:cs="Times New Roman"/>
          <w:sz w:val="24"/>
          <w:szCs w:val="24"/>
        </w:rPr>
        <w:t xml:space="preserve"> ilişkili olmadığı </w:t>
      </w:r>
      <w:r>
        <w:rPr>
          <w:rFonts w:ascii="Times New Roman" w:hAnsi="Times New Roman" w:cs="Times New Roman"/>
          <w:sz w:val="24"/>
          <w:szCs w:val="24"/>
        </w:rPr>
        <w:t xml:space="preserve">eleştirisi getirmiştir. </w:t>
      </w:r>
      <w:r w:rsidR="009156B6">
        <w:rPr>
          <w:rFonts w:ascii="Times New Roman" w:hAnsi="Times New Roman" w:cs="Times New Roman"/>
          <w:sz w:val="24"/>
          <w:szCs w:val="24"/>
        </w:rPr>
        <w:t>Bir işletme için iyi olan düzenlemelerin v</w:t>
      </w:r>
      <w:r w:rsidR="005F0D4B">
        <w:rPr>
          <w:rFonts w:ascii="Times New Roman" w:hAnsi="Times New Roman" w:cs="Times New Roman"/>
          <w:sz w:val="24"/>
          <w:szCs w:val="24"/>
        </w:rPr>
        <w:t>e iyileştirmelerin ekonomi için de iyi olamayabileceğini ve her ekonominin kendine özgü şartlarını dikkate alan düzenlemelerin daha yararlı olabileceğini belirtmiştir. Özel kesim eksenli olarak piyasa</w:t>
      </w:r>
      <w:r w:rsidR="00872E6B">
        <w:rPr>
          <w:rFonts w:ascii="Times New Roman" w:hAnsi="Times New Roman" w:cs="Times New Roman"/>
          <w:sz w:val="24"/>
          <w:szCs w:val="24"/>
        </w:rPr>
        <w:t xml:space="preserve"> ekonomisinin i</w:t>
      </w:r>
      <w:r w:rsidR="005F0D4B">
        <w:rPr>
          <w:rFonts w:ascii="Times New Roman" w:hAnsi="Times New Roman" w:cs="Times New Roman"/>
          <w:sz w:val="24"/>
          <w:szCs w:val="24"/>
        </w:rPr>
        <w:t>ş</w:t>
      </w:r>
      <w:r w:rsidR="00872E6B">
        <w:rPr>
          <w:rFonts w:ascii="Times New Roman" w:hAnsi="Times New Roman" w:cs="Times New Roman"/>
          <w:sz w:val="24"/>
          <w:szCs w:val="24"/>
        </w:rPr>
        <w:t xml:space="preserve">leyişini ve etkinliğini sağlamak </w:t>
      </w:r>
      <w:r w:rsidR="005F0D4B">
        <w:rPr>
          <w:rFonts w:ascii="Times New Roman" w:hAnsi="Times New Roman" w:cs="Times New Roman"/>
          <w:sz w:val="24"/>
          <w:szCs w:val="24"/>
        </w:rPr>
        <w:t xml:space="preserve">amacıyla yapılan </w:t>
      </w:r>
      <w:r w:rsidR="00872E6B">
        <w:rPr>
          <w:rFonts w:ascii="Times New Roman" w:hAnsi="Times New Roman" w:cs="Times New Roman"/>
          <w:sz w:val="24"/>
          <w:szCs w:val="24"/>
        </w:rPr>
        <w:t xml:space="preserve">çalışmalardan olan </w:t>
      </w:r>
      <w:r w:rsidR="005F0D4B">
        <w:rPr>
          <w:rFonts w:ascii="Times New Roman" w:hAnsi="Times New Roman" w:cs="Times New Roman"/>
          <w:sz w:val="24"/>
          <w:szCs w:val="24"/>
        </w:rPr>
        <w:t>endeks işletmeler</w:t>
      </w:r>
      <w:r w:rsidR="00872E6B">
        <w:rPr>
          <w:rFonts w:ascii="Times New Roman" w:hAnsi="Times New Roman" w:cs="Times New Roman"/>
          <w:sz w:val="24"/>
          <w:szCs w:val="24"/>
        </w:rPr>
        <w:t xml:space="preserve"> için uygun </w:t>
      </w:r>
      <w:r w:rsidR="005F0D4B">
        <w:rPr>
          <w:rFonts w:ascii="Times New Roman" w:hAnsi="Times New Roman" w:cs="Times New Roman"/>
          <w:sz w:val="24"/>
          <w:szCs w:val="24"/>
        </w:rPr>
        <w:t>yatırım ortamını</w:t>
      </w:r>
      <w:r w:rsidR="003B3CF2">
        <w:rPr>
          <w:rFonts w:ascii="Times New Roman" w:hAnsi="Times New Roman" w:cs="Times New Roman"/>
          <w:sz w:val="24"/>
          <w:szCs w:val="24"/>
        </w:rPr>
        <w:t xml:space="preserve">n düzenlenmesi </w:t>
      </w:r>
      <w:proofErr w:type="gramStart"/>
      <w:r w:rsidR="003B3CF2">
        <w:rPr>
          <w:rFonts w:ascii="Times New Roman" w:hAnsi="Times New Roman" w:cs="Times New Roman"/>
          <w:sz w:val="24"/>
          <w:szCs w:val="24"/>
        </w:rPr>
        <w:t xml:space="preserve">ve </w:t>
      </w:r>
      <w:r w:rsidR="005F0D4B">
        <w:rPr>
          <w:rFonts w:ascii="Times New Roman" w:hAnsi="Times New Roman" w:cs="Times New Roman"/>
          <w:sz w:val="24"/>
          <w:szCs w:val="24"/>
        </w:rPr>
        <w:t xml:space="preserve"> ölç</w:t>
      </w:r>
      <w:r w:rsidR="003B3CF2">
        <w:rPr>
          <w:rFonts w:ascii="Times New Roman" w:hAnsi="Times New Roman" w:cs="Times New Roman"/>
          <w:sz w:val="24"/>
          <w:szCs w:val="24"/>
        </w:rPr>
        <w:t>ümüyle</w:t>
      </w:r>
      <w:proofErr w:type="gramEnd"/>
      <w:r w:rsidR="003B3CF2">
        <w:rPr>
          <w:rFonts w:ascii="Times New Roman" w:hAnsi="Times New Roman" w:cs="Times New Roman"/>
          <w:sz w:val="24"/>
          <w:szCs w:val="24"/>
        </w:rPr>
        <w:t xml:space="preserve"> ilgilidir. </w:t>
      </w:r>
      <w:r w:rsidR="005F0D4B">
        <w:rPr>
          <w:rFonts w:ascii="Times New Roman" w:hAnsi="Times New Roman" w:cs="Times New Roman"/>
          <w:sz w:val="24"/>
          <w:szCs w:val="24"/>
        </w:rPr>
        <w:t xml:space="preserve">Diğer taraftan katma </w:t>
      </w:r>
      <w:r w:rsidR="003B3CF2">
        <w:rPr>
          <w:rFonts w:ascii="Times New Roman" w:hAnsi="Times New Roman" w:cs="Times New Roman"/>
          <w:sz w:val="24"/>
          <w:szCs w:val="24"/>
        </w:rPr>
        <w:t xml:space="preserve">üretim yapan, </w:t>
      </w:r>
      <w:r w:rsidR="005F0D4B">
        <w:rPr>
          <w:rFonts w:ascii="Times New Roman" w:hAnsi="Times New Roman" w:cs="Times New Roman"/>
          <w:sz w:val="24"/>
          <w:szCs w:val="24"/>
        </w:rPr>
        <w:t>vergi ödeye</w:t>
      </w:r>
      <w:r w:rsidR="003B3CF2">
        <w:rPr>
          <w:rFonts w:ascii="Times New Roman" w:hAnsi="Times New Roman" w:cs="Times New Roman"/>
          <w:sz w:val="24"/>
          <w:szCs w:val="24"/>
        </w:rPr>
        <w:t>n</w:t>
      </w:r>
      <w:r w:rsidR="005F0D4B">
        <w:rPr>
          <w:rFonts w:ascii="Times New Roman" w:hAnsi="Times New Roman" w:cs="Times New Roman"/>
          <w:sz w:val="24"/>
          <w:szCs w:val="24"/>
        </w:rPr>
        <w:t>, istihdam sağlayan işletmelerin ekonomiye olan katkı</w:t>
      </w:r>
      <w:r w:rsidR="009F33C8">
        <w:rPr>
          <w:rFonts w:ascii="Times New Roman" w:hAnsi="Times New Roman" w:cs="Times New Roman"/>
          <w:sz w:val="24"/>
          <w:szCs w:val="24"/>
        </w:rPr>
        <w:t xml:space="preserve">larını </w:t>
      </w:r>
      <w:r w:rsidR="003B3CF2">
        <w:rPr>
          <w:rFonts w:ascii="Times New Roman" w:hAnsi="Times New Roman" w:cs="Times New Roman"/>
          <w:sz w:val="24"/>
          <w:szCs w:val="24"/>
        </w:rPr>
        <w:t xml:space="preserve">ülkelerin kendi şartlarını ve </w:t>
      </w:r>
      <w:proofErr w:type="spellStart"/>
      <w:r w:rsidR="003B3CF2">
        <w:rPr>
          <w:rFonts w:ascii="Times New Roman" w:hAnsi="Times New Roman" w:cs="Times New Roman"/>
          <w:sz w:val="24"/>
          <w:szCs w:val="24"/>
        </w:rPr>
        <w:t>sektörel</w:t>
      </w:r>
      <w:proofErr w:type="spellEnd"/>
      <w:r w:rsidR="003B3CF2">
        <w:rPr>
          <w:rFonts w:ascii="Times New Roman" w:hAnsi="Times New Roman" w:cs="Times New Roman"/>
          <w:sz w:val="24"/>
          <w:szCs w:val="24"/>
        </w:rPr>
        <w:t xml:space="preserve"> değerlendirmeleri içerecek şekilde </w:t>
      </w:r>
      <w:r w:rsidR="009F33C8">
        <w:rPr>
          <w:rFonts w:ascii="Times New Roman" w:hAnsi="Times New Roman" w:cs="Times New Roman"/>
          <w:sz w:val="24"/>
          <w:szCs w:val="24"/>
        </w:rPr>
        <w:t>daha ayrıntılı değerlendirmek yar</w:t>
      </w:r>
      <w:r w:rsidR="003B3CF2">
        <w:rPr>
          <w:rFonts w:ascii="Times New Roman" w:hAnsi="Times New Roman" w:cs="Times New Roman"/>
          <w:sz w:val="24"/>
          <w:szCs w:val="24"/>
        </w:rPr>
        <w:t>a</w:t>
      </w:r>
      <w:r w:rsidR="009F33C8">
        <w:rPr>
          <w:rFonts w:ascii="Times New Roman" w:hAnsi="Times New Roman" w:cs="Times New Roman"/>
          <w:sz w:val="24"/>
          <w:szCs w:val="24"/>
        </w:rPr>
        <w:t xml:space="preserve">rlı olacaktır. İç piyasadaki üreticinin korunması, politik </w:t>
      </w:r>
      <w:r w:rsidR="00455222">
        <w:rPr>
          <w:rFonts w:ascii="Times New Roman" w:hAnsi="Times New Roman" w:cs="Times New Roman"/>
          <w:sz w:val="24"/>
          <w:szCs w:val="24"/>
        </w:rPr>
        <w:t xml:space="preserve">nedenler, </w:t>
      </w:r>
      <w:r w:rsidR="009F33C8">
        <w:rPr>
          <w:rFonts w:ascii="Times New Roman" w:hAnsi="Times New Roman" w:cs="Times New Roman"/>
          <w:sz w:val="24"/>
          <w:szCs w:val="24"/>
        </w:rPr>
        <w:t xml:space="preserve">askeri </w:t>
      </w:r>
      <w:r w:rsidR="00455222">
        <w:rPr>
          <w:rFonts w:ascii="Times New Roman" w:hAnsi="Times New Roman" w:cs="Times New Roman"/>
          <w:sz w:val="24"/>
          <w:szCs w:val="24"/>
        </w:rPr>
        <w:t xml:space="preserve">nedenler </w:t>
      </w:r>
      <w:r w:rsidR="006434C4">
        <w:rPr>
          <w:rFonts w:ascii="Times New Roman" w:hAnsi="Times New Roman" w:cs="Times New Roman"/>
          <w:sz w:val="24"/>
          <w:szCs w:val="24"/>
        </w:rPr>
        <w:t>ve diğer</w:t>
      </w:r>
      <w:r w:rsidR="00455222">
        <w:rPr>
          <w:rFonts w:ascii="Times New Roman" w:hAnsi="Times New Roman" w:cs="Times New Roman"/>
          <w:sz w:val="24"/>
          <w:szCs w:val="24"/>
        </w:rPr>
        <w:t xml:space="preserve"> pek çok</w:t>
      </w:r>
      <w:r w:rsidR="006434C4">
        <w:rPr>
          <w:rFonts w:ascii="Times New Roman" w:hAnsi="Times New Roman" w:cs="Times New Roman"/>
          <w:sz w:val="24"/>
          <w:szCs w:val="24"/>
        </w:rPr>
        <w:t xml:space="preserve"> </w:t>
      </w:r>
      <w:r w:rsidR="00455222">
        <w:rPr>
          <w:rFonts w:ascii="Times New Roman" w:hAnsi="Times New Roman" w:cs="Times New Roman"/>
          <w:sz w:val="24"/>
          <w:szCs w:val="24"/>
        </w:rPr>
        <w:t xml:space="preserve">faktörün </w:t>
      </w:r>
      <w:r w:rsidR="009F33C8">
        <w:rPr>
          <w:rFonts w:ascii="Times New Roman" w:hAnsi="Times New Roman" w:cs="Times New Roman"/>
          <w:sz w:val="24"/>
          <w:szCs w:val="24"/>
        </w:rPr>
        <w:t xml:space="preserve">ekonomi politikalarının </w:t>
      </w:r>
      <w:r w:rsidR="00455222">
        <w:rPr>
          <w:rFonts w:ascii="Times New Roman" w:hAnsi="Times New Roman" w:cs="Times New Roman"/>
          <w:sz w:val="24"/>
          <w:szCs w:val="24"/>
        </w:rPr>
        <w:t xml:space="preserve">ve düzenlemelerin </w:t>
      </w:r>
      <w:r w:rsidR="009F33C8">
        <w:rPr>
          <w:rFonts w:ascii="Times New Roman" w:hAnsi="Times New Roman" w:cs="Times New Roman"/>
          <w:sz w:val="24"/>
          <w:szCs w:val="24"/>
        </w:rPr>
        <w:t xml:space="preserve">oluşturulmasında etkili olduğu görülmektedir. Bu açıdan bakıldığında analitik yaklaşımların </w:t>
      </w:r>
      <w:r w:rsidR="00872E6B">
        <w:rPr>
          <w:rFonts w:ascii="Times New Roman" w:hAnsi="Times New Roman" w:cs="Times New Roman"/>
          <w:sz w:val="24"/>
          <w:szCs w:val="24"/>
        </w:rPr>
        <w:t xml:space="preserve">daha yararlı olacağı düşünülmektedir. </w:t>
      </w:r>
      <w:proofErr w:type="spellStart"/>
      <w:r w:rsidR="009B016A">
        <w:rPr>
          <w:rFonts w:ascii="Times New Roman" w:hAnsi="Times New Roman" w:cs="Times New Roman"/>
          <w:sz w:val="24"/>
          <w:szCs w:val="24"/>
        </w:rPr>
        <w:t>Önalmış</w:t>
      </w:r>
      <w:proofErr w:type="spellEnd"/>
      <w:r w:rsidR="009B016A">
        <w:rPr>
          <w:rFonts w:ascii="Times New Roman" w:hAnsi="Times New Roman" w:cs="Times New Roman"/>
          <w:sz w:val="24"/>
          <w:szCs w:val="24"/>
        </w:rPr>
        <w:t xml:space="preserve">(2017) çalışmasında işletmelerin yatırım kararlarının iş yapma kolaylığı </w:t>
      </w:r>
      <w:proofErr w:type="gramStart"/>
      <w:r w:rsidR="009B016A">
        <w:rPr>
          <w:rFonts w:ascii="Times New Roman" w:hAnsi="Times New Roman" w:cs="Times New Roman"/>
          <w:sz w:val="24"/>
          <w:szCs w:val="24"/>
        </w:rPr>
        <w:t>kriterlerince</w:t>
      </w:r>
      <w:proofErr w:type="gramEnd"/>
      <w:r w:rsidR="009B016A">
        <w:rPr>
          <w:rFonts w:ascii="Times New Roman" w:hAnsi="Times New Roman" w:cs="Times New Roman"/>
          <w:sz w:val="24"/>
          <w:szCs w:val="24"/>
        </w:rPr>
        <w:t xml:space="preserve"> ölçülemeyen başka kriterlere de bağlı olduğunu belirtmiştir. Bu </w:t>
      </w:r>
      <w:proofErr w:type="gramStart"/>
      <w:r w:rsidR="009B016A">
        <w:rPr>
          <w:rFonts w:ascii="Times New Roman" w:hAnsi="Times New Roman" w:cs="Times New Roman"/>
          <w:sz w:val="24"/>
          <w:szCs w:val="24"/>
        </w:rPr>
        <w:t>kriterlerin</w:t>
      </w:r>
      <w:proofErr w:type="gramEnd"/>
      <w:r w:rsidR="009B016A">
        <w:rPr>
          <w:rFonts w:ascii="Times New Roman" w:hAnsi="Times New Roman" w:cs="Times New Roman"/>
          <w:sz w:val="24"/>
          <w:szCs w:val="24"/>
        </w:rPr>
        <w:t xml:space="preserve"> içinde yolsuzluk ve ölçülemeyen işletme maliyetlerini saymıştır. Ayrıca </w:t>
      </w:r>
      <w:r w:rsidR="007D631A">
        <w:rPr>
          <w:rFonts w:ascii="Times New Roman" w:hAnsi="Times New Roman" w:cs="Times New Roman"/>
          <w:sz w:val="24"/>
          <w:szCs w:val="24"/>
        </w:rPr>
        <w:t>mevzuatın uygulamadan kaynaklanan sorunlar nedeni ile durumu tam olarak yansıtamayabileceğini ifade etmiştir.</w:t>
      </w:r>
    </w:p>
    <w:p w:rsidR="001E75F8" w:rsidRPr="00776387" w:rsidRDefault="00D83EB4" w:rsidP="00090EA0">
      <w:pPr>
        <w:pStyle w:val="ListeParagraf"/>
        <w:numPr>
          <w:ilvl w:val="0"/>
          <w:numId w:val="2"/>
        </w:numPr>
        <w:spacing w:before="240" w:after="120" w:line="240" w:lineRule="auto"/>
        <w:ind w:left="1066" w:hanging="357"/>
        <w:jc w:val="both"/>
        <w:rPr>
          <w:rFonts w:ascii="Times New Roman" w:hAnsi="Times New Roman" w:cs="Times New Roman"/>
          <w:b/>
          <w:sz w:val="24"/>
          <w:szCs w:val="24"/>
        </w:rPr>
      </w:pPr>
      <w:r>
        <w:rPr>
          <w:rFonts w:ascii="Times New Roman" w:hAnsi="Times New Roman" w:cs="Times New Roman"/>
          <w:b/>
          <w:sz w:val="24"/>
          <w:szCs w:val="24"/>
        </w:rPr>
        <w:t xml:space="preserve">ENTROPİ VE EDAS YÖNTEMLERİ </w:t>
      </w:r>
      <w:r w:rsidR="001B3E2A">
        <w:rPr>
          <w:rFonts w:ascii="Times New Roman" w:hAnsi="Times New Roman" w:cs="Times New Roman"/>
          <w:b/>
          <w:sz w:val="24"/>
          <w:szCs w:val="24"/>
        </w:rPr>
        <w:t>İLE</w:t>
      </w:r>
      <w:r>
        <w:rPr>
          <w:rFonts w:ascii="Times New Roman" w:hAnsi="Times New Roman" w:cs="Times New Roman"/>
          <w:b/>
          <w:sz w:val="24"/>
          <w:szCs w:val="24"/>
        </w:rPr>
        <w:t xml:space="preserve"> </w:t>
      </w:r>
      <w:r w:rsidR="001B3E2A">
        <w:rPr>
          <w:rFonts w:ascii="Times New Roman" w:hAnsi="Times New Roman" w:cs="Times New Roman"/>
          <w:b/>
          <w:sz w:val="24"/>
          <w:szCs w:val="24"/>
        </w:rPr>
        <w:t xml:space="preserve">ÜLKELERİN </w:t>
      </w:r>
      <w:r>
        <w:rPr>
          <w:rFonts w:ascii="Times New Roman" w:hAnsi="Times New Roman" w:cs="Times New Roman"/>
          <w:b/>
          <w:sz w:val="24"/>
          <w:szCs w:val="24"/>
        </w:rPr>
        <w:t>SIRALAMASI</w:t>
      </w:r>
    </w:p>
    <w:p w:rsidR="00046EDD" w:rsidRDefault="00A52292" w:rsidP="00776387">
      <w:pPr>
        <w:spacing w:after="120" w:line="240" w:lineRule="auto"/>
        <w:ind w:firstLine="708"/>
        <w:jc w:val="both"/>
        <w:rPr>
          <w:rFonts w:ascii="Times New Roman" w:hAnsi="Times New Roman" w:cs="Times New Roman"/>
          <w:sz w:val="24"/>
          <w:szCs w:val="24"/>
        </w:rPr>
      </w:pPr>
      <w:r w:rsidRPr="00776387">
        <w:rPr>
          <w:rFonts w:ascii="Times New Roman" w:hAnsi="Times New Roman" w:cs="Times New Roman"/>
          <w:sz w:val="24"/>
          <w:szCs w:val="24"/>
        </w:rPr>
        <w:t xml:space="preserve">Çok sayıda </w:t>
      </w:r>
      <w:proofErr w:type="gramStart"/>
      <w:r w:rsidRPr="00776387">
        <w:rPr>
          <w:rFonts w:ascii="Times New Roman" w:hAnsi="Times New Roman" w:cs="Times New Roman"/>
          <w:sz w:val="24"/>
          <w:szCs w:val="24"/>
        </w:rPr>
        <w:t>kriterin</w:t>
      </w:r>
      <w:proofErr w:type="gramEnd"/>
      <w:r w:rsidRPr="00776387">
        <w:rPr>
          <w:rFonts w:ascii="Times New Roman" w:hAnsi="Times New Roman" w:cs="Times New Roman"/>
          <w:sz w:val="24"/>
          <w:szCs w:val="24"/>
        </w:rPr>
        <w:t xml:space="preserve"> birlikte ele alınarak karar vermeyi sağla</w:t>
      </w:r>
      <w:r w:rsidR="007778D7">
        <w:rPr>
          <w:rFonts w:ascii="Times New Roman" w:hAnsi="Times New Roman" w:cs="Times New Roman"/>
          <w:sz w:val="24"/>
          <w:szCs w:val="24"/>
        </w:rPr>
        <w:t xml:space="preserve">mak amacıyla </w:t>
      </w:r>
      <w:r w:rsidRPr="00776387">
        <w:rPr>
          <w:rFonts w:ascii="Times New Roman" w:hAnsi="Times New Roman" w:cs="Times New Roman"/>
          <w:sz w:val="24"/>
          <w:szCs w:val="24"/>
        </w:rPr>
        <w:t xml:space="preserve">Çok Kriterli Karar Verme(ÇKKV) yöntemleri </w:t>
      </w:r>
      <w:r w:rsidR="007778D7">
        <w:rPr>
          <w:rFonts w:ascii="Times New Roman" w:hAnsi="Times New Roman" w:cs="Times New Roman"/>
          <w:sz w:val="24"/>
          <w:szCs w:val="24"/>
        </w:rPr>
        <w:t xml:space="preserve">geliştirilmiştir. Karar analizindeki </w:t>
      </w:r>
      <w:proofErr w:type="gramStart"/>
      <w:r w:rsidR="007778D7">
        <w:rPr>
          <w:rFonts w:ascii="Times New Roman" w:hAnsi="Times New Roman" w:cs="Times New Roman"/>
          <w:sz w:val="24"/>
          <w:szCs w:val="24"/>
        </w:rPr>
        <w:t>kriterler</w:t>
      </w:r>
      <w:proofErr w:type="gramEnd"/>
      <w:r w:rsidR="007778D7">
        <w:rPr>
          <w:rFonts w:ascii="Times New Roman" w:hAnsi="Times New Roman" w:cs="Times New Roman"/>
          <w:sz w:val="24"/>
          <w:szCs w:val="24"/>
        </w:rPr>
        <w:t xml:space="preserve"> genellikle çelişen ve ayrı ölçü birimleri ile ifade edilen kriterlerdir. Bu karar problemlerinde öncelikle </w:t>
      </w:r>
      <w:proofErr w:type="gramStart"/>
      <w:r w:rsidR="007778D7">
        <w:rPr>
          <w:rFonts w:ascii="Times New Roman" w:hAnsi="Times New Roman" w:cs="Times New Roman"/>
          <w:sz w:val="24"/>
          <w:szCs w:val="24"/>
        </w:rPr>
        <w:t>kriterler</w:t>
      </w:r>
      <w:proofErr w:type="gramEnd"/>
      <w:r w:rsidR="007778D7">
        <w:rPr>
          <w:rFonts w:ascii="Times New Roman" w:hAnsi="Times New Roman" w:cs="Times New Roman"/>
          <w:sz w:val="24"/>
          <w:szCs w:val="24"/>
        </w:rPr>
        <w:t xml:space="preserve"> ele alınarak önem ve öncelikler beli</w:t>
      </w:r>
      <w:r w:rsidR="00664072">
        <w:rPr>
          <w:rFonts w:ascii="Times New Roman" w:hAnsi="Times New Roman" w:cs="Times New Roman"/>
          <w:sz w:val="24"/>
          <w:szCs w:val="24"/>
        </w:rPr>
        <w:t xml:space="preserve">rlenir ve daha sonra alternatifler değerlendirilir. </w:t>
      </w:r>
      <w:proofErr w:type="spellStart"/>
      <w:r w:rsidRPr="00776387">
        <w:rPr>
          <w:rFonts w:ascii="Times New Roman" w:hAnsi="Times New Roman" w:cs="Times New Roman"/>
          <w:sz w:val="24"/>
          <w:szCs w:val="24"/>
        </w:rPr>
        <w:t>ÇKKV’nin</w:t>
      </w:r>
      <w:proofErr w:type="spellEnd"/>
      <w:r w:rsidRPr="00776387">
        <w:rPr>
          <w:rFonts w:ascii="Times New Roman" w:hAnsi="Times New Roman" w:cs="Times New Roman"/>
          <w:sz w:val="24"/>
          <w:szCs w:val="24"/>
        </w:rPr>
        <w:t xml:space="preserve"> en önemli aşamalarında biri karar</w:t>
      </w:r>
      <w:r w:rsidR="00664072">
        <w:rPr>
          <w:rFonts w:ascii="Times New Roman" w:hAnsi="Times New Roman" w:cs="Times New Roman"/>
          <w:sz w:val="24"/>
          <w:szCs w:val="24"/>
        </w:rPr>
        <w:t>a</w:t>
      </w:r>
      <w:r w:rsidRPr="00776387">
        <w:rPr>
          <w:rFonts w:ascii="Times New Roman" w:hAnsi="Times New Roman" w:cs="Times New Roman"/>
          <w:sz w:val="24"/>
          <w:szCs w:val="24"/>
        </w:rPr>
        <w:t xml:space="preserve"> etki eden </w:t>
      </w:r>
      <w:proofErr w:type="gramStart"/>
      <w:r w:rsidRPr="00776387">
        <w:rPr>
          <w:rFonts w:ascii="Times New Roman" w:hAnsi="Times New Roman" w:cs="Times New Roman"/>
          <w:sz w:val="24"/>
          <w:szCs w:val="24"/>
        </w:rPr>
        <w:t>kriterlerin</w:t>
      </w:r>
      <w:proofErr w:type="gramEnd"/>
      <w:r w:rsidRPr="00776387">
        <w:rPr>
          <w:rFonts w:ascii="Times New Roman" w:hAnsi="Times New Roman" w:cs="Times New Roman"/>
          <w:sz w:val="24"/>
          <w:szCs w:val="24"/>
        </w:rPr>
        <w:t xml:space="preserve"> önem ve önceliklerinin belirlenmesidir.</w:t>
      </w:r>
      <w:r w:rsidR="00751A50">
        <w:rPr>
          <w:rFonts w:ascii="Times New Roman" w:hAnsi="Times New Roman" w:cs="Times New Roman"/>
          <w:sz w:val="24"/>
          <w:szCs w:val="24"/>
        </w:rPr>
        <w:t xml:space="preserve"> </w:t>
      </w:r>
      <w:r w:rsidRPr="00776387">
        <w:rPr>
          <w:rFonts w:ascii="Times New Roman" w:hAnsi="Times New Roman" w:cs="Times New Roman"/>
          <w:sz w:val="24"/>
          <w:szCs w:val="24"/>
        </w:rPr>
        <w:t>Kriterlerin önem ağırlıkları belirlenirken kullanıl</w:t>
      </w:r>
      <w:r w:rsidR="00265B25">
        <w:rPr>
          <w:rFonts w:ascii="Times New Roman" w:hAnsi="Times New Roman" w:cs="Times New Roman"/>
          <w:sz w:val="24"/>
          <w:szCs w:val="24"/>
        </w:rPr>
        <w:t xml:space="preserve">an </w:t>
      </w:r>
      <w:r w:rsidRPr="00776387">
        <w:rPr>
          <w:rFonts w:ascii="Times New Roman" w:hAnsi="Times New Roman" w:cs="Times New Roman"/>
          <w:sz w:val="24"/>
          <w:szCs w:val="24"/>
        </w:rPr>
        <w:t xml:space="preserve">yöntemler objektif ve sübjektif yöntemler olarak ikiye ayrılmaktadır. Kriter </w:t>
      </w:r>
      <w:r w:rsidR="001D553A" w:rsidRPr="00776387">
        <w:rPr>
          <w:rFonts w:ascii="Times New Roman" w:hAnsi="Times New Roman" w:cs="Times New Roman"/>
          <w:sz w:val="24"/>
          <w:szCs w:val="24"/>
        </w:rPr>
        <w:t>önem</w:t>
      </w:r>
      <w:r w:rsidRPr="00776387">
        <w:rPr>
          <w:rFonts w:ascii="Times New Roman" w:hAnsi="Times New Roman" w:cs="Times New Roman"/>
          <w:sz w:val="24"/>
          <w:szCs w:val="24"/>
        </w:rPr>
        <w:t xml:space="preserve"> ağırlıkları belirlenirken karar verici</w:t>
      </w:r>
      <w:r w:rsidR="001D553A" w:rsidRPr="00776387">
        <w:rPr>
          <w:rFonts w:ascii="Times New Roman" w:hAnsi="Times New Roman" w:cs="Times New Roman"/>
          <w:sz w:val="24"/>
          <w:szCs w:val="24"/>
        </w:rPr>
        <w:t xml:space="preserve">nin fikir ve </w:t>
      </w:r>
      <w:r w:rsidR="00664072">
        <w:rPr>
          <w:rFonts w:ascii="Times New Roman" w:hAnsi="Times New Roman" w:cs="Times New Roman"/>
          <w:sz w:val="24"/>
          <w:szCs w:val="24"/>
        </w:rPr>
        <w:t xml:space="preserve">yargılarına </w:t>
      </w:r>
      <w:r w:rsidR="001D553A" w:rsidRPr="00776387">
        <w:rPr>
          <w:rFonts w:ascii="Times New Roman" w:hAnsi="Times New Roman" w:cs="Times New Roman"/>
          <w:sz w:val="24"/>
          <w:szCs w:val="24"/>
        </w:rPr>
        <w:t>dayalı yöntemler sübjektif yöntemlerdir.</w:t>
      </w:r>
      <w:r w:rsidR="00E92A29" w:rsidRPr="00776387">
        <w:rPr>
          <w:rFonts w:ascii="Times New Roman" w:hAnsi="Times New Roman" w:cs="Times New Roman"/>
          <w:sz w:val="24"/>
          <w:szCs w:val="24"/>
        </w:rPr>
        <w:t xml:space="preserve"> </w:t>
      </w:r>
      <w:r w:rsidR="001D553A" w:rsidRPr="00776387">
        <w:rPr>
          <w:rFonts w:ascii="Times New Roman" w:hAnsi="Times New Roman" w:cs="Times New Roman"/>
          <w:sz w:val="24"/>
          <w:szCs w:val="24"/>
        </w:rPr>
        <w:t>Karar vericinin yargıların</w:t>
      </w:r>
      <w:r w:rsidR="00664072">
        <w:rPr>
          <w:rFonts w:ascii="Times New Roman" w:hAnsi="Times New Roman" w:cs="Times New Roman"/>
          <w:sz w:val="24"/>
          <w:szCs w:val="24"/>
        </w:rPr>
        <w:t>a</w:t>
      </w:r>
      <w:r w:rsidR="001D553A" w:rsidRPr="00776387">
        <w:rPr>
          <w:rFonts w:ascii="Times New Roman" w:hAnsi="Times New Roman" w:cs="Times New Roman"/>
          <w:sz w:val="24"/>
          <w:szCs w:val="24"/>
        </w:rPr>
        <w:t xml:space="preserve"> başvurulmadan karar matrisinden hareketle </w:t>
      </w:r>
      <w:proofErr w:type="gramStart"/>
      <w:r w:rsidR="001D553A" w:rsidRPr="00776387">
        <w:rPr>
          <w:rFonts w:ascii="Times New Roman" w:hAnsi="Times New Roman" w:cs="Times New Roman"/>
          <w:sz w:val="24"/>
          <w:szCs w:val="24"/>
        </w:rPr>
        <w:t>kriter</w:t>
      </w:r>
      <w:proofErr w:type="gramEnd"/>
      <w:r w:rsidR="001D553A" w:rsidRPr="00776387">
        <w:rPr>
          <w:rFonts w:ascii="Times New Roman" w:hAnsi="Times New Roman" w:cs="Times New Roman"/>
          <w:sz w:val="24"/>
          <w:szCs w:val="24"/>
        </w:rPr>
        <w:t xml:space="preserve"> önem ağırlıklarının belirlendiği yöntemler ise objektif yöntemlerdir. </w:t>
      </w:r>
      <w:r w:rsidR="006A5614">
        <w:rPr>
          <w:rFonts w:ascii="Times New Roman" w:hAnsi="Times New Roman" w:cs="Times New Roman"/>
          <w:sz w:val="24"/>
          <w:szCs w:val="24"/>
        </w:rPr>
        <w:t xml:space="preserve">Bu bölümde iş yapma kolaylığının belirlemede kullanılan </w:t>
      </w:r>
      <w:proofErr w:type="gramStart"/>
      <w:r w:rsidR="006A5614">
        <w:rPr>
          <w:rFonts w:ascii="Times New Roman" w:hAnsi="Times New Roman" w:cs="Times New Roman"/>
          <w:sz w:val="24"/>
          <w:szCs w:val="24"/>
        </w:rPr>
        <w:t>k</w:t>
      </w:r>
      <w:r w:rsidR="00265B25">
        <w:rPr>
          <w:rFonts w:ascii="Times New Roman" w:hAnsi="Times New Roman" w:cs="Times New Roman"/>
          <w:sz w:val="24"/>
          <w:szCs w:val="24"/>
        </w:rPr>
        <w:t>riter</w:t>
      </w:r>
      <w:r w:rsidR="00B004B0">
        <w:rPr>
          <w:rFonts w:ascii="Times New Roman" w:hAnsi="Times New Roman" w:cs="Times New Roman"/>
          <w:sz w:val="24"/>
          <w:szCs w:val="24"/>
        </w:rPr>
        <w:t>lerin</w:t>
      </w:r>
      <w:proofErr w:type="gramEnd"/>
      <w:r w:rsidR="00B004B0">
        <w:rPr>
          <w:rFonts w:ascii="Times New Roman" w:hAnsi="Times New Roman" w:cs="Times New Roman"/>
          <w:sz w:val="24"/>
          <w:szCs w:val="24"/>
        </w:rPr>
        <w:t xml:space="preserve"> önem ağırlıkları belirlenmiş</w:t>
      </w:r>
      <w:r w:rsidR="006A5614">
        <w:rPr>
          <w:rFonts w:ascii="Times New Roman" w:hAnsi="Times New Roman" w:cs="Times New Roman"/>
          <w:sz w:val="24"/>
          <w:szCs w:val="24"/>
        </w:rPr>
        <w:t xml:space="preserve"> ve daha sonra </w:t>
      </w:r>
      <w:r w:rsidR="007A77FE">
        <w:rPr>
          <w:rFonts w:ascii="Times New Roman" w:hAnsi="Times New Roman" w:cs="Times New Roman"/>
          <w:sz w:val="24"/>
          <w:szCs w:val="24"/>
        </w:rPr>
        <w:t>Avrupa ve Orta Asya ülke</w:t>
      </w:r>
      <w:r w:rsidR="00265B25">
        <w:rPr>
          <w:rFonts w:ascii="Times New Roman" w:hAnsi="Times New Roman" w:cs="Times New Roman"/>
          <w:sz w:val="24"/>
          <w:szCs w:val="24"/>
        </w:rPr>
        <w:t xml:space="preserve"> ekonomileri iş yapma kolaylığı bakımından </w:t>
      </w:r>
      <w:r w:rsidR="007A77FE">
        <w:rPr>
          <w:rFonts w:ascii="Times New Roman" w:hAnsi="Times New Roman" w:cs="Times New Roman"/>
          <w:sz w:val="24"/>
          <w:szCs w:val="24"/>
        </w:rPr>
        <w:t xml:space="preserve">EDAS yöntemi ile </w:t>
      </w:r>
      <w:r w:rsidR="00265B25">
        <w:rPr>
          <w:rFonts w:ascii="Times New Roman" w:hAnsi="Times New Roman" w:cs="Times New Roman"/>
          <w:sz w:val="24"/>
          <w:szCs w:val="24"/>
        </w:rPr>
        <w:t xml:space="preserve">sıralanmıştır. </w:t>
      </w:r>
    </w:p>
    <w:p w:rsidR="00133F9A" w:rsidRDefault="00FD553A" w:rsidP="00776387">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Avrupa ve Orta Asya ülkelerinin </w:t>
      </w:r>
      <w:r w:rsidRPr="00776387">
        <w:rPr>
          <w:rFonts w:ascii="Times New Roman" w:hAnsi="Times New Roman" w:cs="Times New Roman"/>
          <w:sz w:val="24"/>
          <w:szCs w:val="24"/>
        </w:rPr>
        <w:t>201</w:t>
      </w:r>
      <w:r>
        <w:rPr>
          <w:rFonts w:ascii="Times New Roman" w:hAnsi="Times New Roman" w:cs="Times New Roman"/>
          <w:sz w:val="24"/>
          <w:szCs w:val="24"/>
        </w:rPr>
        <w:t>6</w:t>
      </w:r>
      <w:r w:rsidRPr="00776387">
        <w:rPr>
          <w:rFonts w:ascii="Times New Roman" w:hAnsi="Times New Roman" w:cs="Times New Roman"/>
          <w:sz w:val="24"/>
          <w:szCs w:val="24"/>
        </w:rPr>
        <w:t xml:space="preserve">-2020 yılları arasındaki iş yapma endeksi </w:t>
      </w:r>
      <w:r>
        <w:rPr>
          <w:rFonts w:ascii="Times New Roman" w:hAnsi="Times New Roman" w:cs="Times New Roman"/>
          <w:sz w:val="24"/>
          <w:szCs w:val="24"/>
        </w:rPr>
        <w:t xml:space="preserve">bakımından </w:t>
      </w:r>
      <w:r w:rsidRPr="00776387">
        <w:rPr>
          <w:rFonts w:ascii="Times New Roman" w:hAnsi="Times New Roman" w:cs="Times New Roman"/>
          <w:sz w:val="24"/>
          <w:szCs w:val="24"/>
        </w:rPr>
        <w:t xml:space="preserve">analiz edilmiştir.  </w:t>
      </w:r>
      <w:r w:rsidR="00133F9A">
        <w:rPr>
          <w:rFonts w:ascii="Times New Roman" w:hAnsi="Times New Roman" w:cs="Times New Roman"/>
          <w:sz w:val="24"/>
          <w:szCs w:val="24"/>
        </w:rPr>
        <w:t xml:space="preserve">Avrupa ve Orta Asya ülkelerinin değerlendirilmesinde Dünya bankasının kullanılan </w:t>
      </w:r>
      <w:proofErr w:type="gramStart"/>
      <w:r w:rsidR="00133F9A">
        <w:rPr>
          <w:rFonts w:ascii="Times New Roman" w:hAnsi="Times New Roman" w:cs="Times New Roman"/>
          <w:sz w:val="24"/>
          <w:szCs w:val="24"/>
        </w:rPr>
        <w:t>kriterlerin</w:t>
      </w:r>
      <w:proofErr w:type="gramEnd"/>
      <w:r w:rsidR="00133F9A">
        <w:rPr>
          <w:rFonts w:ascii="Times New Roman" w:hAnsi="Times New Roman" w:cs="Times New Roman"/>
          <w:sz w:val="24"/>
          <w:szCs w:val="24"/>
        </w:rPr>
        <w:t xml:space="preserve"> eşit ağırlıklı olarak kabul edilmesi yaklaşımı dışında her bir </w:t>
      </w:r>
      <w:r w:rsidR="00DC1E81">
        <w:rPr>
          <w:rFonts w:ascii="Times New Roman" w:hAnsi="Times New Roman" w:cs="Times New Roman"/>
          <w:sz w:val="24"/>
          <w:szCs w:val="24"/>
        </w:rPr>
        <w:t>kriterlerin</w:t>
      </w:r>
      <w:r w:rsidR="00133F9A">
        <w:rPr>
          <w:rFonts w:ascii="Times New Roman" w:hAnsi="Times New Roman" w:cs="Times New Roman"/>
          <w:sz w:val="24"/>
          <w:szCs w:val="24"/>
        </w:rPr>
        <w:t xml:space="preserve"> önem önceliklerinin E</w:t>
      </w:r>
      <w:r w:rsidR="00DC1E81">
        <w:rPr>
          <w:rFonts w:ascii="Times New Roman" w:hAnsi="Times New Roman" w:cs="Times New Roman"/>
          <w:sz w:val="24"/>
          <w:szCs w:val="24"/>
        </w:rPr>
        <w:t xml:space="preserve">NTROPİ yöntemi ile belirlenmesi yaklaşımı kullanılmıştır. Daha sonra EDAS yöntemi ile ülkeler sıralanarak değerlendirilmiştir.  </w:t>
      </w:r>
    </w:p>
    <w:p w:rsidR="00355690" w:rsidRPr="00776387" w:rsidRDefault="00FF0499" w:rsidP="00090EA0">
      <w:pPr>
        <w:pStyle w:val="MTDisplayEquation"/>
        <w:tabs>
          <w:tab w:val="clear" w:pos="4540"/>
        </w:tabs>
        <w:spacing w:before="240" w:after="120" w:line="240" w:lineRule="auto"/>
        <w:ind w:firstLine="709"/>
        <w:rPr>
          <w:b/>
        </w:rPr>
      </w:pPr>
      <w:r w:rsidRPr="00776387">
        <w:rPr>
          <w:b/>
        </w:rPr>
        <w:t>3</w:t>
      </w:r>
      <w:r w:rsidR="008B15BD" w:rsidRPr="00776387">
        <w:rPr>
          <w:b/>
        </w:rPr>
        <w:t xml:space="preserve">.1. </w:t>
      </w:r>
      <w:proofErr w:type="spellStart"/>
      <w:r w:rsidR="006D03AD" w:rsidRPr="00776387">
        <w:rPr>
          <w:b/>
        </w:rPr>
        <w:t>Entropi</w:t>
      </w:r>
      <w:proofErr w:type="spellEnd"/>
      <w:r w:rsidR="006D03AD" w:rsidRPr="00776387">
        <w:rPr>
          <w:b/>
        </w:rPr>
        <w:t xml:space="preserve"> </w:t>
      </w:r>
      <w:r w:rsidR="006D03AD">
        <w:rPr>
          <w:b/>
        </w:rPr>
        <w:t>Yöntemi</w:t>
      </w:r>
    </w:p>
    <w:p w:rsidR="00355690" w:rsidRPr="00776387" w:rsidRDefault="008B15BD" w:rsidP="00776387">
      <w:pPr>
        <w:pStyle w:val="MTDisplayEquation"/>
        <w:spacing w:after="120" w:line="240" w:lineRule="auto"/>
      </w:pPr>
      <w:r w:rsidRPr="00776387">
        <w:t xml:space="preserve">   </w:t>
      </w:r>
      <w:proofErr w:type="spellStart"/>
      <w:r w:rsidR="003811E9">
        <w:t>Shannon</w:t>
      </w:r>
      <w:proofErr w:type="spellEnd"/>
      <w:r w:rsidR="003811E9">
        <w:t xml:space="preserve"> ve </w:t>
      </w:r>
      <w:proofErr w:type="spellStart"/>
      <w:r w:rsidR="003811E9">
        <w:t>Weaver</w:t>
      </w:r>
      <w:proofErr w:type="spellEnd"/>
      <w:r w:rsidR="003811E9">
        <w:t>(1948</w:t>
      </w:r>
      <w:r w:rsidR="007B1C3F">
        <w:t xml:space="preserve">) tarafından önerilen ve </w:t>
      </w:r>
      <w:proofErr w:type="spellStart"/>
      <w:r w:rsidR="007B1C3F">
        <w:t>Zeleny</w:t>
      </w:r>
      <w:proofErr w:type="spellEnd"/>
      <w:r w:rsidR="007B1C3F">
        <w:t xml:space="preserve">(1982) tarafından </w:t>
      </w:r>
      <w:proofErr w:type="gramStart"/>
      <w:r w:rsidR="007B1C3F">
        <w:t>kriterlerin</w:t>
      </w:r>
      <w:proofErr w:type="gramEnd"/>
      <w:r w:rsidR="007B1C3F">
        <w:t xml:space="preserve"> önem ağırlıklarının belirlenmesinde uygulanan </w:t>
      </w:r>
      <w:proofErr w:type="spellStart"/>
      <w:r w:rsidR="007B1C3F">
        <w:t>E</w:t>
      </w:r>
      <w:r w:rsidR="001A2565">
        <w:t>ntropi</w:t>
      </w:r>
      <w:proofErr w:type="spellEnd"/>
      <w:r w:rsidR="001A2565">
        <w:t xml:space="preserve"> b</w:t>
      </w:r>
      <w:r w:rsidR="007B1C3F">
        <w:t xml:space="preserve">elirsizliğin bir ölçüsü olarak </w:t>
      </w:r>
      <w:r w:rsidR="001A2565">
        <w:t xml:space="preserve">ifade edilmektedir. </w:t>
      </w:r>
      <w:proofErr w:type="spellStart"/>
      <w:r w:rsidR="001A2565">
        <w:t>Entropi</w:t>
      </w:r>
      <w:proofErr w:type="spellEnd"/>
      <w:r w:rsidR="001A2565">
        <w:t xml:space="preserve"> olasılık teorisini kullanarak bilgilerdeki belirsizliği belirle</w:t>
      </w:r>
      <w:r w:rsidR="00A4291C">
        <w:t xml:space="preserve">r. Geniş bir dağılım daha keskin bir dağlıma göre daha fazla belirsizliği ifade eder. Karar matrisindeki değerlerin dağılımı </w:t>
      </w:r>
      <w:proofErr w:type="gramStart"/>
      <w:r w:rsidR="00A4291C">
        <w:t>kriter</w:t>
      </w:r>
      <w:proofErr w:type="gramEnd"/>
      <w:r w:rsidR="00A4291C">
        <w:t xml:space="preserve"> ağırlıklarının belirlenmesinde</w:t>
      </w:r>
      <w:r w:rsidR="005B1F59">
        <w:t xml:space="preserve"> kullanılır</w:t>
      </w:r>
      <w:r w:rsidR="005B1F59">
        <w:fldChar w:fldCharType="begin" w:fldLock="1"/>
      </w:r>
      <w:r w:rsidR="00621740">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approach.","author":[{"dropping-particle":"","family":"Oktaviani.J","given":"","non-dropping-particle":"","parse-names":false,"suffix":""}],"container-title":"Sereal Untuk","id":"ITEM-1","issue":"1","issued":{"date-parts":[["2018"]]},"number-of-pages":"51","title":"Decision Making in the Manufacturing Environment","type":"book","volume":"51"},"uris":["http://www.mendeley.com/documents/?uuid=0db22d0a-80fb-4304-8328-a780e0e16ab2"]},{"id":"ITEM-2","itemData":{"author":[{"dropping-particle":"","family":"ÖZMETE","given":"Emine","non-dropping-particle":"","parse-names":false,"suffix":""}],"container-title":"C.Ü. İktisadi ve İdari Bilimler Dergisi","id":"ITEM-2","issue":"1","issued":{"date-parts":[["2016"]]},"page":"243-264","title":"Yaşli Bakiİşi̇ni̇nPsi̇ko-SosyaRi̇ski̇: Kurumsal Yaşli Bakiminda Çalişanlarin StreNedenleri̇ni̇nTükenmi̇şli̇k VeİTatmi̇niDüzeyleri̇niDeğerlendi̇ri̇lmesi̇","type":"article","volume":"17"},"uris":["http://www.mendeley.com/documents/?uuid=c14a78f7-edea-4a8f-8e35-298cfa2a2311"]}],"mendeley":{"formattedCitation":"(Oktaviani.J, 2018; ÖZMETE, 2016)","manualFormatting":"(Rao 2018;34)","plainTextFormattedCitation":"(Oktaviani.J, 2018; ÖZMETE, 2016)","previouslyFormattedCitation":"(Oktaviani.J, 2018; ÖZMETE, 2016)"},"properties":{"noteIndex":0},"schema":"https://github.com/citation-style-language/schema/raw/master/csl-citation.json"}</w:instrText>
      </w:r>
      <w:r w:rsidR="005B1F59">
        <w:fldChar w:fldCharType="separate"/>
      </w:r>
      <w:r w:rsidR="005B1F59" w:rsidRPr="005B1F59">
        <w:rPr>
          <w:noProof/>
        </w:rPr>
        <w:t>(</w:t>
      </w:r>
      <w:r w:rsidR="00237B96">
        <w:rPr>
          <w:noProof/>
        </w:rPr>
        <w:t>Rao 2</w:t>
      </w:r>
      <w:r w:rsidR="005B1F59" w:rsidRPr="005B1F59">
        <w:rPr>
          <w:noProof/>
        </w:rPr>
        <w:t>018;</w:t>
      </w:r>
      <w:r w:rsidR="00237B96">
        <w:rPr>
          <w:noProof/>
        </w:rPr>
        <w:t>34)</w:t>
      </w:r>
      <w:r w:rsidR="005B1F59">
        <w:fldChar w:fldCharType="end"/>
      </w:r>
      <w:r w:rsidR="00237B96">
        <w:t xml:space="preserve">. </w:t>
      </w:r>
      <w:r w:rsidR="003811E9">
        <w:t>Ç</w:t>
      </w:r>
      <w:r w:rsidR="00355690" w:rsidRPr="00776387">
        <w:t>ok kriterli karar verme yöntemlerinde</w:t>
      </w:r>
      <w:r w:rsidR="003811E9">
        <w:t>n</w:t>
      </w:r>
      <w:r w:rsidR="006D03AD">
        <w:t xml:space="preserve"> olan </w:t>
      </w:r>
      <w:proofErr w:type="spellStart"/>
      <w:r w:rsidR="006D03AD">
        <w:t>Entropi</w:t>
      </w:r>
      <w:proofErr w:type="spellEnd"/>
      <w:r w:rsidR="006D03AD">
        <w:t xml:space="preserve"> yöntemi</w:t>
      </w:r>
      <w:r w:rsidR="00355690" w:rsidRPr="00776387">
        <w:t xml:space="preserve"> </w:t>
      </w:r>
      <w:proofErr w:type="gramStart"/>
      <w:r w:rsidR="00355690" w:rsidRPr="00776387">
        <w:t>kriter</w:t>
      </w:r>
      <w:proofErr w:type="gramEnd"/>
      <w:r w:rsidR="00355690" w:rsidRPr="00776387">
        <w:t xml:space="preserve"> ağırlıklarının belirlenmesinde kullanılan objektif </w:t>
      </w:r>
      <w:proofErr w:type="spellStart"/>
      <w:r w:rsidR="00355690" w:rsidRPr="00776387">
        <w:t>ağırlıklandırma</w:t>
      </w:r>
      <w:proofErr w:type="spellEnd"/>
      <w:r w:rsidR="00355690" w:rsidRPr="00776387">
        <w:t xml:space="preserve"> yöntemleri arasındadır.</w:t>
      </w:r>
      <w:r w:rsidR="00A21187">
        <w:t xml:space="preserve"> </w:t>
      </w:r>
      <w:proofErr w:type="spellStart"/>
      <w:r w:rsidR="00A21187">
        <w:t>Entropi</w:t>
      </w:r>
      <w:proofErr w:type="spellEnd"/>
      <w:r w:rsidR="00A21187">
        <w:t xml:space="preserve"> ne kadar yüksek olursa bilgi içeriği o kadar düşük olur</w:t>
      </w:r>
      <w:r w:rsidR="00A21187">
        <w:fldChar w:fldCharType="begin" w:fldLock="1"/>
      </w:r>
      <w:r w:rsidR="008C2B3F">
        <w:instrText>ADDIN CSL_CITATION {"citationItems":[{"id":"ITEM-1","itemData":{"ISBN":"978-3-030-02725-4","abstract":"This book examines multiple criteria decision making (MCDM) and presents the Sequential Interactive Modelling for Urban Systems (SIMUS) as a method to be used for strategic decision making. It emphasizes the necessity to take into account aspects related to real world scenarios and incorporating possible real life aspects for modelling. The book also highlights the use of sensitivity analysis and presents a method for using criteria marginal values instead of weights, which permits the drawing of curves that depicts the variations of the objective function due to variations of these marginal values. In this way it also gives quantitative values of the objective function allowing stakeholders to perform a comprehensive risk analysis for a solution when it is affected by exogenous variables. Strategic Approach in Multi-Criteria Decision Making: A Practical Guide for Complex Scenarios is divided into three parts. Part 1 is devoted to exploring the history and development of the discipline and the way it is currently used. It highlights drawbacks and problems that scholars have identified in different MCDM methods and techniques. Part 2 addresses best practices to assure quality MCDM process. Part 3 introduces the concept of Linear Programming and the proposed SIMUS method as techniques to deal with MCDM. It also includes case studies in order to help document and illustrate difficult concepts, especially related to demands from a scenario and also in their modelling. The decision making process can be a complex task, especially with multi-criteria problems. With large amounts of information, it can be an extremely difficult to make a rational decision, due to the number of intervening variables, their interrelationships, potential solutions that might exist, diverse objectives envisioned for a project, etc. The SIMUS method has been designed to offer a strategy to help organize, classify, and evaluate this information effectively.","author":[{"dropping-particle":"","family":"Munier","given":"Nolberto","non-dropping-particle":"","parse-names":false,"suffix":""},{"dropping-particle":"","family":"Hontoria","given":"Eloy","non-dropping-particle":"","parse-names":false,"suffix":""},{"dropping-particle":"","family":"Jiménez-Sáez","given":"Fernando","non-dropping-particle":"","parse-names":false,"suffix":""}],"id":"ITEM-1","issued":{"date-parts":[["2019"]]},"number-of-pages":"273","title":"Strategic Approach in Multi-Criteria Decision Making","type":"book","volume":"275"},"uris":["http://www.mendeley.com/documents/?uuid=789204cf-990f-4675-a49a-4ae747eb404c"]}],"mendeley":{"formattedCitation":"(Munier, Hontoria ve Jiménez-Sáez, 2019)","manualFormatting":"(Munier, vd. 2019:22)","plainTextFormattedCitation":"(Munier, Hontoria ve Jiménez-Sáez, 2019)","previouslyFormattedCitation":"(Munier, Hontoria ve Jiménez-Sáez, 2019)"},"properties":{"noteIndex":0},"schema":"https://github.com/citation-style-language/schema/raw/master/csl-citation.json"}</w:instrText>
      </w:r>
      <w:r w:rsidR="00A21187">
        <w:fldChar w:fldCharType="separate"/>
      </w:r>
      <w:r w:rsidR="00A21187" w:rsidRPr="00A21187">
        <w:rPr>
          <w:noProof/>
        </w:rPr>
        <w:t xml:space="preserve">(Munier, </w:t>
      </w:r>
      <w:r w:rsidR="00A21187">
        <w:rPr>
          <w:noProof/>
        </w:rPr>
        <w:t xml:space="preserve">vd. </w:t>
      </w:r>
      <w:r w:rsidR="00A21187" w:rsidRPr="00A21187">
        <w:rPr>
          <w:noProof/>
        </w:rPr>
        <w:t>2019</w:t>
      </w:r>
      <w:r w:rsidR="00130CCB">
        <w:rPr>
          <w:noProof/>
        </w:rPr>
        <w:t>:22</w:t>
      </w:r>
      <w:r w:rsidR="00A21187" w:rsidRPr="00A21187">
        <w:rPr>
          <w:noProof/>
        </w:rPr>
        <w:t>)</w:t>
      </w:r>
      <w:r w:rsidR="00A21187">
        <w:fldChar w:fldCharType="end"/>
      </w:r>
      <w:r w:rsidR="00130CCB">
        <w:t>.</w:t>
      </w:r>
      <w:r w:rsidR="00355690" w:rsidRPr="00776387">
        <w:t xml:space="preserve"> </w:t>
      </w:r>
      <w:proofErr w:type="spellStart"/>
      <w:r w:rsidR="00355690" w:rsidRPr="00776387">
        <w:t>Entropi</w:t>
      </w:r>
      <w:proofErr w:type="spellEnd"/>
      <w:r w:rsidR="00355690" w:rsidRPr="00776387">
        <w:t xml:space="preserve"> yönteminin işlem adımları aşağıdaki gibidi</w:t>
      </w:r>
      <w:r w:rsidR="00621740">
        <w:t>r</w:t>
      </w:r>
      <w:r w:rsidR="00621740">
        <w:fldChar w:fldCharType="begin" w:fldLock="1"/>
      </w:r>
      <w:r w:rsidR="00130CCB">
        <w:instrText>ADDIN CSL_CITATION {"citationItems":[{"id":"ITEM-1","itemData":{"DOI":"10.1016/C2014-0-03347-3","ISBN":"9780081005361","abstract":"Multi-criteria Decision Analysis for Supporting the Selection of Engineering Materials in Product Design, Second Edition, provides readers with tactics they can use to optimally select materials to satisfy complex design problems when they are faced with the vast range of materials available. Current approaches to materials selection range from the use of intuition and experience, to more formalized computer-based methods, such as electronic databases with search engines to facilitate the materials selection process. Recently, multi-criteria decision-making (MCDM) methods have been applied to materials selection, demonstrating significant capability for tackling complex design problems. This book describes the rapidly growing field of MCDM and its application to materials selection. It aids readers in producing successful designs by improving the decision-making process. This new edition updates and expands previous key topics, including new chapters on materials selection in the context of design problem-solving and multiple objective decision-making, also presenting a significant amount of additional case studies that will aid in the learning process. Describes the advantages of Quality Function Deployment (QFD) in the materials selection process through different case studies. Presents a methodology for multi-objective material design optimization that employs Design of Experiments coupled with Finite Element Analysis. Supplements existing quantitative methods of materials selection by allowing simultaneous consideration of design attributes, component configurations, and types of material. Provides a case study for simultaneous materials selection and geometrical optimization processes.","author":[{"dropping-particle":"","family":"Jahan","given":"Ali","non-dropping-particle":"","parse-names":false,"suffix":""},{"dropping-particle":"","family":"Edwards","given":"Kevin L.","non-dropping-particle":"","parse-names":false,"suffix":""},{"dropping-particle":"","family":"Bahraminasab","given":"Marjan","non-dropping-particle":"","parse-names":false,"suffix":""}],"container-title":"Multi-criteria Decision Analysis for Supporting the Selection of Engineering Materials in Product Design: Second Edition","id":"ITEM-1","issued":{"date-parts":[["2016"]]},"number-of-pages":"1-238","title":"Multi-criteria Decision Analysis for Supporting the Selection of Engineering Materials in Product Design: Second Edition","type":"book"},"uris":["http://www.mendeley.com/documents/?uuid=ecc6da6b-6420-43b0-b569-900a7a8569fa"]}],"mendeley":{"formattedCitation":"(Jahan, Edwards ve Bahraminasab, 2016)","manualFormatting":"(Jahan, 2016;Rao 2018; Munier vd 2019)","plainTextFormattedCitation":"(Jahan, Edwards ve Bahraminasab, 2016)","previouslyFormattedCitation":"(Jahan, Edwards ve Bahraminasab, 2016)"},"properties":{"noteIndex":0},"schema":"https://github.com/citation-style-language/schema/raw/master/csl-citation.json"}</w:instrText>
      </w:r>
      <w:r w:rsidR="00621740">
        <w:fldChar w:fldCharType="separate"/>
      </w:r>
      <w:r w:rsidR="00621740" w:rsidRPr="00621740">
        <w:rPr>
          <w:noProof/>
        </w:rPr>
        <w:t>(Jahan, 2016</w:t>
      </w:r>
      <w:r w:rsidR="00551CB3">
        <w:rPr>
          <w:noProof/>
        </w:rPr>
        <w:t>;Rao 2018;</w:t>
      </w:r>
      <w:r w:rsidR="00130CCB">
        <w:rPr>
          <w:noProof/>
        </w:rPr>
        <w:t xml:space="preserve"> Munier vd 2019</w:t>
      </w:r>
      <w:r w:rsidR="00621740" w:rsidRPr="00621740">
        <w:rPr>
          <w:noProof/>
        </w:rPr>
        <w:t>)</w:t>
      </w:r>
      <w:r w:rsidR="00621740">
        <w:fldChar w:fldCharType="end"/>
      </w:r>
      <w:r w:rsidR="00130CCB">
        <w:t>;</w:t>
      </w:r>
    </w:p>
    <w:p w:rsidR="00355690" w:rsidRPr="00776387" w:rsidRDefault="00355690" w:rsidP="00A02B25">
      <w:pPr>
        <w:spacing w:after="120" w:line="240" w:lineRule="auto"/>
        <w:ind w:firstLine="567"/>
        <w:rPr>
          <w:rFonts w:ascii="Times New Roman" w:hAnsi="Times New Roman" w:cs="Times New Roman"/>
          <w:sz w:val="24"/>
          <w:szCs w:val="24"/>
        </w:rPr>
      </w:pPr>
      <w:r w:rsidRPr="00776387">
        <w:rPr>
          <w:rFonts w:ascii="Times New Roman" w:hAnsi="Times New Roman" w:cs="Times New Roman"/>
          <w:b/>
          <w:sz w:val="24"/>
          <w:szCs w:val="24"/>
        </w:rPr>
        <w:t>Adım 1.</w:t>
      </w:r>
      <w:r w:rsidRPr="00776387">
        <w:rPr>
          <w:rFonts w:ascii="Times New Roman" w:hAnsi="Times New Roman" w:cs="Times New Roman"/>
          <w:sz w:val="24"/>
          <w:szCs w:val="24"/>
        </w:rPr>
        <w:t xml:space="preserve"> Karar matrisinin oluşturulması. Eşitlik 1 de </w:t>
      </w:r>
      <w:r w:rsidRPr="00776387">
        <w:rPr>
          <w:rFonts w:ascii="Times New Roman" w:eastAsiaTheme="minorEastAsia" w:hAnsi="Times New Roman" w:cs="Times New Roman"/>
          <w:position w:val="-14"/>
          <w:sz w:val="24"/>
          <w:szCs w:val="24"/>
        </w:rPr>
        <w:object w:dxaOrig="285" w:dyaOrig="3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pt;height:18.7pt" o:ole="">
            <v:imagedata r:id="rId6" o:title=""/>
          </v:shape>
          <o:OLEObject Type="Embed" ProgID="Equation.DSMT4" ShapeID="_x0000_i1025" DrawAspect="Content" ObjectID="_1695058030" r:id="rId7"/>
        </w:object>
      </w:r>
      <w:r w:rsidRPr="00776387">
        <w:rPr>
          <w:rFonts w:ascii="Times New Roman" w:hAnsi="Times New Roman" w:cs="Times New Roman"/>
          <w:sz w:val="24"/>
          <w:szCs w:val="24"/>
        </w:rPr>
        <w:t xml:space="preserve"> i. alternatifin j. kritere göre </w:t>
      </w:r>
      <w:proofErr w:type="gramStart"/>
      <w:r w:rsidRPr="00776387">
        <w:rPr>
          <w:rFonts w:ascii="Times New Roman" w:hAnsi="Times New Roman" w:cs="Times New Roman"/>
          <w:sz w:val="24"/>
          <w:szCs w:val="24"/>
        </w:rPr>
        <w:t>aldığı  değeri</w:t>
      </w:r>
      <w:proofErr w:type="gramEnd"/>
      <w:r w:rsidRPr="00776387">
        <w:rPr>
          <w:rFonts w:ascii="Times New Roman" w:hAnsi="Times New Roman" w:cs="Times New Roman"/>
          <w:sz w:val="24"/>
          <w:szCs w:val="24"/>
        </w:rPr>
        <w:t xml:space="preserve"> gösteren karar matrisi verilmiştir.  </w:t>
      </w:r>
    </w:p>
    <w:p w:rsidR="00355690" w:rsidRPr="00776387" w:rsidRDefault="00C01C24" w:rsidP="00776387">
      <w:pPr>
        <w:pStyle w:val="MTDisplayEquation"/>
        <w:spacing w:after="120" w:line="240" w:lineRule="auto"/>
        <w:ind w:left="709" w:firstLine="709"/>
        <w:rPr>
          <w:b/>
        </w:rPr>
      </w:pPr>
      <w:r w:rsidRPr="00776387">
        <w:rPr>
          <w:rFonts w:eastAsiaTheme="minorEastAsia"/>
          <w:b/>
          <w:position w:val="-68"/>
        </w:rPr>
        <w:object w:dxaOrig="7620" w:dyaOrig="1485">
          <v:shape id="_x0000_i1026" type="#_x0000_t75" style="width:380.55pt;height:67.3pt" o:ole="">
            <v:imagedata r:id="rId8" o:title=""/>
          </v:shape>
          <o:OLEObject Type="Embed" ProgID="Equation.DSMT4" ShapeID="_x0000_i1026" DrawAspect="Content" ObjectID="_1695058031" r:id="rId9"/>
        </w:object>
      </w:r>
    </w:p>
    <w:p w:rsidR="00355690" w:rsidRPr="00776387" w:rsidRDefault="00355690" w:rsidP="00776387">
      <w:pPr>
        <w:pStyle w:val="MTDisplayEquation"/>
        <w:spacing w:after="120" w:line="240" w:lineRule="auto"/>
        <w:ind w:left="709" w:firstLine="0"/>
        <w:rPr>
          <w:b/>
        </w:rPr>
      </w:pPr>
      <w:r w:rsidRPr="00776387">
        <w:rPr>
          <w:b/>
        </w:rPr>
        <w:t xml:space="preserve">Adım 2. </w:t>
      </w:r>
      <w:r w:rsidRPr="00776387">
        <w:t xml:space="preserve">Karar matrisinin </w:t>
      </w:r>
      <w:proofErr w:type="spellStart"/>
      <w:r w:rsidRPr="00776387">
        <w:t>normalize</w:t>
      </w:r>
      <w:proofErr w:type="spellEnd"/>
      <w:r w:rsidRPr="00776387">
        <w:t xml:space="preserve"> edilmesi.</w:t>
      </w:r>
      <w:r w:rsidRPr="00776387">
        <w:rPr>
          <w:b/>
        </w:rPr>
        <w:t xml:space="preserve"> </w:t>
      </w:r>
    </w:p>
    <w:p w:rsidR="00355690" w:rsidRPr="00776387" w:rsidRDefault="004F604A" w:rsidP="00776387">
      <w:pPr>
        <w:pStyle w:val="MTDisplayEquation"/>
        <w:spacing w:after="120" w:line="240" w:lineRule="auto"/>
        <w:ind w:left="1416" w:firstLine="0"/>
        <w:rPr>
          <w:b/>
        </w:rPr>
      </w:pPr>
      <w:r w:rsidRPr="00776387">
        <w:rPr>
          <w:rFonts w:eastAsiaTheme="minorEastAsia"/>
          <w:b/>
          <w:position w:val="-60"/>
        </w:rPr>
        <w:object w:dxaOrig="7680" w:dyaOrig="1020">
          <v:shape id="_x0000_i1027" type="#_x0000_t75" style="width:383.4pt;height:51.45pt" o:ole="">
            <v:imagedata r:id="rId10" o:title=""/>
          </v:shape>
          <o:OLEObject Type="Embed" ProgID="Equation.DSMT4" ShapeID="_x0000_i1027" DrawAspect="Content" ObjectID="_1695058032" r:id="rId11"/>
        </w:object>
      </w:r>
    </w:p>
    <w:p w:rsidR="00355690" w:rsidRPr="00776387" w:rsidRDefault="00A02B25" w:rsidP="00A02B25">
      <w:pPr>
        <w:pStyle w:val="MTDisplayEquation"/>
        <w:spacing w:after="120" w:line="240" w:lineRule="auto"/>
        <w:rPr>
          <w:b/>
        </w:rPr>
      </w:pPr>
      <w:r>
        <w:rPr>
          <w:b/>
        </w:rPr>
        <w:tab/>
      </w:r>
      <w:r w:rsidR="00355690" w:rsidRPr="00776387">
        <w:rPr>
          <w:b/>
        </w:rPr>
        <w:t xml:space="preserve">Adım 3. </w:t>
      </w:r>
      <w:r w:rsidR="00355690" w:rsidRPr="00776387">
        <w:t xml:space="preserve">Karar matrisinin </w:t>
      </w:r>
      <w:proofErr w:type="spellStart"/>
      <w:r w:rsidR="00355690" w:rsidRPr="00776387">
        <w:t>normalize</w:t>
      </w:r>
      <w:proofErr w:type="spellEnd"/>
      <w:r w:rsidR="00355690" w:rsidRPr="00776387">
        <w:t xml:space="preserve"> edilmesinden sonra formül (3) kullanılarak </w:t>
      </w:r>
      <w:proofErr w:type="spellStart"/>
      <w:r w:rsidR="00355690" w:rsidRPr="00776387">
        <w:t>Entropi</w:t>
      </w:r>
      <w:proofErr w:type="spellEnd"/>
      <w:r w:rsidR="00355690" w:rsidRPr="00776387">
        <w:t xml:space="preserve"> değerleri bulunur.</w:t>
      </w:r>
      <w:r w:rsidR="00355690" w:rsidRPr="00776387">
        <w:rPr>
          <w:b/>
        </w:rPr>
        <w:t xml:space="preserve"> </w:t>
      </w:r>
    </w:p>
    <w:p w:rsidR="00355690" w:rsidRPr="00776387" w:rsidRDefault="00355690" w:rsidP="00776387">
      <w:pPr>
        <w:spacing w:after="120" w:line="240" w:lineRule="auto"/>
        <w:ind w:left="1416"/>
        <w:rPr>
          <w:rFonts w:ascii="Times New Roman" w:eastAsia="Calibri" w:hAnsi="Times New Roman" w:cs="Times New Roman"/>
          <w:sz w:val="24"/>
          <w:szCs w:val="24"/>
        </w:rPr>
      </w:pPr>
      <w:r w:rsidRPr="00776387">
        <w:rPr>
          <w:rFonts w:ascii="Times New Roman" w:eastAsia="Calibri" w:hAnsi="Times New Roman" w:cs="Times New Roman"/>
          <w:position w:val="-28"/>
          <w:sz w:val="24"/>
          <w:szCs w:val="24"/>
        </w:rPr>
        <w:object w:dxaOrig="7740" w:dyaOrig="750">
          <v:shape id="_x0000_i1028" type="#_x0000_t75" style="width:387.1pt;height:37.4pt" o:ole="">
            <v:imagedata r:id="rId12" o:title=""/>
          </v:shape>
          <o:OLEObject Type="Embed" ProgID="Equation.DSMT4" ShapeID="_x0000_i1028" DrawAspect="Content" ObjectID="_1695058033" r:id="rId13"/>
        </w:object>
      </w:r>
    </w:p>
    <w:p w:rsidR="00355690" w:rsidRPr="00776387" w:rsidRDefault="00355690" w:rsidP="00A02B25">
      <w:pPr>
        <w:spacing w:after="120" w:line="240" w:lineRule="auto"/>
        <w:ind w:firstLine="708"/>
        <w:jc w:val="both"/>
        <w:rPr>
          <w:rFonts w:ascii="Times New Roman" w:eastAsia="Calibri" w:hAnsi="Times New Roman" w:cs="Times New Roman"/>
          <w:sz w:val="24"/>
          <w:szCs w:val="24"/>
          <w:lang w:eastAsia="tr-TR"/>
        </w:rPr>
      </w:pPr>
      <w:r w:rsidRPr="00776387">
        <w:rPr>
          <w:rFonts w:ascii="Times New Roman" w:eastAsia="Calibri" w:hAnsi="Times New Roman" w:cs="Times New Roman"/>
          <w:b/>
          <w:sz w:val="24"/>
          <w:szCs w:val="24"/>
        </w:rPr>
        <w:t xml:space="preserve">Adım 4. </w:t>
      </w:r>
      <w:proofErr w:type="spellStart"/>
      <w:r w:rsidRPr="00776387">
        <w:rPr>
          <w:rFonts w:ascii="Times New Roman" w:eastAsia="Calibri" w:hAnsi="Times New Roman" w:cs="Times New Roman"/>
          <w:sz w:val="24"/>
          <w:szCs w:val="24"/>
        </w:rPr>
        <w:t>Entropi</w:t>
      </w:r>
      <w:proofErr w:type="spellEnd"/>
      <w:r w:rsidRPr="00776387">
        <w:rPr>
          <w:rFonts w:ascii="Times New Roman" w:eastAsia="Calibri" w:hAnsi="Times New Roman" w:cs="Times New Roman"/>
          <w:sz w:val="24"/>
          <w:szCs w:val="24"/>
        </w:rPr>
        <w:t xml:space="preserve"> derecesinin sapma oranı hesaplanır. Sapma oranı formül (4) kullanılarak hesaplanır. </w:t>
      </w:r>
    </w:p>
    <w:p w:rsidR="00355690" w:rsidRPr="00776387" w:rsidRDefault="008B15BD" w:rsidP="00776387">
      <w:pPr>
        <w:spacing w:after="120" w:line="240" w:lineRule="auto"/>
        <w:ind w:left="708" w:firstLine="708"/>
        <w:jc w:val="both"/>
        <w:rPr>
          <w:rFonts w:ascii="Times New Roman" w:eastAsia="Calibri" w:hAnsi="Times New Roman" w:cs="Times New Roman"/>
          <w:sz w:val="24"/>
          <w:szCs w:val="24"/>
        </w:rPr>
      </w:pPr>
      <w:r w:rsidRPr="00776387">
        <w:rPr>
          <w:rFonts w:ascii="Times New Roman" w:eastAsia="Calibri" w:hAnsi="Times New Roman" w:cs="Times New Roman"/>
          <w:position w:val="-14"/>
          <w:sz w:val="24"/>
          <w:szCs w:val="24"/>
        </w:rPr>
        <w:object w:dxaOrig="7740" w:dyaOrig="375">
          <v:shape id="_x0000_i1029" type="#_x0000_t75" style="width:387.1pt;height:18.7pt" o:ole="">
            <v:imagedata r:id="rId14" o:title=""/>
          </v:shape>
          <o:OLEObject Type="Embed" ProgID="Equation.DSMT4" ShapeID="_x0000_i1029" DrawAspect="Content" ObjectID="_1695058034" r:id="rId15"/>
        </w:object>
      </w:r>
    </w:p>
    <w:p w:rsidR="00355690" w:rsidRPr="00776387" w:rsidRDefault="00355690" w:rsidP="00A02B25">
      <w:pPr>
        <w:spacing w:after="120" w:line="240" w:lineRule="auto"/>
        <w:ind w:firstLine="708"/>
        <w:jc w:val="both"/>
        <w:rPr>
          <w:rFonts w:ascii="Times New Roman" w:eastAsia="Calibri" w:hAnsi="Times New Roman" w:cs="Times New Roman"/>
          <w:sz w:val="24"/>
          <w:szCs w:val="24"/>
        </w:rPr>
      </w:pPr>
      <w:r w:rsidRPr="00776387">
        <w:rPr>
          <w:rFonts w:ascii="Times New Roman" w:eastAsia="Calibri" w:hAnsi="Times New Roman" w:cs="Times New Roman"/>
          <w:b/>
          <w:sz w:val="24"/>
          <w:szCs w:val="24"/>
        </w:rPr>
        <w:t>Adım 5.</w:t>
      </w:r>
      <w:r w:rsidRPr="00776387">
        <w:rPr>
          <w:rFonts w:ascii="Times New Roman" w:eastAsia="Calibri" w:hAnsi="Times New Roman" w:cs="Times New Roman"/>
          <w:sz w:val="24"/>
          <w:szCs w:val="24"/>
        </w:rPr>
        <w:t xml:space="preserve"> Kriterlerin önem ağırlıklarının bulunması. Önem ağırlıkları formül (5) kullanılarak hesaplanır. </w:t>
      </w:r>
    </w:p>
    <w:p w:rsidR="00355690" w:rsidRDefault="005054E3" w:rsidP="00776387">
      <w:pPr>
        <w:spacing w:after="120" w:line="240" w:lineRule="auto"/>
        <w:ind w:left="709" w:firstLine="708"/>
        <w:rPr>
          <w:rFonts w:ascii="Times New Roman" w:eastAsia="Calibri" w:hAnsi="Times New Roman" w:cs="Times New Roman"/>
          <w:sz w:val="24"/>
          <w:szCs w:val="24"/>
        </w:rPr>
      </w:pPr>
      <w:r w:rsidRPr="00776387">
        <w:rPr>
          <w:rFonts w:ascii="Times New Roman" w:eastAsia="Calibri" w:hAnsi="Times New Roman" w:cs="Times New Roman"/>
          <w:position w:val="-64"/>
          <w:sz w:val="24"/>
          <w:szCs w:val="24"/>
        </w:rPr>
        <w:object w:dxaOrig="7800" w:dyaOrig="1060">
          <v:shape id="_x0000_i1030" type="#_x0000_t75" style="width:388.05pt;height:53.3pt" o:ole="">
            <v:imagedata r:id="rId16" o:title=""/>
          </v:shape>
          <o:OLEObject Type="Embed" ProgID="Equation.DSMT4" ShapeID="_x0000_i1030" DrawAspect="Content" ObjectID="_1695058035" r:id="rId17"/>
        </w:object>
      </w:r>
    </w:p>
    <w:p w:rsidR="00355690" w:rsidRPr="00776387" w:rsidRDefault="004F604A" w:rsidP="00776387">
      <w:pPr>
        <w:pStyle w:val="MTDisplayEquation"/>
        <w:tabs>
          <w:tab w:val="clear" w:pos="4540"/>
          <w:tab w:val="center" w:pos="709"/>
        </w:tabs>
        <w:spacing w:after="120" w:line="240" w:lineRule="auto"/>
        <w:ind w:firstLine="0"/>
        <w:rPr>
          <w:b/>
        </w:rPr>
      </w:pPr>
      <w:r w:rsidRPr="00776387">
        <w:rPr>
          <w:b/>
        </w:rPr>
        <w:tab/>
        <w:t xml:space="preserve">            </w:t>
      </w:r>
      <w:r w:rsidR="00FF0499" w:rsidRPr="00776387">
        <w:rPr>
          <w:b/>
        </w:rPr>
        <w:t>3</w:t>
      </w:r>
      <w:r w:rsidRPr="00776387">
        <w:rPr>
          <w:b/>
        </w:rPr>
        <w:t xml:space="preserve">.2.  </w:t>
      </w:r>
      <w:r w:rsidR="00355690" w:rsidRPr="00776387">
        <w:rPr>
          <w:b/>
        </w:rPr>
        <w:t>EDAS</w:t>
      </w:r>
      <w:r w:rsidR="00D33EB4">
        <w:rPr>
          <w:b/>
        </w:rPr>
        <w:t xml:space="preserve"> Yöntemi</w:t>
      </w:r>
    </w:p>
    <w:p w:rsidR="00355690" w:rsidRPr="00776387" w:rsidRDefault="004F604A" w:rsidP="00776387">
      <w:pPr>
        <w:pStyle w:val="MTDisplayEquation"/>
        <w:spacing w:after="120" w:line="240" w:lineRule="auto"/>
        <w:ind w:firstLine="709"/>
      </w:pPr>
      <w:r w:rsidRPr="00776387">
        <w:tab/>
      </w:r>
      <w:r w:rsidR="00355690" w:rsidRPr="00776387">
        <w:t>EDAS</w:t>
      </w:r>
      <w:r w:rsidR="00437DFE">
        <w:t xml:space="preserve">(Evaluation </w:t>
      </w:r>
      <w:proofErr w:type="spellStart"/>
      <w:r w:rsidR="00437DFE">
        <w:t>based</w:t>
      </w:r>
      <w:proofErr w:type="spellEnd"/>
      <w:r w:rsidR="00437DFE">
        <w:t xml:space="preserve"> on </w:t>
      </w:r>
      <w:proofErr w:type="spellStart"/>
      <w:r w:rsidR="00437DFE">
        <w:t>Distance</w:t>
      </w:r>
      <w:proofErr w:type="spellEnd"/>
      <w:r w:rsidR="00437DFE">
        <w:t xml:space="preserve"> </w:t>
      </w:r>
      <w:proofErr w:type="spellStart"/>
      <w:r w:rsidR="00437DFE">
        <w:t>from</w:t>
      </w:r>
      <w:proofErr w:type="spellEnd"/>
      <w:r w:rsidR="00437DFE">
        <w:t xml:space="preserve"> </w:t>
      </w:r>
      <w:proofErr w:type="spellStart"/>
      <w:r w:rsidR="00437DFE">
        <w:t>Avarage</w:t>
      </w:r>
      <w:proofErr w:type="spellEnd"/>
      <w:r w:rsidR="00437DFE">
        <w:t xml:space="preserve"> Solution) </w:t>
      </w:r>
      <w:r w:rsidR="00355690" w:rsidRPr="00776387">
        <w:t xml:space="preserve">ÇKKV yöntemlerinden biri olup </w:t>
      </w:r>
      <w:proofErr w:type="spellStart"/>
      <w:r w:rsidR="00355690" w:rsidRPr="00776387">
        <w:t>Ghorabaee</w:t>
      </w:r>
      <w:proofErr w:type="spellEnd"/>
      <w:r w:rsidR="00355690" w:rsidRPr="00776387">
        <w:t xml:space="preserve">, </w:t>
      </w:r>
      <w:proofErr w:type="spellStart"/>
      <w:r w:rsidR="00355690" w:rsidRPr="00776387">
        <w:t>Zavadskas</w:t>
      </w:r>
      <w:proofErr w:type="spellEnd"/>
      <w:r w:rsidR="00355690" w:rsidRPr="00776387">
        <w:t xml:space="preserve">, </w:t>
      </w:r>
      <w:proofErr w:type="spellStart"/>
      <w:r w:rsidR="00355690" w:rsidRPr="00776387">
        <w:t>Olfat</w:t>
      </w:r>
      <w:proofErr w:type="spellEnd"/>
      <w:r w:rsidR="00355690" w:rsidRPr="00776387">
        <w:t xml:space="preserve"> ve </w:t>
      </w:r>
      <w:proofErr w:type="spellStart"/>
      <w:r w:rsidR="00355690" w:rsidRPr="00776387">
        <w:t>Turskis</w:t>
      </w:r>
      <w:proofErr w:type="spellEnd"/>
      <w:r w:rsidR="00355690" w:rsidRPr="00776387">
        <w:t xml:space="preserve"> (2015) tarafından </w:t>
      </w:r>
      <w:proofErr w:type="gramStart"/>
      <w:r w:rsidR="00355690" w:rsidRPr="00776387">
        <w:t>literatüre</w:t>
      </w:r>
      <w:proofErr w:type="gramEnd"/>
      <w:r w:rsidR="00355690" w:rsidRPr="00776387">
        <w:t xml:space="preserve"> kazandırılmıştır. </w:t>
      </w:r>
      <w:r w:rsidR="00355690" w:rsidRPr="00776387">
        <w:lastRenderedPageBreak/>
        <w:t>Bu ya</w:t>
      </w:r>
      <w:r w:rsidR="00437DFE">
        <w:t>klaşım, karar verme sürecinde</w:t>
      </w:r>
      <w:r w:rsidR="00355690" w:rsidRPr="00776387">
        <w:t xml:space="preserve"> </w:t>
      </w:r>
      <w:r w:rsidR="00437DFE">
        <w:t>en uygun alternatifin</w:t>
      </w:r>
      <w:r w:rsidR="00355690" w:rsidRPr="00776387">
        <w:t xml:space="preserve"> belirlenmesinde ortalama çözüm uzaklığına dayalı değer</w:t>
      </w:r>
      <w:r w:rsidR="00FB53A4">
        <w:t>lendirmelerden faydalanmaktadır</w:t>
      </w:r>
      <w:r w:rsidR="00C572F6">
        <w:t xml:space="preserve">. EDAS yöntemi 2015 yılında </w:t>
      </w:r>
      <w:proofErr w:type="spellStart"/>
      <w:r w:rsidR="00C572F6">
        <w:t>Ghorabaee</w:t>
      </w:r>
      <w:proofErr w:type="spellEnd"/>
      <w:r w:rsidR="00C572F6">
        <w:t xml:space="preserve">, </w:t>
      </w:r>
      <w:proofErr w:type="spellStart"/>
      <w:r w:rsidR="00C572F6">
        <w:t>Zavadskas</w:t>
      </w:r>
      <w:proofErr w:type="spellEnd"/>
      <w:r w:rsidR="00C572F6">
        <w:t xml:space="preserve">, </w:t>
      </w:r>
      <w:proofErr w:type="spellStart"/>
      <w:r w:rsidR="00C572F6">
        <w:t>Olfat</w:t>
      </w:r>
      <w:proofErr w:type="spellEnd"/>
      <w:r w:rsidR="00C572F6">
        <w:t xml:space="preserve"> ve </w:t>
      </w:r>
      <w:proofErr w:type="spellStart"/>
      <w:r w:rsidR="00C572F6">
        <w:t>Turskis</w:t>
      </w:r>
      <w:proofErr w:type="spellEnd"/>
      <w:r w:rsidR="00C572F6">
        <w:t xml:space="preserve"> tarafından geliştirilmiştir</w:t>
      </w:r>
      <w:r w:rsidR="00F260DC">
        <w:t>. Yöntemin işlem adımları aşağı</w:t>
      </w:r>
      <w:r w:rsidR="00793736">
        <w:t>da</w:t>
      </w:r>
      <w:r w:rsidR="00F260DC">
        <w:t xml:space="preserve"> açıklanmıştır</w:t>
      </w:r>
      <w:r w:rsidR="00C572F6">
        <w:t>(</w:t>
      </w:r>
      <w:proofErr w:type="spellStart"/>
      <w:r w:rsidR="00F260DC">
        <w:t>Ghorabaee</w:t>
      </w:r>
      <w:proofErr w:type="spellEnd"/>
      <w:r w:rsidR="00F260DC">
        <w:t xml:space="preserve"> vd. 2015; </w:t>
      </w:r>
      <w:proofErr w:type="spellStart"/>
      <w:r w:rsidR="00F260DC">
        <w:t>Ghorabaee</w:t>
      </w:r>
      <w:proofErr w:type="spellEnd"/>
      <w:r w:rsidR="00F260DC">
        <w:t xml:space="preserve"> vd. 2016);</w:t>
      </w:r>
    </w:p>
    <w:p w:rsidR="00355690" w:rsidRPr="00776387" w:rsidRDefault="00355690" w:rsidP="00A02B25">
      <w:pPr>
        <w:spacing w:after="120" w:line="240" w:lineRule="auto"/>
        <w:ind w:firstLine="708"/>
        <w:rPr>
          <w:rFonts w:ascii="Times New Roman" w:hAnsi="Times New Roman" w:cs="Times New Roman"/>
          <w:sz w:val="24"/>
          <w:szCs w:val="24"/>
        </w:rPr>
      </w:pPr>
      <w:r w:rsidRPr="00776387">
        <w:rPr>
          <w:rFonts w:ascii="Times New Roman" w:hAnsi="Times New Roman" w:cs="Times New Roman"/>
          <w:b/>
          <w:sz w:val="24"/>
          <w:szCs w:val="24"/>
        </w:rPr>
        <w:t>Adım 1:</w:t>
      </w:r>
      <w:r w:rsidR="00C0583D">
        <w:rPr>
          <w:rFonts w:ascii="Times New Roman" w:hAnsi="Times New Roman" w:cs="Times New Roman"/>
          <w:sz w:val="24"/>
          <w:szCs w:val="24"/>
        </w:rPr>
        <w:t xml:space="preserve"> Çok kriterli karar probleminin kriterler ve alternatifleri </w:t>
      </w:r>
      <w:proofErr w:type="gramStart"/>
      <w:r w:rsidR="00C0583D">
        <w:rPr>
          <w:rFonts w:ascii="Times New Roman" w:hAnsi="Times New Roman" w:cs="Times New Roman"/>
          <w:sz w:val="24"/>
          <w:szCs w:val="24"/>
        </w:rPr>
        <w:t>içeren  tanımlanması</w:t>
      </w:r>
      <w:proofErr w:type="gramEnd"/>
      <w:r w:rsidR="00C0583D">
        <w:rPr>
          <w:rFonts w:ascii="Times New Roman" w:hAnsi="Times New Roman" w:cs="Times New Roman"/>
          <w:sz w:val="24"/>
          <w:szCs w:val="24"/>
        </w:rPr>
        <w:t xml:space="preserve"> yapılarak formül (6) da gösterilen k</w:t>
      </w:r>
      <w:r w:rsidRPr="00776387">
        <w:rPr>
          <w:rFonts w:ascii="Times New Roman" w:hAnsi="Times New Roman" w:cs="Times New Roman"/>
          <w:sz w:val="24"/>
          <w:szCs w:val="24"/>
        </w:rPr>
        <w:t>arar</w:t>
      </w:r>
      <w:r w:rsidR="00C0583D">
        <w:rPr>
          <w:rFonts w:ascii="Times New Roman" w:hAnsi="Times New Roman" w:cs="Times New Roman"/>
          <w:sz w:val="24"/>
          <w:szCs w:val="24"/>
        </w:rPr>
        <w:t xml:space="preserve"> </w:t>
      </w:r>
      <w:r w:rsidRPr="00776387">
        <w:rPr>
          <w:rFonts w:ascii="Times New Roman" w:hAnsi="Times New Roman" w:cs="Times New Roman"/>
          <w:sz w:val="24"/>
          <w:szCs w:val="24"/>
        </w:rPr>
        <w:t>matrisi</w:t>
      </w:r>
      <w:r w:rsidR="00C0583D">
        <w:rPr>
          <w:rFonts w:ascii="Times New Roman" w:hAnsi="Times New Roman" w:cs="Times New Roman"/>
          <w:sz w:val="24"/>
          <w:szCs w:val="24"/>
        </w:rPr>
        <w:t xml:space="preserve"> oluşturulur. </w:t>
      </w:r>
    </w:p>
    <w:p w:rsidR="00355690" w:rsidRPr="00776387" w:rsidRDefault="00A122AC" w:rsidP="00776387">
      <w:pPr>
        <w:pStyle w:val="MTDisplayEquation"/>
        <w:spacing w:after="120" w:line="240" w:lineRule="auto"/>
        <w:ind w:left="709" w:firstLine="709"/>
      </w:pPr>
      <w:r w:rsidRPr="00776387">
        <w:rPr>
          <w:rFonts w:eastAsiaTheme="minorEastAsia"/>
          <w:position w:val="-68"/>
        </w:rPr>
        <w:object w:dxaOrig="7780" w:dyaOrig="1480">
          <v:shape id="_x0000_i1031" type="#_x0000_t75" style="width:378.7pt;height:73.85pt" o:ole="">
            <v:imagedata r:id="rId18" o:title=""/>
          </v:shape>
          <o:OLEObject Type="Embed" ProgID="Equation.DSMT4" ShapeID="_x0000_i1031" DrawAspect="Content" ObjectID="_1695058036" r:id="rId19"/>
        </w:object>
      </w:r>
      <w:r w:rsidR="00355690" w:rsidRPr="00776387">
        <w:t xml:space="preserve"> </w:t>
      </w:r>
    </w:p>
    <w:p w:rsidR="00355690" w:rsidRPr="00776387" w:rsidRDefault="00C0583D" w:rsidP="00776387">
      <w:pPr>
        <w:spacing w:after="120" w:line="24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Karar matrisinde yer alan </w:t>
      </w:r>
      <w:r w:rsidR="00A122AC" w:rsidRPr="00A122AC">
        <w:rPr>
          <w:rFonts w:ascii="Times New Roman" w:hAnsi="Times New Roman" w:cs="Times New Roman"/>
          <w:position w:val="-14"/>
          <w:sz w:val="24"/>
          <w:szCs w:val="24"/>
        </w:rPr>
        <w:object w:dxaOrig="279" w:dyaOrig="380">
          <v:shape id="_x0000_i1032" type="#_x0000_t75" style="width:13.1pt;height:18.7pt" o:ole="">
            <v:imagedata r:id="rId20" o:title=""/>
          </v:shape>
          <o:OLEObject Type="Embed" ProgID="Equation.DSMT4" ShapeID="_x0000_i1032" DrawAspect="Content" ObjectID="_1695058037" r:id="rId21"/>
        </w:object>
      </w:r>
      <w:r w:rsidR="00A122AC">
        <w:rPr>
          <w:rFonts w:ascii="Times New Roman" w:hAnsi="Times New Roman" w:cs="Times New Roman"/>
          <w:sz w:val="24"/>
          <w:szCs w:val="24"/>
        </w:rPr>
        <w:t xml:space="preserve">, </w:t>
      </w:r>
      <w:r w:rsidR="00355690" w:rsidRPr="00776387">
        <w:rPr>
          <w:rFonts w:ascii="Times New Roman" w:hAnsi="Times New Roman" w:cs="Times New Roman"/>
          <w:sz w:val="24"/>
          <w:szCs w:val="24"/>
        </w:rPr>
        <w:t xml:space="preserve"> </w:t>
      </w:r>
      <w:proofErr w:type="spellStart"/>
      <w:r w:rsidR="00355690" w:rsidRPr="00776387">
        <w:rPr>
          <w:rFonts w:ascii="Times New Roman" w:hAnsi="Times New Roman" w:cs="Times New Roman"/>
          <w:sz w:val="24"/>
          <w:szCs w:val="24"/>
        </w:rPr>
        <w:t>i.alternatifin</w:t>
      </w:r>
      <w:proofErr w:type="spellEnd"/>
      <w:r w:rsidR="00355690" w:rsidRPr="00776387">
        <w:rPr>
          <w:rFonts w:ascii="Times New Roman" w:hAnsi="Times New Roman" w:cs="Times New Roman"/>
          <w:sz w:val="24"/>
          <w:szCs w:val="24"/>
        </w:rPr>
        <w:t xml:space="preserve"> j. </w:t>
      </w:r>
      <w:proofErr w:type="gramStart"/>
      <w:r w:rsidR="00A122AC">
        <w:rPr>
          <w:rFonts w:ascii="Times New Roman" w:hAnsi="Times New Roman" w:cs="Times New Roman"/>
          <w:sz w:val="24"/>
          <w:szCs w:val="24"/>
        </w:rPr>
        <w:t>k</w:t>
      </w:r>
      <w:r w:rsidR="00355690" w:rsidRPr="00776387">
        <w:rPr>
          <w:rFonts w:ascii="Times New Roman" w:hAnsi="Times New Roman" w:cs="Times New Roman"/>
          <w:sz w:val="24"/>
          <w:szCs w:val="24"/>
        </w:rPr>
        <w:t>riter</w:t>
      </w:r>
      <w:r w:rsidR="00A122AC">
        <w:rPr>
          <w:rFonts w:ascii="Times New Roman" w:hAnsi="Times New Roman" w:cs="Times New Roman"/>
          <w:sz w:val="24"/>
          <w:szCs w:val="24"/>
        </w:rPr>
        <w:t>e</w:t>
      </w:r>
      <w:proofErr w:type="gramEnd"/>
      <w:r w:rsidR="00A122AC">
        <w:rPr>
          <w:rFonts w:ascii="Times New Roman" w:hAnsi="Times New Roman" w:cs="Times New Roman"/>
          <w:sz w:val="24"/>
          <w:szCs w:val="24"/>
        </w:rPr>
        <w:t xml:space="preserve"> göre </w:t>
      </w:r>
      <w:r w:rsidR="00355690" w:rsidRPr="00776387">
        <w:rPr>
          <w:rFonts w:ascii="Times New Roman" w:hAnsi="Times New Roman" w:cs="Times New Roman"/>
          <w:sz w:val="24"/>
          <w:szCs w:val="24"/>
        </w:rPr>
        <w:t xml:space="preserve">performans değerini belirtir. </w:t>
      </w:r>
    </w:p>
    <w:p w:rsidR="00355690" w:rsidRPr="00776387" w:rsidRDefault="00355690" w:rsidP="00793736">
      <w:pPr>
        <w:spacing w:after="120" w:line="240" w:lineRule="auto"/>
        <w:ind w:left="709"/>
        <w:rPr>
          <w:rFonts w:ascii="Times New Roman" w:hAnsi="Times New Roman" w:cs="Times New Roman"/>
          <w:sz w:val="24"/>
          <w:szCs w:val="24"/>
        </w:rPr>
      </w:pPr>
      <w:r w:rsidRPr="00776387">
        <w:rPr>
          <w:rFonts w:ascii="Times New Roman" w:hAnsi="Times New Roman" w:cs="Times New Roman"/>
          <w:b/>
          <w:sz w:val="24"/>
          <w:szCs w:val="24"/>
        </w:rPr>
        <w:t xml:space="preserve">Adım </w:t>
      </w:r>
      <w:r w:rsidR="00A122AC">
        <w:rPr>
          <w:rFonts w:ascii="Times New Roman" w:hAnsi="Times New Roman" w:cs="Times New Roman"/>
          <w:b/>
          <w:sz w:val="24"/>
          <w:szCs w:val="24"/>
        </w:rPr>
        <w:t>2</w:t>
      </w:r>
      <w:r w:rsidRPr="00776387">
        <w:rPr>
          <w:rFonts w:ascii="Times New Roman" w:hAnsi="Times New Roman" w:cs="Times New Roman"/>
          <w:b/>
          <w:sz w:val="24"/>
          <w:szCs w:val="24"/>
        </w:rPr>
        <w:t>:</w:t>
      </w:r>
      <w:r w:rsidRPr="00776387">
        <w:rPr>
          <w:rFonts w:ascii="Times New Roman" w:hAnsi="Times New Roman" w:cs="Times New Roman"/>
          <w:sz w:val="24"/>
          <w:szCs w:val="24"/>
        </w:rPr>
        <w:t xml:space="preserve"> </w:t>
      </w:r>
      <w:r w:rsidR="00A122AC">
        <w:rPr>
          <w:rFonts w:ascii="Times New Roman" w:hAnsi="Times New Roman" w:cs="Times New Roman"/>
          <w:sz w:val="24"/>
          <w:szCs w:val="24"/>
        </w:rPr>
        <w:t xml:space="preserve">Formül (7) ve (8) kullanılarak </w:t>
      </w:r>
      <w:r w:rsidRPr="00776387">
        <w:rPr>
          <w:rFonts w:ascii="Times New Roman" w:hAnsi="Times New Roman" w:cs="Times New Roman"/>
          <w:sz w:val="24"/>
          <w:szCs w:val="24"/>
        </w:rPr>
        <w:t xml:space="preserve">tüm </w:t>
      </w:r>
      <w:proofErr w:type="gramStart"/>
      <w:r w:rsidRPr="00776387">
        <w:rPr>
          <w:rFonts w:ascii="Times New Roman" w:hAnsi="Times New Roman" w:cs="Times New Roman"/>
          <w:sz w:val="24"/>
          <w:szCs w:val="24"/>
        </w:rPr>
        <w:t>kriterlere</w:t>
      </w:r>
      <w:proofErr w:type="gramEnd"/>
      <w:r w:rsidRPr="00776387">
        <w:rPr>
          <w:rFonts w:ascii="Times New Roman" w:hAnsi="Times New Roman" w:cs="Times New Roman"/>
          <w:sz w:val="24"/>
          <w:szCs w:val="24"/>
        </w:rPr>
        <w:t xml:space="preserve"> göre ortalama çözümü belirle</w:t>
      </w:r>
      <w:r w:rsidR="0076572D">
        <w:rPr>
          <w:rFonts w:ascii="Times New Roman" w:hAnsi="Times New Roman" w:cs="Times New Roman"/>
          <w:sz w:val="24"/>
          <w:szCs w:val="24"/>
        </w:rPr>
        <w:t xml:space="preserve">nir. </w:t>
      </w:r>
    </w:p>
    <w:p w:rsidR="00355690" w:rsidRPr="00776387" w:rsidRDefault="00355690" w:rsidP="00776387">
      <w:pPr>
        <w:pStyle w:val="MTDisplayEquation"/>
        <w:spacing w:after="120" w:line="240" w:lineRule="auto"/>
        <w:ind w:left="709" w:firstLine="709"/>
      </w:pPr>
      <w:r w:rsidRPr="00776387">
        <w:rPr>
          <w:rFonts w:eastAsiaTheme="minorEastAsia"/>
          <w:position w:val="-18"/>
        </w:rPr>
        <w:object w:dxaOrig="1605" w:dyaOrig="465">
          <v:shape id="_x0000_i1033" type="#_x0000_t75" style="width:81.35pt;height:23.4pt" o:ole="">
            <v:imagedata r:id="rId22" o:title=""/>
          </v:shape>
          <o:OLEObject Type="Embed" ProgID="Equation.DSMT4" ShapeID="_x0000_i1033" DrawAspect="Content" ObjectID="_1695058038" r:id="rId23"/>
        </w:object>
      </w:r>
      <w:r w:rsidRPr="00776387">
        <w:t xml:space="preserve"> </w:t>
      </w:r>
      <w:r w:rsidR="00A122AC">
        <w:tab/>
        <w:t xml:space="preserve">                                                                                               (7)</w:t>
      </w:r>
      <w:r w:rsidR="00A122AC">
        <w:tab/>
      </w:r>
    </w:p>
    <w:p w:rsidR="00355690" w:rsidRPr="00776387" w:rsidRDefault="00355690" w:rsidP="00776387">
      <w:pPr>
        <w:pStyle w:val="MTDisplayEquation"/>
        <w:spacing w:after="120" w:line="240" w:lineRule="auto"/>
        <w:ind w:left="709" w:firstLine="709"/>
      </w:pPr>
      <w:r w:rsidRPr="00776387">
        <w:rPr>
          <w:rFonts w:eastAsiaTheme="minorEastAsia"/>
          <w:position w:val="-24"/>
        </w:rPr>
        <w:object w:dxaOrig="1545" w:dyaOrig="735">
          <v:shape id="_x0000_i1034" type="#_x0000_t75" style="width:77.6pt;height:36.45pt" o:ole="">
            <v:imagedata r:id="rId24" o:title=""/>
          </v:shape>
          <o:OLEObject Type="Embed" ProgID="Equation.DSMT4" ShapeID="_x0000_i1034" DrawAspect="Content" ObjectID="_1695058039" r:id="rId25"/>
        </w:object>
      </w:r>
      <w:r w:rsidRPr="00776387">
        <w:t xml:space="preserve"> </w:t>
      </w:r>
      <w:r w:rsidR="00A122AC">
        <w:tab/>
        <w:t xml:space="preserve">                                                                                               (8)</w:t>
      </w:r>
    </w:p>
    <w:p w:rsidR="00355690" w:rsidRPr="00776387" w:rsidRDefault="00355690" w:rsidP="00D21637">
      <w:pPr>
        <w:spacing w:after="120" w:line="240" w:lineRule="auto"/>
        <w:ind w:firstLine="708"/>
        <w:rPr>
          <w:rFonts w:ascii="Times New Roman" w:hAnsi="Times New Roman" w:cs="Times New Roman"/>
          <w:sz w:val="24"/>
          <w:szCs w:val="24"/>
        </w:rPr>
      </w:pPr>
      <w:r w:rsidRPr="00776387">
        <w:rPr>
          <w:rFonts w:ascii="Times New Roman" w:hAnsi="Times New Roman" w:cs="Times New Roman"/>
          <w:b/>
          <w:sz w:val="24"/>
          <w:szCs w:val="24"/>
        </w:rPr>
        <w:t xml:space="preserve">Adım </w:t>
      </w:r>
      <w:r w:rsidR="0076572D">
        <w:rPr>
          <w:rFonts w:ascii="Times New Roman" w:hAnsi="Times New Roman" w:cs="Times New Roman"/>
          <w:b/>
          <w:sz w:val="24"/>
          <w:szCs w:val="24"/>
        </w:rPr>
        <w:t>3</w:t>
      </w:r>
      <w:r w:rsidRPr="00776387">
        <w:rPr>
          <w:rFonts w:ascii="Times New Roman" w:hAnsi="Times New Roman" w:cs="Times New Roman"/>
          <w:b/>
          <w:sz w:val="24"/>
          <w:szCs w:val="24"/>
        </w:rPr>
        <w:t>:</w:t>
      </w:r>
      <w:r w:rsidRPr="00776387">
        <w:rPr>
          <w:rFonts w:ascii="Times New Roman" w:hAnsi="Times New Roman" w:cs="Times New Roman"/>
          <w:sz w:val="24"/>
          <w:szCs w:val="24"/>
        </w:rPr>
        <w:t xml:space="preserve"> </w:t>
      </w:r>
      <w:r w:rsidR="007807C5">
        <w:rPr>
          <w:rFonts w:ascii="Times New Roman" w:hAnsi="Times New Roman" w:cs="Times New Roman"/>
          <w:sz w:val="24"/>
          <w:szCs w:val="24"/>
        </w:rPr>
        <w:t xml:space="preserve">Her bir </w:t>
      </w:r>
      <w:proofErr w:type="gramStart"/>
      <w:r w:rsidR="007807C5">
        <w:rPr>
          <w:rFonts w:ascii="Times New Roman" w:hAnsi="Times New Roman" w:cs="Times New Roman"/>
          <w:sz w:val="24"/>
          <w:szCs w:val="24"/>
        </w:rPr>
        <w:t>kriter</w:t>
      </w:r>
      <w:proofErr w:type="gramEnd"/>
      <w:r w:rsidR="007807C5">
        <w:rPr>
          <w:rFonts w:ascii="Times New Roman" w:hAnsi="Times New Roman" w:cs="Times New Roman"/>
          <w:sz w:val="24"/>
          <w:szCs w:val="24"/>
        </w:rPr>
        <w:t xml:space="preserve"> için o</w:t>
      </w:r>
      <w:r w:rsidR="009D3FB1">
        <w:rPr>
          <w:rFonts w:ascii="Times New Roman" w:hAnsi="Times New Roman" w:cs="Times New Roman"/>
          <w:sz w:val="24"/>
          <w:szCs w:val="24"/>
        </w:rPr>
        <w:t xml:space="preserve">rtalamadan </w:t>
      </w:r>
      <w:r w:rsidRPr="00776387">
        <w:rPr>
          <w:rFonts w:ascii="Times New Roman" w:hAnsi="Times New Roman" w:cs="Times New Roman"/>
          <w:sz w:val="24"/>
          <w:szCs w:val="24"/>
        </w:rPr>
        <w:t xml:space="preserve">pozitif </w:t>
      </w:r>
      <w:r w:rsidR="007807C5">
        <w:rPr>
          <w:rFonts w:ascii="Times New Roman" w:hAnsi="Times New Roman" w:cs="Times New Roman"/>
          <w:sz w:val="24"/>
          <w:szCs w:val="24"/>
        </w:rPr>
        <w:t>uzaklık</w:t>
      </w:r>
      <w:r w:rsidR="009D3FB1">
        <w:rPr>
          <w:rFonts w:ascii="Times New Roman" w:hAnsi="Times New Roman" w:cs="Times New Roman"/>
          <w:sz w:val="24"/>
          <w:szCs w:val="24"/>
        </w:rPr>
        <w:t>(PDA)</w:t>
      </w:r>
      <w:r w:rsidR="007807C5">
        <w:rPr>
          <w:rFonts w:ascii="Times New Roman" w:hAnsi="Times New Roman" w:cs="Times New Roman"/>
          <w:sz w:val="24"/>
          <w:szCs w:val="24"/>
        </w:rPr>
        <w:t xml:space="preserve"> ve n</w:t>
      </w:r>
      <w:r w:rsidRPr="00776387">
        <w:rPr>
          <w:rFonts w:ascii="Times New Roman" w:hAnsi="Times New Roman" w:cs="Times New Roman"/>
          <w:sz w:val="24"/>
          <w:szCs w:val="24"/>
        </w:rPr>
        <w:t xml:space="preserve">egatif </w:t>
      </w:r>
      <w:r w:rsidR="007807C5">
        <w:rPr>
          <w:rFonts w:ascii="Times New Roman" w:hAnsi="Times New Roman" w:cs="Times New Roman"/>
          <w:sz w:val="24"/>
          <w:szCs w:val="24"/>
        </w:rPr>
        <w:t>uzaklık değerleri (NDA) hesaplanır</w:t>
      </w:r>
      <w:r w:rsidR="009D3FB1">
        <w:rPr>
          <w:rFonts w:ascii="Times New Roman" w:hAnsi="Times New Roman" w:cs="Times New Roman"/>
          <w:sz w:val="24"/>
          <w:szCs w:val="24"/>
        </w:rPr>
        <w:t>.</w:t>
      </w:r>
    </w:p>
    <w:p w:rsidR="00355690" w:rsidRPr="00776387" w:rsidRDefault="00355690" w:rsidP="00776387">
      <w:pPr>
        <w:pStyle w:val="MTDisplayEquation"/>
        <w:spacing w:after="120" w:line="240" w:lineRule="auto"/>
        <w:ind w:left="709" w:firstLine="709"/>
      </w:pPr>
      <w:r w:rsidRPr="00776387">
        <w:rPr>
          <w:rFonts w:eastAsiaTheme="minorEastAsia"/>
          <w:position w:val="-20"/>
        </w:rPr>
        <w:object w:dxaOrig="1845" w:dyaOrig="480">
          <v:shape id="_x0000_i1035" type="#_x0000_t75" style="width:92.55pt;height:24.3pt" o:ole="">
            <v:imagedata r:id="rId26" o:title=""/>
          </v:shape>
          <o:OLEObject Type="Embed" ProgID="Equation.DSMT4" ShapeID="_x0000_i1035" DrawAspect="Content" ObjectID="_1695058040" r:id="rId27"/>
        </w:object>
      </w:r>
      <w:r w:rsidRPr="00776387">
        <w:t xml:space="preserve"> </w:t>
      </w:r>
      <w:r w:rsidR="009D3FB1">
        <w:tab/>
      </w:r>
      <w:r w:rsidR="009D3FB1">
        <w:tab/>
        <w:t>(9)</w:t>
      </w:r>
    </w:p>
    <w:p w:rsidR="00355690" w:rsidRPr="00776387" w:rsidRDefault="00355690" w:rsidP="00776387">
      <w:pPr>
        <w:pStyle w:val="MTDisplayEquation"/>
        <w:spacing w:after="120" w:line="240" w:lineRule="auto"/>
        <w:ind w:left="709" w:firstLine="709"/>
      </w:pPr>
      <w:r w:rsidRPr="00776387">
        <w:rPr>
          <w:rFonts w:eastAsiaTheme="minorEastAsia"/>
          <w:position w:val="-18"/>
        </w:rPr>
        <w:object w:dxaOrig="1845" w:dyaOrig="465">
          <v:shape id="_x0000_i1036" type="#_x0000_t75" style="width:92.55pt;height:23.4pt" o:ole="">
            <v:imagedata r:id="rId28" o:title=""/>
          </v:shape>
          <o:OLEObject Type="Embed" ProgID="Equation.DSMT4" ShapeID="_x0000_i1036" DrawAspect="Content" ObjectID="_1695058041" r:id="rId29"/>
        </w:object>
      </w:r>
      <w:r w:rsidRPr="00776387">
        <w:t xml:space="preserve"> </w:t>
      </w:r>
      <w:r w:rsidR="009D3FB1">
        <w:t xml:space="preserve">                  </w:t>
      </w:r>
      <w:r w:rsidR="009D3FB1">
        <w:tab/>
      </w:r>
      <w:r w:rsidR="009D3FB1">
        <w:tab/>
        <w:t>(10)</w:t>
      </w:r>
    </w:p>
    <w:p w:rsidR="00355690" w:rsidRPr="00776387" w:rsidRDefault="00355690" w:rsidP="00776387">
      <w:pPr>
        <w:spacing w:after="120" w:line="240" w:lineRule="auto"/>
        <w:ind w:left="709" w:firstLine="709"/>
        <w:rPr>
          <w:rFonts w:ascii="Times New Roman" w:hAnsi="Times New Roman" w:cs="Times New Roman"/>
          <w:sz w:val="24"/>
          <w:szCs w:val="24"/>
        </w:rPr>
      </w:pPr>
      <w:proofErr w:type="gramStart"/>
      <w:r w:rsidRPr="00776387">
        <w:rPr>
          <w:rFonts w:ascii="Times New Roman" w:hAnsi="Times New Roman" w:cs="Times New Roman"/>
          <w:sz w:val="24"/>
          <w:szCs w:val="24"/>
        </w:rPr>
        <w:t>j</w:t>
      </w:r>
      <w:proofErr w:type="gramEnd"/>
      <w:r w:rsidR="009D3FB1">
        <w:rPr>
          <w:rFonts w:ascii="Times New Roman" w:hAnsi="Times New Roman" w:cs="Times New Roman"/>
          <w:sz w:val="24"/>
          <w:szCs w:val="24"/>
        </w:rPr>
        <w:t xml:space="preserve">. </w:t>
      </w:r>
      <w:proofErr w:type="spellStart"/>
      <w:r w:rsidRPr="00776387">
        <w:rPr>
          <w:rFonts w:ascii="Times New Roman" w:hAnsi="Times New Roman" w:cs="Times New Roman"/>
          <w:sz w:val="24"/>
          <w:szCs w:val="24"/>
        </w:rPr>
        <w:t>krtiter</w:t>
      </w:r>
      <w:proofErr w:type="spellEnd"/>
      <w:r w:rsidRPr="00776387">
        <w:rPr>
          <w:rFonts w:ascii="Times New Roman" w:hAnsi="Times New Roman" w:cs="Times New Roman"/>
          <w:sz w:val="24"/>
          <w:szCs w:val="24"/>
        </w:rPr>
        <w:t xml:space="preserve"> fayda</w:t>
      </w:r>
      <w:r w:rsidR="009D3FB1">
        <w:rPr>
          <w:rFonts w:ascii="Times New Roman" w:hAnsi="Times New Roman" w:cs="Times New Roman"/>
          <w:sz w:val="24"/>
          <w:szCs w:val="24"/>
        </w:rPr>
        <w:t xml:space="preserve"> nitelikli ise formül (11) ve (12) kullanılır. </w:t>
      </w:r>
    </w:p>
    <w:p w:rsidR="00355690" w:rsidRPr="00776387" w:rsidRDefault="00355690" w:rsidP="00776387">
      <w:pPr>
        <w:pStyle w:val="MTDisplayEquation"/>
        <w:spacing w:after="120" w:line="240" w:lineRule="auto"/>
        <w:ind w:left="709" w:firstLine="709"/>
      </w:pPr>
      <w:r w:rsidRPr="00776387">
        <w:rPr>
          <w:rFonts w:eastAsiaTheme="minorEastAsia"/>
          <w:position w:val="-32"/>
        </w:rPr>
        <w:object w:dxaOrig="2760" w:dyaOrig="735">
          <v:shape id="_x0000_i1037" type="#_x0000_t75" style="width:138.4pt;height:36.45pt" o:ole="">
            <v:imagedata r:id="rId30" o:title=""/>
          </v:shape>
          <o:OLEObject Type="Embed" ProgID="Equation.DSMT4" ShapeID="_x0000_i1037" DrawAspect="Content" ObjectID="_1695058042" r:id="rId31"/>
        </w:object>
      </w:r>
      <w:r w:rsidRPr="00776387">
        <w:t xml:space="preserve"> </w:t>
      </w:r>
      <w:r w:rsidR="009D3FB1">
        <w:t xml:space="preserve"> </w:t>
      </w:r>
      <w:r w:rsidR="009D3FB1">
        <w:tab/>
      </w:r>
      <w:r w:rsidR="009D3FB1">
        <w:tab/>
        <w:t xml:space="preserve"> (11)</w:t>
      </w:r>
    </w:p>
    <w:p w:rsidR="00355690" w:rsidRPr="00776387" w:rsidRDefault="00355690" w:rsidP="00776387">
      <w:pPr>
        <w:pStyle w:val="MTDisplayEquation"/>
        <w:spacing w:after="120" w:line="240" w:lineRule="auto"/>
        <w:ind w:left="709" w:firstLine="709"/>
      </w:pPr>
      <w:r w:rsidRPr="00776387">
        <w:rPr>
          <w:rFonts w:eastAsiaTheme="minorEastAsia"/>
          <w:position w:val="-32"/>
        </w:rPr>
        <w:object w:dxaOrig="2775" w:dyaOrig="735">
          <v:shape id="_x0000_i1038" type="#_x0000_t75" style="width:138.4pt;height:36.45pt" o:ole="">
            <v:imagedata r:id="rId32" o:title=""/>
          </v:shape>
          <o:OLEObject Type="Embed" ProgID="Equation.DSMT4" ShapeID="_x0000_i1038" DrawAspect="Content" ObjectID="_1695058043" r:id="rId33"/>
        </w:object>
      </w:r>
      <w:r w:rsidRPr="00776387">
        <w:t xml:space="preserve"> </w:t>
      </w:r>
      <w:r w:rsidR="009D3FB1">
        <w:t xml:space="preserve">   </w:t>
      </w:r>
      <w:r w:rsidR="009D3FB1">
        <w:tab/>
      </w:r>
      <w:r w:rsidR="009D3FB1">
        <w:tab/>
        <w:t>(12)</w:t>
      </w:r>
    </w:p>
    <w:p w:rsidR="009D3FB1" w:rsidRDefault="009D3FB1" w:rsidP="009D3FB1">
      <w:pPr>
        <w:spacing w:after="120" w:line="24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j. </w:t>
      </w:r>
      <w:proofErr w:type="gramStart"/>
      <w:r>
        <w:rPr>
          <w:rFonts w:ascii="Times New Roman" w:hAnsi="Times New Roman" w:cs="Times New Roman"/>
          <w:sz w:val="24"/>
          <w:szCs w:val="24"/>
        </w:rPr>
        <w:t>kriter</w:t>
      </w:r>
      <w:proofErr w:type="gramEnd"/>
      <w:r>
        <w:rPr>
          <w:rFonts w:ascii="Times New Roman" w:hAnsi="Times New Roman" w:cs="Times New Roman"/>
          <w:sz w:val="24"/>
          <w:szCs w:val="24"/>
        </w:rPr>
        <w:t xml:space="preserve"> maliyet nitelikli ise formül (13) ve (14)’ten yararlanılır. </w:t>
      </w:r>
    </w:p>
    <w:p w:rsidR="00355690" w:rsidRPr="009D3FB1" w:rsidRDefault="00355690" w:rsidP="009D3FB1">
      <w:pPr>
        <w:spacing w:after="120" w:line="240" w:lineRule="auto"/>
        <w:ind w:left="709" w:firstLine="709"/>
        <w:rPr>
          <w:rFonts w:ascii="Times New Roman" w:hAnsi="Times New Roman" w:cs="Times New Roman"/>
          <w:sz w:val="24"/>
          <w:szCs w:val="24"/>
        </w:rPr>
      </w:pPr>
      <w:r w:rsidRPr="009D3FB1">
        <w:rPr>
          <w:rFonts w:ascii="Times New Roman" w:eastAsiaTheme="minorEastAsia" w:hAnsi="Times New Roman" w:cs="Times New Roman"/>
          <w:position w:val="-32"/>
          <w:sz w:val="24"/>
          <w:szCs w:val="24"/>
        </w:rPr>
        <w:object w:dxaOrig="2760" w:dyaOrig="735">
          <v:shape id="_x0000_i1039" type="#_x0000_t75" style="width:138.4pt;height:36.45pt" o:ole="">
            <v:imagedata r:id="rId34" o:title=""/>
          </v:shape>
          <o:OLEObject Type="Embed" ProgID="Equation.DSMT4" ShapeID="_x0000_i1039" DrawAspect="Content" ObjectID="_1695058044" r:id="rId35"/>
        </w:object>
      </w:r>
      <w:r w:rsidRPr="009D3FB1">
        <w:rPr>
          <w:rFonts w:ascii="Times New Roman" w:hAnsi="Times New Roman" w:cs="Times New Roman"/>
          <w:sz w:val="24"/>
          <w:szCs w:val="24"/>
        </w:rPr>
        <w:t xml:space="preserve"> </w:t>
      </w:r>
      <w:r w:rsidR="009D3FB1" w:rsidRPr="009D3FB1">
        <w:rPr>
          <w:rFonts w:ascii="Times New Roman" w:hAnsi="Times New Roman" w:cs="Times New Roman"/>
          <w:sz w:val="24"/>
          <w:szCs w:val="24"/>
        </w:rPr>
        <w:t xml:space="preserve">    </w:t>
      </w:r>
      <w:r w:rsidR="009D3FB1" w:rsidRPr="009D3FB1">
        <w:rPr>
          <w:rFonts w:ascii="Times New Roman" w:hAnsi="Times New Roman" w:cs="Times New Roman"/>
          <w:sz w:val="24"/>
          <w:szCs w:val="24"/>
        </w:rPr>
        <w:tab/>
      </w:r>
      <w:r w:rsidR="009D3FB1" w:rsidRPr="009D3FB1">
        <w:rPr>
          <w:rFonts w:ascii="Times New Roman" w:hAnsi="Times New Roman" w:cs="Times New Roman"/>
          <w:sz w:val="24"/>
          <w:szCs w:val="24"/>
        </w:rPr>
        <w:tab/>
      </w:r>
      <w:r w:rsidR="009D3FB1">
        <w:rPr>
          <w:rFonts w:ascii="Times New Roman" w:hAnsi="Times New Roman" w:cs="Times New Roman"/>
          <w:sz w:val="24"/>
          <w:szCs w:val="24"/>
        </w:rPr>
        <w:t xml:space="preserve">                         </w:t>
      </w:r>
      <w:r w:rsidR="009D3FB1">
        <w:rPr>
          <w:rFonts w:ascii="Times New Roman" w:hAnsi="Times New Roman" w:cs="Times New Roman"/>
          <w:sz w:val="24"/>
          <w:szCs w:val="24"/>
        </w:rPr>
        <w:tab/>
      </w:r>
      <w:r w:rsidR="009D3FB1">
        <w:rPr>
          <w:rFonts w:ascii="Times New Roman" w:hAnsi="Times New Roman" w:cs="Times New Roman"/>
          <w:sz w:val="24"/>
          <w:szCs w:val="24"/>
        </w:rPr>
        <w:tab/>
        <w:t xml:space="preserve">  (1</w:t>
      </w:r>
      <w:r w:rsidR="009D3FB1" w:rsidRPr="009D3FB1">
        <w:rPr>
          <w:rFonts w:ascii="Times New Roman" w:hAnsi="Times New Roman" w:cs="Times New Roman"/>
          <w:sz w:val="24"/>
          <w:szCs w:val="24"/>
        </w:rPr>
        <w:t>3)</w:t>
      </w:r>
    </w:p>
    <w:p w:rsidR="00355690" w:rsidRPr="00776387" w:rsidRDefault="0033359E" w:rsidP="00776387">
      <w:pPr>
        <w:pStyle w:val="MTDisplayEquation"/>
        <w:spacing w:after="120" w:line="240" w:lineRule="auto"/>
        <w:ind w:left="709" w:firstLine="709"/>
      </w:pPr>
      <w:r w:rsidRPr="00776387">
        <w:rPr>
          <w:rFonts w:eastAsiaTheme="minorEastAsia"/>
          <w:position w:val="-32"/>
        </w:rPr>
        <w:object w:dxaOrig="2840" w:dyaOrig="740">
          <v:shape id="_x0000_i1040" type="#_x0000_t75" style="width:142.15pt;height:36.45pt" o:ole="">
            <v:imagedata r:id="rId36" o:title=""/>
          </v:shape>
          <o:OLEObject Type="Embed" ProgID="Equation.DSMT4" ShapeID="_x0000_i1040" DrawAspect="Content" ObjectID="_1695058045" r:id="rId37"/>
        </w:object>
      </w:r>
      <w:r w:rsidR="00355690" w:rsidRPr="00776387">
        <w:t xml:space="preserve"> </w:t>
      </w:r>
      <w:r w:rsidR="009D3FB1">
        <w:tab/>
      </w:r>
      <w:r w:rsidR="009D3FB1">
        <w:tab/>
        <w:t>(14)</w:t>
      </w:r>
    </w:p>
    <w:p w:rsidR="00355690" w:rsidRPr="00776387" w:rsidRDefault="00355690" w:rsidP="00D21637">
      <w:pPr>
        <w:spacing w:after="120" w:line="240" w:lineRule="auto"/>
        <w:ind w:firstLine="708"/>
        <w:rPr>
          <w:rFonts w:ascii="Times New Roman" w:hAnsi="Times New Roman" w:cs="Times New Roman"/>
          <w:sz w:val="24"/>
          <w:szCs w:val="24"/>
        </w:rPr>
      </w:pPr>
      <w:r w:rsidRPr="00776387">
        <w:rPr>
          <w:rFonts w:ascii="Times New Roman" w:hAnsi="Times New Roman" w:cs="Times New Roman"/>
          <w:b/>
          <w:sz w:val="24"/>
          <w:szCs w:val="24"/>
        </w:rPr>
        <w:t xml:space="preserve">Adım </w:t>
      </w:r>
      <w:r w:rsidR="00033BA6">
        <w:rPr>
          <w:rFonts w:ascii="Times New Roman" w:hAnsi="Times New Roman" w:cs="Times New Roman"/>
          <w:b/>
          <w:sz w:val="24"/>
          <w:szCs w:val="24"/>
        </w:rPr>
        <w:t>4</w:t>
      </w:r>
      <w:r w:rsidRPr="00776387">
        <w:rPr>
          <w:rFonts w:ascii="Times New Roman" w:hAnsi="Times New Roman" w:cs="Times New Roman"/>
          <w:b/>
          <w:sz w:val="24"/>
          <w:szCs w:val="24"/>
        </w:rPr>
        <w:t>:</w:t>
      </w:r>
      <w:r w:rsidRPr="00776387">
        <w:rPr>
          <w:rFonts w:ascii="Times New Roman" w:hAnsi="Times New Roman" w:cs="Times New Roman"/>
          <w:sz w:val="24"/>
          <w:szCs w:val="24"/>
        </w:rPr>
        <w:t xml:space="preserve"> </w:t>
      </w:r>
      <w:r w:rsidR="00586324">
        <w:rPr>
          <w:rFonts w:ascii="Times New Roman" w:hAnsi="Times New Roman" w:cs="Times New Roman"/>
          <w:sz w:val="24"/>
          <w:szCs w:val="24"/>
        </w:rPr>
        <w:t xml:space="preserve">Her bir alternatif için ağırlıklı pozitif ve negatif değerleri toplamı hesaplanır. </w:t>
      </w:r>
      <w:proofErr w:type="spellStart"/>
      <w:r w:rsidR="00586324">
        <w:rPr>
          <w:rFonts w:ascii="Times New Roman" w:hAnsi="Times New Roman" w:cs="Times New Roman"/>
          <w:sz w:val="24"/>
          <w:szCs w:val="24"/>
        </w:rPr>
        <w:t>Entropi</w:t>
      </w:r>
      <w:proofErr w:type="spellEnd"/>
      <w:r w:rsidR="00586324">
        <w:rPr>
          <w:rFonts w:ascii="Times New Roman" w:hAnsi="Times New Roman" w:cs="Times New Roman"/>
          <w:sz w:val="24"/>
          <w:szCs w:val="24"/>
        </w:rPr>
        <w:t xml:space="preserve"> yöntemi ile elde edilen </w:t>
      </w:r>
      <w:r w:rsidR="00033BA6">
        <w:rPr>
          <w:rFonts w:ascii="Times New Roman" w:hAnsi="Times New Roman" w:cs="Times New Roman"/>
          <w:sz w:val="24"/>
          <w:szCs w:val="24"/>
        </w:rPr>
        <w:t>önem</w:t>
      </w:r>
      <w:r w:rsidR="00586324">
        <w:rPr>
          <w:rFonts w:ascii="Times New Roman" w:hAnsi="Times New Roman" w:cs="Times New Roman"/>
          <w:sz w:val="24"/>
          <w:szCs w:val="24"/>
        </w:rPr>
        <w:t xml:space="preserve"> ağırlık değerleri </w:t>
      </w:r>
      <w:r w:rsidR="00033BA6">
        <w:rPr>
          <w:rFonts w:ascii="Times New Roman" w:hAnsi="Times New Roman" w:cs="Times New Roman"/>
          <w:sz w:val="24"/>
          <w:szCs w:val="24"/>
        </w:rPr>
        <w:t xml:space="preserve"> </w:t>
      </w:r>
      <w:r w:rsidR="00033BA6" w:rsidRPr="00033BA6">
        <w:rPr>
          <w:rFonts w:ascii="Times New Roman" w:hAnsi="Times New Roman" w:cs="Times New Roman"/>
          <w:position w:val="-14"/>
          <w:sz w:val="24"/>
          <w:szCs w:val="24"/>
        </w:rPr>
        <w:object w:dxaOrig="300" w:dyaOrig="380">
          <v:shape id="_x0000_i1041" type="#_x0000_t75" style="width:14.95pt;height:18.7pt" o:ole="">
            <v:imagedata r:id="rId38" o:title=""/>
          </v:shape>
          <o:OLEObject Type="Embed" ProgID="Equation.DSMT4" ShapeID="_x0000_i1041" DrawAspect="Content" ObjectID="_1695058046" r:id="rId39"/>
        </w:object>
      </w:r>
      <w:r w:rsidR="00033BA6">
        <w:rPr>
          <w:rFonts w:ascii="Times New Roman" w:hAnsi="Times New Roman" w:cs="Times New Roman"/>
          <w:sz w:val="24"/>
          <w:szCs w:val="24"/>
        </w:rPr>
        <w:t xml:space="preserve">formül (15) ve (16) da </w:t>
      </w:r>
      <w:r w:rsidR="00586324">
        <w:rPr>
          <w:rFonts w:ascii="Times New Roman" w:hAnsi="Times New Roman" w:cs="Times New Roman"/>
          <w:sz w:val="24"/>
          <w:szCs w:val="24"/>
        </w:rPr>
        <w:t>çarpım olarak yer alır.</w:t>
      </w:r>
    </w:p>
    <w:p w:rsidR="00355690" w:rsidRPr="00776387" w:rsidRDefault="00033BA6" w:rsidP="00776387">
      <w:pPr>
        <w:pStyle w:val="MTDisplayEquation"/>
        <w:spacing w:after="120" w:line="240" w:lineRule="auto"/>
        <w:ind w:left="709" w:firstLine="709"/>
      </w:pPr>
      <w:r w:rsidRPr="00776387">
        <w:rPr>
          <w:rFonts w:eastAsiaTheme="minorEastAsia"/>
          <w:position w:val="-30"/>
        </w:rPr>
        <w:object w:dxaOrig="1719" w:dyaOrig="700">
          <v:shape id="_x0000_i1042" type="#_x0000_t75" style="width:85.1pt;height:36.45pt" o:ole="">
            <v:imagedata r:id="rId40" o:title=""/>
          </v:shape>
          <o:OLEObject Type="Embed" ProgID="Equation.DSMT4" ShapeID="_x0000_i1042" DrawAspect="Content" ObjectID="_1695058047" r:id="rId41"/>
        </w:object>
      </w:r>
      <w:r>
        <w:rPr>
          <w:rFonts w:eastAsiaTheme="minorEastAsia"/>
        </w:rPr>
        <w:tab/>
      </w:r>
      <w:r>
        <w:rPr>
          <w:rFonts w:eastAsiaTheme="minorEastAsia"/>
        </w:rPr>
        <w:tab/>
        <w:t>(15)</w:t>
      </w:r>
    </w:p>
    <w:p w:rsidR="00355690" w:rsidRPr="00776387" w:rsidRDefault="00355690" w:rsidP="00033BA6">
      <w:pPr>
        <w:pStyle w:val="MTDisplayEquation"/>
        <w:spacing w:after="120" w:line="240" w:lineRule="auto"/>
        <w:ind w:left="709" w:firstLine="709"/>
      </w:pPr>
      <w:r w:rsidRPr="00776387">
        <w:rPr>
          <w:rFonts w:eastAsiaTheme="minorEastAsia"/>
          <w:position w:val="-30"/>
        </w:rPr>
        <w:object w:dxaOrig="1815" w:dyaOrig="705">
          <v:shape id="_x0000_i1043" type="#_x0000_t75" style="width:90.7pt;height:35.55pt" o:ole="">
            <v:imagedata r:id="rId42" o:title=""/>
          </v:shape>
          <o:OLEObject Type="Embed" ProgID="Equation.DSMT4" ShapeID="_x0000_i1043" DrawAspect="Content" ObjectID="_1695058048" r:id="rId43"/>
        </w:object>
      </w:r>
      <w:r w:rsidRPr="00776387">
        <w:t xml:space="preserve"> </w:t>
      </w:r>
      <w:r w:rsidR="00033BA6">
        <w:tab/>
      </w:r>
      <w:r w:rsidR="00033BA6">
        <w:tab/>
        <w:t>(16)</w:t>
      </w:r>
    </w:p>
    <w:p w:rsidR="00355690" w:rsidRPr="00776387" w:rsidRDefault="00355690" w:rsidP="00D21637">
      <w:pPr>
        <w:spacing w:after="120" w:line="240" w:lineRule="auto"/>
        <w:ind w:firstLine="708"/>
        <w:rPr>
          <w:rFonts w:ascii="Times New Roman" w:hAnsi="Times New Roman" w:cs="Times New Roman"/>
          <w:sz w:val="24"/>
          <w:szCs w:val="24"/>
        </w:rPr>
      </w:pPr>
      <w:r w:rsidRPr="00776387">
        <w:rPr>
          <w:rFonts w:ascii="Times New Roman" w:hAnsi="Times New Roman" w:cs="Times New Roman"/>
          <w:b/>
          <w:sz w:val="24"/>
          <w:szCs w:val="24"/>
        </w:rPr>
        <w:t xml:space="preserve">Adım </w:t>
      </w:r>
      <w:r w:rsidR="00033BA6">
        <w:rPr>
          <w:rFonts w:ascii="Times New Roman" w:hAnsi="Times New Roman" w:cs="Times New Roman"/>
          <w:b/>
          <w:sz w:val="24"/>
          <w:szCs w:val="24"/>
        </w:rPr>
        <w:t>5</w:t>
      </w:r>
      <w:r w:rsidRPr="00776387">
        <w:rPr>
          <w:rFonts w:ascii="Times New Roman" w:hAnsi="Times New Roman" w:cs="Times New Roman"/>
          <w:b/>
          <w:sz w:val="24"/>
          <w:szCs w:val="24"/>
        </w:rPr>
        <w:t>:</w:t>
      </w:r>
      <w:r w:rsidRPr="00776387">
        <w:rPr>
          <w:rFonts w:ascii="Times New Roman" w:hAnsi="Times New Roman" w:cs="Times New Roman"/>
          <w:sz w:val="24"/>
          <w:szCs w:val="24"/>
        </w:rPr>
        <w:t xml:space="preserve"> </w:t>
      </w:r>
      <w:r w:rsidR="00670A9D">
        <w:rPr>
          <w:rFonts w:ascii="Times New Roman" w:hAnsi="Times New Roman" w:cs="Times New Roman"/>
          <w:sz w:val="24"/>
          <w:szCs w:val="24"/>
        </w:rPr>
        <w:t>H</w:t>
      </w:r>
      <w:r w:rsidR="00086B79">
        <w:rPr>
          <w:rFonts w:ascii="Times New Roman" w:hAnsi="Times New Roman" w:cs="Times New Roman"/>
          <w:sz w:val="24"/>
          <w:szCs w:val="24"/>
        </w:rPr>
        <w:t xml:space="preserve">er bir alternatif için ağırlıklı </w:t>
      </w:r>
      <w:proofErr w:type="spellStart"/>
      <w:r w:rsidR="00086B79">
        <w:rPr>
          <w:rFonts w:ascii="Times New Roman" w:hAnsi="Times New Roman" w:cs="Times New Roman"/>
          <w:sz w:val="24"/>
          <w:szCs w:val="24"/>
        </w:rPr>
        <w:t>normalize</w:t>
      </w:r>
      <w:proofErr w:type="spellEnd"/>
      <w:r w:rsidR="00086B79">
        <w:rPr>
          <w:rFonts w:ascii="Times New Roman" w:hAnsi="Times New Roman" w:cs="Times New Roman"/>
          <w:sz w:val="24"/>
          <w:szCs w:val="24"/>
        </w:rPr>
        <w:t xml:space="preserve"> edilmiş pozitif </w:t>
      </w:r>
      <w:r w:rsidR="00086B79" w:rsidRPr="00086B79">
        <w:rPr>
          <w:rFonts w:ascii="Times New Roman" w:hAnsi="Times New Roman" w:cs="Times New Roman"/>
          <w:position w:val="-12"/>
          <w:sz w:val="24"/>
          <w:szCs w:val="24"/>
        </w:rPr>
        <w:object w:dxaOrig="720" w:dyaOrig="360">
          <v:shape id="_x0000_i1044" type="#_x0000_t75" style="width:36.45pt;height:17.75pt" o:ole="">
            <v:imagedata r:id="rId44" o:title=""/>
          </v:shape>
          <o:OLEObject Type="Embed" ProgID="Equation.DSMT4" ShapeID="_x0000_i1044" DrawAspect="Content" ObjectID="_1695058049" r:id="rId45"/>
        </w:object>
      </w:r>
      <w:r w:rsidR="00086B79">
        <w:rPr>
          <w:rFonts w:ascii="Times New Roman" w:hAnsi="Times New Roman" w:cs="Times New Roman"/>
          <w:sz w:val="24"/>
          <w:szCs w:val="24"/>
        </w:rPr>
        <w:t xml:space="preserve">ve negatif </w:t>
      </w:r>
      <w:r w:rsidR="00086B79" w:rsidRPr="00086B79">
        <w:rPr>
          <w:rFonts w:ascii="Times New Roman" w:hAnsi="Times New Roman" w:cs="Times New Roman"/>
          <w:position w:val="-12"/>
          <w:sz w:val="24"/>
          <w:szCs w:val="24"/>
        </w:rPr>
        <w:object w:dxaOrig="780" w:dyaOrig="360">
          <v:shape id="_x0000_i1045" type="#_x0000_t75" style="width:39.25pt;height:17.75pt" o:ole="">
            <v:imagedata r:id="rId46" o:title=""/>
          </v:shape>
          <o:OLEObject Type="Embed" ProgID="Equation.DSMT4" ShapeID="_x0000_i1045" DrawAspect="Content" ObjectID="_1695058050" r:id="rId47"/>
        </w:object>
      </w:r>
      <w:r w:rsidR="00086B79">
        <w:rPr>
          <w:rFonts w:ascii="Times New Roman" w:hAnsi="Times New Roman" w:cs="Times New Roman"/>
          <w:sz w:val="24"/>
          <w:szCs w:val="24"/>
        </w:rPr>
        <w:t xml:space="preserve"> </w:t>
      </w:r>
      <w:r w:rsidR="00670A9D">
        <w:rPr>
          <w:rFonts w:ascii="Times New Roman" w:hAnsi="Times New Roman" w:cs="Times New Roman"/>
          <w:sz w:val="24"/>
          <w:szCs w:val="24"/>
        </w:rPr>
        <w:t xml:space="preserve">değerleri formül (17) ve (18) den yararlanılarak elde edilir. </w:t>
      </w:r>
    </w:p>
    <w:p w:rsidR="00355690" w:rsidRPr="00776387" w:rsidRDefault="00670A9D" w:rsidP="00776387">
      <w:pPr>
        <w:pStyle w:val="MTDisplayEquation"/>
        <w:spacing w:after="120" w:line="240" w:lineRule="auto"/>
        <w:ind w:left="709" w:firstLine="709"/>
      </w:pPr>
      <w:r w:rsidRPr="00776387">
        <w:rPr>
          <w:rFonts w:eastAsiaTheme="minorEastAsia"/>
          <w:position w:val="-30"/>
        </w:rPr>
        <w:object w:dxaOrig="1820" w:dyaOrig="700">
          <v:shape id="_x0000_i1046" type="#_x0000_t75" style="width:89.75pt;height:36.45pt" o:ole="">
            <v:imagedata r:id="rId48" o:title=""/>
          </v:shape>
          <o:OLEObject Type="Embed" ProgID="Equation.DSMT4" ShapeID="_x0000_i1046" DrawAspect="Content" ObjectID="_1695058051" r:id="rId49"/>
        </w:object>
      </w:r>
      <w:r w:rsidR="00355690" w:rsidRPr="00776387">
        <w:t xml:space="preserve"> </w:t>
      </w:r>
      <w:r>
        <w:tab/>
      </w:r>
      <w:r>
        <w:tab/>
        <w:t>(17)</w:t>
      </w:r>
    </w:p>
    <w:p w:rsidR="00355690" w:rsidRPr="00776387" w:rsidRDefault="00355690" w:rsidP="00776387">
      <w:pPr>
        <w:pStyle w:val="MTDisplayEquation"/>
        <w:spacing w:after="120" w:line="240" w:lineRule="auto"/>
        <w:ind w:left="709" w:firstLine="709"/>
      </w:pPr>
      <w:r w:rsidRPr="00776387">
        <w:rPr>
          <w:rFonts w:eastAsiaTheme="minorEastAsia"/>
          <w:position w:val="-30"/>
        </w:rPr>
        <w:object w:dxaOrig="2175" w:dyaOrig="675">
          <v:shape id="_x0000_i1047" type="#_x0000_t75" style="width:107.55pt;height:33.65pt" o:ole="">
            <v:imagedata r:id="rId50" o:title=""/>
          </v:shape>
          <o:OLEObject Type="Embed" ProgID="Equation.DSMT4" ShapeID="_x0000_i1047" DrawAspect="Content" ObjectID="_1695058052" r:id="rId51"/>
        </w:object>
      </w:r>
      <w:r w:rsidRPr="00776387">
        <w:t xml:space="preserve"> </w:t>
      </w:r>
      <w:r w:rsidR="00670A9D">
        <w:tab/>
      </w:r>
      <w:r w:rsidR="00670A9D">
        <w:tab/>
        <w:t>(18)</w:t>
      </w:r>
    </w:p>
    <w:p w:rsidR="00355690" w:rsidRPr="00776387" w:rsidRDefault="00D21637" w:rsidP="00D21637">
      <w:pPr>
        <w:pStyle w:val="MTDisplayEquation"/>
        <w:spacing w:after="120" w:line="240" w:lineRule="auto"/>
      </w:pPr>
      <w:r>
        <w:rPr>
          <w:b/>
        </w:rPr>
        <w:tab/>
      </w:r>
      <w:r w:rsidR="00355690" w:rsidRPr="00776387">
        <w:rPr>
          <w:b/>
        </w:rPr>
        <w:t xml:space="preserve">Adım </w:t>
      </w:r>
      <w:r w:rsidR="00033BA6">
        <w:rPr>
          <w:b/>
        </w:rPr>
        <w:t>6</w:t>
      </w:r>
      <w:r w:rsidR="00355690" w:rsidRPr="00776387">
        <w:rPr>
          <w:b/>
        </w:rPr>
        <w:t>:</w:t>
      </w:r>
      <w:r w:rsidR="00355690" w:rsidRPr="00776387">
        <w:t xml:space="preserve"> </w:t>
      </w:r>
      <w:r w:rsidR="00670A9D">
        <w:t xml:space="preserve">Son adımda formül (19) kullanılarak </w:t>
      </w:r>
      <w:r w:rsidR="00355690" w:rsidRPr="00776387">
        <w:t>tüm alternatifler için değerlendirme puanı</w:t>
      </w:r>
      <w:r w:rsidR="00456643">
        <w:t xml:space="preserve">(AS) elde edilir. </w:t>
      </w:r>
      <w:r w:rsidR="00355690" w:rsidRPr="00776387">
        <w:tab/>
      </w:r>
      <w:r w:rsidR="00355690" w:rsidRPr="00776387">
        <w:rPr>
          <w:rFonts w:eastAsiaTheme="minorEastAsia"/>
          <w:position w:val="-4"/>
        </w:rPr>
        <w:object w:dxaOrig="180" w:dyaOrig="285">
          <v:shape id="_x0000_i1048" type="#_x0000_t75" style="width:9.35pt;height:13.1pt" o:ole="">
            <v:imagedata r:id="rId52" o:title=""/>
          </v:shape>
          <o:OLEObject Type="Embed" ProgID="Equation.DSMT4" ShapeID="_x0000_i1048" DrawAspect="Content" ObjectID="_1695058053" r:id="rId53"/>
        </w:object>
      </w:r>
      <w:r w:rsidR="00355690" w:rsidRPr="00776387">
        <w:t xml:space="preserve"> </w:t>
      </w:r>
    </w:p>
    <w:p w:rsidR="00355690" w:rsidRPr="00776387" w:rsidRDefault="00355690" w:rsidP="00776387">
      <w:pPr>
        <w:pStyle w:val="MTDisplayEquation"/>
        <w:spacing w:after="120" w:line="240" w:lineRule="auto"/>
        <w:ind w:left="709" w:firstLine="709"/>
      </w:pPr>
      <w:r w:rsidRPr="00776387">
        <w:rPr>
          <w:rFonts w:eastAsiaTheme="minorEastAsia"/>
          <w:position w:val="-24"/>
        </w:rPr>
        <w:object w:dxaOrig="2295" w:dyaOrig="615">
          <v:shape id="_x0000_i1049" type="#_x0000_t75" style="width:115.95pt;height:30.85pt" o:ole="">
            <v:imagedata r:id="rId54" o:title=""/>
          </v:shape>
          <o:OLEObject Type="Embed" ProgID="Equation.DSMT4" ShapeID="_x0000_i1049" DrawAspect="Content" ObjectID="_1695058054" r:id="rId55"/>
        </w:object>
      </w:r>
      <w:r w:rsidRPr="00776387">
        <w:t xml:space="preserve"> </w:t>
      </w:r>
      <w:r w:rsidR="007011E2">
        <w:tab/>
      </w:r>
      <w:r w:rsidR="007011E2">
        <w:tab/>
        <w:t>(19)</w:t>
      </w:r>
    </w:p>
    <w:p w:rsidR="00355690" w:rsidRPr="00776387" w:rsidRDefault="00355690" w:rsidP="00776387">
      <w:pPr>
        <w:spacing w:after="120" w:line="240" w:lineRule="auto"/>
        <w:ind w:left="709" w:firstLine="709"/>
        <w:rPr>
          <w:rFonts w:ascii="Times New Roman" w:hAnsi="Times New Roman" w:cs="Times New Roman"/>
          <w:sz w:val="24"/>
          <w:szCs w:val="24"/>
        </w:rPr>
      </w:pPr>
      <w:r w:rsidRPr="00776387">
        <w:rPr>
          <w:rFonts w:ascii="Times New Roman" w:hAnsi="Times New Roman" w:cs="Times New Roman"/>
          <w:sz w:val="24"/>
          <w:szCs w:val="24"/>
        </w:rPr>
        <w:t xml:space="preserve">0 ≤ </w:t>
      </w:r>
      <w:proofErr w:type="spellStart"/>
      <w:r w:rsidRPr="00776387">
        <w:rPr>
          <w:rFonts w:ascii="Times New Roman" w:hAnsi="Times New Roman" w:cs="Times New Roman"/>
          <w:sz w:val="24"/>
          <w:szCs w:val="24"/>
        </w:rPr>
        <w:t>AS</w:t>
      </w:r>
      <w:r w:rsidRPr="00776387">
        <w:rPr>
          <w:rFonts w:ascii="Times New Roman" w:hAnsi="Times New Roman" w:cs="Times New Roman"/>
          <w:sz w:val="24"/>
          <w:szCs w:val="24"/>
          <w:vertAlign w:val="subscript"/>
        </w:rPr>
        <w:t>i</w:t>
      </w:r>
      <w:proofErr w:type="spellEnd"/>
      <w:r w:rsidRPr="00776387">
        <w:rPr>
          <w:rFonts w:ascii="Times New Roman" w:hAnsi="Times New Roman" w:cs="Times New Roman"/>
          <w:sz w:val="24"/>
          <w:szCs w:val="24"/>
        </w:rPr>
        <w:t>≤ 1.</w:t>
      </w:r>
    </w:p>
    <w:p w:rsidR="00355690" w:rsidRDefault="00D21637" w:rsidP="00D21637">
      <w:pPr>
        <w:pStyle w:val="MTDisplayEquation"/>
        <w:spacing w:after="120" w:line="240" w:lineRule="auto"/>
      </w:pPr>
      <w:r>
        <w:tab/>
      </w:r>
      <w:r w:rsidR="00355690" w:rsidRPr="00776387">
        <w:t>Değerleme puan</w:t>
      </w:r>
      <w:r w:rsidR="00456643">
        <w:t xml:space="preserve">ları </w:t>
      </w:r>
      <w:r w:rsidR="00355690" w:rsidRPr="00776387">
        <w:t>azalan</w:t>
      </w:r>
      <w:r w:rsidR="00456643">
        <w:t xml:space="preserve"> bir şekilde sıralanarak en yüksek değere sahip alternatif en iyi alternatif olarak belirlenir.</w:t>
      </w:r>
    </w:p>
    <w:p w:rsidR="00355690" w:rsidRPr="007C53A4" w:rsidRDefault="007C53A4" w:rsidP="007C53A4">
      <w:pPr>
        <w:spacing w:before="240" w:after="12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3.3.</w:t>
      </w:r>
      <w:r w:rsidR="001B3E2A" w:rsidRPr="007C53A4">
        <w:rPr>
          <w:rFonts w:ascii="Times New Roman" w:hAnsi="Times New Roman" w:cs="Times New Roman"/>
          <w:b/>
          <w:sz w:val="24"/>
          <w:szCs w:val="24"/>
        </w:rPr>
        <w:t xml:space="preserve"> </w:t>
      </w:r>
      <w:r w:rsidR="00073621" w:rsidRPr="007C53A4">
        <w:rPr>
          <w:rFonts w:ascii="Times New Roman" w:hAnsi="Times New Roman" w:cs="Times New Roman"/>
          <w:b/>
          <w:sz w:val="24"/>
          <w:szCs w:val="24"/>
        </w:rPr>
        <w:t xml:space="preserve">Bulgular </w:t>
      </w:r>
    </w:p>
    <w:p w:rsidR="008238AB" w:rsidRDefault="00FD553A" w:rsidP="00FD553A">
      <w:pPr>
        <w:spacing w:after="120" w:line="240" w:lineRule="auto"/>
        <w:ind w:firstLine="708"/>
        <w:jc w:val="both"/>
        <w:rPr>
          <w:rFonts w:ascii="Times New Roman" w:hAnsi="Times New Roman" w:cs="Times New Roman"/>
          <w:sz w:val="24"/>
          <w:szCs w:val="24"/>
        </w:rPr>
      </w:pPr>
      <w:r w:rsidRPr="008807FB">
        <w:rPr>
          <w:rFonts w:ascii="Times New Roman" w:hAnsi="Times New Roman" w:cs="Times New Roman"/>
          <w:sz w:val="24"/>
          <w:szCs w:val="24"/>
        </w:rPr>
        <w:t xml:space="preserve">Analizde öncelikle iş yapma kolaylığı endeksinin hesaplanmasından kullanılan </w:t>
      </w:r>
      <w:proofErr w:type="gramStart"/>
      <w:r w:rsidRPr="008807FB">
        <w:rPr>
          <w:rFonts w:ascii="Times New Roman" w:hAnsi="Times New Roman" w:cs="Times New Roman"/>
          <w:sz w:val="24"/>
          <w:szCs w:val="24"/>
        </w:rPr>
        <w:t>kriterlerin</w:t>
      </w:r>
      <w:proofErr w:type="gramEnd"/>
      <w:r w:rsidRPr="008807FB">
        <w:rPr>
          <w:rFonts w:ascii="Times New Roman" w:hAnsi="Times New Roman" w:cs="Times New Roman"/>
          <w:sz w:val="24"/>
          <w:szCs w:val="24"/>
        </w:rPr>
        <w:t xml:space="preserve"> önem ağırlıkları belirlenmiştir. </w:t>
      </w:r>
      <w:proofErr w:type="spellStart"/>
      <w:r w:rsidRPr="008807FB">
        <w:rPr>
          <w:rFonts w:ascii="Times New Roman" w:hAnsi="Times New Roman" w:cs="Times New Roman"/>
          <w:sz w:val="24"/>
          <w:szCs w:val="24"/>
        </w:rPr>
        <w:t>Entropi</w:t>
      </w:r>
      <w:proofErr w:type="spellEnd"/>
      <w:r w:rsidRPr="008807FB">
        <w:rPr>
          <w:rFonts w:ascii="Times New Roman" w:hAnsi="Times New Roman" w:cs="Times New Roman"/>
          <w:sz w:val="24"/>
          <w:szCs w:val="24"/>
        </w:rPr>
        <w:t xml:space="preserve"> yöntemi ile belirlenen önem ağırlıkları Tablo 2.’de verilmiştir. </w:t>
      </w:r>
      <w:r w:rsidR="003474C3" w:rsidRPr="008807FB">
        <w:rPr>
          <w:rFonts w:ascii="Times New Roman" w:hAnsi="Times New Roman" w:cs="Times New Roman"/>
          <w:sz w:val="24"/>
          <w:szCs w:val="24"/>
        </w:rPr>
        <w:t xml:space="preserve">2016-2020 yılları için hesaplanan </w:t>
      </w:r>
      <w:proofErr w:type="gramStart"/>
      <w:r w:rsidR="003474C3" w:rsidRPr="008807FB">
        <w:rPr>
          <w:rFonts w:ascii="Times New Roman" w:hAnsi="Times New Roman" w:cs="Times New Roman"/>
          <w:sz w:val="24"/>
          <w:szCs w:val="24"/>
        </w:rPr>
        <w:t>kriter</w:t>
      </w:r>
      <w:proofErr w:type="gramEnd"/>
      <w:r w:rsidR="003474C3" w:rsidRPr="008807FB">
        <w:rPr>
          <w:rFonts w:ascii="Times New Roman" w:hAnsi="Times New Roman" w:cs="Times New Roman"/>
          <w:sz w:val="24"/>
          <w:szCs w:val="24"/>
        </w:rPr>
        <w:t xml:space="preserve"> önem ağırlıklarına bakıldığında yıllar itibariyle </w:t>
      </w:r>
      <w:r w:rsidR="00AF774F">
        <w:rPr>
          <w:rFonts w:ascii="Times New Roman" w:hAnsi="Times New Roman" w:cs="Times New Roman"/>
          <w:sz w:val="24"/>
          <w:szCs w:val="24"/>
        </w:rPr>
        <w:t>önem önceliklerin</w:t>
      </w:r>
      <w:r w:rsidR="003474C3" w:rsidRPr="008807FB">
        <w:rPr>
          <w:rFonts w:ascii="Times New Roman" w:hAnsi="Times New Roman" w:cs="Times New Roman"/>
          <w:sz w:val="24"/>
          <w:szCs w:val="24"/>
        </w:rPr>
        <w:t xml:space="preserve"> çok büyük ölçüde değişmediği görülmektedir. </w:t>
      </w:r>
      <w:r w:rsidR="00E0157E" w:rsidRPr="008807FB">
        <w:rPr>
          <w:rFonts w:ascii="Times New Roman" w:hAnsi="Times New Roman" w:cs="Times New Roman"/>
          <w:sz w:val="24"/>
          <w:szCs w:val="24"/>
        </w:rPr>
        <w:t xml:space="preserve"> Kurumlar vergisini ifade eden Kar Vergisi </w:t>
      </w:r>
      <w:proofErr w:type="gramStart"/>
      <w:r w:rsidR="00E0157E" w:rsidRPr="008807FB">
        <w:rPr>
          <w:rFonts w:ascii="Times New Roman" w:hAnsi="Times New Roman" w:cs="Times New Roman"/>
          <w:sz w:val="24"/>
          <w:szCs w:val="24"/>
        </w:rPr>
        <w:t>kriter</w:t>
      </w:r>
      <w:proofErr w:type="gramEnd"/>
      <w:r w:rsidR="00E0157E" w:rsidRPr="008807FB">
        <w:rPr>
          <w:rFonts w:ascii="Times New Roman" w:hAnsi="Times New Roman" w:cs="Times New Roman"/>
          <w:sz w:val="24"/>
          <w:szCs w:val="24"/>
        </w:rPr>
        <w:t xml:space="preserve"> </w:t>
      </w:r>
      <w:r w:rsidR="008807FB" w:rsidRPr="008807FB">
        <w:rPr>
          <w:rFonts w:ascii="Times New Roman" w:hAnsi="Times New Roman" w:cs="Times New Roman"/>
          <w:sz w:val="24"/>
          <w:szCs w:val="24"/>
        </w:rPr>
        <w:t>ağırlığının</w:t>
      </w:r>
      <w:r w:rsidR="00E0157E" w:rsidRPr="008807FB">
        <w:rPr>
          <w:rFonts w:ascii="Times New Roman" w:hAnsi="Times New Roman" w:cs="Times New Roman"/>
          <w:sz w:val="24"/>
          <w:szCs w:val="24"/>
        </w:rPr>
        <w:t xml:space="preserve"> 2016-2020 periyodunda bütün yılar için </w:t>
      </w:r>
      <w:r w:rsidR="00E3091A" w:rsidRPr="008807FB">
        <w:rPr>
          <w:rFonts w:ascii="Times New Roman" w:hAnsi="Times New Roman" w:cs="Times New Roman"/>
          <w:sz w:val="24"/>
          <w:szCs w:val="24"/>
        </w:rPr>
        <w:t>yüzde 23,6 ile yüzde 3</w:t>
      </w:r>
      <w:r w:rsidR="00E0157E" w:rsidRPr="008807FB">
        <w:rPr>
          <w:rFonts w:ascii="Times New Roman" w:hAnsi="Times New Roman" w:cs="Times New Roman"/>
          <w:sz w:val="24"/>
          <w:szCs w:val="24"/>
        </w:rPr>
        <w:t>6,5 ara</w:t>
      </w:r>
      <w:r w:rsidR="00E3091A" w:rsidRPr="008807FB">
        <w:rPr>
          <w:rFonts w:ascii="Times New Roman" w:hAnsi="Times New Roman" w:cs="Times New Roman"/>
          <w:sz w:val="24"/>
          <w:szCs w:val="24"/>
        </w:rPr>
        <w:t xml:space="preserve">sında </w:t>
      </w:r>
      <w:r w:rsidR="00E0157E" w:rsidRPr="008807FB">
        <w:rPr>
          <w:rFonts w:ascii="Times New Roman" w:hAnsi="Times New Roman" w:cs="Times New Roman"/>
          <w:sz w:val="24"/>
          <w:szCs w:val="24"/>
        </w:rPr>
        <w:t xml:space="preserve">değişen en önemli kriter olduğu görülmektedir. </w:t>
      </w:r>
      <w:r w:rsidR="004D7DC5" w:rsidRPr="008807FB">
        <w:rPr>
          <w:rFonts w:ascii="Times New Roman" w:hAnsi="Times New Roman" w:cs="Times New Roman"/>
          <w:sz w:val="24"/>
          <w:szCs w:val="24"/>
        </w:rPr>
        <w:t>Kar vergisi 2016 yılında 0.236, 2017 yılında 0.259, 2018 yılında 0.265</w:t>
      </w:r>
      <w:r w:rsidR="00E06D39" w:rsidRPr="008807FB">
        <w:rPr>
          <w:rFonts w:ascii="Times New Roman" w:hAnsi="Times New Roman" w:cs="Times New Roman"/>
          <w:sz w:val="24"/>
          <w:szCs w:val="24"/>
        </w:rPr>
        <w:t>,</w:t>
      </w:r>
      <w:r w:rsidR="004D7DC5" w:rsidRPr="008807FB">
        <w:rPr>
          <w:rFonts w:ascii="Times New Roman" w:hAnsi="Times New Roman" w:cs="Times New Roman"/>
          <w:sz w:val="24"/>
          <w:szCs w:val="24"/>
        </w:rPr>
        <w:t xml:space="preserve"> </w:t>
      </w:r>
      <w:r w:rsidR="00E3091A" w:rsidRPr="008807FB">
        <w:rPr>
          <w:rFonts w:ascii="Times New Roman" w:hAnsi="Times New Roman" w:cs="Times New Roman"/>
          <w:sz w:val="24"/>
          <w:szCs w:val="24"/>
        </w:rPr>
        <w:t>2019 y</w:t>
      </w:r>
      <w:r w:rsidR="00E06D39" w:rsidRPr="008807FB">
        <w:rPr>
          <w:rFonts w:ascii="Times New Roman" w:hAnsi="Times New Roman" w:cs="Times New Roman"/>
          <w:sz w:val="24"/>
          <w:szCs w:val="24"/>
        </w:rPr>
        <w:t>ı</w:t>
      </w:r>
      <w:r w:rsidR="00E3091A" w:rsidRPr="008807FB">
        <w:rPr>
          <w:rFonts w:ascii="Times New Roman" w:hAnsi="Times New Roman" w:cs="Times New Roman"/>
          <w:sz w:val="24"/>
          <w:szCs w:val="24"/>
        </w:rPr>
        <w:t xml:space="preserve">lında </w:t>
      </w:r>
      <w:r w:rsidR="004D7DC5" w:rsidRPr="008807FB">
        <w:rPr>
          <w:rFonts w:ascii="Times New Roman" w:hAnsi="Times New Roman" w:cs="Times New Roman"/>
          <w:sz w:val="24"/>
          <w:szCs w:val="24"/>
        </w:rPr>
        <w:t>0.</w:t>
      </w:r>
      <w:r w:rsidR="00E3091A" w:rsidRPr="008807FB">
        <w:rPr>
          <w:rFonts w:ascii="Times New Roman" w:hAnsi="Times New Roman" w:cs="Times New Roman"/>
          <w:sz w:val="24"/>
          <w:szCs w:val="24"/>
        </w:rPr>
        <w:t xml:space="preserve">365 ve 2020 yılında </w:t>
      </w:r>
      <w:r w:rsidR="004D7DC5" w:rsidRPr="008807FB">
        <w:rPr>
          <w:rFonts w:ascii="Times New Roman" w:hAnsi="Times New Roman" w:cs="Times New Roman"/>
          <w:sz w:val="24"/>
          <w:szCs w:val="24"/>
        </w:rPr>
        <w:t>0.</w:t>
      </w:r>
      <w:r w:rsidR="00E3091A" w:rsidRPr="008807FB">
        <w:rPr>
          <w:rFonts w:ascii="Times New Roman" w:hAnsi="Times New Roman" w:cs="Times New Roman"/>
          <w:sz w:val="24"/>
          <w:szCs w:val="24"/>
        </w:rPr>
        <w:t xml:space="preserve">36 </w:t>
      </w:r>
      <w:r w:rsidR="00E06D39" w:rsidRPr="008807FB">
        <w:rPr>
          <w:rFonts w:ascii="Times New Roman" w:hAnsi="Times New Roman" w:cs="Times New Roman"/>
          <w:sz w:val="24"/>
          <w:szCs w:val="24"/>
        </w:rPr>
        <w:t xml:space="preserve">düzeyinde </w:t>
      </w:r>
      <w:r w:rsidR="00E3091A" w:rsidRPr="008807FB">
        <w:rPr>
          <w:rFonts w:ascii="Times New Roman" w:hAnsi="Times New Roman" w:cs="Times New Roman"/>
          <w:sz w:val="24"/>
          <w:szCs w:val="24"/>
        </w:rPr>
        <w:t>önem</w:t>
      </w:r>
      <w:r w:rsidR="004D7DC5" w:rsidRPr="008807FB">
        <w:rPr>
          <w:rFonts w:ascii="Times New Roman" w:hAnsi="Times New Roman" w:cs="Times New Roman"/>
          <w:sz w:val="24"/>
          <w:szCs w:val="24"/>
        </w:rPr>
        <w:t>li</w:t>
      </w:r>
      <w:r w:rsidR="00E3091A" w:rsidRPr="008807FB">
        <w:rPr>
          <w:rFonts w:ascii="Times New Roman" w:hAnsi="Times New Roman" w:cs="Times New Roman"/>
          <w:sz w:val="24"/>
          <w:szCs w:val="24"/>
        </w:rPr>
        <w:t xml:space="preserve"> </w:t>
      </w:r>
      <w:r w:rsidR="00E06D39" w:rsidRPr="008807FB">
        <w:rPr>
          <w:rFonts w:ascii="Times New Roman" w:hAnsi="Times New Roman" w:cs="Times New Roman"/>
          <w:sz w:val="24"/>
          <w:szCs w:val="24"/>
        </w:rPr>
        <w:t xml:space="preserve">bulunuştur. Kar vergisini takip eden ikinci önemli </w:t>
      </w:r>
      <w:proofErr w:type="gramStart"/>
      <w:r w:rsidR="00E06D39" w:rsidRPr="008807FB">
        <w:rPr>
          <w:rFonts w:ascii="Times New Roman" w:hAnsi="Times New Roman" w:cs="Times New Roman"/>
          <w:sz w:val="24"/>
          <w:szCs w:val="24"/>
        </w:rPr>
        <w:t>kriter</w:t>
      </w:r>
      <w:proofErr w:type="gramEnd"/>
      <w:r w:rsidR="00E06D39" w:rsidRPr="008807FB">
        <w:rPr>
          <w:rFonts w:ascii="Times New Roman" w:hAnsi="Times New Roman" w:cs="Times New Roman"/>
          <w:sz w:val="24"/>
          <w:szCs w:val="24"/>
        </w:rPr>
        <w:t xml:space="preserve"> işgücü vergisi ve katkı payları kriteridir. Bu </w:t>
      </w:r>
      <w:proofErr w:type="gramStart"/>
      <w:r w:rsidR="00E06D39" w:rsidRPr="008807FB">
        <w:rPr>
          <w:rFonts w:ascii="Times New Roman" w:hAnsi="Times New Roman" w:cs="Times New Roman"/>
          <w:sz w:val="24"/>
          <w:szCs w:val="24"/>
        </w:rPr>
        <w:t>kriter</w:t>
      </w:r>
      <w:r w:rsidR="006B62F4" w:rsidRPr="008807FB">
        <w:rPr>
          <w:rFonts w:ascii="Times New Roman" w:hAnsi="Times New Roman" w:cs="Times New Roman"/>
          <w:sz w:val="24"/>
          <w:szCs w:val="24"/>
        </w:rPr>
        <w:t>in</w:t>
      </w:r>
      <w:proofErr w:type="gramEnd"/>
      <w:r w:rsidR="006B62F4" w:rsidRPr="008807FB">
        <w:rPr>
          <w:rFonts w:ascii="Times New Roman" w:hAnsi="Times New Roman" w:cs="Times New Roman"/>
          <w:sz w:val="24"/>
          <w:szCs w:val="24"/>
        </w:rPr>
        <w:t xml:space="preserve"> önem ağırlığı </w:t>
      </w:r>
      <w:r w:rsidR="00E06D39" w:rsidRPr="008807FB">
        <w:rPr>
          <w:rFonts w:ascii="Times New Roman" w:hAnsi="Times New Roman" w:cs="Times New Roman"/>
          <w:sz w:val="24"/>
          <w:szCs w:val="24"/>
        </w:rPr>
        <w:t>sırasıyla</w:t>
      </w:r>
      <w:r w:rsidR="006B62F4" w:rsidRPr="008807FB">
        <w:rPr>
          <w:rFonts w:ascii="Times New Roman" w:hAnsi="Times New Roman" w:cs="Times New Roman"/>
          <w:sz w:val="24"/>
          <w:szCs w:val="24"/>
        </w:rPr>
        <w:t xml:space="preserve"> 2016 yılında 0.235, 2017 yılında 0.235, 2018 yılında 0.231, 2019 yılında 0.314 ve 2020 yılında 0.334 olarak hesaplanmıştır. </w:t>
      </w:r>
      <w:r w:rsidR="00E06D39" w:rsidRPr="008807FB">
        <w:rPr>
          <w:rFonts w:ascii="Times New Roman" w:hAnsi="Times New Roman" w:cs="Times New Roman"/>
          <w:sz w:val="24"/>
          <w:szCs w:val="24"/>
        </w:rPr>
        <w:t xml:space="preserve">  </w:t>
      </w:r>
      <w:r w:rsidR="00CA2BE0" w:rsidRPr="008807FB">
        <w:rPr>
          <w:rFonts w:ascii="Times New Roman" w:hAnsi="Times New Roman" w:cs="Times New Roman"/>
          <w:sz w:val="24"/>
          <w:szCs w:val="24"/>
        </w:rPr>
        <w:t xml:space="preserve">Bu iki </w:t>
      </w:r>
      <w:proofErr w:type="gramStart"/>
      <w:r w:rsidR="00CA2BE0" w:rsidRPr="008807FB">
        <w:rPr>
          <w:rFonts w:ascii="Times New Roman" w:hAnsi="Times New Roman" w:cs="Times New Roman"/>
          <w:sz w:val="24"/>
          <w:szCs w:val="24"/>
        </w:rPr>
        <w:t>kriterin</w:t>
      </w:r>
      <w:proofErr w:type="gramEnd"/>
      <w:r w:rsidR="00CA2BE0" w:rsidRPr="008807FB">
        <w:rPr>
          <w:rFonts w:ascii="Times New Roman" w:hAnsi="Times New Roman" w:cs="Times New Roman"/>
          <w:sz w:val="24"/>
          <w:szCs w:val="24"/>
        </w:rPr>
        <w:t xml:space="preserve"> işletmelerin karlılığına doğrudan etki eden ve sürekli yapılan ödemeler</w:t>
      </w:r>
      <w:r w:rsidR="0063602E">
        <w:rPr>
          <w:rFonts w:ascii="Times New Roman" w:hAnsi="Times New Roman" w:cs="Times New Roman"/>
          <w:sz w:val="24"/>
          <w:szCs w:val="24"/>
        </w:rPr>
        <w:t xml:space="preserve">i ifade etmesi </w:t>
      </w:r>
      <w:r w:rsidR="00CA2BE0" w:rsidRPr="008807FB">
        <w:rPr>
          <w:rFonts w:ascii="Times New Roman" w:hAnsi="Times New Roman" w:cs="Times New Roman"/>
          <w:sz w:val="24"/>
          <w:szCs w:val="24"/>
        </w:rPr>
        <w:t xml:space="preserve">nedeniyle </w:t>
      </w:r>
      <w:r w:rsidR="0063602E">
        <w:rPr>
          <w:rFonts w:ascii="Times New Roman" w:hAnsi="Times New Roman" w:cs="Times New Roman"/>
          <w:sz w:val="24"/>
          <w:szCs w:val="24"/>
        </w:rPr>
        <w:t xml:space="preserve">hesaplanan önem ağırlığının iktisadi </w:t>
      </w:r>
      <w:r w:rsidR="00CA2BE0" w:rsidRPr="008807FB">
        <w:rPr>
          <w:rFonts w:ascii="Times New Roman" w:hAnsi="Times New Roman" w:cs="Times New Roman"/>
          <w:sz w:val="24"/>
          <w:szCs w:val="24"/>
        </w:rPr>
        <w:t>teoriye uygun bir sonuç</w:t>
      </w:r>
      <w:r w:rsidR="0063602E">
        <w:rPr>
          <w:rFonts w:ascii="Times New Roman" w:hAnsi="Times New Roman" w:cs="Times New Roman"/>
          <w:sz w:val="24"/>
          <w:szCs w:val="24"/>
        </w:rPr>
        <w:t xml:space="preserve"> olduğu görülmektedir. </w:t>
      </w:r>
      <w:r w:rsidR="00C20BC0">
        <w:rPr>
          <w:rFonts w:ascii="Times New Roman" w:hAnsi="Times New Roman" w:cs="Times New Roman"/>
          <w:sz w:val="24"/>
          <w:szCs w:val="24"/>
        </w:rPr>
        <w:t>Kardan ve işgücü istihdamı ile ilgili v</w:t>
      </w:r>
      <w:r w:rsidR="00CA2BE0" w:rsidRPr="008807FB">
        <w:rPr>
          <w:rFonts w:ascii="Times New Roman" w:hAnsi="Times New Roman" w:cs="Times New Roman"/>
          <w:sz w:val="24"/>
          <w:szCs w:val="24"/>
        </w:rPr>
        <w:t>ergi</w:t>
      </w:r>
      <w:r w:rsidR="003A660B" w:rsidRPr="008807FB">
        <w:rPr>
          <w:rFonts w:ascii="Times New Roman" w:hAnsi="Times New Roman" w:cs="Times New Roman"/>
          <w:sz w:val="24"/>
          <w:szCs w:val="24"/>
        </w:rPr>
        <w:t xml:space="preserve"> </w:t>
      </w:r>
      <w:r w:rsidR="00CA2BE0" w:rsidRPr="008807FB">
        <w:rPr>
          <w:rFonts w:ascii="Times New Roman" w:hAnsi="Times New Roman" w:cs="Times New Roman"/>
          <w:sz w:val="24"/>
          <w:szCs w:val="24"/>
        </w:rPr>
        <w:t>oran</w:t>
      </w:r>
      <w:r w:rsidR="003A660B" w:rsidRPr="008807FB">
        <w:rPr>
          <w:rFonts w:ascii="Times New Roman" w:hAnsi="Times New Roman" w:cs="Times New Roman"/>
          <w:sz w:val="24"/>
          <w:szCs w:val="24"/>
        </w:rPr>
        <w:t>lar</w:t>
      </w:r>
      <w:r w:rsidR="00CA2BE0" w:rsidRPr="008807FB">
        <w:rPr>
          <w:rFonts w:ascii="Times New Roman" w:hAnsi="Times New Roman" w:cs="Times New Roman"/>
          <w:sz w:val="24"/>
          <w:szCs w:val="24"/>
        </w:rPr>
        <w:t>ı</w:t>
      </w:r>
      <w:r w:rsidR="00C20BC0">
        <w:rPr>
          <w:rFonts w:ascii="Times New Roman" w:hAnsi="Times New Roman" w:cs="Times New Roman"/>
          <w:sz w:val="24"/>
          <w:szCs w:val="24"/>
        </w:rPr>
        <w:t>nın</w:t>
      </w:r>
      <w:r w:rsidR="0063602E">
        <w:rPr>
          <w:rFonts w:ascii="Times New Roman" w:hAnsi="Times New Roman" w:cs="Times New Roman"/>
          <w:sz w:val="24"/>
          <w:szCs w:val="24"/>
        </w:rPr>
        <w:t xml:space="preserve"> işletmelerin </w:t>
      </w:r>
      <w:r w:rsidR="00CA2BE0" w:rsidRPr="008807FB">
        <w:rPr>
          <w:rFonts w:ascii="Times New Roman" w:hAnsi="Times New Roman" w:cs="Times New Roman"/>
          <w:sz w:val="24"/>
          <w:szCs w:val="24"/>
        </w:rPr>
        <w:t>bilanço karını etkileyen temel unsur</w:t>
      </w:r>
      <w:r w:rsidR="00C20BC0">
        <w:rPr>
          <w:rFonts w:ascii="Times New Roman" w:hAnsi="Times New Roman" w:cs="Times New Roman"/>
          <w:sz w:val="24"/>
          <w:szCs w:val="24"/>
        </w:rPr>
        <w:t xml:space="preserve"> olduğu görülmektedir. </w:t>
      </w:r>
      <w:r w:rsidR="008D2924">
        <w:rPr>
          <w:rFonts w:ascii="Times New Roman" w:hAnsi="Times New Roman" w:cs="Times New Roman"/>
          <w:sz w:val="24"/>
          <w:szCs w:val="24"/>
        </w:rPr>
        <w:t xml:space="preserve">Bu </w:t>
      </w:r>
      <w:proofErr w:type="gramStart"/>
      <w:r w:rsidR="008D2924">
        <w:rPr>
          <w:rFonts w:ascii="Times New Roman" w:hAnsi="Times New Roman" w:cs="Times New Roman"/>
          <w:sz w:val="24"/>
          <w:szCs w:val="24"/>
        </w:rPr>
        <w:t>kriterlerin</w:t>
      </w:r>
      <w:proofErr w:type="gramEnd"/>
      <w:r w:rsidR="008D2924">
        <w:rPr>
          <w:rFonts w:ascii="Times New Roman" w:hAnsi="Times New Roman" w:cs="Times New Roman"/>
          <w:sz w:val="24"/>
          <w:szCs w:val="24"/>
        </w:rPr>
        <w:t xml:space="preserve"> önem ağırlıkları ile öne çıkması </w:t>
      </w:r>
      <w:r w:rsidR="00917827">
        <w:rPr>
          <w:rFonts w:ascii="Times New Roman" w:hAnsi="Times New Roman" w:cs="Times New Roman"/>
          <w:sz w:val="24"/>
          <w:szCs w:val="24"/>
        </w:rPr>
        <w:t>daha önce ifade edildiği gibi uluslararası</w:t>
      </w:r>
      <w:r w:rsidR="00C20BC0">
        <w:rPr>
          <w:rFonts w:ascii="Times New Roman" w:hAnsi="Times New Roman" w:cs="Times New Roman"/>
          <w:sz w:val="24"/>
          <w:szCs w:val="24"/>
        </w:rPr>
        <w:t xml:space="preserve"> yatırımcıların</w:t>
      </w:r>
      <w:r w:rsidR="008D2924">
        <w:rPr>
          <w:rFonts w:ascii="Times New Roman" w:hAnsi="Times New Roman" w:cs="Times New Roman"/>
          <w:sz w:val="24"/>
          <w:szCs w:val="24"/>
        </w:rPr>
        <w:t xml:space="preserve"> maksimum karı yakalamak için p</w:t>
      </w:r>
      <w:r w:rsidR="00C20BC0">
        <w:rPr>
          <w:rFonts w:ascii="Times New Roman" w:hAnsi="Times New Roman" w:cs="Times New Roman"/>
          <w:sz w:val="24"/>
          <w:szCs w:val="24"/>
        </w:rPr>
        <w:t>azar ve işg</w:t>
      </w:r>
      <w:r w:rsidR="008D2924">
        <w:rPr>
          <w:rFonts w:ascii="Times New Roman" w:hAnsi="Times New Roman" w:cs="Times New Roman"/>
          <w:sz w:val="24"/>
          <w:szCs w:val="24"/>
        </w:rPr>
        <w:t>ücü st</w:t>
      </w:r>
      <w:r w:rsidR="00C20BC0">
        <w:rPr>
          <w:rFonts w:ascii="Times New Roman" w:hAnsi="Times New Roman" w:cs="Times New Roman"/>
          <w:sz w:val="24"/>
          <w:szCs w:val="24"/>
        </w:rPr>
        <w:t>r</w:t>
      </w:r>
      <w:r w:rsidR="008D2924">
        <w:rPr>
          <w:rFonts w:ascii="Times New Roman" w:hAnsi="Times New Roman" w:cs="Times New Roman"/>
          <w:sz w:val="24"/>
          <w:szCs w:val="24"/>
        </w:rPr>
        <w:t>a</w:t>
      </w:r>
      <w:r w:rsidR="00C20BC0">
        <w:rPr>
          <w:rFonts w:ascii="Times New Roman" w:hAnsi="Times New Roman" w:cs="Times New Roman"/>
          <w:sz w:val="24"/>
          <w:szCs w:val="24"/>
        </w:rPr>
        <w:t xml:space="preserve">tejisi ile uyumlu bir bulgudur.  </w:t>
      </w:r>
      <w:r w:rsidR="003A660B" w:rsidRPr="008807FB">
        <w:rPr>
          <w:rFonts w:ascii="Times New Roman" w:hAnsi="Times New Roman" w:cs="Times New Roman"/>
          <w:sz w:val="24"/>
          <w:szCs w:val="24"/>
        </w:rPr>
        <w:t>Bu kriterler</w:t>
      </w:r>
      <w:r w:rsidR="001E7323" w:rsidRPr="008807FB">
        <w:rPr>
          <w:rFonts w:ascii="Times New Roman" w:hAnsi="Times New Roman" w:cs="Times New Roman"/>
          <w:sz w:val="24"/>
          <w:szCs w:val="24"/>
        </w:rPr>
        <w:t xml:space="preserve">i iflasın çözümü, kredi imkanları, </w:t>
      </w:r>
      <w:r w:rsidR="004B2161" w:rsidRPr="008807FB">
        <w:rPr>
          <w:rFonts w:ascii="Times New Roman" w:hAnsi="Times New Roman" w:cs="Times New Roman"/>
          <w:sz w:val="24"/>
          <w:szCs w:val="24"/>
        </w:rPr>
        <w:t xml:space="preserve">sınır ötesi ticaret, azınlık ortak haklarının </w:t>
      </w:r>
      <w:r w:rsidR="001E7323" w:rsidRPr="008807FB">
        <w:rPr>
          <w:rFonts w:ascii="Times New Roman" w:hAnsi="Times New Roman" w:cs="Times New Roman"/>
          <w:sz w:val="24"/>
          <w:szCs w:val="24"/>
        </w:rPr>
        <w:t>korunması kriterleri izlerken, en az önemli bulun</w:t>
      </w:r>
      <w:r w:rsidR="00242B97" w:rsidRPr="008807FB">
        <w:rPr>
          <w:rFonts w:ascii="Times New Roman" w:hAnsi="Times New Roman" w:cs="Times New Roman"/>
          <w:sz w:val="24"/>
          <w:szCs w:val="24"/>
        </w:rPr>
        <w:t xml:space="preserve">an </w:t>
      </w:r>
      <w:proofErr w:type="gramStart"/>
      <w:r w:rsidR="001E7323" w:rsidRPr="008807FB">
        <w:rPr>
          <w:rFonts w:ascii="Times New Roman" w:hAnsi="Times New Roman" w:cs="Times New Roman"/>
          <w:sz w:val="24"/>
          <w:szCs w:val="24"/>
        </w:rPr>
        <w:t>kriter</w:t>
      </w:r>
      <w:proofErr w:type="gramEnd"/>
      <w:r w:rsidR="001E7323" w:rsidRPr="008807FB">
        <w:rPr>
          <w:rFonts w:ascii="Times New Roman" w:hAnsi="Times New Roman" w:cs="Times New Roman"/>
          <w:sz w:val="24"/>
          <w:szCs w:val="24"/>
        </w:rPr>
        <w:t xml:space="preserve"> işe başlama ve iş kurma kriteri olmuştur. </w:t>
      </w:r>
      <w:r w:rsidR="003A660B" w:rsidRPr="008807FB">
        <w:rPr>
          <w:rFonts w:ascii="Times New Roman" w:hAnsi="Times New Roman" w:cs="Times New Roman"/>
          <w:sz w:val="24"/>
          <w:szCs w:val="24"/>
        </w:rPr>
        <w:t xml:space="preserve"> </w:t>
      </w:r>
    </w:p>
    <w:p w:rsidR="00090EA0" w:rsidRDefault="00090EA0" w:rsidP="00FD553A">
      <w:pPr>
        <w:spacing w:after="120" w:line="240" w:lineRule="auto"/>
        <w:ind w:firstLine="708"/>
        <w:jc w:val="both"/>
        <w:rPr>
          <w:rFonts w:ascii="Times New Roman" w:hAnsi="Times New Roman" w:cs="Times New Roman"/>
          <w:sz w:val="24"/>
          <w:szCs w:val="24"/>
        </w:rPr>
      </w:pPr>
    </w:p>
    <w:p w:rsidR="00A84490" w:rsidRDefault="00A84490" w:rsidP="00FD553A">
      <w:pPr>
        <w:spacing w:after="120" w:line="240" w:lineRule="auto"/>
        <w:ind w:firstLine="708"/>
        <w:jc w:val="both"/>
        <w:rPr>
          <w:rFonts w:ascii="Times New Roman" w:hAnsi="Times New Roman" w:cs="Times New Roman"/>
          <w:sz w:val="24"/>
          <w:szCs w:val="24"/>
        </w:rPr>
      </w:pPr>
    </w:p>
    <w:p w:rsidR="00A84490" w:rsidRDefault="00A84490" w:rsidP="00FD553A">
      <w:pPr>
        <w:spacing w:after="120" w:line="240" w:lineRule="auto"/>
        <w:ind w:firstLine="708"/>
        <w:jc w:val="both"/>
        <w:rPr>
          <w:rFonts w:ascii="Times New Roman" w:hAnsi="Times New Roman" w:cs="Times New Roman"/>
          <w:sz w:val="24"/>
          <w:szCs w:val="24"/>
        </w:rPr>
      </w:pPr>
    </w:p>
    <w:p w:rsidR="00A84490" w:rsidRDefault="00A84490" w:rsidP="00FD553A">
      <w:pPr>
        <w:spacing w:after="120" w:line="240" w:lineRule="auto"/>
        <w:ind w:firstLine="708"/>
        <w:jc w:val="both"/>
        <w:rPr>
          <w:rFonts w:ascii="Times New Roman" w:hAnsi="Times New Roman" w:cs="Times New Roman"/>
          <w:sz w:val="24"/>
          <w:szCs w:val="24"/>
        </w:rPr>
      </w:pPr>
    </w:p>
    <w:p w:rsidR="006E2825" w:rsidRPr="00917865" w:rsidRDefault="006E2825" w:rsidP="000956FA">
      <w:pPr>
        <w:spacing w:after="120" w:line="240" w:lineRule="auto"/>
        <w:ind w:firstLine="708"/>
        <w:jc w:val="center"/>
        <w:rPr>
          <w:rFonts w:ascii="Times New Roman" w:hAnsi="Times New Roman" w:cs="Times New Roman"/>
          <w:b/>
          <w:sz w:val="24"/>
          <w:szCs w:val="24"/>
        </w:rPr>
      </w:pPr>
      <w:r w:rsidRPr="00917865">
        <w:rPr>
          <w:rFonts w:ascii="Times New Roman" w:hAnsi="Times New Roman" w:cs="Times New Roman"/>
          <w:b/>
          <w:sz w:val="24"/>
          <w:szCs w:val="24"/>
        </w:rPr>
        <w:lastRenderedPageBreak/>
        <w:t xml:space="preserve">Tablo </w:t>
      </w:r>
      <w:r w:rsidR="00917183">
        <w:rPr>
          <w:rFonts w:ascii="Times New Roman" w:hAnsi="Times New Roman" w:cs="Times New Roman"/>
          <w:b/>
          <w:sz w:val="24"/>
          <w:szCs w:val="24"/>
        </w:rPr>
        <w:t>3</w:t>
      </w:r>
      <w:r w:rsidRPr="00917865">
        <w:rPr>
          <w:rFonts w:ascii="Times New Roman" w:hAnsi="Times New Roman" w:cs="Times New Roman"/>
          <w:b/>
          <w:sz w:val="24"/>
          <w:szCs w:val="24"/>
        </w:rPr>
        <w:t xml:space="preserve">. İş yapma kolaylığı endeksi </w:t>
      </w:r>
      <w:proofErr w:type="gramStart"/>
      <w:r w:rsidRPr="00917865">
        <w:rPr>
          <w:rFonts w:ascii="Times New Roman" w:hAnsi="Times New Roman" w:cs="Times New Roman"/>
          <w:b/>
          <w:sz w:val="24"/>
          <w:szCs w:val="24"/>
        </w:rPr>
        <w:t>kriterlerinin</w:t>
      </w:r>
      <w:proofErr w:type="gramEnd"/>
      <w:r w:rsidR="00443229" w:rsidRPr="00917865">
        <w:rPr>
          <w:rFonts w:ascii="Times New Roman" w:hAnsi="Times New Roman" w:cs="Times New Roman"/>
          <w:b/>
          <w:sz w:val="24"/>
          <w:szCs w:val="24"/>
        </w:rPr>
        <w:t xml:space="preserve"> önem ağırlıkları</w:t>
      </w:r>
      <w:r w:rsidRPr="00917865">
        <w:rPr>
          <w:rFonts w:ascii="Times New Roman" w:hAnsi="Times New Roman" w:cs="Times New Roman"/>
          <w:b/>
          <w:sz w:val="24"/>
          <w:szCs w:val="24"/>
        </w:rPr>
        <w:t>.</w:t>
      </w:r>
    </w:p>
    <w:tbl>
      <w:tblPr>
        <w:tblStyle w:val="DzTablo2"/>
        <w:tblW w:w="8837" w:type="dxa"/>
        <w:jc w:val="center"/>
        <w:tblLook w:val="04A0" w:firstRow="1" w:lastRow="0" w:firstColumn="1" w:lastColumn="0" w:noHBand="0" w:noVBand="1"/>
      </w:tblPr>
      <w:tblGrid>
        <w:gridCol w:w="616"/>
        <w:gridCol w:w="666"/>
        <w:gridCol w:w="666"/>
        <w:gridCol w:w="922"/>
        <w:gridCol w:w="666"/>
        <w:gridCol w:w="666"/>
        <w:gridCol w:w="666"/>
        <w:gridCol w:w="666"/>
        <w:gridCol w:w="666"/>
        <w:gridCol w:w="666"/>
        <w:gridCol w:w="666"/>
        <w:gridCol w:w="666"/>
        <w:gridCol w:w="666"/>
      </w:tblGrid>
      <w:tr w:rsidR="008D6A8F" w:rsidRPr="006E2825" w:rsidTr="00ED47FA">
        <w:trPr>
          <w:cnfStyle w:val="100000000000" w:firstRow="1" w:lastRow="0" w:firstColumn="0" w:lastColumn="0" w:oddVBand="0" w:evenVBand="0" w:oddHBand="0" w:evenHBand="0" w:firstRowFirstColumn="0" w:firstRowLastColumn="0" w:lastRowFirstColumn="0" w:lastRowLastColumn="0"/>
          <w:trHeight w:val="32"/>
          <w:jc w:val="center"/>
        </w:trPr>
        <w:tc>
          <w:tcPr>
            <w:cnfStyle w:val="001000000000" w:firstRow="0" w:lastRow="0" w:firstColumn="1" w:lastColumn="0" w:oddVBand="0" w:evenVBand="0" w:oddHBand="0" w:evenHBand="0" w:firstRowFirstColumn="0" w:firstRowLastColumn="0" w:lastRowFirstColumn="0" w:lastRowLastColumn="0"/>
            <w:tcW w:w="8837" w:type="dxa"/>
            <w:gridSpan w:val="13"/>
          </w:tcPr>
          <w:p w:rsidR="008D6A8F" w:rsidRPr="006E2825" w:rsidRDefault="008D6A8F" w:rsidP="00776387">
            <w:pPr>
              <w:spacing w:after="120"/>
              <w:jc w:val="center"/>
              <w:rPr>
                <w:rFonts w:ascii="Times New Roman" w:hAnsi="Times New Roman" w:cs="Times New Roman"/>
                <w:color w:val="000000"/>
                <w:sz w:val="20"/>
                <w:szCs w:val="20"/>
              </w:rPr>
            </w:pPr>
            <w:r w:rsidRPr="006E2825">
              <w:rPr>
                <w:rFonts w:ascii="Times New Roman" w:hAnsi="Times New Roman" w:cs="Times New Roman"/>
                <w:color w:val="000000"/>
                <w:sz w:val="20"/>
                <w:szCs w:val="20"/>
              </w:rPr>
              <w:t>Kriter Önem ağırlıkları</w:t>
            </w:r>
          </w:p>
        </w:tc>
      </w:tr>
      <w:tr w:rsidR="008D6A8F" w:rsidRPr="006E2825" w:rsidTr="00ED47FA">
        <w:trPr>
          <w:cnfStyle w:val="000000100000" w:firstRow="0" w:lastRow="0" w:firstColumn="0" w:lastColumn="0" w:oddVBand="0" w:evenVBand="0" w:oddHBand="1" w:evenHBand="0" w:firstRowFirstColumn="0" w:firstRowLastColumn="0" w:lastRowFirstColumn="0" w:lastRowLastColumn="0"/>
          <w:trHeight w:val="2506"/>
          <w:jc w:val="center"/>
        </w:trPr>
        <w:tc>
          <w:tcPr>
            <w:cnfStyle w:val="001000000000" w:firstRow="0" w:lastRow="0" w:firstColumn="1" w:lastColumn="0" w:oddVBand="0" w:evenVBand="0" w:oddHBand="0" w:evenHBand="0" w:firstRowFirstColumn="0" w:firstRowLastColumn="0" w:lastRowFirstColumn="0" w:lastRowLastColumn="0"/>
            <w:tcW w:w="606" w:type="dxa"/>
            <w:textDirection w:val="btLr"/>
          </w:tcPr>
          <w:p w:rsidR="008D6A8F" w:rsidRPr="006E2825" w:rsidRDefault="008D6A8F" w:rsidP="00776387">
            <w:pPr>
              <w:spacing w:after="120"/>
              <w:jc w:val="center"/>
              <w:rPr>
                <w:rFonts w:ascii="Times New Roman" w:hAnsi="Times New Roman" w:cs="Times New Roman"/>
                <w:color w:val="000000"/>
                <w:sz w:val="20"/>
                <w:szCs w:val="20"/>
              </w:rPr>
            </w:pPr>
          </w:p>
        </w:tc>
        <w:tc>
          <w:tcPr>
            <w:tcW w:w="654"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İnşaat İzinleri Alma</w:t>
            </w:r>
          </w:p>
        </w:tc>
        <w:tc>
          <w:tcPr>
            <w:tcW w:w="663"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 xml:space="preserve">Sözleşmelerin </w:t>
            </w:r>
            <w:proofErr w:type="spellStart"/>
            <w:r w:rsidRPr="006E2825">
              <w:rPr>
                <w:rFonts w:ascii="Times New Roman" w:hAnsi="Times New Roman" w:cs="Times New Roman"/>
                <w:b/>
                <w:color w:val="000000"/>
                <w:sz w:val="20"/>
                <w:szCs w:val="20"/>
              </w:rPr>
              <w:t>Uygulanırlığı</w:t>
            </w:r>
            <w:proofErr w:type="spellEnd"/>
            <w:r w:rsidRPr="006E2825">
              <w:rPr>
                <w:rFonts w:ascii="Times New Roman" w:hAnsi="Times New Roman" w:cs="Times New Roman"/>
                <w:b/>
                <w:color w:val="000000"/>
                <w:sz w:val="20"/>
                <w:szCs w:val="20"/>
              </w:rPr>
              <w:t xml:space="preserve">, </w:t>
            </w:r>
            <w:proofErr w:type="spellStart"/>
            <w:r w:rsidRPr="006E2825">
              <w:rPr>
                <w:rFonts w:ascii="Times New Roman" w:hAnsi="Times New Roman" w:cs="Times New Roman"/>
                <w:b/>
                <w:color w:val="000000"/>
                <w:sz w:val="20"/>
                <w:szCs w:val="20"/>
              </w:rPr>
              <w:t>Zorlayıcılığı</w:t>
            </w:r>
            <w:proofErr w:type="spellEnd"/>
          </w:p>
        </w:tc>
        <w:tc>
          <w:tcPr>
            <w:tcW w:w="922"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p>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Kredi Alma</w:t>
            </w:r>
          </w:p>
        </w:tc>
        <w:tc>
          <w:tcPr>
            <w:tcW w:w="664"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Elektrik Alma</w:t>
            </w:r>
          </w:p>
        </w:tc>
        <w:tc>
          <w:tcPr>
            <w:tcW w:w="664"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Küresel: İş Yapma Kolaylığı Puanı</w:t>
            </w:r>
          </w:p>
        </w:tc>
        <w:tc>
          <w:tcPr>
            <w:tcW w:w="664"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İşgücü Vergisi ve Katkı Payları (Karın Yüzdesi)</w:t>
            </w:r>
          </w:p>
        </w:tc>
        <w:tc>
          <w:tcPr>
            <w:tcW w:w="664"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Kâr Vergisi (Karın Yüzdesi)</w:t>
            </w:r>
          </w:p>
        </w:tc>
        <w:tc>
          <w:tcPr>
            <w:tcW w:w="664"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Azınlık Yatırımcılarının Korunması</w:t>
            </w:r>
          </w:p>
        </w:tc>
        <w:tc>
          <w:tcPr>
            <w:tcW w:w="664"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Mülkiyetin Kaydedilmesi</w:t>
            </w:r>
          </w:p>
        </w:tc>
        <w:tc>
          <w:tcPr>
            <w:tcW w:w="664"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İflasın Çözülmesi</w:t>
            </w:r>
          </w:p>
        </w:tc>
        <w:tc>
          <w:tcPr>
            <w:tcW w:w="664"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İş Kurma /İşe Başlama</w:t>
            </w:r>
          </w:p>
        </w:tc>
        <w:tc>
          <w:tcPr>
            <w:tcW w:w="665" w:type="dxa"/>
            <w:noWrap/>
            <w:textDirection w:val="btL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6E2825">
              <w:rPr>
                <w:rFonts w:ascii="Times New Roman" w:hAnsi="Times New Roman" w:cs="Times New Roman"/>
                <w:b/>
                <w:color w:val="000000"/>
                <w:sz w:val="20"/>
                <w:szCs w:val="20"/>
              </w:rPr>
              <w:t>Sınır Ötesi Ticaret</w:t>
            </w:r>
          </w:p>
        </w:tc>
      </w:tr>
      <w:tr w:rsidR="008D6A8F" w:rsidRPr="006E2825" w:rsidTr="00ED47FA">
        <w:trPr>
          <w:trHeight w:val="639"/>
          <w:jc w:val="center"/>
        </w:trPr>
        <w:tc>
          <w:tcPr>
            <w:cnfStyle w:val="001000000000" w:firstRow="0" w:lastRow="0" w:firstColumn="1" w:lastColumn="0" w:oddVBand="0" w:evenVBand="0" w:oddHBand="0" w:evenHBand="0" w:firstRowFirstColumn="0" w:firstRowLastColumn="0" w:lastRowFirstColumn="0" w:lastRowLastColumn="0"/>
            <w:tcW w:w="606" w:type="dxa"/>
            <w:vAlign w:val="center"/>
          </w:tcPr>
          <w:p w:rsidR="008D6A8F" w:rsidRPr="006E2825" w:rsidRDefault="008D6A8F" w:rsidP="00776387">
            <w:pPr>
              <w:spacing w:after="120"/>
              <w:jc w:val="center"/>
              <w:rPr>
                <w:rFonts w:ascii="Times New Roman" w:hAnsi="Times New Roman" w:cs="Times New Roman"/>
                <w:color w:val="000000"/>
                <w:sz w:val="20"/>
                <w:szCs w:val="20"/>
              </w:rPr>
            </w:pPr>
            <w:r w:rsidRPr="006E2825">
              <w:rPr>
                <w:rFonts w:ascii="Times New Roman" w:hAnsi="Times New Roman" w:cs="Times New Roman"/>
                <w:bCs w:val="0"/>
                <w:color w:val="000000"/>
                <w:sz w:val="20"/>
                <w:szCs w:val="20"/>
              </w:rPr>
              <w:t>2016</w:t>
            </w:r>
          </w:p>
        </w:tc>
        <w:tc>
          <w:tcPr>
            <w:tcW w:w="654"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0.063</w:t>
            </w:r>
          </w:p>
        </w:tc>
        <w:tc>
          <w:tcPr>
            <w:tcW w:w="663"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0.037</w:t>
            </w:r>
          </w:p>
        </w:tc>
        <w:tc>
          <w:tcPr>
            <w:tcW w:w="922"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0.079</w:t>
            </w:r>
          </w:p>
        </w:tc>
        <w:tc>
          <w:tcPr>
            <w:tcW w:w="664"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0.049</w:t>
            </w:r>
          </w:p>
        </w:tc>
        <w:tc>
          <w:tcPr>
            <w:tcW w:w="664"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0.034</w:t>
            </w:r>
          </w:p>
        </w:tc>
        <w:tc>
          <w:tcPr>
            <w:tcW w:w="664"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0.235</w:t>
            </w:r>
          </w:p>
        </w:tc>
        <w:tc>
          <w:tcPr>
            <w:tcW w:w="664"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0.236</w:t>
            </w:r>
          </w:p>
        </w:tc>
        <w:tc>
          <w:tcPr>
            <w:tcW w:w="664"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0.054</w:t>
            </w:r>
          </w:p>
        </w:tc>
        <w:tc>
          <w:tcPr>
            <w:tcW w:w="664"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0.041</w:t>
            </w:r>
          </w:p>
        </w:tc>
        <w:tc>
          <w:tcPr>
            <w:tcW w:w="664"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0.079</w:t>
            </w:r>
          </w:p>
        </w:tc>
        <w:tc>
          <w:tcPr>
            <w:tcW w:w="664"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0.029</w:t>
            </w:r>
          </w:p>
        </w:tc>
        <w:tc>
          <w:tcPr>
            <w:tcW w:w="665" w:type="dxa"/>
            <w:noWrap/>
            <w:vAlign w:val="center"/>
            <w:hideMark/>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0.064</w:t>
            </w:r>
          </w:p>
        </w:tc>
      </w:tr>
      <w:tr w:rsidR="008D6A8F" w:rsidRPr="006E2825" w:rsidTr="00ED47FA">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606" w:type="dxa"/>
            <w:vAlign w:val="center"/>
          </w:tcPr>
          <w:p w:rsidR="008D6A8F" w:rsidRPr="006E2825" w:rsidRDefault="008D6A8F" w:rsidP="00776387">
            <w:pPr>
              <w:spacing w:after="120"/>
              <w:jc w:val="center"/>
              <w:rPr>
                <w:rFonts w:ascii="Times New Roman" w:hAnsi="Times New Roman" w:cs="Times New Roman"/>
                <w:bCs w:val="0"/>
                <w:color w:val="000000"/>
                <w:sz w:val="20"/>
                <w:szCs w:val="20"/>
              </w:rPr>
            </w:pPr>
            <w:r w:rsidRPr="006E2825">
              <w:rPr>
                <w:rFonts w:ascii="Times New Roman" w:hAnsi="Times New Roman" w:cs="Times New Roman"/>
                <w:bCs w:val="0"/>
                <w:color w:val="000000"/>
                <w:sz w:val="20"/>
                <w:szCs w:val="20"/>
              </w:rPr>
              <w:t>2017</w:t>
            </w:r>
          </w:p>
        </w:tc>
        <w:tc>
          <w:tcPr>
            <w:tcW w:w="65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0.038</w:t>
            </w:r>
          </w:p>
        </w:tc>
        <w:tc>
          <w:tcPr>
            <w:tcW w:w="663"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0.036</w:t>
            </w:r>
          </w:p>
        </w:tc>
        <w:tc>
          <w:tcPr>
            <w:tcW w:w="922"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0.083</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0.049</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0.034</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0.235</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0.259</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0.055</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0.039</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0.080</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0.028</w:t>
            </w:r>
          </w:p>
        </w:tc>
        <w:tc>
          <w:tcPr>
            <w:tcW w:w="665"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0.063</w:t>
            </w:r>
          </w:p>
        </w:tc>
      </w:tr>
      <w:tr w:rsidR="008D6A8F" w:rsidRPr="006E2825" w:rsidTr="00ED47FA">
        <w:trPr>
          <w:trHeight w:val="639"/>
          <w:jc w:val="center"/>
        </w:trPr>
        <w:tc>
          <w:tcPr>
            <w:cnfStyle w:val="001000000000" w:firstRow="0" w:lastRow="0" w:firstColumn="1" w:lastColumn="0" w:oddVBand="0" w:evenVBand="0" w:oddHBand="0" w:evenHBand="0" w:firstRowFirstColumn="0" w:firstRowLastColumn="0" w:lastRowFirstColumn="0" w:lastRowLastColumn="0"/>
            <w:tcW w:w="606" w:type="dxa"/>
            <w:vAlign w:val="center"/>
          </w:tcPr>
          <w:p w:rsidR="008D6A8F" w:rsidRPr="006E2825" w:rsidRDefault="008D6A8F" w:rsidP="00776387">
            <w:pPr>
              <w:spacing w:after="120"/>
              <w:jc w:val="center"/>
              <w:rPr>
                <w:rFonts w:ascii="Times New Roman" w:hAnsi="Times New Roman" w:cs="Times New Roman"/>
                <w:bCs w:val="0"/>
                <w:color w:val="000000"/>
                <w:sz w:val="20"/>
                <w:szCs w:val="20"/>
              </w:rPr>
            </w:pPr>
            <w:r w:rsidRPr="006E2825">
              <w:rPr>
                <w:rFonts w:ascii="Times New Roman" w:hAnsi="Times New Roman" w:cs="Times New Roman"/>
                <w:bCs w:val="0"/>
                <w:color w:val="000000"/>
                <w:sz w:val="20"/>
                <w:szCs w:val="20"/>
              </w:rPr>
              <w:t>2018</w:t>
            </w:r>
          </w:p>
        </w:tc>
        <w:tc>
          <w:tcPr>
            <w:tcW w:w="65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0.039</w:t>
            </w:r>
          </w:p>
        </w:tc>
        <w:tc>
          <w:tcPr>
            <w:tcW w:w="663"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0.037</w:t>
            </w:r>
          </w:p>
        </w:tc>
        <w:tc>
          <w:tcPr>
            <w:tcW w:w="922"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0.085</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0.046</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0.034</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0.231</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0.265</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0.058</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0.040</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0.070</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0.029</w:t>
            </w:r>
          </w:p>
        </w:tc>
        <w:tc>
          <w:tcPr>
            <w:tcW w:w="665"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0.066</w:t>
            </w:r>
          </w:p>
        </w:tc>
      </w:tr>
      <w:tr w:rsidR="008D6A8F" w:rsidRPr="006E2825" w:rsidTr="00ED47FA">
        <w:trPr>
          <w:cnfStyle w:val="000000100000" w:firstRow="0" w:lastRow="0" w:firstColumn="0" w:lastColumn="0" w:oddVBand="0" w:evenVBand="0" w:oddHBand="1" w:evenHBand="0" w:firstRowFirstColumn="0" w:firstRowLastColumn="0" w:lastRowFirstColumn="0" w:lastRowLastColumn="0"/>
          <w:trHeight w:val="639"/>
          <w:jc w:val="center"/>
        </w:trPr>
        <w:tc>
          <w:tcPr>
            <w:cnfStyle w:val="001000000000" w:firstRow="0" w:lastRow="0" w:firstColumn="1" w:lastColumn="0" w:oddVBand="0" w:evenVBand="0" w:oddHBand="0" w:evenHBand="0" w:firstRowFirstColumn="0" w:firstRowLastColumn="0" w:lastRowFirstColumn="0" w:lastRowLastColumn="0"/>
            <w:tcW w:w="606" w:type="dxa"/>
            <w:vAlign w:val="center"/>
          </w:tcPr>
          <w:p w:rsidR="008D6A8F" w:rsidRPr="006E2825" w:rsidRDefault="008D6A8F" w:rsidP="00776387">
            <w:pPr>
              <w:spacing w:after="120"/>
              <w:jc w:val="center"/>
              <w:rPr>
                <w:rFonts w:ascii="Times New Roman" w:hAnsi="Times New Roman" w:cs="Times New Roman"/>
                <w:bCs w:val="0"/>
                <w:color w:val="000000"/>
                <w:sz w:val="20"/>
                <w:szCs w:val="20"/>
              </w:rPr>
            </w:pPr>
            <w:r w:rsidRPr="006E2825">
              <w:rPr>
                <w:rFonts w:ascii="Times New Roman" w:hAnsi="Times New Roman" w:cs="Times New Roman"/>
                <w:bCs w:val="0"/>
                <w:color w:val="000000"/>
                <w:sz w:val="20"/>
                <w:szCs w:val="20"/>
              </w:rPr>
              <w:t>2019</w:t>
            </w:r>
          </w:p>
        </w:tc>
        <w:tc>
          <w:tcPr>
            <w:tcW w:w="65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0.017</w:t>
            </w:r>
          </w:p>
        </w:tc>
        <w:tc>
          <w:tcPr>
            <w:tcW w:w="663"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0.015</w:t>
            </w:r>
          </w:p>
        </w:tc>
        <w:tc>
          <w:tcPr>
            <w:tcW w:w="922"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0.071</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0.023</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0.011</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0.314</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0.365</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0.050</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0.020</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0.058</w:t>
            </w:r>
          </w:p>
        </w:tc>
        <w:tc>
          <w:tcPr>
            <w:tcW w:w="664"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0.005</w:t>
            </w:r>
          </w:p>
        </w:tc>
        <w:tc>
          <w:tcPr>
            <w:tcW w:w="665" w:type="dxa"/>
            <w:noWrap/>
            <w:vAlign w:val="center"/>
          </w:tcPr>
          <w:p w:rsidR="008D6A8F" w:rsidRPr="006E2825" w:rsidRDefault="008D6A8F" w:rsidP="00776387">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0.051</w:t>
            </w:r>
          </w:p>
        </w:tc>
      </w:tr>
      <w:tr w:rsidR="008D6A8F" w:rsidRPr="006E2825" w:rsidTr="00ED47FA">
        <w:trPr>
          <w:trHeight w:val="639"/>
          <w:jc w:val="center"/>
        </w:trPr>
        <w:tc>
          <w:tcPr>
            <w:cnfStyle w:val="001000000000" w:firstRow="0" w:lastRow="0" w:firstColumn="1" w:lastColumn="0" w:oddVBand="0" w:evenVBand="0" w:oddHBand="0" w:evenHBand="0" w:firstRowFirstColumn="0" w:firstRowLastColumn="0" w:lastRowFirstColumn="0" w:lastRowLastColumn="0"/>
            <w:tcW w:w="606" w:type="dxa"/>
            <w:vAlign w:val="center"/>
          </w:tcPr>
          <w:p w:rsidR="008D6A8F" w:rsidRPr="006E2825" w:rsidRDefault="008D6A8F" w:rsidP="00776387">
            <w:pPr>
              <w:spacing w:after="120"/>
              <w:jc w:val="center"/>
              <w:rPr>
                <w:rFonts w:ascii="Times New Roman" w:hAnsi="Times New Roman" w:cs="Times New Roman"/>
                <w:bCs w:val="0"/>
                <w:color w:val="000000"/>
                <w:sz w:val="20"/>
                <w:szCs w:val="20"/>
              </w:rPr>
            </w:pPr>
            <w:r w:rsidRPr="006E2825">
              <w:rPr>
                <w:rFonts w:ascii="Times New Roman" w:hAnsi="Times New Roman" w:cs="Times New Roman"/>
                <w:bCs w:val="0"/>
                <w:color w:val="000000"/>
                <w:sz w:val="20"/>
                <w:szCs w:val="20"/>
              </w:rPr>
              <w:t>2020</w:t>
            </w:r>
          </w:p>
        </w:tc>
        <w:tc>
          <w:tcPr>
            <w:tcW w:w="65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0.015</w:t>
            </w:r>
          </w:p>
        </w:tc>
        <w:tc>
          <w:tcPr>
            <w:tcW w:w="663"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0.014</w:t>
            </w:r>
          </w:p>
        </w:tc>
        <w:tc>
          <w:tcPr>
            <w:tcW w:w="922"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0.072</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0.019</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0.009</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0.339</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0.360</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0.045</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0.019</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0.056</w:t>
            </w:r>
          </w:p>
        </w:tc>
        <w:tc>
          <w:tcPr>
            <w:tcW w:w="664"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0.005</w:t>
            </w:r>
          </w:p>
        </w:tc>
        <w:tc>
          <w:tcPr>
            <w:tcW w:w="665" w:type="dxa"/>
            <w:noWrap/>
            <w:vAlign w:val="center"/>
          </w:tcPr>
          <w:p w:rsidR="008D6A8F" w:rsidRPr="006E2825" w:rsidRDefault="008D6A8F" w:rsidP="00776387">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000000"/>
                <w:sz w:val="20"/>
                <w:szCs w:val="20"/>
              </w:rPr>
            </w:pPr>
            <w:r w:rsidRPr="006E2825">
              <w:rPr>
                <w:rFonts w:ascii="Times New Roman" w:hAnsi="Times New Roman" w:cs="Times New Roman"/>
                <w:bCs/>
                <w:color w:val="000000"/>
                <w:sz w:val="20"/>
                <w:szCs w:val="20"/>
              </w:rPr>
              <w:t>0.046</w:t>
            </w:r>
          </w:p>
        </w:tc>
      </w:tr>
    </w:tbl>
    <w:p w:rsidR="00443229" w:rsidRDefault="006F643D" w:rsidP="00AF0E9C">
      <w:pPr>
        <w:spacing w:before="240" w:after="120" w:line="240" w:lineRule="auto"/>
        <w:ind w:firstLine="709"/>
        <w:jc w:val="both"/>
        <w:rPr>
          <w:rFonts w:ascii="Times New Roman" w:hAnsi="Times New Roman" w:cs="Times New Roman"/>
          <w:sz w:val="24"/>
          <w:szCs w:val="24"/>
        </w:rPr>
      </w:pPr>
      <w:r w:rsidRPr="006F643D">
        <w:rPr>
          <w:rFonts w:ascii="Times New Roman" w:hAnsi="Times New Roman" w:cs="Times New Roman"/>
          <w:sz w:val="24"/>
          <w:szCs w:val="24"/>
        </w:rPr>
        <w:t xml:space="preserve">İş yapma kolaylığı endeksi </w:t>
      </w:r>
      <w:proofErr w:type="gramStart"/>
      <w:r w:rsidRPr="006F643D">
        <w:rPr>
          <w:rFonts w:ascii="Times New Roman" w:hAnsi="Times New Roman" w:cs="Times New Roman"/>
          <w:sz w:val="24"/>
          <w:szCs w:val="24"/>
        </w:rPr>
        <w:t>kriterleri</w:t>
      </w:r>
      <w:proofErr w:type="gramEnd"/>
      <w:r w:rsidRPr="006F643D">
        <w:rPr>
          <w:rFonts w:ascii="Times New Roman" w:hAnsi="Times New Roman" w:cs="Times New Roman"/>
          <w:sz w:val="24"/>
          <w:szCs w:val="24"/>
        </w:rPr>
        <w:t xml:space="preserve"> önem ağırlıklarının belirlenmesinden sonra EDAS yöntemi ile Avrupa ve Orta Asya ülkeleri Tablo 1.’de verilen ve endeks kapsamındaki kriter</w:t>
      </w:r>
      <w:r w:rsidR="00297545">
        <w:rPr>
          <w:rFonts w:ascii="Times New Roman" w:hAnsi="Times New Roman" w:cs="Times New Roman"/>
          <w:sz w:val="24"/>
          <w:szCs w:val="24"/>
        </w:rPr>
        <w:t>lere</w:t>
      </w:r>
      <w:r w:rsidRPr="006F643D">
        <w:rPr>
          <w:rFonts w:ascii="Times New Roman" w:hAnsi="Times New Roman" w:cs="Times New Roman"/>
          <w:sz w:val="24"/>
          <w:szCs w:val="24"/>
        </w:rPr>
        <w:t xml:space="preserve"> göre </w:t>
      </w:r>
      <w:r w:rsidR="00944019">
        <w:rPr>
          <w:rFonts w:ascii="Times New Roman" w:hAnsi="Times New Roman" w:cs="Times New Roman"/>
          <w:sz w:val="24"/>
          <w:szCs w:val="24"/>
        </w:rPr>
        <w:t xml:space="preserve">2016-2020 yılları için </w:t>
      </w:r>
      <w:r w:rsidRPr="006F643D">
        <w:rPr>
          <w:rFonts w:ascii="Times New Roman" w:hAnsi="Times New Roman" w:cs="Times New Roman"/>
          <w:sz w:val="24"/>
          <w:szCs w:val="24"/>
        </w:rPr>
        <w:t>sıralanmıştır.</w:t>
      </w:r>
      <w:r w:rsidR="00297545">
        <w:rPr>
          <w:rFonts w:ascii="Times New Roman" w:hAnsi="Times New Roman" w:cs="Times New Roman"/>
          <w:sz w:val="24"/>
          <w:szCs w:val="24"/>
        </w:rPr>
        <w:t xml:space="preserve"> Ülkeler</w:t>
      </w:r>
      <w:r w:rsidR="00944019">
        <w:rPr>
          <w:rFonts w:ascii="Times New Roman" w:hAnsi="Times New Roman" w:cs="Times New Roman"/>
          <w:sz w:val="24"/>
          <w:szCs w:val="24"/>
        </w:rPr>
        <w:t xml:space="preserve">in sıralama ve değerlendirmesinde ÇKKV yöntemlerinden EDAS yöntemi kullanılmıştır. Ülkelerin sıralamaları yıllar itibariyle Tablo 3’te verilmiştir.  </w:t>
      </w:r>
      <w:r w:rsidR="00297545">
        <w:rPr>
          <w:rFonts w:ascii="Times New Roman" w:hAnsi="Times New Roman" w:cs="Times New Roman"/>
          <w:sz w:val="24"/>
          <w:szCs w:val="24"/>
        </w:rPr>
        <w:t xml:space="preserve"> </w:t>
      </w:r>
    </w:p>
    <w:p w:rsidR="00AF1C04" w:rsidRPr="00917865" w:rsidRDefault="006E2825" w:rsidP="00AF0E9C">
      <w:pPr>
        <w:spacing w:before="240" w:after="120" w:line="240" w:lineRule="auto"/>
        <w:jc w:val="center"/>
        <w:rPr>
          <w:rFonts w:ascii="Times New Roman" w:hAnsi="Times New Roman" w:cs="Times New Roman"/>
          <w:b/>
          <w:sz w:val="24"/>
          <w:szCs w:val="24"/>
        </w:rPr>
      </w:pPr>
      <w:r w:rsidRPr="00917865">
        <w:rPr>
          <w:rFonts w:ascii="Times New Roman" w:hAnsi="Times New Roman" w:cs="Times New Roman"/>
          <w:b/>
          <w:sz w:val="24"/>
          <w:szCs w:val="24"/>
        </w:rPr>
        <w:t xml:space="preserve">Tablo </w:t>
      </w:r>
      <w:r w:rsidR="00917183">
        <w:rPr>
          <w:rFonts w:ascii="Times New Roman" w:hAnsi="Times New Roman" w:cs="Times New Roman"/>
          <w:b/>
          <w:sz w:val="24"/>
          <w:szCs w:val="24"/>
        </w:rPr>
        <w:t>4.</w:t>
      </w:r>
      <w:r w:rsidRPr="00917865">
        <w:rPr>
          <w:rFonts w:ascii="Times New Roman" w:hAnsi="Times New Roman" w:cs="Times New Roman"/>
          <w:b/>
          <w:sz w:val="24"/>
          <w:szCs w:val="24"/>
        </w:rPr>
        <w:t xml:space="preserve"> Avrupa ve Orta Asya ül</w:t>
      </w:r>
      <w:r w:rsidR="00917865">
        <w:rPr>
          <w:rFonts w:ascii="Times New Roman" w:hAnsi="Times New Roman" w:cs="Times New Roman"/>
          <w:b/>
          <w:sz w:val="24"/>
          <w:szCs w:val="24"/>
        </w:rPr>
        <w:t xml:space="preserve">kelerinin İş yapma kolaylığına </w:t>
      </w:r>
      <w:r w:rsidRPr="00917865">
        <w:rPr>
          <w:rFonts w:ascii="Times New Roman" w:hAnsi="Times New Roman" w:cs="Times New Roman"/>
          <w:b/>
          <w:sz w:val="24"/>
          <w:szCs w:val="24"/>
        </w:rPr>
        <w:t>göre sıralamaları</w:t>
      </w:r>
    </w:p>
    <w:tbl>
      <w:tblPr>
        <w:tblStyle w:val="DzTablo2"/>
        <w:tblW w:w="0" w:type="auto"/>
        <w:tblLook w:val="04A0" w:firstRow="1" w:lastRow="0" w:firstColumn="1" w:lastColumn="0" w:noHBand="0" w:noVBand="1"/>
      </w:tblPr>
      <w:tblGrid>
        <w:gridCol w:w="1432"/>
        <w:gridCol w:w="850"/>
        <w:gridCol w:w="677"/>
        <w:gridCol w:w="850"/>
        <w:gridCol w:w="677"/>
        <w:gridCol w:w="850"/>
        <w:gridCol w:w="678"/>
        <w:gridCol w:w="850"/>
        <w:gridCol w:w="678"/>
        <w:gridCol w:w="850"/>
        <w:gridCol w:w="678"/>
      </w:tblGrid>
      <w:tr w:rsidR="00E71259" w:rsidRPr="00E71259" w:rsidTr="00017B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E71259" w:rsidRPr="0027357B" w:rsidRDefault="00E71259" w:rsidP="00670158">
            <w:pPr>
              <w:rPr>
                <w:rFonts w:ascii="Times New Roman" w:hAnsi="Times New Roman" w:cs="Times New Roman"/>
                <w:b w:val="0"/>
                <w:sz w:val="20"/>
                <w:szCs w:val="20"/>
              </w:rPr>
            </w:pPr>
          </w:p>
        </w:tc>
        <w:tc>
          <w:tcPr>
            <w:tcW w:w="1544" w:type="dxa"/>
            <w:gridSpan w:val="2"/>
          </w:tcPr>
          <w:p w:rsidR="00E71259" w:rsidRPr="0027357B" w:rsidRDefault="00E71259" w:rsidP="006701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27357B">
              <w:rPr>
                <w:rFonts w:ascii="Times New Roman" w:hAnsi="Times New Roman" w:cs="Times New Roman"/>
                <w:b w:val="0"/>
                <w:color w:val="000000"/>
                <w:sz w:val="20"/>
                <w:szCs w:val="20"/>
              </w:rPr>
              <w:t>2016</w:t>
            </w:r>
          </w:p>
        </w:tc>
        <w:tc>
          <w:tcPr>
            <w:tcW w:w="1544" w:type="dxa"/>
            <w:gridSpan w:val="2"/>
          </w:tcPr>
          <w:p w:rsidR="00E71259" w:rsidRPr="0027357B" w:rsidRDefault="00E71259" w:rsidP="006701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27357B">
              <w:rPr>
                <w:rFonts w:ascii="Times New Roman" w:hAnsi="Times New Roman" w:cs="Times New Roman"/>
                <w:b w:val="0"/>
                <w:color w:val="000000"/>
                <w:sz w:val="20"/>
                <w:szCs w:val="20"/>
              </w:rPr>
              <w:t>2017</w:t>
            </w:r>
          </w:p>
        </w:tc>
        <w:tc>
          <w:tcPr>
            <w:tcW w:w="1545" w:type="dxa"/>
            <w:gridSpan w:val="2"/>
          </w:tcPr>
          <w:p w:rsidR="00E71259" w:rsidRPr="0027357B" w:rsidRDefault="00E71259" w:rsidP="006701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27357B">
              <w:rPr>
                <w:rFonts w:ascii="Times New Roman" w:hAnsi="Times New Roman" w:cs="Times New Roman"/>
                <w:b w:val="0"/>
                <w:color w:val="000000"/>
                <w:sz w:val="20"/>
                <w:szCs w:val="20"/>
              </w:rPr>
              <w:t>2018</w:t>
            </w:r>
          </w:p>
        </w:tc>
        <w:tc>
          <w:tcPr>
            <w:tcW w:w="1545" w:type="dxa"/>
            <w:gridSpan w:val="2"/>
          </w:tcPr>
          <w:p w:rsidR="00E71259" w:rsidRPr="0027357B" w:rsidRDefault="00E71259" w:rsidP="006701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27357B">
              <w:rPr>
                <w:rFonts w:ascii="Times New Roman" w:hAnsi="Times New Roman" w:cs="Times New Roman"/>
                <w:b w:val="0"/>
                <w:color w:val="000000"/>
                <w:sz w:val="20"/>
                <w:szCs w:val="20"/>
              </w:rPr>
              <w:t>2019</w:t>
            </w:r>
          </w:p>
        </w:tc>
        <w:tc>
          <w:tcPr>
            <w:tcW w:w="1461" w:type="dxa"/>
            <w:gridSpan w:val="2"/>
          </w:tcPr>
          <w:p w:rsidR="00E71259" w:rsidRPr="0027357B" w:rsidRDefault="00E71259" w:rsidP="0067015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rPr>
            </w:pPr>
            <w:r w:rsidRPr="0027357B">
              <w:rPr>
                <w:rFonts w:ascii="Times New Roman" w:hAnsi="Times New Roman" w:cs="Times New Roman"/>
                <w:b w:val="0"/>
                <w:color w:val="000000"/>
                <w:sz w:val="20"/>
                <w:szCs w:val="20"/>
              </w:rPr>
              <w:t>2020</w:t>
            </w:r>
          </w:p>
        </w:tc>
      </w:tr>
      <w:tr w:rsidR="00017B8F"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017B8F" w:rsidRPr="0027357B" w:rsidRDefault="00017B8F" w:rsidP="00017B8F">
            <w:pPr>
              <w:rPr>
                <w:rFonts w:ascii="Times New Roman" w:hAnsi="Times New Roman" w:cs="Times New Roman"/>
                <w:b w:val="0"/>
                <w:sz w:val="20"/>
                <w:szCs w:val="20"/>
              </w:rPr>
            </w:pPr>
            <w:r w:rsidRPr="0027357B">
              <w:rPr>
                <w:rFonts w:ascii="Times New Roman" w:hAnsi="Times New Roman" w:cs="Times New Roman"/>
                <w:b w:val="0"/>
                <w:sz w:val="20"/>
                <w:szCs w:val="20"/>
              </w:rPr>
              <w:t>Ülkeler</w:t>
            </w:r>
          </w:p>
        </w:tc>
        <w:tc>
          <w:tcPr>
            <w:tcW w:w="850" w:type="dxa"/>
          </w:tcPr>
          <w:p w:rsidR="00017B8F" w:rsidRPr="0027357B" w:rsidRDefault="00017B8F" w:rsidP="00017B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Endeks değeri</w:t>
            </w:r>
          </w:p>
        </w:tc>
        <w:tc>
          <w:tcPr>
            <w:tcW w:w="694" w:type="dxa"/>
          </w:tcPr>
          <w:p w:rsidR="00017B8F" w:rsidRPr="0027357B" w:rsidRDefault="00017B8F" w:rsidP="00017B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27357B">
              <w:rPr>
                <w:rFonts w:ascii="Times New Roman" w:hAnsi="Times New Roman" w:cs="Times New Roman"/>
                <w:b/>
                <w:color w:val="000000"/>
                <w:sz w:val="20"/>
                <w:szCs w:val="20"/>
              </w:rPr>
              <w:t>Sıra</w:t>
            </w:r>
          </w:p>
        </w:tc>
        <w:tc>
          <w:tcPr>
            <w:tcW w:w="850" w:type="dxa"/>
          </w:tcPr>
          <w:p w:rsidR="00017B8F" w:rsidRPr="0027357B" w:rsidRDefault="00017B8F" w:rsidP="00017B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Endeks değeri</w:t>
            </w:r>
          </w:p>
        </w:tc>
        <w:tc>
          <w:tcPr>
            <w:tcW w:w="694" w:type="dxa"/>
          </w:tcPr>
          <w:p w:rsidR="00017B8F" w:rsidRPr="0027357B" w:rsidRDefault="00017B8F" w:rsidP="00017B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27357B">
              <w:rPr>
                <w:rFonts w:ascii="Times New Roman" w:hAnsi="Times New Roman" w:cs="Times New Roman"/>
                <w:b/>
                <w:color w:val="000000"/>
                <w:sz w:val="20"/>
                <w:szCs w:val="20"/>
              </w:rPr>
              <w:t>Sıra</w:t>
            </w:r>
          </w:p>
        </w:tc>
        <w:tc>
          <w:tcPr>
            <w:tcW w:w="850" w:type="dxa"/>
          </w:tcPr>
          <w:p w:rsidR="00017B8F" w:rsidRPr="0027357B" w:rsidRDefault="00017B8F" w:rsidP="00017B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Endeks değeri</w:t>
            </w:r>
          </w:p>
        </w:tc>
        <w:tc>
          <w:tcPr>
            <w:tcW w:w="695" w:type="dxa"/>
          </w:tcPr>
          <w:p w:rsidR="00017B8F" w:rsidRPr="0027357B" w:rsidRDefault="00017B8F" w:rsidP="00017B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27357B">
              <w:rPr>
                <w:rFonts w:ascii="Times New Roman" w:hAnsi="Times New Roman" w:cs="Times New Roman"/>
                <w:b/>
                <w:color w:val="000000"/>
                <w:sz w:val="20"/>
                <w:szCs w:val="20"/>
              </w:rPr>
              <w:t>Sıra</w:t>
            </w:r>
          </w:p>
        </w:tc>
        <w:tc>
          <w:tcPr>
            <w:tcW w:w="850" w:type="dxa"/>
          </w:tcPr>
          <w:p w:rsidR="00017B8F" w:rsidRPr="0027357B" w:rsidRDefault="00017B8F" w:rsidP="00017B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Endeks değeri</w:t>
            </w:r>
          </w:p>
        </w:tc>
        <w:tc>
          <w:tcPr>
            <w:tcW w:w="695" w:type="dxa"/>
          </w:tcPr>
          <w:p w:rsidR="00017B8F" w:rsidRPr="0027357B" w:rsidRDefault="00017B8F" w:rsidP="00017B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27357B">
              <w:rPr>
                <w:rFonts w:ascii="Times New Roman" w:hAnsi="Times New Roman" w:cs="Times New Roman"/>
                <w:b/>
                <w:color w:val="000000"/>
                <w:sz w:val="20"/>
                <w:szCs w:val="20"/>
              </w:rPr>
              <w:t>Sıra</w:t>
            </w:r>
          </w:p>
        </w:tc>
        <w:tc>
          <w:tcPr>
            <w:tcW w:w="766" w:type="dxa"/>
          </w:tcPr>
          <w:p w:rsidR="00017B8F" w:rsidRPr="0027357B" w:rsidRDefault="00017B8F" w:rsidP="00017B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Pr>
                <w:rFonts w:ascii="Times New Roman" w:hAnsi="Times New Roman" w:cs="Times New Roman"/>
                <w:b/>
                <w:color w:val="000000"/>
                <w:sz w:val="20"/>
                <w:szCs w:val="20"/>
              </w:rPr>
              <w:t>Endeks değeri</w:t>
            </w:r>
          </w:p>
        </w:tc>
        <w:tc>
          <w:tcPr>
            <w:tcW w:w="695" w:type="dxa"/>
          </w:tcPr>
          <w:p w:rsidR="00017B8F" w:rsidRPr="0027357B" w:rsidRDefault="00017B8F" w:rsidP="00017B8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rPr>
            </w:pPr>
            <w:r w:rsidRPr="0027357B">
              <w:rPr>
                <w:rFonts w:ascii="Times New Roman" w:hAnsi="Times New Roman" w:cs="Times New Roman"/>
                <w:b/>
                <w:color w:val="000000"/>
                <w:sz w:val="20"/>
                <w:szCs w:val="20"/>
              </w:rPr>
              <w:t>Sıra</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Almanya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0.5548</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31</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0.5370</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36</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0.5064</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41</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0.4192</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45</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0.4136</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45</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Arnavutluk</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0.5094</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37</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0.5391</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35</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0.5488</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33</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0.5101</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32</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0.5129</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33</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Avusturya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0.4868</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40</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0.4830</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44</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0.4673</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44</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0.4104</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46</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0.3981</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47</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Azerbaycan</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0.4472</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45</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0.4467</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45</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0.4554</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45</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0.4754</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40</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0.4977</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35</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proofErr w:type="spellStart"/>
            <w:r w:rsidRPr="00E71259">
              <w:rPr>
                <w:rFonts w:ascii="Times New Roman" w:hAnsi="Times New Roman" w:cs="Times New Roman"/>
                <w:color w:val="000000"/>
                <w:sz w:val="20"/>
                <w:szCs w:val="20"/>
              </w:rPr>
              <w:t>Belarus</w:t>
            </w:r>
            <w:proofErr w:type="spellEnd"/>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0.3201</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0.3298</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0.3190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0.1487</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50</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0.1669</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50</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Belçika</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0.5341</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34</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0.5310</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38</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0.4964</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43</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0.4257</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44</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0.4308</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44</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Birleşik Krallık</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0.7840</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14</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0.7605</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15</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0.7465</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17</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0.5864</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19</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0.5957</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20</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Bosna Hersek</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0.8197</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8</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0.8120</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8</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0.7741</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12</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0.6483</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11</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0.6681</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11</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Bulgaristan</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0.8190</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0.8029</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10</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0.8030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10</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0.6569</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9</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0.6607</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12</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Çek Cumhuriyeti</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0.7061</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20</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0.7314</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18</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0.7294</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18</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0.5747</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20</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0.5724</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22</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Danimarka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0.9290</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0.8724</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0.8656</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6</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0.6487</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10</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0.6764</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10</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Ermenistan</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0.7942</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11</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0.8073</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9</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0.8151</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8</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0.6447</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12</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0.6360</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14</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Estonya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0.6389</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23</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0.6464</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23</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0.6469</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23</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0.5183</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29</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0.5170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31</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Finlandiya</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0.6219</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25</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0.6051</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26</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0.5899</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28</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0.5151</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30</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0.5153</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32</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Fransa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0.7802</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15</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0.7910</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11</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0.7781</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11</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0.6070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17</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0.6033</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19</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Gürcistan</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0.9525</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0.9285</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0.9497</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0.8172</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0.8618</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lastRenderedPageBreak/>
              <w:t>Hırvatistan</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0.9577</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0.9551</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0.9653</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0.7603</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0.7807</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Hollanda</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0.5250</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36</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0.5277</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39</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0.5079</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40</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0.4440</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43</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0.4368</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43</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İrlanda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0.7954</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10</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0.7617</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14</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0.7502</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16</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0.6103</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15</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0.6230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15</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E71259"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İspanya</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0.4804</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43</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0.5102</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41</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0.5593</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31</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0.4806</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39</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0.4728</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40</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İsveç</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0.5399</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33</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0.5352</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37</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0.5235</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37</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0.4493</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42</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0.4371</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42</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İsviçre</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0.7432</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17</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0.7231</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19</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0.7162</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20</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0.5993</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18</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0.6096</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16</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İtalya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0.3525</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47</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0.3970</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46</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0.4268</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46</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0.3991</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47</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0.3644</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48</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İzlanda</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0.7860</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13</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0.7622</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13</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0.7512</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15</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0.6102</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16</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0.6072</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18</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Karadağ</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0.8480</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7</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0.8257</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7</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0.8349</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7</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0.6684</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8</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0.6892</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7</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Kazakistan</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0.6701</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21</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0.6865</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21</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0.6982</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21</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0.5732</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21</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0.6093</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17</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Kıbrıs</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0.7915</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12</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0.7596</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16</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0.8040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0.6684</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7</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0.6852</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8</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Kırgız Cumhuriyeti</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0.7347</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18</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0.7315</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17</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0.7518</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14</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0.6324</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13</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0.6433</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13</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Kosova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0.8593</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6</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0.8514</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5</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0.9023</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0.7112</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5</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0.7482</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5</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Kuzey Makedonya</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0.9995</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0.9996</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0.9994</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0.7539</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0.7935</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Letonya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0.7513</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16</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0.7647</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12</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0.7628</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13</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0.6116</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14</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0.5841</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21</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proofErr w:type="spellStart"/>
            <w:r w:rsidRPr="00E71259">
              <w:rPr>
                <w:rFonts w:ascii="Times New Roman" w:hAnsi="Times New Roman" w:cs="Times New Roman"/>
                <w:color w:val="000000"/>
                <w:sz w:val="20"/>
                <w:szCs w:val="20"/>
              </w:rPr>
              <w:t>Linhteşnştayn</w:t>
            </w:r>
            <w:proofErr w:type="spellEnd"/>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0.9646</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0.9631</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Litvanya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0.7165</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0.7128</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20</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0.7286</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19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0.5724</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22</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0.5721</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23</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Lüksemburg</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0.8647</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5</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0.8450</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6</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0.8676</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5</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0.6929</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6</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0.7161</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6</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Macaristan</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0.4883</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0.5542</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31</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0.5658</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0.5322</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26</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0.5395</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27</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Moldova</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0.5896</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26</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0.5986</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28</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0.5993</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27</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0.5285</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27</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0.5327</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29</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Norveç</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0.6332</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24</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0.6142</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25</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0.6177</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26</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0.4958</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33</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0.5084</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34</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Özbekistan</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0.4822</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42</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0.5045</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42</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0.5137</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39</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0.5264</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28</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0.5506</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25</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Polonya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0.5554</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30</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0.5531</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32</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0.5420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34</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0.4818</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37</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0.4760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36</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Portekiz</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0.5330</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35</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0.5394</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34</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0.5274</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36</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0.4807</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38</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0.4759</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37</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Romanya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0.5616</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0.5429</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33</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0.5407</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35</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0.4914</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34</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0.6768</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9</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Rusya Federasyonu</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0.5873</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27</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0.6000</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27</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0.6192</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25</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0.5368</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25</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0.5346</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28</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San Marino</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0.4782</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44</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0.6482</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22</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0.6530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22</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0.5701</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23</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0.5719</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24</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Sırbistan</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0.5537</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32</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0.5642</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30</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0.5533</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32</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0.5115</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31</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0.5182</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30</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Slovak cumhuriyeti</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0.5638</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28</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0.5710</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29</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0.5603</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30</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0.4850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35</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0.4749</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38</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Slovenya</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0.6469</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22</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0.6380</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24</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0.6310</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24</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0.5455</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24</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0.5501</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26</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Tacikistan</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0.3285</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48</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0.3533</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48</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0.3520</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48</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0.3772</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48</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0.3986</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46</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Türkiye</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0.5012</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38</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0.4977</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43</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0.4990</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42</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0.4723</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41</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0.4522</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41</w:t>
            </w:r>
          </w:p>
        </w:tc>
      </w:tr>
      <w:tr w:rsidR="00E71259" w:rsidRPr="00E71259" w:rsidTr="00017B8F">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Ukrayna</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0.4825</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41</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0.5204</w:t>
            </w:r>
          </w:p>
        </w:tc>
        <w:tc>
          <w:tcPr>
            <w:tcW w:w="694"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40</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0.5199</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38</w:t>
            </w:r>
          </w:p>
        </w:tc>
        <w:tc>
          <w:tcPr>
            <w:tcW w:w="850"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0.4831</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36</w:t>
            </w:r>
          </w:p>
        </w:tc>
        <w:tc>
          <w:tcPr>
            <w:tcW w:w="766"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0.4742</w:t>
            </w:r>
          </w:p>
        </w:tc>
        <w:tc>
          <w:tcPr>
            <w:tcW w:w="695" w:type="dxa"/>
          </w:tcPr>
          <w:p w:rsidR="00670158" w:rsidRPr="00E71259" w:rsidRDefault="00670158" w:rsidP="0067015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39</w:t>
            </w:r>
          </w:p>
        </w:tc>
      </w:tr>
      <w:tr w:rsidR="00E71259" w:rsidRPr="00E71259" w:rsidTr="00017B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 w:type="dxa"/>
          </w:tcPr>
          <w:p w:rsidR="00670158" w:rsidRPr="00E71259" w:rsidRDefault="00670158" w:rsidP="00670158">
            <w:pPr>
              <w:rPr>
                <w:rFonts w:ascii="Times New Roman" w:hAnsi="Times New Roman" w:cs="Times New Roman"/>
                <w:color w:val="000000"/>
                <w:sz w:val="20"/>
                <w:szCs w:val="20"/>
              </w:rPr>
            </w:pPr>
            <w:r w:rsidRPr="00E71259">
              <w:rPr>
                <w:rFonts w:ascii="Times New Roman" w:hAnsi="Times New Roman" w:cs="Times New Roman"/>
                <w:color w:val="000000"/>
                <w:sz w:val="20"/>
                <w:szCs w:val="20"/>
              </w:rPr>
              <w:t>Yunanistan</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0.3732</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46</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0.3693</w:t>
            </w:r>
          </w:p>
        </w:tc>
        <w:tc>
          <w:tcPr>
            <w:tcW w:w="694"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47</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0.3557</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47</w:t>
            </w:r>
          </w:p>
        </w:tc>
        <w:tc>
          <w:tcPr>
            <w:tcW w:w="850"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0.3504</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49</w:t>
            </w:r>
          </w:p>
        </w:tc>
        <w:tc>
          <w:tcPr>
            <w:tcW w:w="766"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0.3415</w:t>
            </w:r>
          </w:p>
        </w:tc>
        <w:tc>
          <w:tcPr>
            <w:tcW w:w="695" w:type="dxa"/>
          </w:tcPr>
          <w:p w:rsidR="00670158" w:rsidRPr="00E71259" w:rsidRDefault="00670158" w:rsidP="0067015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rPr>
            </w:pPr>
            <w:r w:rsidRPr="00E71259">
              <w:rPr>
                <w:rFonts w:ascii="Times New Roman" w:hAnsi="Times New Roman" w:cs="Times New Roman"/>
                <w:color w:val="000000"/>
                <w:sz w:val="20"/>
                <w:szCs w:val="20"/>
              </w:rPr>
              <w:t>49</w:t>
            </w:r>
          </w:p>
        </w:tc>
      </w:tr>
    </w:tbl>
    <w:p w:rsidR="00AF1C04" w:rsidRDefault="00AF1C04" w:rsidP="00776387">
      <w:pPr>
        <w:pStyle w:val="ListeParagraf"/>
        <w:spacing w:after="120" w:line="240" w:lineRule="auto"/>
        <w:ind w:left="709"/>
        <w:jc w:val="both"/>
        <w:rPr>
          <w:rFonts w:ascii="Times New Roman" w:hAnsi="Times New Roman" w:cs="Times New Roman"/>
          <w:b/>
          <w:sz w:val="24"/>
          <w:szCs w:val="24"/>
        </w:rPr>
      </w:pPr>
    </w:p>
    <w:p w:rsidR="0096595F" w:rsidRDefault="00BD6B48" w:rsidP="00E654E8">
      <w:pPr>
        <w:spacing w:after="120" w:line="240" w:lineRule="auto"/>
        <w:ind w:firstLine="708"/>
        <w:jc w:val="both"/>
        <w:rPr>
          <w:rFonts w:ascii="Times New Roman" w:hAnsi="Times New Roman" w:cs="Times New Roman"/>
          <w:sz w:val="24"/>
          <w:szCs w:val="24"/>
        </w:rPr>
      </w:pPr>
      <w:r w:rsidRPr="00487233">
        <w:rPr>
          <w:rFonts w:ascii="Times New Roman" w:hAnsi="Times New Roman" w:cs="Times New Roman"/>
          <w:sz w:val="24"/>
          <w:szCs w:val="24"/>
        </w:rPr>
        <w:t xml:space="preserve">Tablo 3.’te ülke sıralamalarına bakıldığında </w:t>
      </w:r>
      <w:r w:rsidR="004930D3">
        <w:rPr>
          <w:rFonts w:ascii="Times New Roman" w:hAnsi="Times New Roman" w:cs="Times New Roman"/>
          <w:sz w:val="24"/>
          <w:szCs w:val="24"/>
        </w:rPr>
        <w:t xml:space="preserve">ülke </w:t>
      </w:r>
      <w:r w:rsidR="00BD02BA">
        <w:rPr>
          <w:rFonts w:ascii="Times New Roman" w:hAnsi="Times New Roman" w:cs="Times New Roman"/>
          <w:sz w:val="24"/>
          <w:szCs w:val="24"/>
        </w:rPr>
        <w:t>sırlamalarının</w:t>
      </w:r>
      <w:r w:rsidR="004930D3">
        <w:rPr>
          <w:rFonts w:ascii="Times New Roman" w:hAnsi="Times New Roman" w:cs="Times New Roman"/>
          <w:sz w:val="24"/>
          <w:szCs w:val="24"/>
        </w:rPr>
        <w:t xml:space="preserve"> 2016-2020 yılları arasında büyük değişme göstermediği </w:t>
      </w:r>
      <w:r w:rsidRPr="00487233">
        <w:rPr>
          <w:rFonts w:ascii="Times New Roman" w:hAnsi="Times New Roman" w:cs="Times New Roman"/>
          <w:sz w:val="24"/>
          <w:szCs w:val="24"/>
        </w:rPr>
        <w:t xml:space="preserve">ülkelerin sıralamadaki yerini genel olarak koruduğu görülmektedir. Bununla birlikte 2019 ve 2020 yıllarındaki sıralamalarda </w:t>
      </w:r>
      <w:r w:rsidR="007B5334" w:rsidRPr="00487233">
        <w:rPr>
          <w:rFonts w:ascii="Times New Roman" w:hAnsi="Times New Roman" w:cs="Times New Roman"/>
          <w:sz w:val="24"/>
          <w:szCs w:val="24"/>
        </w:rPr>
        <w:t xml:space="preserve">küçük farklılık oluştuğu görülmektedir. </w:t>
      </w:r>
      <w:r w:rsidR="00440AA6" w:rsidRPr="00487233">
        <w:rPr>
          <w:rFonts w:ascii="Times New Roman" w:hAnsi="Times New Roman" w:cs="Times New Roman"/>
          <w:sz w:val="24"/>
          <w:szCs w:val="24"/>
        </w:rPr>
        <w:t xml:space="preserve">Bu değişimin </w:t>
      </w:r>
      <w:r w:rsidR="003D5394" w:rsidRPr="00487233">
        <w:rPr>
          <w:rFonts w:ascii="Times New Roman" w:hAnsi="Times New Roman" w:cs="Times New Roman"/>
          <w:sz w:val="24"/>
          <w:szCs w:val="24"/>
        </w:rPr>
        <w:t>ülkelerin yapmış oldukları</w:t>
      </w:r>
      <w:r w:rsidR="004930D3">
        <w:rPr>
          <w:rFonts w:ascii="Times New Roman" w:hAnsi="Times New Roman" w:cs="Times New Roman"/>
          <w:sz w:val="24"/>
          <w:szCs w:val="24"/>
        </w:rPr>
        <w:t xml:space="preserve"> iş yapma kolaylıklarına yönelik </w:t>
      </w:r>
      <w:r w:rsidR="003D5394" w:rsidRPr="00487233">
        <w:rPr>
          <w:rFonts w:ascii="Times New Roman" w:hAnsi="Times New Roman" w:cs="Times New Roman"/>
          <w:sz w:val="24"/>
          <w:szCs w:val="24"/>
        </w:rPr>
        <w:t>düzenleme</w:t>
      </w:r>
      <w:r w:rsidR="004930D3">
        <w:rPr>
          <w:rFonts w:ascii="Times New Roman" w:hAnsi="Times New Roman" w:cs="Times New Roman"/>
          <w:sz w:val="24"/>
          <w:szCs w:val="24"/>
        </w:rPr>
        <w:t>lerin</w:t>
      </w:r>
      <w:r w:rsidR="000F17C2" w:rsidRPr="00487233">
        <w:rPr>
          <w:rFonts w:ascii="Times New Roman" w:hAnsi="Times New Roman" w:cs="Times New Roman"/>
          <w:sz w:val="24"/>
          <w:szCs w:val="24"/>
        </w:rPr>
        <w:t xml:space="preserve"> </w:t>
      </w:r>
      <w:r w:rsidR="003D5394" w:rsidRPr="00487233">
        <w:rPr>
          <w:rFonts w:ascii="Times New Roman" w:hAnsi="Times New Roman" w:cs="Times New Roman"/>
          <w:sz w:val="24"/>
          <w:szCs w:val="24"/>
        </w:rPr>
        <w:t>etki</w:t>
      </w:r>
      <w:r w:rsidR="000F17C2" w:rsidRPr="00487233">
        <w:rPr>
          <w:rFonts w:ascii="Times New Roman" w:hAnsi="Times New Roman" w:cs="Times New Roman"/>
          <w:sz w:val="24"/>
          <w:szCs w:val="24"/>
        </w:rPr>
        <w:t xml:space="preserve">si </w:t>
      </w:r>
      <w:r w:rsidR="003D5394" w:rsidRPr="00487233">
        <w:rPr>
          <w:rFonts w:ascii="Times New Roman" w:hAnsi="Times New Roman" w:cs="Times New Roman"/>
          <w:sz w:val="24"/>
          <w:szCs w:val="24"/>
        </w:rPr>
        <w:t xml:space="preserve">dışında </w:t>
      </w:r>
      <w:r w:rsidR="00440AA6" w:rsidRPr="00487233">
        <w:rPr>
          <w:rFonts w:ascii="Times New Roman" w:hAnsi="Times New Roman" w:cs="Times New Roman"/>
          <w:sz w:val="24"/>
          <w:szCs w:val="24"/>
        </w:rPr>
        <w:t>COVID-19 nedeniyle yaşanan ekonomik ve sosyal deği</w:t>
      </w:r>
      <w:r w:rsidR="003D5394" w:rsidRPr="00487233">
        <w:rPr>
          <w:rFonts w:ascii="Times New Roman" w:hAnsi="Times New Roman" w:cs="Times New Roman"/>
          <w:sz w:val="24"/>
          <w:szCs w:val="24"/>
        </w:rPr>
        <w:t>şimler olduğu düşünül</w:t>
      </w:r>
      <w:r w:rsidR="003E0C72">
        <w:rPr>
          <w:rFonts w:ascii="Times New Roman" w:hAnsi="Times New Roman" w:cs="Times New Roman"/>
          <w:sz w:val="24"/>
          <w:szCs w:val="24"/>
        </w:rPr>
        <w:t>mektedir.</w:t>
      </w:r>
      <w:r w:rsidR="00F329D5">
        <w:rPr>
          <w:rFonts w:ascii="Times New Roman" w:hAnsi="Times New Roman" w:cs="Times New Roman"/>
          <w:sz w:val="24"/>
          <w:szCs w:val="24"/>
        </w:rPr>
        <w:t xml:space="preserve"> Bazı ülkelerde özellikle 2019 ve 2020 yılı sıralamalarının daha önceki yıllardan farklılaşarak oluşmuştur.</w:t>
      </w:r>
      <w:r w:rsidR="00B63797">
        <w:rPr>
          <w:rFonts w:ascii="Times New Roman" w:hAnsi="Times New Roman" w:cs="Times New Roman"/>
          <w:sz w:val="24"/>
          <w:szCs w:val="24"/>
        </w:rPr>
        <w:t xml:space="preserve"> </w:t>
      </w:r>
      <w:proofErr w:type="spellStart"/>
      <w:r w:rsidR="00B63797" w:rsidRPr="00B63797">
        <w:rPr>
          <w:rFonts w:ascii="Times New Roman" w:hAnsi="Times New Roman" w:cs="Times New Roman"/>
          <w:sz w:val="24"/>
          <w:szCs w:val="24"/>
        </w:rPr>
        <w:t>Linhtenştayn</w:t>
      </w:r>
      <w:proofErr w:type="spellEnd"/>
      <w:r w:rsidR="00B63797" w:rsidRPr="00B63797">
        <w:rPr>
          <w:rFonts w:ascii="Times New Roman" w:hAnsi="Times New Roman" w:cs="Times New Roman"/>
          <w:sz w:val="24"/>
          <w:szCs w:val="24"/>
        </w:rPr>
        <w:t xml:space="preserve"> 2019- ve 2020 yılında sıralamaya alınmış</w:t>
      </w:r>
      <w:r w:rsidR="00B63797">
        <w:rPr>
          <w:rFonts w:ascii="Times New Roman" w:hAnsi="Times New Roman" w:cs="Times New Roman"/>
          <w:sz w:val="24"/>
          <w:szCs w:val="24"/>
        </w:rPr>
        <w:t>, 2</w:t>
      </w:r>
      <w:r w:rsidR="00E654E8">
        <w:rPr>
          <w:rFonts w:ascii="Times New Roman" w:hAnsi="Times New Roman" w:cs="Times New Roman"/>
          <w:sz w:val="24"/>
          <w:szCs w:val="24"/>
        </w:rPr>
        <w:t>016-2018 yılları arasında veri eksikliği nedeniyle bu yıllarda sıralamaya alın</w:t>
      </w:r>
      <w:r w:rsidR="00B63797">
        <w:rPr>
          <w:rFonts w:ascii="Times New Roman" w:hAnsi="Times New Roman" w:cs="Times New Roman"/>
          <w:sz w:val="24"/>
          <w:szCs w:val="24"/>
        </w:rPr>
        <w:t>a</w:t>
      </w:r>
      <w:r w:rsidR="00E654E8">
        <w:rPr>
          <w:rFonts w:ascii="Times New Roman" w:hAnsi="Times New Roman" w:cs="Times New Roman"/>
          <w:sz w:val="24"/>
          <w:szCs w:val="24"/>
        </w:rPr>
        <w:t>mamıştır.</w:t>
      </w:r>
    </w:p>
    <w:p w:rsidR="00B52673" w:rsidRDefault="006561F1" w:rsidP="003D5394">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Tablo 3’te ülkelerin 2020 yılı iş yapma kolaylığı endeksi sıralamaları </w:t>
      </w:r>
      <w:r w:rsidR="003E0C72">
        <w:rPr>
          <w:rFonts w:ascii="Times New Roman" w:hAnsi="Times New Roman" w:cs="Times New Roman"/>
          <w:sz w:val="24"/>
          <w:szCs w:val="24"/>
        </w:rPr>
        <w:t>incelendiğinde</w:t>
      </w:r>
      <w:r w:rsidR="000659D1">
        <w:rPr>
          <w:rFonts w:ascii="Times New Roman" w:hAnsi="Times New Roman" w:cs="Times New Roman"/>
          <w:sz w:val="24"/>
          <w:szCs w:val="24"/>
        </w:rPr>
        <w:t xml:space="preserve"> </w:t>
      </w:r>
      <w:r w:rsidR="00B63797">
        <w:rPr>
          <w:rFonts w:ascii="Times New Roman" w:hAnsi="Times New Roman" w:cs="Times New Roman"/>
          <w:sz w:val="24"/>
          <w:szCs w:val="24"/>
        </w:rPr>
        <w:t xml:space="preserve">sırasıyla, </w:t>
      </w:r>
      <w:proofErr w:type="spellStart"/>
      <w:r w:rsidR="00741DA8">
        <w:rPr>
          <w:rFonts w:ascii="Times New Roman" w:hAnsi="Times New Roman" w:cs="Times New Roman"/>
          <w:sz w:val="24"/>
          <w:szCs w:val="24"/>
        </w:rPr>
        <w:t>Linhtenştayn</w:t>
      </w:r>
      <w:proofErr w:type="spellEnd"/>
      <w:r w:rsidR="00741DA8">
        <w:rPr>
          <w:rFonts w:ascii="Times New Roman" w:hAnsi="Times New Roman" w:cs="Times New Roman"/>
          <w:sz w:val="24"/>
          <w:szCs w:val="24"/>
        </w:rPr>
        <w:t xml:space="preserve">, Gürcistan, </w:t>
      </w:r>
      <w:r w:rsidR="003E0C72">
        <w:rPr>
          <w:rFonts w:ascii="Times New Roman" w:hAnsi="Times New Roman" w:cs="Times New Roman"/>
          <w:sz w:val="24"/>
          <w:szCs w:val="24"/>
        </w:rPr>
        <w:t>Kuzey Makedonya, Hırv</w:t>
      </w:r>
      <w:r w:rsidR="0074482C">
        <w:rPr>
          <w:rFonts w:ascii="Times New Roman" w:hAnsi="Times New Roman" w:cs="Times New Roman"/>
          <w:sz w:val="24"/>
          <w:szCs w:val="24"/>
        </w:rPr>
        <w:t xml:space="preserve">atistan, </w:t>
      </w:r>
      <w:r w:rsidR="00741DA8">
        <w:rPr>
          <w:rFonts w:ascii="Times New Roman" w:hAnsi="Times New Roman" w:cs="Times New Roman"/>
          <w:sz w:val="24"/>
          <w:szCs w:val="24"/>
        </w:rPr>
        <w:t xml:space="preserve">Kosova, </w:t>
      </w:r>
      <w:r w:rsidR="0074482C">
        <w:rPr>
          <w:rFonts w:ascii="Times New Roman" w:hAnsi="Times New Roman" w:cs="Times New Roman"/>
          <w:sz w:val="24"/>
          <w:szCs w:val="24"/>
        </w:rPr>
        <w:t>iş yapma kolaylığı endeksinde ilk beşte yer alan ülkeler olduğu görülmektedir</w:t>
      </w:r>
      <w:r w:rsidR="009A03E8">
        <w:rPr>
          <w:rFonts w:ascii="Times New Roman" w:hAnsi="Times New Roman" w:cs="Times New Roman"/>
          <w:sz w:val="24"/>
          <w:szCs w:val="24"/>
        </w:rPr>
        <w:t xml:space="preserve">. </w:t>
      </w:r>
      <w:r w:rsidR="00AF4958">
        <w:rPr>
          <w:rFonts w:ascii="Times New Roman" w:hAnsi="Times New Roman" w:cs="Times New Roman"/>
          <w:sz w:val="24"/>
          <w:szCs w:val="24"/>
        </w:rPr>
        <w:t>2</w:t>
      </w:r>
      <w:r w:rsidR="009A03E8">
        <w:rPr>
          <w:rFonts w:ascii="Times New Roman" w:hAnsi="Times New Roman" w:cs="Times New Roman"/>
          <w:sz w:val="24"/>
          <w:szCs w:val="24"/>
        </w:rPr>
        <w:t>0</w:t>
      </w:r>
      <w:r>
        <w:rPr>
          <w:rFonts w:ascii="Times New Roman" w:hAnsi="Times New Roman" w:cs="Times New Roman"/>
          <w:sz w:val="24"/>
          <w:szCs w:val="24"/>
        </w:rPr>
        <w:t>19</w:t>
      </w:r>
      <w:r w:rsidR="009A03E8">
        <w:rPr>
          <w:rFonts w:ascii="Times New Roman" w:hAnsi="Times New Roman" w:cs="Times New Roman"/>
          <w:sz w:val="24"/>
          <w:szCs w:val="24"/>
        </w:rPr>
        <w:t xml:space="preserve"> yılı</w:t>
      </w:r>
      <w:r w:rsidR="00AF4958">
        <w:rPr>
          <w:rFonts w:ascii="Times New Roman" w:hAnsi="Times New Roman" w:cs="Times New Roman"/>
          <w:sz w:val="24"/>
          <w:szCs w:val="24"/>
        </w:rPr>
        <w:t xml:space="preserve"> sırlamalarına bakıldığında ilk sıralarda</w:t>
      </w:r>
      <w:r>
        <w:rPr>
          <w:rFonts w:ascii="Times New Roman" w:hAnsi="Times New Roman" w:cs="Times New Roman"/>
          <w:sz w:val="24"/>
          <w:szCs w:val="24"/>
        </w:rPr>
        <w:t xml:space="preserve"> </w:t>
      </w:r>
      <w:proofErr w:type="spellStart"/>
      <w:r>
        <w:rPr>
          <w:rFonts w:ascii="Times New Roman" w:hAnsi="Times New Roman" w:cs="Times New Roman"/>
          <w:sz w:val="24"/>
          <w:szCs w:val="24"/>
        </w:rPr>
        <w:t>Linhtenştayn</w:t>
      </w:r>
      <w:proofErr w:type="spellEnd"/>
      <w:r>
        <w:rPr>
          <w:rFonts w:ascii="Times New Roman" w:hAnsi="Times New Roman" w:cs="Times New Roman"/>
          <w:sz w:val="24"/>
          <w:szCs w:val="24"/>
        </w:rPr>
        <w:t>, Gürci</w:t>
      </w:r>
      <w:r w:rsidR="00526B69">
        <w:rPr>
          <w:rFonts w:ascii="Times New Roman" w:hAnsi="Times New Roman" w:cs="Times New Roman"/>
          <w:sz w:val="24"/>
          <w:szCs w:val="24"/>
        </w:rPr>
        <w:t>s</w:t>
      </w:r>
      <w:r>
        <w:rPr>
          <w:rFonts w:ascii="Times New Roman" w:hAnsi="Times New Roman" w:cs="Times New Roman"/>
          <w:sz w:val="24"/>
          <w:szCs w:val="24"/>
        </w:rPr>
        <w:t>tan, Hırvatistan, Kuzey Makedonya, Kos</w:t>
      </w:r>
      <w:r w:rsidR="00526B69">
        <w:rPr>
          <w:rFonts w:ascii="Times New Roman" w:hAnsi="Times New Roman" w:cs="Times New Roman"/>
          <w:sz w:val="24"/>
          <w:szCs w:val="24"/>
        </w:rPr>
        <w:t>o</w:t>
      </w:r>
      <w:r>
        <w:rPr>
          <w:rFonts w:ascii="Times New Roman" w:hAnsi="Times New Roman" w:cs="Times New Roman"/>
          <w:sz w:val="24"/>
          <w:szCs w:val="24"/>
        </w:rPr>
        <w:t xml:space="preserve">va, </w:t>
      </w:r>
      <w:r w:rsidR="00BD18E1">
        <w:rPr>
          <w:rFonts w:ascii="Times New Roman" w:hAnsi="Times New Roman" w:cs="Times New Roman"/>
          <w:sz w:val="24"/>
          <w:szCs w:val="24"/>
        </w:rPr>
        <w:t xml:space="preserve">öne çıkan ülkeler olmuştur. Bu ülkeleri bazı değişmeler dışında 2019 ve 2020 yıllarındaki </w:t>
      </w:r>
      <w:proofErr w:type="gramStart"/>
      <w:r w:rsidR="00BD18E1">
        <w:rPr>
          <w:rFonts w:ascii="Times New Roman" w:hAnsi="Times New Roman" w:cs="Times New Roman"/>
          <w:sz w:val="24"/>
          <w:szCs w:val="24"/>
        </w:rPr>
        <w:t xml:space="preserve">sıralamada </w:t>
      </w:r>
      <w:r w:rsidR="009A03E8">
        <w:rPr>
          <w:rFonts w:ascii="Times New Roman" w:hAnsi="Times New Roman" w:cs="Times New Roman"/>
          <w:sz w:val="24"/>
          <w:szCs w:val="24"/>
        </w:rPr>
        <w:t xml:space="preserve"> </w:t>
      </w:r>
      <w:r w:rsidR="00354806">
        <w:rPr>
          <w:rFonts w:ascii="Times New Roman" w:hAnsi="Times New Roman" w:cs="Times New Roman"/>
          <w:sz w:val="24"/>
          <w:szCs w:val="24"/>
        </w:rPr>
        <w:t>Lüksemburg</w:t>
      </w:r>
      <w:proofErr w:type="gramEnd"/>
      <w:r w:rsidR="00354806">
        <w:rPr>
          <w:rFonts w:ascii="Times New Roman" w:hAnsi="Times New Roman" w:cs="Times New Roman"/>
          <w:sz w:val="24"/>
          <w:szCs w:val="24"/>
        </w:rPr>
        <w:t xml:space="preserve">, Karadağ, Danimarka, Bosna Hersek ve </w:t>
      </w:r>
      <w:r w:rsidR="00420355">
        <w:rPr>
          <w:rFonts w:ascii="Times New Roman" w:hAnsi="Times New Roman" w:cs="Times New Roman"/>
          <w:sz w:val="24"/>
          <w:szCs w:val="24"/>
        </w:rPr>
        <w:t>Bulgaristan’ın takip ettiği görülmektedir.</w:t>
      </w:r>
      <w:r w:rsidR="00526B69">
        <w:rPr>
          <w:rFonts w:ascii="Times New Roman" w:hAnsi="Times New Roman" w:cs="Times New Roman"/>
          <w:sz w:val="24"/>
          <w:szCs w:val="24"/>
        </w:rPr>
        <w:t xml:space="preserve"> </w:t>
      </w:r>
      <w:r w:rsidR="000659D1">
        <w:rPr>
          <w:rFonts w:ascii="Times New Roman" w:hAnsi="Times New Roman" w:cs="Times New Roman"/>
          <w:sz w:val="24"/>
          <w:szCs w:val="24"/>
        </w:rPr>
        <w:lastRenderedPageBreak/>
        <w:t xml:space="preserve">2016-2018 yıllar arasında Kuzey Makedonya </w:t>
      </w:r>
      <w:r w:rsidR="00E667F3">
        <w:rPr>
          <w:rFonts w:ascii="Times New Roman" w:hAnsi="Times New Roman" w:cs="Times New Roman"/>
          <w:sz w:val="24"/>
          <w:szCs w:val="24"/>
        </w:rPr>
        <w:t xml:space="preserve">iş yapma kolaylığı endeksinde ilk sırada yer alırken bu ülkeyi Hırvatistan, Gürcistan, Danimarka, Kosova takip etmiştir. </w:t>
      </w:r>
    </w:p>
    <w:p w:rsidR="003E0C72" w:rsidRDefault="00B52673" w:rsidP="003D5394">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S</w:t>
      </w:r>
      <w:r w:rsidR="00420355">
        <w:rPr>
          <w:rFonts w:ascii="Times New Roman" w:hAnsi="Times New Roman" w:cs="Times New Roman"/>
          <w:sz w:val="24"/>
          <w:szCs w:val="24"/>
        </w:rPr>
        <w:t>ıralama</w:t>
      </w:r>
      <w:r>
        <w:rPr>
          <w:rFonts w:ascii="Times New Roman" w:hAnsi="Times New Roman" w:cs="Times New Roman"/>
          <w:sz w:val="24"/>
          <w:szCs w:val="24"/>
        </w:rPr>
        <w:t>lar</w:t>
      </w:r>
      <w:r w:rsidR="00420355">
        <w:rPr>
          <w:rFonts w:ascii="Times New Roman" w:hAnsi="Times New Roman" w:cs="Times New Roman"/>
          <w:sz w:val="24"/>
          <w:szCs w:val="24"/>
        </w:rPr>
        <w:t xml:space="preserve"> </w:t>
      </w:r>
      <w:r>
        <w:rPr>
          <w:rFonts w:ascii="Times New Roman" w:hAnsi="Times New Roman" w:cs="Times New Roman"/>
          <w:sz w:val="24"/>
          <w:szCs w:val="24"/>
        </w:rPr>
        <w:t xml:space="preserve">yüksek endeks değerine sahip ülkelerin </w:t>
      </w:r>
      <w:r w:rsidR="00420355">
        <w:rPr>
          <w:rFonts w:ascii="Times New Roman" w:hAnsi="Times New Roman" w:cs="Times New Roman"/>
          <w:sz w:val="24"/>
          <w:szCs w:val="24"/>
        </w:rPr>
        <w:t xml:space="preserve">pazarlama ve dağıtımın en uygun şekilde yapılabileceği ve </w:t>
      </w:r>
      <w:r w:rsidR="00D148F9">
        <w:rPr>
          <w:rFonts w:ascii="Times New Roman" w:hAnsi="Times New Roman" w:cs="Times New Roman"/>
          <w:sz w:val="24"/>
          <w:szCs w:val="24"/>
        </w:rPr>
        <w:t xml:space="preserve">düşük maliyetli işgücü temin edilebilen </w:t>
      </w:r>
      <w:r w:rsidR="00420355">
        <w:rPr>
          <w:rFonts w:ascii="Times New Roman" w:hAnsi="Times New Roman" w:cs="Times New Roman"/>
          <w:sz w:val="24"/>
          <w:szCs w:val="24"/>
        </w:rPr>
        <w:t>s</w:t>
      </w:r>
      <w:r w:rsidR="00D148F9">
        <w:rPr>
          <w:rFonts w:ascii="Times New Roman" w:hAnsi="Times New Roman" w:cs="Times New Roman"/>
          <w:sz w:val="24"/>
          <w:szCs w:val="24"/>
        </w:rPr>
        <w:t>t</w:t>
      </w:r>
      <w:r w:rsidR="00420355">
        <w:rPr>
          <w:rFonts w:ascii="Times New Roman" w:hAnsi="Times New Roman" w:cs="Times New Roman"/>
          <w:sz w:val="24"/>
          <w:szCs w:val="24"/>
        </w:rPr>
        <w:t>r</w:t>
      </w:r>
      <w:r w:rsidR="00D148F9">
        <w:rPr>
          <w:rFonts w:ascii="Times New Roman" w:hAnsi="Times New Roman" w:cs="Times New Roman"/>
          <w:sz w:val="24"/>
          <w:szCs w:val="24"/>
        </w:rPr>
        <w:t>a</w:t>
      </w:r>
      <w:r w:rsidR="00420355">
        <w:rPr>
          <w:rFonts w:ascii="Times New Roman" w:hAnsi="Times New Roman" w:cs="Times New Roman"/>
          <w:sz w:val="24"/>
          <w:szCs w:val="24"/>
        </w:rPr>
        <w:t xml:space="preserve">tejik konumdaki </w:t>
      </w:r>
      <w:r w:rsidR="00D148F9">
        <w:rPr>
          <w:rFonts w:ascii="Times New Roman" w:hAnsi="Times New Roman" w:cs="Times New Roman"/>
          <w:sz w:val="24"/>
          <w:szCs w:val="24"/>
        </w:rPr>
        <w:t xml:space="preserve">ülkeler olduğu dikkat çekmektedir. </w:t>
      </w:r>
      <w:r w:rsidR="00287441">
        <w:rPr>
          <w:rFonts w:ascii="Times New Roman" w:hAnsi="Times New Roman" w:cs="Times New Roman"/>
          <w:sz w:val="24"/>
          <w:szCs w:val="24"/>
        </w:rPr>
        <w:t>Coğrafi k</w:t>
      </w:r>
      <w:r w:rsidR="00D148F9">
        <w:rPr>
          <w:rFonts w:ascii="Times New Roman" w:hAnsi="Times New Roman" w:cs="Times New Roman"/>
          <w:sz w:val="24"/>
          <w:szCs w:val="24"/>
        </w:rPr>
        <w:t xml:space="preserve">onumu </w:t>
      </w:r>
      <w:r w:rsidR="00287441">
        <w:rPr>
          <w:rFonts w:ascii="Times New Roman" w:hAnsi="Times New Roman" w:cs="Times New Roman"/>
          <w:sz w:val="24"/>
          <w:szCs w:val="24"/>
        </w:rPr>
        <w:t>pazar</w:t>
      </w:r>
      <w:r w:rsidR="00430BBF">
        <w:rPr>
          <w:rFonts w:ascii="Times New Roman" w:hAnsi="Times New Roman" w:cs="Times New Roman"/>
          <w:sz w:val="24"/>
          <w:szCs w:val="24"/>
        </w:rPr>
        <w:t xml:space="preserve">lara yakın </w:t>
      </w:r>
      <w:r w:rsidR="00D148F9">
        <w:rPr>
          <w:rFonts w:ascii="Times New Roman" w:hAnsi="Times New Roman" w:cs="Times New Roman"/>
          <w:sz w:val="24"/>
          <w:szCs w:val="24"/>
        </w:rPr>
        <w:t xml:space="preserve">olmayan ve işgücü maliyetlerinin yüksek olduğu gelişmiş ülkelerin uluslararası yatırımcı </w:t>
      </w:r>
      <w:r w:rsidR="00287441">
        <w:rPr>
          <w:rFonts w:ascii="Times New Roman" w:hAnsi="Times New Roman" w:cs="Times New Roman"/>
          <w:sz w:val="24"/>
          <w:szCs w:val="24"/>
        </w:rPr>
        <w:t xml:space="preserve">için iş yapma kolaylığı bakımından </w:t>
      </w:r>
      <w:r w:rsidR="00D148F9">
        <w:rPr>
          <w:rFonts w:ascii="Times New Roman" w:hAnsi="Times New Roman" w:cs="Times New Roman"/>
          <w:sz w:val="24"/>
          <w:szCs w:val="24"/>
        </w:rPr>
        <w:t xml:space="preserve">cazip </w:t>
      </w:r>
      <w:r w:rsidR="00B8003F">
        <w:rPr>
          <w:rFonts w:ascii="Times New Roman" w:hAnsi="Times New Roman" w:cs="Times New Roman"/>
          <w:sz w:val="24"/>
          <w:szCs w:val="24"/>
        </w:rPr>
        <w:t xml:space="preserve">olmadığı görülmektedir. </w:t>
      </w:r>
      <w:r w:rsidR="003232A3">
        <w:rPr>
          <w:rFonts w:ascii="Times New Roman" w:hAnsi="Times New Roman" w:cs="Times New Roman"/>
          <w:sz w:val="24"/>
          <w:szCs w:val="24"/>
        </w:rPr>
        <w:t>Yatırımcı çeken ülkelerin genel olarak</w:t>
      </w:r>
      <w:r w:rsidR="004A2481">
        <w:rPr>
          <w:rFonts w:ascii="Times New Roman" w:hAnsi="Times New Roman" w:cs="Times New Roman"/>
          <w:sz w:val="24"/>
          <w:szCs w:val="24"/>
        </w:rPr>
        <w:t xml:space="preserve"> </w:t>
      </w:r>
      <w:r>
        <w:rPr>
          <w:rFonts w:ascii="Times New Roman" w:hAnsi="Times New Roman" w:cs="Times New Roman"/>
          <w:sz w:val="24"/>
          <w:szCs w:val="24"/>
        </w:rPr>
        <w:t xml:space="preserve">Orta </w:t>
      </w:r>
      <w:r w:rsidR="004A2481">
        <w:rPr>
          <w:rFonts w:ascii="Times New Roman" w:hAnsi="Times New Roman" w:cs="Times New Roman"/>
          <w:sz w:val="24"/>
          <w:szCs w:val="24"/>
        </w:rPr>
        <w:t>Avrupa</w:t>
      </w:r>
      <w:r w:rsidR="000538B0">
        <w:rPr>
          <w:rFonts w:ascii="Times New Roman" w:hAnsi="Times New Roman" w:cs="Times New Roman"/>
          <w:sz w:val="24"/>
          <w:szCs w:val="24"/>
        </w:rPr>
        <w:t xml:space="preserve">’da </w:t>
      </w:r>
      <w:r w:rsidR="004A2481">
        <w:rPr>
          <w:rFonts w:ascii="Times New Roman" w:hAnsi="Times New Roman" w:cs="Times New Roman"/>
          <w:sz w:val="24"/>
          <w:szCs w:val="24"/>
        </w:rPr>
        <w:t xml:space="preserve">bulunan aynı zamanda Orta Asya pazarına </w:t>
      </w:r>
      <w:r w:rsidR="00EA18DB">
        <w:rPr>
          <w:rFonts w:ascii="Times New Roman" w:hAnsi="Times New Roman" w:cs="Times New Roman"/>
          <w:sz w:val="24"/>
          <w:szCs w:val="24"/>
        </w:rPr>
        <w:t xml:space="preserve">hâkim konumda olmaları, </w:t>
      </w:r>
      <w:r w:rsidR="003232A3">
        <w:rPr>
          <w:rFonts w:ascii="Times New Roman" w:hAnsi="Times New Roman" w:cs="Times New Roman"/>
          <w:sz w:val="24"/>
          <w:szCs w:val="24"/>
        </w:rPr>
        <w:t xml:space="preserve">gelişmekte olan ülkeler olması, genç </w:t>
      </w:r>
      <w:r w:rsidR="000538B0">
        <w:rPr>
          <w:rFonts w:ascii="Times New Roman" w:hAnsi="Times New Roman" w:cs="Times New Roman"/>
          <w:sz w:val="24"/>
          <w:szCs w:val="24"/>
        </w:rPr>
        <w:t xml:space="preserve">ve dinamik nüfusa sahip oldukları görülmektedir. Gelişmekte olan ülkelerin </w:t>
      </w:r>
      <w:r w:rsidR="009C7A87">
        <w:rPr>
          <w:rFonts w:ascii="Times New Roman" w:hAnsi="Times New Roman" w:cs="Times New Roman"/>
          <w:sz w:val="24"/>
          <w:szCs w:val="24"/>
        </w:rPr>
        <w:t>uluslararası</w:t>
      </w:r>
      <w:r w:rsidR="00EA18DB">
        <w:rPr>
          <w:rFonts w:ascii="Times New Roman" w:hAnsi="Times New Roman" w:cs="Times New Roman"/>
          <w:sz w:val="24"/>
          <w:szCs w:val="24"/>
        </w:rPr>
        <w:t xml:space="preserve"> </w:t>
      </w:r>
      <w:r w:rsidR="009C7A87">
        <w:rPr>
          <w:rFonts w:ascii="Times New Roman" w:hAnsi="Times New Roman" w:cs="Times New Roman"/>
          <w:sz w:val="24"/>
          <w:szCs w:val="24"/>
        </w:rPr>
        <w:t>yatırımcıları</w:t>
      </w:r>
      <w:r w:rsidR="00EA18DB">
        <w:rPr>
          <w:rFonts w:ascii="Times New Roman" w:hAnsi="Times New Roman" w:cs="Times New Roman"/>
          <w:sz w:val="24"/>
          <w:szCs w:val="24"/>
        </w:rPr>
        <w:t xml:space="preserve"> çekebilmek için vergi</w:t>
      </w:r>
      <w:r w:rsidR="006E713A">
        <w:rPr>
          <w:rFonts w:ascii="Times New Roman" w:hAnsi="Times New Roman" w:cs="Times New Roman"/>
          <w:sz w:val="24"/>
          <w:szCs w:val="24"/>
        </w:rPr>
        <w:t xml:space="preserve"> indirimi</w:t>
      </w:r>
      <w:r w:rsidR="00EA18DB">
        <w:rPr>
          <w:rFonts w:ascii="Times New Roman" w:hAnsi="Times New Roman" w:cs="Times New Roman"/>
          <w:sz w:val="24"/>
          <w:szCs w:val="24"/>
        </w:rPr>
        <w:t>,</w:t>
      </w:r>
      <w:r w:rsidR="006E713A">
        <w:rPr>
          <w:rFonts w:ascii="Times New Roman" w:hAnsi="Times New Roman" w:cs="Times New Roman"/>
          <w:sz w:val="24"/>
          <w:szCs w:val="24"/>
        </w:rPr>
        <w:t xml:space="preserve"> uygun maliyetli</w:t>
      </w:r>
      <w:r w:rsidR="00EA18DB">
        <w:rPr>
          <w:rFonts w:ascii="Times New Roman" w:hAnsi="Times New Roman" w:cs="Times New Roman"/>
          <w:sz w:val="24"/>
          <w:szCs w:val="24"/>
        </w:rPr>
        <w:t xml:space="preserve"> enerji</w:t>
      </w:r>
      <w:r w:rsidR="00430BBF">
        <w:rPr>
          <w:rFonts w:ascii="Times New Roman" w:hAnsi="Times New Roman" w:cs="Times New Roman"/>
          <w:sz w:val="24"/>
          <w:szCs w:val="24"/>
        </w:rPr>
        <w:t xml:space="preserve"> kullanımı</w:t>
      </w:r>
      <w:r w:rsidR="009C7A87">
        <w:rPr>
          <w:rFonts w:ascii="Times New Roman" w:hAnsi="Times New Roman" w:cs="Times New Roman"/>
          <w:sz w:val="24"/>
          <w:szCs w:val="24"/>
        </w:rPr>
        <w:t xml:space="preserve">, istihdam kolaylıkları </w:t>
      </w:r>
      <w:r w:rsidR="00EA18DB">
        <w:rPr>
          <w:rFonts w:ascii="Times New Roman" w:hAnsi="Times New Roman" w:cs="Times New Roman"/>
          <w:sz w:val="24"/>
          <w:szCs w:val="24"/>
        </w:rPr>
        <w:t>gibi</w:t>
      </w:r>
      <w:r w:rsidR="0027771D">
        <w:rPr>
          <w:rFonts w:ascii="Times New Roman" w:hAnsi="Times New Roman" w:cs="Times New Roman"/>
          <w:sz w:val="24"/>
          <w:szCs w:val="24"/>
        </w:rPr>
        <w:t xml:space="preserve"> çeşitli</w:t>
      </w:r>
      <w:r w:rsidR="00EA18DB">
        <w:rPr>
          <w:rFonts w:ascii="Times New Roman" w:hAnsi="Times New Roman" w:cs="Times New Roman"/>
          <w:sz w:val="24"/>
          <w:szCs w:val="24"/>
        </w:rPr>
        <w:t xml:space="preserve"> </w:t>
      </w:r>
      <w:r w:rsidR="006E713A">
        <w:rPr>
          <w:rFonts w:ascii="Times New Roman" w:hAnsi="Times New Roman" w:cs="Times New Roman"/>
          <w:sz w:val="24"/>
          <w:szCs w:val="24"/>
        </w:rPr>
        <w:t xml:space="preserve">yatırım </w:t>
      </w:r>
      <w:r w:rsidR="00EA18DB">
        <w:rPr>
          <w:rFonts w:ascii="Times New Roman" w:hAnsi="Times New Roman" w:cs="Times New Roman"/>
          <w:sz w:val="24"/>
          <w:szCs w:val="24"/>
        </w:rPr>
        <w:t>teşvikler</w:t>
      </w:r>
      <w:r w:rsidR="006E713A">
        <w:rPr>
          <w:rFonts w:ascii="Times New Roman" w:hAnsi="Times New Roman" w:cs="Times New Roman"/>
          <w:sz w:val="24"/>
          <w:szCs w:val="24"/>
        </w:rPr>
        <w:t>i</w:t>
      </w:r>
      <w:r w:rsidR="00EA18DB">
        <w:rPr>
          <w:rFonts w:ascii="Times New Roman" w:hAnsi="Times New Roman" w:cs="Times New Roman"/>
          <w:sz w:val="24"/>
          <w:szCs w:val="24"/>
        </w:rPr>
        <w:t xml:space="preserve"> ver</w:t>
      </w:r>
      <w:r w:rsidR="000538B0">
        <w:rPr>
          <w:rFonts w:ascii="Times New Roman" w:hAnsi="Times New Roman" w:cs="Times New Roman"/>
          <w:sz w:val="24"/>
          <w:szCs w:val="24"/>
        </w:rPr>
        <w:t xml:space="preserve">dikleri görülmektedir. </w:t>
      </w:r>
      <w:proofErr w:type="gramStart"/>
      <w:r w:rsidR="000538B0">
        <w:rPr>
          <w:rFonts w:ascii="Times New Roman" w:hAnsi="Times New Roman" w:cs="Times New Roman"/>
          <w:sz w:val="24"/>
          <w:szCs w:val="24"/>
        </w:rPr>
        <w:t>…………….</w:t>
      </w:r>
      <w:proofErr w:type="gramEnd"/>
      <w:r w:rsidR="00FA530C">
        <w:rPr>
          <w:rFonts w:ascii="Times New Roman" w:hAnsi="Times New Roman" w:cs="Times New Roman"/>
          <w:sz w:val="24"/>
          <w:szCs w:val="24"/>
        </w:rPr>
        <w:t xml:space="preserve"> </w:t>
      </w:r>
      <w:r w:rsidR="00EA18DB">
        <w:rPr>
          <w:rFonts w:ascii="Times New Roman" w:hAnsi="Times New Roman" w:cs="Times New Roman"/>
          <w:sz w:val="24"/>
          <w:szCs w:val="24"/>
        </w:rPr>
        <w:t xml:space="preserve"> </w:t>
      </w:r>
      <w:r w:rsidR="003232A3">
        <w:rPr>
          <w:rFonts w:ascii="Times New Roman" w:hAnsi="Times New Roman" w:cs="Times New Roman"/>
          <w:sz w:val="24"/>
          <w:szCs w:val="24"/>
        </w:rPr>
        <w:t xml:space="preserve"> </w:t>
      </w:r>
    </w:p>
    <w:p w:rsidR="00065013" w:rsidRDefault="0093109B" w:rsidP="003D5394">
      <w:pPr>
        <w:spacing w:after="120" w:line="240" w:lineRule="auto"/>
        <w:ind w:firstLine="708"/>
        <w:jc w:val="both"/>
        <w:rPr>
          <w:rFonts w:ascii="Times New Roman" w:hAnsi="Times New Roman" w:cs="Times New Roman"/>
          <w:sz w:val="24"/>
          <w:szCs w:val="24"/>
        </w:rPr>
      </w:pPr>
      <w:r>
        <w:rPr>
          <w:rFonts w:ascii="Times New Roman" w:hAnsi="Times New Roman" w:cs="Times New Roman"/>
          <w:sz w:val="24"/>
          <w:szCs w:val="24"/>
        </w:rPr>
        <w:t>2020 yılı s</w:t>
      </w:r>
      <w:r w:rsidR="00691D47">
        <w:rPr>
          <w:rFonts w:ascii="Times New Roman" w:hAnsi="Times New Roman" w:cs="Times New Roman"/>
          <w:sz w:val="24"/>
          <w:szCs w:val="24"/>
        </w:rPr>
        <w:t>onuçlar</w:t>
      </w:r>
      <w:r>
        <w:rPr>
          <w:rFonts w:ascii="Times New Roman" w:hAnsi="Times New Roman" w:cs="Times New Roman"/>
          <w:sz w:val="24"/>
          <w:szCs w:val="24"/>
        </w:rPr>
        <w:t xml:space="preserve">ına </w:t>
      </w:r>
      <w:r w:rsidR="00691D47">
        <w:rPr>
          <w:rFonts w:ascii="Times New Roman" w:hAnsi="Times New Roman" w:cs="Times New Roman"/>
          <w:sz w:val="24"/>
          <w:szCs w:val="24"/>
        </w:rPr>
        <w:t xml:space="preserve">bakıldığında </w:t>
      </w:r>
      <w:proofErr w:type="spellStart"/>
      <w:r w:rsidR="00733942">
        <w:rPr>
          <w:rFonts w:ascii="Times New Roman" w:hAnsi="Times New Roman" w:cs="Times New Roman"/>
          <w:sz w:val="24"/>
          <w:szCs w:val="24"/>
        </w:rPr>
        <w:t>Belarus</w:t>
      </w:r>
      <w:proofErr w:type="spellEnd"/>
      <w:r w:rsidR="00733942">
        <w:rPr>
          <w:rFonts w:ascii="Times New Roman" w:hAnsi="Times New Roman" w:cs="Times New Roman"/>
          <w:sz w:val="24"/>
          <w:szCs w:val="24"/>
        </w:rPr>
        <w:t>, Yunanistan</w:t>
      </w:r>
      <w:r w:rsidR="00691D47">
        <w:rPr>
          <w:rFonts w:ascii="Times New Roman" w:hAnsi="Times New Roman" w:cs="Times New Roman"/>
          <w:sz w:val="24"/>
          <w:szCs w:val="24"/>
        </w:rPr>
        <w:t>, Tacikistan,</w:t>
      </w:r>
      <w:r w:rsidR="00733942">
        <w:rPr>
          <w:rFonts w:ascii="Times New Roman" w:hAnsi="Times New Roman" w:cs="Times New Roman"/>
          <w:sz w:val="24"/>
          <w:szCs w:val="24"/>
        </w:rPr>
        <w:t xml:space="preserve"> İtalya, Avusturya, Almanya, </w:t>
      </w:r>
      <w:r w:rsidR="00691D47">
        <w:rPr>
          <w:rFonts w:ascii="Times New Roman" w:hAnsi="Times New Roman" w:cs="Times New Roman"/>
          <w:sz w:val="24"/>
          <w:szCs w:val="24"/>
        </w:rPr>
        <w:t xml:space="preserve">Belçika sıralamalarda en </w:t>
      </w:r>
      <w:r w:rsidR="002211A9">
        <w:rPr>
          <w:rFonts w:ascii="Times New Roman" w:hAnsi="Times New Roman" w:cs="Times New Roman"/>
          <w:sz w:val="24"/>
          <w:szCs w:val="24"/>
        </w:rPr>
        <w:t xml:space="preserve">düşük endeks puanına sahip ülkeler olarak bulunmuştur. </w:t>
      </w:r>
      <w:r w:rsidR="00D86B49">
        <w:rPr>
          <w:rFonts w:ascii="Times New Roman" w:hAnsi="Times New Roman" w:cs="Times New Roman"/>
          <w:sz w:val="24"/>
          <w:szCs w:val="24"/>
        </w:rPr>
        <w:t xml:space="preserve">Bu ülkeleri </w:t>
      </w:r>
      <w:r w:rsidR="000C4604">
        <w:rPr>
          <w:rFonts w:ascii="Times New Roman" w:hAnsi="Times New Roman" w:cs="Times New Roman"/>
          <w:sz w:val="24"/>
          <w:szCs w:val="24"/>
        </w:rPr>
        <w:t xml:space="preserve">Almanya, Belçika, </w:t>
      </w:r>
      <w:r w:rsidR="00D86B49">
        <w:rPr>
          <w:rFonts w:ascii="Times New Roman" w:hAnsi="Times New Roman" w:cs="Times New Roman"/>
          <w:sz w:val="24"/>
          <w:szCs w:val="24"/>
        </w:rPr>
        <w:t>Hollanda, İsveç</w:t>
      </w:r>
      <w:r w:rsidR="000C4604">
        <w:rPr>
          <w:rFonts w:ascii="Times New Roman" w:hAnsi="Times New Roman" w:cs="Times New Roman"/>
          <w:sz w:val="24"/>
          <w:szCs w:val="24"/>
        </w:rPr>
        <w:t xml:space="preserve"> </w:t>
      </w:r>
      <w:r w:rsidR="00D86B49">
        <w:rPr>
          <w:rFonts w:ascii="Times New Roman" w:hAnsi="Times New Roman" w:cs="Times New Roman"/>
          <w:sz w:val="24"/>
          <w:szCs w:val="24"/>
        </w:rPr>
        <w:t xml:space="preserve">takip etmektedir. İş yapma kolaylığı endeksi düşük </w:t>
      </w:r>
      <w:r w:rsidR="000C4604">
        <w:rPr>
          <w:rFonts w:ascii="Times New Roman" w:hAnsi="Times New Roman" w:cs="Times New Roman"/>
          <w:sz w:val="24"/>
          <w:szCs w:val="24"/>
        </w:rPr>
        <w:t xml:space="preserve">olan ülkelerin daha çok gelişmiş ülkeler olduğu görülmektedir. </w:t>
      </w:r>
      <w:r w:rsidR="00526B69" w:rsidRPr="00526B69">
        <w:rPr>
          <w:rFonts w:ascii="Times New Roman" w:hAnsi="Times New Roman" w:cs="Times New Roman"/>
          <w:sz w:val="24"/>
          <w:szCs w:val="24"/>
        </w:rPr>
        <w:t xml:space="preserve">2019 yılı sıralamalarına bakıldığında en düşük endeks puanına sahip ülkeler </w:t>
      </w:r>
      <w:proofErr w:type="spellStart"/>
      <w:r w:rsidR="00526B69" w:rsidRPr="00526B69">
        <w:rPr>
          <w:rFonts w:ascii="Times New Roman" w:hAnsi="Times New Roman" w:cs="Times New Roman"/>
          <w:sz w:val="24"/>
          <w:szCs w:val="24"/>
        </w:rPr>
        <w:t>Belarus</w:t>
      </w:r>
      <w:proofErr w:type="spellEnd"/>
      <w:r w:rsidR="00526B69" w:rsidRPr="00526B69">
        <w:rPr>
          <w:rFonts w:ascii="Times New Roman" w:hAnsi="Times New Roman" w:cs="Times New Roman"/>
          <w:sz w:val="24"/>
          <w:szCs w:val="24"/>
        </w:rPr>
        <w:t>, Yunanistan, Tacikistan, İtalya, Avusturya, Almanya, Belçika, Hollanda olarak sıralanmıştır</w:t>
      </w:r>
      <w:r w:rsidR="00065013">
        <w:rPr>
          <w:rFonts w:ascii="Times New Roman" w:hAnsi="Times New Roman" w:cs="Times New Roman"/>
          <w:sz w:val="24"/>
          <w:szCs w:val="24"/>
        </w:rPr>
        <w:t xml:space="preserve">. </w:t>
      </w:r>
    </w:p>
    <w:p w:rsidR="00844148" w:rsidRPr="00776387" w:rsidRDefault="00844148" w:rsidP="00AF0E9C">
      <w:pPr>
        <w:spacing w:before="240" w:after="120" w:line="240" w:lineRule="auto"/>
        <w:ind w:firstLine="709"/>
        <w:jc w:val="both"/>
        <w:rPr>
          <w:rFonts w:ascii="Times New Roman" w:hAnsi="Times New Roman" w:cs="Times New Roman"/>
          <w:b/>
          <w:sz w:val="24"/>
          <w:szCs w:val="24"/>
        </w:rPr>
      </w:pPr>
      <w:r w:rsidRPr="00776387">
        <w:rPr>
          <w:rFonts w:ascii="Times New Roman" w:hAnsi="Times New Roman" w:cs="Times New Roman"/>
          <w:b/>
          <w:sz w:val="24"/>
          <w:szCs w:val="24"/>
        </w:rPr>
        <w:t xml:space="preserve">SONUÇ VE DEĞERLENDİRME </w:t>
      </w:r>
    </w:p>
    <w:p w:rsidR="00FA287A" w:rsidRDefault="00EE26B0" w:rsidP="00776387">
      <w:pPr>
        <w:spacing w:after="120" w:line="240" w:lineRule="auto"/>
        <w:ind w:firstLine="708"/>
        <w:jc w:val="both"/>
        <w:rPr>
          <w:rFonts w:ascii="Times New Roman" w:hAnsi="Times New Roman" w:cs="Times New Roman"/>
          <w:b/>
          <w:sz w:val="24"/>
          <w:szCs w:val="24"/>
        </w:rPr>
      </w:pPr>
      <w:r>
        <w:rPr>
          <w:rFonts w:ascii="Times New Roman" w:hAnsi="Times New Roman" w:cs="Times New Roman"/>
          <w:sz w:val="24"/>
          <w:szCs w:val="24"/>
        </w:rPr>
        <w:t xml:space="preserve">Uluslararası ve bölgesel kurum ve kuruluşlar küresel dünyada önemli birer aktördür. Bu kurum ve kuruluşlar ülkeler </w:t>
      </w:r>
      <w:r w:rsidR="007D4E29">
        <w:rPr>
          <w:rFonts w:ascii="Times New Roman" w:hAnsi="Times New Roman" w:cs="Times New Roman"/>
          <w:sz w:val="24"/>
          <w:szCs w:val="24"/>
        </w:rPr>
        <w:t>arasında</w:t>
      </w:r>
      <w:r>
        <w:rPr>
          <w:rFonts w:ascii="Times New Roman" w:hAnsi="Times New Roman" w:cs="Times New Roman"/>
          <w:sz w:val="24"/>
          <w:szCs w:val="24"/>
        </w:rPr>
        <w:t xml:space="preserve"> işbirliği ve dayanışma örgütleri olma niteliklerinin yanı sıra </w:t>
      </w:r>
      <w:r w:rsidR="004F6421">
        <w:rPr>
          <w:rFonts w:ascii="Times New Roman" w:hAnsi="Times New Roman" w:cs="Times New Roman"/>
          <w:sz w:val="24"/>
          <w:szCs w:val="24"/>
        </w:rPr>
        <w:t xml:space="preserve">raporları ve önerileri ile </w:t>
      </w:r>
      <w:r w:rsidR="001C3554">
        <w:rPr>
          <w:rFonts w:ascii="Times New Roman" w:hAnsi="Times New Roman" w:cs="Times New Roman"/>
          <w:sz w:val="24"/>
          <w:szCs w:val="24"/>
        </w:rPr>
        <w:t>birçok</w:t>
      </w:r>
      <w:r w:rsidR="007D4E29">
        <w:rPr>
          <w:rFonts w:ascii="Times New Roman" w:hAnsi="Times New Roman" w:cs="Times New Roman"/>
          <w:sz w:val="24"/>
          <w:szCs w:val="24"/>
        </w:rPr>
        <w:t xml:space="preserve"> konuda ülkeleri </w:t>
      </w:r>
      <w:r w:rsidR="004F6421">
        <w:rPr>
          <w:rFonts w:ascii="Times New Roman" w:hAnsi="Times New Roman" w:cs="Times New Roman"/>
          <w:sz w:val="24"/>
          <w:szCs w:val="24"/>
        </w:rPr>
        <w:t>yönlendirici ve etkileyici olabil</w:t>
      </w:r>
      <w:r w:rsidR="007D4E29">
        <w:rPr>
          <w:rFonts w:ascii="Times New Roman" w:hAnsi="Times New Roman" w:cs="Times New Roman"/>
          <w:sz w:val="24"/>
          <w:szCs w:val="24"/>
        </w:rPr>
        <w:t xml:space="preserve">mektedir. </w:t>
      </w:r>
      <w:r w:rsidR="004F6421">
        <w:rPr>
          <w:rFonts w:ascii="Times New Roman" w:hAnsi="Times New Roman" w:cs="Times New Roman"/>
          <w:sz w:val="24"/>
          <w:szCs w:val="24"/>
        </w:rPr>
        <w:t xml:space="preserve"> Bu kapsamda ülke yönetimleri ve piyasalar tarafından takip edilerek </w:t>
      </w:r>
      <w:r w:rsidR="007D4E29">
        <w:rPr>
          <w:rFonts w:ascii="Times New Roman" w:hAnsi="Times New Roman" w:cs="Times New Roman"/>
          <w:sz w:val="24"/>
          <w:szCs w:val="24"/>
        </w:rPr>
        <w:t xml:space="preserve">yapılan çalışmalar ve hazırlanan </w:t>
      </w:r>
      <w:r w:rsidR="004F6421">
        <w:rPr>
          <w:rFonts w:ascii="Times New Roman" w:hAnsi="Times New Roman" w:cs="Times New Roman"/>
          <w:sz w:val="24"/>
          <w:szCs w:val="24"/>
        </w:rPr>
        <w:t>raporları üzerinde değerlendirmeler ve tartışmalar yapılmaktadır. U</w:t>
      </w:r>
      <w:r w:rsidR="00130CD8" w:rsidRPr="00776387">
        <w:rPr>
          <w:rFonts w:ascii="Times New Roman" w:hAnsi="Times New Roman" w:cs="Times New Roman"/>
          <w:sz w:val="24"/>
          <w:szCs w:val="24"/>
        </w:rPr>
        <w:t>luslararası</w:t>
      </w:r>
      <w:r w:rsidR="004F6421">
        <w:rPr>
          <w:rFonts w:ascii="Times New Roman" w:hAnsi="Times New Roman" w:cs="Times New Roman"/>
          <w:sz w:val="24"/>
          <w:szCs w:val="24"/>
        </w:rPr>
        <w:t xml:space="preserve"> kuruluşlar </w:t>
      </w:r>
      <w:r w:rsidR="00130CD8" w:rsidRPr="00776387">
        <w:rPr>
          <w:rFonts w:ascii="Times New Roman" w:hAnsi="Times New Roman" w:cs="Times New Roman"/>
          <w:sz w:val="24"/>
          <w:szCs w:val="24"/>
        </w:rPr>
        <w:t xml:space="preserve">ekonomik, </w:t>
      </w:r>
      <w:r w:rsidR="007D4E29">
        <w:rPr>
          <w:rFonts w:ascii="Times New Roman" w:hAnsi="Times New Roman" w:cs="Times New Roman"/>
          <w:sz w:val="24"/>
          <w:szCs w:val="24"/>
        </w:rPr>
        <w:t xml:space="preserve">siyasi, </w:t>
      </w:r>
      <w:r w:rsidR="00130CD8" w:rsidRPr="00776387">
        <w:rPr>
          <w:rFonts w:ascii="Times New Roman" w:hAnsi="Times New Roman" w:cs="Times New Roman"/>
          <w:sz w:val="24"/>
          <w:szCs w:val="24"/>
        </w:rPr>
        <w:t xml:space="preserve">hukuki, sosyal </w:t>
      </w:r>
      <w:r w:rsidR="0031151E">
        <w:rPr>
          <w:rFonts w:ascii="Times New Roman" w:hAnsi="Times New Roman" w:cs="Times New Roman"/>
          <w:sz w:val="24"/>
          <w:szCs w:val="24"/>
        </w:rPr>
        <w:t xml:space="preserve">düzenlemeler </w:t>
      </w:r>
      <w:r w:rsidR="00210EBC" w:rsidRPr="00776387">
        <w:rPr>
          <w:rFonts w:ascii="Times New Roman" w:hAnsi="Times New Roman" w:cs="Times New Roman"/>
          <w:sz w:val="24"/>
          <w:szCs w:val="24"/>
        </w:rPr>
        <w:t xml:space="preserve">yapmak </w:t>
      </w:r>
      <w:r w:rsidR="00130CD8" w:rsidRPr="00776387">
        <w:rPr>
          <w:rFonts w:ascii="Times New Roman" w:hAnsi="Times New Roman" w:cs="Times New Roman"/>
          <w:sz w:val="24"/>
          <w:szCs w:val="24"/>
        </w:rPr>
        <w:t xml:space="preserve">ve uluslararası standartları yakalamak </w:t>
      </w:r>
      <w:r w:rsidR="00210EBC" w:rsidRPr="00776387">
        <w:rPr>
          <w:rFonts w:ascii="Times New Roman" w:hAnsi="Times New Roman" w:cs="Times New Roman"/>
          <w:sz w:val="24"/>
          <w:szCs w:val="24"/>
        </w:rPr>
        <w:t>için</w:t>
      </w:r>
      <w:r w:rsidR="0031151E">
        <w:rPr>
          <w:rFonts w:ascii="Times New Roman" w:hAnsi="Times New Roman" w:cs="Times New Roman"/>
          <w:sz w:val="24"/>
          <w:szCs w:val="24"/>
        </w:rPr>
        <w:t xml:space="preserve"> ülkelere</w:t>
      </w:r>
      <w:r w:rsidR="00210EBC" w:rsidRPr="00776387">
        <w:rPr>
          <w:rFonts w:ascii="Times New Roman" w:hAnsi="Times New Roman" w:cs="Times New Roman"/>
          <w:sz w:val="24"/>
          <w:szCs w:val="24"/>
        </w:rPr>
        <w:t xml:space="preserve"> önemli bir </w:t>
      </w:r>
      <w:proofErr w:type="gramStart"/>
      <w:r w:rsidR="00210EBC" w:rsidRPr="00776387">
        <w:rPr>
          <w:rFonts w:ascii="Times New Roman" w:hAnsi="Times New Roman" w:cs="Times New Roman"/>
          <w:sz w:val="24"/>
          <w:szCs w:val="24"/>
        </w:rPr>
        <w:t>motivasyon</w:t>
      </w:r>
      <w:proofErr w:type="gramEnd"/>
      <w:r w:rsidR="00210EBC" w:rsidRPr="00776387">
        <w:rPr>
          <w:rFonts w:ascii="Times New Roman" w:hAnsi="Times New Roman" w:cs="Times New Roman"/>
          <w:sz w:val="24"/>
          <w:szCs w:val="24"/>
        </w:rPr>
        <w:t xml:space="preserve"> kaynağı </w:t>
      </w:r>
      <w:r w:rsidR="00130CD8" w:rsidRPr="00776387">
        <w:rPr>
          <w:rFonts w:ascii="Times New Roman" w:hAnsi="Times New Roman" w:cs="Times New Roman"/>
          <w:sz w:val="24"/>
          <w:szCs w:val="24"/>
        </w:rPr>
        <w:t>olmaktadır</w:t>
      </w:r>
      <w:r w:rsidR="00210EBC" w:rsidRPr="00776387">
        <w:rPr>
          <w:rFonts w:ascii="Times New Roman" w:hAnsi="Times New Roman" w:cs="Times New Roman"/>
          <w:b/>
          <w:sz w:val="24"/>
          <w:szCs w:val="24"/>
        </w:rPr>
        <w:t>.</w:t>
      </w:r>
      <w:r w:rsidR="00421883" w:rsidRPr="00776387">
        <w:rPr>
          <w:rFonts w:ascii="Times New Roman" w:hAnsi="Times New Roman" w:cs="Times New Roman"/>
          <w:b/>
          <w:sz w:val="24"/>
          <w:szCs w:val="24"/>
        </w:rPr>
        <w:t xml:space="preserve"> </w:t>
      </w:r>
    </w:p>
    <w:p w:rsidR="00844148" w:rsidRPr="00776387" w:rsidRDefault="00421883" w:rsidP="00776387">
      <w:pPr>
        <w:spacing w:after="120" w:line="240" w:lineRule="auto"/>
        <w:ind w:firstLine="708"/>
        <w:jc w:val="both"/>
        <w:rPr>
          <w:rFonts w:ascii="Times New Roman" w:hAnsi="Times New Roman" w:cs="Times New Roman"/>
          <w:b/>
          <w:sz w:val="24"/>
          <w:szCs w:val="24"/>
        </w:rPr>
      </w:pPr>
      <w:r w:rsidRPr="00FA287A">
        <w:rPr>
          <w:rFonts w:ascii="Times New Roman" w:hAnsi="Times New Roman" w:cs="Times New Roman"/>
          <w:sz w:val="24"/>
          <w:szCs w:val="24"/>
        </w:rPr>
        <w:t xml:space="preserve">Bu kapsamda Dünya Bankası ekonomik iyileştirmeler ve iş yapma kolaylığı düzenlemelerinin yapılması konusunda </w:t>
      </w:r>
      <w:r w:rsidR="00420112" w:rsidRPr="00FA287A">
        <w:rPr>
          <w:rFonts w:ascii="Times New Roman" w:hAnsi="Times New Roman" w:cs="Times New Roman"/>
          <w:sz w:val="24"/>
          <w:szCs w:val="24"/>
        </w:rPr>
        <w:t>uluslararası</w:t>
      </w:r>
      <w:r w:rsidRPr="00FA287A">
        <w:rPr>
          <w:rFonts w:ascii="Times New Roman" w:hAnsi="Times New Roman" w:cs="Times New Roman"/>
          <w:sz w:val="24"/>
          <w:szCs w:val="24"/>
        </w:rPr>
        <w:t xml:space="preserve"> standartları </w:t>
      </w:r>
      <w:r w:rsidR="00420112" w:rsidRPr="00FA287A">
        <w:rPr>
          <w:rFonts w:ascii="Times New Roman" w:hAnsi="Times New Roman" w:cs="Times New Roman"/>
          <w:sz w:val="24"/>
          <w:szCs w:val="24"/>
        </w:rPr>
        <w:t>ortaya</w:t>
      </w:r>
      <w:r w:rsidRPr="00FA287A">
        <w:rPr>
          <w:rFonts w:ascii="Times New Roman" w:hAnsi="Times New Roman" w:cs="Times New Roman"/>
          <w:sz w:val="24"/>
          <w:szCs w:val="24"/>
        </w:rPr>
        <w:t xml:space="preserve"> koyarak ülkelerin </w:t>
      </w:r>
      <w:r w:rsidR="00420112" w:rsidRPr="00FA287A">
        <w:rPr>
          <w:rFonts w:ascii="Times New Roman" w:hAnsi="Times New Roman" w:cs="Times New Roman"/>
          <w:sz w:val="24"/>
          <w:szCs w:val="24"/>
        </w:rPr>
        <w:t>performanslarını</w:t>
      </w:r>
      <w:r w:rsidRPr="00FA287A">
        <w:rPr>
          <w:rFonts w:ascii="Times New Roman" w:hAnsi="Times New Roman" w:cs="Times New Roman"/>
          <w:sz w:val="24"/>
          <w:szCs w:val="24"/>
        </w:rPr>
        <w:t xml:space="preserve"> değerl</w:t>
      </w:r>
      <w:r w:rsidR="00420112" w:rsidRPr="00FA287A">
        <w:rPr>
          <w:rFonts w:ascii="Times New Roman" w:hAnsi="Times New Roman" w:cs="Times New Roman"/>
          <w:sz w:val="24"/>
          <w:szCs w:val="24"/>
        </w:rPr>
        <w:t>endirme</w:t>
      </w:r>
      <w:r w:rsidR="0031151E">
        <w:rPr>
          <w:rFonts w:ascii="Times New Roman" w:hAnsi="Times New Roman" w:cs="Times New Roman"/>
          <w:sz w:val="24"/>
          <w:szCs w:val="24"/>
        </w:rPr>
        <w:t xml:space="preserve">ktedir. Yapılan değerlendirmeler ve hazırlanan raporlar ülkeler için önemli göstergeler içermektedir. </w:t>
      </w:r>
      <w:r w:rsidR="00420112" w:rsidRPr="00776387">
        <w:rPr>
          <w:rFonts w:ascii="Times New Roman" w:hAnsi="Times New Roman" w:cs="Times New Roman"/>
          <w:b/>
          <w:sz w:val="24"/>
          <w:szCs w:val="24"/>
        </w:rPr>
        <w:t xml:space="preserve"> </w:t>
      </w:r>
      <w:r w:rsidR="00210EBC" w:rsidRPr="00776387">
        <w:rPr>
          <w:rFonts w:ascii="Times New Roman" w:hAnsi="Times New Roman" w:cs="Times New Roman"/>
          <w:b/>
          <w:sz w:val="24"/>
          <w:szCs w:val="24"/>
        </w:rPr>
        <w:t xml:space="preserve"> </w:t>
      </w:r>
      <w:r w:rsidR="00C73516" w:rsidRPr="00776387">
        <w:rPr>
          <w:rFonts w:ascii="Times New Roman" w:hAnsi="Times New Roman" w:cs="Times New Roman"/>
          <w:b/>
          <w:sz w:val="24"/>
          <w:szCs w:val="24"/>
        </w:rPr>
        <w:t xml:space="preserve"> </w:t>
      </w:r>
      <w:r w:rsidR="00126675" w:rsidRPr="00776387">
        <w:rPr>
          <w:rFonts w:ascii="Times New Roman" w:hAnsi="Times New Roman" w:cs="Times New Roman"/>
          <w:b/>
          <w:sz w:val="24"/>
          <w:szCs w:val="24"/>
        </w:rPr>
        <w:t xml:space="preserve"> </w:t>
      </w:r>
    </w:p>
    <w:p w:rsidR="007667E3" w:rsidRDefault="00576AB5" w:rsidP="00776387">
      <w:pPr>
        <w:spacing w:after="120" w:line="240" w:lineRule="auto"/>
        <w:jc w:val="both"/>
        <w:rPr>
          <w:rFonts w:ascii="Times New Roman" w:hAnsi="Times New Roman" w:cs="Times New Roman"/>
          <w:sz w:val="24"/>
          <w:szCs w:val="24"/>
        </w:rPr>
      </w:pPr>
      <w:r>
        <w:rPr>
          <w:rFonts w:ascii="Times New Roman" w:hAnsi="Times New Roman" w:cs="Times New Roman"/>
          <w:b/>
          <w:sz w:val="24"/>
          <w:szCs w:val="24"/>
        </w:rPr>
        <w:tab/>
      </w:r>
      <w:r w:rsidR="007667E3">
        <w:rPr>
          <w:rFonts w:ascii="Times New Roman" w:hAnsi="Times New Roman" w:cs="Times New Roman"/>
          <w:sz w:val="24"/>
          <w:szCs w:val="24"/>
        </w:rPr>
        <w:t xml:space="preserve">İş yapma endeksi ülkelerin </w:t>
      </w:r>
      <w:r w:rsidR="006810D4">
        <w:rPr>
          <w:rFonts w:ascii="Times New Roman" w:hAnsi="Times New Roman" w:cs="Times New Roman"/>
          <w:sz w:val="24"/>
          <w:szCs w:val="24"/>
        </w:rPr>
        <w:t xml:space="preserve">iş yapma ortamının uygunluğunu </w:t>
      </w:r>
      <w:r w:rsidR="007667E3">
        <w:rPr>
          <w:rFonts w:ascii="Times New Roman" w:hAnsi="Times New Roman" w:cs="Times New Roman"/>
          <w:sz w:val="24"/>
          <w:szCs w:val="24"/>
        </w:rPr>
        <w:t xml:space="preserve">içeren bir endeks olmanın </w:t>
      </w:r>
      <w:r w:rsidR="006810D4">
        <w:rPr>
          <w:rFonts w:ascii="Times New Roman" w:hAnsi="Times New Roman" w:cs="Times New Roman"/>
          <w:sz w:val="24"/>
          <w:szCs w:val="24"/>
        </w:rPr>
        <w:t xml:space="preserve">yanı sıra </w:t>
      </w:r>
      <w:r w:rsidR="007667E3">
        <w:rPr>
          <w:rFonts w:ascii="Times New Roman" w:hAnsi="Times New Roman" w:cs="Times New Roman"/>
          <w:sz w:val="24"/>
          <w:szCs w:val="24"/>
        </w:rPr>
        <w:t>uluslararası standartları ifade eden bir yapıya sahip</w:t>
      </w:r>
      <w:r w:rsidR="00596DD4">
        <w:rPr>
          <w:rFonts w:ascii="Times New Roman" w:hAnsi="Times New Roman" w:cs="Times New Roman"/>
          <w:sz w:val="24"/>
          <w:szCs w:val="24"/>
        </w:rPr>
        <w:t xml:space="preserve"> olduğu görülmektedir. </w:t>
      </w:r>
      <w:r w:rsidR="007667E3">
        <w:rPr>
          <w:rFonts w:ascii="Times New Roman" w:hAnsi="Times New Roman" w:cs="Times New Roman"/>
          <w:sz w:val="24"/>
          <w:szCs w:val="24"/>
        </w:rPr>
        <w:t xml:space="preserve">Bu anlamda ülkelerin </w:t>
      </w:r>
      <w:r w:rsidR="001F2A1F">
        <w:rPr>
          <w:rFonts w:ascii="Times New Roman" w:hAnsi="Times New Roman" w:cs="Times New Roman"/>
          <w:sz w:val="24"/>
          <w:szCs w:val="24"/>
        </w:rPr>
        <w:t>teknolojik gelişme ve üretim seviye</w:t>
      </w:r>
      <w:r w:rsidR="00596DD4">
        <w:rPr>
          <w:rFonts w:ascii="Times New Roman" w:hAnsi="Times New Roman" w:cs="Times New Roman"/>
          <w:sz w:val="24"/>
          <w:szCs w:val="24"/>
        </w:rPr>
        <w:t>leri</w:t>
      </w:r>
      <w:r w:rsidR="001F2A1F">
        <w:rPr>
          <w:rFonts w:ascii="Times New Roman" w:hAnsi="Times New Roman" w:cs="Times New Roman"/>
          <w:sz w:val="24"/>
          <w:szCs w:val="24"/>
        </w:rPr>
        <w:t xml:space="preserve">, </w:t>
      </w:r>
      <w:r w:rsidR="007667E3">
        <w:rPr>
          <w:rFonts w:ascii="Times New Roman" w:hAnsi="Times New Roman" w:cs="Times New Roman"/>
          <w:sz w:val="24"/>
          <w:szCs w:val="24"/>
        </w:rPr>
        <w:t>üretim gücü,</w:t>
      </w:r>
      <w:r w:rsidR="001F2A1F">
        <w:rPr>
          <w:rFonts w:ascii="Times New Roman" w:hAnsi="Times New Roman" w:cs="Times New Roman"/>
          <w:sz w:val="24"/>
          <w:szCs w:val="24"/>
        </w:rPr>
        <w:t xml:space="preserve"> işgücü piyasası, talep yapısı</w:t>
      </w:r>
      <w:r w:rsidR="00D3540F">
        <w:rPr>
          <w:rFonts w:ascii="Times New Roman" w:hAnsi="Times New Roman" w:cs="Times New Roman"/>
          <w:sz w:val="24"/>
          <w:szCs w:val="24"/>
        </w:rPr>
        <w:t xml:space="preserve"> gibi özellikleri </w:t>
      </w:r>
      <w:r w:rsidR="004B035B">
        <w:rPr>
          <w:rFonts w:ascii="Times New Roman" w:hAnsi="Times New Roman" w:cs="Times New Roman"/>
          <w:sz w:val="24"/>
          <w:szCs w:val="24"/>
        </w:rPr>
        <w:t xml:space="preserve">düzenlemeler yapılırken </w:t>
      </w:r>
      <w:r w:rsidR="006D4E6B">
        <w:rPr>
          <w:rFonts w:ascii="Times New Roman" w:hAnsi="Times New Roman" w:cs="Times New Roman"/>
          <w:sz w:val="24"/>
          <w:szCs w:val="24"/>
        </w:rPr>
        <w:t>dikkate alınmalıdır.</w:t>
      </w:r>
      <w:r w:rsidR="007667E3">
        <w:rPr>
          <w:rFonts w:ascii="Times New Roman" w:hAnsi="Times New Roman" w:cs="Times New Roman"/>
          <w:sz w:val="24"/>
          <w:szCs w:val="24"/>
        </w:rPr>
        <w:t xml:space="preserve"> </w:t>
      </w:r>
    </w:p>
    <w:p w:rsidR="00A226F9" w:rsidRDefault="002A15DE" w:rsidP="007763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Uluslararası yatırımcıların yatırım kararlarını etkil</w:t>
      </w:r>
      <w:r w:rsidR="00064F57">
        <w:rPr>
          <w:rFonts w:ascii="Times New Roman" w:hAnsi="Times New Roman" w:cs="Times New Roman"/>
          <w:sz w:val="24"/>
          <w:szCs w:val="24"/>
        </w:rPr>
        <w:t>ey</w:t>
      </w:r>
      <w:r>
        <w:rPr>
          <w:rFonts w:ascii="Times New Roman" w:hAnsi="Times New Roman" w:cs="Times New Roman"/>
          <w:sz w:val="24"/>
          <w:szCs w:val="24"/>
        </w:rPr>
        <w:t>e</w:t>
      </w:r>
      <w:r w:rsidR="00064F57">
        <w:rPr>
          <w:rFonts w:ascii="Times New Roman" w:hAnsi="Times New Roman" w:cs="Times New Roman"/>
          <w:sz w:val="24"/>
          <w:szCs w:val="24"/>
        </w:rPr>
        <w:t xml:space="preserve">n ve </w:t>
      </w:r>
      <w:r>
        <w:rPr>
          <w:rFonts w:ascii="Times New Roman" w:hAnsi="Times New Roman" w:cs="Times New Roman"/>
          <w:sz w:val="24"/>
          <w:szCs w:val="24"/>
        </w:rPr>
        <w:t>iş yapma kolaylığı endeksi</w:t>
      </w:r>
      <w:r w:rsidR="00064F57">
        <w:rPr>
          <w:rFonts w:ascii="Times New Roman" w:hAnsi="Times New Roman" w:cs="Times New Roman"/>
          <w:sz w:val="24"/>
          <w:szCs w:val="24"/>
        </w:rPr>
        <w:t xml:space="preserve">nin alt </w:t>
      </w:r>
      <w:r>
        <w:rPr>
          <w:rFonts w:ascii="Times New Roman" w:hAnsi="Times New Roman" w:cs="Times New Roman"/>
          <w:sz w:val="24"/>
          <w:szCs w:val="24"/>
        </w:rPr>
        <w:t>bileşen</w:t>
      </w:r>
      <w:r w:rsidR="00064F57">
        <w:rPr>
          <w:rFonts w:ascii="Times New Roman" w:hAnsi="Times New Roman" w:cs="Times New Roman"/>
          <w:sz w:val="24"/>
          <w:szCs w:val="24"/>
        </w:rPr>
        <w:t xml:space="preserve">leri olan </w:t>
      </w:r>
      <w:r>
        <w:rPr>
          <w:rFonts w:ascii="Times New Roman" w:hAnsi="Times New Roman" w:cs="Times New Roman"/>
          <w:sz w:val="24"/>
          <w:szCs w:val="24"/>
        </w:rPr>
        <w:t>k</w:t>
      </w:r>
      <w:r w:rsidR="000D0158">
        <w:rPr>
          <w:rFonts w:ascii="Times New Roman" w:hAnsi="Times New Roman" w:cs="Times New Roman"/>
          <w:sz w:val="24"/>
          <w:szCs w:val="24"/>
        </w:rPr>
        <w:t>â</w:t>
      </w:r>
      <w:r>
        <w:rPr>
          <w:rFonts w:ascii="Times New Roman" w:hAnsi="Times New Roman" w:cs="Times New Roman"/>
          <w:sz w:val="24"/>
          <w:szCs w:val="24"/>
        </w:rPr>
        <w:t>rdan alınan vergi indirimleri, istihdam üzerinden alınan vergi indiri</w:t>
      </w:r>
      <w:r w:rsidR="00064F57">
        <w:rPr>
          <w:rFonts w:ascii="Times New Roman" w:hAnsi="Times New Roman" w:cs="Times New Roman"/>
          <w:sz w:val="24"/>
          <w:szCs w:val="24"/>
        </w:rPr>
        <w:t xml:space="preserve">mleri ve </w:t>
      </w:r>
      <w:r w:rsidR="000D0158">
        <w:rPr>
          <w:rFonts w:ascii="Times New Roman" w:hAnsi="Times New Roman" w:cs="Times New Roman"/>
          <w:sz w:val="24"/>
          <w:szCs w:val="24"/>
        </w:rPr>
        <w:t xml:space="preserve">işgücü istihdamı ile ilgili </w:t>
      </w:r>
      <w:r w:rsidR="00064F57">
        <w:rPr>
          <w:rFonts w:ascii="Times New Roman" w:hAnsi="Times New Roman" w:cs="Times New Roman"/>
          <w:sz w:val="24"/>
          <w:szCs w:val="24"/>
        </w:rPr>
        <w:t>kolaylıkları</w:t>
      </w:r>
      <w:r w:rsidR="000D0158">
        <w:rPr>
          <w:rFonts w:ascii="Times New Roman" w:hAnsi="Times New Roman" w:cs="Times New Roman"/>
          <w:sz w:val="24"/>
          <w:szCs w:val="24"/>
        </w:rPr>
        <w:t xml:space="preserve">, finansman </w:t>
      </w:r>
      <w:r w:rsidR="00DB736D">
        <w:rPr>
          <w:rFonts w:ascii="Times New Roman" w:hAnsi="Times New Roman" w:cs="Times New Roman"/>
          <w:sz w:val="24"/>
          <w:szCs w:val="24"/>
        </w:rPr>
        <w:t>imkânları</w:t>
      </w:r>
      <w:r w:rsidR="000D0158">
        <w:rPr>
          <w:rFonts w:ascii="Times New Roman" w:hAnsi="Times New Roman" w:cs="Times New Roman"/>
          <w:sz w:val="24"/>
          <w:szCs w:val="24"/>
        </w:rPr>
        <w:t xml:space="preserve"> ve sınır ötesi ticaret düzenlemelerinin </w:t>
      </w:r>
      <w:r w:rsidR="00064F57">
        <w:rPr>
          <w:rFonts w:ascii="Times New Roman" w:hAnsi="Times New Roman" w:cs="Times New Roman"/>
          <w:sz w:val="24"/>
          <w:szCs w:val="24"/>
        </w:rPr>
        <w:t>önemli olduğu görülmüştür</w:t>
      </w:r>
      <w:r w:rsidR="000D0158">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A15DE" w:rsidRDefault="00165C07" w:rsidP="00A226F9">
      <w:pPr>
        <w:spacing w:after="120" w:line="240" w:lineRule="auto"/>
        <w:ind w:firstLine="708"/>
        <w:jc w:val="both"/>
        <w:rPr>
          <w:rFonts w:ascii="Times New Roman" w:hAnsi="Times New Roman" w:cs="Times New Roman"/>
          <w:sz w:val="24"/>
          <w:szCs w:val="24"/>
        </w:rPr>
      </w:pPr>
      <w:r w:rsidRPr="00165C07">
        <w:rPr>
          <w:rFonts w:ascii="Times New Roman" w:hAnsi="Times New Roman" w:cs="Times New Roman"/>
          <w:sz w:val="24"/>
          <w:szCs w:val="24"/>
        </w:rPr>
        <w:t xml:space="preserve">Daha önce de vurgulandığı gibi pazara yakınlık, genç ve dinamik işgücünün varlığı, teşvik edici düşük vergi oranları uluslararası yatırımcı açısından önemli </w:t>
      </w:r>
      <w:proofErr w:type="gramStart"/>
      <w:r w:rsidRPr="00165C07">
        <w:rPr>
          <w:rFonts w:ascii="Times New Roman" w:hAnsi="Times New Roman" w:cs="Times New Roman"/>
          <w:sz w:val="24"/>
          <w:szCs w:val="24"/>
        </w:rPr>
        <w:t>kriterler</w:t>
      </w:r>
      <w:proofErr w:type="gramEnd"/>
      <w:r w:rsidRPr="00165C07">
        <w:rPr>
          <w:rFonts w:ascii="Times New Roman" w:hAnsi="Times New Roman" w:cs="Times New Roman"/>
          <w:sz w:val="24"/>
          <w:szCs w:val="24"/>
        </w:rPr>
        <w:t xml:space="preserve"> olarak bulunmuştu. Bu </w:t>
      </w:r>
      <w:proofErr w:type="gramStart"/>
      <w:r w:rsidRPr="00165C07">
        <w:rPr>
          <w:rFonts w:ascii="Times New Roman" w:hAnsi="Times New Roman" w:cs="Times New Roman"/>
          <w:sz w:val="24"/>
          <w:szCs w:val="24"/>
        </w:rPr>
        <w:t>kriterler</w:t>
      </w:r>
      <w:proofErr w:type="gramEnd"/>
      <w:r w:rsidRPr="00165C07">
        <w:rPr>
          <w:rFonts w:ascii="Times New Roman" w:hAnsi="Times New Roman" w:cs="Times New Roman"/>
          <w:sz w:val="24"/>
          <w:szCs w:val="24"/>
        </w:rPr>
        <w:t xml:space="preserve"> açısından düşünüldüğünde gelişmiş ülkeler</w:t>
      </w:r>
      <w:r>
        <w:rPr>
          <w:rFonts w:ascii="Times New Roman" w:hAnsi="Times New Roman" w:cs="Times New Roman"/>
          <w:sz w:val="24"/>
          <w:szCs w:val="24"/>
        </w:rPr>
        <w:t>in</w:t>
      </w:r>
      <w:r w:rsidRPr="00165C07">
        <w:rPr>
          <w:rFonts w:ascii="Times New Roman" w:hAnsi="Times New Roman" w:cs="Times New Roman"/>
          <w:sz w:val="24"/>
          <w:szCs w:val="24"/>
        </w:rPr>
        <w:t xml:space="preserve"> uluslararası finans, sigorta hizmetleri </w:t>
      </w:r>
      <w:r>
        <w:rPr>
          <w:rFonts w:ascii="Times New Roman" w:hAnsi="Times New Roman" w:cs="Times New Roman"/>
          <w:sz w:val="24"/>
          <w:szCs w:val="24"/>
        </w:rPr>
        <w:t>i</w:t>
      </w:r>
      <w:r w:rsidRPr="00165C07">
        <w:rPr>
          <w:rFonts w:ascii="Times New Roman" w:hAnsi="Times New Roman" w:cs="Times New Roman"/>
          <w:sz w:val="24"/>
          <w:szCs w:val="24"/>
        </w:rPr>
        <w:t>le uluslararası taşıma ve lojistik</w:t>
      </w:r>
      <w:r>
        <w:rPr>
          <w:rFonts w:ascii="Times New Roman" w:hAnsi="Times New Roman" w:cs="Times New Roman"/>
          <w:sz w:val="24"/>
          <w:szCs w:val="24"/>
        </w:rPr>
        <w:t xml:space="preserve"> </w:t>
      </w:r>
      <w:r w:rsidRPr="00165C07">
        <w:rPr>
          <w:rFonts w:ascii="Times New Roman" w:hAnsi="Times New Roman" w:cs="Times New Roman"/>
          <w:sz w:val="24"/>
          <w:szCs w:val="24"/>
        </w:rPr>
        <w:t xml:space="preserve">allananında faaliyet gösteren </w:t>
      </w:r>
      <w:r>
        <w:rPr>
          <w:rFonts w:ascii="Times New Roman" w:hAnsi="Times New Roman" w:cs="Times New Roman"/>
          <w:sz w:val="24"/>
          <w:szCs w:val="24"/>
        </w:rPr>
        <w:t xml:space="preserve">uluslararası </w:t>
      </w:r>
      <w:r w:rsidRPr="00165C07">
        <w:rPr>
          <w:rFonts w:ascii="Times New Roman" w:hAnsi="Times New Roman" w:cs="Times New Roman"/>
          <w:sz w:val="24"/>
          <w:szCs w:val="24"/>
        </w:rPr>
        <w:t>işletmeler ile öne çıkmaktadır.</w:t>
      </w:r>
    </w:p>
    <w:p w:rsidR="00136FBA" w:rsidRDefault="00136FBA" w:rsidP="00776387">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Pr="00AA5EF1">
        <w:rPr>
          <w:rFonts w:ascii="Times New Roman" w:hAnsi="Times New Roman" w:cs="Times New Roman"/>
          <w:sz w:val="24"/>
          <w:szCs w:val="24"/>
        </w:rPr>
        <w:t xml:space="preserve">İş yapma kolaylığı endeksinin </w:t>
      </w:r>
      <w:r>
        <w:rPr>
          <w:rFonts w:ascii="Times New Roman" w:hAnsi="Times New Roman" w:cs="Times New Roman"/>
          <w:sz w:val="24"/>
          <w:szCs w:val="24"/>
        </w:rPr>
        <w:t>farklı yöntemlerle analiz edilerek hesaplanması yararlı bilgiler sunacaktır. Endeks hesaplanırken i</w:t>
      </w:r>
      <w:r w:rsidRPr="00AA5EF1">
        <w:rPr>
          <w:rFonts w:ascii="Times New Roman" w:hAnsi="Times New Roman" w:cs="Times New Roman"/>
          <w:sz w:val="24"/>
          <w:szCs w:val="24"/>
        </w:rPr>
        <w:t xml:space="preserve">ş yapma kolaylığının alt başlıkları diğer bir ifade ile </w:t>
      </w:r>
      <w:proofErr w:type="gramStart"/>
      <w:r w:rsidRPr="00AA5EF1">
        <w:rPr>
          <w:rFonts w:ascii="Times New Roman" w:hAnsi="Times New Roman" w:cs="Times New Roman"/>
          <w:sz w:val="24"/>
          <w:szCs w:val="24"/>
        </w:rPr>
        <w:t>kriterler</w:t>
      </w:r>
      <w:proofErr w:type="gramEnd"/>
      <w:r w:rsidRPr="00AA5EF1">
        <w:rPr>
          <w:rFonts w:ascii="Times New Roman" w:hAnsi="Times New Roman" w:cs="Times New Roman"/>
          <w:sz w:val="24"/>
          <w:szCs w:val="24"/>
        </w:rPr>
        <w:t xml:space="preserve"> eşit önemde ele alınmaktadır. Ancak </w:t>
      </w:r>
      <w:proofErr w:type="gramStart"/>
      <w:r w:rsidRPr="00AA5EF1">
        <w:rPr>
          <w:rFonts w:ascii="Times New Roman" w:hAnsi="Times New Roman" w:cs="Times New Roman"/>
          <w:sz w:val="24"/>
          <w:szCs w:val="24"/>
        </w:rPr>
        <w:t>kriterlerin</w:t>
      </w:r>
      <w:proofErr w:type="gramEnd"/>
      <w:r w:rsidRPr="00AA5EF1">
        <w:rPr>
          <w:rFonts w:ascii="Times New Roman" w:hAnsi="Times New Roman" w:cs="Times New Roman"/>
          <w:sz w:val="24"/>
          <w:szCs w:val="24"/>
        </w:rPr>
        <w:t xml:space="preserve"> birbirleriyle olan ilişkilerini ortaya koyacak şekilde bir çalışma </w:t>
      </w:r>
      <w:r>
        <w:rPr>
          <w:rFonts w:ascii="Times New Roman" w:hAnsi="Times New Roman" w:cs="Times New Roman"/>
          <w:sz w:val="24"/>
          <w:szCs w:val="24"/>
        </w:rPr>
        <w:t>ile daha detaylı analiz yapıla</w:t>
      </w:r>
      <w:r w:rsidRPr="00AA5EF1">
        <w:rPr>
          <w:rFonts w:ascii="Times New Roman" w:hAnsi="Times New Roman" w:cs="Times New Roman"/>
          <w:sz w:val="24"/>
          <w:szCs w:val="24"/>
        </w:rPr>
        <w:t xml:space="preserve">bilir. Aynı şekilde </w:t>
      </w:r>
      <w:proofErr w:type="gramStart"/>
      <w:r w:rsidRPr="00AA5EF1">
        <w:rPr>
          <w:rFonts w:ascii="Times New Roman" w:hAnsi="Times New Roman" w:cs="Times New Roman"/>
          <w:sz w:val="24"/>
          <w:szCs w:val="24"/>
        </w:rPr>
        <w:t>kriterlerin</w:t>
      </w:r>
      <w:proofErr w:type="gramEnd"/>
      <w:r w:rsidRPr="00AA5EF1">
        <w:rPr>
          <w:rFonts w:ascii="Times New Roman" w:hAnsi="Times New Roman" w:cs="Times New Roman"/>
          <w:sz w:val="24"/>
          <w:szCs w:val="24"/>
        </w:rPr>
        <w:t xml:space="preserve"> önem </w:t>
      </w:r>
      <w:r w:rsidRPr="00AA5EF1">
        <w:rPr>
          <w:rFonts w:ascii="Times New Roman" w:hAnsi="Times New Roman" w:cs="Times New Roman"/>
          <w:sz w:val="24"/>
          <w:szCs w:val="24"/>
        </w:rPr>
        <w:lastRenderedPageBreak/>
        <w:t xml:space="preserve">ağırlıkları </w:t>
      </w:r>
      <w:r>
        <w:rPr>
          <w:rFonts w:ascii="Times New Roman" w:hAnsi="Times New Roman" w:cs="Times New Roman"/>
          <w:sz w:val="24"/>
          <w:szCs w:val="24"/>
        </w:rPr>
        <w:t xml:space="preserve">ülkelere </w:t>
      </w:r>
      <w:r w:rsidRPr="00AA5EF1">
        <w:rPr>
          <w:rFonts w:ascii="Times New Roman" w:hAnsi="Times New Roman" w:cs="Times New Roman"/>
          <w:sz w:val="24"/>
          <w:szCs w:val="24"/>
        </w:rPr>
        <w:t>farklı</w:t>
      </w:r>
      <w:r>
        <w:rPr>
          <w:rFonts w:ascii="Times New Roman" w:hAnsi="Times New Roman" w:cs="Times New Roman"/>
          <w:sz w:val="24"/>
          <w:szCs w:val="24"/>
        </w:rPr>
        <w:t xml:space="preserve">lık gösterebilir. </w:t>
      </w:r>
      <w:r w:rsidR="00957002">
        <w:rPr>
          <w:rFonts w:ascii="Times New Roman" w:hAnsi="Times New Roman" w:cs="Times New Roman"/>
          <w:sz w:val="24"/>
          <w:szCs w:val="24"/>
        </w:rPr>
        <w:t>Bunun da ötesinde sektör</w:t>
      </w:r>
      <w:r w:rsidR="0009274A">
        <w:rPr>
          <w:rFonts w:ascii="Times New Roman" w:hAnsi="Times New Roman" w:cs="Times New Roman"/>
          <w:sz w:val="24"/>
          <w:szCs w:val="24"/>
        </w:rPr>
        <w:t xml:space="preserve">ler ülkelere göre farklı özellikler gösterebilecektir. </w:t>
      </w:r>
      <w:r w:rsidRPr="00AA5EF1">
        <w:rPr>
          <w:rFonts w:ascii="Times New Roman" w:hAnsi="Times New Roman" w:cs="Times New Roman"/>
          <w:sz w:val="24"/>
          <w:szCs w:val="24"/>
        </w:rPr>
        <w:t xml:space="preserve">Endekste kullanılan bir </w:t>
      </w:r>
      <w:proofErr w:type="gramStart"/>
      <w:r w:rsidRPr="00AA5EF1">
        <w:rPr>
          <w:rFonts w:ascii="Times New Roman" w:hAnsi="Times New Roman" w:cs="Times New Roman"/>
          <w:sz w:val="24"/>
          <w:szCs w:val="24"/>
        </w:rPr>
        <w:t>kriter</w:t>
      </w:r>
      <w:proofErr w:type="gramEnd"/>
      <w:r w:rsidRPr="00AA5EF1">
        <w:rPr>
          <w:rFonts w:ascii="Times New Roman" w:hAnsi="Times New Roman" w:cs="Times New Roman"/>
          <w:sz w:val="24"/>
          <w:szCs w:val="24"/>
        </w:rPr>
        <w:t xml:space="preserve"> diğerinden önemli ve öncelikli bulunabilir. Endeksin hesaplanmasında kullanılan </w:t>
      </w:r>
      <w:proofErr w:type="gramStart"/>
      <w:r w:rsidRPr="00AA5EF1">
        <w:rPr>
          <w:rFonts w:ascii="Times New Roman" w:hAnsi="Times New Roman" w:cs="Times New Roman"/>
          <w:sz w:val="24"/>
          <w:szCs w:val="24"/>
        </w:rPr>
        <w:t>kriterler</w:t>
      </w:r>
      <w:r>
        <w:rPr>
          <w:rFonts w:ascii="Times New Roman" w:hAnsi="Times New Roman" w:cs="Times New Roman"/>
          <w:sz w:val="24"/>
          <w:szCs w:val="24"/>
        </w:rPr>
        <w:t>e</w:t>
      </w:r>
      <w:proofErr w:type="gramEnd"/>
      <w:r w:rsidRPr="00AA5EF1">
        <w:rPr>
          <w:rFonts w:ascii="Times New Roman" w:hAnsi="Times New Roman" w:cs="Times New Roman"/>
          <w:sz w:val="24"/>
          <w:szCs w:val="24"/>
        </w:rPr>
        <w:t xml:space="preserve"> yatırım ortamını ve ekonomilerin performansını etkileyen tüm kriterleri içerecek şekilde yeni kriterlerin eklenmesi ile genişletilerek endeksin ölçüm gücü artırılabilir. </w:t>
      </w:r>
      <w:r>
        <w:rPr>
          <w:rFonts w:ascii="Times New Roman" w:hAnsi="Times New Roman" w:cs="Times New Roman"/>
          <w:sz w:val="24"/>
          <w:szCs w:val="24"/>
        </w:rPr>
        <w:t>Endeks ülkelerin büyük şehirlerindeki bir işletme için oluşturularak ülke</w:t>
      </w:r>
      <w:r w:rsidR="00493798">
        <w:rPr>
          <w:rFonts w:ascii="Times New Roman" w:hAnsi="Times New Roman" w:cs="Times New Roman"/>
          <w:sz w:val="24"/>
          <w:szCs w:val="24"/>
        </w:rPr>
        <w:t xml:space="preserve"> tüm ekonomisi</w:t>
      </w:r>
      <w:r>
        <w:rPr>
          <w:rFonts w:ascii="Times New Roman" w:hAnsi="Times New Roman" w:cs="Times New Roman"/>
          <w:sz w:val="24"/>
          <w:szCs w:val="24"/>
        </w:rPr>
        <w:t xml:space="preserve"> için puan oluşturulmaktadır. Ancak ülkelerin farklı bölgeleri aynı özellikleri göstermeyebilir. Bu anlamda ekonomi yönetimleri için farklı bakış açıları sunan endeks, yararlı fakat çok genel ve ortalama değerleri ifade etmekte olduğu görülmektedir.   </w:t>
      </w:r>
    </w:p>
    <w:p w:rsidR="00844148" w:rsidRPr="00776387" w:rsidRDefault="00844148" w:rsidP="00A84490">
      <w:pPr>
        <w:spacing w:before="240" w:after="120" w:line="240" w:lineRule="auto"/>
        <w:ind w:firstLine="708"/>
        <w:jc w:val="both"/>
        <w:rPr>
          <w:rFonts w:ascii="Times New Roman" w:hAnsi="Times New Roman" w:cs="Times New Roman"/>
          <w:b/>
          <w:sz w:val="24"/>
          <w:szCs w:val="24"/>
        </w:rPr>
      </w:pPr>
      <w:r w:rsidRPr="00776387">
        <w:rPr>
          <w:rFonts w:ascii="Times New Roman" w:hAnsi="Times New Roman" w:cs="Times New Roman"/>
          <w:b/>
          <w:sz w:val="24"/>
          <w:szCs w:val="24"/>
        </w:rPr>
        <w:t xml:space="preserve">KAYNAKÇA </w:t>
      </w:r>
    </w:p>
    <w:p w:rsidR="00EB301F" w:rsidRDefault="00A226F9" w:rsidP="00F62D4C">
      <w:pPr>
        <w:spacing w:after="120" w:line="240" w:lineRule="auto"/>
        <w:ind w:left="709" w:hanging="709"/>
        <w:jc w:val="both"/>
        <w:rPr>
          <w:rFonts w:ascii="Times New Roman" w:hAnsi="Times New Roman" w:cs="Times New Roman"/>
          <w:sz w:val="24"/>
          <w:szCs w:val="24"/>
        </w:rPr>
      </w:pPr>
      <w:r w:rsidRPr="003D01FA">
        <w:rPr>
          <w:rFonts w:ascii="Times New Roman" w:hAnsi="Times New Roman" w:cs="Times New Roman"/>
          <w:sz w:val="24"/>
          <w:szCs w:val="24"/>
        </w:rPr>
        <w:t xml:space="preserve">BAYRAKTAR, N. </w:t>
      </w:r>
      <w:r w:rsidR="009813C4" w:rsidRPr="003D01FA">
        <w:rPr>
          <w:rFonts w:ascii="Times New Roman" w:hAnsi="Times New Roman" w:cs="Times New Roman"/>
          <w:sz w:val="24"/>
          <w:szCs w:val="24"/>
        </w:rPr>
        <w:t xml:space="preserve">(2013). </w:t>
      </w:r>
      <w:proofErr w:type="spellStart"/>
      <w:r w:rsidR="009813C4" w:rsidRPr="003D01FA">
        <w:rPr>
          <w:rFonts w:ascii="Times New Roman" w:hAnsi="Times New Roman" w:cs="Times New Roman"/>
          <w:sz w:val="24"/>
          <w:szCs w:val="24"/>
        </w:rPr>
        <w:t>Foreign</w:t>
      </w:r>
      <w:proofErr w:type="spellEnd"/>
      <w:r w:rsidR="009813C4" w:rsidRPr="003D01FA">
        <w:rPr>
          <w:rFonts w:ascii="Times New Roman" w:hAnsi="Times New Roman" w:cs="Times New Roman"/>
          <w:sz w:val="24"/>
          <w:szCs w:val="24"/>
        </w:rPr>
        <w:t xml:space="preserve"> Direct </w:t>
      </w:r>
      <w:proofErr w:type="spellStart"/>
      <w:r w:rsidR="009813C4" w:rsidRPr="003D01FA">
        <w:rPr>
          <w:rFonts w:ascii="Times New Roman" w:hAnsi="Times New Roman" w:cs="Times New Roman"/>
          <w:sz w:val="24"/>
          <w:szCs w:val="24"/>
        </w:rPr>
        <w:t>Investment</w:t>
      </w:r>
      <w:proofErr w:type="spellEnd"/>
      <w:r w:rsidR="009813C4" w:rsidRPr="003D01FA">
        <w:rPr>
          <w:rFonts w:ascii="Times New Roman" w:hAnsi="Times New Roman" w:cs="Times New Roman"/>
          <w:sz w:val="24"/>
          <w:szCs w:val="24"/>
        </w:rPr>
        <w:t xml:space="preserve"> </w:t>
      </w:r>
      <w:proofErr w:type="spellStart"/>
      <w:r w:rsidR="009813C4" w:rsidRPr="003D01FA">
        <w:rPr>
          <w:rFonts w:ascii="Times New Roman" w:hAnsi="Times New Roman" w:cs="Times New Roman"/>
          <w:sz w:val="24"/>
          <w:szCs w:val="24"/>
        </w:rPr>
        <w:t>and</w:t>
      </w:r>
      <w:proofErr w:type="spellEnd"/>
      <w:r w:rsidR="009813C4" w:rsidRPr="003D01FA">
        <w:rPr>
          <w:rFonts w:ascii="Times New Roman" w:hAnsi="Times New Roman" w:cs="Times New Roman"/>
          <w:sz w:val="24"/>
          <w:szCs w:val="24"/>
        </w:rPr>
        <w:t xml:space="preserve"> </w:t>
      </w:r>
      <w:proofErr w:type="spellStart"/>
      <w:r w:rsidR="009813C4" w:rsidRPr="003D01FA">
        <w:rPr>
          <w:rFonts w:ascii="Times New Roman" w:hAnsi="Times New Roman" w:cs="Times New Roman"/>
          <w:sz w:val="24"/>
          <w:szCs w:val="24"/>
        </w:rPr>
        <w:t>Investment</w:t>
      </w:r>
      <w:proofErr w:type="spellEnd"/>
      <w:r w:rsidR="009813C4" w:rsidRPr="003D01FA">
        <w:rPr>
          <w:rFonts w:ascii="Times New Roman" w:hAnsi="Times New Roman" w:cs="Times New Roman"/>
          <w:sz w:val="24"/>
          <w:szCs w:val="24"/>
        </w:rPr>
        <w:t xml:space="preserve"> </w:t>
      </w:r>
      <w:proofErr w:type="spellStart"/>
      <w:r w:rsidR="009813C4" w:rsidRPr="003D01FA">
        <w:rPr>
          <w:rFonts w:ascii="Times New Roman" w:hAnsi="Times New Roman" w:cs="Times New Roman"/>
          <w:sz w:val="24"/>
          <w:szCs w:val="24"/>
        </w:rPr>
        <w:t>Climate</w:t>
      </w:r>
      <w:proofErr w:type="spellEnd"/>
      <w:r w:rsidR="009813C4" w:rsidRPr="003D01FA">
        <w:rPr>
          <w:rFonts w:ascii="Times New Roman" w:hAnsi="Times New Roman" w:cs="Times New Roman"/>
          <w:sz w:val="24"/>
          <w:szCs w:val="24"/>
        </w:rPr>
        <w:t xml:space="preserve">, International Conference on </w:t>
      </w:r>
      <w:proofErr w:type="spellStart"/>
      <w:r w:rsidR="009813C4" w:rsidRPr="003D01FA">
        <w:rPr>
          <w:rFonts w:ascii="Times New Roman" w:hAnsi="Times New Roman" w:cs="Times New Roman"/>
          <w:sz w:val="24"/>
          <w:szCs w:val="24"/>
        </w:rPr>
        <w:t>Applied</w:t>
      </w:r>
      <w:proofErr w:type="spellEnd"/>
      <w:r w:rsidR="009813C4" w:rsidRPr="003D01FA">
        <w:rPr>
          <w:rFonts w:ascii="Times New Roman" w:hAnsi="Times New Roman" w:cs="Times New Roman"/>
          <w:sz w:val="24"/>
          <w:szCs w:val="24"/>
        </w:rPr>
        <w:t xml:space="preserve"> </w:t>
      </w:r>
      <w:proofErr w:type="spellStart"/>
      <w:r w:rsidR="009813C4" w:rsidRPr="003D01FA">
        <w:rPr>
          <w:rFonts w:ascii="Times New Roman" w:hAnsi="Times New Roman" w:cs="Times New Roman"/>
          <w:sz w:val="24"/>
          <w:szCs w:val="24"/>
        </w:rPr>
        <w:t>Economics</w:t>
      </w:r>
      <w:proofErr w:type="spellEnd"/>
      <w:r w:rsidR="009813C4" w:rsidRPr="003D01FA">
        <w:rPr>
          <w:rFonts w:ascii="Times New Roman" w:hAnsi="Times New Roman" w:cs="Times New Roman"/>
          <w:sz w:val="24"/>
          <w:szCs w:val="24"/>
        </w:rPr>
        <w:t xml:space="preserve"> (ICOAE) 2013, </w:t>
      </w:r>
      <w:proofErr w:type="spellStart"/>
      <w:r w:rsidR="009813C4" w:rsidRPr="003D01FA">
        <w:rPr>
          <w:rFonts w:ascii="Times New Roman" w:hAnsi="Times New Roman" w:cs="Times New Roman"/>
          <w:sz w:val="24"/>
          <w:szCs w:val="24"/>
        </w:rPr>
        <w:t>Procedia</w:t>
      </w:r>
      <w:proofErr w:type="spellEnd"/>
      <w:r w:rsidR="009813C4" w:rsidRPr="003D01FA">
        <w:rPr>
          <w:rFonts w:ascii="Times New Roman" w:hAnsi="Times New Roman" w:cs="Times New Roman"/>
          <w:sz w:val="24"/>
          <w:szCs w:val="24"/>
        </w:rPr>
        <w:t xml:space="preserve"> </w:t>
      </w:r>
      <w:proofErr w:type="spellStart"/>
      <w:r w:rsidR="009813C4" w:rsidRPr="003D01FA">
        <w:rPr>
          <w:rFonts w:ascii="Times New Roman" w:hAnsi="Times New Roman" w:cs="Times New Roman"/>
          <w:sz w:val="24"/>
          <w:szCs w:val="24"/>
        </w:rPr>
        <w:t>Economics</w:t>
      </w:r>
      <w:proofErr w:type="spellEnd"/>
      <w:r w:rsidR="009813C4" w:rsidRPr="003D01FA">
        <w:rPr>
          <w:rFonts w:ascii="Times New Roman" w:hAnsi="Times New Roman" w:cs="Times New Roman"/>
          <w:sz w:val="24"/>
          <w:szCs w:val="24"/>
        </w:rPr>
        <w:t xml:space="preserve"> </w:t>
      </w:r>
      <w:proofErr w:type="spellStart"/>
      <w:r w:rsidR="009813C4" w:rsidRPr="003D01FA">
        <w:rPr>
          <w:rFonts w:ascii="Times New Roman" w:hAnsi="Times New Roman" w:cs="Times New Roman"/>
          <w:sz w:val="24"/>
          <w:szCs w:val="24"/>
        </w:rPr>
        <w:t>and</w:t>
      </w:r>
      <w:proofErr w:type="spellEnd"/>
      <w:r w:rsidR="009813C4" w:rsidRPr="003D01FA">
        <w:rPr>
          <w:rFonts w:ascii="Times New Roman" w:hAnsi="Times New Roman" w:cs="Times New Roman"/>
          <w:sz w:val="24"/>
          <w:szCs w:val="24"/>
        </w:rPr>
        <w:t xml:space="preserve"> Finance, 83 – 92</w:t>
      </w:r>
    </w:p>
    <w:p w:rsidR="00F768B1" w:rsidRPr="003D01FA" w:rsidRDefault="00A226F9" w:rsidP="006F47C7">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8C2B3F">
        <w:rPr>
          <w:rFonts w:ascii="Times New Roman" w:hAnsi="Times New Roman" w:cs="Times New Roman"/>
          <w:noProof/>
          <w:sz w:val="24"/>
          <w:szCs w:val="24"/>
        </w:rPr>
        <w:t>B</w:t>
      </w:r>
      <w:r>
        <w:rPr>
          <w:rFonts w:ascii="Times New Roman" w:hAnsi="Times New Roman" w:cs="Times New Roman"/>
          <w:noProof/>
          <w:sz w:val="24"/>
          <w:szCs w:val="24"/>
        </w:rPr>
        <w:t>ULUT</w:t>
      </w:r>
      <w:r w:rsidRPr="008C2B3F">
        <w:rPr>
          <w:rFonts w:ascii="Times New Roman" w:hAnsi="Times New Roman" w:cs="Times New Roman"/>
          <w:noProof/>
          <w:sz w:val="24"/>
          <w:szCs w:val="24"/>
        </w:rPr>
        <w:t xml:space="preserve">, A. E. VE </w:t>
      </w:r>
      <w:r>
        <w:rPr>
          <w:rFonts w:ascii="Times New Roman" w:hAnsi="Times New Roman" w:cs="Times New Roman"/>
          <w:noProof/>
          <w:sz w:val="24"/>
          <w:szCs w:val="24"/>
        </w:rPr>
        <w:t>BALAYLAR</w:t>
      </w:r>
      <w:r w:rsidRPr="008C2B3F">
        <w:rPr>
          <w:rFonts w:ascii="Times New Roman" w:hAnsi="Times New Roman" w:cs="Times New Roman"/>
          <w:noProof/>
          <w:sz w:val="24"/>
          <w:szCs w:val="24"/>
        </w:rPr>
        <w:t xml:space="preserve"> N</w:t>
      </w:r>
      <w:r w:rsidR="00F768B1" w:rsidRPr="008C2B3F">
        <w:rPr>
          <w:rFonts w:ascii="Times New Roman" w:hAnsi="Times New Roman" w:cs="Times New Roman"/>
          <w:noProof/>
          <w:sz w:val="24"/>
          <w:szCs w:val="24"/>
        </w:rPr>
        <w:t xml:space="preserve">. (2021). Finansal İstikrar ve Doğrudan Yabancı Yatırım İlişkisinin Gelişmekte Olan Ülkeler Perspektifinde Panel Veri ile Analizi. </w:t>
      </w:r>
      <w:r w:rsidR="00F768B1" w:rsidRPr="008C2B3F">
        <w:rPr>
          <w:rFonts w:ascii="Times New Roman" w:hAnsi="Times New Roman" w:cs="Times New Roman"/>
          <w:i/>
          <w:iCs/>
          <w:noProof/>
          <w:sz w:val="24"/>
          <w:szCs w:val="24"/>
        </w:rPr>
        <w:t>İzmir İktisat Dergisi</w:t>
      </w:r>
      <w:r w:rsidR="00F768B1" w:rsidRPr="008C2B3F">
        <w:rPr>
          <w:rFonts w:ascii="Times New Roman" w:hAnsi="Times New Roman" w:cs="Times New Roman"/>
          <w:noProof/>
          <w:sz w:val="24"/>
          <w:szCs w:val="24"/>
        </w:rPr>
        <w:t xml:space="preserve">, </w:t>
      </w:r>
      <w:r w:rsidR="00F768B1" w:rsidRPr="008C2B3F">
        <w:rPr>
          <w:rFonts w:ascii="Times New Roman" w:hAnsi="Times New Roman" w:cs="Times New Roman"/>
          <w:i/>
          <w:iCs/>
          <w:noProof/>
          <w:sz w:val="24"/>
          <w:szCs w:val="24"/>
        </w:rPr>
        <w:t>36</w:t>
      </w:r>
      <w:r w:rsidR="00F768B1" w:rsidRPr="008C2B3F">
        <w:rPr>
          <w:rFonts w:ascii="Times New Roman" w:hAnsi="Times New Roman" w:cs="Times New Roman"/>
          <w:noProof/>
          <w:sz w:val="24"/>
          <w:szCs w:val="24"/>
        </w:rPr>
        <w:t>(2), 461–</w:t>
      </w:r>
      <w:r w:rsidR="00F768B1">
        <w:rPr>
          <w:rFonts w:ascii="Times New Roman" w:hAnsi="Times New Roman" w:cs="Times New Roman"/>
          <w:noProof/>
          <w:sz w:val="24"/>
          <w:szCs w:val="24"/>
        </w:rPr>
        <w:t>477. doi:10.24988/ije.202136214</w:t>
      </w:r>
    </w:p>
    <w:p w:rsidR="007A5283" w:rsidRDefault="00A226F9" w:rsidP="00F62D4C">
      <w:pPr>
        <w:spacing w:after="120" w:line="240" w:lineRule="auto"/>
        <w:ind w:left="709" w:hanging="709"/>
        <w:jc w:val="both"/>
        <w:rPr>
          <w:rFonts w:ascii="Times New Roman" w:hAnsi="Times New Roman" w:cs="Times New Roman"/>
          <w:sz w:val="24"/>
          <w:szCs w:val="24"/>
        </w:rPr>
      </w:pPr>
      <w:r w:rsidRPr="003D01FA">
        <w:rPr>
          <w:rFonts w:ascii="Times New Roman" w:hAnsi="Times New Roman" w:cs="Times New Roman"/>
          <w:sz w:val="24"/>
          <w:szCs w:val="24"/>
        </w:rPr>
        <w:t>CORCORAN, A. VE GİLLANDERS, R.(</w:t>
      </w:r>
      <w:r w:rsidR="007A5283" w:rsidRPr="003D01FA">
        <w:rPr>
          <w:rFonts w:ascii="Times New Roman" w:hAnsi="Times New Roman" w:cs="Times New Roman"/>
          <w:sz w:val="24"/>
          <w:szCs w:val="24"/>
        </w:rPr>
        <w:t xml:space="preserve">2013). </w:t>
      </w:r>
      <w:proofErr w:type="spellStart"/>
      <w:r w:rsidR="007A5283" w:rsidRPr="003D01FA">
        <w:rPr>
          <w:rFonts w:ascii="Times New Roman" w:hAnsi="Times New Roman" w:cs="Times New Roman"/>
          <w:sz w:val="24"/>
          <w:szCs w:val="24"/>
        </w:rPr>
        <w:t>Foreign</w:t>
      </w:r>
      <w:proofErr w:type="spellEnd"/>
      <w:r w:rsidR="007A5283" w:rsidRPr="003D01FA">
        <w:rPr>
          <w:rFonts w:ascii="Times New Roman" w:hAnsi="Times New Roman" w:cs="Times New Roman"/>
          <w:sz w:val="24"/>
          <w:szCs w:val="24"/>
        </w:rPr>
        <w:t xml:space="preserve"> Direct </w:t>
      </w:r>
      <w:proofErr w:type="spellStart"/>
      <w:r w:rsidR="007A5283" w:rsidRPr="003D01FA">
        <w:rPr>
          <w:rFonts w:ascii="Times New Roman" w:hAnsi="Times New Roman" w:cs="Times New Roman"/>
          <w:sz w:val="24"/>
          <w:szCs w:val="24"/>
        </w:rPr>
        <w:t>Investment</w:t>
      </w:r>
      <w:proofErr w:type="spellEnd"/>
      <w:r w:rsidR="007A5283" w:rsidRPr="003D01FA">
        <w:rPr>
          <w:rFonts w:ascii="Times New Roman" w:hAnsi="Times New Roman" w:cs="Times New Roman"/>
          <w:sz w:val="24"/>
          <w:szCs w:val="24"/>
        </w:rPr>
        <w:t xml:space="preserve"> </w:t>
      </w:r>
      <w:proofErr w:type="spellStart"/>
      <w:r w:rsidR="007A5283" w:rsidRPr="003D01FA">
        <w:rPr>
          <w:rFonts w:ascii="Times New Roman" w:hAnsi="Times New Roman" w:cs="Times New Roman"/>
          <w:sz w:val="24"/>
          <w:szCs w:val="24"/>
        </w:rPr>
        <w:t>and</w:t>
      </w:r>
      <w:proofErr w:type="spellEnd"/>
      <w:r w:rsidR="007A5283" w:rsidRPr="003D01FA">
        <w:rPr>
          <w:rFonts w:ascii="Times New Roman" w:hAnsi="Times New Roman" w:cs="Times New Roman"/>
          <w:sz w:val="24"/>
          <w:szCs w:val="24"/>
        </w:rPr>
        <w:t xml:space="preserve"> </w:t>
      </w:r>
      <w:proofErr w:type="spellStart"/>
      <w:r w:rsidR="007A5283" w:rsidRPr="003D01FA">
        <w:rPr>
          <w:rFonts w:ascii="Times New Roman" w:hAnsi="Times New Roman" w:cs="Times New Roman"/>
          <w:sz w:val="24"/>
          <w:szCs w:val="24"/>
        </w:rPr>
        <w:t>The</w:t>
      </w:r>
      <w:proofErr w:type="spellEnd"/>
      <w:r w:rsidR="007A5283" w:rsidRPr="003D01FA">
        <w:rPr>
          <w:rFonts w:ascii="Times New Roman" w:hAnsi="Times New Roman" w:cs="Times New Roman"/>
          <w:sz w:val="24"/>
          <w:szCs w:val="24"/>
        </w:rPr>
        <w:t xml:space="preserve"> </w:t>
      </w:r>
      <w:proofErr w:type="spellStart"/>
      <w:r w:rsidR="007A5283" w:rsidRPr="003D01FA">
        <w:rPr>
          <w:rFonts w:ascii="Times New Roman" w:hAnsi="Times New Roman" w:cs="Times New Roman"/>
          <w:sz w:val="24"/>
          <w:szCs w:val="24"/>
        </w:rPr>
        <w:t>Ease</w:t>
      </w:r>
      <w:proofErr w:type="spellEnd"/>
      <w:r w:rsidR="007A5283" w:rsidRPr="003D01FA">
        <w:rPr>
          <w:rFonts w:ascii="Times New Roman" w:hAnsi="Times New Roman" w:cs="Times New Roman"/>
          <w:sz w:val="24"/>
          <w:szCs w:val="24"/>
        </w:rPr>
        <w:t xml:space="preserve"> of </w:t>
      </w:r>
      <w:proofErr w:type="spellStart"/>
      <w:r w:rsidR="007A5283" w:rsidRPr="003D01FA">
        <w:rPr>
          <w:rFonts w:ascii="Times New Roman" w:hAnsi="Times New Roman" w:cs="Times New Roman"/>
          <w:sz w:val="24"/>
          <w:szCs w:val="24"/>
        </w:rPr>
        <w:t>Doing</w:t>
      </w:r>
      <w:proofErr w:type="spellEnd"/>
      <w:r w:rsidR="007A5283" w:rsidRPr="003D01FA">
        <w:rPr>
          <w:rFonts w:ascii="Times New Roman" w:hAnsi="Times New Roman" w:cs="Times New Roman"/>
          <w:sz w:val="24"/>
          <w:szCs w:val="24"/>
        </w:rPr>
        <w:t xml:space="preserve"> Business, No 201219, </w:t>
      </w:r>
      <w:proofErr w:type="spellStart"/>
      <w:r w:rsidR="007A5283" w:rsidRPr="003D01FA">
        <w:rPr>
          <w:rFonts w:ascii="Times New Roman" w:hAnsi="Times New Roman" w:cs="Times New Roman"/>
          <w:sz w:val="24"/>
          <w:szCs w:val="24"/>
        </w:rPr>
        <w:t>pp</w:t>
      </w:r>
      <w:proofErr w:type="spellEnd"/>
      <w:r w:rsidR="007A5283" w:rsidRPr="003D01FA">
        <w:rPr>
          <w:rFonts w:ascii="Times New Roman" w:hAnsi="Times New Roman" w:cs="Times New Roman"/>
          <w:sz w:val="24"/>
          <w:szCs w:val="24"/>
        </w:rPr>
        <w:t xml:space="preserve">. 1-24, </w:t>
      </w:r>
      <w:proofErr w:type="spellStart"/>
      <w:r w:rsidR="007A5283" w:rsidRPr="003D01FA">
        <w:rPr>
          <w:rFonts w:ascii="Times New Roman" w:hAnsi="Times New Roman" w:cs="Times New Roman"/>
          <w:sz w:val="24"/>
          <w:szCs w:val="24"/>
        </w:rPr>
        <w:t>Working</w:t>
      </w:r>
      <w:proofErr w:type="spellEnd"/>
      <w:r w:rsidR="007A5283" w:rsidRPr="003D01FA">
        <w:rPr>
          <w:rFonts w:ascii="Times New Roman" w:hAnsi="Times New Roman" w:cs="Times New Roman"/>
          <w:sz w:val="24"/>
          <w:szCs w:val="24"/>
        </w:rPr>
        <w:t xml:space="preserve"> </w:t>
      </w:r>
      <w:proofErr w:type="spellStart"/>
      <w:r w:rsidR="007A5283" w:rsidRPr="003D01FA">
        <w:rPr>
          <w:rFonts w:ascii="Times New Roman" w:hAnsi="Times New Roman" w:cs="Times New Roman"/>
          <w:sz w:val="24"/>
          <w:szCs w:val="24"/>
        </w:rPr>
        <w:t>Papers</w:t>
      </w:r>
      <w:proofErr w:type="spellEnd"/>
      <w:r w:rsidR="007A5283" w:rsidRPr="003D01FA">
        <w:rPr>
          <w:rFonts w:ascii="Times New Roman" w:hAnsi="Times New Roman" w:cs="Times New Roman"/>
          <w:sz w:val="24"/>
          <w:szCs w:val="24"/>
        </w:rPr>
        <w:t xml:space="preserve"> </w:t>
      </w:r>
      <w:proofErr w:type="spellStart"/>
      <w:r w:rsidR="007A5283" w:rsidRPr="003D01FA">
        <w:rPr>
          <w:rFonts w:ascii="Times New Roman" w:hAnsi="Times New Roman" w:cs="Times New Roman"/>
          <w:sz w:val="24"/>
          <w:szCs w:val="24"/>
        </w:rPr>
        <w:t>from</w:t>
      </w:r>
      <w:proofErr w:type="spellEnd"/>
      <w:r w:rsidR="007A5283" w:rsidRPr="003D01FA">
        <w:rPr>
          <w:rFonts w:ascii="Times New Roman" w:hAnsi="Times New Roman" w:cs="Times New Roman"/>
          <w:sz w:val="24"/>
          <w:szCs w:val="24"/>
        </w:rPr>
        <w:t xml:space="preserve"> School of </w:t>
      </w:r>
      <w:proofErr w:type="spellStart"/>
      <w:r w:rsidR="007A5283" w:rsidRPr="003D01FA">
        <w:rPr>
          <w:rFonts w:ascii="Times New Roman" w:hAnsi="Times New Roman" w:cs="Times New Roman"/>
          <w:sz w:val="24"/>
          <w:szCs w:val="24"/>
        </w:rPr>
        <w:t>Economics</w:t>
      </w:r>
      <w:proofErr w:type="spellEnd"/>
      <w:r w:rsidR="007A5283" w:rsidRPr="003D01FA">
        <w:rPr>
          <w:rFonts w:ascii="Times New Roman" w:hAnsi="Times New Roman" w:cs="Times New Roman"/>
          <w:sz w:val="24"/>
          <w:szCs w:val="24"/>
        </w:rPr>
        <w:t xml:space="preserve">, </w:t>
      </w:r>
      <w:proofErr w:type="spellStart"/>
      <w:r w:rsidR="007A5283" w:rsidRPr="003D01FA">
        <w:rPr>
          <w:rFonts w:ascii="Times New Roman" w:hAnsi="Times New Roman" w:cs="Times New Roman"/>
          <w:sz w:val="24"/>
          <w:szCs w:val="24"/>
        </w:rPr>
        <w:t>University</w:t>
      </w:r>
      <w:proofErr w:type="spellEnd"/>
      <w:r w:rsidR="007A5283" w:rsidRPr="003D01FA">
        <w:rPr>
          <w:rFonts w:ascii="Times New Roman" w:hAnsi="Times New Roman" w:cs="Times New Roman"/>
          <w:sz w:val="24"/>
          <w:szCs w:val="24"/>
        </w:rPr>
        <w:t xml:space="preserve"> </w:t>
      </w:r>
      <w:proofErr w:type="spellStart"/>
      <w:r w:rsidR="007A5283" w:rsidRPr="003D01FA">
        <w:rPr>
          <w:rFonts w:ascii="Times New Roman" w:hAnsi="Times New Roman" w:cs="Times New Roman"/>
          <w:sz w:val="24"/>
          <w:szCs w:val="24"/>
        </w:rPr>
        <w:t>College</w:t>
      </w:r>
      <w:proofErr w:type="spellEnd"/>
      <w:r w:rsidR="007A5283" w:rsidRPr="003D01FA">
        <w:rPr>
          <w:rFonts w:ascii="Times New Roman" w:hAnsi="Times New Roman" w:cs="Times New Roman"/>
          <w:sz w:val="24"/>
          <w:szCs w:val="24"/>
        </w:rPr>
        <w:t xml:space="preserve"> Dublin, </w:t>
      </w:r>
      <w:proofErr w:type="spellStart"/>
      <w:r w:rsidR="007A5283" w:rsidRPr="003D01FA">
        <w:rPr>
          <w:rFonts w:ascii="Times New Roman" w:hAnsi="Times New Roman" w:cs="Times New Roman"/>
          <w:sz w:val="24"/>
          <w:szCs w:val="24"/>
        </w:rPr>
        <w:t>Avaliable</w:t>
      </w:r>
      <w:proofErr w:type="spellEnd"/>
      <w:r w:rsidR="007A5283" w:rsidRPr="003D01FA">
        <w:rPr>
          <w:rFonts w:ascii="Times New Roman" w:hAnsi="Times New Roman" w:cs="Times New Roman"/>
          <w:sz w:val="24"/>
          <w:szCs w:val="24"/>
        </w:rPr>
        <w:t xml:space="preserve"> </w:t>
      </w:r>
      <w:hyperlink r:id="rId56" w:history="1">
        <w:r w:rsidR="00D513B0" w:rsidRPr="002D2710">
          <w:rPr>
            <w:rStyle w:val="Kpr"/>
            <w:rFonts w:ascii="Times New Roman" w:hAnsi="Times New Roman" w:cs="Times New Roman"/>
            <w:sz w:val="24"/>
            <w:szCs w:val="24"/>
          </w:rPr>
          <w:t>https://econpapers.repec.org/paper/ucnwpaper/201219.htm</w:t>
        </w:r>
      </w:hyperlink>
    </w:p>
    <w:p w:rsidR="00D513B0" w:rsidRPr="003D01FA" w:rsidRDefault="00A226F9" w:rsidP="00544424">
      <w:pPr>
        <w:spacing w:after="120" w:line="240" w:lineRule="auto"/>
        <w:ind w:left="709" w:hanging="709"/>
        <w:jc w:val="both"/>
        <w:rPr>
          <w:rFonts w:ascii="Times New Roman" w:hAnsi="Times New Roman" w:cs="Times New Roman"/>
          <w:sz w:val="24"/>
          <w:szCs w:val="24"/>
        </w:rPr>
      </w:pPr>
      <w:r w:rsidRPr="003D01FA">
        <w:rPr>
          <w:rFonts w:ascii="Times New Roman" w:hAnsi="Times New Roman" w:cs="Times New Roman"/>
          <w:sz w:val="24"/>
          <w:szCs w:val="24"/>
        </w:rPr>
        <w:t>CORCORAN, A</w:t>
      </w:r>
      <w:proofErr w:type="gramStart"/>
      <w:r w:rsidRPr="003D01FA">
        <w:rPr>
          <w:rFonts w:ascii="Times New Roman" w:hAnsi="Times New Roman" w:cs="Times New Roman"/>
          <w:sz w:val="24"/>
          <w:szCs w:val="24"/>
        </w:rPr>
        <w:t>.,</w:t>
      </w:r>
      <w:proofErr w:type="gramEnd"/>
      <w:r w:rsidRPr="003D01FA">
        <w:rPr>
          <w:rFonts w:ascii="Times New Roman" w:hAnsi="Times New Roman" w:cs="Times New Roman"/>
          <w:sz w:val="24"/>
          <w:szCs w:val="24"/>
        </w:rPr>
        <w:t xml:space="preserve"> &amp; GİLLANDERS, R</w:t>
      </w:r>
      <w:r w:rsidR="00D513B0" w:rsidRPr="003D01FA">
        <w:rPr>
          <w:rFonts w:ascii="Times New Roman" w:hAnsi="Times New Roman" w:cs="Times New Roman"/>
          <w:sz w:val="24"/>
          <w:szCs w:val="24"/>
        </w:rPr>
        <w:t xml:space="preserve">. (2015). </w:t>
      </w:r>
      <w:proofErr w:type="spellStart"/>
      <w:r w:rsidR="00D513B0" w:rsidRPr="003D01FA">
        <w:rPr>
          <w:rFonts w:ascii="Times New Roman" w:hAnsi="Times New Roman" w:cs="Times New Roman"/>
          <w:sz w:val="24"/>
          <w:szCs w:val="24"/>
        </w:rPr>
        <w:t>Foreign</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direct</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investment</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and</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the</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ease</w:t>
      </w:r>
      <w:proofErr w:type="spellEnd"/>
      <w:r w:rsidR="00D513B0" w:rsidRPr="003D01FA">
        <w:rPr>
          <w:rFonts w:ascii="Times New Roman" w:hAnsi="Times New Roman" w:cs="Times New Roman"/>
          <w:sz w:val="24"/>
          <w:szCs w:val="24"/>
        </w:rPr>
        <w:t xml:space="preserve"> of </w:t>
      </w:r>
      <w:proofErr w:type="spellStart"/>
      <w:r w:rsidR="00D513B0" w:rsidRPr="003D01FA">
        <w:rPr>
          <w:rFonts w:ascii="Times New Roman" w:hAnsi="Times New Roman" w:cs="Times New Roman"/>
          <w:sz w:val="24"/>
          <w:szCs w:val="24"/>
        </w:rPr>
        <w:t>doing</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business</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Review</w:t>
      </w:r>
      <w:proofErr w:type="spellEnd"/>
      <w:r w:rsidR="00D513B0" w:rsidRPr="003D01FA">
        <w:rPr>
          <w:rFonts w:ascii="Times New Roman" w:hAnsi="Times New Roman" w:cs="Times New Roman"/>
          <w:sz w:val="24"/>
          <w:szCs w:val="24"/>
        </w:rPr>
        <w:t xml:space="preserve"> of </w:t>
      </w:r>
      <w:proofErr w:type="spellStart"/>
      <w:r w:rsidR="00D513B0" w:rsidRPr="003D01FA">
        <w:rPr>
          <w:rFonts w:ascii="Times New Roman" w:hAnsi="Times New Roman" w:cs="Times New Roman"/>
          <w:sz w:val="24"/>
          <w:szCs w:val="24"/>
        </w:rPr>
        <w:t>wo</w:t>
      </w:r>
      <w:r w:rsidR="00544424">
        <w:rPr>
          <w:rFonts w:ascii="Times New Roman" w:hAnsi="Times New Roman" w:cs="Times New Roman"/>
          <w:sz w:val="24"/>
          <w:szCs w:val="24"/>
        </w:rPr>
        <w:t>rld</w:t>
      </w:r>
      <w:proofErr w:type="spellEnd"/>
      <w:r w:rsidR="00544424">
        <w:rPr>
          <w:rFonts w:ascii="Times New Roman" w:hAnsi="Times New Roman" w:cs="Times New Roman"/>
          <w:sz w:val="24"/>
          <w:szCs w:val="24"/>
        </w:rPr>
        <w:t xml:space="preserve"> </w:t>
      </w:r>
      <w:proofErr w:type="spellStart"/>
      <w:r w:rsidR="00544424">
        <w:rPr>
          <w:rFonts w:ascii="Times New Roman" w:hAnsi="Times New Roman" w:cs="Times New Roman"/>
          <w:sz w:val="24"/>
          <w:szCs w:val="24"/>
        </w:rPr>
        <w:t>economics</w:t>
      </w:r>
      <w:proofErr w:type="spellEnd"/>
      <w:r w:rsidR="00544424">
        <w:rPr>
          <w:rFonts w:ascii="Times New Roman" w:hAnsi="Times New Roman" w:cs="Times New Roman"/>
          <w:sz w:val="24"/>
          <w:szCs w:val="24"/>
        </w:rPr>
        <w:t>, 151(1), 103-126.</w:t>
      </w:r>
    </w:p>
    <w:p w:rsidR="007A5283" w:rsidRPr="003D01FA" w:rsidRDefault="00A226F9" w:rsidP="00F62D4C">
      <w:pPr>
        <w:spacing w:after="120" w:line="240" w:lineRule="auto"/>
        <w:ind w:left="709" w:hanging="709"/>
        <w:jc w:val="both"/>
        <w:rPr>
          <w:rFonts w:ascii="Times New Roman" w:hAnsi="Times New Roman" w:cs="Times New Roman"/>
          <w:sz w:val="24"/>
          <w:szCs w:val="24"/>
        </w:rPr>
      </w:pPr>
      <w:r w:rsidRPr="003D01FA">
        <w:rPr>
          <w:rFonts w:ascii="Times New Roman" w:hAnsi="Times New Roman" w:cs="Times New Roman"/>
          <w:sz w:val="24"/>
          <w:szCs w:val="24"/>
        </w:rPr>
        <w:t>ÇALIŞKAN, Z. D.</w:t>
      </w:r>
      <w:r w:rsidR="007A5283" w:rsidRPr="003D01FA">
        <w:rPr>
          <w:rFonts w:ascii="Times New Roman" w:hAnsi="Times New Roman" w:cs="Times New Roman"/>
          <w:sz w:val="24"/>
          <w:szCs w:val="24"/>
        </w:rPr>
        <w:t xml:space="preserve"> </w:t>
      </w:r>
      <w:r>
        <w:rPr>
          <w:rFonts w:ascii="Times New Roman" w:hAnsi="Times New Roman" w:cs="Times New Roman"/>
          <w:sz w:val="24"/>
          <w:szCs w:val="24"/>
        </w:rPr>
        <w:t xml:space="preserve">(2019), </w:t>
      </w:r>
      <w:r w:rsidR="007A5283" w:rsidRPr="003D01FA">
        <w:rPr>
          <w:rFonts w:ascii="Times New Roman" w:hAnsi="Times New Roman" w:cs="Times New Roman"/>
          <w:sz w:val="24"/>
          <w:szCs w:val="24"/>
        </w:rPr>
        <w:t>Doğrudan Yabancı Yatırımlar ve İş Yapma Kolaylığı: Türkiye Örneği. Politik Ekonomik Kuram, 3(1), 105-112.</w:t>
      </w:r>
    </w:p>
    <w:p w:rsidR="000C7C8E" w:rsidRDefault="00DF1CCB" w:rsidP="00F62D4C">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Ç</w:t>
      </w:r>
      <w:r w:rsidRPr="003D01FA">
        <w:rPr>
          <w:rFonts w:ascii="Times New Roman" w:hAnsi="Times New Roman" w:cs="Times New Roman"/>
          <w:sz w:val="24"/>
          <w:szCs w:val="24"/>
        </w:rPr>
        <w:t>AVUSGİL, S. T</w:t>
      </w:r>
      <w:r w:rsidR="000C7C8E" w:rsidRPr="003D01FA">
        <w:rPr>
          <w:rFonts w:ascii="Times New Roman" w:hAnsi="Times New Roman" w:cs="Times New Roman"/>
          <w:sz w:val="24"/>
          <w:szCs w:val="24"/>
        </w:rPr>
        <w:t xml:space="preserve">. (1997). </w:t>
      </w:r>
      <w:proofErr w:type="spellStart"/>
      <w:r w:rsidR="000C7C8E" w:rsidRPr="003D01FA">
        <w:rPr>
          <w:rFonts w:ascii="Times New Roman" w:hAnsi="Times New Roman" w:cs="Times New Roman"/>
          <w:sz w:val="24"/>
          <w:szCs w:val="24"/>
        </w:rPr>
        <w:t>Measuring</w:t>
      </w:r>
      <w:proofErr w:type="spellEnd"/>
      <w:r w:rsidR="000C7C8E" w:rsidRPr="003D01FA">
        <w:rPr>
          <w:rFonts w:ascii="Times New Roman" w:hAnsi="Times New Roman" w:cs="Times New Roman"/>
          <w:sz w:val="24"/>
          <w:szCs w:val="24"/>
        </w:rPr>
        <w:t xml:space="preserve"> </w:t>
      </w:r>
      <w:proofErr w:type="spellStart"/>
      <w:r w:rsidR="000C7C8E" w:rsidRPr="003D01FA">
        <w:rPr>
          <w:rFonts w:ascii="Times New Roman" w:hAnsi="Times New Roman" w:cs="Times New Roman"/>
          <w:sz w:val="24"/>
          <w:szCs w:val="24"/>
        </w:rPr>
        <w:t>the</w:t>
      </w:r>
      <w:proofErr w:type="spellEnd"/>
      <w:r w:rsidR="000C7C8E" w:rsidRPr="003D01FA">
        <w:rPr>
          <w:rFonts w:ascii="Times New Roman" w:hAnsi="Times New Roman" w:cs="Times New Roman"/>
          <w:sz w:val="24"/>
          <w:szCs w:val="24"/>
        </w:rPr>
        <w:t xml:space="preserve"> </w:t>
      </w:r>
      <w:proofErr w:type="spellStart"/>
      <w:r w:rsidR="000C7C8E" w:rsidRPr="003D01FA">
        <w:rPr>
          <w:rFonts w:ascii="Times New Roman" w:hAnsi="Times New Roman" w:cs="Times New Roman"/>
          <w:sz w:val="24"/>
          <w:szCs w:val="24"/>
        </w:rPr>
        <w:t>potential</w:t>
      </w:r>
      <w:proofErr w:type="spellEnd"/>
      <w:r w:rsidR="000C7C8E" w:rsidRPr="003D01FA">
        <w:rPr>
          <w:rFonts w:ascii="Times New Roman" w:hAnsi="Times New Roman" w:cs="Times New Roman"/>
          <w:sz w:val="24"/>
          <w:szCs w:val="24"/>
        </w:rPr>
        <w:t xml:space="preserve"> of </w:t>
      </w:r>
      <w:proofErr w:type="spellStart"/>
      <w:r w:rsidR="000C7C8E" w:rsidRPr="003D01FA">
        <w:rPr>
          <w:rFonts w:ascii="Times New Roman" w:hAnsi="Times New Roman" w:cs="Times New Roman"/>
          <w:sz w:val="24"/>
          <w:szCs w:val="24"/>
        </w:rPr>
        <w:t>emerging</w:t>
      </w:r>
      <w:proofErr w:type="spellEnd"/>
      <w:r w:rsidR="000C7C8E" w:rsidRPr="003D01FA">
        <w:rPr>
          <w:rFonts w:ascii="Times New Roman" w:hAnsi="Times New Roman" w:cs="Times New Roman"/>
          <w:sz w:val="24"/>
          <w:szCs w:val="24"/>
        </w:rPr>
        <w:t xml:space="preserve"> </w:t>
      </w:r>
      <w:proofErr w:type="spellStart"/>
      <w:r w:rsidR="000C7C8E" w:rsidRPr="003D01FA">
        <w:rPr>
          <w:rFonts w:ascii="Times New Roman" w:hAnsi="Times New Roman" w:cs="Times New Roman"/>
          <w:sz w:val="24"/>
          <w:szCs w:val="24"/>
        </w:rPr>
        <w:t>markets</w:t>
      </w:r>
      <w:proofErr w:type="spellEnd"/>
      <w:r w:rsidR="000C7C8E" w:rsidRPr="003D01FA">
        <w:rPr>
          <w:rFonts w:ascii="Times New Roman" w:hAnsi="Times New Roman" w:cs="Times New Roman"/>
          <w:sz w:val="24"/>
          <w:szCs w:val="24"/>
        </w:rPr>
        <w:t xml:space="preserve">: An </w:t>
      </w:r>
      <w:proofErr w:type="spellStart"/>
      <w:r w:rsidR="000C7C8E" w:rsidRPr="003D01FA">
        <w:rPr>
          <w:rFonts w:ascii="Times New Roman" w:hAnsi="Times New Roman" w:cs="Times New Roman"/>
          <w:sz w:val="24"/>
          <w:szCs w:val="24"/>
        </w:rPr>
        <w:t>indexing</w:t>
      </w:r>
      <w:proofErr w:type="spellEnd"/>
      <w:r w:rsidR="000C7C8E" w:rsidRPr="003D01FA">
        <w:rPr>
          <w:rFonts w:ascii="Times New Roman" w:hAnsi="Times New Roman" w:cs="Times New Roman"/>
          <w:sz w:val="24"/>
          <w:szCs w:val="24"/>
        </w:rPr>
        <w:t xml:space="preserve"> </w:t>
      </w:r>
      <w:proofErr w:type="spellStart"/>
      <w:r w:rsidR="000C7C8E" w:rsidRPr="003D01FA">
        <w:rPr>
          <w:rFonts w:ascii="Times New Roman" w:hAnsi="Times New Roman" w:cs="Times New Roman"/>
          <w:sz w:val="24"/>
          <w:szCs w:val="24"/>
        </w:rPr>
        <w:t>approach</w:t>
      </w:r>
      <w:proofErr w:type="spellEnd"/>
      <w:r w:rsidR="000C7C8E" w:rsidRPr="003D01FA">
        <w:rPr>
          <w:rFonts w:ascii="Times New Roman" w:hAnsi="Times New Roman" w:cs="Times New Roman"/>
          <w:sz w:val="24"/>
          <w:szCs w:val="24"/>
        </w:rPr>
        <w:t xml:space="preserve">. Business </w:t>
      </w:r>
      <w:proofErr w:type="spellStart"/>
      <w:r w:rsidR="000C7C8E" w:rsidRPr="003D01FA">
        <w:rPr>
          <w:rFonts w:ascii="Times New Roman" w:hAnsi="Times New Roman" w:cs="Times New Roman"/>
          <w:sz w:val="24"/>
          <w:szCs w:val="24"/>
        </w:rPr>
        <w:t>Horizons</w:t>
      </w:r>
      <w:proofErr w:type="spellEnd"/>
      <w:r w:rsidR="000C7C8E" w:rsidRPr="003D01FA">
        <w:rPr>
          <w:rFonts w:ascii="Times New Roman" w:hAnsi="Times New Roman" w:cs="Times New Roman"/>
          <w:sz w:val="24"/>
          <w:szCs w:val="24"/>
        </w:rPr>
        <w:t>, 40(1), 87-92.</w:t>
      </w:r>
    </w:p>
    <w:p w:rsidR="00FF7519" w:rsidRPr="008C2B3F" w:rsidRDefault="00DF1CCB" w:rsidP="00FF7519">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8C2B3F">
        <w:rPr>
          <w:rFonts w:ascii="Times New Roman" w:hAnsi="Times New Roman" w:cs="Times New Roman"/>
          <w:noProof/>
          <w:sz w:val="24"/>
          <w:szCs w:val="24"/>
        </w:rPr>
        <w:t xml:space="preserve">ÇİVİ, E. ÇAVUŞGİL, S. T. </w:t>
      </w:r>
      <w:r w:rsidR="00FF7519" w:rsidRPr="008C2B3F">
        <w:rPr>
          <w:rFonts w:ascii="Times New Roman" w:hAnsi="Times New Roman" w:cs="Times New Roman"/>
          <w:noProof/>
          <w:sz w:val="24"/>
          <w:szCs w:val="24"/>
        </w:rPr>
        <w:t>(2001). Yen</w:t>
      </w:r>
      <w:r w:rsidR="00FF7519">
        <w:rPr>
          <w:rFonts w:ascii="Times New Roman" w:hAnsi="Times New Roman" w:cs="Times New Roman"/>
          <w:noProof/>
          <w:sz w:val="24"/>
          <w:szCs w:val="24"/>
        </w:rPr>
        <w:t>i</w:t>
      </w:r>
      <w:r w:rsidR="00FF7519" w:rsidRPr="008C2B3F">
        <w:rPr>
          <w:rFonts w:ascii="Times New Roman" w:hAnsi="Times New Roman" w:cs="Times New Roman"/>
          <w:noProof/>
          <w:sz w:val="24"/>
          <w:szCs w:val="24"/>
        </w:rPr>
        <w:t xml:space="preserve"> Dünya Düzen</w:t>
      </w:r>
      <w:r w:rsidR="00FF7519">
        <w:rPr>
          <w:rFonts w:ascii="Times New Roman" w:hAnsi="Times New Roman" w:cs="Times New Roman"/>
          <w:noProof/>
          <w:sz w:val="24"/>
          <w:szCs w:val="24"/>
        </w:rPr>
        <w:t>inde</w:t>
      </w:r>
      <w:r w:rsidR="00FF7519" w:rsidRPr="008C2B3F">
        <w:rPr>
          <w:rFonts w:ascii="Times New Roman" w:hAnsi="Times New Roman" w:cs="Times New Roman"/>
          <w:noProof/>
          <w:sz w:val="24"/>
          <w:szCs w:val="24"/>
        </w:rPr>
        <w:t xml:space="preserve"> Güç K</w:t>
      </w:r>
      <w:r w:rsidR="00FF7519">
        <w:rPr>
          <w:rFonts w:ascii="Times New Roman" w:hAnsi="Times New Roman" w:cs="Times New Roman"/>
          <w:noProof/>
          <w:sz w:val="24"/>
          <w:szCs w:val="24"/>
        </w:rPr>
        <w:t>azanan Ülkeler: Yükselen Ekonoml</w:t>
      </w:r>
      <w:r w:rsidR="00FF7519" w:rsidRPr="008C2B3F">
        <w:rPr>
          <w:rFonts w:ascii="Times New Roman" w:hAnsi="Times New Roman" w:cs="Times New Roman"/>
          <w:noProof/>
          <w:sz w:val="24"/>
          <w:szCs w:val="24"/>
        </w:rPr>
        <w:t xml:space="preserve">er. </w:t>
      </w:r>
      <w:r w:rsidR="00FF7519" w:rsidRPr="008C2B3F">
        <w:rPr>
          <w:rFonts w:ascii="Times New Roman" w:hAnsi="Times New Roman" w:cs="Times New Roman"/>
          <w:i/>
          <w:iCs/>
          <w:noProof/>
          <w:sz w:val="24"/>
          <w:szCs w:val="24"/>
        </w:rPr>
        <w:t>Yönetim ve Ekonomi</w:t>
      </w:r>
      <w:r w:rsidR="00FF7519" w:rsidRPr="008C2B3F">
        <w:rPr>
          <w:rFonts w:ascii="Times New Roman" w:hAnsi="Times New Roman" w:cs="Times New Roman"/>
          <w:noProof/>
          <w:sz w:val="24"/>
          <w:szCs w:val="24"/>
        </w:rPr>
        <w:t xml:space="preserve">, </w:t>
      </w:r>
      <w:r w:rsidR="00FF7519" w:rsidRPr="008C2B3F">
        <w:rPr>
          <w:rFonts w:ascii="Times New Roman" w:hAnsi="Times New Roman" w:cs="Times New Roman"/>
          <w:i/>
          <w:iCs/>
          <w:noProof/>
          <w:sz w:val="24"/>
          <w:szCs w:val="24"/>
        </w:rPr>
        <w:t>7</w:t>
      </w:r>
      <w:r w:rsidR="00FF7519" w:rsidRPr="008C2B3F">
        <w:rPr>
          <w:rFonts w:ascii="Times New Roman" w:hAnsi="Times New Roman" w:cs="Times New Roman"/>
          <w:noProof/>
          <w:sz w:val="24"/>
          <w:szCs w:val="24"/>
        </w:rPr>
        <w:t>(1), 113–128.</w:t>
      </w:r>
    </w:p>
    <w:p w:rsidR="00D513B0" w:rsidRPr="003D01FA" w:rsidRDefault="00BA064F" w:rsidP="00D513B0">
      <w:pPr>
        <w:spacing w:after="120" w:line="240" w:lineRule="auto"/>
        <w:ind w:left="709" w:hanging="709"/>
        <w:jc w:val="both"/>
        <w:rPr>
          <w:rFonts w:ascii="Times New Roman" w:hAnsi="Times New Roman" w:cs="Times New Roman"/>
          <w:sz w:val="24"/>
          <w:szCs w:val="24"/>
        </w:rPr>
      </w:pPr>
      <w:r w:rsidRPr="003D01FA">
        <w:rPr>
          <w:rFonts w:ascii="Times New Roman" w:hAnsi="Times New Roman" w:cs="Times New Roman"/>
          <w:sz w:val="24"/>
          <w:szCs w:val="24"/>
        </w:rPr>
        <w:t>DJANKOV,</w:t>
      </w:r>
      <w:r w:rsidR="00D513B0" w:rsidRPr="003D01FA">
        <w:rPr>
          <w:rFonts w:ascii="Times New Roman" w:hAnsi="Times New Roman" w:cs="Times New Roman"/>
          <w:sz w:val="24"/>
          <w:szCs w:val="24"/>
        </w:rPr>
        <w:t xml:space="preserve"> S. (2016). </w:t>
      </w:r>
      <w:proofErr w:type="spellStart"/>
      <w:r w:rsidR="00D513B0" w:rsidRPr="003D01FA">
        <w:rPr>
          <w:rFonts w:ascii="Times New Roman" w:hAnsi="Times New Roman" w:cs="Times New Roman"/>
          <w:sz w:val="24"/>
          <w:szCs w:val="24"/>
        </w:rPr>
        <w:t>The</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Doing</w:t>
      </w:r>
      <w:proofErr w:type="spellEnd"/>
      <w:r w:rsidR="00D513B0" w:rsidRPr="003D01FA">
        <w:rPr>
          <w:rFonts w:ascii="Times New Roman" w:hAnsi="Times New Roman" w:cs="Times New Roman"/>
          <w:sz w:val="24"/>
          <w:szCs w:val="24"/>
        </w:rPr>
        <w:t xml:space="preserve"> Business </w:t>
      </w:r>
      <w:proofErr w:type="spellStart"/>
      <w:r w:rsidR="00D513B0" w:rsidRPr="003D01FA">
        <w:rPr>
          <w:rFonts w:ascii="Times New Roman" w:hAnsi="Times New Roman" w:cs="Times New Roman"/>
          <w:sz w:val="24"/>
          <w:szCs w:val="24"/>
        </w:rPr>
        <w:t>project</w:t>
      </w:r>
      <w:proofErr w:type="spellEnd"/>
      <w:r w:rsidR="00D513B0" w:rsidRPr="003D01FA">
        <w:rPr>
          <w:rFonts w:ascii="Times New Roman" w:hAnsi="Times New Roman" w:cs="Times New Roman"/>
          <w:sz w:val="24"/>
          <w:szCs w:val="24"/>
        </w:rPr>
        <w:t xml:space="preserve">: how it </w:t>
      </w:r>
      <w:proofErr w:type="spellStart"/>
      <w:r w:rsidR="00D513B0" w:rsidRPr="003D01FA">
        <w:rPr>
          <w:rFonts w:ascii="Times New Roman" w:hAnsi="Times New Roman" w:cs="Times New Roman"/>
          <w:sz w:val="24"/>
          <w:szCs w:val="24"/>
        </w:rPr>
        <w:t>started</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correspondence</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Journal</w:t>
      </w:r>
      <w:proofErr w:type="spellEnd"/>
      <w:r w:rsidR="00D513B0" w:rsidRPr="003D01FA">
        <w:rPr>
          <w:rFonts w:ascii="Times New Roman" w:hAnsi="Times New Roman" w:cs="Times New Roman"/>
          <w:sz w:val="24"/>
          <w:szCs w:val="24"/>
        </w:rPr>
        <w:t xml:space="preserve"> of </w:t>
      </w:r>
      <w:proofErr w:type="spellStart"/>
      <w:r w:rsidR="00D513B0" w:rsidRPr="003D01FA">
        <w:rPr>
          <w:rFonts w:ascii="Times New Roman" w:hAnsi="Times New Roman" w:cs="Times New Roman"/>
          <w:sz w:val="24"/>
          <w:szCs w:val="24"/>
        </w:rPr>
        <w:t>Economic</w:t>
      </w:r>
      <w:proofErr w:type="spellEnd"/>
      <w:r w:rsidR="00D513B0" w:rsidRPr="003D01FA">
        <w:rPr>
          <w:rFonts w:ascii="Times New Roman" w:hAnsi="Times New Roman" w:cs="Times New Roman"/>
          <w:sz w:val="24"/>
          <w:szCs w:val="24"/>
        </w:rPr>
        <w:t xml:space="preserve"> </w:t>
      </w:r>
      <w:proofErr w:type="spellStart"/>
      <w:r w:rsidR="00D513B0" w:rsidRPr="003D01FA">
        <w:rPr>
          <w:rFonts w:ascii="Times New Roman" w:hAnsi="Times New Roman" w:cs="Times New Roman"/>
          <w:sz w:val="24"/>
          <w:szCs w:val="24"/>
        </w:rPr>
        <w:t>Perspectives</w:t>
      </w:r>
      <w:proofErr w:type="spellEnd"/>
      <w:r w:rsidR="00D513B0" w:rsidRPr="003D01FA">
        <w:rPr>
          <w:rFonts w:ascii="Times New Roman" w:hAnsi="Times New Roman" w:cs="Times New Roman"/>
          <w:sz w:val="24"/>
          <w:szCs w:val="24"/>
        </w:rPr>
        <w:t>, 30(1), 247-48.</w:t>
      </w:r>
    </w:p>
    <w:p w:rsidR="00152901" w:rsidRDefault="00DF1CCB" w:rsidP="00F62D4C">
      <w:pPr>
        <w:spacing w:after="120" w:line="240" w:lineRule="auto"/>
        <w:ind w:left="709" w:hanging="709"/>
        <w:jc w:val="both"/>
        <w:rPr>
          <w:rFonts w:ascii="Times New Roman" w:hAnsi="Times New Roman" w:cs="Times New Roman"/>
          <w:sz w:val="24"/>
          <w:szCs w:val="24"/>
        </w:rPr>
      </w:pPr>
      <w:r w:rsidRPr="00152901">
        <w:rPr>
          <w:rFonts w:ascii="Times New Roman" w:hAnsi="Times New Roman" w:cs="Times New Roman"/>
          <w:sz w:val="24"/>
          <w:szCs w:val="24"/>
        </w:rPr>
        <w:t>GHORABAEE, M. K</w:t>
      </w:r>
      <w:proofErr w:type="gramStart"/>
      <w:r w:rsidRPr="00152901">
        <w:rPr>
          <w:rFonts w:ascii="Times New Roman" w:hAnsi="Times New Roman" w:cs="Times New Roman"/>
          <w:sz w:val="24"/>
          <w:szCs w:val="24"/>
        </w:rPr>
        <w:t>.,</w:t>
      </w:r>
      <w:proofErr w:type="gramEnd"/>
      <w:r w:rsidRPr="00152901">
        <w:rPr>
          <w:rFonts w:ascii="Times New Roman" w:hAnsi="Times New Roman" w:cs="Times New Roman"/>
          <w:sz w:val="24"/>
          <w:szCs w:val="24"/>
        </w:rPr>
        <w:t xml:space="preserve"> ZAVADSKAS, E. K., OLFAT, L., TURSKİS, Z., </w:t>
      </w:r>
      <w:r w:rsidR="00152901" w:rsidRPr="00152901">
        <w:rPr>
          <w:rFonts w:ascii="Times New Roman" w:hAnsi="Times New Roman" w:cs="Times New Roman"/>
          <w:sz w:val="24"/>
          <w:szCs w:val="24"/>
        </w:rPr>
        <w:t>(2015). “Multi-</w:t>
      </w:r>
      <w:proofErr w:type="spellStart"/>
      <w:r w:rsidR="00152901" w:rsidRPr="00152901">
        <w:rPr>
          <w:rFonts w:ascii="Times New Roman" w:hAnsi="Times New Roman" w:cs="Times New Roman"/>
          <w:sz w:val="24"/>
          <w:szCs w:val="24"/>
        </w:rPr>
        <w:t>criteria</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inventory</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classification</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using</w:t>
      </w:r>
      <w:proofErr w:type="spellEnd"/>
      <w:r w:rsidR="00152901" w:rsidRPr="00152901">
        <w:rPr>
          <w:rFonts w:ascii="Times New Roman" w:hAnsi="Times New Roman" w:cs="Times New Roman"/>
          <w:sz w:val="24"/>
          <w:szCs w:val="24"/>
        </w:rPr>
        <w:t xml:space="preserve"> a </w:t>
      </w:r>
      <w:proofErr w:type="spellStart"/>
      <w:r w:rsidR="00152901" w:rsidRPr="00152901">
        <w:rPr>
          <w:rFonts w:ascii="Times New Roman" w:hAnsi="Times New Roman" w:cs="Times New Roman"/>
          <w:sz w:val="24"/>
          <w:szCs w:val="24"/>
        </w:rPr>
        <w:t>new</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method</w:t>
      </w:r>
      <w:proofErr w:type="spellEnd"/>
      <w:r w:rsidR="00152901" w:rsidRPr="00152901">
        <w:rPr>
          <w:rFonts w:ascii="Times New Roman" w:hAnsi="Times New Roman" w:cs="Times New Roman"/>
          <w:sz w:val="24"/>
          <w:szCs w:val="24"/>
        </w:rPr>
        <w:t xml:space="preserve"> of </w:t>
      </w:r>
      <w:proofErr w:type="spellStart"/>
      <w:r w:rsidR="00152901" w:rsidRPr="00152901">
        <w:rPr>
          <w:rFonts w:ascii="Times New Roman" w:hAnsi="Times New Roman" w:cs="Times New Roman"/>
          <w:sz w:val="24"/>
          <w:szCs w:val="24"/>
        </w:rPr>
        <w:t>evaluation</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based</w:t>
      </w:r>
      <w:proofErr w:type="spellEnd"/>
      <w:r w:rsidR="00152901" w:rsidRPr="00152901">
        <w:rPr>
          <w:rFonts w:ascii="Times New Roman" w:hAnsi="Times New Roman" w:cs="Times New Roman"/>
          <w:sz w:val="24"/>
          <w:szCs w:val="24"/>
        </w:rPr>
        <w:t xml:space="preserve"> on </w:t>
      </w:r>
      <w:proofErr w:type="spellStart"/>
      <w:r w:rsidR="00152901" w:rsidRPr="00152901">
        <w:rPr>
          <w:rFonts w:ascii="Times New Roman" w:hAnsi="Times New Roman" w:cs="Times New Roman"/>
          <w:sz w:val="24"/>
          <w:szCs w:val="24"/>
        </w:rPr>
        <w:t>distance</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from</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average</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solution</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edas</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Informatica</w:t>
      </w:r>
      <w:proofErr w:type="spellEnd"/>
      <w:r w:rsidR="00152901" w:rsidRPr="00152901">
        <w:rPr>
          <w:rFonts w:ascii="Times New Roman" w:hAnsi="Times New Roman" w:cs="Times New Roman"/>
          <w:sz w:val="24"/>
          <w:szCs w:val="24"/>
        </w:rPr>
        <w:t xml:space="preserve">, </w:t>
      </w:r>
      <w:proofErr w:type="spellStart"/>
      <w:r w:rsidR="00152901" w:rsidRPr="00152901">
        <w:rPr>
          <w:rFonts w:ascii="Times New Roman" w:hAnsi="Times New Roman" w:cs="Times New Roman"/>
          <w:sz w:val="24"/>
          <w:szCs w:val="24"/>
        </w:rPr>
        <w:t>Vol</w:t>
      </w:r>
      <w:proofErr w:type="spellEnd"/>
      <w:r w:rsidR="00152901" w:rsidRPr="00152901">
        <w:rPr>
          <w:rFonts w:ascii="Times New Roman" w:hAnsi="Times New Roman" w:cs="Times New Roman"/>
          <w:sz w:val="24"/>
          <w:szCs w:val="24"/>
        </w:rPr>
        <w:t>. 26, No. 3, 435-451</w:t>
      </w:r>
    </w:p>
    <w:p w:rsidR="00651BB5" w:rsidRPr="003D01FA" w:rsidRDefault="00DF1CCB" w:rsidP="00F62D4C">
      <w:pPr>
        <w:spacing w:after="120" w:line="240" w:lineRule="auto"/>
        <w:ind w:left="709" w:hanging="709"/>
        <w:jc w:val="both"/>
        <w:rPr>
          <w:rFonts w:ascii="Times New Roman" w:hAnsi="Times New Roman" w:cs="Times New Roman"/>
          <w:sz w:val="24"/>
          <w:szCs w:val="24"/>
        </w:rPr>
      </w:pPr>
      <w:r w:rsidRPr="00651BB5">
        <w:rPr>
          <w:rFonts w:ascii="Times New Roman" w:hAnsi="Times New Roman" w:cs="Times New Roman"/>
          <w:sz w:val="24"/>
          <w:szCs w:val="24"/>
        </w:rPr>
        <w:t>GHORABAEE, M. K</w:t>
      </w:r>
      <w:proofErr w:type="gramStart"/>
      <w:r w:rsidRPr="00651BB5">
        <w:rPr>
          <w:rFonts w:ascii="Times New Roman" w:hAnsi="Times New Roman" w:cs="Times New Roman"/>
          <w:sz w:val="24"/>
          <w:szCs w:val="24"/>
        </w:rPr>
        <w:t>.,</w:t>
      </w:r>
      <w:proofErr w:type="gramEnd"/>
      <w:r w:rsidRPr="00651BB5">
        <w:rPr>
          <w:rFonts w:ascii="Times New Roman" w:hAnsi="Times New Roman" w:cs="Times New Roman"/>
          <w:sz w:val="24"/>
          <w:szCs w:val="24"/>
        </w:rPr>
        <w:t xml:space="preserve"> ZAVADSKAS, E. K., AMİRİ, M., TURSKİS, Z., </w:t>
      </w:r>
      <w:r w:rsidR="00651BB5" w:rsidRPr="00651BB5">
        <w:rPr>
          <w:rFonts w:ascii="Times New Roman" w:hAnsi="Times New Roman" w:cs="Times New Roman"/>
          <w:sz w:val="24"/>
          <w:szCs w:val="24"/>
        </w:rPr>
        <w:t>(2016). “</w:t>
      </w:r>
      <w:proofErr w:type="spellStart"/>
      <w:r w:rsidR="00651BB5" w:rsidRPr="00651BB5">
        <w:rPr>
          <w:rFonts w:ascii="Times New Roman" w:hAnsi="Times New Roman" w:cs="Times New Roman"/>
          <w:sz w:val="24"/>
          <w:szCs w:val="24"/>
        </w:rPr>
        <w:t>Extended</w:t>
      </w:r>
      <w:proofErr w:type="spellEnd"/>
      <w:r w:rsidR="00651BB5" w:rsidRPr="00651BB5">
        <w:rPr>
          <w:rFonts w:ascii="Times New Roman" w:hAnsi="Times New Roman" w:cs="Times New Roman"/>
          <w:sz w:val="24"/>
          <w:szCs w:val="24"/>
        </w:rPr>
        <w:t xml:space="preserve"> EDAS </w:t>
      </w:r>
      <w:proofErr w:type="spellStart"/>
      <w:r w:rsidR="00651BB5" w:rsidRPr="00651BB5">
        <w:rPr>
          <w:rFonts w:ascii="Times New Roman" w:hAnsi="Times New Roman" w:cs="Times New Roman"/>
          <w:sz w:val="24"/>
          <w:szCs w:val="24"/>
        </w:rPr>
        <w:t>method</w:t>
      </w:r>
      <w:proofErr w:type="spellEnd"/>
      <w:r w:rsidR="00651BB5" w:rsidRPr="00651BB5">
        <w:rPr>
          <w:rFonts w:ascii="Times New Roman" w:hAnsi="Times New Roman" w:cs="Times New Roman"/>
          <w:sz w:val="24"/>
          <w:szCs w:val="24"/>
        </w:rPr>
        <w:t xml:space="preserve"> </w:t>
      </w:r>
      <w:proofErr w:type="spellStart"/>
      <w:r w:rsidR="00651BB5" w:rsidRPr="00651BB5">
        <w:rPr>
          <w:rFonts w:ascii="Times New Roman" w:hAnsi="Times New Roman" w:cs="Times New Roman"/>
          <w:sz w:val="24"/>
          <w:szCs w:val="24"/>
        </w:rPr>
        <w:t>for</w:t>
      </w:r>
      <w:proofErr w:type="spellEnd"/>
      <w:r w:rsidR="00651BB5" w:rsidRPr="00651BB5">
        <w:rPr>
          <w:rFonts w:ascii="Times New Roman" w:hAnsi="Times New Roman" w:cs="Times New Roman"/>
          <w:sz w:val="24"/>
          <w:szCs w:val="24"/>
        </w:rPr>
        <w:t xml:space="preserve"> </w:t>
      </w:r>
      <w:proofErr w:type="spellStart"/>
      <w:r w:rsidR="00651BB5" w:rsidRPr="00651BB5">
        <w:rPr>
          <w:rFonts w:ascii="Times New Roman" w:hAnsi="Times New Roman" w:cs="Times New Roman"/>
          <w:sz w:val="24"/>
          <w:szCs w:val="24"/>
        </w:rPr>
        <w:t>fuzzy</w:t>
      </w:r>
      <w:proofErr w:type="spellEnd"/>
      <w:r w:rsidR="00651BB5" w:rsidRPr="00651BB5">
        <w:rPr>
          <w:rFonts w:ascii="Times New Roman" w:hAnsi="Times New Roman" w:cs="Times New Roman"/>
          <w:sz w:val="24"/>
          <w:szCs w:val="24"/>
        </w:rPr>
        <w:t xml:space="preserve"> </w:t>
      </w:r>
      <w:proofErr w:type="spellStart"/>
      <w:r w:rsidR="00651BB5" w:rsidRPr="00651BB5">
        <w:rPr>
          <w:rFonts w:ascii="Times New Roman" w:hAnsi="Times New Roman" w:cs="Times New Roman"/>
          <w:sz w:val="24"/>
          <w:szCs w:val="24"/>
        </w:rPr>
        <w:t>multi-criteria</w:t>
      </w:r>
      <w:proofErr w:type="spellEnd"/>
      <w:r w:rsidR="00651BB5" w:rsidRPr="00651BB5">
        <w:rPr>
          <w:rFonts w:ascii="Times New Roman" w:hAnsi="Times New Roman" w:cs="Times New Roman"/>
          <w:sz w:val="24"/>
          <w:szCs w:val="24"/>
        </w:rPr>
        <w:t xml:space="preserve"> </w:t>
      </w:r>
      <w:proofErr w:type="spellStart"/>
      <w:r w:rsidR="00651BB5" w:rsidRPr="00651BB5">
        <w:rPr>
          <w:rFonts w:ascii="Times New Roman" w:hAnsi="Times New Roman" w:cs="Times New Roman"/>
          <w:sz w:val="24"/>
          <w:szCs w:val="24"/>
        </w:rPr>
        <w:t>decision-making</w:t>
      </w:r>
      <w:proofErr w:type="spellEnd"/>
      <w:r w:rsidR="00651BB5" w:rsidRPr="00651BB5">
        <w:rPr>
          <w:rFonts w:ascii="Times New Roman" w:hAnsi="Times New Roman" w:cs="Times New Roman"/>
          <w:sz w:val="24"/>
          <w:szCs w:val="24"/>
        </w:rPr>
        <w:t xml:space="preserve">: an </w:t>
      </w:r>
      <w:proofErr w:type="spellStart"/>
      <w:r w:rsidR="00651BB5" w:rsidRPr="00651BB5">
        <w:rPr>
          <w:rFonts w:ascii="Times New Roman" w:hAnsi="Times New Roman" w:cs="Times New Roman"/>
          <w:sz w:val="24"/>
          <w:szCs w:val="24"/>
        </w:rPr>
        <w:t>application</w:t>
      </w:r>
      <w:proofErr w:type="spellEnd"/>
      <w:r w:rsidR="00651BB5" w:rsidRPr="00651BB5">
        <w:rPr>
          <w:rFonts w:ascii="Times New Roman" w:hAnsi="Times New Roman" w:cs="Times New Roman"/>
          <w:sz w:val="24"/>
          <w:szCs w:val="24"/>
        </w:rPr>
        <w:t xml:space="preserve"> </w:t>
      </w:r>
      <w:proofErr w:type="spellStart"/>
      <w:r w:rsidR="00651BB5" w:rsidRPr="00651BB5">
        <w:rPr>
          <w:rFonts w:ascii="Times New Roman" w:hAnsi="Times New Roman" w:cs="Times New Roman"/>
          <w:sz w:val="24"/>
          <w:szCs w:val="24"/>
        </w:rPr>
        <w:t>to</w:t>
      </w:r>
      <w:proofErr w:type="spellEnd"/>
      <w:r w:rsidR="00651BB5" w:rsidRPr="00651BB5">
        <w:rPr>
          <w:rFonts w:ascii="Times New Roman" w:hAnsi="Times New Roman" w:cs="Times New Roman"/>
          <w:sz w:val="24"/>
          <w:szCs w:val="24"/>
        </w:rPr>
        <w:t xml:space="preserve"> </w:t>
      </w:r>
      <w:proofErr w:type="spellStart"/>
      <w:r w:rsidR="00651BB5" w:rsidRPr="00651BB5">
        <w:rPr>
          <w:rFonts w:ascii="Times New Roman" w:hAnsi="Times New Roman" w:cs="Times New Roman"/>
          <w:sz w:val="24"/>
          <w:szCs w:val="24"/>
        </w:rPr>
        <w:t>supplier</w:t>
      </w:r>
      <w:proofErr w:type="spellEnd"/>
      <w:r w:rsidR="00651BB5" w:rsidRPr="00651BB5">
        <w:rPr>
          <w:rFonts w:ascii="Times New Roman" w:hAnsi="Times New Roman" w:cs="Times New Roman"/>
          <w:sz w:val="24"/>
          <w:szCs w:val="24"/>
        </w:rPr>
        <w:t xml:space="preserve"> </w:t>
      </w:r>
      <w:proofErr w:type="spellStart"/>
      <w:r w:rsidR="00651BB5" w:rsidRPr="00651BB5">
        <w:rPr>
          <w:rFonts w:ascii="Times New Roman" w:hAnsi="Times New Roman" w:cs="Times New Roman"/>
          <w:sz w:val="24"/>
          <w:szCs w:val="24"/>
        </w:rPr>
        <w:t>selection</w:t>
      </w:r>
      <w:proofErr w:type="spellEnd"/>
      <w:r w:rsidR="00651BB5" w:rsidRPr="00651BB5">
        <w:rPr>
          <w:rFonts w:ascii="Times New Roman" w:hAnsi="Times New Roman" w:cs="Times New Roman"/>
          <w:sz w:val="24"/>
          <w:szCs w:val="24"/>
        </w:rPr>
        <w:t xml:space="preserve">”, International </w:t>
      </w:r>
      <w:proofErr w:type="spellStart"/>
      <w:r w:rsidR="00651BB5" w:rsidRPr="00651BB5">
        <w:rPr>
          <w:rFonts w:ascii="Times New Roman" w:hAnsi="Times New Roman" w:cs="Times New Roman"/>
          <w:sz w:val="24"/>
          <w:szCs w:val="24"/>
        </w:rPr>
        <w:t>Journal</w:t>
      </w:r>
      <w:proofErr w:type="spellEnd"/>
      <w:r w:rsidR="00651BB5" w:rsidRPr="00651BB5">
        <w:rPr>
          <w:rFonts w:ascii="Times New Roman" w:hAnsi="Times New Roman" w:cs="Times New Roman"/>
          <w:sz w:val="24"/>
          <w:szCs w:val="24"/>
        </w:rPr>
        <w:t xml:space="preserve"> of </w:t>
      </w:r>
      <w:proofErr w:type="spellStart"/>
      <w:r w:rsidR="00651BB5" w:rsidRPr="00651BB5">
        <w:rPr>
          <w:rFonts w:ascii="Times New Roman" w:hAnsi="Times New Roman" w:cs="Times New Roman"/>
          <w:sz w:val="24"/>
          <w:szCs w:val="24"/>
        </w:rPr>
        <w:t>Computers</w:t>
      </w:r>
      <w:proofErr w:type="spellEnd"/>
      <w:r w:rsidR="00651BB5" w:rsidRPr="00651BB5">
        <w:rPr>
          <w:rFonts w:ascii="Times New Roman" w:hAnsi="Times New Roman" w:cs="Times New Roman"/>
          <w:sz w:val="24"/>
          <w:szCs w:val="24"/>
        </w:rPr>
        <w:t xml:space="preserve"> Communications &amp; Control, Vol.11, No. 3, 358-371</w:t>
      </w:r>
    </w:p>
    <w:p w:rsidR="00BF5800" w:rsidRDefault="00DF1CCB" w:rsidP="00F62D4C">
      <w:pPr>
        <w:spacing w:after="120" w:line="240" w:lineRule="auto"/>
        <w:ind w:left="709" w:hanging="709"/>
        <w:jc w:val="both"/>
        <w:rPr>
          <w:rFonts w:ascii="Times New Roman" w:hAnsi="Times New Roman" w:cs="Times New Roman"/>
          <w:sz w:val="24"/>
          <w:szCs w:val="24"/>
        </w:rPr>
      </w:pPr>
      <w:r w:rsidRPr="003D01FA">
        <w:rPr>
          <w:rFonts w:ascii="Times New Roman" w:hAnsi="Times New Roman" w:cs="Times New Roman"/>
          <w:sz w:val="24"/>
          <w:szCs w:val="24"/>
        </w:rPr>
        <w:t>HANUSCH, M</w:t>
      </w:r>
      <w:r w:rsidR="00A75BC5" w:rsidRPr="003D01FA">
        <w:rPr>
          <w:rFonts w:ascii="Times New Roman" w:hAnsi="Times New Roman" w:cs="Times New Roman"/>
          <w:sz w:val="24"/>
          <w:szCs w:val="24"/>
        </w:rPr>
        <w:t xml:space="preserve">. (2012). </w:t>
      </w:r>
      <w:proofErr w:type="spellStart"/>
      <w:r w:rsidR="00A75BC5" w:rsidRPr="003D01FA">
        <w:rPr>
          <w:rFonts w:ascii="Times New Roman" w:hAnsi="Times New Roman" w:cs="Times New Roman"/>
          <w:sz w:val="24"/>
          <w:szCs w:val="24"/>
        </w:rPr>
        <w:t>The</w:t>
      </w:r>
      <w:proofErr w:type="spellEnd"/>
      <w:r w:rsidR="00A75BC5" w:rsidRPr="003D01FA">
        <w:rPr>
          <w:rFonts w:ascii="Times New Roman" w:hAnsi="Times New Roman" w:cs="Times New Roman"/>
          <w:sz w:val="24"/>
          <w:szCs w:val="24"/>
        </w:rPr>
        <w:t xml:space="preserve"> </w:t>
      </w:r>
      <w:proofErr w:type="spellStart"/>
      <w:r w:rsidR="00A75BC5" w:rsidRPr="003D01FA">
        <w:rPr>
          <w:rFonts w:ascii="Times New Roman" w:hAnsi="Times New Roman" w:cs="Times New Roman"/>
          <w:sz w:val="24"/>
          <w:szCs w:val="24"/>
        </w:rPr>
        <w:t>doing</w:t>
      </w:r>
      <w:proofErr w:type="spellEnd"/>
      <w:r w:rsidR="00A75BC5" w:rsidRPr="003D01FA">
        <w:rPr>
          <w:rFonts w:ascii="Times New Roman" w:hAnsi="Times New Roman" w:cs="Times New Roman"/>
          <w:sz w:val="24"/>
          <w:szCs w:val="24"/>
        </w:rPr>
        <w:t xml:space="preserve"> </w:t>
      </w:r>
      <w:proofErr w:type="spellStart"/>
      <w:r w:rsidR="00A75BC5" w:rsidRPr="003D01FA">
        <w:rPr>
          <w:rFonts w:ascii="Times New Roman" w:hAnsi="Times New Roman" w:cs="Times New Roman"/>
          <w:sz w:val="24"/>
          <w:szCs w:val="24"/>
        </w:rPr>
        <w:t>business</w:t>
      </w:r>
      <w:proofErr w:type="spellEnd"/>
      <w:r w:rsidR="00A75BC5" w:rsidRPr="003D01FA">
        <w:rPr>
          <w:rFonts w:ascii="Times New Roman" w:hAnsi="Times New Roman" w:cs="Times New Roman"/>
          <w:sz w:val="24"/>
          <w:szCs w:val="24"/>
        </w:rPr>
        <w:t xml:space="preserve"> </w:t>
      </w:r>
      <w:proofErr w:type="spellStart"/>
      <w:r w:rsidR="00A75BC5" w:rsidRPr="003D01FA">
        <w:rPr>
          <w:rFonts w:ascii="Times New Roman" w:hAnsi="Times New Roman" w:cs="Times New Roman"/>
          <w:sz w:val="24"/>
          <w:szCs w:val="24"/>
        </w:rPr>
        <w:t>indicators</w:t>
      </w:r>
      <w:proofErr w:type="spellEnd"/>
      <w:r w:rsidR="00A75BC5" w:rsidRPr="003D01FA">
        <w:rPr>
          <w:rFonts w:ascii="Times New Roman" w:hAnsi="Times New Roman" w:cs="Times New Roman"/>
          <w:sz w:val="24"/>
          <w:szCs w:val="24"/>
        </w:rPr>
        <w:t xml:space="preserve">, </w:t>
      </w:r>
      <w:proofErr w:type="spellStart"/>
      <w:r w:rsidR="00A75BC5" w:rsidRPr="003D01FA">
        <w:rPr>
          <w:rFonts w:ascii="Times New Roman" w:hAnsi="Times New Roman" w:cs="Times New Roman"/>
          <w:sz w:val="24"/>
          <w:szCs w:val="24"/>
        </w:rPr>
        <w:t>economic</w:t>
      </w:r>
      <w:proofErr w:type="spellEnd"/>
      <w:r w:rsidR="00A75BC5" w:rsidRPr="003D01FA">
        <w:rPr>
          <w:rFonts w:ascii="Times New Roman" w:hAnsi="Times New Roman" w:cs="Times New Roman"/>
          <w:sz w:val="24"/>
          <w:szCs w:val="24"/>
        </w:rPr>
        <w:t xml:space="preserve"> </w:t>
      </w:r>
      <w:proofErr w:type="spellStart"/>
      <w:r w:rsidR="00A75BC5" w:rsidRPr="003D01FA">
        <w:rPr>
          <w:rFonts w:ascii="Times New Roman" w:hAnsi="Times New Roman" w:cs="Times New Roman"/>
          <w:sz w:val="24"/>
          <w:szCs w:val="24"/>
        </w:rPr>
        <w:t>growth</w:t>
      </w:r>
      <w:proofErr w:type="spellEnd"/>
      <w:r w:rsidR="00A75BC5" w:rsidRPr="003D01FA">
        <w:rPr>
          <w:rFonts w:ascii="Times New Roman" w:hAnsi="Times New Roman" w:cs="Times New Roman"/>
          <w:sz w:val="24"/>
          <w:szCs w:val="24"/>
        </w:rPr>
        <w:t xml:space="preserve"> </w:t>
      </w:r>
      <w:proofErr w:type="spellStart"/>
      <w:r w:rsidR="00A75BC5" w:rsidRPr="003D01FA">
        <w:rPr>
          <w:rFonts w:ascii="Times New Roman" w:hAnsi="Times New Roman" w:cs="Times New Roman"/>
          <w:sz w:val="24"/>
          <w:szCs w:val="24"/>
        </w:rPr>
        <w:t>and</w:t>
      </w:r>
      <w:proofErr w:type="spellEnd"/>
      <w:r w:rsidR="00A75BC5" w:rsidRPr="003D01FA">
        <w:rPr>
          <w:rFonts w:ascii="Times New Roman" w:hAnsi="Times New Roman" w:cs="Times New Roman"/>
          <w:sz w:val="24"/>
          <w:szCs w:val="24"/>
        </w:rPr>
        <w:t xml:space="preserve"> </w:t>
      </w:r>
      <w:proofErr w:type="spellStart"/>
      <w:r w:rsidR="00A75BC5" w:rsidRPr="003D01FA">
        <w:rPr>
          <w:rFonts w:ascii="Times New Roman" w:hAnsi="Times New Roman" w:cs="Times New Roman"/>
          <w:sz w:val="24"/>
          <w:szCs w:val="24"/>
        </w:rPr>
        <w:t>regulatory</w:t>
      </w:r>
      <w:proofErr w:type="spellEnd"/>
      <w:r w:rsidR="00A75BC5" w:rsidRPr="003D01FA">
        <w:rPr>
          <w:rFonts w:ascii="Times New Roman" w:hAnsi="Times New Roman" w:cs="Times New Roman"/>
          <w:sz w:val="24"/>
          <w:szCs w:val="24"/>
        </w:rPr>
        <w:t xml:space="preserve"> reform. World Bank </w:t>
      </w:r>
      <w:bookmarkStart w:id="0" w:name="_GoBack"/>
      <w:bookmarkEnd w:id="0"/>
      <w:proofErr w:type="spellStart"/>
      <w:r w:rsidR="00A75BC5" w:rsidRPr="003D01FA">
        <w:rPr>
          <w:rFonts w:ascii="Times New Roman" w:hAnsi="Times New Roman" w:cs="Times New Roman"/>
          <w:sz w:val="24"/>
          <w:szCs w:val="24"/>
        </w:rPr>
        <w:t>Policy</w:t>
      </w:r>
      <w:proofErr w:type="spellEnd"/>
      <w:r w:rsidR="00A75BC5" w:rsidRPr="003D01FA">
        <w:rPr>
          <w:rFonts w:ascii="Times New Roman" w:hAnsi="Times New Roman" w:cs="Times New Roman"/>
          <w:sz w:val="24"/>
          <w:szCs w:val="24"/>
        </w:rPr>
        <w:t xml:space="preserve"> </w:t>
      </w:r>
      <w:proofErr w:type="spellStart"/>
      <w:r w:rsidR="00A75BC5" w:rsidRPr="003D01FA">
        <w:rPr>
          <w:rFonts w:ascii="Times New Roman" w:hAnsi="Times New Roman" w:cs="Times New Roman"/>
          <w:sz w:val="24"/>
          <w:szCs w:val="24"/>
        </w:rPr>
        <w:t>Research</w:t>
      </w:r>
      <w:proofErr w:type="spellEnd"/>
      <w:r w:rsidR="00A75BC5" w:rsidRPr="003D01FA">
        <w:rPr>
          <w:rFonts w:ascii="Times New Roman" w:hAnsi="Times New Roman" w:cs="Times New Roman"/>
          <w:sz w:val="24"/>
          <w:szCs w:val="24"/>
        </w:rPr>
        <w:t xml:space="preserve"> </w:t>
      </w:r>
      <w:proofErr w:type="spellStart"/>
      <w:r w:rsidR="00A75BC5" w:rsidRPr="003D01FA">
        <w:rPr>
          <w:rFonts w:ascii="Times New Roman" w:hAnsi="Times New Roman" w:cs="Times New Roman"/>
          <w:sz w:val="24"/>
          <w:szCs w:val="24"/>
        </w:rPr>
        <w:t>Working</w:t>
      </w:r>
      <w:proofErr w:type="spellEnd"/>
      <w:r w:rsidR="00A75BC5" w:rsidRPr="003D01FA">
        <w:rPr>
          <w:rFonts w:ascii="Times New Roman" w:hAnsi="Times New Roman" w:cs="Times New Roman"/>
          <w:sz w:val="24"/>
          <w:szCs w:val="24"/>
        </w:rPr>
        <w:t xml:space="preserve"> </w:t>
      </w:r>
      <w:proofErr w:type="spellStart"/>
      <w:r w:rsidR="00A75BC5" w:rsidRPr="003D01FA">
        <w:rPr>
          <w:rFonts w:ascii="Times New Roman" w:hAnsi="Times New Roman" w:cs="Times New Roman"/>
          <w:sz w:val="24"/>
          <w:szCs w:val="24"/>
        </w:rPr>
        <w:t>Paper</w:t>
      </w:r>
      <w:proofErr w:type="spellEnd"/>
      <w:r w:rsidR="00A75BC5" w:rsidRPr="003D01FA">
        <w:rPr>
          <w:rFonts w:ascii="Times New Roman" w:hAnsi="Times New Roman" w:cs="Times New Roman"/>
          <w:sz w:val="24"/>
          <w:szCs w:val="24"/>
        </w:rPr>
        <w:t>, (6176).</w:t>
      </w:r>
    </w:p>
    <w:p w:rsidR="00F768B1" w:rsidRPr="008C2B3F" w:rsidRDefault="00DF1CCB" w:rsidP="00F768B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8C2B3F">
        <w:rPr>
          <w:rFonts w:ascii="Times New Roman" w:hAnsi="Times New Roman" w:cs="Times New Roman"/>
          <w:noProof/>
          <w:sz w:val="24"/>
          <w:szCs w:val="24"/>
        </w:rPr>
        <w:t>HUANG, S. W., LİOU, J. J. H., CHENG, S. H., TANG, W., MA, J. C. Y. VE TZENG, G. H</w:t>
      </w:r>
      <w:r w:rsidR="00F768B1" w:rsidRPr="008C2B3F">
        <w:rPr>
          <w:rFonts w:ascii="Times New Roman" w:hAnsi="Times New Roman" w:cs="Times New Roman"/>
          <w:noProof/>
          <w:sz w:val="24"/>
          <w:szCs w:val="24"/>
        </w:rPr>
        <w:t xml:space="preserve">. (2021). The key success factors for attracting foreign investment in the post-epidemic era. </w:t>
      </w:r>
      <w:r w:rsidR="00F768B1" w:rsidRPr="008C2B3F">
        <w:rPr>
          <w:rFonts w:ascii="Times New Roman" w:hAnsi="Times New Roman" w:cs="Times New Roman"/>
          <w:i/>
          <w:iCs/>
          <w:noProof/>
          <w:sz w:val="24"/>
          <w:szCs w:val="24"/>
        </w:rPr>
        <w:t>Axioms</w:t>
      </w:r>
      <w:r w:rsidR="00F768B1" w:rsidRPr="008C2B3F">
        <w:rPr>
          <w:rFonts w:ascii="Times New Roman" w:hAnsi="Times New Roman" w:cs="Times New Roman"/>
          <w:noProof/>
          <w:sz w:val="24"/>
          <w:szCs w:val="24"/>
        </w:rPr>
        <w:t xml:space="preserve">, </w:t>
      </w:r>
      <w:r w:rsidR="00F768B1" w:rsidRPr="008C2B3F">
        <w:rPr>
          <w:rFonts w:ascii="Times New Roman" w:hAnsi="Times New Roman" w:cs="Times New Roman"/>
          <w:i/>
          <w:iCs/>
          <w:noProof/>
          <w:sz w:val="24"/>
          <w:szCs w:val="24"/>
        </w:rPr>
        <w:t>10</w:t>
      </w:r>
      <w:r w:rsidR="00F768B1" w:rsidRPr="008C2B3F">
        <w:rPr>
          <w:rFonts w:ascii="Times New Roman" w:hAnsi="Times New Roman" w:cs="Times New Roman"/>
          <w:noProof/>
          <w:sz w:val="24"/>
          <w:szCs w:val="24"/>
        </w:rPr>
        <w:t>(3), 1–25. doi:10.3390/axioms10030140</w:t>
      </w:r>
    </w:p>
    <w:p w:rsidR="00F768B1" w:rsidRPr="00DF1CCB" w:rsidRDefault="00DF1CCB" w:rsidP="00F768B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F1CCB">
        <w:rPr>
          <w:rFonts w:ascii="Times New Roman" w:hAnsi="Times New Roman" w:cs="Times New Roman"/>
          <w:noProof/>
          <w:sz w:val="24"/>
          <w:szCs w:val="24"/>
        </w:rPr>
        <w:t xml:space="preserve">JAHAN, A., EDWARDS, K. L. VE BAHRAMİNASAB, M. </w:t>
      </w:r>
      <w:r w:rsidR="00F768B1" w:rsidRPr="00DF1CCB">
        <w:rPr>
          <w:rFonts w:ascii="Times New Roman" w:hAnsi="Times New Roman" w:cs="Times New Roman"/>
          <w:noProof/>
          <w:sz w:val="24"/>
          <w:szCs w:val="24"/>
        </w:rPr>
        <w:t xml:space="preserve">(2016). </w:t>
      </w:r>
      <w:r w:rsidR="00F768B1" w:rsidRPr="00DF1CCB">
        <w:rPr>
          <w:rFonts w:ascii="Times New Roman" w:hAnsi="Times New Roman" w:cs="Times New Roman"/>
          <w:iCs/>
          <w:noProof/>
          <w:sz w:val="24"/>
          <w:szCs w:val="24"/>
        </w:rPr>
        <w:t xml:space="preserve">Multi-criteria Decision Analysis for Supporting the Selection of Engineering Materials in Product Design: Second </w:t>
      </w:r>
      <w:r w:rsidR="00F768B1" w:rsidRPr="00DF1CCB">
        <w:rPr>
          <w:rFonts w:ascii="Times New Roman" w:hAnsi="Times New Roman" w:cs="Times New Roman"/>
          <w:iCs/>
          <w:noProof/>
          <w:sz w:val="24"/>
          <w:szCs w:val="24"/>
        </w:rPr>
        <w:lastRenderedPageBreak/>
        <w:t>Edition</w:t>
      </w:r>
      <w:r w:rsidR="00F768B1" w:rsidRPr="00DF1CCB">
        <w:rPr>
          <w:rFonts w:ascii="Times New Roman" w:hAnsi="Times New Roman" w:cs="Times New Roman"/>
          <w:noProof/>
          <w:sz w:val="24"/>
          <w:szCs w:val="24"/>
        </w:rPr>
        <w:t xml:space="preserve">. </w:t>
      </w:r>
      <w:r w:rsidR="00F768B1" w:rsidRPr="00DF1CCB">
        <w:rPr>
          <w:rFonts w:ascii="Times New Roman" w:hAnsi="Times New Roman" w:cs="Times New Roman"/>
          <w:iCs/>
          <w:noProof/>
          <w:sz w:val="24"/>
          <w:szCs w:val="24"/>
        </w:rPr>
        <w:t>Multi-criteria Decision Analysis for Supporting the Selection of Engineering Materials in Product Design: Second Edition</w:t>
      </w:r>
      <w:r w:rsidR="00F768B1" w:rsidRPr="00DF1CCB">
        <w:rPr>
          <w:rFonts w:ascii="Times New Roman" w:hAnsi="Times New Roman" w:cs="Times New Roman"/>
          <w:noProof/>
          <w:sz w:val="24"/>
          <w:szCs w:val="24"/>
        </w:rPr>
        <w:t>. doi:10.1016/C2014-0-03347-3</w:t>
      </w:r>
    </w:p>
    <w:p w:rsidR="00F768B1" w:rsidRDefault="00DF1CCB" w:rsidP="00F768B1">
      <w:pPr>
        <w:spacing w:after="120" w:line="240" w:lineRule="auto"/>
        <w:ind w:left="709" w:hanging="709"/>
        <w:jc w:val="both"/>
        <w:rPr>
          <w:rFonts w:ascii="Times New Roman" w:hAnsi="Times New Roman" w:cs="Times New Roman"/>
          <w:sz w:val="24"/>
          <w:szCs w:val="24"/>
        </w:rPr>
      </w:pPr>
      <w:r w:rsidRPr="003D01FA">
        <w:rPr>
          <w:rFonts w:ascii="Times New Roman" w:hAnsi="Times New Roman" w:cs="Times New Roman"/>
          <w:sz w:val="24"/>
          <w:szCs w:val="24"/>
        </w:rPr>
        <w:t>JAYASURİYA, D. (2011</w:t>
      </w:r>
      <w:r w:rsidR="00F768B1" w:rsidRPr="003D01FA">
        <w:rPr>
          <w:rFonts w:ascii="Times New Roman" w:hAnsi="Times New Roman" w:cs="Times New Roman"/>
          <w:sz w:val="24"/>
          <w:szCs w:val="24"/>
        </w:rPr>
        <w:t xml:space="preserve">). </w:t>
      </w:r>
      <w:proofErr w:type="spellStart"/>
      <w:r w:rsidR="00F768B1" w:rsidRPr="003D01FA">
        <w:rPr>
          <w:rFonts w:ascii="Times New Roman" w:hAnsi="Times New Roman" w:cs="Times New Roman"/>
          <w:sz w:val="24"/>
          <w:szCs w:val="24"/>
        </w:rPr>
        <w:t>Improvements</w:t>
      </w:r>
      <w:proofErr w:type="spellEnd"/>
      <w:r w:rsidR="00F768B1" w:rsidRPr="003D01FA">
        <w:rPr>
          <w:rFonts w:ascii="Times New Roman" w:hAnsi="Times New Roman" w:cs="Times New Roman"/>
          <w:sz w:val="24"/>
          <w:szCs w:val="24"/>
        </w:rPr>
        <w:t xml:space="preserve"> in </w:t>
      </w:r>
      <w:proofErr w:type="spellStart"/>
      <w:r w:rsidR="00F768B1" w:rsidRPr="003D01FA">
        <w:rPr>
          <w:rFonts w:ascii="Times New Roman" w:hAnsi="Times New Roman" w:cs="Times New Roman"/>
          <w:sz w:val="24"/>
          <w:szCs w:val="24"/>
        </w:rPr>
        <w:t>the</w:t>
      </w:r>
      <w:proofErr w:type="spellEnd"/>
      <w:r w:rsidR="00F768B1" w:rsidRPr="003D01FA">
        <w:rPr>
          <w:rFonts w:ascii="Times New Roman" w:hAnsi="Times New Roman" w:cs="Times New Roman"/>
          <w:sz w:val="24"/>
          <w:szCs w:val="24"/>
        </w:rPr>
        <w:t xml:space="preserve"> World </w:t>
      </w:r>
      <w:proofErr w:type="spellStart"/>
      <w:r w:rsidR="00F768B1" w:rsidRPr="003D01FA">
        <w:rPr>
          <w:rFonts w:ascii="Times New Roman" w:hAnsi="Times New Roman" w:cs="Times New Roman"/>
          <w:sz w:val="24"/>
          <w:szCs w:val="24"/>
        </w:rPr>
        <w:t>Bank's</w:t>
      </w:r>
      <w:proofErr w:type="spellEnd"/>
      <w:r w:rsidR="00F768B1" w:rsidRPr="003D01FA">
        <w:rPr>
          <w:rFonts w:ascii="Times New Roman" w:hAnsi="Times New Roman" w:cs="Times New Roman"/>
          <w:sz w:val="24"/>
          <w:szCs w:val="24"/>
        </w:rPr>
        <w:t xml:space="preserve"> </w:t>
      </w:r>
      <w:proofErr w:type="spellStart"/>
      <w:r w:rsidR="00F768B1" w:rsidRPr="003D01FA">
        <w:rPr>
          <w:rFonts w:ascii="Times New Roman" w:hAnsi="Times New Roman" w:cs="Times New Roman"/>
          <w:sz w:val="24"/>
          <w:szCs w:val="24"/>
        </w:rPr>
        <w:t>Ease</w:t>
      </w:r>
      <w:proofErr w:type="spellEnd"/>
      <w:r w:rsidR="00F768B1" w:rsidRPr="003D01FA">
        <w:rPr>
          <w:rFonts w:ascii="Times New Roman" w:hAnsi="Times New Roman" w:cs="Times New Roman"/>
          <w:sz w:val="24"/>
          <w:szCs w:val="24"/>
        </w:rPr>
        <w:t xml:space="preserve"> of </w:t>
      </w:r>
      <w:proofErr w:type="spellStart"/>
      <w:r w:rsidR="00F768B1" w:rsidRPr="003D01FA">
        <w:rPr>
          <w:rFonts w:ascii="Times New Roman" w:hAnsi="Times New Roman" w:cs="Times New Roman"/>
          <w:sz w:val="24"/>
          <w:szCs w:val="24"/>
        </w:rPr>
        <w:t>Doing</w:t>
      </w:r>
      <w:proofErr w:type="spellEnd"/>
      <w:r w:rsidR="00F768B1" w:rsidRPr="003D01FA">
        <w:rPr>
          <w:rFonts w:ascii="Times New Roman" w:hAnsi="Times New Roman" w:cs="Times New Roman"/>
          <w:sz w:val="24"/>
          <w:szCs w:val="24"/>
        </w:rPr>
        <w:t xml:space="preserve"> Business </w:t>
      </w:r>
      <w:proofErr w:type="spellStart"/>
      <w:r w:rsidR="00F768B1" w:rsidRPr="003D01FA">
        <w:rPr>
          <w:rFonts w:ascii="Times New Roman" w:hAnsi="Times New Roman" w:cs="Times New Roman"/>
          <w:sz w:val="24"/>
          <w:szCs w:val="24"/>
        </w:rPr>
        <w:t>Rankings</w:t>
      </w:r>
      <w:proofErr w:type="spellEnd"/>
      <w:r w:rsidR="00F768B1" w:rsidRPr="003D01FA">
        <w:rPr>
          <w:rFonts w:ascii="Times New Roman" w:hAnsi="Times New Roman" w:cs="Times New Roman"/>
          <w:sz w:val="24"/>
          <w:szCs w:val="24"/>
        </w:rPr>
        <w:t xml:space="preserve">: Do </w:t>
      </w:r>
      <w:proofErr w:type="spellStart"/>
      <w:r w:rsidR="00F768B1" w:rsidRPr="003D01FA">
        <w:rPr>
          <w:rFonts w:ascii="Times New Roman" w:hAnsi="Times New Roman" w:cs="Times New Roman"/>
          <w:sz w:val="24"/>
          <w:szCs w:val="24"/>
        </w:rPr>
        <w:t>They</w:t>
      </w:r>
      <w:proofErr w:type="spellEnd"/>
      <w:r w:rsidR="00F768B1" w:rsidRPr="003D01FA">
        <w:rPr>
          <w:rFonts w:ascii="Times New Roman" w:hAnsi="Times New Roman" w:cs="Times New Roman"/>
          <w:sz w:val="24"/>
          <w:szCs w:val="24"/>
        </w:rPr>
        <w:t xml:space="preserve"> </w:t>
      </w:r>
      <w:proofErr w:type="spellStart"/>
      <w:r w:rsidR="00F768B1" w:rsidRPr="003D01FA">
        <w:rPr>
          <w:rFonts w:ascii="Times New Roman" w:hAnsi="Times New Roman" w:cs="Times New Roman"/>
          <w:sz w:val="24"/>
          <w:szCs w:val="24"/>
        </w:rPr>
        <w:t>Translate</w:t>
      </w:r>
      <w:proofErr w:type="spellEnd"/>
      <w:r w:rsidR="00F768B1" w:rsidRPr="003D01FA">
        <w:rPr>
          <w:rFonts w:ascii="Times New Roman" w:hAnsi="Times New Roman" w:cs="Times New Roman"/>
          <w:sz w:val="24"/>
          <w:szCs w:val="24"/>
        </w:rPr>
        <w:t xml:space="preserve"> </w:t>
      </w:r>
      <w:proofErr w:type="spellStart"/>
      <w:r w:rsidR="00F768B1" w:rsidRPr="003D01FA">
        <w:rPr>
          <w:rFonts w:ascii="Times New Roman" w:hAnsi="Times New Roman" w:cs="Times New Roman"/>
          <w:sz w:val="24"/>
          <w:szCs w:val="24"/>
        </w:rPr>
        <w:t>into</w:t>
      </w:r>
      <w:proofErr w:type="spellEnd"/>
      <w:r w:rsidR="00F768B1" w:rsidRPr="003D01FA">
        <w:rPr>
          <w:rFonts w:ascii="Times New Roman" w:hAnsi="Times New Roman" w:cs="Times New Roman"/>
          <w:sz w:val="24"/>
          <w:szCs w:val="24"/>
        </w:rPr>
        <w:t xml:space="preserve"> </w:t>
      </w:r>
      <w:proofErr w:type="spellStart"/>
      <w:r w:rsidR="00F768B1" w:rsidRPr="003D01FA">
        <w:rPr>
          <w:rFonts w:ascii="Times New Roman" w:hAnsi="Times New Roman" w:cs="Times New Roman"/>
          <w:sz w:val="24"/>
          <w:szCs w:val="24"/>
        </w:rPr>
        <w:t>Greater</w:t>
      </w:r>
      <w:proofErr w:type="spellEnd"/>
      <w:r w:rsidR="00F768B1" w:rsidRPr="003D01FA">
        <w:rPr>
          <w:rFonts w:ascii="Times New Roman" w:hAnsi="Times New Roman" w:cs="Times New Roman"/>
          <w:sz w:val="24"/>
          <w:szCs w:val="24"/>
        </w:rPr>
        <w:t xml:space="preserve"> </w:t>
      </w:r>
      <w:proofErr w:type="spellStart"/>
      <w:r w:rsidR="00F768B1" w:rsidRPr="003D01FA">
        <w:rPr>
          <w:rFonts w:ascii="Times New Roman" w:hAnsi="Times New Roman" w:cs="Times New Roman"/>
          <w:sz w:val="24"/>
          <w:szCs w:val="24"/>
        </w:rPr>
        <w:t>Foreign</w:t>
      </w:r>
      <w:proofErr w:type="spellEnd"/>
      <w:r w:rsidR="00F768B1" w:rsidRPr="003D01FA">
        <w:rPr>
          <w:rFonts w:ascii="Times New Roman" w:hAnsi="Times New Roman" w:cs="Times New Roman"/>
          <w:sz w:val="24"/>
          <w:szCs w:val="24"/>
        </w:rPr>
        <w:t xml:space="preserve"> Direct </w:t>
      </w:r>
      <w:proofErr w:type="spellStart"/>
      <w:r w:rsidR="00F768B1" w:rsidRPr="003D01FA">
        <w:rPr>
          <w:rFonts w:ascii="Times New Roman" w:hAnsi="Times New Roman" w:cs="Times New Roman"/>
          <w:sz w:val="24"/>
          <w:szCs w:val="24"/>
        </w:rPr>
        <w:t>Investment</w:t>
      </w:r>
      <w:proofErr w:type="spellEnd"/>
      <w:r w:rsidR="00F768B1" w:rsidRPr="003D01FA">
        <w:rPr>
          <w:rFonts w:ascii="Times New Roman" w:hAnsi="Times New Roman" w:cs="Times New Roman"/>
          <w:sz w:val="24"/>
          <w:szCs w:val="24"/>
        </w:rPr>
        <w:t xml:space="preserve"> </w:t>
      </w:r>
      <w:proofErr w:type="spellStart"/>
      <w:r w:rsidR="00F768B1" w:rsidRPr="003D01FA">
        <w:rPr>
          <w:rFonts w:ascii="Times New Roman" w:hAnsi="Times New Roman" w:cs="Times New Roman"/>
          <w:sz w:val="24"/>
          <w:szCs w:val="24"/>
        </w:rPr>
        <w:t>Inflows</w:t>
      </w:r>
      <w:proofErr w:type="spellEnd"/>
      <w:r w:rsidR="00F768B1" w:rsidRPr="003D01FA">
        <w:rPr>
          <w:rFonts w:ascii="Times New Roman" w:hAnsi="Times New Roman" w:cs="Times New Roman"/>
          <w:sz w:val="24"/>
          <w:szCs w:val="24"/>
        </w:rPr>
        <w:t xml:space="preserve">? World Bank </w:t>
      </w:r>
      <w:proofErr w:type="spellStart"/>
      <w:r w:rsidR="00F768B1" w:rsidRPr="003D01FA">
        <w:rPr>
          <w:rFonts w:ascii="Times New Roman" w:hAnsi="Times New Roman" w:cs="Times New Roman"/>
          <w:sz w:val="24"/>
          <w:szCs w:val="24"/>
        </w:rPr>
        <w:t>Policy</w:t>
      </w:r>
      <w:proofErr w:type="spellEnd"/>
      <w:r w:rsidR="00F768B1" w:rsidRPr="003D01FA">
        <w:rPr>
          <w:rFonts w:ascii="Times New Roman" w:hAnsi="Times New Roman" w:cs="Times New Roman"/>
          <w:sz w:val="24"/>
          <w:szCs w:val="24"/>
        </w:rPr>
        <w:t xml:space="preserve"> </w:t>
      </w:r>
      <w:proofErr w:type="spellStart"/>
      <w:r w:rsidR="00F768B1" w:rsidRPr="003D01FA">
        <w:rPr>
          <w:rFonts w:ascii="Times New Roman" w:hAnsi="Times New Roman" w:cs="Times New Roman"/>
          <w:sz w:val="24"/>
          <w:szCs w:val="24"/>
        </w:rPr>
        <w:t>Research</w:t>
      </w:r>
      <w:proofErr w:type="spellEnd"/>
      <w:r w:rsidR="00F768B1" w:rsidRPr="003D01FA">
        <w:rPr>
          <w:rFonts w:ascii="Times New Roman" w:hAnsi="Times New Roman" w:cs="Times New Roman"/>
          <w:sz w:val="24"/>
          <w:szCs w:val="24"/>
        </w:rPr>
        <w:t xml:space="preserve"> </w:t>
      </w:r>
      <w:proofErr w:type="spellStart"/>
      <w:r w:rsidR="00F768B1" w:rsidRPr="003D01FA">
        <w:rPr>
          <w:rFonts w:ascii="Times New Roman" w:hAnsi="Times New Roman" w:cs="Times New Roman"/>
          <w:sz w:val="24"/>
          <w:szCs w:val="24"/>
        </w:rPr>
        <w:t>Working</w:t>
      </w:r>
      <w:proofErr w:type="spellEnd"/>
      <w:r w:rsidR="00F768B1" w:rsidRPr="003D01FA">
        <w:rPr>
          <w:rFonts w:ascii="Times New Roman" w:hAnsi="Times New Roman" w:cs="Times New Roman"/>
          <w:sz w:val="24"/>
          <w:szCs w:val="24"/>
        </w:rPr>
        <w:t xml:space="preserve"> </w:t>
      </w:r>
      <w:proofErr w:type="spellStart"/>
      <w:r w:rsidR="00F768B1" w:rsidRPr="003D01FA">
        <w:rPr>
          <w:rFonts w:ascii="Times New Roman" w:hAnsi="Times New Roman" w:cs="Times New Roman"/>
          <w:sz w:val="24"/>
          <w:szCs w:val="24"/>
        </w:rPr>
        <w:t>Paper</w:t>
      </w:r>
      <w:proofErr w:type="spellEnd"/>
      <w:r w:rsidR="00F768B1" w:rsidRPr="003D01FA">
        <w:rPr>
          <w:rFonts w:ascii="Times New Roman" w:hAnsi="Times New Roman" w:cs="Times New Roman"/>
          <w:sz w:val="24"/>
          <w:szCs w:val="24"/>
        </w:rPr>
        <w:t xml:space="preserve"> No. 5787. </w:t>
      </w:r>
      <w:proofErr w:type="spellStart"/>
      <w:r w:rsidR="00F768B1" w:rsidRPr="003D01FA">
        <w:rPr>
          <w:rFonts w:ascii="Times New Roman" w:hAnsi="Times New Roman" w:cs="Times New Roman"/>
          <w:sz w:val="24"/>
          <w:szCs w:val="24"/>
        </w:rPr>
        <w:t>Available</w:t>
      </w:r>
      <w:proofErr w:type="spellEnd"/>
      <w:r w:rsidR="00F768B1" w:rsidRPr="003D01FA">
        <w:rPr>
          <w:rFonts w:ascii="Times New Roman" w:hAnsi="Times New Roman" w:cs="Times New Roman"/>
          <w:sz w:val="24"/>
          <w:szCs w:val="24"/>
        </w:rPr>
        <w:t xml:space="preserve"> at SSRN: </w:t>
      </w:r>
      <w:hyperlink r:id="rId57" w:history="1">
        <w:r w:rsidR="00F768B1" w:rsidRPr="00BC7792">
          <w:rPr>
            <w:rStyle w:val="Kpr"/>
            <w:rFonts w:ascii="Times New Roman" w:hAnsi="Times New Roman" w:cs="Times New Roman"/>
            <w:sz w:val="24"/>
            <w:szCs w:val="24"/>
          </w:rPr>
          <w:t>https://ssrn.com/abstract=1923545</w:t>
        </w:r>
      </w:hyperlink>
      <w:r w:rsidR="00F768B1" w:rsidRPr="003D01FA">
        <w:rPr>
          <w:rFonts w:ascii="Times New Roman" w:hAnsi="Times New Roman" w:cs="Times New Roman"/>
          <w:sz w:val="24"/>
          <w:szCs w:val="24"/>
        </w:rPr>
        <w:t>.</w:t>
      </w:r>
    </w:p>
    <w:p w:rsidR="00F768B1" w:rsidRPr="008C2B3F" w:rsidRDefault="00DF1CCB" w:rsidP="00F768B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8C2B3F">
        <w:rPr>
          <w:rFonts w:ascii="Times New Roman" w:hAnsi="Times New Roman" w:cs="Times New Roman"/>
          <w:noProof/>
          <w:sz w:val="24"/>
          <w:szCs w:val="24"/>
        </w:rPr>
        <w:t>KANGAL, N</w:t>
      </w:r>
      <w:r>
        <w:rPr>
          <w:rFonts w:ascii="Times New Roman" w:hAnsi="Times New Roman" w:cs="Times New Roman"/>
          <w:noProof/>
          <w:sz w:val="24"/>
          <w:szCs w:val="24"/>
        </w:rPr>
        <w:t>.,</w:t>
      </w:r>
      <w:r w:rsidRPr="008C2B3F">
        <w:rPr>
          <w:rFonts w:ascii="Times New Roman" w:hAnsi="Times New Roman" w:cs="Times New Roman"/>
          <w:noProof/>
          <w:sz w:val="24"/>
          <w:szCs w:val="24"/>
        </w:rPr>
        <w:t>, EROĞLU, İ</w:t>
      </w:r>
      <w:r>
        <w:rPr>
          <w:rFonts w:ascii="Times New Roman" w:hAnsi="Times New Roman" w:cs="Times New Roman"/>
          <w:noProof/>
          <w:sz w:val="24"/>
          <w:szCs w:val="24"/>
        </w:rPr>
        <w:t>.</w:t>
      </w:r>
      <w:r w:rsidRPr="008C2B3F">
        <w:rPr>
          <w:rFonts w:ascii="Times New Roman" w:hAnsi="Times New Roman" w:cs="Times New Roman"/>
          <w:noProof/>
          <w:sz w:val="24"/>
          <w:szCs w:val="24"/>
        </w:rPr>
        <w:t xml:space="preserve">, ÇOBAN, M. N. </w:t>
      </w:r>
      <w:r w:rsidR="00F768B1" w:rsidRPr="008C2B3F">
        <w:rPr>
          <w:rFonts w:ascii="Times New Roman" w:hAnsi="Times New Roman" w:cs="Times New Roman"/>
          <w:noProof/>
          <w:sz w:val="24"/>
          <w:szCs w:val="24"/>
        </w:rPr>
        <w:t xml:space="preserve">(2018). İş Yapma Kolaylığı Kapsamında MİNT Ülkeleri Üzerine Bir Değerlendirme. </w:t>
      </w:r>
      <w:r w:rsidR="00F768B1" w:rsidRPr="008C2B3F">
        <w:rPr>
          <w:rFonts w:ascii="Times New Roman" w:hAnsi="Times New Roman" w:cs="Times New Roman"/>
          <w:i/>
          <w:iCs/>
          <w:noProof/>
          <w:sz w:val="24"/>
          <w:szCs w:val="24"/>
        </w:rPr>
        <w:t>Sosyal Bilimler Araştırmaları Dergisi</w:t>
      </w:r>
      <w:r w:rsidR="00F768B1" w:rsidRPr="008C2B3F">
        <w:rPr>
          <w:rFonts w:ascii="Times New Roman" w:hAnsi="Times New Roman" w:cs="Times New Roman"/>
          <w:noProof/>
          <w:sz w:val="24"/>
          <w:szCs w:val="24"/>
        </w:rPr>
        <w:t xml:space="preserve">, </w:t>
      </w:r>
      <w:r w:rsidR="00F768B1" w:rsidRPr="008C2B3F">
        <w:rPr>
          <w:rFonts w:ascii="Times New Roman" w:hAnsi="Times New Roman" w:cs="Times New Roman"/>
          <w:i/>
          <w:iCs/>
          <w:noProof/>
          <w:sz w:val="24"/>
          <w:szCs w:val="24"/>
        </w:rPr>
        <w:t>13</w:t>
      </w:r>
      <w:r w:rsidR="00F768B1" w:rsidRPr="008C2B3F">
        <w:rPr>
          <w:rFonts w:ascii="Times New Roman" w:hAnsi="Times New Roman" w:cs="Times New Roman"/>
          <w:noProof/>
          <w:sz w:val="24"/>
          <w:szCs w:val="24"/>
        </w:rPr>
        <w:t>(2 (Kış 2018)), 21–48. https://dergipark.org.tr/tr/download/article-file/606529 adresinden erişildi.</w:t>
      </w:r>
    </w:p>
    <w:p w:rsidR="00F768B1" w:rsidRDefault="00DF1CCB" w:rsidP="00F768B1">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8C2B3F">
        <w:rPr>
          <w:rFonts w:ascii="Times New Roman" w:hAnsi="Times New Roman" w:cs="Times New Roman"/>
          <w:noProof/>
          <w:sz w:val="24"/>
          <w:szCs w:val="24"/>
        </w:rPr>
        <w:t xml:space="preserve">KOÇ, E., KAYA K., Ş. M. C. </w:t>
      </w:r>
      <w:r w:rsidR="00F768B1" w:rsidRPr="008C2B3F">
        <w:rPr>
          <w:rFonts w:ascii="Times New Roman" w:hAnsi="Times New Roman" w:cs="Times New Roman"/>
          <w:noProof/>
          <w:sz w:val="24"/>
          <w:szCs w:val="24"/>
        </w:rPr>
        <w:t xml:space="preserve">(2017). Dünyada ve Türkiye ’ de Ekonomik Göstergeler-İş Yapma / İş Kurma Kolaylığı Endeksi. </w:t>
      </w:r>
      <w:r w:rsidR="00F768B1" w:rsidRPr="008C2B3F">
        <w:rPr>
          <w:rFonts w:ascii="Times New Roman" w:hAnsi="Times New Roman" w:cs="Times New Roman"/>
          <w:i/>
          <w:iCs/>
          <w:noProof/>
          <w:sz w:val="24"/>
          <w:szCs w:val="24"/>
        </w:rPr>
        <w:t>Mühendis ve Makina cilt 58, sayı 685,</w:t>
      </w:r>
      <w:r w:rsidR="00F768B1" w:rsidRPr="008C2B3F">
        <w:rPr>
          <w:rFonts w:ascii="Times New Roman" w:hAnsi="Times New Roman" w:cs="Times New Roman"/>
          <w:noProof/>
          <w:sz w:val="24"/>
          <w:szCs w:val="24"/>
        </w:rPr>
        <w:t xml:space="preserve"> </w:t>
      </w:r>
      <w:r w:rsidR="00F768B1" w:rsidRPr="008C2B3F">
        <w:rPr>
          <w:rFonts w:ascii="Times New Roman" w:hAnsi="Times New Roman" w:cs="Times New Roman"/>
          <w:i/>
          <w:iCs/>
          <w:noProof/>
          <w:sz w:val="24"/>
          <w:szCs w:val="24"/>
        </w:rPr>
        <w:t>58</w:t>
      </w:r>
      <w:r w:rsidR="00F768B1" w:rsidRPr="008C2B3F">
        <w:rPr>
          <w:rFonts w:ascii="Times New Roman" w:hAnsi="Times New Roman" w:cs="Times New Roman"/>
          <w:noProof/>
          <w:sz w:val="24"/>
          <w:szCs w:val="24"/>
        </w:rPr>
        <w:t>(685), 17–42.</w:t>
      </w:r>
    </w:p>
    <w:p w:rsidR="00052CA2" w:rsidRPr="00DF1CCB" w:rsidRDefault="00DF1CCB" w:rsidP="00052CA2">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DF1CCB">
        <w:rPr>
          <w:rFonts w:ascii="Times New Roman" w:hAnsi="Times New Roman" w:cs="Times New Roman"/>
          <w:noProof/>
          <w:sz w:val="24"/>
          <w:szCs w:val="24"/>
        </w:rPr>
        <w:t xml:space="preserve">MUNİER, N., HONTORİA, E. VE JİMÉNEZ-SÁEZ, F. (2019). </w:t>
      </w:r>
      <w:r w:rsidR="00052CA2" w:rsidRPr="00DF1CCB">
        <w:rPr>
          <w:rFonts w:ascii="Times New Roman" w:hAnsi="Times New Roman" w:cs="Times New Roman"/>
          <w:iCs/>
          <w:noProof/>
          <w:sz w:val="24"/>
          <w:szCs w:val="24"/>
        </w:rPr>
        <w:t>Strategic Approach in Multi-Criteria Decision Making</w:t>
      </w:r>
      <w:r w:rsidR="00052CA2" w:rsidRPr="00DF1CCB">
        <w:rPr>
          <w:rFonts w:ascii="Times New Roman" w:hAnsi="Times New Roman" w:cs="Times New Roman"/>
          <w:noProof/>
          <w:sz w:val="24"/>
          <w:szCs w:val="24"/>
        </w:rPr>
        <w:t xml:space="preserve"> (C. 275).</w:t>
      </w:r>
    </w:p>
    <w:p w:rsidR="00F768B1" w:rsidRPr="003D01FA" w:rsidRDefault="00DF1CCB" w:rsidP="005F47A9">
      <w:pPr>
        <w:spacing w:after="120" w:line="240" w:lineRule="auto"/>
        <w:ind w:left="709" w:hanging="709"/>
        <w:jc w:val="both"/>
        <w:rPr>
          <w:rFonts w:ascii="Times New Roman" w:hAnsi="Times New Roman" w:cs="Times New Roman"/>
          <w:sz w:val="24"/>
          <w:szCs w:val="24"/>
        </w:rPr>
      </w:pPr>
      <w:r w:rsidRPr="0023084C">
        <w:rPr>
          <w:rFonts w:ascii="Times New Roman" w:hAnsi="Times New Roman" w:cs="Times New Roman"/>
          <w:sz w:val="24"/>
          <w:szCs w:val="24"/>
        </w:rPr>
        <w:t>ÖNALMIŞ, Ç. (</w:t>
      </w:r>
      <w:r w:rsidR="0023084C" w:rsidRPr="0023084C">
        <w:rPr>
          <w:rFonts w:ascii="Times New Roman" w:hAnsi="Times New Roman" w:cs="Times New Roman"/>
          <w:sz w:val="24"/>
          <w:szCs w:val="24"/>
        </w:rPr>
        <w:t>2017). İş Yapma Kolaylığı Kriterleri İle Ülke Sıralamaları: SMAA Yöntemleri İle Bir Uygulama.</w:t>
      </w:r>
      <w:r w:rsidR="0023084C" w:rsidRPr="0023084C">
        <w:t xml:space="preserve"> </w:t>
      </w:r>
      <w:r w:rsidR="0023084C" w:rsidRPr="0023084C">
        <w:rPr>
          <w:rFonts w:ascii="Times New Roman" w:hAnsi="Times New Roman" w:cs="Times New Roman"/>
          <w:sz w:val="24"/>
          <w:szCs w:val="24"/>
        </w:rPr>
        <w:t>Hacettepe Üniversitesi Sosyal Bilimler Enstitüsü</w:t>
      </w:r>
      <w:r w:rsidR="0023084C">
        <w:rPr>
          <w:rFonts w:ascii="Times New Roman" w:hAnsi="Times New Roman" w:cs="Times New Roman"/>
          <w:sz w:val="24"/>
          <w:szCs w:val="24"/>
        </w:rPr>
        <w:t xml:space="preserve">, Yüksek Lisans Tezi. </w:t>
      </w:r>
    </w:p>
    <w:p w:rsidR="008C2B3F" w:rsidRPr="008C2B3F" w:rsidRDefault="00DF1CCB" w:rsidP="00F768B1">
      <w:pPr>
        <w:spacing w:after="120" w:line="240" w:lineRule="auto"/>
        <w:ind w:left="709" w:hanging="709"/>
        <w:jc w:val="both"/>
        <w:rPr>
          <w:rFonts w:ascii="Times New Roman" w:hAnsi="Times New Roman" w:cs="Times New Roman"/>
          <w:sz w:val="24"/>
          <w:szCs w:val="24"/>
        </w:rPr>
      </w:pPr>
      <w:r w:rsidRPr="003D01FA">
        <w:rPr>
          <w:rFonts w:ascii="Times New Roman" w:hAnsi="Times New Roman" w:cs="Times New Roman"/>
          <w:sz w:val="24"/>
          <w:szCs w:val="24"/>
        </w:rPr>
        <w:t xml:space="preserve">ÖZTÜRKLER, H. </w:t>
      </w:r>
      <w:r w:rsidR="00BF5800" w:rsidRPr="003D01FA">
        <w:rPr>
          <w:rFonts w:ascii="Times New Roman" w:hAnsi="Times New Roman" w:cs="Times New Roman"/>
          <w:sz w:val="24"/>
          <w:szCs w:val="24"/>
        </w:rPr>
        <w:t xml:space="preserve">(2016). Ortadoğu </w:t>
      </w:r>
      <w:r w:rsidR="00AD5450">
        <w:rPr>
          <w:rFonts w:ascii="Times New Roman" w:hAnsi="Times New Roman" w:cs="Times New Roman"/>
          <w:sz w:val="24"/>
          <w:szCs w:val="24"/>
        </w:rPr>
        <w:t>v</w:t>
      </w:r>
      <w:r w:rsidR="00BF5800" w:rsidRPr="003D01FA">
        <w:rPr>
          <w:rFonts w:ascii="Times New Roman" w:hAnsi="Times New Roman" w:cs="Times New Roman"/>
          <w:sz w:val="24"/>
          <w:szCs w:val="24"/>
        </w:rPr>
        <w:t xml:space="preserve">e Kuzey Afrika'da İş Yapma Kolaylığı. </w:t>
      </w:r>
      <w:proofErr w:type="spellStart"/>
      <w:r w:rsidR="00BF5800" w:rsidRPr="003D01FA">
        <w:rPr>
          <w:rFonts w:ascii="Times New Roman" w:hAnsi="Times New Roman" w:cs="Times New Roman"/>
          <w:sz w:val="24"/>
          <w:szCs w:val="24"/>
        </w:rPr>
        <w:t>Middle</w:t>
      </w:r>
      <w:proofErr w:type="spellEnd"/>
      <w:r w:rsidR="00BF5800" w:rsidRPr="003D01FA">
        <w:rPr>
          <w:rFonts w:ascii="Times New Roman" w:hAnsi="Times New Roman" w:cs="Times New Roman"/>
          <w:sz w:val="24"/>
          <w:szCs w:val="24"/>
        </w:rPr>
        <w:t xml:space="preserve"> </w:t>
      </w:r>
      <w:proofErr w:type="spellStart"/>
      <w:r w:rsidR="00BF5800" w:rsidRPr="003D01FA">
        <w:rPr>
          <w:rFonts w:ascii="Times New Roman" w:hAnsi="Times New Roman" w:cs="Times New Roman"/>
          <w:sz w:val="24"/>
          <w:szCs w:val="24"/>
        </w:rPr>
        <w:t>Eastern</w:t>
      </w:r>
      <w:proofErr w:type="spellEnd"/>
      <w:r w:rsidR="00BF5800" w:rsidRPr="003D01FA">
        <w:rPr>
          <w:rFonts w:ascii="Times New Roman" w:hAnsi="Times New Roman" w:cs="Times New Roman"/>
          <w:sz w:val="24"/>
          <w:szCs w:val="24"/>
        </w:rPr>
        <w:t xml:space="preserve"> Analysis/</w:t>
      </w:r>
      <w:proofErr w:type="spellStart"/>
      <w:r w:rsidR="00BF5800" w:rsidRPr="003D01FA">
        <w:rPr>
          <w:rFonts w:ascii="Times New Roman" w:hAnsi="Times New Roman" w:cs="Times New Roman"/>
          <w:sz w:val="24"/>
          <w:szCs w:val="24"/>
        </w:rPr>
        <w:t>Ortadogu</w:t>
      </w:r>
      <w:proofErr w:type="spellEnd"/>
      <w:r w:rsidR="00BF5800" w:rsidRPr="003D01FA">
        <w:rPr>
          <w:rFonts w:ascii="Times New Roman" w:hAnsi="Times New Roman" w:cs="Times New Roman"/>
          <w:sz w:val="24"/>
          <w:szCs w:val="24"/>
        </w:rPr>
        <w:t xml:space="preserve"> Analiz, 8(77).</w:t>
      </w:r>
      <w:r w:rsidR="008C2B3F">
        <w:rPr>
          <w:rFonts w:ascii="Times New Roman" w:hAnsi="Times New Roman" w:cs="Times New Roman"/>
          <w:sz w:val="24"/>
          <w:szCs w:val="24"/>
        </w:rPr>
        <w:fldChar w:fldCharType="begin" w:fldLock="1"/>
      </w:r>
      <w:r w:rsidR="008C2B3F">
        <w:rPr>
          <w:rFonts w:ascii="Times New Roman" w:hAnsi="Times New Roman" w:cs="Times New Roman"/>
          <w:sz w:val="24"/>
          <w:szCs w:val="24"/>
        </w:rPr>
        <w:instrText xml:space="preserve">ADDIN Mendeley Bibliography CSL_BIBLIOGRAPHY </w:instrText>
      </w:r>
      <w:r w:rsidR="008C2B3F">
        <w:rPr>
          <w:rFonts w:ascii="Times New Roman" w:hAnsi="Times New Roman" w:cs="Times New Roman"/>
          <w:sz w:val="24"/>
          <w:szCs w:val="24"/>
        </w:rPr>
        <w:fldChar w:fldCharType="separate"/>
      </w:r>
    </w:p>
    <w:p w:rsidR="00E82ADF" w:rsidRPr="008C2B3F" w:rsidRDefault="00E82ADF" w:rsidP="00F62D4C">
      <w:pPr>
        <w:widowControl w:val="0"/>
        <w:autoSpaceDE w:val="0"/>
        <w:autoSpaceDN w:val="0"/>
        <w:adjustRightInd w:val="0"/>
        <w:spacing w:after="120" w:line="240" w:lineRule="auto"/>
        <w:ind w:left="480" w:hanging="480"/>
        <w:jc w:val="both"/>
        <w:rPr>
          <w:rFonts w:ascii="Times New Roman" w:hAnsi="Times New Roman" w:cs="Times New Roman"/>
          <w:noProof/>
          <w:sz w:val="24"/>
          <w:szCs w:val="24"/>
        </w:rPr>
      </w:pPr>
      <w:r w:rsidRPr="00E82ADF">
        <w:rPr>
          <w:rFonts w:ascii="Times New Roman" w:hAnsi="Times New Roman" w:cs="Times New Roman"/>
          <w:noProof/>
          <w:sz w:val="24"/>
          <w:szCs w:val="24"/>
        </w:rPr>
        <w:t>SHARPE, A. (2021). The World Bank Doing Business Index for Canada: An Assessment (No. 2021-02). Centre for the Study of Living Standards.</w:t>
      </w:r>
    </w:p>
    <w:p w:rsidR="00FF7519" w:rsidRPr="003D01FA" w:rsidRDefault="00DF1CCB" w:rsidP="00FF7519">
      <w:pPr>
        <w:spacing w:after="120" w:line="240" w:lineRule="auto"/>
        <w:ind w:left="709" w:hanging="709"/>
        <w:jc w:val="both"/>
        <w:rPr>
          <w:rFonts w:ascii="Times New Roman" w:hAnsi="Times New Roman" w:cs="Times New Roman"/>
          <w:sz w:val="24"/>
          <w:szCs w:val="24"/>
        </w:rPr>
      </w:pPr>
      <w:r w:rsidRPr="003D01FA">
        <w:rPr>
          <w:rFonts w:ascii="Times New Roman" w:hAnsi="Times New Roman" w:cs="Times New Roman"/>
          <w:sz w:val="24"/>
          <w:szCs w:val="24"/>
        </w:rPr>
        <w:t xml:space="preserve">THE WORLD BANK, </w:t>
      </w:r>
      <w:r w:rsidR="00FF7519" w:rsidRPr="003D01FA">
        <w:rPr>
          <w:rFonts w:ascii="Times New Roman" w:hAnsi="Times New Roman" w:cs="Times New Roman"/>
          <w:sz w:val="24"/>
          <w:szCs w:val="24"/>
        </w:rPr>
        <w:t xml:space="preserve">(2021) </w:t>
      </w:r>
      <w:r w:rsidR="00323C68">
        <w:rPr>
          <w:rFonts w:ascii="Times New Roman" w:hAnsi="Times New Roman" w:cs="Times New Roman"/>
          <w:sz w:val="24"/>
          <w:szCs w:val="24"/>
        </w:rPr>
        <w:t>2020 Annual Reports</w:t>
      </w:r>
      <w:r w:rsidR="00FF7519" w:rsidRPr="003D01FA">
        <w:rPr>
          <w:rFonts w:ascii="Times New Roman" w:hAnsi="Times New Roman" w:cs="Times New Roman"/>
          <w:sz w:val="24"/>
          <w:szCs w:val="24"/>
        </w:rPr>
        <w:t>,  https://openknowledge.worldbank.org/bitstream/handle/10986/32436/9781464814402.pdf?sequence=24&amp;isAllowed=y (Erişim tarihi 15.09.2021)</w:t>
      </w:r>
    </w:p>
    <w:p w:rsidR="00FF7519" w:rsidRPr="003D01FA" w:rsidRDefault="00F879C6" w:rsidP="00FF7519">
      <w:pPr>
        <w:spacing w:after="120" w:line="240" w:lineRule="auto"/>
        <w:ind w:left="709" w:hanging="709"/>
        <w:jc w:val="both"/>
        <w:rPr>
          <w:rFonts w:ascii="Times New Roman" w:hAnsi="Times New Roman" w:cs="Times New Roman"/>
          <w:sz w:val="24"/>
          <w:szCs w:val="24"/>
        </w:rPr>
      </w:pPr>
      <w:r w:rsidRPr="003D01FA">
        <w:rPr>
          <w:rFonts w:ascii="Times New Roman" w:hAnsi="Times New Roman" w:cs="Times New Roman"/>
          <w:sz w:val="24"/>
          <w:szCs w:val="24"/>
        </w:rPr>
        <w:t>TWİTCHELL, M. (2001)</w:t>
      </w:r>
      <w:r w:rsidR="00FF7519" w:rsidRPr="003D01FA">
        <w:rPr>
          <w:rFonts w:ascii="Times New Roman" w:hAnsi="Times New Roman" w:cs="Times New Roman"/>
          <w:sz w:val="24"/>
          <w:szCs w:val="24"/>
        </w:rPr>
        <w:t>. Why We Keep Doing Business with Doing-Business Jurisdiction. U. Chi. Legal F., 171.</w:t>
      </w:r>
    </w:p>
    <w:p w:rsidR="008C2B3F" w:rsidRPr="008C2B3F" w:rsidRDefault="00F879C6" w:rsidP="00F62D4C">
      <w:pPr>
        <w:widowControl w:val="0"/>
        <w:autoSpaceDE w:val="0"/>
        <w:autoSpaceDN w:val="0"/>
        <w:adjustRightInd w:val="0"/>
        <w:spacing w:after="120" w:line="240" w:lineRule="auto"/>
        <w:ind w:left="480" w:hanging="480"/>
        <w:jc w:val="both"/>
        <w:rPr>
          <w:rFonts w:ascii="Times New Roman" w:hAnsi="Times New Roman" w:cs="Times New Roman"/>
          <w:noProof/>
          <w:sz w:val="24"/>
        </w:rPr>
      </w:pPr>
      <w:r w:rsidRPr="008C2B3F">
        <w:rPr>
          <w:rFonts w:ascii="Times New Roman" w:hAnsi="Times New Roman" w:cs="Times New Roman"/>
          <w:noProof/>
          <w:sz w:val="24"/>
          <w:szCs w:val="24"/>
        </w:rPr>
        <w:t>YARDIMCIOĞLU, M. (2014</w:t>
      </w:r>
      <w:r w:rsidR="008C2B3F" w:rsidRPr="008C2B3F">
        <w:rPr>
          <w:rFonts w:ascii="Times New Roman" w:hAnsi="Times New Roman" w:cs="Times New Roman"/>
          <w:noProof/>
          <w:sz w:val="24"/>
          <w:szCs w:val="24"/>
        </w:rPr>
        <w:t xml:space="preserve">). Yükselen pi̇yasa ekonomi̇leri̇ ve i̇ş yapabi̇li̇rli̇k endeksi̇ karşilaştirmasi. </w:t>
      </w:r>
      <w:r w:rsidR="008C2B3F" w:rsidRPr="008C2B3F">
        <w:rPr>
          <w:rFonts w:ascii="Times New Roman" w:hAnsi="Times New Roman" w:cs="Times New Roman"/>
          <w:i/>
          <w:iCs/>
          <w:noProof/>
          <w:sz w:val="24"/>
          <w:szCs w:val="24"/>
        </w:rPr>
        <w:t>Kahramanmaraş Sütçü İmam Üniversitesi İktisadi ve İdari Bilimler Fakültesi Dergisi</w:t>
      </w:r>
      <w:r w:rsidR="008C2B3F" w:rsidRPr="008C2B3F">
        <w:rPr>
          <w:rFonts w:ascii="Times New Roman" w:hAnsi="Times New Roman" w:cs="Times New Roman"/>
          <w:noProof/>
          <w:sz w:val="24"/>
          <w:szCs w:val="24"/>
        </w:rPr>
        <w:t xml:space="preserve">, </w:t>
      </w:r>
      <w:r w:rsidR="008C2B3F" w:rsidRPr="008C2B3F">
        <w:rPr>
          <w:rFonts w:ascii="Times New Roman" w:hAnsi="Times New Roman" w:cs="Times New Roman"/>
          <w:i/>
          <w:iCs/>
          <w:noProof/>
          <w:sz w:val="24"/>
          <w:szCs w:val="24"/>
        </w:rPr>
        <w:t>4</w:t>
      </w:r>
      <w:r w:rsidR="008C2B3F" w:rsidRPr="008C2B3F">
        <w:rPr>
          <w:rFonts w:ascii="Times New Roman" w:hAnsi="Times New Roman" w:cs="Times New Roman"/>
          <w:noProof/>
          <w:sz w:val="24"/>
          <w:szCs w:val="24"/>
        </w:rPr>
        <w:t>(1), 279–294.</w:t>
      </w:r>
    </w:p>
    <w:p w:rsidR="00E8186B" w:rsidRDefault="008C2B3F" w:rsidP="00F62D4C">
      <w:pPr>
        <w:spacing w:after="12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fldChar w:fldCharType="end"/>
      </w:r>
    </w:p>
    <w:p w:rsidR="00E8186B" w:rsidRDefault="00E8186B" w:rsidP="000F0F23">
      <w:pPr>
        <w:spacing w:after="120" w:line="240" w:lineRule="auto"/>
        <w:ind w:left="709" w:hanging="709"/>
        <w:rPr>
          <w:rFonts w:ascii="Times New Roman" w:hAnsi="Times New Roman" w:cs="Times New Roman"/>
          <w:sz w:val="24"/>
          <w:szCs w:val="24"/>
        </w:rPr>
      </w:pPr>
    </w:p>
    <w:p w:rsidR="00E8186B" w:rsidRDefault="00E8186B" w:rsidP="000F0F23">
      <w:pPr>
        <w:spacing w:after="120" w:line="240" w:lineRule="auto"/>
        <w:ind w:left="709" w:hanging="709"/>
        <w:rPr>
          <w:rFonts w:ascii="Times New Roman" w:hAnsi="Times New Roman" w:cs="Times New Roman"/>
          <w:sz w:val="24"/>
          <w:szCs w:val="24"/>
        </w:rPr>
      </w:pPr>
    </w:p>
    <w:p w:rsidR="00E8186B" w:rsidRPr="003D01FA" w:rsidRDefault="00E8186B" w:rsidP="000F0F23">
      <w:pPr>
        <w:spacing w:after="120" w:line="240" w:lineRule="auto"/>
        <w:ind w:left="709" w:hanging="709"/>
        <w:rPr>
          <w:rFonts w:ascii="Times New Roman" w:hAnsi="Times New Roman" w:cs="Times New Roman"/>
          <w:sz w:val="24"/>
          <w:szCs w:val="24"/>
        </w:rPr>
      </w:pPr>
    </w:p>
    <w:sectPr w:rsidR="00E8186B" w:rsidRPr="003D01FA" w:rsidSect="007C6103">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56E6E"/>
    <w:multiLevelType w:val="multilevel"/>
    <w:tmpl w:val="7952A2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4E6524E"/>
    <w:multiLevelType w:val="multilevel"/>
    <w:tmpl w:val="7A4C4AC8"/>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3EA04D58"/>
    <w:multiLevelType w:val="multilevel"/>
    <w:tmpl w:val="CA6AF19E"/>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b/>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45547D77"/>
    <w:multiLevelType w:val="multilevel"/>
    <w:tmpl w:val="1100B41C"/>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A2D6C03"/>
    <w:multiLevelType w:val="multilevel"/>
    <w:tmpl w:val="EE0A91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5105D3B"/>
    <w:multiLevelType w:val="hybridMultilevel"/>
    <w:tmpl w:val="C8A043B2"/>
    <w:lvl w:ilvl="0" w:tplc="7A6023F6">
      <w:start w:val="1"/>
      <w:numFmt w:val="bullet"/>
      <w:lvlText w:val=""/>
      <w:lvlJc w:val="left"/>
      <w:pPr>
        <w:tabs>
          <w:tab w:val="num" w:pos="720"/>
        </w:tabs>
        <w:ind w:left="720" w:hanging="360"/>
      </w:pPr>
      <w:rPr>
        <w:rFonts w:ascii="Wingdings 2" w:hAnsi="Wingdings 2" w:hint="default"/>
      </w:rPr>
    </w:lvl>
    <w:lvl w:ilvl="1" w:tplc="0BA65784" w:tentative="1">
      <w:start w:val="1"/>
      <w:numFmt w:val="bullet"/>
      <w:lvlText w:val=""/>
      <w:lvlJc w:val="left"/>
      <w:pPr>
        <w:tabs>
          <w:tab w:val="num" w:pos="1440"/>
        </w:tabs>
        <w:ind w:left="1440" w:hanging="360"/>
      </w:pPr>
      <w:rPr>
        <w:rFonts w:ascii="Wingdings 2" w:hAnsi="Wingdings 2" w:hint="default"/>
      </w:rPr>
    </w:lvl>
    <w:lvl w:ilvl="2" w:tplc="B77CB3EA" w:tentative="1">
      <w:start w:val="1"/>
      <w:numFmt w:val="bullet"/>
      <w:lvlText w:val=""/>
      <w:lvlJc w:val="left"/>
      <w:pPr>
        <w:tabs>
          <w:tab w:val="num" w:pos="2160"/>
        </w:tabs>
        <w:ind w:left="2160" w:hanging="360"/>
      </w:pPr>
      <w:rPr>
        <w:rFonts w:ascii="Wingdings 2" w:hAnsi="Wingdings 2" w:hint="default"/>
      </w:rPr>
    </w:lvl>
    <w:lvl w:ilvl="3" w:tplc="B8E01A5E" w:tentative="1">
      <w:start w:val="1"/>
      <w:numFmt w:val="bullet"/>
      <w:lvlText w:val=""/>
      <w:lvlJc w:val="left"/>
      <w:pPr>
        <w:tabs>
          <w:tab w:val="num" w:pos="2880"/>
        </w:tabs>
        <w:ind w:left="2880" w:hanging="360"/>
      </w:pPr>
      <w:rPr>
        <w:rFonts w:ascii="Wingdings 2" w:hAnsi="Wingdings 2" w:hint="default"/>
      </w:rPr>
    </w:lvl>
    <w:lvl w:ilvl="4" w:tplc="C97AC302" w:tentative="1">
      <w:start w:val="1"/>
      <w:numFmt w:val="bullet"/>
      <w:lvlText w:val=""/>
      <w:lvlJc w:val="left"/>
      <w:pPr>
        <w:tabs>
          <w:tab w:val="num" w:pos="3600"/>
        </w:tabs>
        <w:ind w:left="3600" w:hanging="360"/>
      </w:pPr>
      <w:rPr>
        <w:rFonts w:ascii="Wingdings 2" w:hAnsi="Wingdings 2" w:hint="default"/>
      </w:rPr>
    </w:lvl>
    <w:lvl w:ilvl="5" w:tplc="C74E9CC6" w:tentative="1">
      <w:start w:val="1"/>
      <w:numFmt w:val="bullet"/>
      <w:lvlText w:val=""/>
      <w:lvlJc w:val="left"/>
      <w:pPr>
        <w:tabs>
          <w:tab w:val="num" w:pos="4320"/>
        </w:tabs>
        <w:ind w:left="4320" w:hanging="360"/>
      </w:pPr>
      <w:rPr>
        <w:rFonts w:ascii="Wingdings 2" w:hAnsi="Wingdings 2" w:hint="default"/>
      </w:rPr>
    </w:lvl>
    <w:lvl w:ilvl="6" w:tplc="E090850E" w:tentative="1">
      <w:start w:val="1"/>
      <w:numFmt w:val="bullet"/>
      <w:lvlText w:val=""/>
      <w:lvlJc w:val="left"/>
      <w:pPr>
        <w:tabs>
          <w:tab w:val="num" w:pos="5040"/>
        </w:tabs>
        <w:ind w:left="5040" w:hanging="360"/>
      </w:pPr>
      <w:rPr>
        <w:rFonts w:ascii="Wingdings 2" w:hAnsi="Wingdings 2" w:hint="default"/>
      </w:rPr>
    </w:lvl>
    <w:lvl w:ilvl="7" w:tplc="F91E8924" w:tentative="1">
      <w:start w:val="1"/>
      <w:numFmt w:val="bullet"/>
      <w:lvlText w:val=""/>
      <w:lvlJc w:val="left"/>
      <w:pPr>
        <w:tabs>
          <w:tab w:val="num" w:pos="5760"/>
        </w:tabs>
        <w:ind w:left="5760" w:hanging="360"/>
      </w:pPr>
      <w:rPr>
        <w:rFonts w:ascii="Wingdings 2" w:hAnsi="Wingdings 2" w:hint="default"/>
      </w:rPr>
    </w:lvl>
    <w:lvl w:ilvl="8" w:tplc="AA6EB8E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766A20DC"/>
    <w:multiLevelType w:val="multilevel"/>
    <w:tmpl w:val="822429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C0B023D"/>
    <w:multiLevelType w:val="hybridMultilevel"/>
    <w:tmpl w:val="968E42F0"/>
    <w:lvl w:ilvl="0" w:tplc="E1F40790">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7"/>
  </w:num>
  <w:num w:numId="3">
    <w:abstractNumId w:val="6"/>
  </w:num>
  <w:num w:numId="4">
    <w:abstractNumId w:val="4"/>
  </w:num>
  <w:num w:numId="5">
    <w:abstractNumId w:val="0"/>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28"/>
    <w:rsid w:val="00001BE0"/>
    <w:rsid w:val="00002DA6"/>
    <w:rsid w:val="00005E85"/>
    <w:rsid w:val="00006FD1"/>
    <w:rsid w:val="0001059C"/>
    <w:rsid w:val="000152DD"/>
    <w:rsid w:val="00017B8F"/>
    <w:rsid w:val="00020D70"/>
    <w:rsid w:val="0002276F"/>
    <w:rsid w:val="00022E86"/>
    <w:rsid w:val="000247C4"/>
    <w:rsid w:val="000249D5"/>
    <w:rsid w:val="00024CE6"/>
    <w:rsid w:val="00027EFE"/>
    <w:rsid w:val="00033BA6"/>
    <w:rsid w:val="00037FC7"/>
    <w:rsid w:val="0004591D"/>
    <w:rsid w:val="00046336"/>
    <w:rsid w:val="00046EDD"/>
    <w:rsid w:val="0005025C"/>
    <w:rsid w:val="00052CA2"/>
    <w:rsid w:val="000538B0"/>
    <w:rsid w:val="00055BDD"/>
    <w:rsid w:val="00056492"/>
    <w:rsid w:val="0006087B"/>
    <w:rsid w:val="000615F4"/>
    <w:rsid w:val="00064F57"/>
    <w:rsid w:val="00065013"/>
    <w:rsid w:val="000659D1"/>
    <w:rsid w:val="00073621"/>
    <w:rsid w:val="0007384F"/>
    <w:rsid w:val="00073FAD"/>
    <w:rsid w:val="000750A7"/>
    <w:rsid w:val="00080561"/>
    <w:rsid w:val="000821B1"/>
    <w:rsid w:val="0008643D"/>
    <w:rsid w:val="00086B79"/>
    <w:rsid w:val="00087830"/>
    <w:rsid w:val="00090EA0"/>
    <w:rsid w:val="00092206"/>
    <w:rsid w:val="0009274A"/>
    <w:rsid w:val="000947FA"/>
    <w:rsid w:val="000956FA"/>
    <w:rsid w:val="000963CF"/>
    <w:rsid w:val="000965F5"/>
    <w:rsid w:val="0009669F"/>
    <w:rsid w:val="00097FA3"/>
    <w:rsid w:val="000A1D8E"/>
    <w:rsid w:val="000A2F6B"/>
    <w:rsid w:val="000A3F8E"/>
    <w:rsid w:val="000A5580"/>
    <w:rsid w:val="000A76D7"/>
    <w:rsid w:val="000C3EE2"/>
    <w:rsid w:val="000C4604"/>
    <w:rsid w:val="000C53CC"/>
    <w:rsid w:val="000C7C8E"/>
    <w:rsid w:val="000D0158"/>
    <w:rsid w:val="000D05A6"/>
    <w:rsid w:val="000D6B79"/>
    <w:rsid w:val="000D6ED4"/>
    <w:rsid w:val="000E1AD5"/>
    <w:rsid w:val="000F0F23"/>
    <w:rsid w:val="000F17C2"/>
    <w:rsid w:val="000F197E"/>
    <w:rsid w:val="000F7AF8"/>
    <w:rsid w:val="001031DA"/>
    <w:rsid w:val="00103F2B"/>
    <w:rsid w:val="0010477A"/>
    <w:rsid w:val="0011133F"/>
    <w:rsid w:val="00112147"/>
    <w:rsid w:val="00112EAB"/>
    <w:rsid w:val="00113665"/>
    <w:rsid w:val="00120EEB"/>
    <w:rsid w:val="00122A03"/>
    <w:rsid w:val="00124A19"/>
    <w:rsid w:val="00126675"/>
    <w:rsid w:val="0012724E"/>
    <w:rsid w:val="001307F0"/>
    <w:rsid w:val="00130CCB"/>
    <w:rsid w:val="00130CD8"/>
    <w:rsid w:val="00133F9A"/>
    <w:rsid w:val="001345B4"/>
    <w:rsid w:val="00136D48"/>
    <w:rsid w:val="00136FBA"/>
    <w:rsid w:val="00142BE6"/>
    <w:rsid w:val="00151E40"/>
    <w:rsid w:val="00152901"/>
    <w:rsid w:val="00164D1A"/>
    <w:rsid w:val="00165C07"/>
    <w:rsid w:val="00170F1E"/>
    <w:rsid w:val="00171AE8"/>
    <w:rsid w:val="00177416"/>
    <w:rsid w:val="001836F0"/>
    <w:rsid w:val="00186663"/>
    <w:rsid w:val="0019356C"/>
    <w:rsid w:val="001954F3"/>
    <w:rsid w:val="001963F6"/>
    <w:rsid w:val="001A2565"/>
    <w:rsid w:val="001A2BBC"/>
    <w:rsid w:val="001A57B7"/>
    <w:rsid w:val="001B3E2A"/>
    <w:rsid w:val="001C3554"/>
    <w:rsid w:val="001C43D9"/>
    <w:rsid w:val="001D423E"/>
    <w:rsid w:val="001D478C"/>
    <w:rsid w:val="001D553A"/>
    <w:rsid w:val="001E235A"/>
    <w:rsid w:val="001E26F8"/>
    <w:rsid w:val="001E3E2E"/>
    <w:rsid w:val="001E7323"/>
    <w:rsid w:val="001E75F8"/>
    <w:rsid w:val="001F10C1"/>
    <w:rsid w:val="001F2A1F"/>
    <w:rsid w:val="001F43E4"/>
    <w:rsid w:val="001F4593"/>
    <w:rsid w:val="00200228"/>
    <w:rsid w:val="00202545"/>
    <w:rsid w:val="002069EC"/>
    <w:rsid w:val="00206ECE"/>
    <w:rsid w:val="00207A0F"/>
    <w:rsid w:val="00210EBC"/>
    <w:rsid w:val="00216802"/>
    <w:rsid w:val="002211A9"/>
    <w:rsid w:val="00221970"/>
    <w:rsid w:val="00226EAF"/>
    <w:rsid w:val="00227C88"/>
    <w:rsid w:val="0023084C"/>
    <w:rsid w:val="002338F4"/>
    <w:rsid w:val="00237B96"/>
    <w:rsid w:val="00242B97"/>
    <w:rsid w:val="002500F5"/>
    <w:rsid w:val="00251789"/>
    <w:rsid w:val="00251AE3"/>
    <w:rsid w:val="00265B25"/>
    <w:rsid w:val="002712CB"/>
    <w:rsid w:val="0027357B"/>
    <w:rsid w:val="0027771D"/>
    <w:rsid w:val="00285C69"/>
    <w:rsid w:val="00286824"/>
    <w:rsid w:val="00287441"/>
    <w:rsid w:val="00287EC4"/>
    <w:rsid w:val="00287FD2"/>
    <w:rsid w:val="00290F14"/>
    <w:rsid w:val="00291CE3"/>
    <w:rsid w:val="00297545"/>
    <w:rsid w:val="002A15DE"/>
    <w:rsid w:val="002A5662"/>
    <w:rsid w:val="002A61E7"/>
    <w:rsid w:val="002B1D8B"/>
    <w:rsid w:val="002B2FD7"/>
    <w:rsid w:val="002D5D77"/>
    <w:rsid w:val="002E1F48"/>
    <w:rsid w:val="002E3159"/>
    <w:rsid w:val="002E32CA"/>
    <w:rsid w:val="002E5084"/>
    <w:rsid w:val="002E6C96"/>
    <w:rsid w:val="002E7735"/>
    <w:rsid w:val="002E7C2A"/>
    <w:rsid w:val="002F110C"/>
    <w:rsid w:val="002F32DC"/>
    <w:rsid w:val="00300C6A"/>
    <w:rsid w:val="00306A5C"/>
    <w:rsid w:val="003111E0"/>
    <w:rsid w:val="0031151E"/>
    <w:rsid w:val="00312891"/>
    <w:rsid w:val="00315C89"/>
    <w:rsid w:val="00317688"/>
    <w:rsid w:val="003232A3"/>
    <w:rsid w:val="00323C68"/>
    <w:rsid w:val="0033126C"/>
    <w:rsid w:val="0033336A"/>
    <w:rsid w:val="0033359E"/>
    <w:rsid w:val="0033447B"/>
    <w:rsid w:val="003348C4"/>
    <w:rsid w:val="003448E4"/>
    <w:rsid w:val="00345D54"/>
    <w:rsid w:val="003474C3"/>
    <w:rsid w:val="00352863"/>
    <w:rsid w:val="00353C00"/>
    <w:rsid w:val="00354806"/>
    <w:rsid w:val="00355690"/>
    <w:rsid w:val="00356B08"/>
    <w:rsid w:val="0036153B"/>
    <w:rsid w:val="0037185F"/>
    <w:rsid w:val="003811E9"/>
    <w:rsid w:val="0038514F"/>
    <w:rsid w:val="00385F6D"/>
    <w:rsid w:val="00386B6C"/>
    <w:rsid w:val="00387D82"/>
    <w:rsid w:val="00391615"/>
    <w:rsid w:val="00392640"/>
    <w:rsid w:val="003A660B"/>
    <w:rsid w:val="003B1C84"/>
    <w:rsid w:val="003B3CF2"/>
    <w:rsid w:val="003C18F7"/>
    <w:rsid w:val="003C4122"/>
    <w:rsid w:val="003D01FA"/>
    <w:rsid w:val="003D1C97"/>
    <w:rsid w:val="003D49A4"/>
    <w:rsid w:val="003D5394"/>
    <w:rsid w:val="003D5BBA"/>
    <w:rsid w:val="003E0C72"/>
    <w:rsid w:val="003E1241"/>
    <w:rsid w:val="003F6B24"/>
    <w:rsid w:val="003F742C"/>
    <w:rsid w:val="00402602"/>
    <w:rsid w:val="00406B16"/>
    <w:rsid w:val="00411BD2"/>
    <w:rsid w:val="0041363F"/>
    <w:rsid w:val="004149B5"/>
    <w:rsid w:val="00420112"/>
    <w:rsid w:val="00420355"/>
    <w:rsid w:val="00421883"/>
    <w:rsid w:val="004218D4"/>
    <w:rsid w:val="0042532B"/>
    <w:rsid w:val="00430BBF"/>
    <w:rsid w:val="0043218D"/>
    <w:rsid w:val="00434571"/>
    <w:rsid w:val="00437DFE"/>
    <w:rsid w:val="00440AA6"/>
    <w:rsid w:val="0044284E"/>
    <w:rsid w:val="00443229"/>
    <w:rsid w:val="00443F2F"/>
    <w:rsid w:val="00446425"/>
    <w:rsid w:val="00447E6A"/>
    <w:rsid w:val="00455222"/>
    <w:rsid w:val="00456643"/>
    <w:rsid w:val="00461B02"/>
    <w:rsid w:val="004627A0"/>
    <w:rsid w:val="00462E42"/>
    <w:rsid w:val="00463FB7"/>
    <w:rsid w:val="00465385"/>
    <w:rsid w:val="0047147F"/>
    <w:rsid w:val="00472F55"/>
    <w:rsid w:val="00481FE0"/>
    <w:rsid w:val="00482E35"/>
    <w:rsid w:val="00482E4A"/>
    <w:rsid w:val="0048497C"/>
    <w:rsid w:val="004861C0"/>
    <w:rsid w:val="00487233"/>
    <w:rsid w:val="004930D3"/>
    <w:rsid w:val="00493798"/>
    <w:rsid w:val="004938BC"/>
    <w:rsid w:val="004962F7"/>
    <w:rsid w:val="004A2481"/>
    <w:rsid w:val="004A4A30"/>
    <w:rsid w:val="004A7C35"/>
    <w:rsid w:val="004B035B"/>
    <w:rsid w:val="004B04F2"/>
    <w:rsid w:val="004B109E"/>
    <w:rsid w:val="004B2161"/>
    <w:rsid w:val="004B4229"/>
    <w:rsid w:val="004B501F"/>
    <w:rsid w:val="004B66AA"/>
    <w:rsid w:val="004C2660"/>
    <w:rsid w:val="004C77CE"/>
    <w:rsid w:val="004D5903"/>
    <w:rsid w:val="004D6833"/>
    <w:rsid w:val="004D74D8"/>
    <w:rsid w:val="004D7DC5"/>
    <w:rsid w:val="004E1CAC"/>
    <w:rsid w:val="004E5B05"/>
    <w:rsid w:val="004F604A"/>
    <w:rsid w:val="004F6421"/>
    <w:rsid w:val="004F693D"/>
    <w:rsid w:val="00501454"/>
    <w:rsid w:val="0050276D"/>
    <w:rsid w:val="00503885"/>
    <w:rsid w:val="005054E3"/>
    <w:rsid w:val="005073AF"/>
    <w:rsid w:val="00510EAE"/>
    <w:rsid w:val="0051725D"/>
    <w:rsid w:val="00517728"/>
    <w:rsid w:val="00524C55"/>
    <w:rsid w:val="00525881"/>
    <w:rsid w:val="00526B69"/>
    <w:rsid w:val="00527161"/>
    <w:rsid w:val="00530A7A"/>
    <w:rsid w:val="00533104"/>
    <w:rsid w:val="0053495F"/>
    <w:rsid w:val="00536B07"/>
    <w:rsid w:val="0053778E"/>
    <w:rsid w:val="00537D7F"/>
    <w:rsid w:val="00544424"/>
    <w:rsid w:val="005444A0"/>
    <w:rsid w:val="005448D1"/>
    <w:rsid w:val="00544E6B"/>
    <w:rsid w:val="00545F35"/>
    <w:rsid w:val="005505C6"/>
    <w:rsid w:val="00551CB3"/>
    <w:rsid w:val="00554C9B"/>
    <w:rsid w:val="00561F30"/>
    <w:rsid w:val="00567E14"/>
    <w:rsid w:val="00570B98"/>
    <w:rsid w:val="00576AB5"/>
    <w:rsid w:val="00584F0A"/>
    <w:rsid w:val="00586324"/>
    <w:rsid w:val="00591A0C"/>
    <w:rsid w:val="00593EB8"/>
    <w:rsid w:val="005941C0"/>
    <w:rsid w:val="00596DD4"/>
    <w:rsid w:val="005A0163"/>
    <w:rsid w:val="005A23A3"/>
    <w:rsid w:val="005A3C7F"/>
    <w:rsid w:val="005A5F0E"/>
    <w:rsid w:val="005B1F59"/>
    <w:rsid w:val="005B6284"/>
    <w:rsid w:val="005B7187"/>
    <w:rsid w:val="005C0BED"/>
    <w:rsid w:val="005C5218"/>
    <w:rsid w:val="005C77B9"/>
    <w:rsid w:val="005D1C7A"/>
    <w:rsid w:val="005D1FB7"/>
    <w:rsid w:val="005D7307"/>
    <w:rsid w:val="005E0433"/>
    <w:rsid w:val="005F0D4B"/>
    <w:rsid w:val="005F47A9"/>
    <w:rsid w:val="005F4EBB"/>
    <w:rsid w:val="00601003"/>
    <w:rsid w:val="0060505F"/>
    <w:rsid w:val="0061112B"/>
    <w:rsid w:val="00611F60"/>
    <w:rsid w:val="00616678"/>
    <w:rsid w:val="00621740"/>
    <w:rsid w:val="006226DA"/>
    <w:rsid w:val="00624B0F"/>
    <w:rsid w:val="0063602E"/>
    <w:rsid w:val="006372BF"/>
    <w:rsid w:val="006434C4"/>
    <w:rsid w:val="00643AF1"/>
    <w:rsid w:val="00645D32"/>
    <w:rsid w:val="00645F7B"/>
    <w:rsid w:val="0064600D"/>
    <w:rsid w:val="00651BB5"/>
    <w:rsid w:val="006559DC"/>
    <w:rsid w:val="006561F1"/>
    <w:rsid w:val="00664072"/>
    <w:rsid w:val="006644E2"/>
    <w:rsid w:val="00670158"/>
    <w:rsid w:val="00670A9D"/>
    <w:rsid w:val="00677EB9"/>
    <w:rsid w:val="006810D4"/>
    <w:rsid w:val="00681735"/>
    <w:rsid w:val="006863D5"/>
    <w:rsid w:val="00691D47"/>
    <w:rsid w:val="0069469C"/>
    <w:rsid w:val="006A2D25"/>
    <w:rsid w:val="006A53B9"/>
    <w:rsid w:val="006A5614"/>
    <w:rsid w:val="006B07C4"/>
    <w:rsid w:val="006B62F4"/>
    <w:rsid w:val="006B6A17"/>
    <w:rsid w:val="006B6D93"/>
    <w:rsid w:val="006C2BEE"/>
    <w:rsid w:val="006C504F"/>
    <w:rsid w:val="006C5CC3"/>
    <w:rsid w:val="006D03AD"/>
    <w:rsid w:val="006D0A94"/>
    <w:rsid w:val="006D47E3"/>
    <w:rsid w:val="006D4E6B"/>
    <w:rsid w:val="006E09AC"/>
    <w:rsid w:val="006E1F05"/>
    <w:rsid w:val="006E2825"/>
    <w:rsid w:val="006E53E6"/>
    <w:rsid w:val="006E713A"/>
    <w:rsid w:val="006F47C7"/>
    <w:rsid w:val="006F643D"/>
    <w:rsid w:val="007011E2"/>
    <w:rsid w:val="0070734A"/>
    <w:rsid w:val="00724465"/>
    <w:rsid w:val="00725729"/>
    <w:rsid w:val="00733942"/>
    <w:rsid w:val="00740944"/>
    <w:rsid w:val="00741155"/>
    <w:rsid w:val="007415F0"/>
    <w:rsid w:val="00741DA8"/>
    <w:rsid w:val="0074482C"/>
    <w:rsid w:val="00751A50"/>
    <w:rsid w:val="0076003F"/>
    <w:rsid w:val="00760A13"/>
    <w:rsid w:val="00761AF9"/>
    <w:rsid w:val="0076572D"/>
    <w:rsid w:val="007667E3"/>
    <w:rsid w:val="00776387"/>
    <w:rsid w:val="007778D7"/>
    <w:rsid w:val="007807C5"/>
    <w:rsid w:val="007925C2"/>
    <w:rsid w:val="00793736"/>
    <w:rsid w:val="0079528A"/>
    <w:rsid w:val="007957FF"/>
    <w:rsid w:val="007A38CA"/>
    <w:rsid w:val="007A5283"/>
    <w:rsid w:val="007A77FE"/>
    <w:rsid w:val="007B1C3F"/>
    <w:rsid w:val="007B2364"/>
    <w:rsid w:val="007B2D9E"/>
    <w:rsid w:val="007B32C8"/>
    <w:rsid w:val="007B5334"/>
    <w:rsid w:val="007B5406"/>
    <w:rsid w:val="007B56C8"/>
    <w:rsid w:val="007B7B6A"/>
    <w:rsid w:val="007C4075"/>
    <w:rsid w:val="007C53A4"/>
    <w:rsid w:val="007C6103"/>
    <w:rsid w:val="007C6487"/>
    <w:rsid w:val="007C797C"/>
    <w:rsid w:val="007C7BF1"/>
    <w:rsid w:val="007D1ECF"/>
    <w:rsid w:val="007D1FEF"/>
    <w:rsid w:val="007D4E29"/>
    <w:rsid w:val="007D6077"/>
    <w:rsid w:val="007D631A"/>
    <w:rsid w:val="007E2276"/>
    <w:rsid w:val="007F0598"/>
    <w:rsid w:val="007F1E22"/>
    <w:rsid w:val="00810D17"/>
    <w:rsid w:val="00822D8F"/>
    <w:rsid w:val="008238AB"/>
    <w:rsid w:val="00833511"/>
    <w:rsid w:val="00835A3F"/>
    <w:rsid w:val="00841DF6"/>
    <w:rsid w:val="00844148"/>
    <w:rsid w:val="008458C3"/>
    <w:rsid w:val="008460CF"/>
    <w:rsid w:val="00852F75"/>
    <w:rsid w:val="00862B62"/>
    <w:rsid w:val="008639F1"/>
    <w:rsid w:val="00864FD7"/>
    <w:rsid w:val="00866687"/>
    <w:rsid w:val="00872E6B"/>
    <w:rsid w:val="00872F6E"/>
    <w:rsid w:val="00873B9F"/>
    <w:rsid w:val="00877EF6"/>
    <w:rsid w:val="008807FB"/>
    <w:rsid w:val="008822C1"/>
    <w:rsid w:val="00893326"/>
    <w:rsid w:val="00893C87"/>
    <w:rsid w:val="00895732"/>
    <w:rsid w:val="008A0FE7"/>
    <w:rsid w:val="008A10E8"/>
    <w:rsid w:val="008A15C4"/>
    <w:rsid w:val="008A5FA1"/>
    <w:rsid w:val="008A7118"/>
    <w:rsid w:val="008A7474"/>
    <w:rsid w:val="008B15BD"/>
    <w:rsid w:val="008B2E98"/>
    <w:rsid w:val="008C0B52"/>
    <w:rsid w:val="008C129C"/>
    <w:rsid w:val="008C2432"/>
    <w:rsid w:val="008C2B3F"/>
    <w:rsid w:val="008C4D46"/>
    <w:rsid w:val="008C6674"/>
    <w:rsid w:val="008D2924"/>
    <w:rsid w:val="008D6A8F"/>
    <w:rsid w:val="008E10D4"/>
    <w:rsid w:val="008E139B"/>
    <w:rsid w:val="008E3557"/>
    <w:rsid w:val="008E7892"/>
    <w:rsid w:val="008F130F"/>
    <w:rsid w:val="008F2F21"/>
    <w:rsid w:val="008F689A"/>
    <w:rsid w:val="008F7D41"/>
    <w:rsid w:val="00904841"/>
    <w:rsid w:val="0090566B"/>
    <w:rsid w:val="0090649D"/>
    <w:rsid w:val="00906A89"/>
    <w:rsid w:val="00907499"/>
    <w:rsid w:val="009100E6"/>
    <w:rsid w:val="00910F67"/>
    <w:rsid w:val="009156B6"/>
    <w:rsid w:val="00916C4A"/>
    <w:rsid w:val="00917183"/>
    <w:rsid w:val="0091739E"/>
    <w:rsid w:val="00917827"/>
    <w:rsid w:val="00917865"/>
    <w:rsid w:val="0092210A"/>
    <w:rsid w:val="00924CB5"/>
    <w:rsid w:val="00930EB7"/>
    <w:rsid w:val="0093109B"/>
    <w:rsid w:val="00937E02"/>
    <w:rsid w:val="00941FC7"/>
    <w:rsid w:val="00944019"/>
    <w:rsid w:val="00945FBF"/>
    <w:rsid w:val="00946298"/>
    <w:rsid w:val="00957002"/>
    <w:rsid w:val="00957B82"/>
    <w:rsid w:val="00962062"/>
    <w:rsid w:val="00963D23"/>
    <w:rsid w:val="0096595F"/>
    <w:rsid w:val="00971D75"/>
    <w:rsid w:val="00972E82"/>
    <w:rsid w:val="00973568"/>
    <w:rsid w:val="009738CE"/>
    <w:rsid w:val="00975341"/>
    <w:rsid w:val="009813C4"/>
    <w:rsid w:val="0098245D"/>
    <w:rsid w:val="00982E73"/>
    <w:rsid w:val="009870D0"/>
    <w:rsid w:val="0099038B"/>
    <w:rsid w:val="0099685C"/>
    <w:rsid w:val="009A03E8"/>
    <w:rsid w:val="009A0671"/>
    <w:rsid w:val="009A3D4A"/>
    <w:rsid w:val="009B016A"/>
    <w:rsid w:val="009B17A1"/>
    <w:rsid w:val="009B3638"/>
    <w:rsid w:val="009B3B56"/>
    <w:rsid w:val="009B7C7D"/>
    <w:rsid w:val="009C0AC0"/>
    <w:rsid w:val="009C7A87"/>
    <w:rsid w:val="009C7B6D"/>
    <w:rsid w:val="009D1B24"/>
    <w:rsid w:val="009D3FB1"/>
    <w:rsid w:val="009E2E8B"/>
    <w:rsid w:val="009F22BB"/>
    <w:rsid w:val="009F23F6"/>
    <w:rsid w:val="009F33C8"/>
    <w:rsid w:val="009F69B9"/>
    <w:rsid w:val="00A02B25"/>
    <w:rsid w:val="00A055B7"/>
    <w:rsid w:val="00A06672"/>
    <w:rsid w:val="00A1035E"/>
    <w:rsid w:val="00A122AC"/>
    <w:rsid w:val="00A145A1"/>
    <w:rsid w:val="00A15E24"/>
    <w:rsid w:val="00A17172"/>
    <w:rsid w:val="00A21187"/>
    <w:rsid w:val="00A226F9"/>
    <w:rsid w:val="00A234E6"/>
    <w:rsid w:val="00A24BD6"/>
    <w:rsid w:val="00A270F9"/>
    <w:rsid w:val="00A30841"/>
    <w:rsid w:val="00A403F2"/>
    <w:rsid w:val="00A4291C"/>
    <w:rsid w:val="00A42E1F"/>
    <w:rsid w:val="00A476DC"/>
    <w:rsid w:val="00A47EB2"/>
    <w:rsid w:val="00A508CF"/>
    <w:rsid w:val="00A518B4"/>
    <w:rsid w:val="00A52292"/>
    <w:rsid w:val="00A54E41"/>
    <w:rsid w:val="00A63DD9"/>
    <w:rsid w:val="00A647C4"/>
    <w:rsid w:val="00A75BC5"/>
    <w:rsid w:val="00A8432E"/>
    <w:rsid w:val="00A84490"/>
    <w:rsid w:val="00A91D0A"/>
    <w:rsid w:val="00A928B6"/>
    <w:rsid w:val="00A949F2"/>
    <w:rsid w:val="00AA1A04"/>
    <w:rsid w:val="00AA2A08"/>
    <w:rsid w:val="00AA3CCD"/>
    <w:rsid w:val="00AA564F"/>
    <w:rsid w:val="00AA5EF1"/>
    <w:rsid w:val="00AB2D63"/>
    <w:rsid w:val="00AB2E8E"/>
    <w:rsid w:val="00AB3B11"/>
    <w:rsid w:val="00AB75AE"/>
    <w:rsid w:val="00AC2A30"/>
    <w:rsid w:val="00AC51EA"/>
    <w:rsid w:val="00AC623E"/>
    <w:rsid w:val="00AC651E"/>
    <w:rsid w:val="00AD5450"/>
    <w:rsid w:val="00AD6860"/>
    <w:rsid w:val="00AD6984"/>
    <w:rsid w:val="00AE2148"/>
    <w:rsid w:val="00AE23C5"/>
    <w:rsid w:val="00AE3773"/>
    <w:rsid w:val="00AF0E9C"/>
    <w:rsid w:val="00AF1C04"/>
    <w:rsid w:val="00AF3DFC"/>
    <w:rsid w:val="00AF4958"/>
    <w:rsid w:val="00AF572A"/>
    <w:rsid w:val="00AF5F9E"/>
    <w:rsid w:val="00AF6F02"/>
    <w:rsid w:val="00AF774F"/>
    <w:rsid w:val="00B004B0"/>
    <w:rsid w:val="00B03F3B"/>
    <w:rsid w:val="00B11937"/>
    <w:rsid w:val="00B145B8"/>
    <w:rsid w:val="00B14F5C"/>
    <w:rsid w:val="00B23BAF"/>
    <w:rsid w:val="00B270D6"/>
    <w:rsid w:val="00B30F09"/>
    <w:rsid w:val="00B41132"/>
    <w:rsid w:val="00B46CE8"/>
    <w:rsid w:val="00B50308"/>
    <w:rsid w:val="00B52673"/>
    <w:rsid w:val="00B564AF"/>
    <w:rsid w:val="00B630C5"/>
    <w:rsid w:val="00B635DA"/>
    <w:rsid w:val="00B63797"/>
    <w:rsid w:val="00B6515A"/>
    <w:rsid w:val="00B6608D"/>
    <w:rsid w:val="00B666F1"/>
    <w:rsid w:val="00B73234"/>
    <w:rsid w:val="00B76B72"/>
    <w:rsid w:val="00B8003F"/>
    <w:rsid w:val="00B820C1"/>
    <w:rsid w:val="00B84EFC"/>
    <w:rsid w:val="00B85874"/>
    <w:rsid w:val="00B8668B"/>
    <w:rsid w:val="00B86ED7"/>
    <w:rsid w:val="00B946D7"/>
    <w:rsid w:val="00BA064F"/>
    <w:rsid w:val="00BA1ED1"/>
    <w:rsid w:val="00BA3135"/>
    <w:rsid w:val="00BA32A5"/>
    <w:rsid w:val="00BA60BF"/>
    <w:rsid w:val="00BB31D5"/>
    <w:rsid w:val="00BC557D"/>
    <w:rsid w:val="00BD02BA"/>
    <w:rsid w:val="00BD18E1"/>
    <w:rsid w:val="00BD2984"/>
    <w:rsid w:val="00BD3DFF"/>
    <w:rsid w:val="00BD6B48"/>
    <w:rsid w:val="00BE3286"/>
    <w:rsid w:val="00BE4C73"/>
    <w:rsid w:val="00BE6364"/>
    <w:rsid w:val="00BE6C30"/>
    <w:rsid w:val="00BF3BF3"/>
    <w:rsid w:val="00BF5800"/>
    <w:rsid w:val="00C01C24"/>
    <w:rsid w:val="00C033CF"/>
    <w:rsid w:val="00C0361C"/>
    <w:rsid w:val="00C0583D"/>
    <w:rsid w:val="00C060C7"/>
    <w:rsid w:val="00C0680E"/>
    <w:rsid w:val="00C20BC0"/>
    <w:rsid w:val="00C25744"/>
    <w:rsid w:val="00C25C1D"/>
    <w:rsid w:val="00C27654"/>
    <w:rsid w:val="00C32EBC"/>
    <w:rsid w:val="00C43F40"/>
    <w:rsid w:val="00C572F6"/>
    <w:rsid w:val="00C616F9"/>
    <w:rsid w:val="00C6587E"/>
    <w:rsid w:val="00C65DB9"/>
    <w:rsid w:val="00C66150"/>
    <w:rsid w:val="00C66D33"/>
    <w:rsid w:val="00C73516"/>
    <w:rsid w:val="00CA2133"/>
    <w:rsid w:val="00CA2BE0"/>
    <w:rsid w:val="00CB414B"/>
    <w:rsid w:val="00CB5039"/>
    <w:rsid w:val="00CB5233"/>
    <w:rsid w:val="00CC07A3"/>
    <w:rsid w:val="00CC1082"/>
    <w:rsid w:val="00CD130A"/>
    <w:rsid w:val="00CD5E5A"/>
    <w:rsid w:val="00CD6743"/>
    <w:rsid w:val="00CD6BC1"/>
    <w:rsid w:val="00CE21EF"/>
    <w:rsid w:val="00CE50C8"/>
    <w:rsid w:val="00CF11E2"/>
    <w:rsid w:val="00CF2CBF"/>
    <w:rsid w:val="00CF624B"/>
    <w:rsid w:val="00D01E42"/>
    <w:rsid w:val="00D037A7"/>
    <w:rsid w:val="00D0739B"/>
    <w:rsid w:val="00D12168"/>
    <w:rsid w:val="00D148F9"/>
    <w:rsid w:val="00D16AFD"/>
    <w:rsid w:val="00D1719B"/>
    <w:rsid w:val="00D21637"/>
    <w:rsid w:val="00D21B15"/>
    <w:rsid w:val="00D24074"/>
    <w:rsid w:val="00D32D26"/>
    <w:rsid w:val="00D33EB4"/>
    <w:rsid w:val="00D3540F"/>
    <w:rsid w:val="00D3765D"/>
    <w:rsid w:val="00D379F9"/>
    <w:rsid w:val="00D44D8C"/>
    <w:rsid w:val="00D505B5"/>
    <w:rsid w:val="00D513B0"/>
    <w:rsid w:val="00D557F3"/>
    <w:rsid w:val="00D63761"/>
    <w:rsid w:val="00D649CA"/>
    <w:rsid w:val="00D6500B"/>
    <w:rsid w:val="00D67609"/>
    <w:rsid w:val="00D7183C"/>
    <w:rsid w:val="00D7489C"/>
    <w:rsid w:val="00D7678B"/>
    <w:rsid w:val="00D80D85"/>
    <w:rsid w:val="00D83EB4"/>
    <w:rsid w:val="00D86B49"/>
    <w:rsid w:val="00D87105"/>
    <w:rsid w:val="00D9026A"/>
    <w:rsid w:val="00D9026F"/>
    <w:rsid w:val="00D92618"/>
    <w:rsid w:val="00DA096F"/>
    <w:rsid w:val="00DA5EE0"/>
    <w:rsid w:val="00DA6ACD"/>
    <w:rsid w:val="00DA766E"/>
    <w:rsid w:val="00DB05B2"/>
    <w:rsid w:val="00DB3589"/>
    <w:rsid w:val="00DB4C30"/>
    <w:rsid w:val="00DB736D"/>
    <w:rsid w:val="00DC1E81"/>
    <w:rsid w:val="00DC41A3"/>
    <w:rsid w:val="00DC4767"/>
    <w:rsid w:val="00DC66EC"/>
    <w:rsid w:val="00DD2E90"/>
    <w:rsid w:val="00DD5372"/>
    <w:rsid w:val="00DD5EEF"/>
    <w:rsid w:val="00DD7704"/>
    <w:rsid w:val="00DE3D3F"/>
    <w:rsid w:val="00DE5A35"/>
    <w:rsid w:val="00DF032D"/>
    <w:rsid w:val="00DF1A81"/>
    <w:rsid w:val="00DF1CCB"/>
    <w:rsid w:val="00DF528C"/>
    <w:rsid w:val="00DF7DF5"/>
    <w:rsid w:val="00E0157E"/>
    <w:rsid w:val="00E0167D"/>
    <w:rsid w:val="00E027BD"/>
    <w:rsid w:val="00E06D39"/>
    <w:rsid w:val="00E07BB4"/>
    <w:rsid w:val="00E24A48"/>
    <w:rsid w:val="00E3091A"/>
    <w:rsid w:val="00E33D92"/>
    <w:rsid w:val="00E3708F"/>
    <w:rsid w:val="00E42AC1"/>
    <w:rsid w:val="00E50A06"/>
    <w:rsid w:val="00E50D7C"/>
    <w:rsid w:val="00E50E35"/>
    <w:rsid w:val="00E52808"/>
    <w:rsid w:val="00E54A79"/>
    <w:rsid w:val="00E564D0"/>
    <w:rsid w:val="00E567F3"/>
    <w:rsid w:val="00E65238"/>
    <w:rsid w:val="00E654E8"/>
    <w:rsid w:val="00E667F3"/>
    <w:rsid w:val="00E66CAF"/>
    <w:rsid w:val="00E67F2F"/>
    <w:rsid w:val="00E7044D"/>
    <w:rsid w:val="00E71259"/>
    <w:rsid w:val="00E761B5"/>
    <w:rsid w:val="00E8186B"/>
    <w:rsid w:val="00E818BB"/>
    <w:rsid w:val="00E82ADF"/>
    <w:rsid w:val="00E843DC"/>
    <w:rsid w:val="00E8555A"/>
    <w:rsid w:val="00E92A29"/>
    <w:rsid w:val="00E93ADF"/>
    <w:rsid w:val="00E97FD3"/>
    <w:rsid w:val="00EA02C7"/>
    <w:rsid w:val="00EA1765"/>
    <w:rsid w:val="00EA18DB"/>
    <w:rsid w:val="00EA4B14"/>
    <w:rsid w:val="00EA68B6"/>
    <w:rsid w:val="00EB301F"/>
    <w:rsid w:val="00EB3B40"/>
    <w:rsid w:val="00EC06EE"/>
    <w:rsid w:val="00EC2C69"/>
    <w:rsid w:val="00ED2232"/>
    <w:rsid w:val="00ED3EBC"/>
    <w:rsid w:val="00ED47FA"/>
    <w:rsid w:val="00ED587B"/>
    <w:rsid w:val="00EE26B0"/>
    <w:rsid w:val="00EE5895"/>
    <w:rsid w:val="00EF0A57"/>
    <w:rsid w:val="00EF0F88"/>
    <w:rsid w:val="00EF342B"/>
    <w:rsid w:val="00EF4844"/>
    <w:rsid w:val="00EF5C73"/>
    <w:rsid w:val="00EF799C"/>
    <w:rsid w:val="00F03556"/>
    <w:rsid w:val="00F05097"/>
    <w:rsid w:val="00F107F0"/>
    <w:rsid w:val="00F1117A"/>
    <w:rsid w:val="00F13DC3"/>
    <w:rsid w:val="00F14E56"/>
    <w:rsid w:val="00F16FC3"/>
    <w:rsid w:val="00F23F2A"/>
    <w:rsid w:val="00F251AA"/>
    <w:rsid w:val="00F25219"/>
    <w:rsid w:val="00F25331"/>
    <w:rsid w:val="00F260DC"/>
    <w:rsid w:val="00F27ED4"/>
    <w:rsid w:val="00F304F2"/>
    <w:rsid w:val="00F32840"/>
    <w:rsid w:val="00F329D5"/>
    <w:rsid w:val="00F370FA"/>
    <w:rsid w:val="00F469D3"/>
    <w:rsid w:val="00F51203"/>
    <w:rsid w:val="00F524EA"/>
    <w:rsid w:val="00F62D4C"/>
    <w:rsid w:val="00F63CE6"/>
    <w:rsid w:val="00F75A38"/>
    <w:rsid w:val="00F768B1"/>
    <w:rsid w:val="00F82325"/>
    <w:rsid w:val="00F841C8"/>
    <w:rsid w:val="00F879C6"/>
    <w:rsid w:val="00F978DA"/>
    <w:rsid w:val="00FA287A"/>
    <w:rsid w:val="00FA5022"/>
    <w:rsid w:val="00FA530C"/>
    <w:rsid w:val="00FA680F"/>
    <w:rsid w:val="00FA6E36"/>
    <w:rsid w:val="00FB14A2"/>
    <w:rsid w:val="00FB39A9"/>
    <w:rsid w:val="00FB53A4"/>
    <w:rsid w:val="00FC1429"/>
    <w:rsid w:val="00FC4874"/>
    <w:rsid w:val="00FD0DE2"/>
    <w:rsid w:val="00FD4AC2"/>
    <w:rsid w:val="00FD553A"/>
    <w:rsid w:val="00FE525C"/>
    <w:rsid w:val="00FE653A"/>
    <w:rsid w:val="00FF0499"/>
    <w:rsid w:val="00FF2581"/>
    <w:rsid w:val="00FF7519"/>
    <w:rsid w:val="00FF79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922FA-BBA0-4279-9B2F-B566A3B09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TDisplayEquationChar">
    <w:name w:val="MTDisplayEquation Char"/>
    <w:basedOn w:val="VarsaylanParagrafYazTipi"/>
    <w:link w:val="MTDisplayEquation"/>
    <w:locked/>
    <w:rsid w:val="00355690"/>
    <w:rPr>
      <w:rFonts w:ascii="Times New Roman" w:hAnsi="Times New Roman" w:cs="Times New Roman"/>
      <w:sz w:val="24"/>
      <w:szCs w:val="24"/>
    </w:rPr>
  </w:style>
  <w:style w:type="paragraph" w:customStyle="1" w:styleId="MTDisplayEquation">
    <w:name w:val="MTDisplayEquation"/>
    <w:basedOn w:val="Normal"/>
    <w:next w:val="Normal"/>
    <w:link w:val="MTDisplayEquationChar"/>
    <w:rsid w:val="00355690"/>
    <w:pPr>
      <w:tabs>
        <w:tab w:val="center" w:pos="4540"/>
        <w:tab w:val="right" w:pos="9080"/>
      </w:tabs>
      <w:spacing w:after="200" w:line="276" w:lineRule="auto"/>
      <w:ind w:firstLine="567"/>
      <w:jc w:val="both"/>
    </w:pPr>
    <w:rPr>
      <w:rFonts w:ascii="Times New Roman" w:hAnsi="Times New Roman" w:cs="Times New Roman"/>
      <w:sz w:val="24"/>
      <w:szCs w:val="24"/>
    </w:rPr>
  </w:style>
  <w:style w:type="paragraph" w:styleId="ListeParagraf">
    <w:name w:val="List Paragraph"/>
    <w:basedOn w:val="Normal"/>
    <w:uiPriority w:val="34"/>
    <w:qFormat/>
    <w:rsid w:val="00E97FD3"/>
    <w:pPr>
      <w:ind w:left="720"/>
      <w:contextualSpacing/>
    </w:pPr>
  </w:style>
  <w:style w:type="table" w:styleId="TabloKlavuzu">
    <w:name w:val="Table Grid"/>
    <w:basedOn w:val="NormalTablo"/>
    <w:uiPriority w:val="39"/>
    <w:rsid w:val="00CC1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zTablo2">
    <w:name w:val="Plain Table 2"/>
    <w:basedOn w:val="NormalTablo"/>
    <w:uiPriority w:val="42"/>
    <w:rsid w:val="0011366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pr">
    <w:name w:val="Hyperlink"/>
    <w:basedOn w:val="VarsaylanParagrafYazTipi"/>
    <w:uiPriority w:val="99"/>
    <w:unhideWhenUsed/>
    <w:rsid w:val="00EB30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41896">
      <w:bodyDiv w:val="1"/>
      <w:marLeft w:val="0"/>
      <w:marRight w:val="0"/>
      <w:marTop w:val="0"/>
      <w:marBottom w:val="0"/>
      <w:divBdr>
        <w:top w:val="none" w:sz="0" w:space="0" w:color="auto"/>
        <w:left w:val="none" w:sz="0" w:space="0" w:color="auto"/>
        <w:bottom w:val="none" w:sz="0" w:space="0" w:color="auto"/>
        <w:right w:val="none" w:sz="0" w:space="0" w:color="auto"/>
      </w:divBdr>
    </w:div>
    <w:div w:id="141969843">
      <w:bodyDiv w:val="1"/>
      <w:marLeft w:val="0"/>
      <w:marRight w:val="0"/>
      <w:marTop w:val="0"/>
      <w:marBottom w:val="0"/>
      <w:divBdr>
        <w:top w:val="none" w:sz="0" w:space="0" w:color="auto"/>
        <w:left w:val="none" w:sz="0" w:space="0" w:color="auto"/>
        <w:bottom w:val="none" w:sz="0" w:space="0" w:color="auto"/>
        <w:right w:val="none" w:sz="0" w:space="0" w:color="auto"/>
      </w:divBdr>
    </w:div>
    <w:div w:id="168567401">
      <w:bodyDiv w:val="1"/>
      <w:marLeft w:val="0"/>
      <w:marRight w:val="0"/>
      <w:marTop w:val="0"/>
      <w:marBottom w:val="0"/>
      <w:divBdr>
        <w:top w:val="none" w:sz="0" w:space="0" w:color="auto"/>
        <w:left w:val="none" w:sz="0" w:space="0" w:color="auto"/>
        <w:bottom w:val="none" w:sz="0" w:space="0" w:color="auto"/>
        <w:right w:val="none" w:sz="0" w:space="0" w:color="auto"/>
      </w:divBdr>
    </w:div>
    <w:div w:id="177013554">
      <w:bodyDiv w:val="1"/>
      <w:marLeft w:val="0"/>
      <w:marRight w:val="0"/>
      <w:marTop w:val="0"/>
      <w:marBottom w:val="0"/>
      <w:divBdr>
        <w:top w:val="none" w:sz="0" w:space="0" w:color="auto"/>
        <w:left w:val="none" w:sz="0" w:space="0" w:color="auto"/>
        <w:bottom w:val="none" w:sz="0" w:space="0" w:color="auto"/>
        <w:right w:val="none" w:sz="0" w:space="0" w:color="auto"/>
      </w:divBdr>
      <w:divsChild>
        <w:div w:id="2075274933">
          <w:marLeft w:val="432"/>
          <w:marRight w:val="0"/>
          <w:marTop w:val="86"/>
          <w:marBottom w:val="160"/>
          <w:divBdr>
            <w:top w:val="none" w:sz="0" w:space="0" w:color="auto"/>
            <w:left w:val="none" w:sz="0" w:space="0" w:color="auto"/>
            <w:bottom w:val="none" w:sz="0" w:space="0" w:color="auto"/>
            <w:right w:val="none" w:sz="0" w:space="0" w:color="auto"/>
          </w:divBdr>
        </w:div>
        <w:div w:id="1356152876">
          <w:marLeft w:val="432"/>
          <w:marRight w:val="0"/>
          <w:marTop w:val="86"/>
          <w:marBottom w:val="160"/>
          <w:divBdr>
            <w:top w:val="none" w:sz="0" w:space="0" w:color="auto"/>
            <w:left w:val="none" w:sz="0" w:space="0" w:color="auto"/>
            <w:bottom w:val="none" w:sz="0" w:space="0" w:color="auto"/>
            <w:right w:val="none" w:sz="0" w:space="0" w:color="auto"/>
          </w:divBdr>
        </w:div>
        <w:div w:id="74517164">
          <w:marLeft w:val="432"/>
          <w:marRight w:val="0"/>
          <w:marTop w:val="86"/>
          <w:marBottom w:val="160"/>
          <w:divBdr>
            <w:top w:val="none" w:sz="0" w:space="0" w:color="auto"/>
            <w:left w:val="none" w:sz="0" w:space="0" w:color="auto"/>
            <w:bottom w:val="none" w:sz="0" w:space="0" w:color="auto"/>
            <w:right w:val="none" w:sz="0" w:space="0" w:color="auto"/>
          </w:divBdr>
        </w:div>
        <w:div w:id="1176075446">
          <w:marLeft w:val="432"/>
          <w:marRight w:val="0"/>
          <w:marTop w:val="86"/>
          <w:marBottom w:val="160"/>
          <w:divBdr>
            <w:top w:val="none" w:sz="0" w:space="0" w:color="auto"/>
            <w:left w:val="none" w:sz="0" w:space="0" w:color="auto"/>
            <w:bottom w:val="none" w:sz="0" w:space="0" w:color="auto"/>
            <w:right w:val="none" w:sz="0" w:space="0" w:color="auto"/>
          </w:divBdr>
        </w:div>
        <w:div w:id="1390305902">
          <w:marLeft w:val="432"/>
          <w:marRight w:val="0"/>
          <w:marTop w:val="86"/>
          <w:marBottom w:val="160"/>
          <w:divBdr>
            <w:top w:val="none" w:sz="0" w:space="0" w:color="auto"/>
            <w:left w:val="none" w:sz="0" w:space="0" w:color="auto"/>
            <w:bottom w:val="none" w:sz="0" w:space="0" w:color="auto"/>
            <w:right w:val="none" w:sz="0" w:space="0" w:color="auto"/>
          </w:divBdr>
        </w:div>
        <w:div w:id="649939782">
          <w:marLeft w:val="432"/>
          <w:marRight w:val="0"/>
          <w:marTop w:val="86"/>
          <w:marBottom w:val="160"/>
          <w:divBdr>
            <w:top w:val="none" w:sz="0" w:space="0" w:color="auto"/>
            <w:left w:val="none" w:sz="0" w:space="0" w:color="auto"/>
            <w:bottom w:val="none" w:sz="0" w:space="0" w:color="auto"/>
            <w:right w:val="none" w:sz="0" w:space="0" w:color="auto"/>
          </w:divBdr>
        </w:div>
        <w:div w:id="1293756808">
          <w:marLeft w:val="432"/>
          <w:marRight w:val="0"/>
          <w:marTop w:val="86"/>
          <w:marBottom w:val="160"/>
          <w:divBdr>
            <w:top w:val="none" w:sz="0" w:space="0" w:color="auto"/>
            <w:left w:val="none" w:sz="0" w:space="0" w:color="auto"/>
            <w:bottom w:val="none" w:sz="0" w:space="0" w:color="auto"/>
            <w:right w:val="none" w:sz="0" w:space="0" w:color="auto"/>
          </w:divBdr>
        </w:div>
        <w:div w:id="1434670804">
          <w:marLeft w:val="432"/>
          <w:marRight w:val="0"/>
          <w:marTop w:val="86"/>
          <w:marBottom w:val="160"/>
          <w:divBdr>
            <w:top w:val="none" w:sz="0" w:space="0" w:color="auto"/>
            <w:left w:val="none" w:sz="0" w:space="0" w:color="auto"/>
            <w:bottom w:val="none" w:sz="0" w:space="0" w:color="auto"/>
            <w:right w:val="none" w:sz="0" w:space="0" w:color="auto"/>
          </w:divBdr>
        </w:div>
        <w:div w:id="1837498982">
          <w:marLeft w:val="432"/>
          <w:marRight w:val="0"/>
          <w:marTop w:val="86"/>
          <w:marBottom w:val="160"/>
          <w:divBdr>
            <w:top w:val="none" w:sz="0" w:space="0" w:color="auto"/>
            <w:left w:val="none" w:sz="0" w:space="0" w:color="auto"/>
            <w:bottom w:val="none" w:sz="0" w:space="0" w:color="auto"/>
            <w:right w:val="none" w:sz="0" w:space="0" w:color="auto"/>
          </w:divBdr>
        </w:div>
        <w:div w:id="1399747220">
          <w:marLeft w:val="432"/>
          <w:marRight w:val="0"/>
          <w:marTop w:val="86"/>
          <w:marBottom w:val="160"/>
          <w:divBdr>
            <w:top w:val="none" w:sz="0" w:space="0" w:color="auto"/>
            <w:left w:val="none" w:sz="0" w:space="0" w:color="auto"/>
            <w:bottom w:val="none" w:sz="0" w:space="0" w:color="auto"/>
            <w:right w:val="none" w:sz="0" w:space="0" w:color="auto"/>
          </w:divBdr>
        </w:div>
        <w:div w:id="351954913">
          <w:marLeft w:val="432"/>
          <w:marRight w:val="0"/>
          <w:marTop w:val="86"/>
          <w:marBottom w:val="160"/>
          <w:divBdr>
            <w:top w:val="none" w:sz="0" w:space="0" w:color="auto"/>
            <w:left w:val="none" w:sz="0" w:space="0" w:color="auto"/>
            <w:bottom w:val="none" w:sz="0" w:space="0" w:color="auto"/>
            <w:right w:val="none" w:sz="0" w:space="0" w:color="auto"/>
          </w:divBdr>
        </w:div>
        <w:div w:id="1033649190">
          <w:marLeft w:val="432"/>
          <w:marRight w:val="0"/>
          <w:marTop w:val="86"/>
          <w:marBottom w:val="160"/>
          <w:divBdr>
            <w:top w:val="none" w:sz="0" w:space="0" w:color="auto"/>
            <w:left w:val="none" w:sz="0" w:space="0" w:color="auto"/>
            <w:bottom w:val="none" w:sz="0" w:space="0" w:color="auto"/>
            <w:right w:val="none" w:sz="0" w:space="0" w:color="auto"/>
          </w:divBdr>
        </w:div>
      </w:divsChild>
    </w:div>
    <w:div w:id="520247236">
      <w:bodyDiv w:val="1"/>
      <w:marLeft w:val="0"/>
      <w:marRight w:val="0"/>
      <w:marTop w:val="0"/>
      <w:marBottom w:val="0"/>
      <w:divBdr>
        <w:top w:val="none" w:sz="0" w:space="0" w:color="auto"/>
        <w:left w:val="none" w:sz="0" w:space="0" w:color="auto"/>
        <w:bottom w:val="none" w:sz="0" w:space="0" w:color="auto"/>
        <w:right w:val="none" w:sz="0" w:space="0" w:color="auto"/>
      </w:divBdr>
    </w:div>
    <w:div w:id="992031251">
      <w:bodyDiv w:val="1"/>
      <w:marLeft w:val="0"/>
      <w:marRight w:val="0"/>
      <w:marTop w:val="0"/>
      <w:marBottom w:val="0"/>
      <w:divBdr>
        <w:top w:val="none" w:sz="0" w:space="0" w:color="auto"/>
        <w:left w:val="none" w:sz="0" w:space="0" w:color="auto"/>
        <w:bottom w:val="none" w:sz="0" w:space="0" w:color="auto"/>
        <w:right w:val="none" w:sz="0" w:space="0" w:color="auto"/>
      </w:divBdr>
    </w:div>
    <w:div w:id="1004284170">
      <w:bodyDiv w:val="1"/>
      <w:marLeft w:val="0"/>
      <w:marRight w:val="0"/>
      <w:marTop w:val="0"/>
      <w:marBottom w:val="0"/>
      <w:divBdr>
        <w:top w:val="none" w:sz="0" w:space="0" w:color="auto"/>
        <w:left w:val="none" w:sz="0" w:space="0" w:color="auto"/>
        <w:bottom w:val="none" w:sz="0" w:space="0" w:color="auto"/>
        <w:right w:val="none" w:sz="0" w:space="0" w:color="auto"/>
      </w:divBdr>
    </w:div>
    <w:div w:id="1108698970">
      <w:bodyDiv w:val="1"/>
      <w:marLeft w:val="0"/>
      <w:marRight w:val="0"/>
      <w:marTop w:val="0"/>
      <w:marBottom w:val="0"/>
      <w:divBdr>
        <w:top w:val="none" w:sz="0" w:space="0" w:color="auto"/>
        <w:left w:val="none" w:sz="0" w:space="0" w:color="auto"/>
        <w:bottom w:val="none" w:sz="0" w:space="0" w:color="auto"/>
        <w:right w:val="none" w:sz="0" w:space="0" w:color="auto"/>
      </w:divBdr>
      <w:divsChild>
        <w:div w:id="925381306">
          <w:marLeft w:val="432"/>
          <w:marRight w:val="0"/>
          <w:marTop w:val="86"/>
          <w:marBottom w:val="160"/>
          <w:divBdr>
            <w:top w:val="none" w:sz="0" w:space="0" w:color="auto"/>
            <w:left w:val="none" w:sz="0" w:space="0" w:color="auto"/>
            <w:bottom w:val="none" w:sz="0" w:space="0" w:color="auto"/>
            <w:right w:val="none" w:sz="0" w:space="0" w:color="auto"/>
          </w:divBdr>
        </w:div>
        <w:div w:id="1245799398">
          <w:marLeft w:val="432"/>
          <w:marRight w:val="0"/>
          <w:marTop w:val="86"/>
          <w:marBottom w:val="160"/>
          <w:divBdr>
            <w:top w:val="none" w:sz="0" w:space="0" w:color="auto"/>
            <w:left w:val="none" w:sz="0" w:space="0" w:color="auto"/>
            <w:bottom w:val="none" w:sz="0" w:space="0" w:color="auto"/>
            <w:right w:val="none" w:sz="0" w:space="0" w:color="auto"/>
          </w:divBdr>
        </w:div>
        <w:div w:id="233244943">
          <w:marLeft w:val="432"/>
          <w:marRight w:val="0"/>
          <w:marTop w:val="86"/>
          <w:marBottom w:val="160"/>
          <w:divBdr>
            <w:top w:val="none" w:sz="0" w:space="0" w:color="auto"/>
            <w:left w:val="none" w:sz="0" w:space="0" w:color="auto"/>
            <w:bottom w:val="none" w:sz="0" w:space="0" w:color="auto"/>
            <w:right w:val="none" w:sz="0" w:space="0" w:color="auto"/>
          </w:divBdr>
        </w:div>
        <w:div w:id="756826456">
          <w:marLeft w:val="432"/>
          <w:marRight w:val="0"/>
          <w:marTop w:val="86"/>
          <w:marBottom w:val="160"/>
          <w:divBdr>
            <w:top w:val="none" w:sz="0" w:space="0" w:color="auto"/>
            <w:left w:val="none" w:sz="0" w:space="0" w:color="auto"/>
            <w:bottom w:val="none" w:sz="0" w:space="0" w:color="auto"/>
            <w:right w:val="none" w:sz="0" w:space="0" w:color="auto"/>
          </w:divBdr>
        </w:div>
        <w:div w:id="1709333642">
          <w:marLeft w:val="432"/>
          <w:marRight w:val="0"/>
          <w:marTop w:val="86"/>
          <w:marBottom w:val="160"/>
          <w:divBdr>
            <w:top w:val="none" w:sz="0" w:space="0" w:color="auto"/>
            <w:left w:val="none" w:sz="0" w:space="0" w:color="auto"/>
            <w:bottom w:val="none" w:sz="0" w:space="0" w:color="auto"/>
            <w:right w:val="none" w:sz="0" w:space="0" w:color="auto"/>
          </w:divBdr>
        </w:div>
        <w:div w:id="1610896439">
          <w:marLeft w:val="432"/>
          <w:marRight w:val="0"/>
          <w:marTop w:val="86"/>
          <w:marBottom w:val="160"/>
          <w:divBdr>
            <w:top w:val="none" w:sz="0" w:space="0" w:color="auto"/>
            <w:left w:val="none" w:sz="0" w:space="0" w:color="auto"/>
            <w:bottom w:val="none" w:sz="0" w:space="0" w:color="auto"/>
            <w:right w:val="none" w:sz="0" w:space="0" w:color="auto"/>
          </w:divBdr>
        </w:div>
        <w:div w:id="438532131">
          <w:marLeft w:val="432"/>
          <w:marRight w:val="0"/>
          <w:marTop w:val="86"/>
          <w:marBottom w:val="160"/>
          <w:divBdr>
            <w:top w:val="none" w:sz="0" w:space="0" w:color="auto"/>
            <w:left w:val="none" w:sz="0" w:space="0" w:color="auto"/>
            <w:bottom w:val="none" w:sz="0" w:space="0" w:color="auto"/>
            <w:right w:val="none" w:sz="0" w:space="0" w:color="auto"/>
          </w:divBdr>
        </w:div>
        <w:div w:id="1268123639">
          <w:marLeft w:val="432"/>
          <w:marRight w:val="0"/>
          <w:marTop w:val="86"/>
          <w:marBottom w:val="160"/>
          <w:divBdr>
            <w:top w:val="none" w:sz="0" w:space="0" w:color="auto"/>
            <w:left w:val="none" w:sz="0" w:space="0" w:color="auto"/>
            <w:bottom w:val="none" w:sz="0" w:space="0" w:color="auto"/>
            <w:right w:val="none" w:sz="0" w:space="0" w:color="auto"/>
          </w:divBdr>
        </w:div>
        <w:div w:id="1265532149">
          <w:marLeft w:val="432"/>
          <w:marRight w:val="0"/>
          <w:marTop w:val="86"/>
          <w:marBottom w:val="160"/>
          <w:divBdr>
            <w:top w:val="none" w:sz="0" w:space="0" w:color="auto"/>
            <w:left w:val="none" w:sz="0" w:space="0" w:color="auto"/>
            <w:bottom w:val="none" w:sz="0" w:space="0" w:color="auto"/>
            <w:right w:val="none" w:sz="0" w:space="0" w:color="auto"/>
          </w:divBdr>
        </w:div>
        <w:div w:id="1711148493">
          <w:marLeft w:val="432"/>
          <w:marRight w:val="0"/>
          <w:marTop w:val="86"/>
          <w:marBottom w:val="160"/>
          <w:divBdr>
            <w:top w:val="none" w:sz="0" w:space="0" w:color="auto"/>
            <w:left w:val="none" w:sz="0" w:space="0" w:color="auto"/>
            <w:bottom w:val="none" w:sz="0" w:space="0" w:color="auto"/>
            <w:right w:val="none" w:sz="0" w:space="0" w:color="auto"/>
          </w:divBdr>
        </w:div>
        <w:div w:id="1889415954">
          <w:marLeft w:val="432"/>
          <w:marRight w:val="0"/>
          <w:marTop w:val="86"/>
          <w:marBottom w:val="160"/>
          <w:divBdr>
            <w:top w:val="none" w:sz="0" w:space="0" w:color="auto"/>
            <w:left w:val="none" w:sz="0" w:space="0" w:color="auto"/>
            <w:bottom w:val="none" w:sz="0" w:space="0" w:color="auto"/>
            <w:right w:val="none" w:sz="0" w:space="0" w:color="auto"/>
          </w:divBdr>
        </w:div>
        <w:div w:id="52192955">
          <w:marLeft w:val="432"/>
          <w:marRight w:val="0"/>
          <w:marTop w:val="86"/>
          <w:marBottom w:val="160"/>
          <w:divBdr>
            <w:top w:val="none" w:sz="0" w:space="0" w:color="auto"/>
            <w:left w:val="none" w:sz="0" w:space="0" w:color="auto"/>
            <w:bottom w:val="none" w:sz="0" w:space="0" w:color="auto"/>
            <w:right w:val="none" w:sz="0" w:space="0" w:color="auto"/>
          </w:divBdr>
        </w:div>
      </w:divsChild>
    </w:div>
    <w:div w:id="1454205296">
      <w:bodyDiv w:val="1"/>
      <w:marLeft w:val="0"/>
      <w:marRight w:val="0"/>
      <w:marTop w:val="0"/>
      <w:marBottom w:val="0"/>
      <w:divBdr>
        <w:top w:val="none" w:sz="0" w:space="0" w:color="auto"/>
        <w:left w:val="none" w:sz="0" w:space="0" w:color="auto"/>
        <w:bottom w:val="none" w:sz="0" w:space="0" w:color="auto"/>
        <w:right w:val="none" w:sz="0" w:space="0" w:color="auto"/>
      </w:divBdr>
    </w:div>
    <w:div w:id="2004240809">
      <w:bodyDiv w:val="1"/>
      <w:marLeft w:val="0"/>
      <w:marRight w:val="0"/>
      <w:marTop w:val="0"/>
      <w:marBottom w:val="0"/>
      <w:divBdr>
        <w:top w:val="none" w:sz="0" w:space="0" w:color="auto"/>
        <w:left w:val="none" w:sz="0" w:space="0" w:color="auto"/>
        <w:bottom w:val="none" w:sz="0" w:space="0" w:color="auto"/>
        <w:right w:val="none" w:sz="0" w:space="0" w:color="auto"/>
      </w:divBdr>
    </w:div>
    <w:div w:id="207254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wmf"/><Relationship Id="rId55" Type="http://schemas.openxmlformats.org/officeDocument/2006/relationships/oleObject" Target="embeddings/oleObject25.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hyperlink" Target="https://econpapers.repec.org/paper/ucnwpaper/201219.htm" TargetMode="External"/><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hyperlink" Target="https://ssrn.com/abstract=1923545" TargetMode="External"/><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D55694A-F6AB-42EA-954C-49F6E98A0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6566</TotalTime>
  <Pages>19</Pages>
  <Words>12734</Words>
  <Characters>72590</Characters>
  <Application>Microsoft Office Word</Application>
  <DocSecurity>0</DocSecurity>
  <Lines>604</Lines>
  <Paragraphs>170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266</cp:revision>
  <dcterms:created xsi:type="dcterms:W3CDTF">2021-07-31T16:23:00Z</dcterms:created>
  <dcterms:modified xsi:type="dcterms:W3CDTF">2021-10-06T17:39:00Z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http://www.zotero.org/styles/apa-tr</vt:lpwstr>
  </property>
  <property fmtid="{D5CDD505-2E9C-101B-9397-08002B2CF9AE}" pid="5" name="Mendeley Recent Style Name 1_1">
    <vt:lpwstr>American Psychological Association 6th edition (Turkish)</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8679d37d-7953-3c12-97e7-d4195a1806b9</vt:lpwstr>
  </property>
  <property fmtid="{D5CDD505-2E9C-101B-9397-08002B2CF9AE}" pid="24" name="Mendeley Citation Style_1">
    <vt:lpwstr>http://www.zotero.org/styles/apa-tr</vt:lpwstr>
  </property>
  <property fmtid="{D5CDD505-2E9C-101B-9397-08002B2CF9AE}" pid="25" name="MTWinEqns">
    <vt:bool>true</vt:bool>
  </property>
</Properties>
</file>