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0D5" w:rsidRPr="00561410" w:rsidRDefault="001E70D5" w:rsidP="001E70D5">
      <w:pPr>
        <w:jc w:val="both"/>
        <w:rPr>
          <w:b/>
        </w:rPr>
      </w:pPr>
      <w:r w:rsidRPr="00561410">
        <w:rPr>
          <w:b/>
        </w:rPr>
        <w:t xml:space="preserve">Pandemi Döneminde </w:t>
      </w:r>
      <w:r w:rsidR="009B1B46">
        <w:rPr>
          <w:b/>
        </w:rPr>
        <w:t>Üniversite Öğrencilerinde</w:t>
      </w:r>
      <w:bookmarkStart w:id="0" w:name="_GoBack"/>
      <w:bookmarkEnd w:id="0"/>
      <w:r w:rsidR="009B1B46">
        <w:rPr>
          <w:b/>
        </w:rPr>
        <w:t xml:space="preserve"> </w:t>
      </w:r>
      <w:r w:rsidRPr="00561410">
        <w:rPr>
          <w:b/>
        </w:rPr>
        <w:t>Fiziksel Aktivite Durumunun</w:t>
      </w:r>
      <w:r>
        <w:rPr>
          <w:b/>
        </w:rPr>
        <w:t xml:space="preserve"> ve</w:t>
      </w:r>
      <w:r w:rsidRPr="00561410">
        <w:rPr>
          <w:b/>
        </w:rPr>
        <w:t xml:space="preserve"> Yeme Bozukluğu</w:t>
      </w:r>
      <w:r>
        <w:rPr>
          <w:b/>
        </w:rPr>
        <w:t xml:space="preserve"> Riskinin </w:t>
      </w:r>
      <w:r w:rsidRPr="00561410">
        <w:rPr>
          <w:b/>
        </w:rPr>
        <w:t>Değerlendirilmesi: Pilot Çalışma</w:t>
      </w:r>
    </w:p>
    <w:p w:rsidR="001E70D5" w:rsidRDefault="001E70D5" w:rsidP="001E70D5">
      <w:pPr>
        <w:jc w:val="both"/>
      </w:pPr>
      <w:r>
        <w:t>Feride AYYILDIZ</w:t>
      </w:r>
      <w:r w:rsidRPr="00377D86">
        <w:rPr>
          <w:vertAlign w:val="superscript"/>
        </w:rPr>
        <w:t>1</w:t>
      </w:r>
      <w:r>
        <w:t>, Gülşah ŞAHİN</w:t>
      </w:r>
      <w:r w:rsidRPr="00377D86">
        <w:rPr>
          <w:vertAlign w:val="superscript"/>
        </w:rPr>
        <w:t>1</w:t>
      </w:r>
    </w:p>
    <w:p w:rsidR="001E70D5" w:rsidRDefault="001E70D5" w:rsidP="001E70D5">
      <w:pPr>
        <w:jc w:val="both"/>
      </w:pPr>
      <w:r w:rsidRPr="00377D86">
        <w:rPr>
          <w:vertAlign w:val="superscript"/>
        </w:rPr>
        <w:t>1</w:t>
      </w:r>
      <w:r>
        <w:t>Gazi Üniversitesi Sağlık Bilimleri Fakültesi Beslenme ve Diyetetik Bölümü, Ankara, Türkiye.</w:t>
      </w:r>
    </w:p>
    <w:p w:rsidR="001E70D5" w:rsidRDefault="001E70D5" w:rsidP="001E70D5">
      <w:pPr>
        <w:jc w:val="both"/>
      </w:pPr>
      <w:r w:rsidRPr="00377D86">
        <w:rPr>
          <w:b/>
        </w:rPr>
        <w:t>Amaç:</w:t>
      </w:r>
      <w:r>
        <w:t xml:space="preserve"> </w:t>
      </w:r>
    </w:p>
    <w:p w:rsidR="001E70D5" w:rsidRPr="004D2C74" w:rsidRDefault="001E70D5" w:rsidP="001E70D5">
      <w:pPr>
        <w:jc w:val="both"/>
      </w:pPr>
      <w:r w:rsidRPr="00FD419C">
        <w:t xml:space="preserve">Son dönemde ortaya çıkan SARS-CoV-2 (COVİD-19), 2019 Aralık ayında Çin’in Wuhan şehrinde ortaya çıkmış olup dünya geneline yayılmıştır. Dünya Sağlık Örgütü 11 Mart 2020 tarihinde “PANDEMİ” olarak </w:t>
      </w:r>
      <w:r w:rsidRPr="004D2C74">
        <w:t xml:space="preserve">ilan etmiştir (1). Bu dönemde sosyal izolasyonun da etkisiyle bireylerin psikolojik durumları olumsuz etkilenebilmektedir. Bireylerin psikolojik durumları (kaygı, korku gibi) yeme davranışı ve fiziksel aktivite durumunu da olumsuz etkileyebilmektedir (2). </w:t>
      </w:r>
    </w:p>
    <w:p w:rsidR="001E70D5" w:rsidRPr="004D2C74" w:rsidRDefault="001E70D5" w:rsidP="001E70D5">
      <w:pPr>
        <w:jc w:val="both"/>
      </w:pPr>
      <w:r w:rsidRPr="004D2C74">
        <w:t xml:space="preserve">Beslenme birçok hastalığın riskinin önlenmesi, hastalık sırasında semptomların azaltılmasında, hastalığın tedavisinde önemli olduğu düşünülmektedir (3). Üniversite öğrencileri pandemi döneminde uzaktan eğitimle online ders almak zorunda bir gruptur. Sosyal faaliyetlerin azalması, üniversite eğitiminin </w:t>
      </w:r>
      <w:r>
        <w:t>uzaktan takip edilmesi gibi bir</w:t>
      </w:r>
      <w:r w:rsidRPr="004D2C74">
        <w:t>çok nedenden dolayı yeme davranışı ve fiziksel aktivite durumunun olumsuz etkileneceği öngörülmektedir.</w:t>
      </w:r>
    </w:p>
    <w:p w:rsidR="001E70D5" w:rsidRDefault="001E70D5" w:rsidP="001E70D5">
      <w:pPr>
        <w:jc w:val="both"/>
      </w:pPr>
      <w:r w:rsidRPr="004D2C74">
        <w:t xml:space="preserve">Bu çalışmada pandemi döneminde üniversite öğrencilerinin fiziksel aktivite ve yeme bozukluğu riskinin değerlendirilmesi amaçlanmıştır.  </w:t>
      </w:r>
    </w:p>
    <w:p w:rsidR="001E70D5" w:rsidRDefault="001E70D5" w:rsidP="001E70D5">
      <w:pPr>
        <w:jc w:val="both"/>
      </w:pPr>
      <w:r w:rsidRPr="00377D86">
        <w:rPr>
          <w:b/>
        </w:rPr>
        <w:t>Yöntem:</w:t>
      </w:r>
      <w:r>
        <w:t xml:space="preserve"> </w:t>
      </w:r>
    </w:p>
    <w:p w:rsidR="001E70D5" w:rsidRDefault="001E70D5" w:rsidP="001E70D5">
      <w:pPr>
        <w:jc w:val="both"/>
        <w:rPr>
          <w:rFonts w:cstheme="minorHAnsi"/>
        </w:rPr>
      </w:pPr>
      <w:r>
        <w:rPr>
          <w:rFonts w:cstheme="minorHAnsi"/>
        </w:rPr>
        <w:t xml:space="preserve">Bireylerin genel özellikleri, vücut ağırlıklar, fiziksel aktivite durumları ve yeme bozukluğu riskinin değerlendirilmiştir. Bu değerlendirme online anket formuyla yapılmıştır. </w:t>
      </w:r>
    </w:p>
    <w:p w:rsidR="001E70D5" w:rsidRPr="002A7751" w:rsidRDefault="001E70D5" w:rsidP="001E70D5">
      <w:pPr>
        <w:jc w:val="both"/>
        <w:rPr>
          <w:rFonts w:cstheme="minorHAnsi"/>
        </w:rPr>
      </w:pPr>
      <w:r w:rsidRPr="002A7751">
        <w:rPr>
          <w:rFonts w:cstheme="minorHAnsi"/>
        </w:rPr>
        <w:t>Katılımcıların vücut ağırlığı (kg) ve boy uzunluğu (cm) değerleri bireylerin beyanına dayanarak alın</w:t>
      </w:r>
      <w:r>
        <w:rPr>
          <w:rFonts w:cstheme="minorHAnsi"/>
        </w:rPr>
        <w:t xml:space="preserve">mıştır. </w:t>
      </w:r>
      <w:r w:rsidRPr="002A7751">
        <w:rPr>
          <w:rFonts w:cstheme="minorHAnsi"/>
        </w:rPr>
        <w:t>Bireylerin vücut ağırlığı ve boy uzunluğu kullanılarak beden kütle indeksi (BKİ) hesaplan</w:t>
      </w:r>
      <w:r>
        <w:rPr>
          <w:rFonts w:cstheme="minorHAnsi"/>
        </w:rPr>
        <w:t>mış</w:t>
      </w:r>
      <w:r w:rsidRPr="002A7751">
        <w:rPr>
          <w:rFonts w:cstheme="minorHAnsi"/>
        </w:rPr>
        <w:t xml:space="preserve">tır. Bireylerin BKİ= Ağırlık (kg)/Boy (m)² formülü ile hesaplanıp, Dünya Sağlık Örgütü sınıflamasına göre </w:t>
      </w:r>
      <w:r>
        <w:rPr>
          <w:rFonts w:cstheme="minorHAnsi"/>
        </w:rPr>
        <w:t>değerlendirilmiştir</w:t>
      </w:r>
      <w:r w:rsidRPr="002A7751">
        <w:rPr>
          <w:rFonts w:cstheme="minorHAnsi"/>
        </w:rPr>
        <w:t>. Beden kütle indeksi 18.50 kg/m</w:t>
      </w:r>
      <w:r w:rsidRPr="001E70D5">
        <w:rPr>
          <w:rFonts w:cstheme="minorHAnsi"/>
          <w:vertAlign w:val="superscript"/>
        </w:rPr>
        <w:t>2</w:t>
      </w:r>
      <w:r w:rsidRPr="002A7751">
        <w:rPr>
          <w:rFonts w:cstheme="minorHAnsi"/>
        </w:rPr>
        <w:t>’nin altında olanlar zayıf, 18.50–24.99 kg/m</w:t>
      </w:r>
      <w:r w:rsidRPr="00A5237D">
        <w:rPr>
          <w:rFonts w:cstheme="minorHAnsi"/>
          <w:vertAlign w:val="superscript"/>
        </w:rPr>
        <w:t>2</w:t>
      </w:r>
      <w:r w:rsidRPr="002A7751">
        <w:rPr>
          <w:rFonts w:cstheme="minorHAnsi"/>
        </w:rPr>
        <w:t xml:space="preserve"> arasında olanlar normal, 25.0–29.99 kg/m</w:t>
      </w:r>
      <w:r w:rsidRPr="00A5237D">
        <w:rPr>
          <w:rFonts w:cstheme="minorHAnsi"/>
          <w:vertAlign w:val="superscript"/>
        </w:rPr>
        <w:t>2</w:t>
      </w:r>
      <w:r w:rsidRPr="002A7751">
        <w:rPr>
          <w:rFonts w:cstheme="minorHAnsi"/>
        </w:rPr>
        <w:t xml:space="preserve"> arasında olanlar </w:t>
      </w:r>
      <w:r>
        <w:rPr>
          <w:rFonts w:cstheme="minorHAnsi"/>
        </w:rPr>
        <w:t>pre-obez,</w:t>
      </w:r>
      <w:r w:rsidRPr="002A7751">
        <w:rPr>
          <w:rFonts w:cstheme="minorHAnsi"/>
        </w:rPr>
        <w:t xml:space="preserve"> 25.0–29.99 kg/m</w:t>
      </w:r>
      <w:r w:rsidRPr="00A5237D">
        <w:rPr>
          <w:rFonts w:cstheme="minorHAnsi"/>
          <w:vertAlign w:val="superscript"/>
        </w:rPr>
        <w:t>2</w:t>
      </w:r>
      <w:r w:rsidRPr="002A7751">
        <w:rPr>
          <w:rFonts w:cstheme="minorHAnsi"/>
        </w:rPr>
        <w:t xml:space="preserve"> olanlar obez olarak </w:t>
      </w:r>
      <w:r>
        <w:rPr>
          <w:rFonts w:cstheme="minorHAnsi"/>
        </w:rPr>
        <w:t>sınıflandırılmıştır</w:t>
      </w:r>
      <w:r w:rsidRPr="002A7751">
        <w:rPr>
          <w:rFonts w:cstheme="minorHAnsi"/>
        </w:rPr>
        <w:t xml:space="preserve"> (</w:t>
      </w:r>
      <w:r>
        <w:rPr>
          <w:rFonts w:cstheme="minorHAnsi"/>
        </w:rPr>
        <w:t>4</w:t>
      </w:r>
      <w:r w:rsidRPr="002A7751">
        <w:rPr>
          <w:rFonts w:cstheme="minorHAnsi"/>
        </w:rPr>
        <w:t>).</w:t>
      </w:r>
    </w:p>
    <w:p w:rsidR="001E70D5" w:rsidRDefault="001E70D5" w:rsidP="001E70D5">
      <w:pPr>
        <w:jc w:val="both"/>
        <w:rPr>
          <w:rFonts w:cstheme="minorHAnsi"/>
        </w:rPr>
      </w:pPr>
      <w:r w:rsidRPr="002A7751">
        <w:rPr>
          <w:rFonts w:cstheme="minorHAnsi"/>
        </w:rPr>
        <w:t>Yeme bozukluğunun değerlendirilmesinde REZZY Yeme Bozuklukları Ölçeği kullanıl</w:t>
      </w:r>
      <w:r>
        <w:rPr>
          <w:rFonts w:cstheme="minorHAnsi"/>
        </w:rPr>
        <w:t xml:space="preserve">mıştır. </w:t>
      </w:r>
      <w:r w:rsidRPr="002A7751">
        <w:rPr>
          <w:rFonts w:cstheme="minorHAnsi"/>
        </w:rPr>
        <w:t>Yeme bozukluğu riskini taranmasında kullanılan bu ölçek Hill et al. (</w:t>
      </w:r>
      <w:r>
        <w:rPr>
          <w:rFonts w:cstheme="minorHAnsi"/>
        </w:rPr>
        <w:t>5</w:t>
      </w:r>
      <w:r w:rsidRPr="002A7751">
        <w:rPr>
          <w:rFonts w:cstheme="minorHAnsi"/>
        </w:rPr>
        <w:t>) tarafından geliştirilmiştir. Türkçe geçerlilik ve güvenilirliği ise Aydemir ve ark. (</w:t>
      </w:r>
      <w:r>
        <w:rPr>
          <w:rFonts w:cstheme="minorHAnsi"/>
        </w:rPr>
        <w:t>6</w:t>
      </w:r>
      <w:r w:rsidRPr="002A7751">
        <w:rPr>
          <w:rFonts w:cstheme="minorHAnsi"/>
        </w:rPr>
        <w:t xml:space="preserve">) tarafından yapılmıştır. Toplam 5 maddeden oluşan ve </w:t>
      </w:r>
      <w:r>
        <w:rPr>
          <w:rFonts w:cstheme="minorHAnsi"/>
        </w:rPr>
        <w:t xml:space="preserve">cevabın “Evet” olduğu </w:t>
      </w:r>
      <w:r w:rsidRPr="002A7751">
        <w:rPr>
          <w:rFonts w:cstheme="minorHAnsi"/>
        </w:rPr>
        <w:t>her maddeye 1 puan verilen ölçekte, 2 ve üzeri puan alan birey yeme bozukluğu açısından risk altında kabul edilmektedir (</w:t>
      </w:r>
      <w:r>
        <w:rPr>
          <w:rFonts w:cstheme="minorHAnsi"/>
        </w:rPr>
        <w:t>6</w:t>
      </w:r>
      <w:r w:rsidRPr="002A7751">
        <w:rPr>
          <w:rFonts w:cstheme="minorHAnsi"/>
        </w:rPr>
        <w:t xml:space="preserve">). </w:t>
      </w:r>
    </w:p>
    <w:p w:rsidR="001E70D5" w:rsidRPr="00320F24" w:rsidRDefault="001E70D5" w:rsidP="001E70D5">
      <w:pPr>
        <w:jc w:val="both"/>
        <w:rPr>
          <w:rFonts w:cstheme="minorHAnsi"/>
        </w:rPr>
      </w:pPr>
      <w:r w:rsidRPr="00320F24">
        <w:rPr>
          <w:rFonts w:cstheme="minorHAnsi"/>
        </w:rPr>
        <w:t>Katılımcıların fiziksel aktivite durumunu değerlendirmek amacıyla fiziksel aktivite anketi kullanıl</w:t>
      </w:r>
      <w:r>
        <w:rPr>
          <w:rFonts w:cstheme="minorHAnsi"/>
        </w:rPr>
        <w:t>mıştır</w:t>
      </w:r>
      <w:r w:rsidRPr="00320F24">
        <w:rPr>
          <w:rFonts w:cstheme="minorHAnsi"/>
        </w:rPr>
        <w:t xml:space="preserve">. Ulusal Sağlık Hizmetleri kapsamında birinci </w:t>
      </w:r>
      <w:r w:rsidRPr="00A5237D">
        <w:rPr>
          <w:rFonts w:cstheme="minorHAnsi"/>
        </w:rPr>
        <w:t>basamakta erişkinlerin fiziksel aktivite düzeyini değerlendirmek için kullanılan bu anketin (</w:t>
      </w:r>
      <w:r>
        <w:rPr>
          <w:rFonts w:cstheme="minorHAnsi"/>
        </w:rPr>
        <w:t>7</w:t>
      </w:r>
      <w:r w:rsidRPr="00A5237D">
        <w:rPr>
          <w:rFonts w:cstheme="minorHAnsi"/>
        </w:rPr>
        <w:t xml:space="preserve">) Noğay ve arkadaşları </w:t>
      </w:r>
      <w:r w:rsidRPr="00320F24">
        <w:rPr>
          <w:rFonts w:cstheme="minorHAnsi"/>
        </w:rPr>
        <w:t>tarafından (</w:t>
      </w:r>
      <w:r>
        <w:rPr>
          <w:rFonts w:cstheme="minorHAnsi"/>
        </w:rPr>
        <w:t>8</w:t>
      </w:r>
      <w:r w:rsidRPr="00320F24">
        <w:rPr>
          <w:rFonts w:cstheme="minorHAnsi"/>
        </w:rPr>
        <w:t>) Türkçe geçerlilik güvenirliliği yapılmıştır. Anket sonunda fiziksel aktivite durumu hareketli, orta derecede hareketli, az hareketli ve hareketsiz olmak üzere dört düzeyde sonuç vermektedir.</w:t>
      </w:r>
    </w:p>
    <w:p w:rsidR="001E70D5" w:rsidRDefault="001E70D5" w:rsidP="001E70D5">
      <w:pPr>
        <w:jc w:val="both"/>
        <w:rPr>
          <w:rFonts w:cstheme="minorHAnsi"/>
        </w:rPr>
      </w:pPr>
      <w:r w:rsidRPr="00377D86">
        <w:rPr>
          <w:b/>
        </w:rPr>
        <w:t>Bulgular:</w:t>
      </w:r>
      <w:r>
        <w:rPr>
          <w:b/>
        </w:rPr>
        <w:t xml:space="preserve"> </w:t>
      </w:r>
      <w:r>
        <w:t>Çalışmaya yaş ortalaması 21.8</w:t>
      </w:r>
      <w:r>
        <w:rPr>
          <w:rFonts w:cstheme="minorHAnsi"/>
        </w:rPr>
        <w:t xml:space="preserve">±1.99 olan 362 üniversite öğrencisi (E:84 ve K:278) katılmıştır.  Pandemi döneminde bireylerin %89.5’i ailesiyle yaşamaktadır. Bu dönemde katılımcıların %17.7’si vitamin-mineral/besin desteği kullanmaktadır. Bu desteği alanların %40.6’sı multivitamin kullanırken, %25.0’i ise D vitamini kullanmaktadır. Çinko, probiyotik ve beta-glukan kullananların oranları ise birbirine eşittir (%4.7). Günde ortalama 3±2.43 ana öğün, 3±1.81 ara öğün tüketilmektedir. Bireylerin </w:t>
      </w:r>
      <w:r>
        <w:rPr>
          <w:rFonts w:cstheme="minorHAnsi"/>
        </w:rPr>
        <w:lastRenderedPageBreak/>
        <w:t>%33.’inin öğün atladığı ve öğün atlayan bireylerin en fazla öğle öğününü atladıkları (%40.9) görülmüştür. Bireylerin vücut ağırlığı ortalaması 62.9±13.30 kg iken BKİ ortalaması 22.2±1.3.59 kg/m</w:t>
      </w:r>
      <w:r w:rsidRPr="008E3350">
        <w:rPr>
          <w:rFonts w:cstheme="minorHAnsi"/>
          <w:vertAlign w:val="superscript"/>
        </w:rPr>
        <w:t>2</w:t>
      </w:r>
      <w:r>
        <w:rPr>
          <w:rFonts w:cstheme="minorHAnsi"/>
        </w:rPr>
        <w:t xml:space="preserve">’dir. Çalışmaya katılan bireylerin %66.6’sı normal vücut ağırlığına sahipken, %19.9’u pre-obez veya obezdir. Fiziksel aktivite düzeyleri değerlendirildiğinde, katılımcıların %42.8’i hareketsiz, %27.3’ü az hareketli sınıflamasında yer alırken %11.6’sı hareketli sınıflamasında yer almaktadır. Bireylerin %36.7’sinde yeme bozukluğu riskinin olduğu görülmüştür. </w:t>
      </w:r>
    </w:p>
    <w:p w:rsidR="001E70D5" w:rsidRDefault="001E70D5" w:rsidP="001E70D5">
      <w:pPr>
        <w:jc w:val="both"/>
      </w:pPr>
      <w:r w:rsidRPr="00377D86">
        <w:rPr>
          <w:b/>
        </w:rPr>
        <w:t>Sonuç:</w:t>
      </w:r>
      <w:r>
        <w:rPr>
          <w:b/>
        </w:rPr>
        <w:t xml:space="preserve"> </w:t>
      </w:r>
      <w:r>
        <w:t xml:space="preserve">Pandemi dönemiyle yeme alışkanlıkları ve fiziksel aktivite durumu üniversite öğrencilerini de etkilemiştir. Fiziksel aktivite düzeyleri düşük ve yeme bozukluğu riski yüksek olan bireylerin olması dikkat çekicidir. Bu dönemde sağlıklı yaşam tarzının benimsenip, fiziksel aktivite düzeyinin artırılması sadece pandemi süresince değil hayat boyunca sağlığın sürdürülebilirliği açısından son derece önemlidir. </w:t>
      </w:r>
    </w:p>
    <w:p w:rsidR="001E70D5" w:rsidRDefault="001E70D5" w:rsidP="001E70D5">
      <w:pPr>
        <w:jc w:val="both"/>
      </w:pPr>
      <w:r w:rsidRPr="00561410">
        <w:rPr>
          <w:b/>
        </w:rPr>
        <w:t>Anahtar kelimeler:</w:t>
      </w:r>
      <w:r>
        <w:t xml:space="preserve"> pandemi, fiziksel aktivite, yeme bozukluğu</w:t>
      </w:r>
    </w:p>
    <w:p w:rsidR="001E70D5" w:rsidRPr="008E3350" w:rsidRDefault="001E70D5" w:rsidP="001E70D5">
      <w:pPr>
        <w:jc w:val="both"/>
        <w:rPr>
          <w:rFonts w:cstheme="minorHAnsi"/>
        </w:rPr>
      </w:pPr>
    </w:p>
    <w:p w:rsidR="001E70D5" w:rsidRDefault="001E70D5" w:rsidP="001E70D5">
      <w:pPr>
        <w:jc w:val="both"/>
      </w:pPr>
    </w:p>
    <w:p w:rsidR="001E70D5" w:rsidRDefault="001E70D5">
      <w:pPr>
        <w:rPr>
          <w:b/>
        </w:rPr>
      </w:pPr>
    </w:p>
    <w:p w:rsidR="001E70D5" w:rsidRDefault="001E70D5">
      <w:pPr>
        <w:rPr>
          <w:b/>
        </w:rPr>
      </w:pPr>
      <w:r>
        <w:rPr>
          <w:b/>
        </w:rPr>
        <w:br w:type="page"/>
      </w:r>
    </w:p>
    <w:p w:rsidR="00B375A7" w:rsidRDefault="00B375A7" w:rsidP="00FD419C">
      <w:pPr>
        <w:jc w:val="both"/>
        <w:rPr>
          <w:b/>
        </w:rPr>
      </w:pPr>
      <w:r w:rsidRPr="00B375A7">
        <w:rPr>
          <w:b/>
        </w:rPr>
        <w:lastRenderedPageBreak/>
        <w:t>Assessment of Physical Activity Status and Eating Disorder Risk</w:t>
      </w:r>
      <w:r w:rsidR="009B1B46">
        <w:rPr>
          <w:b/>
        </w:rPr>
        <w:t xml:space="preserve"> in University Students</w:t>
      </w:r>
      <w:r w:rsidRPr="00B375A7">
        <w:rPr>
          <w:b/>
        </w:rPr>
        <w:t xml:space="preserve"> During Pandemic Period: A Pilot Study</w:t>
      </w:r>
    </w:p>
    <w:p w:rsidR="00377D86" w:rsidRDefault="00377D86" w:rsidP="00FD419C">
      <w:pPr>
        <w:jc w:val="both"/>
      </w:pPr>
      <w:r>
        <w:t>Feride AYYILDIZ</w:t>
      </w:r>
      <w:r w:rsidRPr="00377D86">
        <w:rPr>
          <w:vertAlign w:val="superscript"/>
        </w:rPr>
        <w:t>1</w:t>
      </w:r>
      <w:r>
        <w:t>, Gülşah ŞAHİN</w:t>
      </w:r>
      <w:r w:rsidRPr="00377D86">
        <w:rPr>
          <w:vertAlign w:val="superscript"/>
        </w:rPr>
        <w:t>1</w:t>
      </w:r>
    </w:p>
    <w:p w:rsidR="00377D86" w:rsidRDefault="00377D86" w:rsidP="00FD419C">
      <w:pPr>
        <w:jc w:val="both"/>
      </w:pPr>
      <w:r w:rsidRPr="00377D86">
        <w:rPr>
          <w:vertAlign w:val="superscript"/>
        </w:rPr>
        <w:t>1</w:t>
      </w:r>
      <w:r>
        <w:t>Gazi Üniversitesi Sağlık Bilimleri Fakültesi Beslenme ve Diyetetik Bölümü, Ankara, Türkiye.</w:t>
      </w:r>
    </w:p>
    <w:p w:rsidR="00377D86" w:rsidRDefault="00B375A7" w:rsidP="00FD419C">
      <w:pPr>
        <w:jc w:val="both"/>
      </w:pPr>
      <w:r>
        <w:rPr>
          <w:b/>
        </w:rPr>
        <w:t>Purpose</w:t>
      </w:r>
      <w:r w:rsidR="00377D86" w:rsidRPr="00377D86">
        <w:rPr>
          <w:b/>
        </w:rPr>
        <w:t>:</w:t>
      </w:r>
      <w:r w:rsidR="00377D86">
        <w:t xml:space="preserve"> </w:t>
      </w:r>
    </w:p>
    <w:p w:rsidR="00B375A7" w:rsidRDefault="00B375A7" w:rsidP="00B375A7">
      <w:pPr>
        <w:jc w:val="both"/>
      </w:pPr>
      <w:r>
        <w:t>SARS-CoV-2 (COVID-19), which has emerged recently in Wuhan, China in December 2019 and spread throughout the world. The World Health Organization declared the World Health Organization as "PANDEMY" on 11 March 2020 (1). In this period, psychological states of individuals may be negatively affected by the effect of social isolation. Individuals' psychological states (such as anxiety, fear) can negatively affect their eating behavior and physical activity (2).</w:t>
      </w:r>
    </w:p>
    <w:p w:rsidR="00B375A7" w:rsidRDefault="00B375A7" w:rsidP="00B375A7">
      <w:pPr>
        <w:jc w:val="both"/>
      </w:pPr>
      <w:r>
        <w:t>Nutrition is thought to be important in the prevention of the risk of many diseases, in reducing the symptoms during the disease, and in the treatment of the disease (3). University students are a group that has to take online courses with distance education during the pandemic period. It is predicted that eating behavior and physical activity will be adversely affected due to many reasons such as the decrease in social activities and distance education.</w:t>
      </w:r>
    </w:p>
    <w:p w:rsidR="00B375A7" w:rsidRDefault="00B375A7" w:rsidP="00B375A7">
      <w:pPr>
        <w:jc w:val="both"/>
      </w:pPr>
      <w:r>
        <w:t>In this study, it was aimed to evaluate the risk of physical activity and eating disorders of university students during the pandemic period.</w:t>
      </w:r>
    </w:p>
    <w:p w:rsidR="00377D86" w:rsidRDefault="00B375A7" w:rsidP="00FD419C">
      <w:pPr>
        <w:jc w:val="both"/>
      </w:pPr>
      <w:r>
        <w:rPr>
          <w:b/>
        </w:rPr>
        <w:t>Method</w:t>
      </w:r>
      <w:r w:rsidR="00377D86" w:rsidRPr="00377D86">
        <w:rPr>
          <w:b/>
        </w:rPr>
        <w:t>:</w:t>
      </w:r>
      <w:r w:rsidR="00377D86">
        <w:t xml:space="preserve"> </w:t>
      </w:r>
    </w:p>
    <w:p w:rsidR="00B375A7" w:rsidRDefault="00B375A7" w:rsidP="00B375A7">
      <w:pPr>
        <w:jc w:val="both"/>
      </w:pPr>
      <w:r>
        <w:t>The general characteristics, body weights, physical activity status of the individuals and the risk of eating disorders were evaluated. This evaluation was made with an online questionnaire.</w:t>
      </w:r>
    </w:p>
    <w:p w:rsidR="00B375A7" w:rsidRDefault="00B375A7" w:rsidP="00B375A7">
      <w:pPr>
        <w:jc w:val="both"/>
      </w:pPr>
      <w:r>
        <w:t>Body weight (kg) and height (cm) values ​​of the participants were taken based on the statements of the individuals. Body mass index (BMI) was calculated using the body weight and height of the individuals. Individuals' BMI = Weight (kg) / Height (m) ² formula was calculated and evaluated according to the World Health Organization classification. Those with a body mass index below 18.50 kg/m</w:t>
      </w:r>
      <w:r w:rsidRPr="001E70D5">
        <w:rPr>
          <w:vertAlign w:val="superscript"/>
        </w:rPr>
        <w:t>2</w:t>
      </w:r>
      <w:r>
        <w:t xml:space="preserve"> are classified as underweight, those between 18.50--24.99 kg/m</w:t>
      </w:r>
      <w:r w:rsidRPr="001E70D5">
        <w:rPr>
          <w:vertAlign w:val="superscript"/>
        </w:rPr>
        <w:t>2</w:t>
      </w:r>
      <w:r>
        <w:t xml:space="preserve"> as normal, those between 25.0--29.99 kg /m</w:t>
      </w:r>
      <w:r w:rsidRPr="001E70D5">
        <w:rPr>
          <w:vertAlign w:val="superscript"/>
        </w:rPr>
        <w:t>2</w:t>
      </w:r>
      <w:r>
        <w:t xml:space="preserve"> as </w:t>
      </w:r>
      <w:r w:rsidR="001E70D5">
        <w:t>pre-obese</w:t>
      </w:r>
      <w:r>
        <w:t>, and those between 25.0--29.99 kg/m</w:t>
      </w:r>
      <w:r w:rsidRPr="001E70D5">
        <w:rPr>
          <w:vertAlign w:val="superscript"/>
        </w:rPr>
        <w:t>2</w:t>
      </w:r>
      <w:r>
        <w:t xml:space="preserve"> as obese (4).</w:t>
      </w:r>
    </w:p>
    <w:p w:rsidR="00B375A7" w:rsidRDefault="00B375A7" w:rsidP="00B375A7">
      <w:pPr>
        <w:jc w:val="both"/>
      </w:pPr>
      <w:r>
        <w:t>REZZY Eating Disorders Scale was used in the evaluation of eating disorders. This scale used to screen the risk of eating disorders and developed by Hill et al. (5). Its Turkish validity and reliability were determined by Aydemir et al. (6). In the scale, which consists of 5 items in total and gives 1 point to each item where the answer is "Yes", an individual with a score of 2 or more is considered at risk for eating disorder (6).</w:t>
      </w:r>
    </w:p>
    <w:p w:rsidR="00B375A7" w:rsidRDefault="00B375A7" w:rsidP="00B375A7">
      <w:pPr>
        <w:jc w:val="both"/>
      </w:pPr>
      <w:r>
        <w:t>A physical activity questionnaire was used to evaluate the physical activity status of the participants. The Turkish validity and reliability of this questionnaire (7), which is used to evaluate the physical activity level of adults in primary health care within the scope of the National Health Service, was performed by Noğay et al. (8). At the end of the questionnaire, the physical activity status gives results in four levels: active, moderately active, less active and inactive.</w:t>
      </w:r>
    </w:p>
    <w:p w:rsidR="00B96ED0" w:rsidRDefault="00B375A7" w:rsidP="00FD419C">
      <w:pPr>
        <w:jc w:val="both"/>
      </w:pPr>
      <w:r>
        <w:rPr>
          <w:b/>
        </w:rPr>
        <w:t>Results</w:t>
      </w:r>
      <w:r w:rsidR="00377D86" w:rsidRPr="00377D86">
        <w:rPr>
          <w:b/>
        </w:rPr>
        <w:t>:</w:t>
      </w:r>
      <w:r w:rsidR="00377D86">
        <w:t xml:space="preserve"> </w:t>
      </w:r>
      <w:r w:rsidR="00B96ED0" w:rsidRPr="00B96ED0">
        <w:t xml:space="preserve">362 university students (M: 84 and F: 278) with a mean age of 21.8 ± 1.99 participated in the study. 89.5% of individuals live with their families during the pandemic period. In this period, 17.7% of the participants use vitamin-mineral / nutritional </w:t>
      </w:r>
      <w:r w:rsidR="00B96ED0">
        <w:t>supplement</w:t>
      </w:r>
      <w:r w:rsidR="00B96ED0" w:rsidRPr="00B96ED0">
        <w:t xml:space="preserve">. 40.6% of those who receive this </w:t>
      </w:r>
      <w:r w:rsidR="001E70D5">
        <w:t>supplementation</w:t>
      </w:r>
      <w:r w:rsidR="00B96ED0" w:rsidRPr="00B96ED0">
        <w:t xml:space="preserve"> use multivitamin, while 25.0% use vitamin D. The rates of those using zinc, probiotics and beta-glucan are equal (4.7%). An average of 3 ± 2.43 main meals and 3 ± 1.81 snacks are consumed </w:t>
      </w:r>
      <w:r w:rsidR="00B96ED0" w:rsidRPr="00B96ED0">
        <w:lastRenderedPageBreak/>
        <w:t>per day. It was observed that 33% of the individuals skipped meals and those who skipped meals mostly skipped lunch (40.9%). While the average body weight of the individuals is 62.9 ± 13.30 kg, the average BMI is 22.2 ± 1.3.59 kg / m</w:t>
      </w:r>
      <w:r w:rsidR="00B96ED0" w:rsidRPr="001E70D5">
        <w:rPr>
          <w:vertAlign w:val="superscript"/>
        </w:rPr>
        <w:t>2</w:t>
      </w:r>
      <w:r w:rsidR="00B96ED0" w:rsidRPr="00B96ED0">
        <w:t xml:space="preserve">. While 66.6% of the individuals participating in the study had normal body weight, 19.9% ​​were </w:t>
      </w:r>
      <w:r w:rsidR="001E70D5">
        <w:t>pre-obese</w:t>
      </w:r>
      <w:r w:rsidR="00B96ED0" w:rsidRPr="00B96ED0">
        <w:t xml:space="preserve"> or obese. When the physical activity levels are evaluated, 42.8% of the participants are in the inactive, 27.3% less active, while 11.6% are active. It was observed that 36.7% of the individuals had an eating disorder risk.</w:t>
      </w:r>
      <w:r w:rsidR="00B96ED0">
        <w:t xml:space="preserve"> </w:t>
      </w:r>
    </w:p>
    <w:p w:rsidR="001E70D5" w:rsidRDefault="00B375A7" w:rsidP="00FD419C">
      <w:pPr>
        <w:jc w:val="both"/>
        <w:rPr>
          <w:b/>
        </w:rPr>
      </w:pPr>
      <w:r>
        <w:rPr>
          <w:b/>
        </w:rPr>
        <w:t>Conclusion</w:t>
      </w:r>
      <w:r w:rsidR="00377D86" w:rsidRPr="00377D86">
        <w:rPr>
          <w:b/>
        </w:rPr>
        <w:t>:</w:t>
      </w:r>
      <w:r w:rsidR="001E70D5">
        <w:rPr>
          <w:b/>
        </w:rPr>
        <w:t xml:space="preserve"> </w:t>
      </w:r>
      <w:r w:rsidR="001E70D5" w:rsidRPr="001E70D5">
        <w:t>During the pandemic period, eating habits and physical activity have also affected university students. It is noteworthy that there are individuals with low physical activity levels and high risk of eating disorders. In this period, adopting a healthy lifestyle and increasing the level of physical activity is extremely important not only during the pandemic but also for the sustainability of health throughout life.</w:t>
      </w:r>
    </w:p>
    <w:p w:rsidR="00AB4987" w:rsidRDefault="00B375A7" w:rsidP="00FD419C">
      <w:pPr>
        <w:jc w:val="both"/>
      </w:pPr>
      <w:r>
        <w:rPr>
          <w:b/>
        </w:rPr>
        <w:t>Key Words</w:t>
      </w:r>
      <w:r w:rsidR="00377D86" w:rsidRPr="00561410">
        <w:rPr>
          <w:b/>
        </w:rPr>
        <w:t>:</w:t>
      </w:r>
      <w:r w:rsidR="00377D86">
        <w:t xml:space="preserve"> </w:t>
      </w:r>
      <w:r w:rsidR="004D2C74">
        <w:t>pandemi</w:t>
      </w:r>
      <w:r>
        <w:t>c</w:t>
      </w:r>
      <w:r w:rsidR="004D2C74">
        <w:t xml:space="preserve">, </w:t>
      </w:r>
      <w:r>
        <w:t>physical activity, eating disorder</w:t>
      </w:r>
    </w:p>
    <w:p w:rsidR="00AB4987" w:rsidRDefault="00AB4987" w:rsidP="00FD419C">
      <w:pPr>
        <w:jc w:val="both"/>
      </w:pPr>
    </w:p>
    <w:p w:rsidR="00926317" w:rsidRDefault="00926317" w:rsidP="00FD419C">
      <w:pPr>
        <w:jc w:val="both"/>
      </w:pPr>
      <w:r w:rsidRPr="00CA677B">
        <w:rPr>
          <w:b/>
        </w:rPr>
        <w:t>Sunucunun Mail Adresi:</w:t>
      </w:r>
      <w:r>
        <w:t xml:space="preserve"> feridecelebi_dyt@hotmail.com</w:t>
      </w:r>
    </w:p>
    <w:p w:rsidR="00926317" w:rsidRDefault="00926317" w:rsidP="00FD419C">
      <w:pPr>
        <w:jc w:val="both"/>
      </w:pPr>
      <w:r w:rsidRPr="00CA677B">
        <w:rPr>
          <w:b/>
        </w:rPr>
        <w:t>Sunucunun Telefon Numarası:</w:t>
      </w:r>
      <w:r>
        <w:t xml:space="preserve"> 0 533 235 85 58 </w:t>
      </w:r>
    </w:p>
    <w:p w:rsidR="00926317" w:rsidRDefault="00FD419C" w:rsidP="004D2C74">
      <w:pPr>
        <w:spacing w:after="200" w:line="276" w:lineRule="auto"/>
        <w:ind w:left="284"/>
        <w:jc w:val="both"/>
        <w:rPr>
          <w:rFonts w:cstheme="minorHAnsi"/>
          <w:b/>
        </w:rPr>
      </w:pPr>
      <w:r w:rsidRPr="00FD419C">
        <w:rPr>
          <w:rFonts w:cstheme="minorHAnsi"/>
          <w:b/>
        </w:rPr>
        <w:t>Kaynaklar</w:t>
      </w:r>
    </w:p>
    <w:p w:rsidR="004D2C74" w:rsidRDefault="004D2C74" w:rsidP="004D2C74">
      <w:pPr>
        <w:numPr>
          <w:ilvl w:val="0"/>
          <w:numId w:val="2"/>
        </w:numPr>
        <w:spacing w:after="200" w:line="276" w:lineRule="auto"/>
        <w:ind w:left="284" w:hanging="284"/>
        <w:jc w:val="both"/>
        <w:rPr>
          <w:rFonts w:cstheme="minorHAnsi"/>
        </w:rPr>
      </w:pPr>
      <w:r w:rsidRPr="004D2C74">
        <w:rPr>
          <w:rFonts w:cstheme="minorHAnsi"/>
        </w:rPr>
        <w:t>World Health Organization (WHO). Q &amp; A on coronaviruses (COVID-19). March 9, 2020. Erişim adresi: https://www.who.int/emergencies/diseases/novel-coronavirus-2019/question-and-answers-hub/q-a-detail/q-a-coronaviruses Erişim tarihi: 9 Temmuz 2020.</w:t>
      </w:r>
    </w:p>
    <w:p w:rsidR="004D2C74" w:rsidRPr="008F2D3D" w:rsidRDefault="004D2C74" w:rsidP="004D2C74">
      <w:pPr>
        <w:numPr>
          <w:ilvl w:val="0"/>
          <w:numId w:val="2"/>
        </w:numPr>
        <w:spacing w:after="200" w:line="276" w:lineRule="auto"/>
        <w:ind w:left="284" w:hanging="284"/>
        <w:jc w:val="both"/>
        <w:rPr>
          <w:rFonts w:cstheme="minorHAnsi"/>
        </w:rPr>
      </w:pPr>
      <w:r w:rsidRPr="004D2C74">
        <w:rPr>
          <w:rFonts w:cstheme="minorHAnsi"/>
        </w:rPr>
        <w:t xml:space="preserve">Serin Y ve Şanlıer N. (2018). Duygusal yeme, besin alımını etkileyen faktörler ve temel hemşirelik </w:t>
      </w:r>
      <w:r w:rsidRPr="008F2D3D">
        <w:rPr>
          <w:rFonts w:cstheme="minorHAnsi"/>
        </w:rPr>
        <w:t>yaklaşımları. J Psychiatric Nurs, 9(2):135-146</w:t>
      </w:r>
    </w:p>
    <w:p w:rsidR="004D2C74" w:rsidRPr="008F2D3D" w:rsidRDefault="004D2C74" w:rsidP="004D2C74">
      <w:pPr>
        <w:numPr>
          <w:ilvl w:val="0"/>
          <w:numId w:val="2"/>
        </w:numPr>
        <w:spacing w:after="200" w:line="276" w:lineRule="auto"/>
        <w:ind w:left="284" w:hanging="284"/>
        <w:jc w:val="both"/>
        <w:rPr>
          <w:rFonts w:cstheme="minorHAnsi"/>
        </w:rPr>
      </w:pPr>
      <w:r w:rsidRPr="008F2D3D">
        <w:rPr>
          <w:rFonts w:cstheme="minorHAnsi"/>
        </w:rPr>
        <w:t xml:space="preserve">Ahorsu, D. K. ,Lin, C. Y.,Imani, V., Saffari, M., Griffiths,M. D., Pakpour, A. H. (2020) The Fear of COVID19 Scale: development and initial validation. International Journal of Mental Health and Addiction, Erişim adresi: https://doi.org/10.1007/s11469-020-00270-8 </w:t>
      </w:r>
    </w:p>
    <w:p w:rsidR="004D2C74" w:rsidRDefault="00926317" w:rsidP="004D2C74">
      <w:pPr>
        <w:numPr>
          <w:ilvl w:val="0"/>
          <w:numId w:val="2"/>
        </w:numPr>
        <w:spacing w:after="200" w:line="276" w:lineRule="auto"/>
        <w:ind w:left="284" w:hanging="284"/>
        <w:jc w:val="both"/>
        <w:rPr>
          <w:rFonts w:cstheme="minorHAnsi"/>
        </w:rPr>
      </w:pPr>
      <w:r w:rsidRPr="004D2C74">
        <w:rPr>
          <w:rFonts w:cstheme="minorHAnsi"/>
        </w:rPr>
        <w:t xml:space="preserve">WHO. Body Mass İndex. Accessed at: </w:t>
      </w:r>
      <w:hyperlink r:id="rId8" w:history="1">
        <w:r w:rsidRPr="004D2C74">
          <w:rPr>
            <w:rStyle w:val="Kpr"/>
            <w:rFonts w:cstheme="minorHAnsi"/>
            <w:color w:val="auto"/>
          </w:rPr>
          <w:t>https://www.euro.who.int/en/health-topics/disease-prevention/nutrition/a-healthy-lifestyle/body-mass-index-bmi</w:t>
        </w:r>
      </w:hyperlink>
      <w:r w:rsidRPr="004D2C74">
        <w:rPr>
          <w:rStyle w:val="Kpr"/>
          <w:rFonts w:cstheme="minorHAnsi"/>
          <w:color w:val="auto"/>
        </w:rPr>
        <w:t xml:space="preserve"> Avaliable: 09/03/2021</w:t>
      </w:r>
    </w:p>
    <w:p w:rsidR="004D2C74" w:rsidRDefault="00926317" w:rsidP="004D2C74">
      <w:pPr>
        <w:numPr>
          <w:ilvl w:val="0"/>
          <w:numId w:val="2"/>
        </w:numPr>
        <w:spacing w:after="200" w:line="276" w:lineRule="auto"/>
        <w:ind w:left="284" w:hanging="284"/>
        <w:jc w:val="both"/>
        <w:rPr>
          <w:rFonts w:cstheme="minorHAnsi"/>
        </w:rPr>
      </w:pPr>
      <w:r w:rsidRPr="004D2C74">
        <w:rPr>
          <w:rFonts w:cstheme="minorHAnsi"/>
        </w:rPr>
        <w:t>Hill LS, Reid F, Morgan JF, Lacey JH. SCOFF, the development of an eating disorder screening questionnaire. Int J</w:t>
      </w:r>
      <w:r w:rsidR="004D2C74">
        <w:rPr>
          <w:rFonts w:cstheme="minorHAnsi"/>
        </w:rPr>
        <w:t xml:space="preserve"> Eat Disord. 2010;43(4):344-51.</w:t>
      </w:r>
    </w:p>
    <w:p w:rsidR="004D2C74" w:rsidRDefault="00926317" w:rsidP="004D2C74">
      <w:pPr>
        <w:numPr>
          <w:ilvl w:val="0"/>
          <w:numId w:val="2"/>
        </w:numPr>
        <w:spacing w:after="200" w:line="276" w:lineRule="auto"/>
        <w:ind w:left="284" w:hanging="284"/>
        <w:jc w:val="both"/>
        <w:rPr>
          <w:rFonts w:cstheme="minorHAnsi"/>
        </w:rPr>
      </w:pPr>
      <w:r w:rsidRPr="004D2C74">
        <w:rPr>
          <w:rFonts w:cstheme="minorHAnsi"/>
        </w:rPr>
        <w:t>Aydemir Ö, Köksal B, Sapmaz ŞY, Yüceyar H. Kadın üniversite öğrencilerinde REZZY yeme bozuklukları ölçeği Türkçe formunun güvenilirlik ve geçerliliği. Anadolu Psikiyatri Derg. 2015;16(1):31-5.</w:t>
      </w:r>
    </w:p>
    <w:p w:rsidR="004D2C74" w:rsidRDefault="00926317" w:rsidP="004D2C74">
      <w:pPr>
        <w:numPr>
          <w:ilvl w:val="0"/>
          <w:numId w:val="2"/>
        </w:numPr>
        <w:spacing w:after="200" w:line="276" w:lineRule="auto"/>
        <w:ind w:left="284" w:hanging="284"/>
        <w:jc w:val="both"/>
        <w:rPr>
          <w:rFonts w:cstheme="minorHAnsi"/>
        </w:rPr>
      </w:pPr>
      <w:r w:rsidRPr="004D2C74">
        <w:rPr>
          <w:rFonts w:cstheme="minorHAnsi"/>
        </w:rPr>
        <w:t>National Health Service. The general practice physical activity questionnaire (GPPAQ): a screening tool to assess adult physical activity levels within primary care. Department of Health &amp; Social Care, London:2009.</w:t>
      </w:r>
    </w:p>
    <w:p w:rsidR="00926317" w:rsidRPr="004D2C74" w:rsidRDefault="00926317" w:rsidP="004D2C74">
      <w:pPr>
        <w:numPr>
          <w:ilvl w:val="0"/>
          <w:numId w:val="2"/>
        </w:numPr>
        <w:spacing w:after="200" w:line="276" w:lineRule="auto"/>
        <w:ind w:left="284" w:hanging="284"/>
        <w:jc w:val="both"/>
        <w:rPr>
          <w:rFonts w:cstheme="minorHAnsi"/>
        </w:rPr>
      </w:pPr>
      <w:r w:rsidRPr="004D2C74">
        <w:rPr>
          <w:rFonts w:cstheme="minorHAnsi"/>
        </w:rPr>
        <w:t>Noğay AEK, Özen M. Birinci Basamak İçin Fiziksel Aktivite Anketinin Türkçe Uyarlamasının Geçerlilik ve Güvenilirliği. Konuralp Tıp Dergisi 2019;11(1): 1-8</w:t>
      </w:r>
    </w:p>
    <w:p w:rsidR="00926317" w:rsidRDefault="00926317" w:rsidP="00FD419C">
      <w:pPr>
        <w:jc w:val="both"/>
        <w:rPr>
          <w:b/>
        </w:rPr>
      </w:pPr>
    </w:p>
    <w:p w:rsidR="00AB4987" w:rsidRDefault="00AB4987" w:rsidP="00FD419C">
      <w:pPr>
        <w:jc w:val="both"/>
      </w:pPr>
      <w:r w:rsidRPr="0001152B">
        <w:rPr>
          <w:b/>
        </w:rPr>
        <w:lastRenderedPageBreak/>
        <w:t>Tablo 1.</w:t>
      </w:r>
      <w:r>
        <w:t xml:space="preserve"> Bireylere ait genel özelliklerin değerlendirilmesi</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1F1C1B" w:rsidTr="00AB4987">
        <w:tc>
          <w:tcPr>
            <w:tcW w:w="3020" w:type="dxa"/>
            <w:tcBorders>
              <w:top w:val="single" w:sz="4" w:space="0" w:color="auto"/>
              <w:bottom w:val="single" w:sz="4" w:space="0" w:color="auto"/>
            </w:tcBorders>
          </w:tcPr>
          <w:p w:rsidR="001F1C1B" w:rsidRPr="001F1C1B" w:rsidRDefault="001F1C1B" w:rsidP="00FD419C">
            <w:pPr>
              <w:jc w:val="both"/>
              <w:rPr>
                <w:b/>
              </w:rPr>
            </w:pPr>
            <w:r w:rsidRPr="001F1C1B">
              <w:rPr>
                <w:b/>
              </w:rPr>
              <w:t>Cinsiyet</w:t>
            </w:r>
          </w:p>
        </w:tc>
        <w:tc>
          <w:tcPr>
            <w:tcW w:w="3021" w:type="dxa"/>
            <w:tcBorders>
              <w:top w:val="single" w:sz="4" w:space="0" w:color="auto"/>
              <w:bottom w:val="single" w:sz="4" w:space="0" w:color="auto"/>
            </w:tcBorders>
          </w:tcPr>
          <w:p w:rsidR="001F1C1B" w:rsidRDefault="0001152B" w:rsidP="00FD419C">
            <w:pPr>
              <w:jc w:val="both"/>
            </w:pPr>
            <w:r w:rsidRPr="00AD7883">
              <w:rPr>
                <w:b/>
              </w:rPr>
              <w:t>N (</w:t>
            </w:r>
            <w:r>
              <w:rPr>
                <w:b/>
              </w:rPr>
              <w:t>n:</w:t>
            </w:r>
            <w:r w:rsidRPr="00AD7883">
              <w:rPr>
                <w:b/>
              </w:rPr>
              <w:t>362)</w:t>
            </w:r>
          </w:p>
        </w:tc>
        <w:tc>
          <w:tcPr>
            <w:tcW w:w="3021" w:type="dxa"/>
            <w:tcBorders>
              <w:top w:val="single" w:sz="4" w:space="0" w:color="auto"/>
              <w:bottom w:val="single" w:sz="4" w:space="0" w:color="auto"/>
            </w:tcBorders>
          </w:tcPr>
          <w:p w:rsidR="001F1C1B" w:rsidRDefault="0001152B" w:rsidP="00FD419C">
            <w:pPr>
              <w:jc w:val="both"/>
            </w:pPr>
            <w:r w:rsidRPr="00AD7883">
              <w:rPr>
                <w:b/>
              </w:rPr>
              <w:t>%</w:t>
            </w:r>
          </w:p>
        </w:tc>
      </w:tr>
      <w:tr w:rsidR="001F1C1B" w:rsidTr="00AB4987">
        <w:tc>
          <w:tcPr>
            <w:tcW w:w="3020" w:type="dxa"/>
            <w:tcBorders>
              <w:top w:val="single" w:sz="4" w:space="0" w:color="auto"/>
            </w:tcBorders>
          </w:tcPr>
          <w:p w:rsidR="001F1C1B" w:rsidRDefault="001F1C1B" w:rsidP="00FD419C">
            <w:pPr>
              <w:jc w:val="both"/>
            </w:pPr>
            <w:r>
              <w:t>Erkek</w:t>
            </w:r>
          </w:p>
        </w:tc>
        <w:tc>
          <w:tcPr>
            <w:tcW w:w="3021" w:type="dxa"/>
            <w:tcBorders>
              <w:top w:val="single" w:sz="4" w:space="0" w:color="auto"/>
            </w:tcBorders>
          </w:tcPr>
          <w:p w:rsidR="001F1C1B" w:rsidRDefault="001F1C1B" w:rsidP="00FD419C">
            <w:pPr>
              <w:jc w:val="both"/>
            </w:pPr>
            <w:r>
              <w:t>84</w:t>
            </w:r>
          </w:p>
        </w:tc>
        <w:tc>
          <w:tcPr>
            <w:tcW w:w="3021" w:type="dxa"/>
            <w:tcBorders>
              <w:top w:val="single" w:sz="4" w:space="0" w:color="auto"/>
            </w:tcBorders>
          </w:tcPr>
          <w:p w:rsidR="001F1C1B" w:rsidRDefault="001F1C1B" w:rsidP="00FD419C">
            <w:pPr>
              <w:jc w:val="both"/>
            </w:pPr>
            <w:r>
              <w:t>23.2</w:t>
            </w:r>
          </w:p>
        </w:tc>
      </w:tr>
      <w:tr w:rsidR="001F1C1B" w:rsidTr="00AB4987">
        <w:tc>
          <w:tcPr>
            <w:tcW w:w="3020" w:type="dxa"/>
            <w:tcBorders>
              <w:bottom w:val="nil"/>
            </w:tcBorders>
          </w:tcPr>
          <w:p w:rsidR="001F1C1B" w:rsidRDefault="001F1C1B" w:rsidP="00FD419C">
            <w:pPr>
              <w:jc w:val="both"/>
            </w:pPr>
            <w:r>
              <w:t>Kadın</w:t>
            </w:r>
          </w:p>
        </w:tc>
        <w:tc>
          <w:tcPr>
            <w:tcW w:w="3021" w:type="dxa"/>
            <w:tcBorders>
              <w:bottom w:val="nil"/>
            </w:tcBorders>
          </w:tcPr>
          <w:p w:rsidR="001F1C1B" w:rsidRDefault="001F1C1B" w:rsidP="00FD419C">
            <w:pPr>
              <w:jc w:val="both"/>
            </w:pPr>
            <w:r>
              <w:t>278</w:t>
            </w:r>
          </w:p>
        </w:tc>
        <w:tc>
          <w:tcPr>
            <w:tcW w:w="3021" w:type="dxa"/>
            <w:tcBorders>
              <w:bottom w:val="nil"/>
            </w:tcBorders>
          </w:tcPr>
          <w:p w:rsidR="001F1C1B" w:rsidRDefault="001F1C1B" w:rsidP="00FD419C">
            <w:pPr>
              <w:jc w:val="both"/>
            </w:pPr>
            <w:r>
              <w:t>76.8</w:t>
            </w:r>
          </w:p>
        </w:tc>
      </w:tr>
      <w:tr w:rsidR="00B85C59" w:rsidTr="00AB4987">
        <w:tc>
          <w:tcPr>
            <w:tcW w:w="3020" w:type="dxa"/>
            <w:tcBorders>
              <w:top w:val="nil"/>
              <w:bottom w:val="nil"/>
            </w:tcBorders>
          </w:tcPr>
          <w:p w:rsidR="00B85C59" w:rsidRPr="001F1C1B" w:rsidRDefault="00B85C59" w:rsidP="00FD419C">
            <w:pPr>
              <w:jc w:val="both"/>
              <w:rPr>
                <w:b/>
              </w:rPr>
            </w:pPr>
            <w:r w:rsidRPr="001F1C1B">
              <w:rPr>
                <w:b/>
              </w:rPr>
              <w:t>Üniversite bölümü</w:t>
            </w:r>
          </w:p>
        </w:tc>
        <w:tc>
          <w:tcPr>
            <w:tcW w:w="3021" w:type="dxa"/>
            <w:tcBorders>
              <w:top w:val="nil"/>
              <w:bottom w:val="nil"/>
            </w:tcBorders>
          </w:tcPr>
          <w:p w:rsidR="00B85C59" w:rsidRDefault="00B85C59" w:rsidP="00FD419C">
            <w:pPr>
              <w:jc w:val="both"/>
            </w:pPr>
          </w:p>
        </w:tc>
        <w:tc>
          <w:tcPr>
            <w:tcW w:w="3021" w:type="dxa"/>
            <w:tcBorders>
              <w:top w:val="nil"/>
              <w:bottom w:val="nil"/>
            </w:tcBorders>
          </w:tcPr>
          <w:p w:rsidR="00B85C59" w:rsidRDefault="00B85C59" w:rsidP="00FD419C">
            <w:pPr>
              <w:jc w:val="both"/>
            </w:pPr>
          </w:p>
        </w:tc>
      </w:tr>
      <w:tr w:rsidR="00B85C59" w:rsidTr="00AB4987">
        <w:tc>
          <w:tcPr>
            <w:tcW w:w="3020" w:type="dxa"/>
            <w:tcBorders>
              <w:top w:val="nil"/>
            </w:tcBorders>
          </w:tcPr>
          <w:p w:rsidR="00B85C59" w:rsidRDefault="00B85C59" w:rsidP="00FD419C">
            <w:pPr>
              <w:jc w:val="both"/>
            </w:pPr>
            <w:r>
              <w:t>Sağlık alanı</w:t>
            </w:r>
          </w:p>
        </w:tc>
        <w:tc>
          <w:tcPr>
            <w:tcW w:w="3021" w:type="dxa"/>
            <w:tcBorders>
              <w:top w:val="nil"/>
            </w:tcBorders>
          </w:tcPr>
          <w:p w:rsidR="00B85C59" w:rsidRDefault="00B85C59" w:rsidP="00FD419C">
            <w:pPr>
              <w:jc w:val="both"/>
            </w:pPr>
            <w:r>
              <w:t>118</w:t>
            </w:r>
          </w:p>
        </w:tc>
        <w:tc>
          <w:tcPr>
            <w:tcW w:w="3021" w:type="dxa"/>
            <w:tcBorders>
              <w:top w:val="nil"/>
            </w:tcBorders>
          </w:tcPr>
          <w:p w:rsidR="00B85C59" w:rsidRDefault="00B85C59" w:rsidP="00FD419C">
            <w:pPr>
              <w:jc w:val="both"/>
            </w:pPr>
            <w:r>
              <w:t>32.6</w:t>
            </w:r>
          </w:p>
        </w:tc>
      </w:tr>
      <w:tr w:rsidR="00B85C59" w:rsidTr="00AB4987">
        <w:tc>
          <w:tcPr>
            <w:tcW w:w="3020" w:type="dxa"/>
          </w:tcPr>
          <w:p w:rsidR="00B85C59" w:rsidRDefault="00B85C59" w:rsidP="00FD419C">
            <w:pPr>
              <w:jc w:val="both"/>
            </w:pPr>
            <w:r>
              <w:t>Sağlık dışı alan</w:t>
            </w:r>
          </w:p>
        </w:tc>
        <w:tc>
          <w:tcPr>
            <w:tcW w:w="3021" w:type="dxa"/>
          </w:tcPr>
          <w:p w:rsidR="00B85C59" w:rsidRDefault="00B85C59" w:rsidP="00FD419C">
            <w:pPr>
              <w:jc w:val="both"/>
            </w:pPr>
            <w:r>
              <w:t>244</w:t>
            </w:r>
          </w:p>
        </w:tc>
        <w:tc>
          <w:tcPr>
            <w:tcW w:w="3021" w:type="dxa"/>
          </w:tcPr>
          <w:p w:rsidR="00B85C59" w:rsidRDefault="00B85C59" w:rsidP="00FD419C">
            <w:pPr>
              <w:jc w:val="both"/>
            </w:pPr>
            <w:r>
              <w:t>67.4</w:t>
            </w:r>
          </w:p>
        </w:tc>
      </w:tr>
      <w:tr w:rsidR="00B85C59" w:rsidTr="00AB4987">
        <w:tc>
          <w:tcPr>
            <w:tcW w:w="3020" w:type="dxa"/>
          </w:tcPr>
          <w:p w:rsidR="00B85C59" w:rsidRPr="001F1C1B" w:rsidRDefault="00B85C59" w:rsidP="00FD419C">
            <w:pPr>
              <w:jc w:val="both"/>
              <w:rPr>
                <w:b/>
              </w:rPr>
            </w:pPr>
            <w:r w:rsidRPr="008F2D3D">
              <w:rPr>
                <w:b/>
              </w:rPr>
              <w:t>Kimle yaşanıldığı</w:t>
            </w:r>
          </w:p>
        </w:tc>
        <w:tc>
          <w:tcPr>
            <w:tcW w:w="3021" w:type="dxa"/>
          </w:tcPr>
          <w:p w:rsidR="00B85C59" w:rsidRDefault="00B85C59" w:rsidP="00FD419C">
            <w:pPr>
              <w:jc w:val="both"/>
            </w:pPr>
          </w:p>
        </w:tc>
        <w:tc>
          <w:tcPr>
            <w:tcW w:w="3021" w:type="dxa"/>
          </w:tcPr>
          <w:p w:rsidR="00B85C59" w:rsidRDefault="00B85C59" w:rsidP="00FD419C">
            <w:pPr>
              <w:jc w:val="both"/>
            </w:pPr>
          </w:p>
        </w:tc>
      </w:tr>
      <w:tr w:rsidR="00B85C59" w:rsidTr="00AB4987">
        <w:tc>
          <w:tcPr>
            <w:tcW w:w="3020" w:type="dxa"/>
          </w:tcPr>
          <w:p w:rsidR="00B85C59" w:rsidRDefault="00B85C59" w:rsidP="00FD419C">
            <w:pPr>
              <w:jc w:val="both"/>
            </w:pPr>
            <w:r>
              <w:t>Aile</w:t>
            </w:r>
          </w:p>
        </w:tc>
        <w:tc>
          <w:tcPr>
            <w:tcW w:w="3021" w:type="dxa"/>
          </w:tcPr>
          <w:p w:rsidR="00B85C59" w:rsidRDefault="00B85C59" w:rsidP="00FD419C">
            <w:pPr>
              <w:jc w:val="both"/>
            </w:pPr>
            <w:r>
              <w:t>324</w:t>
            </w:r>
          </w:p>
        </w:tc>
        <w:tc>
          <w:tcPr>
            <w:tcW w:w="3021" w:type="dxa"/>
          </w:tcPr>
          <w:p w:rsidR="00B85C59" w:rsidRDefault="00B85C59" w:rsidP="00FD419C">
            <w:pPr>
              <w:jc w:val="both"/>
            </w:pPr>
            <w:r>
              <w:t>89.5</w:t>
            </w:r>
          </w:p>
        </w:tc>
      </w:tr>
      <w:tr w:rsidR="00B85C59" w:rsidTr="00AB4987">
        <w:tc>
          <w:tcPr>
            <w:tcW w:w="3020" w:type="dxa"/>
          </w:tcPr>
          <w:p w:rsidR="00B85C59" w:rsidRDefault="00B85C59" w:rsidP="00FD419C">
            <w:pPr>
              <w:jc w:val="both"/>
            </w:pPr>
            <w:r>
              <w:t>Ev arkadaşı</w:t>
            </w:r>
          </w:p>
        </w:tc>
        <w:tc>
          <w:tcPr>
            <w:tcW w:w="3021" w:type="dxa"/>
          </w:tcPr>
          <w:p w:rsidR="00B85C59" w:rsidRDefault="00B85C59" w:rsidP="00FD419C">
            <w:pPr>
              <w:jc w:val="both"/>
            </w:pPr>
            <w:r>
              <w:t>24</w:t>
            </w:r>
          </w:p>
        </w:tc>
        <w:tc>
          <w:tcPr>
            <w:tcW w:w="3021" w:type="dxa"/>
          </w:tcPr>
          <w:p w:rsidR="00B85C59" w:rsidRDefault="00B85C59" w:rsidP="00FD419C">
            <w:pPr>
              <w:jc w:val="both"/>
            </w:pPr>
            <w:r>
              <w:t>6.7</w:t>
            </w:r>
          </w:p>
        </w:tc>
      </w:tr>
      <w:tr w:rsidR="00B85C59" w:rsidTr="00AB4987">
        <w:tc>
          <w:tcPr>
            <w:tcW w:w="3020" w:type="dxa"/>
          </w:tcPr>
          <w:p w:rsidR="00B85C59" w:rsidRDefault="00B85C59" w:rsidP="00FD419C">
            <w:pPr>
              <w:jc w:val="both"/>
            </w:pPr>
            <w:r>
              <w:t>Yalnız</w:t>
            </w:r>
          </w:p>
        </w:tc>
        <w:tc>
          <w:tcPr>
            <w:tcW w:w="3021" w:type="dxa"/>
          </w:tcPr>
          <w:p w:rsidR="00B85C59" w:rsidRDefault="00A93781" w:rsidP="00FD419C">
            <w:pPr>
              <w:jc w:val="both"/>
            </w:pPr>
            <w:r>
              <w:t>14</w:t>
            </w:r>
          </w:p>
        </w:tc>
        <w:tc>
          <w:tcPr>
            <w:tcW w:w="3021" w:type="dxa"/>
          </w:tcPr>
          <w:p w:rsidR="00B85C59" w:rsidRDefault="00A93781" w:rsidP="00FD419C">
            <w:pPr>
              <w:jc w:val="both"/>
            </w:pPr>
            <w:r>
              <w:t>3.8</w:t>
            </w:r>
          </w:p>
        </w:tc>
      </w:tr>
      <w:tr w:rsidR="00B85C59" w:rsidTr="00AB4987">
        <w:tc>
          <w:tcPr>
            <w:tcW w:w="3020" w:type="dxa"/>
          </w:tcPr>
          <w:p w:rsidR="00B85C59" w:rsidRPr="00A93781" w:rsidRDefault="00A93781" w:rsidP="00FD419C">
            <w:pPr>
              <w:jc w:val="both"/>
              <w:rPr>
                <w:b/>
              </w:rPr>
            </w:pPr>
            <w:r w:rsidRPr="00A93781">
              <w:rPr>
                <w:b/>
              </w:rPr>
              <w:t>Vitamin-mineral</w:t>
            </w:r>
            <w:r>
              <w:rPr>
                <w:b/>
              </w:rPr>
              <w:t>/besin</w:t>
            </w:r>
            <w:r w:rsidRPr="00A93781">
              <w:rPr>
                <w:b/>
              </w:rPr>
              <w:t xml:space="preserve"> desteği kullanımı</w:t>
            </w:r>
          </w:p>
        </w:tc>
        <w:tc>
          <w:tcPr>
            <w:tcW w:w="3021" w:type="dxa"/>
          </w:tcPr>
          <w:p w:rsidR="00B85C59" w:rsidRDefault="00B85C59" w:rsidP="00FD419C">
            <w:pPr>
              <w:jc w:val="both"/>
            </w:pPr>
          </w:p>
        </w:tc>
        <w:tc>
          <w:tcPr>
            <w:tcW w:w="3021" w:type="dxa"/>
          </w:tcPr>
          <w:p w:rsidR="00B85C59" w:rsidRDefault="00B85C59" w:rsidP="00FD419C">
            <w:pPr>
              <w:jc w:val="both"/>
            </w:pPr>
          </w:p>
        </w:tc>
      </w:tr>
      <w:tr w:rsidR="00A93781" w:rsidTr="00AB4987">
        <w:tc>
          <w:tcPr>
            <w:tcW w:w="3020" w:type="dxa"/>
          </w:tcPr>
          <w:p w:rsidR="00A93781" w:rsidRDefault="00A93781" w:rsidP="00FD419C">
            <w:pPr>
              <w:jc w:val="both"/>
            </w:pPr>
            <w:r>
              <w:t xml:space="preserve">Yok </w:t>
            </w:r>
          </w:p>
        </w:tc>
        <w:tc>
          <w:tcPr>
            <w:tcW w:w="3021" w:type="dxa"/>
          </w:tcPr>
          <w:p w:rsidR="00A93781" w:rsidRDefault="00A93781" w:rsidP="00FD419C">
            <w:pPr>
              <w:jc w:val="both"/>
            </w:pPr>
            <w:r>
              <w:t>298</w:t>
            </w:r>
          </w:p>
        </w:tc>
        <w:tc>
          <w:tcPr>
            <w:tcW w:w="3021" w:type="dxa"/>
          </w:tcPr>
          <w:p w:rsidR="00A93781" w:rsidRDefault="00A93781" w:rsidP="00FD419C">
            <w:pPr>
              <w:jc w:val="both"/>
            </w:pPr>
            <w:r>
              <w:t>82.3</w:t>
            </w:r>
          </w:p>
        </w:tc>
      </w:tr>
      <w:tr w:rsidR="00A93781" w:rsidTr="00AB4987">
        <w:tc>
          <w:tcPr>
            <w:tcW w:w="3020" w:type="dxa"/>
          </w:tcPr>
          <w:p w:rsidR="00A93781" w:rsidRDefault="00A93781" w:rsidP="00FD419C">
            <w:pPr>
              <w:jc w:val="both"/>
            </w:pPr>
            <w:r>
              <w:t>Var</w:t>
            </w:r>
          </w:p>
        </w:tc>
        <w:tc>
          <w:tcPr>
            <w:tcW w:w="3021" w:type="dxa"/>
          </w:tcPr>
          <w:p w:rsidR="00A93781" w:rsidRDefault="00A93781" w:rsidP="00FD419C">
            <w:pPr>
              <w:jc w:val="both"/>
            </w:pPr>
            <w:r>
              <w:t>64</w:t>
            </w:r>
          </w:p>
        </w:tc>
        <w:tc>
          <w:tcPr>
            <w:tcW w:w="3021" w:type="dxa"/>
          </w:tcPr>
          <w:p w:rsidR="00A93781" w:rsidRDefault="00A93781" w:rsidP="00FD419C">
            <w:pPr>
              <w:jc w:val="both"/>
            </w:pPr>
            <w:r>
              <w:t>17.7</w:t>
            </w:r>
          </w:p>
        </w:tc>
      </w:tr>
      <w:tr w:rsidR="00B85C59" w:rsidTr="00AB4987">
        <w:tc>
          <w:tcPr>
            <w:tcW w:w="3020" w:type="dxa"/>
          </w:tcPr>
          <w:p w:rsidR="00B85C59" w:rsidRPr="00A93781" w:rsidRDefault="00A93781" w:rsidP="00FD419C">
            <w:pPr>
              <w:jc w:val="both"/>
              <w:rPr>
                <w:b/>
              </w:rPr>
            </w:pPr>
            <w:r w:rsidRPr="00A93781">
              <w:rPr>
                <w:b/>
              </w:rPr>
              <w:t>Kullanılan desteğin türü</w:t>
            </w:r>
            <w:r>
              <w:rPr>
                <w:b/>
              </w:rPr>
              <w:t>(n:64)</w:t>
            </w:r>
          </w:p>
        </w:tc>
        <w:tc>
          <w:tcPr>
            <w:tcW w:w="3021" w:type="dxa"/>
          </w:tcPr>
          <w:p w:rsidR="00B85C59" w:rsidRDefault="00B85C59" w:rsidP="00FD419C">
            <w:pPr>
              <w:jc w:val="both"/>
            </w:pPr>
          </w:p>
        </w:tc>
        <w:tc>
          <w:tcPr>
            <w:tcW w:w="3021" w:type="dxa"/>
          </w:tcPr>
          <w:p w:rsidR="00B85C59" w:rsidRDefault="00B85C59" w:rsidP="00FD419C">
            <w:pPr>
              <w:jc w:val="both"/>
            </w:pPr>
          </w:p>
        </w:tc>
      </w:tr>
      <w:tr w:rsidR="00A93781" w:rsidTr="00AB4987">
        <w:tc>
          <w:tcPr>
            <w:tcW w:w="3020" w:type="dxa"/>
          </w:tcPr>
          <w:p w:rsidR="00A93781" w:rsidRDefault="00A93781" w:rsidP="00FD419C">
            <w:pPr>
              <w:jc w:val="both"/>
            </w:pPr>
            <w:r>
              <w:t>Multivitamin</w:t>
            </w:r>
          </w:p>
        </w:tc>
        <w:tc>
          <w:tcPr>
            <w:tcW w:w="3021" w:type="dxa"/>
          </w:tcPr>
          <w:p w:rsidR="00A93781" w:rsidRDefault="00A93781" w:rsidP="00FD419C">
            <w:pPr>
              <w:jc w:val="both"/>
            </w:pPr>
            <w:r>
              <w:t>26</w:t>
            </w:r>
          </w:p>
        </w:tc>
        <w:tc>
          <w:tcPr>
            <w:tcW w:w="3021" w:type="dxa"/>
          </w:tcPr>
          <w:p w:rsidR="00A93781" w:rsidRDefault="004310CA" w:rsidP="00FD419C">
            <w:pPr>
              <w:jc w:val="both"/>
            </w:pPr>
            <w:r>
              <w:t>40.6</w:t>
            </w:r>
          </w:p>
        </w:tc>
      </w:tr>
      <w:tr w:rsidR="00A93781" w:rsidTr="00AB4987">
        <w:tc>
          <w:tcPr>
            <w:tcW w:w="3020" w:type="dxa"/>
          </w:tcPr>
          <w:p w:rsidR="00A93781" w:rsidRDefault="00A93781" w:rsidP="00FD419C">
            <w:pPr>
              <w:jc w:val="both"/>
            </w:pPr>
            <w:r>
              <w:t>D vitamini</w:t>
            </w:r>
          </w:p>
        </w:tc>
        <w:tc>
          <w:tcPr>
            <w:tcW w:w="3021" w:type="dxa"/>
          </w:tcPr>
          <w:p w:rsidR="00A93781" w:rsidRDefault="00A93781" w:rsidP="00FD419C">
            <w:pPr>
              <w:jc w:val="both"/>
            </w:pPr>
            <w:r>
              <w:t>16</w:t>
            </w:r>
          </w:p>
        </w:tc>
        <w:tc>
          <w:tcPr>
            <w:tcW w:w="3021" w:type="dxa"/>
          </w:tcPr>
          <w:p w:rsidR="00A93781" w:rsidRDefault="004310CA" w:rsidP="00FD419C">
            <w:pPr>
              <w:jc w:val="both"/>
            </w:pPr>
            <w:r>
              <w:t>25.0</w:t>
            </w:r>
          </w:p>
        </w:tc>
      </w:tr>
      <w:tr w:rsidR="00A93781" w:rsidTr="00AB4987">
        <w:tc>
          <w:tcPr>
            <w:tcW w:w="3020" w:type="dxa"/>
          </w:tcPr>
          <w:p w:rsidR="00A93781" w:rsidRDefault="00A93781" w:rsidP="00FD419C">
            <w:pPr>
              <w:jc w:val="both"/>
            </w:pPr>
            <w:r>
              <w:t>C vitamini</w:t>
            </w:r>
          </w:p>
        </w:tc>
        <w:tc>
          <w:tcPr>
            <w:tcW w:w="3021" w:type="dxa"/>
          </w:tcPr>
          <w:p w:rsidR="00A93781" w:rsidRDefault="00A93781" w:rsidP="00FD419C">
            <w:pPr>
              <w:jc w:val="both"/>
            </w:pPr>
            <w:r>
              <w:t>5</w:t>
            </w:r>
          </w:p>
        </w:tc>
        <w:tc>
          <w:tcPr>
            <w:tcW w:w="3021" w:type="dxa"/>
          </w:tcPr>
          <w:p w:rsidR="00A93781" w:rsidRDefault="004310CA" w:rsidP="00FD419C">
            <w:pPr>
              <w:jc w:val="both"/>
            </w:pPr>
            <w:r>
              <w:t>7.8</w:t>
            </w:r>
          </w:p>
        </w:tc>
      </w:tr>
      <w:tr w:rsidR="00A93781" w:rsidTr="00AB4987">
        <w:tc>
          <w:tcPr>
            <w:tcW w:w="3020" w:type="dxa"/>
          </w:tcPr>
          <w:p w:rsidR="00A93781" w:rsidRDefault="00A93781" w:rsidP="00FD419C">
            <w:pPr>
              <w:jc w:val="both"/>
            </w:pPr>
            <w:r>
              <w:t>B 12 vitamini</w:t>
            </w:r>
          </w:p>
        </w:tc>
        <w:tc>
          <w:tcPr>
            <w:tcW w:w="3021" w:type="dxa"/>
          </w:tcPr>
          <w:p w:rsidR="00A93781" w:rsidRDefault="00A93781" w:rsidP="00FD419C">
            <w:pPr>
              <w:jc w:val="both"/>
            </w:pPr>
            <w:r>
              <w:t>4</w:t>
            </w:r>
          </w:p>
        </w:tc>
        <w:tc>
          <w:tcPr>
            <w:tcW w:w="3021" w:type="dxa"/>
          </w:tcPr>
          <w:p w:rsidR="00A93781" w:rsidRDefault="004310CA" w:rsidP="00FD419C">
            <w:pPr>
              <w:jc w:val="both"/>
            </w:pPr>
            <w:r>
              <w:t>6.3</w:t>
            </w:r>
          </w:p>
        </w:tc>
      </w:tr>
      <w:tr w:rsidR="00A93781" w:rsidTr="00AB4987">
        <w:tc>
          <w:tcPr>
            <w:tcW w:w="3020" w:type="dxa"/>
          </w:tcPr>
          <w:p w:rsidR="00A93781" w:rsidRDefault="00A93781" w:rsidP="00FD419C">
            <w:pPr>
              <w:jc w:val="both"/>
            </w:pPr>
            <w:r>
              <w:t>Beta glukan</w:t>
            </w:r>
          </w:p>
        </w:tc>
        <w:tc>
          <w:tcPr>
            <w:tcW w:w="3021" w:type="dxa"/>
          </w:tcPr>
          <w:p w:rsidR="00A93781" w:rsidRDefault="00A93781" w:rsidP="00FD419C">
            <w:pPr>
              <w:jc w:val="both"/>
            </w:pPr>
            <w:r>
              <w:t>3</w:t>
            </w:r>
          </w:p>
        </w:tc>
        <w:tc>
          <w:tcPr>
            <w:tcW w:w="3021" w:type="dxa"/>
          </w:tcPr>
          <w:p w:rsidR="00A93781" w:rsidRDefault="004310CA" w:rsidP="00FD419C">
            <w:pPr>
              <w:jc w:val="both"/>
            </w:pPr>
            <w:r>
              <w:t>4.7</w:t>
            </w:r>
          </w:p>
        </w:tc>
      </w:tr>
      <w:tr w:rsidR="00A93781" w:rsidTr="00AB4987">
        <w:tc>
          <w:tcPr>
            <w:tcW w:w="3020" w:type="dxa"/>
          </w:tcPr>
          <w:p w:rsidR="00A93781" w:rsidRDefault="00A93781" w:rsidP="00FD419C">
            <w:pPr>
              <w:jc w:val="both"/>
            </w:pPr>
            <w:r>
              <w:t>Çinko</w:t>
            </w:r>
          </w:p>
        </w:tc>
        <w:tc>
          <w:tcPr>
            <w:tcW w:w="3021" w:type="dxa"/>
          </w:tcPr>
          <w:p w:rsidR="00A93781" w:rsidRDefault="00965241" w:rsidP="00FD419C">
            <w:pPr>
              <w:jc w:val="both"/>
            </w:pPr>
            <w:r>
              <w:t>3</w:t>
            </w:r>
          </w:p>
        </w:tc>
        <w:tc>
          <w:tcPr>
            <w:tcW w:w="3021" w:type="dxa"/>
          </w:tcPr>
          <w:p w:rsidR="00A93781" w:rsidRDefault="004310CA" w:rsidP="00FD419C">
            <w:pPr>
              <w:jc w:val="both"/>
            </w:pPr>
            <w:r>
              <w:t>4.7</w:t>
            </w:r>
          </w:p>
        </w:tc>
      </w:tr>
      <w:tr w:rsidR="00A93781" w:rsidTr="00AB4987">
        <w:tc>
          <w:tcPr>
            <w:tcW w:w="3020" w:type="dxa"/>
          </w:tcPr>
          <w:p w:rsidR="00A93781" w:rsidRDefault="00A93781" w:rsidP="00FD419C">
            <w:pPr>
              <w:jc w:val="both"/>
            </w:pPr>
            <w:r>
              <w:t>Omega-3</w:t>
            </w:r>
          </w:p>
        </w:tc>
        <w:tc>
          <w:tcPr>
            <w:tcW w:w="3021" w:type="dxa"/>
          </w:tcPr>
          <w:p w:rsidR="00A93781" w:rsidRDefault="00A93781" w:rsidP="00FD419C">
            <w:pPr>
              <w:jc w:val="both"/>
            </w:pPr>
            <w:r>
              <w:t>4</w:t>
            </w:r>
          </w:p>
        </w:tc>
        <w:tc>
          <w:tcPr>
            <w:tcW w:w="3021" w:type="dxa"/>
          </w:tcPr>
          <w:p w:rsidR="00A93781" w:rsidRDefault="004310CA" w:rsidP="00FD419C">
            <w:pPr>
              <w:jc w:val="both"/>
            </w:pPr>
            <w:r>
              <w:t>6.3</w:t>
            </w:r>
          </w:p>
        </w:tc>
      </w:tr>
      <w:tr w:rsidR="00A93781" w:rsidTr="00AB4987">
        <w:tc>
          <w:tcPr>
            <w:tcW w:w="3020" w:type="dxa"/>
          </w:tcPr>
          <w:p w:rsidR="00A93781" w:rsidRDefault="00A93781" w:rsidP="00FD419C">
            <w:pPr>
              <w:jc w:val="both"/>
            </w:pPr>
            <w:r>
              <w:t>Probiyotik</w:t>
            </w:r>
          </w:p>
        </w:tc>
        <w:tc>
          <w:tcPr>
            <w:tcW w:w="3021" w:type="dxa"/>
          </w:tcPr>
          <w:p w:rsidR="00A93781" w:rsidRDefault="00A93781" w:rsidP="00FD419C">
            <w:pPr>
              <w:jc w:val="both"/>
            </w:pPr>
            <w:r>
              <w:t>3</w:t>
            </w:r>
          </w:p>
        </w:tc>
        <w:tc>
          <w:tcPr>
            <w:tcW w:w="3021" w:type="dxa"/>
          </w:tcPr>
          <w:p w:rsidR="00A93781" w:rsidRDefault="004310CA" w:rsidP="00FD419C">
            <w:pPr>
              <w:jc w:val="both"/>
            </w:pPr>
            <w:r>
              <w:t>4.7</w:t>
            </w:r>
          </w:p>
        </w:tc>
      </w:tr>
      <w:tr w:rsidR="004F2001" w:rsidTr="00AB4987">
        <w:tc>
          <w:tcPr>
            <w:tcW w:w="3020" w:type="dxa"/>
          </w:tcPr>
          <w:p w:rsidR="004F2001" w:rsidRPr="009B4D5F" w:rsidRDefault="009B4D5F" w:rsidP="00FD419C">
            <w:pPr>
              <w:jc w:val="both"/>
              <w:rPr>
                <w:b/>
              </w:rPr>
            </w:pPr>
            <w:r w:rsidRPr="009B4D5F">
              <w:rPr>
                <w:b/>
              </w:rPr>
              <w:t>Öğün atlama durumu</w:t>
            </w:r>
          </w:p>
        </w:tc>
        <w:tc>
          <w:tcPr>
            <w:tcW w:w="3021" w:type="dxa"/>
          </w:tcPr>
          <w:p w:rsidR="004F2001" w:rsidRDefault="004F2001" w:rsidP="00FD419C">
            <w:pPr>
              <w:jc w:val="both"/>
            </w:pPr>
          </w:p>
        </w:tc>
        <w:tc>
          <w:tcPr>
            <w:tcW w:w="3021" w:type="dxa"/>
          </w:tcPr>
          <w:p w:rsidR="004F2001" w:rsidRDefault="004F2001" w:rsidP="00FD419C">
            <w:pPr>
              <w:jc w:val="both"/>
            </w:pPr>
          </w:p>
        </w:tc>
      </w:tr>
      <w:tr w:rsidR="009B4D5F" w:rsidTr="00AB4987">
        <w:tc>
          <w:tcPr>
            <w:tcW w:w="3020" w:type="dxa"/>
          </w:tcPr>
          <w:p w:rsidR="009B4D5F" w:rsidRPr="009B4D5F" w:rsidRDefault="009B4D5F" w:rsidP="00FD419C">
            <w:pPr>
              <w:jc w:val="both"/>
            </w:pPr>
            <w:r w:rsidRPr="009B4D5F">
              <w:t>Evet</w:t>
            </w:r>
          </w:p>
        </w:tc>
        <w:tc>
          <w:tcPr>
            <w:tcW w:w="3021" w:type="dxa"/>
          </w:tcPr>
          <w:p w:rsidR="009B4D5F" w:rsidRDefault="009B4D5F" w:rsidP="00FD419C">
            <w:pPr>
              <w:jc w:val="both"/>
            </w:pPr>
            <w:r>
              <w:t>120</w:t>
            </w:r>
          </w:p>
        </w:tc>
        <w:tc>
          <w:tcPr>
            <w:tcW w:w="3021" w:type="dxa"/>
          </w:tcPr>
          <w:p w:rsidR="009B4D5F" w:rsidRDefault="009B4D5F" w:rsidP="00FD419C">
            <w:pPr>
              <w:jc w:val="both"/>
            </w:pPr>
            <w:r>
              <w:t>33.1</w:t>
            </w:r>
          </w:p>
        </w:tc>
      </w:tr>
      <w:tr w:rsidR="009B4D5F" w:rsidTr="00AB4987">
        <w:tc>
          <w:tcPr>
            <w:tcW w:w="3020" w:type="dxa"/>
          </w:tcPr>
          <w:p w:rsidR="009B4D5F" w:rsidRPr="009B4D5F" w:rsidRDefault="009B4D5F" w:rsidP="00FD419C">
            <w:pPr>
              <w:jc w:val="both"/>
            </w:pPr>
            <w:r w:rsidRPr="009B4D5F">
              <w:t>Hayır</w:t>
            </w:r>
          </w:p>
        </w:tc>
        <w:tc>
          <w:tcPr>
            <w:tcW w:w="3021" w:type="dxa"/>
          </w:tcPr>
          <w:p w:rsidR="009B4D5F" w:rsidRDefault="009B4D5F" w:rsidP="00FD419C">
            <w:pPr>
              <w:jc w:val="both"/>
            </w:pPr>
            <w:r>
              <w:t>242</w:t>
            </w:r>
          </w:p>
        </w:tc>
        <w:tc>
          <w:tcPr>
            <w:tcW w:w="3021" w:type="dxa"/>
          </w:tcPr>
          <w:p w:rsidR="009B4D5F" w:rsidRDefault="009B4D5F" w:rsidP="00FD419C">
            <w:pPr>
              <w:jc w:val="both"/>
            </w:pPr>
            <w:r>
              <w:t>66.9</w:t>
            </w:r>
          </w:p>
        </w:tc>
      </w:tr>
      <w:tr w:rsidR="009B4D5F" w:rsidTr="00AB4987">
        <w:tc>
          <w:tcPr>
            <w:tcW w:w="3020" w:type="dxa"/>
          </w:tcPr>
          <w:p w:rsidR="009B4D5F" w:rsidRPr="009B4D5F" w:rsidRDefault="009B4D5F" w:rsidP="00FD419C">
            <w:pPr>
              <w:jc w:val="both"/>
              <w:rPr>
                <w:b/>
              </w:rPr>
            </w:pPr>
            <w:r w:rsidRPr="009B4D5F">
              <w:rPr>
                <w:b/>
              </w:rPr>
              <w:t xml:space="preserve">Hangi öğün </w:t>
            </w:r>
            <w:r>
              <w:rPr>
                <w:b/>
              </w:rPr>
              <w:t>(n:120)</w:t>
            </w:r>
          </w:p>
        </w:tc>
        <w:tc>
          <w:tcPr>
            <w:tcW w:w="3021" w:type="dxa"/>
          </w:tcPr>
          <w:p w:rsidR="009B4D5F" w:rsidRDefault="009B4D5F" w:rsidP="00FD419C">
            <w:pPr>
              <w:jc w:val="both"/>
            </w:pPr>
          </w:p>
        </w:tc>
        <w:tc>
          <w:tcPr>
            <w:tcW w:w="3021" w:type="dxa"/>
          </w:tcPr>
          <w:p w:rsidR="009B4D5F" w:rsidRDefault="009B4D5F" w:rsidP="00FD419C">
            <w:pPr>
              <w:jc w:val="both"/>
            </w:pPr>
          </w:p>
        </w:tc>
      </w:tr>
      <w:tr w:rsidR="009B4D5F" w:rsidTr="00AB4987">
        <w:tc>
          <w:tcPr>
            <w:tcW w:w="3020" w:type="dxa"/>
          </w:tcPr>
          <w:p w:rsidR="009B4D5F" w:rsidRPr="009B4D5F" w:rsidRDefault="009B4D5F" w:rsidP="00FD419C">
            <w:pPr>
              <w:jc w:val="both"/>
            </w:pPr>
            <w:r>
              <w:t>Sabah</w:t>
            </w:r>
          </w:p>
        </w:tc>
        <w:tc>
          <w:tcPr>
            <w:tcW w:w="3021" w:type="dxa"/>
          </w:tcPr>
          <w:p w:rsidR="009B4D5F" w:rsidRDefault="009B4D5F" w:rsidP="00FD419C">
            <w:pPr>
              <w:jc w:val="both"/>
            </w:pPr>
            <w:r>
              <w:t>79</w:t>
            </w:r>
          </w:p>
        </w:tc>
        <w:tc>
          <w:tcPr>
            <w:tcW w:w="3021" w:type="dxa"/>
          </w:tcPr>
          <w:p w:rsidR="009B4D5F" w:rsidRDefault="009B4D5F" w:rsidP="00FD419C">
            <w:pPr>
              <w:jc w:val="both"/>
            </w:pPr>
            <w:r>
              <w:t>21.8</w:t>
            </w:r>
          </w:p>
        </w:tc>
      </w:tr>
      <w:tr w:rsidR="009B4D5F" w:rsidTr="00AB4987">
        <w:tc>
          <w:tcPr>
            <w:tcW w:w="3020" w:type="dxa"/>
          </w:tcPr>
          <w:p w:rsidR="009B4D5F" w:rsidRPr="009B4D5F" w:rsidRDefault="009B4D5F" w:rsidP="00FD419C">
            <w:pPr>
              <w:jc w:val="both"/>
            </w:pPr>
            <w:r>
              <w:t xml:space="preserve">Öğle </w:t>
            </w:r>
          </w:p>
        </w:tc>
        <w:tc>
          <w:tcPr>
            <w:tcW w:w="3021" w:type="dxa"/>
          </w:tcPr>
          <w:p w:rsidR="009B4D5F" w:rsidRDefault="009B4D5F" w:rsidP="00FD419C">
            <w:pPr>
              <w:jc w:val="both"/>
            </w:pPr>
            <w:r>
              <w:t>148</w:t>
            </w:r>
          </w:p>
        </w:tc>
        <w:tc>
          <w:tcPr>
            <w:tcW w:w="3021" w:type="dxa"/>
          </w:tcPr>
          <w:p w:rsidR="009B4D5F" w:rsidRDefault="009B4D5F" w:rsidP="00FD419C">
            <w:pPr>
              <w:jc w:val="both"/>
            </w:pPr>
            <w:r>
              <w:t>40.9</w:t>
            </w:r>
          </w:p>
        </w:tc>
      </w:tr>
      <w:tr w:rsidR="009B4D5F" w:rsidTr="00AB4987">
        <w:tc>
          <w:tcPr>
            <w:tcW w:w="3020" w:type="dxa"/>
          </w:tcPr>
          <w:p w:rsidR="009B4D5F" w:rsidRPr="009B4D5F" w:rsidRDefault="009B4D5F" w:rsidP="00FD419C">
            <w:pPr>
              <w:jc w:val="both"/>
            </w:pPr>
            <w:r>
              <w:t>Akşam</w:t>
            </w:r>
          </w:p>
        </w:tc>
        <w:tc>
          <w:tcPr>
            <w:tcW w:w="3021" w:type="dxa"/>
          </w:tcPr>
          <w:p w:rsidR="009B4D5F" w:rsidRDefault="009B4D5F" w:rsidP="00FD419C">
            <w:pPr>
              <w:jc w:val="both"/>
            </w:pPr>
            <w:r>
              <w:t>15</w:t>
            </w:r>
          </w:p>
        </w:tc>
        <w:tc>
          <w:tcPr>
            <w:tcW w:w="3021" w:type="dxa"/>
          </w:tcPr>
          <w:p w:rsidR="009B4D5F" w:rsidRDefault="009B4D5F" w:rsidP="00FD419C">
            <w:pPr>
              <w:jc w:val="both"/>
            </w:pPr>
            <w:r>
              <w:t>4.1</w:t>
            </w:r>
          </w:p>
        </w:tc>
      </w:tr>
    </w:tbl>
    <w:p w:rsidR="008F2D3D" w:rsidRDefault="008F2D3D" w:rsidP="00FD419C">
      <w:pPr>
        <w:jc w:val="both"/>
      </w:pPr>
    </w:p>
    <w:p w:rsidR="0001152B" w:rsidRDefault="0001152B" w:rsidP="00FD419C">
      <w:pPr>
        <w:jc w:val="both"/>
      </w:pPr>
      <w:r>
        <w:rPr>
          <w:b/>
        </w:rPr>
        <w:t>Tablo 2</w:t>
      </w:r>
      <w:r w:rsidRPr="0001152B">
        <w:rPr>
          <w:b/>
        </w:rPr>
        <w:t>.</w:t>
      </w:r>
      <w:r>
        <w:t xml:space="preserve"> Bireylerin vücut ağırlığı, fiziksel aktivite durumu ve yeme bozukluğu riskinin değerlendirilmesi</w:t>
      </w:r>
    </w:p>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23228" w:rsidTr="0001152B">
        <w:tc>
          <w:tcPr>
            <w:tcW w:w="3020" w:type="dxa"/>
            <w:tcBorders>
              <w:top w:val="single" w:sz="4" w:space="0" w:color="auto"/>
              <w:bottom w:val="single" w:sz="4" w:space="0" w:color="auto"/>
            </w:tcBorders>
          </w:tcPr>
          <w:p w:rsidR="00A23228" w:rsidRPr="00A23228" w:rsidRDefault="00A23228" w:rsidP="00FD419C">
            <w:pPr>
              <w:jc w:val="both"/>
              <w:rPr>
                <w:b/>
              </w:rPr>
            </w:pPr>
            <w:r w:rsidRPr="00A23228">
              <w:rPr>
                <w:b/>
              </w:rPr>
              <w:t>BKİ sınıfı</w:t>
            </w:r>
          </w:p>
        </w:tc>
        <w:tc>
          <w:tcPr>
            <w:tcW w:w="3021" w:type="dxa"/>
            <w:tcBorders>
              <w:top w:val="single" w:sz="4" w:space="0" w:color="auto"/>
              <w:bottom w:val="single" w:sz="4" w:space="0" w:color="auto"/>
            </w:tcBorders>
          </w:tcPr>
          <w:p w:rsidR="00A23228" w:rsidRDefault="0001152B" w:rsidP="00FD419C">
            <w:pPr>
              <w:jc w:val="both"/>
            </w:pPr>
            <w:r w:rsidRPr="00AB4987">
              <w:rPr>
                <w:b/>
              </w:rPr>
              <w:t>N(n:364)</w:t>
            </w:r>
          </w:p>
        </w:tc>
        <w:tc>
          <w:tcPr>
            <w:tcW w:w="3021" w:type="dxa"/>
            <w:tcBorders>
              <w:top w:val="single" w:sz="4" w:space="0" w:color="auto"/>
              <w:bottom w:val="single" w:sz="4" w:space="0" w:color="auto"/>
            </w:tcBorders>
          </w:tcPr>
          <w:p w:rsidR="00A23228" w:rsidRDefault="0001152B" w:rsidP="00FD419C">
            <w:pPr>
              <w:jc w:val="both"/>
            </w:pPr>
            <w:r w:rsidRPr="00AB4987">
              <w:rPr>
                <w:b/>
              </w:rPr>
              <w:t>%</w:t>
            </w:r>
          </w:p>
        </w:tc>
      </w:tr>
      <w:tr w:rsidR="00A23228" w:rsidTr="0001152B">
        <w:tc>
          <w:tcPr>
            <w:tcW w:w="3020" w:type="dxa"/>
            <w:tcBorders>
              <w:top w:val="single" w:sz="4" w:space="0" w:color="auto"/>
            </w:tcBorders>
          </w:tcPr>
          <w:p w:rsidR="00A23228" w:rsidRDefault="00A23228" w:rsidP="00FD419C">
            <w:pPr>
              <w:jc w:val="both"/>
            </w:pPr>
            <w:r>
              <w:t>Zayıf</w:t>
            </w:r>
          </w:p>
        </w:tc>
        <w:tc>
          <w:tcPr>
            <w:tcW w:w="3021" w:type="dxa"/>
            <w:tcBorders>
              <w:top w:val="single" w:sz="4" w:space="0" w:color="auto"/>
            </w:tcBorders>
          </w:tcPr>
          <w:p w:rsidR="00A23228" w:rsidRDefault="00A23228" w:rsidP="00FD419C">
            <w:pPr>
              <w:jc w:val="both"/>
            </w:pPr>
            <w:r>
              <w:t>51</w:t>
            </w:r>
          </w:p>
        </w:tc>
        <w:tc>
          <w:tcPr>
            <w:tcW w:w="3021" w:type="dxa"/>
            <w:tcBorders>
              <w:top w:val="single" w:sz="4" w:space="0" w:color="auto"/>
            </w:tcBorders>
          </w:tcPr>
          <w:p w:rsidR="00A23228" w:rsidRDefault="00A23228" w:rsidP="00FD419C">
            <w:pPr>
              <w:jc w:val="both"/>
            </w:pPr>
            <w:r>
              <w:t>14.1</w:t>
            </w:r>
          </w:p>
        </w:tc>
      </w:tr>
      <w:tr w:rsidR="00A23228" w:rsidTr="0001152B">
        <w:tc>
          <w:tcPr>
            <w:tcW w:w="3020" w:type="dxa"/>
          </w:tcPr>
          <w:p w:rsidR="00A23228" w:rsidRDefault="00A23228" w:rsidP="00FD419C">
            <w:pPr>
              <w:jc w:val="both"/>
            </w:pPr>
            <w:r>
              <w:t>Normal</w:t>
            </w:r>
          </w:p>
        </w:tc>
        <w:tc>
          <w:tcPr>
            <w:tcW w:w="3021" w:type="dxa"/>
          </w:tcPr>
          <w:p w:rsidR="00A23228" w:rsidRDefault="00A23228" w:rsidP="00FD419C">
            <w:pPr>
              <w:jc w:val="both"/>
            </w:pPr>
            <w:r>
              <w:t>241</w:t>
            </w:r>
          </w:p>
        </w:tc>
        <w:tc>
          <w:tcPr>
            <w:tcW w:w="3021" w:type="dxa"/>
          </w:tcPr>
          <w:p w:rsidR="00A23228" w:rsidRDefault="00A23228" w:rsidP="00FD419C">
            <w:pPr>
              <w:jc w:val="both"/>
            </w:pPr>
            <w:r>
              <w:t>66.6</w:t>
            </w:r>
          </w:p>
        </w:tc>
      </w:tr>
      <w:tr w:rsidR="00A23228" w:rsidTr="0001152B">
        <w:tc>
          <w:tcPr>
            <w:tcW w:w="3020" w:type="dxa"/>
          </w:tcPr>
          <w:p w:rsidR="00A23228" w:rsidRDefault="00A23228" w:rsidP="00FD419C">
            <w:pPr>
              <w:jc w:val="both"/>
            </w:pPr>
            <w:r>
              <w:t>Pre-obez</w:t>
            </w:r>
          </w:p>
        </w:tc>
        <w:tc>
          <w:tcPr>
            <w:tcW w:w="3021" w:type="dxa"/>
          </w:tcPr>
          <w:p w:rsidR="00A23228" w:rsidRDefault="00A23228" w:rsidP="00FD419C">
            <w:pPr>
              <w:jc w:val="both"/>
            </w:pPr>
            <w:r>
              <w:t>58</w:t>
            </w:r>
          </w:p>
        </w:tc>
        <w:tc>
          <w:tcPr>
            <w:tcW w:w="3021" w:type="dxa"/>
          </w:tcPr>
          <w:p w:rsidR="00A23228" w:rsidRDefault="00A23228" w:rsidP="00FD419C">
            <w:pPr>
              <w:jc w:val="both"/>
            </w:pPr>
            <w:r>
              <w:t>16.0</w:t>
            </w:r>
          </w:p>
        </w:tc>
      </w:tr>
      <w:tr w:rsidR="00A23228" w:rsidTr="0001152B">
        <w:tc>
          <w:tcPr>
            <w:tcW w:w="3020" w:type="dxa"/>
            <w:tcBorders>
              <w:bottom w:val="single" w:sz="4" w:space="0" w:color="auto"/>
            </w:tcBorders>
          </w:tcPr>
          <w:p w:rsidR="00A23228" w:rsidRDefault="00A23228" w:rsidP="00FD419C">
            <w:pPr>
              <w:jc w:val="both"/>
            </w:pPr>
            <w:r>
              <w:t>Obez</w:t>
            </w:r>
          </w:p>
        </w:tc>
        <w:tc>
          <w:tcPr>
            <w:tcW w:w="3021" w:type="dxa"/>
            <w:tcBorders>
              <w:bottom w:val="single" w:sz="4" w:space="0" w:color="auto"/>
            </w:tcBorders>
          </w:tcPr>
          <w:p w:rsidR="00A23228" w:rsidRDefault="00A23228" w:rsidP="00FD419C">
            <w:pPr>
              <w:jc w:val="both"/>
            </w:pPr>
            <w:r>
              <w:t>12</w:t>
            </w:r>
          </w:p>
        </w:tc>
        <w:tc>
          <w:tcPr>
            <w:tcW w:w="3021" w:type="dxa"/>
            <w:tcBorders>
              <w:bottom w:val="single" w:sz="4" w:space="0" w:color="auto"/>
            </w:tcBorders>
          </w:tcPr>
          <w:p w:rsidR="00A23228" w:rsidRDefault="00A23228" w:rsidP="00FD419C">
            <w:pPr>
              <w:jc w:val="both"/>
            </w:pPr>
            <w:r>
              <w:t>3.3</w:t>
            </w:r>
          </w:p>
        </w:tc>
      </w:tr>
      <w:tr w:rsidR="00A23228" w:rsidTr="0001152B">
        <w:tc>
          <w:tcPr>
            <w:tcW w:w="3020" w:type="dxa"/>
            <w:tcBorders>
              <w:top w:val="single" w:sz="4" w:space="0" w:color="auto"/>
              <w:bottom w:val="single" w:sz="4" w:space="0" w:color="auto"/>
            </w:tcBorders>
          </w:tcPr>
          <w:p w:rsidR="00A23228" w:rsidRPr="00A23228" w:rsidRDefault="00A23228" w:rsidP="00FD419C">
            <w:pPr>
              <w:jc w:val="both"/>
              <w:rPr>
                <w:b/>
              </w:rPr>
            </w:pPr>
            <w:r w:rsidRPr="00A23228">
              <w:rPr>
                <w:b/>
              </w:rPr>
              <w:t xml:space="preserve">Fiziksel aktivite </w:t>
            </w:r>
          </w:p>
        </w:tc>
        <w:tc>
          <w:tcPr>
            <w:tcW w:w="3021" w:type="dxa"/>
            <w:tcBorders>
              <w:top w:val="single" w:sz="4" w:space="0" w:color="auto"/>
              <w:bottom w:val="single" w:sz="4" w:space="0" w:color="auto"/>
            </w:tcBorders>
          </w:tcPr>
          <w:p w:rsidR="00A23228" w:rsidRDefault="00A23228" w:rsidP="00FD419C">
            <w:pPr>
              <w:jc w:val="both"/>
            </w:pPr>
          </w:p>
        </w:tc>
        <w:tc>
          <w:tcPr>
            <w:tcW w:w="3021" w:type="dxa"/>
            <w:tcBorders>
              <w:top w:val="single" w:sz="4" w:space="0" w:color="auto"/>
              <w:bottom w:val="single" w:sz="4" w:space="0" w:color="auto"/>
            </w:tcBorders>
          </w:tcPr>
          <w:p w:rsidR="00A23228" w:rsidRDefault="00A23228" w:rsidP="00FD419C">
            <w:pPr>
              <w:jc w:val="both"/>
            </w:pPr>
          </w:p>
        </w:tc>
      </w:tr>
      <w:tr w:rsidR="00A23228" w:rsidTr="0001152B">
        <w:tc>
          <w:tcPr>
            <w:tcW w:w="3020" w:type="dxa"/>
            <w:tcBorders>
              <w:top w:val="single" w:sz="4" w:space="0" w:color="auto"/>
            </w:tcBorders>
          </w:tcPr>
          <w:p w:rsidR="00A23228" w:rsidRDefault="00A23228" w:rsidP="00FD419C">
            <w:pPr>
              <w:jc w:val="both"/>
            </w:pPr>
            <w:r>
              <w:t>Hareketsiz</w:t>
            </w:r>
          </w:p>
        </w:tc>
        <w:tc>
          <w:tcPr>
            <w:tcW w:w="3021" w:type="dxa"/>
            <w:tcBorders>
              <w:top w:val="single" w:sz="4" w:space="0" w:color="auto"/>
            </w:tcBorders>
          </w:tcPr>
          <w:p w:rsidR="00A23228" w:rsidRDefault="00A23228" w:rsidP="00FD419C">
            <w:pPr>
              <w:jc w:val="both"/>
            </w:pPr>
            <w:r>
              <w:t>155</w:t>
            </w:r>
          </w:p>
        </w:tc>
        <w:tc>
          <w:tcPr>
            <w:tcW w:w="3021" w:type="dxa"/>
            <w:tcBorders>
              <w:top w:val="single" w:sz="4" w:space="0" w:color="auto"/>
            </w:tcBorders>
          </w:tcPr>
          <w:p w:rsidR="00A23228" w:rsidRDefault="00A23228" w:rsidP="00FD419C">
            <w:pPr>
              <w:jc w:val="both"/>
            </w:pPr>
            <w:r>
              <w:t>42.8</w:t>
            </w:r>
          </w:p>
        </w:tc>
      </w:tr>
      <w:tr w:rsidR="00A23228" w:rsidTr="0001152B">
        <w:tc>
          <w:tcPr>
            <w:tcW w:w="3020" w:type="dxa"/>
          </w:tcPr>
          <w:p w:rsidR="00A23228" w:rsidRDefault="00A23228" w:rsidP="00FD419C">
            <w:pPr>
              <w:jc w:val="both"/>
            </w:pPr>
            <w:r>
              <w:t>Az hareketli</w:t>
            </w:r>
          </w:p>
        </w:tc>
        <w:tc>
          <w:tcPr>
            <w:tcW w:w="3021" w:type="dxa"/>
          </w:tcPr>
          <w:p w:rsidR="00A23228" w:rsidRDefault="00A23228" w:rsidP="00FD419C">
            <w:pPr>
              <w:jc w:val="both"/>
            </w:pPr>
            <w:r>
              <w:t>99</w:t>
            </w:r>
          </w:p>
        </w:tc>
        <w:tc>
          <w:tcPr>
            <w:tcW w:w="3021" w:type="dxa"/>
          </w:tcPr>
          <w:p w:rsidR="00A23228" w:rsidRDefault="00A23228" w:rsidP="00FD419C">
            <w:pPr>
              <w:jc w:val="both"/>
            </w:pPr>
            <w:r>
              <w:t>27.3</w:t>
            </w:r>
          </w:p>
        </w:tc>
      </w:tr>
      <w:tr w:rsidR="00A23228" w:rsidTr="0001152B">
        <w:tc>
          <w:tcPr>
            <w:tcW w:w="3020" w:type="dxa"/>
          </w:tcPr>
          <w:p w:rsidR="00A23228" w:rsidRDefault="00A23228" w:rsidP="00FD419C">
            <w:pPr>
              <w:jc w:val="both"/>
            </w:pPr>
            <w:r>
              <w:t>Orta derece hareketli</w:t>
            </w:r>
          </w:p>
        </w:tc>
        <w:tc>
          <w:tcPr>
            <w:tcW w:w="3021" w:type="dxa"/>
          </w:tcPr>
          <w:p w:rsidR="00A23228" w:rsidRDefault="00A23228" w:rsidP="00FD419C">
            <w:pPr>
              <w:jc w:val="both"/>
            </w:pPr>
            <w:r>
              <w:t>66</w:t>
            </w:r>
          </w:p>
        </w:tc>
        <w:tc>
          <w:tcPr>
            <w:tcW w:w="3021" w:type="dxa"/>
          </w:tcPr>
          <w:p w:rsidR="00A23228" w:rsidRDefault="00A23228" w:rsidP="00FD419C">
            <w:pPr>
              <w:jc w:val="both"/>
            </w:pPr>
            <w:r>
              <w:t>18.2</w:t>
            </w:r>
          </w:p>
        </w:tc>
      </w:tr>
      <w:tr w:rsidR="00A23228" w:rsidTr="0001152B">
        <w:tc>
          <w:tcPr>
            <w:tcW w:w="3020" w:type="dxa"/>
            <w:tcBorders>
              <w:bottom w:val="single" w:sz="4" w:space="0" w:color="auto"/>
            </w:tcBorders>
          </w:tcPr>
          <w:p w:rsidR="00A23228" w:rsidRDefault="00A23228" w:rsidP="00FD419C">
            <w:pPr>
              <w:jc w:val="both"/>
            </w:pPr>
            <w:r>
              <w:t>Hareketli</w:t>
            </w:r>
          </w:p>
        </w:tc>
        <w:tc>
          <w:tcPr>
            <w:tcW w:w="3021" w:type="dxa"/>
            <w:tcBorders>
              <w:bottom w:val="single" w:sz="4" w:space="0" w:color="auto"/>
            </w:tcBorders>
          </w:tcPr>
          <w:p w:rsidR="00A23228" w:rsidRDefault="00A23228" w:rsidP="00FD419C">
            <w:pPr>
              <w:jc w:val="both"/>
            </w:pPr>
            <w:r>
              <w:t>42</w:t>
            </w:r>
          </w:p>
        </w:tc>
        <w:tc>
          <w:tcPr>
            <w:tcW w:w="3021" w:type="dxa"/>
            <w:tcBorders>
              <w:bottom w:val="single" w:sz="4" w:space="0" w:color="auto"/>
            </w:tcBorders>
          </w:tcPr>
          <w:p w:rsidR="00A23228" w:rsidRDefault="00A23228" w:rsidP="00FD419C">
            <w:pPr>
              <w:jc w:val="both"/>
            </w:pPr>
            <w:r>
              <w:t>11.6</w:t>
            </w:r>
          </w:p>
        </w:tc>
      </w:tr>
      <w:tr w:rsidR="00A23228" w:rsidTr="0001152B">
        <w:tc>
          <w:tcPr>
            <w:tcW w:w="3020" w:type="dxa"/>
            <w:tcBorders>
              <w:top w:val="single" w:sz="4" w:space="0" w:color="auto"/>
              <w:bottom w:val="single" w:sz="4" w:space="0" w:color="auto"/>
            </w:tcBorders>
          </w:tcPr>
          <w:p w:rsidR="00A23228" w:rsidRPr="00A23228" w:rsidRDefault="00A23228" w:rsidP="00FD419C">
            <w:pPr>
              <w:jc w:val="both"/>
              <w:rPr>
                <w:b/>
              </w:rPr>
            </w:pPr>
            <w:r w:rsidRPr="00A23228">
              <w:rPr>
                <w:b/>
              </w:rPr>
              <w:t xml:space="preserve">Yeme bozukluğu riski </w:t>
            </w:r>
          </w:p>
        </w:tc>
        <w:tc>
          <w:tcPr>
            <w:tcW w:w="3021" w:type="dxa"/>
            <w:tcBorders>
              <w:top w:val="single" w:sz="4" w:space="0" w:color="auto"/>
              <w:bottom w:val="single" w:sz="4" w:space="0" w:color="auto"/>
            </w:tcBorders>
          </w:tcPr>
          <w:p w:rsidR="00A23228" w:rsidRDefault="00A23228" w:rsidP="00FD419C">
            <w:pPr>
              <w:jc w:val="both"/>
            </w:pPr>
          </w:p>
        </w:tc>
        <w:tc>
          <w:tcPr>
            <w:tcW w:w="3021" w:type="dxa"/>
            <w:tcBorders>
              <w:top w:val="single" w:sz="4" w:space="0" w:color="auto"/>
              <w:bottom w:val="single" w:sz="4" w:space="0" w:color="auto"/>
            </w:tcBorders>
          </w:tcPr>
          <w:p w:rsidR="00A23228" w:rsidRDefault="00A23228" w:rsidP="00FD419C">
            <w:pPr>
              <w:jc w:val="both"/>
            </w:pPr>
          </w:p>
        </w:tc>
      </w:tr>
      <w:tr w:rsidR="00A23228" w:rsidTr="0001152B">
        <w:tc>
          <w:tcPr>
            <w:tcW w:w="3020" w:type="dxa"/>
            <w:tcBorders>
              <w:top w:val="single" w:sz="4" w:space="0" w:color="auto"/>
            </w:tcBorders>
          </w:tcPr>
          <w:p w:rsidR="00A23228" w:rsidRPr="00A23228" w:rsidRDefault="00A23228" w:rsidP="00FD419C">
            <w:pPr>
              <w:jc w:val="both"/>
            </w:pPr>
            <w:r w:rsidRPr="00A23228">
              <w:t>Risk yok</w:t>
            </w:r>
          </w:p>
        </w:tc>
        <w:tc>
          <w:tcPr>
            <w:tcW w:w="3021" w:type="dxa"/>
            <w:tcBorders>
              <w:top w:val="single" w:sz="4" w:space="0" w:color="auto"/>
            </w:tcBorders>
          </w:tcPr>
          <w:p w:rsidR="00A23228" w:rsidRDefault="00A23228" w:rsidP="00FD419C">
            <w:pPr>
              <w:jc w:val="both"/>
            </w:pPr>
            <w:r>
              <w:t>229</w:t>
            </w:r>
          </w:p>
        </w:tc>
        <w:tc>
          <w:tcPr>
            <w:tcW w:w="3021" w:type="dxa"/>
            <w:tcBorders>
              <w:top w:val="single" w:sz="4" w:space="0" w:color="auto"/>
            </w:tcBorders>
          </w:tcPr>
          <w:p w:rsidR="00A23228" w:rsidRDefault="00A23228" w:rsidP="00FD419C">
            <w:pPr>
              <w:jc w:val="both"/>
            </w:pPr>
            <w:r>
              <w:t>63.3</w:t>
            </w:r>
          </w:p>
        </w:tc>
      </w:tr>
      <w:tr w:rsidR="00A23228" w:rsidTr="0001152B">
        <w:tc>
          <w:tcPr>
            <w:tcW w:w="3020" w:type="dxa"/>
            <w:tcBorders>
              <w:bottom w:val="single" w:sz="4" w:space="0" w:color="auto"/>
            </w:tcBorders>
          </w:tcPr>
          <w:p w:rsidR="00A23228" w:rsidRPr="00A23228" w:rsidRDefault="00A23228" w:rsidP="00FD419C">
            <w:pPr>
              <w:jc w:val="both"/>
            </w:pPr>
            <w:r w:rsidRPr="00A23228">
              <w:t>Risk var</w:t>
            </w:r>
          </w:p>
        </w:tc>
        <w:tc>
          <w:tcPr>
            <w:tcW w:w="3021" w:type="dxa"/>
            <w:tcBorders>
              <w:bottom w:val="single" w:sz="4" w:space="0" w:color="auto"/>
            </w:tcBorders>
          </w:tcPr>
          <w:p w:rsidR="00A23228" w:rsidRDefault="00A23228" w:rsidP="00FD419C">
            <w:pPr>
              <w:jc w:val="both"/>
            </w:pPr>
            <w:r>
              <w:t>133</w:t>
            </w:r>
          </w:p>
        </w:tc>
        <w:tc>
          <w:tcPr>
            <w:tcW w:w="3021" w:type="dxa"/>
            <w:tcBorders>
              <w:bottom w:val="single" w:sz="4" w:space="0" w:color="auto"/>
            </w:tcBorders>
          </w:tcPr>
          <w:p w:rsidR="00A23228" w:rsidRDefault="00A23228" w:rsidP="00FD419C">
            <w:pPr>
              <w:jc w:val="both"/>
            </w:pPr>
            <w:r>
              <w:t>36.7</w:t>
            </w:r>
          </w:p>
        </w:tc>
      </w:tr>
    </w:tbl>
    <w:p w:rsidR="00FD419C" w:rsidRDefault="00FD419C" w:rsidP="00FD419C">
      <w:pPr>
        <w:jc w:val="both"/>
      </w:pPr>
    </w:p>
    <w:p w:rsidR="00FD419C" w:rsidRDefault="00FD419C" w:rsidP="00FD419C">
      <w:pPr>
        <w:jc w:val="both"/>
      </w:pPr>
      <w:r>
        <w:rPr>
          <w:sz w:val="20"/>
          <w:szCs w:val="20"/>
          <w:lang w:val="en-US"/>
        </w:rPr>
        <w:t xml:space="preserve"> </w:t>
      </w:r>
    </w:p>
    <w:sectPr w:rsidR="00FD41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C92" w:rsidRDefault="00233C92" w:rsidP="0001152B">
      <w:pPr>
        <w:spacing w:after="0" w:line="240" w:lineRule="auto"/>
      </w:pPr>
      <w:r>
        <w:separator/>
      </w:r>
    </w:p>
  </w:endnote>
  <w:endnote w:type="continuationSeparator" w:id="0">
    <w:p w:rsidR="00233C92" w:rsidRDefault="00233C92" w:rsidP="0001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C92" w:rsidRDefault="00233C92" w:rsidP="0001152B">
      <w:pPr>
        <w:spacing w:after="0" w:line="240" w:lineRule="auto"/>
      </w:pPr>
      <w:r>
        <w:separator/>
      </w:r>
    </w:p>
  </w:footnote>
  <w:footnote w:type="continuationSeparator" w:id="0">
    <w:p w:rsidR="00233C92" w:rsidRDefault="00233C92" w:rsidP="00011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900BF"/>
    <w:multiLevelType w:val="hybridMultilevel"/>
    <w:tmpl w:val="01DEDDD8"/>
    <w:lvl w:ilvl="0" w:tplc="4336F544">
      <w:start w:val="1"/>
      <w:numFmt w:val="decimal"/>
      <w:lvlText w:val="%1."/>
      <w:lvlJc w:val="left"/>
      <w:pPr>
        <w:ind w:left="720" w:hanging="360"/>
      </w:pPr>
      <w:rPr>
        <w:rFonts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B960D7"/>
    <w:multiLevelType w:val="hybridMultilevel"/>
    <w:tmpl w:val="A9522156"/>
    <w:lvl w:ilvl="0" w:tplc="2042D27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10"/>
    <w:rsid w:val="0001152B"/>
    <w:rsid w:val="001D107B"/>
    <w:rsid w:val="001E70D5"/>
    <w:rsid w:val="001F1C1B"/>
    <w:rsid w:val="00233C92"/>
    <w:rsid w:val="00377D86"/>
    <w:rsid w:val="004137B6"/>
    <w:rsid w:val="004310CA"/>
    <w:rsid w:val="00455C72"/>
    <w:rsid w:val="004D2C74"/>
    <w:rsid w:val="004F2001"/>
    <w:rsid w:val="00561410"/>
    <w:rsid w:val="006F4F93"/>
    <w:rsid w:val="00747193"/>
    <w:rsid w:val="00860B9B"/>
    <w:rsid w:val="008E3350"/>
    <w:rsid w:val="008F2D3D"/>
    <w:rsid w:val="008F618B"/>
    <w:rsid w:val="00926317"/>
    <w:rsid w:val="00965241"/>
    <w:rsid w:val="009B1B46"/>
    <w:rsid w:val="009B4D5F"/>
    <w:rsid w:val="00A23228"/>
    <w:rsid w:val="00A5237D"/>
    <w:rsid w:val="00A93781"/>
    <w:rsid w:val="00AB4987"/>
    <w:rsid w:val="00AD7883"/>
    <w:rsid w:val="00B16010"/>
    <w:rsid w:val="00B20B6E"/>
    <w:rsid w:val="00B375A7"/>
    <w:rsid w:val="00B85C59"/>
    <w:rsid w:val="00B96ED0"/>
    <w:rsid w:val="00BA4F1C"/>
    <w:rsid w:val="00C83848"/>
    <w:rsid w:val="00CA677B"/>
    <w:rsid w:val="00CC057D"/>
    <w:rsid w:val="00D0054C"/>
    <w:rsid w:val="00FD41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423E"/>
  <w15:chartTrackingRefBased/>
  <w15:docId w15:val="{F6962548-4CC7-497D-9095-29466CA4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F1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115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152B"/>
  </w:style>
  <w:style w:type="paragraph" w:styleId="AltBilgi">
    <w:name w:val="footer"/>
    <w:basedOn w:val="Normal"/>
    <w:link w:val="AltBilgiChar"/>
    <w:uiPriority w:val="99"/>
    <w:unhideWhenUsed/>
    <w:rsid w:val="000115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152B"/>
  </w:style>
  <w:style w:type="character" w:styleId="Kpr">
    <w:name w:val="Hyperlink"/>
    <w:basedOn w:val="VarsaylanParagrafYazTipi"/>
    <w:uiPriority w:val="99"/>
    <w:unhideWhenUsed/>
    <w:rsid w:val="00A5237D"/>
    <w:rPr>
      <w:color w:val="0563C1" w:themeColor="hyperlink"/>
      <w:u w:val="single"/>
    </w:rPr>
  </w:style>
  <w:style w:type="character" w:styleId="zlenenKpr">
    <w:name w:val="FollowedHyperlink"/>
    <w:basedOn w:val="VarsaylanParagrafYazTipi"/>
    <w:uiPriority w:val="99"/>
    <w:semiHidden/>
    <w:unhideWhenUsed/>
    <w:rsid w:val="00A523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269352">
      <w:bodyDiv w:val="1"/>
      <w:marLeft w:val="0"/>
      <w:marRight w:val="0"/>
      <w:marTop w:val="0"/>
      <w:marBottom w:val="0"/>
      <w:divBdr>
        <w:top w:val="none" w:sz="0" w:space="0" w:color="auto"/>
        <w:left w:val="none" w:sz="0" w:space="0" w:color="auto"/>
        <w:bottom w:val="none" w:sz="0" w:space="0" w:color="auto"/>
        <w:right w:val="none" w:sz="0" w:space="0" w:color="auto"/>
      </w:divBdr>
      <w:divsChild>
        <w:div w:id="1188330448">
          <w:marLeft w:val="0"/>
          <w:marRight w:val="0"/>
          <w:marTop w:val="0"/>
          <w:marBottom w:val="0"/>
          <w:divBdr>
            <w:top w:val="none" w:sz="0" w:space="0" w:color="auto"/>
            <w:left w:val="none" w:sz="0" w:space="0" w:color="auto"/>
            <w:bottom w:val="none" w:sz="0" w:space="0" w:color="auto"/>
            <w:right w:val="none" w:sz="0" w:space="0" w:color="auto"/>
          </w:divBdr>
          <w:divsChild>
            <w:div w:id="738752786">
              <w:marLeft w:val="0"/>
              <w:marRight w:val="0"/>
              <w:marTop w:val="0"/>
              <w:marBottom w:val="0"/>
              <w:divBdr>
                <w:top w:val="none" w:sz="0" w:space="0" w:color="auto"/>
                <w:left w:val="none" w:sz="0" w:space="0" w:color="auto"/>
                <w:bottom w:val="none" w:sz="0" w:space="0" w:color="auto"/>
                <w:right w:val="none" w:sz="0" w:space="0" w:color="auto"/>
              </w:divBdr>
              <w:divsChild>
                <w:div w:id="1512598480">
                  <w:marLeft w:val="0"/>
                  <w:marRight w:val="0"/>
                  <w:marTop w:val="0"/>
                  <w:marBottom w:val="0"/>
                  <w:divBdr>
                    <w:top w:val="none" w:sz="0" w:space="0" w:color="auto"/>
                    <w:left w:val="none" w:sz="0" w:space="0" w:color="auto"/>
                    <w:bottom w:val="none" w:sz="0" w:space="0" w:color="auto"/>
                    <w:right w:val="none" w:sz="0" w:space="0" w:color="auto"/>
                  </w:divBdr>
                  <w:divsChild>
                    <w:div w:id="36244913">
                      <w:marLeft w:val="0"/>
                      <w:marRight w:val="0"/>
                      <w:marTop w:val="0"/>
                      <w:marBottom w:val="0"/>
                      <w:divBdr>
                        <w:top w:val="none" w:sz="0" w:space="0" w:color="auto"/>
                        <w:left w:val="none" w:sz="0" w:space="0" w:color="auto"/>
                        <w:bottom w:val="none" w:sz="0" w:space="0" w:color="auto"/>
                        <w:right w:val="none" w:sz="0" w:space="0" w:color="auto"/>
                      </w:divBdr>
                    </w:div>
                  </w:divsChild>
                </w:div>
                <w:div w:id="489834162">
                  <w:marLeft w:val="0"/>
                  <w:marRight w:val="0"/>
                  <w:marTop w:val="0"/>
                  <w:marBottom w:val="0"/>
                  <w:divBdr>
                    <w:top w:val="none" w:sz="0" w:space="0" w:color="auto"/>
                    <w:left w:val="none" w:sz="0" w:space="0" w:color="auto"/>
                    <w:bottom w:val="none" w:sz="0" w:space="0" w:color="auto"/>
                    <w:right w:val="none" w:sz="0" w:space="0" w:color="auto"/>
                  </w:divBdr>
                  <w:divsChild>
                    <w:div w:id="1451512785">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sChild>
        </w:div>
        <w:div w:id="187717654">
          <w:marLeft w:val="0"/>
          <w:marRight w:val="0"/>
          <w:marTop w:val="0"/>
          <w:marBottom w:val="0"/>
          <w:divBdr>
            <w:top w:val="none" w:sz="0" w:space="0" w:color="auto"/>
            <w:left w:val="none" w:sz="0" w:space="0" w:color="auto"/>
            <w:bottom w:val="none" w:sz="0" w:space="0" w:color="auto"/>
            <w:right w:val="none" w:sz="0" w:space="0" w:color="auto"/>
          </w:divBdr>
          <w:divsChild>
            <w:div w:id="1062098276">
              <w:marLeft w:val="0"/>
              <w:marRight w:val="0"/>
              <w:marTop w:val="0"/>
              <w:marBottom w:val="0"/>
              <w:divBdr>
                <w:top w:val="none" w:sz="0" w:space="0" w:color="auto"/>
                <w:left w:val="none" w:sz="0" w:space="0" w:color="auto"/>
                <w:bottom w:val="none" w:sz="0" w:space="0" w:color="auto"/>
                <w:right w:val="none" w:sz="0" w:space="0" w:color="auto"/>
              </w:divBdr>
              <w:divsChild>
                <w:div w:id="1905220129">
                  <w:marLeft w:val="0"/>
                  <w:marRight w:val="0"/>
                  <w:marTop w:val="0"/>
                  <w:marBottom w:val="0"/>
                  <w:divBdr>
                    <w:top w:val="none" w:sz="0" w:space="0" w:color="auto"/>
                    <w:left w:val="none" w:sz="0" w:space="0" w:color="auto"/>
                    <w:bottom w:val="none" w:sz="0" w:space="0" w:color="auto"/>
                    <w:right w:val="none" w:sz="0" w:space="0" w:color="auto"/>
                  </w:divBdr>
                  <w:divsChild>
                    <w:div w:id="776828869">
                      <w:marLeft w:val="0"/>
                      <w:marRight w:val="0"/>
                      <w:marTop w:val="0"/>
                      <w:marBottom w:val="0"/>
                      <w:divBdr>
                        <w:top w:val="none" w:sz="0" w:space="0" w:color="auto"/>
                        <w:left w:val="none" w:sz="0" w:space="0" w:color="auto"/>
                        <w:bottom w:val="none" w:sz="0" w:space="0" w:color="auto"/>
                        <w:right w:val="none" w:sz="0" w:space="0" w:color="auto"/>
                      </w:divBdr>
                      <w:divsChild>
                        <w:div w:id="1316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who.int/en/health-topics/disease-prevention/nutrition/a-healthy-lifestyle/body-mass-index-b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D0C1-54A2-4842-9D40-36A27628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1763</Words>
  <Characters>10052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SSD PC</dc:creator>
  <cp:keywords/>
  <dc:description/>
  <cp:lastModifiedBy>Casper SSD PC</cp:lastModifiedBy>
  <cp:revision>4</cp:revision>
  <dcterms:created xsi:type="dcterms:W3CDTF">2021-03-10T08:08:00Z</dcterms:created>
  <dcterms:modified xsi:type="dcterms:W3CDTF">2021-03-11T11:36:00Z</dcterms:modified>
</cp:coreProperties>
</file>