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BB" w:rsidRPr="00364351" w:rsidRDefault="00C83CBB" w:rsidP="00C83CBB">
      <w:pPr>
        <w:spacing w:line="480" w:lineRule="auto"/>
        <w:ind w:firstLine="720"/>
        <w:jc w:val="center"/>
        <w:rPr>
          <w:b/>
          <w:color w:val="000000" w:themeColor="text1"/>
          <w:sz w:val="24"/>
          <w:szCs w:val="24"/>
          <w:shd w:val="clear" w:color="auto" w:fill="FFFFFF"/>
        </w:rPr>
      </w:pPr>
      <w:r w:rsidRPr="00364351">
        <w:rPr>
          <w:b/>
          <w:color w:val="000000" w:themeColor="text1"/>
          <w:sz w:val="24"/>
          <w:szCs w:val="24"/>
          <w:shd w:val="clear" w:color="auto" w:fill="FFFFFF"/>
        </w:rPr>
        <w:t xml:space="preserve">IMPACT OF RISK MANAGEMENT RELATED TO PRODUCT LIFE CYCLE IN </w:t>
      </w:r>
      <w:r>
        <w:rPr>
          <w:b/>
          <w:color w:val="000000" w:themeColor="text1"/>
          <w:sz w:val="24"/>
          <w:szCs w:val="24"/>
          <w:shd w:val="clear" w:color="auto" w:fill="FFFFFF"/>
        </w:rPr>
        <w:t xml:space="preserve">MEDICAL DEVICE </w:t>
      </w:r>
      <w:r w:rsidRPr="00364351">
        <w:rPr>
          <w:b/>
          <w:color w:val="000000" w:themeColor="text1"/>
          <w:sz w:val="24"/>
          <w:szCs w:val="24"/>
          <w:shd w:val="clear" w:color="auto" w:fill="FFFFFF"/>
        </w:rPr>
        <w:t xml:space="preserve">INDUSTRY </w:t>
      </w:r>
      <w:r w:rsidR="00120D70">
        <w:rPr>
          <w:b/>
          <w:color w:val="000000" w:themeColor="text1"/>
          <w:sz w:val="24"/>
          <w:szCs w:val="24"/>
          <w:shd w:val="clear" w:color="auto" w:fill="FFFFFF"/>
        </w:rPr>
        <w:t>IN MALAYSIA</w:t>
      </w:r>
    </w:p>
    <w:p w:rsidR="00C83CBB" w:rsidRDefault="00C83CBB" w:rsidP="00C83CBB">
      <w:pPr>
        <w:spacing w:before="90"/>
        <w:ind w:left="1872" w:right="1689"/>
        <w:jc w:val="center"/>
        <w:rPr>
          <w:b/>
          <w:sz w:val="24"/>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spacing w:before="9"/>
        <w:rPr>
          <w:b/>
          <w:sz w:val="37"/>
        </w:rPr>
      </w:pPr>
    </w:p>
    <w:p w:rsidR="00C83CBB" w:rsidRDefault="00C83CBB" w:rsidP="00C83CBB">
      <w:pPr>
        <w:ind w:left="1872" w:right="1690"/>
        <w:jc w:val="center"/>
        <w:rPr>
          <w:b/>
          <w:sz w:val="24"/>
        </w:rPr>
      </w:pPr>
      <w:proofErr w:type="gramStart"/>
      <w:r>
        <w:rPr>
          <w:b/>
          <w:sz w:val="24"/>
        </w:rPr>
        <w:t>by</w:t>
      </w:r>
      <w:proofErr w:type="gramEnd"/>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spacing w:before="174"/>
        <w:ind w:left="1870" w:right="1692"/>
        <w:jc w:val="center"/>
        <w:rPr>
          <w:b/>
          <w:sz w:val="24"/>
        </w:rPr>
      </w:pPr>
      <w:r>
        <w:rPr>
          <w:b/>
          <w:sz w:val="24"/>
        </w:rPr>
        <w:t xml:space="preserve">Gurjit Singh s/o Harbans Singh </w:t>
      </w: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Pr="00E37366" w:rsidRDefault="00C83CBB" w:rsidP="00C83CBB">
      <w:pPr>
        <w:spacing w:after="200" w:line="360" w:lineRule="auto"/>
        <w:jc w:val="center"/>
        <w:rPr>
          <w:rFonts w:eastAsia="Calibri"/>
          <w:b/>
          <w:sz w:val="24"/>
          <w:szCs w:val="24"/>
          <w:lang w:val="en-GB"/>
        </w:rPr>
      </w:pPr>
      <w:r w:rsidRPr="00E37366">
        <w:rPr>
          <w:rFonts w:eastAsia="SimSun"/>
          <w:b/>
          <w:iCs/>
          <w:sz w:val="24"/>
          <w:szCs w:val="24"/>
          <w:lang w:val="en-GB"/>
        </w:rPr>
        <w:t>Supervisor &amp; Co-Supervisor</w:t>
      </w:r>
      <w:r w:rsidRPr="00E37366">
        <w:rPr>
          <w:rFonts w:eastAsia="Calibri"/>
          <w:b/>
          <w:bCs/>
          <w:color w:val="000000"/>
          <w:sz w:val="24"/>
          <w:szCs w:val="24"/>
          <w:lang w:val="en-GB"/>
        </w:rPr>
        <w:t xml:space="preserve">: </w:t>
      </w:r>
      <w:proofErr w:type="spellStart"/>
      <w:r w:rsidRPr="00E37366">
        <w:rPr>
          <w:rFonts w:eastAsia="Calibri"/>
          <w:b/>
          <w:bCs/>
          <w:color w:val="000000"/>
          <w:sz w:val="24"/>
          <w:szCs w:val="24"/>
          <w:lang w:val="en-GB"/>
        </w:rPr>
        <w:t>Assoc</w:t>
      </w:r>
      <w:proofErr w:type="spellEnd"/>
      <w:r w:rsidRPr="00E37366">
        <w:rPr>
          <w:rFonts w:eastAsia="Calibri"/>
          <w:b/>
          <w:bCs/>
          <w:color w:val="000000"/>
          <w:sz w:val="24"/>
          <w:szCs w:val="24"/>
          <w:lang w:val="en-GB"/>
        </w:rPr>
        <w:t xml:space="preserve"> Prof </w:t>
      </w:r>
      <w:proofErr w:type="spellStart"/>
      <w:r w:rsidRPr="00E37366">
        <w:rPr>
          <w:rFonts w:eastAsia="Calibri"/>
          <w:b/>
          <w:bCs/>
          <w:color w:val="000000"/>
          <w:sz w:val="24"/>
          <w:szCs w:val="24"/>
          <w:lang w:val="en-GB"/>
        </w:rPr>
        <w:t>Dr.</w:t>
      </w:r>
      <w:proofErr w:type="spellEnd"/>
      <w:r w:rsidRPr="00E37366">
        <w:rPr>
          <w:rFonts w:eastAsia="Calibri"/>
          <w:b/>
          <w:bCs/>
          <w:color w:val="000000"/>
          <w:sz w:val="24"/>
          <w:szCs w:val="24"/>
          <w:lang w:val="en-GB"/>
        </w:rPr>
        <w:t xml:space="preserve"> Anbalagan &amp; </w:t>
      </w:r>
      <w:proofErr w:type="spellStart"/>
      <w:r w:rsidRPr="00E37366">
        <w:rPr>
          <w:rFonts w:eastAsia="Calibri"/>
          <w:b/>
          <w:bCs/>
          <w:color w:val="000000"/>
          <w:sz w:val="24"/>
          <w:szCs w:val="24"/>
          <w:lang w:val="en-GB"/>
        </w:rPr>
        <w:t>Dr.</w:t>
      </w:r>
      <w:proofErr w:type="spellEnd"/>
      <w:r w:rsidRPr="00E37366">
        <w:rPr>
          <w:rFonts w:eastAsia="Calibri"/>
          <w:b/>
          <w:bCs/>
          <w:color w:val="000000"/>
          <w:sz w:val="24"/>
          <w:szCs w:val="24"/>
          <w:lang w:val="en-GB"/>
        </w:rPr>
        <w:t xml:space="preserve"> Arivalan</w:t>
      </w: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rPr>
          <w:b/>
          <w:sz w:val="26"/>
        </w:rPr>
      </w:pPr>
    </w:p>
    <w:p w:rsidR="00C83CBB" w:rsidRDefault="00C83CBB" w:rsidP="00C83CBB">
      <w:pPr>
        <w:pStyle w:val="BodyText"/>
        <w:spacing w:before="11"/>
        <w:rPr>
          <w:b/>
          <w:sz w:val="30"/>
        </w:rPr>
      </w:pPr>
    </w:p>
    <w:p w:rsidR="00C83CBB" w:rsidRDefault="00C83CBB" w:rsidP="00C83CBB">
      <w:pPr>
        <w:ind w:left="1872" w:right="1626"/>
        <w:jc w:val="center"/>
        <w:rPr>
          <w:b/>
          <w:sz w:val="24"/>
        </w:rPr>
      </w:pPr>
      <w:r>
        <w:rPr>
          <w:b/>
          <w:sz w:val="24"/>
        </w:rPr>
        <w:t>Journal Submitted</w:t>
      </w:r>
    </w:p>
    <w:p w:rsidR="00C83CBB" w:rsidRDefault="00C83CBB" w:rsidP="00C83CBB">
      <w:pPr>
        <w:ind w:left="1872" w:right="1692"/>
        <w:jc w:val="center"/>
        <w:rPr>
          <w:b/>
          <w:sz w:val="24"/>
        </w:rPr>
      </w:pPr>
      <w:proofErr w:type="gramStart"/>
      <w:r>
        <w:rPr>
          <w:b/>
          <w:sz w:val="24"/>
        </w:rPr>
        <w:t>for</w:t>
      </w:r>
      <w:proofErr w:type="gramEnd"/>
      <w:r>
        <w:rPr>
          <w:b/>
          <w:sz w:val="24"/>
        </w:rPr>
        <w:t xml:space="preserve"> the Degree of Doctor of Business Administration</w:t>
      </w:r>
    </w:p>
    <w:p w:rsidR="00C83CBB" w:rsidRDefault="00C83CBB" w:rsidP="00C83CBB">
      <w:pPr>
        <w:pStyle w:val="BodyText"/>
        <w:spacing w:before="10"/>
        <w:rPr>
          <w:b/>
          <w:sz w:val="20"/>
        </w:rPr>
      </w:pPr>
    </w:p>
    <w:p w:rsidR="00C83CBB" w:rsidRDefault="00C83CBB" w:rsidP="00C83CBB">
      <w:pPr>
        <w:ind w:left="2557" w:right="2377"/>
        <w:jc w:val="center"/>
        <w:rPr>
          <w:b/>
          <w:sz w:val="24"/>
        </w:rPr>
      </w:pPr>
      <w:r>
        <w:rPr>
          <w:b/>
          <w:sz w:val="24"/>
        </w:rPr>
        <w:t xml:space="preserve">School of Business and Administration </w:t>
      </w:r>
      <w:proofErr w:type="spellStart"/>
      <w:r>
        <w:rPr>
          <w:b/>
          <w:sz w:val="24"/>
        </w:rPr>
        <w:t>Wawasan</w:t>
      </w:r>
      <w:proofErr w:type="spellEnd"/>
      <w:r>
        <w:rPr>
          <w:b/>
          <w:sz w:val="24"/>
        </w:rPr>
        <w:t xml:space="preserve"> Open University</w:t>
      </w:r>
    </w:p>
    <w:p w:rsidR="00C83CBB" w:rsidRDefault="00C83CBB" w:rsidP="00C83CBB">
      <w:pPr>
        <w:pStyle w:val="BodyText"/>
        <w:spacing w:before="11"/>
        <w:rPr>
          <w:b/>
          <w:sz w:val="20"/>
        </w:rPr>
      </w:pPr>
    </w:p>
    <w:p w:rsidR="00C83CBB" w:rsidRDefault="00C83CBB" w:rsidP="00C83CBB">
      <w:pPr>
        <w:ind w:left="1872" w:right="1687"/>
        <w:jc w:val="center"/>
        <w:rPr>
          <w:b/>
          <w:sz w:val="24"/>
        </w:rPr>
      </w:pPr>
      <w:r>
        <w:rPr>
          <w:b/>
          <w:sz w:val="24"/>
        </w:rPr>
        <w:t>2022</w:t>
      </w:r>
    </w:p>
    <w:p w:rsidR="00C83CBB" w:rsidRDefault="00C83CBB" w:rsidP="00C83CBB">
      <w:pPr>
        <w:jc w:val="center"/>
        <w:rPr>
          <w:sz w:val="24"/>
        </w:rPr>
      </w:pPr>
    </w:p>
    <w:p w:rsidR="00C83CBB" w:rsidRDefault="00C83CBB" w:rsidP="00C83CBB">
      <w:pPr>
        <w:spacing w:line="360" w:lineRule="auto"/>
        <w:ind w:left="304"/>
        <w:jc w:val="both"/>
        <w:sectPr w:rsidR="00C83CBB">
          <w:headerReference w:type="even" r:id="rId4"/>
          <w:headerReference w:type="default" r:id="rId5"/>
          <w:footerReference w:type="even" r:id="rId6"/>
          <w:footerReference w:type="default" r:id="rId7"/>
          <w:headerReference w:type="first" r:id="rId8"/>
          <w:footerReference w:type="first" r:id="rId9"/>
          <w:pgSz w:w="11910" w:h="16840"/>
          <w:pgMar w:top="1360" w:right="1300" w:bottom="1240" w:left="1680" w:header="0" w:footer="1058" w:gutter="0"/>
          <w:cols w:space="720"/>
        </w:sectPr>
      </w:pPr>
    </w:p>
    <w:p w:rsidR="00C83CBB" w:rsidRPr="00C83CBB" w:rsidRDefault="00C83CBB" w:rsidP="00366B69">
      <w:pPr>
        <w:keepNext/>
        <w:keepLines/>
        <w:widowControl/>
        <w:autoSpaceDE/>
        <w:autoSpaceDN/>
        <w:spacing w:after="100" w:afterAutospacing="1"/>
        <w:jc w:val="both"/>
        <w:outlineLvl w:val="0"/>
        <w:rPr>
          <w:b/>
          <w:bCs/>
          <w:color w:val="000000"/>
          <w:sz w:val="18"/>
          <w:szCs w:val="18"/>
        </w:rPr>
      </w:pPr>
      <w:bookmarkStart w:id="0" w:name="_Toc90728146"/>
      <w:r w:rsidRPr="00C83CBB">
        <w:rPr>
          <w:b/>
          <w:bCs/>
          <w:color w:val="000000"/>
          <w:sz w:val="18"/>
          <w:szCs w:val="18"/>
        </w:rPr>
        <w:lastRenderedPageBreak/>
        <w:t>Abstract</w:t>
      </w:r>
      <w:bookmarkEnd w:id="0"/>
      <w:r w:rsidRPr="00C83CBB">
        <w:rPr>
          <w:b/>
          <w:bCs/>
          <w:color w:val="000000"/>
          <w:sz w:val="18"/>
          <w:szCs w:val="18"/>
        </w:rPr>
        <w:t xml:space="preserve"> </w:t>
      </w:r>
    </w:p>
    <w:p w:rsidR="00C83CBB" w:rsidRPr="00366B69" w:rsidRDefault="00C83CBB" w:rsidP="00366B69">
      <w:pPr>
        <w:pStyle w:val="BodyText"/>
        <w:spacing w:before="4"/>
        <w:rPr>
          <w:rFonts w:eastAsia="Calibri"/>
          <w:color w:val="000000"/>
          <w:sz w:val="18"/>
          <w:szCs w:val="18"/>
        </w:rPr>
      </w:pPr>
      <w:r w:rsidRPr="00366B69">
        <w:rPr>
          <w:rFonts w:eastAsia="Calibri"/>
          <w:color w:val="000000"/>
          <w:sz w:val="18"/>
          <w:szCs w:val="18"/>
        </w:rPr>
        <w:t xml:space="preserve">The conceptual paper is based on the impact of risk on effective risk management interventions being carried out in the Medical devices industry of Malaysia. The research is specifically based on quantitative assessment in which 400 experts </w:t>
      </w:r>
      <w:r w:rsidRPr="00366B69">
        <w:rPr>
          <w:rFonts w:eastAsia="Calibri"/>
          <w:color w:val="000000"/>
          <w:sz w:val="18"/>
          <w:szCs w:val="18"/>
        </w:rPr>
        <w:t xml:space="preserve">shall be </w:t>
      </w:r>
      <w:r w:rsidRPr="00366B69">
        <w:rPr>
          <w:rFonts w:eastAsia="Calibri"/>
          <w:color w:val="000000"/>
          <w:sz w:val="18"/>
          <w:szCs w:val="18"/>
        </w:rPr>
        <w:t xml:space="preserve">approach and a statistical connection </w:t>
      </w:r>
      <w:r w:rsidRPr="00366B69">
        <w:rPr>
          <w:rFonts w:eastAsia="Calibri"/>
          <w:color w:val="000000"/>
          <w:sz w:val="18"/>
          <w:szCs w:val="18"/>
        </w:rPr>
        <w:t xml:space="preserve">to be </w:t>
      </w:r>
      <w:r w:rsidRPr="00366B69">
        <w:rPr>
          <w:rFonts w:eastAsia="Calibri"/>
          <w:color w:val="000000"/>
          <w:sz w:val="18"/>
          <w:szCs w:val="18"/>
        </w:rPr>
        <w:t xml:space="preserve">obtained. For this purpose, the core independent variables of risks such as </w:t>
      </w:r>
      <w:r w:rsidRPr="00366B69">
        <w:rPr>
          <w:rFonts w:eastAsia="Calibri"/>
          <w:color w:val="000000"/>
          <w:sz w:val="18"/>
          <w:szCs w:val="18"/>
        </w:rPr>
        <w:t xml:space="preserve">product life cycle (pre-market, placing to market and post market) shall be evaluated to determine its </w:t>
      </w:r>
      <w:r w:rsidRPr="00366B69">
        <w:rPr>
          <w:rFonts w:eastAsia="Calibri"/>
          <w:color w:val="000000"/>
          <w:sz w:val="18"/>
          <w:szCs w:val="18"/>
        </w:rPr>
        <w:t xml:space="preserve">strong impact related to the effective risk management and desired outcomes can be attained related to it. </w:t>
      </w:r>
    </w:p>
    <w:p w:rsidR="00120D70" w:rsidRPr="00D72898" w:rsidRDefault="00120D70" w:rsidP="00366B69">
      <w:pPr>
        <w:keepNext/>
        <w:keepLines/>
        <w:spacing w:after="200"/>
        <w:rPr>
          <w:sz w:val="18"/>
          <w:szCs w:val="18"/>
          <w:lang w:eastAsia="ja-JP"/>
        </w:rPr>
      </w:pPr>
      <w:r w:rsidRPr="00366B69">
        <w:rPr>
          <w:rFonts w:eastAsiaTheme="majorEastAsia"/>
          <w:bCs/>
          <w:sz w:val="18"/>
          <w:szCs w:val="18"/>
          <w:lang w:eastAsia="ja-JP"/>
        </w:rPr>
        <w:t xml:space="preserve">The current research is based on the identification of the risk management level and its impact on the production and development of the medical devices in the Malaysian context as Malaysia recently emerges as the market of producing medical devices, therefore, it is significant to adopt the current quantitative study to identify the risk levels </w:t>
      </w:r>
      <w:r w:rsidR="00366B69" w:rsidRPr="00366B69">
        <w:rPr>
          <w:rFonts w:eastAsiaTheme="majorEastAsia"/>
          <w:bCs/>
          <w:sz w:val="18"/>
          <w:szCs w:val="18"/>
          <w:lang w:eastAsia="ja-JP"/>
        </w:rPr>
        <w:t xml:space="preserve">during product life cycle </w:t>
      </w:r>
      <w:r w:rsidRPr="00366B69">
        <w:rPr>
          <w:rFonts w:eastAsiaTheme="majorEastAsia"/>
          <w:bCs/>
          <w:sz w:val="18"/>
          <w:szCs w:val="18"/>
          <w:lang w:eastAsia="ja-JP"/>
        </w:rPr>
        <w:t>involved in Malaysian medical technology industry. The aim of the research is to identify the risk factors and the best practices which can help in avoiding the risk level to the maximum level in the utility of the medical devices.</w:t>
      </w:r>
      <w:r w:rsidR="00720474">
        <w:rPr>
          <w:rFonts w:eastAsiaTheme="majorEastAsia"/>
          <w:bCs/>
          <w:sz w:val="18"/>
          <w:szCs w:val="18"/>
          <w:lang w:eastAsia="ja-JP"/>
        </w:rPr>
        <w:t xml:space="preserve"> </w:t>
      </w:r>
      <w:r w:rsidRPr="00366B69">
        <w:rPr>
          <w:rFonts w:eastAsiaTheme="majorEastAsia"/>
          <w:bCs/>
          <w:sz w:val="18"/>
          <w:szCs w:val="18"/>
          <w:lang w:eastAsia="ja-JP"/>
        </w:rPr>
        <w:t>The literature highlighted that risk is not always in the same manner</w:t>
      </w:r>
      <w:r w:rsidRPr="00366B69">
        <w:rPr>
          <w:rFonts w:eastAsiaTheme="majorEastAsia"/>
          <w:bCs/>
          <w:sz w:val="18"/>
          <w:szCs w:val="18"/>
          <w:lang w:eastAsia="ja-JP"/>
        </w:rPr>
        <w:t xml:space="preserve"> in each product cy</w:t>
      </w:r>
      <w:r w:rsidR="00366B69" w:rsidRPr="00366B69">
        <w:rPr>
          <w:rFonts w:eastAsiaTheme="majorEastAsia"/>
          <w:bCs/>
          <w:sz w:val="18"/>
          <w:szCs w:val="18"/>
          <w:lang w:eastAsia="ja-JP"/>
        </w:rPr>
        <w:t>c</w:t>
      </w:r>
      <w:r w:rsidRPr="00366B69">
        <w:rPr>
          <w:rFonts w:eastAsiaTheme="majorEastAsia"/>
          <w:bCs/>
          <w:sz w:val="18"/>
          <w:szCs w:val="18"/>
          <w:lang w:eastAsia="ja-JP"/>
        </w:rPr>
        <w:t>le</w:t>
      </w:r>
      <w:r w:rsidRPr="00366B69">
        <w:rPr>
          <w:rFonts w:eastAsiaTheme="majorEastAsia"/>
          <w:bCs/>
          <w:sz w:val="18"/>
          <w:szCs w:val="18"/>
          <w:lang w:eastAsia="ja-JP"/>
        </w:rPr>
        <w:t xml:space="preserve">, the risk differ in terms of the </w:t>
      </w:r>
      <w:r w:rsidRPr="00366B69">
        <w:rPr>
          <w:rFonts w:eastAsiaTheme="majorEastAsia"/>
          <w:bCs/>
          <w:sz w:val="18"/>
          <w:szCs w:val="18"/>
          <w:lang w:eastAsia="ja-JP"/>
        </w:rPr>
        <w:t>product life cycle</w:t>
      </w:r>
      <w:r w:rsidR="00366B69" w:rsidRPr="00366B69">
        <w:rPr>
          <w:rFonts w:eastAsiaTheme="majorEastAsia"/>
          <w:bCs/>
          <w:sz w:val="18"/>
          <w:szCs w:val="18"/>
          <w:lang w:eastAsia="ja-JP"/>
        </w:rPr>
        <w:t xml:space="preserve"> stages</w:t>
      </w:r>
      <w:r w:rsidRPr="00366B69">
        <w:rPr>
          <w:rFonts w:eastAsiaTheme="majorEastAsia"/>
          <w:bCs/>
          <w:sz w:val="18"/>
          <w:szCs w:val="18"/>
          <w:lang w:eastAsia="ja-JP"/>
        </w:rPr>
        <w:t xml:space="preserve"> </w:t>
      </w:r>
      <w:r w:rsidRPr="00366B69">
        <w:rPr>
          <w:rFonts w:eastAsiaTheme="majorEastAsia"/>
          <w:bCs/>
          <w:sz w:val="18"/>
          <w:szCs w:val="18"/>
          <w:lang w:eastAsia="ja-JP"/>
        </w:rPr>
        <w:t xml:space="preserve">and also the risks have been categorized differently which makes the impact of risk different. The research is done with the aim of using the primary questionnaire as the tool to gather data from experts in the field, the questionnaire will help in further proceeding with the quantitative analysis of the response of the experts about the level of risks involved </w:t>
      </w:r>
      <w:r w:rsidRPr="00366B69">
        <w:rPr>
          <w:rFonts w:eastAsiaTheme="majorEastAsia"/>
          <w:bCs/>
          <w:sz w:val="18"/>
          <w:szCs w:val="18"/>
          <w:lang w:eastAsia="ja-JP"/>
        </w:rPr>
        <w:t xml:space="preserve">during product life cycle </w:t>
      </w:r>
      <w:r w:rsidRPr="00366B69">
        <w:rPr>
          <w:rFonts w:eastAsiaTheme="majorEastAsia"/>
          <w:bCs/>
          <w:sz w:val="18"/>
          <w:szCs w:val="18"/>
          <w:lang w:eastAsia="ja-JP"/>
        </w:rPr>
        <w:t>of medical devices in Malaysian context as the responses are collected from Malaysian experts of medical industry. However the overall research is going to be a great input for the manufacturing companies as well as the researchers to identify the key risk factors and to work on improving the conditions of using the medical devices to avoid the risk level involved</w:t>
      </w:r>
      <w:r w:rsidRPr="00366B69">
        <w:rPr>
          <w:rFonts w:eastAsiaTheme="majorEastAsia"/>
          <w:bCs/>
          <w:sz w:val="18"/>
          <w:szCs w:val="18"/>
          <w:lang w:eastAsia="ja-JP"/>
        </w:rPr>
        <w:t xml:space="preserve"> during its product life cycle</w:t>
      </w:r>
      <w:r w:rsidRPr="00366B69">
        <w:rPr>
          <w:rFonts w:eastAsiaTheme="majorEastAsia"/>
          <w:bCs/>
          <w:sz w:val="18"/>
          <w:szCs w:val="18"/>
          <w:lang w:eastAsia="ja-JP"/>
        </w:rPr>
        <w:t>.</w:t>
      </w:r>
      <w:r w:rsidRPr="00D72898">
        <w:rPr>
          <w:rFonts w:eastAsiaTheme="majorEastAsia"/>
          <w:bCs/>
          <w:sz w:val="18"/>
          <w:szCs w:val="18"/>
          <w:lang w:eastAsia="ja-JP"/>
        </w:rPr>
        <w:t xml:space="preserve"> </w:t>
      </w:r>
      <w:bookmarkStart w:id="1" w:name="_GoBack"/>
      <w:bookmarkEnd w:id="1"/>
    </w:p>
    <w:p w:rsidR="00120D70" w:rsidRPr="00D72898" w:rsidRDefault="00120D70" w:rsidP="00366B69">
      <w:pPr>
        <w:pStyle w:val="BodyText"/>
        <w:spacing w:before="4"/>
        <w:rPr>
          <w:sz w:val="18"/>
          <w:szCs w:val="18"/>
        </w:rPr>
      </w:pPr>
    </w:p>
    <w:sectPr w:rsidR="00120D70" w:rsidRPr="00D72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EF" w:rsidRDefault="00720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90" w:rsidRDefault="00720474">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EF" w:rsidRDefault="0072047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EF" w:rsidRDefault="00720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EF" w:rsidRDefault="00720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FEF" w:rsidRDefault="00720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B"/>
    <w:rsid w:val="00120D70"/>
    <w:rsid w:val="00366B69"/>
    <w:rsid w:val="00720474"/>
    <w:rsid w:val="008755C1"/>
    <w:rsid w:val="00C83CBB"/>
    <w:rsid w:val="00D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90EC8-800A-480E-8044-E81C056E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3C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C83C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3CBB"/>
    <w:rPr>
      <w:sz w:val="24"/>
      <w:szCs w:val="24"/>
    </w:rPr>
  </w:style>
  <w:style w:type="character" w:customStyle="1" w:styleId="BodyTextChar">
    <w:name w:val="Body Text Char"/>
    <w:basedOn w:val="DefaultParagraphFont"/>
    <w:link w:val="BodyText"/>
    <w:uiPriority w:val="1"/>
    <w:rsid w:val="00C83CB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CBB"/>
    <w:pPr>
      <w:tabs>
        <w:tab w:val="center" w:pos="4680"/>
        <w:tab w:val="right" w:pos="9360"/>
      </w:tabs>
    </w:pPr>
  </w:style>
  <w:style w:type="character" w:customStyle="1" w:styleId="HeaderChar">
    <w:name w:val="Header Char"/>
    <w:basedOn w:val="DefaultParagraphFont"/>
    <w:link w:val="Header"/>
    <w:uiPriority w:val="99"/>
    <w:rsid w:val="00C83CBB"/>
    <w:rPr>
      <w:rFonts w:ascii="Times New Roman" w:eastAsia="Times New Roman" w:hAnsi="Times New Roman" w:cs="Times New Roman"/>
    </w:rPr>
  </w:style>
  <w:style w:type="paragraph" w:styleId="Footer">
    <w:name w:val="footer"/>
    <w:basedOn w:val="Normal"/>
    <w:link w:val="FooterChar"/>
    <w:uiPriority w:val="99"/>
    <w:unhideWhenUsed/>
    <w:rsid w:val="00C83CBB"/>
    <w:pPr>
      <w:tabs>
        <w:tab w:val="center" w:pos="4680"/>
        <w:tab w:val="right" w:pos="9360"/>
      </w:tabs>
    </w:pPr>
  </w:style>
  <w:style w:type="character" w:customStyle="1" w:styleId="FooterChar">
    <w:name w:val="Footer Char"/>
    <w:basedOn w:val="DefaultParagraphFont"/>
    <w:link w:val="Footer"/>
    <w:uiPriority w:val="99"/>
    <w:rsid w:val="00C83CB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83C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B.Braun Melsungen AG</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Gurjit Singh Harbans Singh</dc:creator>
  <cp:keywords/>
  <dc:description/>
  <cp:lastModifiedBy>Gurjit Singh Harbans Singh</cp:lastModifiedBy>
  <cp:revision>4</cp:revision>
  <dcterms:created xsi:type="dcterms:W3CDTF">2022-04-20T10:53:00Z</dcterms:created>
  <dcterms:modified xsi:type="dcterms:W3CDTF">2022-04-20T11:48:00Z</dcterms:modified>
</cp:coreProperties>
</file>