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66" w:rsidRPr="00310C0F" w:rsidRDefault="00AB6566">
      <w:pPr>
        <w:rPr>
          <w:rFonts w:ascii="Times New Roman" w:hAnsi="Times New Roman" w:cs="Times New Roman"/>
        </w:rPr>
      </w:pPr>
    </w:p>
    <w:p w:rsidR="005E1B4E" w:rsidRPr="00310C0F" w:rsidRDefault="005E1B4E">
      <w:pPr>
        <w:rPr>
          <w:rFonts w:ascii="Times New Roman" w:hAnsi="Times New Roman" w:cs="Times New Roman"/>
        </w:rPr>
      </w:pPr>
    </w:p>
    <w:p w:rsidR="005E1B4E" w:rsidRPr="00310C0F" w:rsidRDefault="005E1B4E">
      <w:pPr>
        <w:rPr>
          <w:rFonts w:ascii="Times New Roman" w:hAnsi="Times New Roman" w:cs="Times New Roman"/>
        </w:rPr>
      </w:pPr>
    </w:p>
    <w:p w:rsidR="005E1B4E" w:rsidRPr="00310C0F" w:rsidRDefault="005E1B4E" w:rsidP="00310C0F">
      <w:pPr>
        <w:jc w:val="both"/>
        <w:rPr>
          <w:rFonts w:ascii="Times New Roman" w:hAnsi="Times New Roman" w:cs="Times New Roman"/>
          <w:b/>
          <w:sz w:val="20"/>
        </w:rPr>
      </w:pPr>
      <w:r w:rsidRPr="00310C0F">
        <w:rPr>
          <w:rFonts w:ascii="Times New Roman" w:hAnsi="Times New Roman" w:cs="Times New Roman"/>
          <w:b/>
          <w:sz w:val="20"/>
        </w:rPr>
        <w:t xml:space="preserve">Türkiye'de COVID-19 Önceki ve Sonrası Etkin Piyasalar Hipotezinin Geçerliliğinin Testi: </w:t>
      </w:r>
      <w:proofErr w:type="spellStart"/>
      <w:r w:rsidRPr="00310C0F">
        <w:rPr>
          <w:rFonts w:ascii="Times New Roman" w:hAnsi="Times New Roman" w:cs="Times New Roman"/>
          <w:b/>
          <w:sz w:val="20"/>
        </w:rPr>
        <w:t>Fourier</w:t>
      </w:r>
      <w:proofErr w:type="spellEnd"/>
      <w:r w:rsidRPr="00310C0F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Pr="00310C0F">
        <w:rPr>
          <w:rFonts w:ascii="Times New Roman" w:hAnsi="Times New Roman" w:cs="Times New Roman"/>
          <w:b/>
          <w:sz w:val="20"/>
        </w:rPr>
        <w:t>Quantile</w:t>
      </w:r>
      <w:proofErr w:type="spellEnd"/>
      <w:r w:rsidRPr="00310C0F">
        <w:rPr>
          <w:rFonts w:ascii="Times New Roman" w:hAnsi="Times New Roman" w:cs="Times New Roman"/>
          <w:b/>
          <w:sz w:val="20"/>
        </w:rPr>
        <w:t xml:space="preserve"> Birim Kök Yaklaşımı</w:t>
      </w:r>
    </w:p>
    <w:p w:rsidR="007C3EA6" w:rsidRPr="00310C0F" w:rsidRDefault="007C3EA6" w:rsidP="007C3EA6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18"/>
          <w:szCs w:val="18"/>
          <w:lang w:val="en-US"/>
        </w:rPr>
      </w:pPr>
      <w:r w:rsidRPr="00310C0F">
        <w:rPr>
          <w:rFonts w:ascii="Times New Roman" w:hAnsi="Times New Roman" w:cs="Times New Roman"/>
          <w:b/>
          <w:sz w:val="18"/>
          <w:szCs w:val="18"/>
          <w:lang w:val="en-US"/>
        </w:rPr>
        <w:t>Ugur Korkut PATA</w:t>
      </w:r>
      <w:r w:rsidRPr="00310C0F">
        <w:rPr>
          <w:rStyle w:val="DipnotBavurusu"/>
          <w:rFonts w:ascii="Times New Roman" w:hAnsi="Times New Roman" w:cs="Times New Roman"/>
          <w:b/>
          <w:iCs/>
          <w:sz w:val="18"/>
          <w:szCs w:val="18"/>
          <w:lang w:val="en-US"/>
        </w:rPr>
        <w:footnoteReference w:id="1"/>
      </w:r>
      <w:bookmarkStart w:id="0" w:name="_GoBack"/>
      <w:bookmarkEnd w:id="0"/>
      <w:r w:rsidRPr="00310C0F">
        <w:rPr>
          <w:rFonts w:ascii="Times New Roman" w:hAnsi="Times New Roman" w:cs="Times New Roman"/>
          <w:b/>
          <w:iCs/>
          <w:sz w:val="18"/>
          <w:szCs w:val="18"/>
          <w:lang w:val="en-US"/>
        </w:rPr>
        <w:t xml:space="preserve"> </w:t>
      </w:r>
    </w:p>
    <w:p w:rsidR="007C3EA6" w:rsidRPr="00310C0F" w:rsidRDefault="007C3EA6">
      <w:pPr>
        <w:rPr>
          <w:rFonts w:ascii="Times New Roman" w:hAnsi="Times New Roman" w:cs="Times New Roman"/>
          <w:b/>
        </w:rPr>
      </w:pPr>
    </w:p>
    <w:p w:rsidR="005E1B4E" w:rsidRPr="00310C0F" w:rsidRDefault="008E5E21" w:rsidP="007C3EA6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Koronavirüs</w:t>
      </w:r>
      <w:proofErr w:type="spellEnd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19 (COVID-19) </w:t>
      </w:r>
      <w:proofErr w:type="spellStart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pandemisi</w:t>
      </w:r>
      <w:proofErr w:type="spellEnd"/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ülkelerin ekonomik, sosyal ve kültürel yapılarına önemli ölçüde etki etmiştir. COVID-19’un en büyük etkilerinden biri kuşkusuz hisse senedi piyasalarına olmuştur. Hisse senedi pi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yasaları bir</w:t>
      </w:r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çok ülkede COVID-19’un başında büyük b</w:t>
      </w:r>
      <w:r w:rsidR="00310C0F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ir düşüş gösterse de</w:t>
      </w:r>
      <w:r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hükümetlerin genişletici politikalar takip etmeleri ile birlikte özellikle gelişmekte olan ülkelerin hisse senetleri fiyatlarında büyük artışlar görülmüştür.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B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u nedenle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ilgili çalışmada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etkin piyasalar hipotezini COVID-19 öncesi ve sonrası dönemde Türkiye için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incelenmektedir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Etkin piyasa hipotezi </w:t>
      </w:r>
      <w:r w:rsidR="00701DB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hisse senedi fiyatları hakkında tüm bilgilerin yatırımcılar tarafından algılandığını ve bu nedenle yatırımcıların yüksek kar elde edemeyeceğini ima etmektedir. Hisse senedi birim kök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içeriyor</w:t>
      </w:r>
      <w:r w:rsidR="00701DB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ise etkin piyasa hipotezi geçerli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olmamaktadır</w:t>
      </w:r>
      <w:r w:rsidR="00701DB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Bu bağlamda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çalışma,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tarım, enerji, havacılık, sanayi ve bankacılık olmak üzere beş farklı sektörde faaliyet gösteren öncü şirketlerin hisse senetlerine </w:t>
      </w:r>
      <w:r w:rsidR="00CF5B9D">
        <w:rPr>
          <w:rFonts w:ascii="Times New Roman" w:hAnsi="Times New Roman" w:cs="Times New Roman"/>
          <w:color w:val="000000" w:themeColor="text1"/>
          <w:sz w:val="18"/>
          <w:szCs w:val="18"/>
        </w:rPr>
        <w:t>odaklanmaktadır</w:t>
      </w:r>
      <w:r w:rsidR="00C7445A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Bunun için,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yeni geliştirilen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Fourier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kantil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testi ile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Tüpraş</w:t>
      </w:r>
      <w:proofErr w:type="spellEnd"/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, Türk Hava Y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olları, Ereğli ve Garanti bankasının hisse senetlerinin durağan olup olmadıklarını COVID-19 öncesi 2000M4-2019M11 ve </w:t>
      </w:r>
      <w:proofErr w:type="spellStart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pandemi</w:t>
      </w:r>
      <w:proofErr w:type="spellEnd"/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sonrası 2000M4-2022M4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dönemlerde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incelenmektedir</w:t>
      </w:r>
      <w:r w:rsidR="006B590E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Fourier</w:t>
      </w:r>
      <w:proofErr w:type="spellEnd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kantil</w:t>
      </w:r>
      <w:proofErr w:type="spellEnd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testlerinin son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uçları COVID-19 öncesi dönemde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üpraş’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ın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içerdiğini, Türk hava yolları, Ereğli ve G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aran’ın ise durağan olduğunu göstermektedir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Bu durumda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</w:t>
      </w:r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üpraş</w:t>
      </w:r>
      <w:proofErr w:type="spellEnd"/>
      <w:r w:rsidR="00A07D9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için etkin piyasalar hipotezi geçerli değildir.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COVID-19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sonrası dönemde sadece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Hektaş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birim kök içerirken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geriye kalan dört hisse senedi 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fiyatları durağandır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Diğer bir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ifade ile,</w:t>
      </w:r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pandemi</w:t>
      </w:r>
      <w:proofErr w:type="spellEnd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sonrası dönem de analize </w:t>
      </w:r>
      <w:proofErr w:type="gramStart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dahil</w:t>
      </w:r>
      <w:proofErr w:type="gramEnd"/>
      <w:r w:rsidR="008F4A0B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edildiğinde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Tüpraş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için etkin piyasalar hipotezi geçerlilik kazanmıştır. Bu durum</w:t>
      </w:r>
      <w:r w:rsidR="00310C0F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da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COVID-19’un etkin piyasalar hipotezi kapsamında sadece </w:t>
      </w:r>
      <w:proofErr w:type="spellStart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Tüpraş’a</w:t>
      </w:r>
      <w:proofErr w:type="spellEnd"/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etki ettiği görülmektedir. Çalışmanın bulgularına gö</w:t>
      </w:r>
      <w:r w:rsidR="00310C0F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re etkin piyasalar hipotezi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tarım sektörü için geçerli olmayıp, sanayi, havacılık, bankacılık ve enerji sektörleri için </w:t>
      </w:r>
      <w:r w:rsidR="00CD186C">
        <w:rPr>
          <w:rFonts w:ascii="Times New Roman" w:hAnsi="Times New Roman" w:cs="Times New Roman"/>
          <w:color w:val="000000" w:themeColor="text1"/>
          <w:sz w:val="18"/>
          <w:szCs w:val="18"/>
        </w:rPr>
        <w:t>geçerli olduğu kabul edilmiştir</w:t>
      </w:r>
      <w:r w:rsidR="007C3EA6" w:rsidRPr="00310C0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5E1B4E" w:rsidRPr="00310C0F" w:rsidRDefault="008E5E21">
      <w:pPr>
        <w:rPr>
          <w:rFonts w:ascii="Times New Roman" w:hAnsi="Times New Roman" w:cs="Times New Roman"/>
          <w:sz w:val="18"/>
          <w:szCs w:val="18"/>
        </w:rPr>
      </w:pPr>
      <w:r w:rsidRPr="00310C0F"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1E3134" w:rsidRPr="00310C0F">
        <w:rPr>
          <w:rFonts w:ascii="Times New Roman" w:hAnsi="Times New Roman" w:cs="Times New Roman"/>
          <w:sz w:val="18"/>
          <w:szCs w:val="18"/>
        </w:rPr>
        <w:t xml:space="preserve"> </w:t>
      </w:r>
      <w:r w:rsidR="007C3EA6" w:rsidRPr="00310C0F">
        <w:rPr>
          <w:rFonts w:ascii="Times New Roman" w:hAnsi="Times New Roman" w:cs="Times New Roman"/>
          <w:sz w:val="18"/>
          <w:szCs w:val="18"/>
        </w:rPr>
        <w:t>COVID-19,</w:t>
      </w:r>
      <w:r w:rsidR="001E3134" w:rsidRPr="00310C0F">
        <w:rPr>
          <w:rFonts w:ascii="Times New Roman" w:hAnsi="Times New Roman" w:cs="Times New Roman"/>
          <w:sz w:val="18"/>
          <w:szCs w:val="18"/>
        </w:rPr>
        <w:t xml:space="preserve"> Etkin piyasalar hipotezi, </w:t>
      </w:r>
      <w:proofErr w:type="spellStart"/>
      <w:r w:rsidR="001E3134" w:rsidRPr="00310C0F">
        <w:rPr>
          <w:rFonts w:ascii="Times New Roman" w:hAnsi="Times New Roman" w:cs="Times New Roman"/>
          <w:sz w:val="18"/>
          <w:szCs w:val="18"/>
        </w:rPr>
        <w:t>Fourier</w:t>
      </w:r>
      <w:proofErr w:type="spellEnd"/>
      <w:r w:rsidR="001E3134" w:rsidRPr="00310C0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E3134" w:rsidRPr="00310C0F">
        <w:rPr>
          <w:rFonts w:ascii="Times New Roman" w:hAnsi="Times New Roman" w:cs="Times New Roman"/>
          <w:sz w:val="18"/>
          <w:szCs w:val="18"/>
        </w:rPr>
        <w:t>kantil</w:t>
      </w:r>
      <w:proofErr w:type="spellEnd"/>
      <w:r w:rsidR="001E3134" w:rsidRPr="00310C0F">
        <w:rPr>
          <w:rFonts w:ascii="Times New Roman" w:hAnsi="Times New Roman" w:cs="Times New Roman"/>
          <w:sz w:val="18"/>
          <w:szCs w:val="18"/>
        </w:rPr>
        <w:t xml:space="preserve"> birim kök testi, Türkiye</w:t>
      </w:r>
      <w:r w:rsidR="007C3EA6" w:rsidRPr="00310C0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E1B4E" w:rsidRPr="00310C0F" w:rsidRDefault="005E1B4E" w:rsidP="00310C0F">
      <w:pPr>
        <w:jc w:val="both"/>
        <w:rPr>
          <w:rFonts w:ascii="Times New Roman" w:hAnsi="Times New Roman" w:cs="Times New Roman"/>
          <w:b/>
          <w:sz w:val="20"/>
          <w:szCs w:val="18"/>
          <w:lang w:val="en-US"/>
        </w:rPr>
      </w:pPr>
      <w:r w:rsidRPr="00310C0F">
        <w:rPr>
          <w:rFonts w:ascii="Times New Roman" w:hAnsi="Times New Roman" w:cs="Times New Roman"/>
          <w:b/>
          <w:sz w:val="20"/>
          <w:szCs w:val="18"/>
          <w:lang w:val="en-US"/>
        </w:rPr>
        <w:t>Testing the Validity of the Pre- and Post-COVID-19 Efficient Markets Hypothesis in Turkey: Fourier Quantile Unit Root Approach</w:t>
      </w:r>
    </w:p>
    <w:p w:rsidR="005E1B4E" w:rsidRPr="00310C0F" w:rsidRDefault="007C3EA6" w:rsidP="007C3EA6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310C0F">
        <w:rPr>
          <w:rFonts w:ascii="Times New Roman" w:hAnsi="Times New Roman" w:cs="Times New Roman"/>
          <w:sz w:val="18"/>
          <w:szCs w:val="18"/>
          <w:lang w:val="en-US"/>
        </w:rPr>
        <w:t>The coronavirus 19 (COVID -19) pandemic has had a significant impact on the economic, social, and cultural structures of countries. One of the greatest impacts of COVID -19 has undoubtedly been on stock markets. Although stock markets declined sharply in many coun</w:t>
      </w:r>
      <w:r w:rsidR="00310C0F">
        <w:rPr>
          <w:rFonts w:ascii="Times New Roman" w:hAnsi="Times New Roman" w:cs="Times New Roman"/>
          <w:sz w:val="18"/>
          <w:szCs w:val="18"/>
          <w:lang w:val="en-US"/>
        </w:rPr>
        <w:t>tries at the beginning of COVID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-19, stock prices rose sharply in developing countries, especially due to the expansionary policies of governments. </w:t>
      </w:r>
      <w:r w:rsidR="00CF5B9D">
        <w:rPr>
          <w:rFonts w:ascii="Times New Roman" w:hAnsi="Times New Roman" w:cs="Times New Roman"/>
          <w:sz w:val="18"/>
          <w:szCs w:val="18"/>
          <w:lang w:val="en-US"/>
        </w:rPr>
        <w:t>Therefore</w:t>
      </w:r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 xml:space="preserve">, in the relevant study, the efficient markets hypothesis </w:t>
      </w:r>
      <w:proofErr w:type="gramStart"/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>is examined</w:t>
      </w:r>
      <w:proofErr w:type="gramEnd"/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 xml:space="preserve"> for Turkey in the pre- and post-COVID-19 period.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The efficient market hypothesis states that investors perceive all information about stock prices and therefore investors cannot make high profits. If the stock contains a unit root, the efficient market hypothesis is not valid. </w:t>
      </w:r>
      <w:r w:rsidR="00CF5B9D" w:rsidRPr="00CF5B9D">
        <w:rPr>
          <w:rFonts w:ascii="Times New Roman" w:hAnsi="Times New Roman" w:cs="Times New Roman"/>
          <w:sz w:val="18"/>
          <w:szCs w:val="18"/>
          <w:lang w:val="en-US"/>
        </w:rPr>
        <w:t>In this context, the study focuses on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the stocks of leading companies operating in five different sectors: Agriculture, Energy, Aviation, Industry, and Banking. </w:t>
      </w:r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For this, by using the newly developed Fourier quantile unit root test, whether the stocks of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Hektaş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Tüpraş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, Turkish airlines,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Ereğli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>Garanti</w:t>
      </w:r>
      <w:proofErr w:type="spellEnd"/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CD186C">
        <w:rPr>
          <w:rFonts w:ascii="Times New Roman" w:hAnsi="Times New Roman" w:cs="Times New Roman"/>
          <w:sz w:val="18"/>
          <w:szCs w:val="18"/>
          <w:lang w:val="en-US"/>
        </w:rPr>
        <w:t>Bank</w:t>
      </w:r>
      <w:r w:rsidR="00CD186C" w:rsidRPr="00CD186C">
        <w:rPr>
          <w:rFonts w:ascii="Times New Roman" w:hAnsi="Times New Roman" w:cs="Times New Roman"/>
          <w:sz w:val="18"/>
          <w:szCs w:val="18"/>
          <w:lang w:val="en-US"/>
        </w:rPr>
        <w:t xml:space="preserve"> are stationary or not in the pre-COVID-19 2000M4-2019M11 and post-pandemic 2000M4-2022M4 periods are examined.</w:t>
      </w:r>
      <w:r w:rsidR="00CD186C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The results of </w:t>
      </w:r>
      <w:proofErr w:type="gramStart"/>
      <w:r w:rsidRPr="00310C0F">
        <w:rPr>
          <w:rFonts w:ascii="Times New Roman" w:hAnsi="Times New Roman" w:cs="Times New Roman"/>
          <w:sz w:val="18"/>
          <w:szCs w:val="18"/>
          <w:lang w:val="en-US"/>
        </w:rPr>
        <w:t>Fourier quantile unit root tests</w:t>
      </w:r>
      <w:proofErr w:type="gram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show that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Hekt</w:t>
      </w:r>
      <w:r w:rsidR="00310C0F">
        <w:rPr>
          <w:rFonts w:ascii="Times New Roman" w:hAnsi="Times New Roman" w:cs="Times New Roman"/>
          <w:sz w:val="18"/>
          <w:szCs w:val="18"/>
          <w:lang w:val="en-US"/>
        </w:rPr>
        <w:t>aş</w:t>
      </w:r>
      <w:proofErr w:type="spellEnd"/>
      <w:r w:rsidR="00310C0F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="00310C0F">
        <w:rPr>
          <w:rFonts w:ascii="Times New Roman" w:hAnsi="Times New Roman" w:cs="Times New Roman"/>
          <w:sz w:val="18"/>
          <w:szCs w:val="18"/>
          <w:lang w:val="en-US"/>
        </w:rPr>
        <w:t xml:space="preserve"> contain a unit root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, while Turkish Airlines,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Ereğli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Garanti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are statio</w:t>
      </w:r>
      <w:r w:rsidR="00310C0F">
        <w:rPr>
          <w:rFonts w:ascii="Times New Roman" w:hAnsi="Times New Roman" w:cs="Times New Roman"/>
          <w:sz w:val="18"/>
          <w:szCs w:val="18"/>
          <w:lang w:val="en-US"/>
        </w:rPr>
        <w:t>nary in the period before COVID</w:t>
      </w:r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-19. In this case, the efficient markets hypothesis is not valid for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Hektaş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and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. In the period after COVID -19, only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Hektaş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has a unit root, while the other four stock prices are stationary. In other words, when the post-pandemic period was included in the analysis, the efficient markets hypothesis became valid for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. This situation seems to affect only </w:t>
      </w:r>
      <w:proofErr w:type="spellStart"/>
      <w:r w:rsidRPr="00310C0F">
        <w:rPr>
          <w:rFonts w:ascii="Times New Roman" w:hAnsi="Times New Roman" w:cs="Times New Roman"/>
          <w:sz w:val="18"/>
          <w:szCs w:val="18"/>
          <w:lang w:val="en-US"/>
        </w:rPr>
        <w:t>Tupras</w:t>
      </w:r>
      <w:proofErr w:type="spellEnd"/>
      <w:r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 under the efficient markets hypothesis of COVID-19. According to the results of the study, the efficient markets hypothesis is not valid for the agricultural sector, but it is valid for the industrial, aviation, banking and energy sectors.</w:t>
      </w:r>
    </w:p>
    <w:p w:rsidR="005E1B4E" w:rsidRPr="00310C0F" w:rsidRDefault="008E5E21" w:rsidP="005E1B4E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310C0F">
        <w:rPr>
          <w:rFonts w:ascii="Times New Roman" w:hAnsi="Times New Roman" w:cs="Times New Roman"/>
          <w:b/>
          <w:sz w:val="18"/>
          <w:szCs w:val="18"/>
          <w:lang w:val="en-US"/>
        </w:rPr>
        <w:t>Keywords:</w:t>
      </w:r>
      <w:r w:rsidR="001E3134" w:rsidRPr="00310C0F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1E3134" w:rsidRPr="00310C0F">
        <w:rPr>
          <w:rFonts w:ascii="Times New Roman" w:hAnsi="Times New Roman" w:cs="Times New Roman"/>
          <w:sz w:val="18"/>
          <w:szCs w:val="18"/>
          <w:lang w:val="en-US"/>
        </w:rPr>
        <w:t xml:space="preserve">COVID-19, Efficient markets hypothesis, </w:t>
      </w:r>
      <w:proofErr w:type="gramStart"/>
      <w:r w:rsidR="001E3134" w:rsidRPr="00310C0F">
        <w:rPr>
          <w:rFonts w:ascii="Times New Roman" w:hAnsi="Times New Roman" w:cs="Times New Roman"/>
          <w:sz w:val="18"/>
          <w:szCs w:val="18"/>
          <w:lang w:val="en-US"/>
        </w:rPr>
        <w:t>Fourier quantile unit root test</w:t>
      </w:r>
      <w:proofErr w:type="gramEnd"/>
      <w:r w:rsidR="001E3134" w:rsidRPr="00310C0F">
        <w:rPr>
          <w:rFonts w:ascii="Times New Roman" w:hAnsi="Times New Roman" w:cs="Times New Roman"/>
          <w:sz w:val="18"/>
          <w:szCs w:val="18"/>
          <w:lang w:val="en-US"/>
        </w:rPr>
        <w:t>, Turkey</w:t>
      </w:r>
    </w:p>
    <w:p w:rsidR="005E1B4E" w:rsidRPr="00310C0F" w:rsidRDefault="005E1B4E" w:rsidP="005E1B4E">
      <w:pPr>
        <w:rPr>
          <w:rFonts w:ascii="Times New Roman" w:hAnsi="Times New Roman" w:cs="Times New Roman"/>
          <w:lang w:val="en-US"/>
        </w:rPr>
      </w:pPr>
    </w:p>
    <w:p w:rsidR="00701DBE" w:rsidRPr="00310C0F" w:rsidRDefault="00701DBE" w:rsidP="005E1B4E">
      <w:pPr>
        <w:rPr>
          <w:rFonts w:ascii="Times New Roman" w:hAnsi="Times New Roman" w:cs="Times New Roman"/>
          <w:lang w:val="en-US"/>
        </w:rPr>
      </w:pPr>
    </w:p>
    <w:p w:rsidR="008B52C4" w:rsidRPr="00310C0F" w:rsidRDefault="008B52C4" w:rsidP="005E1B4E">
      <w:pPr>
        <w:rPr>
          <w:rFonts w:ascii="Times New Roman" w:hAnsi="Times New Roman" w:cs="Times New Roman"/>
          <w:lang w:val="en-US"/>
        </w:rPr>
      </w:pPr>
      <w:r w:rsidRPr="00310C0F">
        <w:rPr>
          <w:rFonts w:ascii="Times New Roman" w:hAnsi="Times New Roman" w:cs="Times New Roman"/>
          <w:lang w:val="en-US"/>
        </w:rPr>
        <w:t xml:space="preserve"> </w:t>
      </w:r>
    </w:p>
    <w:sectPr w:rsidR="008B52C4" w:rsidRPr="0031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ED" w:rsidRDefault="00925CED" w:rsidP="007C3EA6">
      <w:pPr>
        <w:spacing w:after="0" w:line="240" w:lineRule="auto"/>
      </w:pPr>
      <w:r>
        <w:separator/>
      </w:r>
    </w:p>
  </w:endnote>
  <w:endnote w:type="continuationSeparator" w:id="0">
    <w:p w:rsidR="00925CED" w:rsidRDefault="00925CED" w:rsidP="007C3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ED" w:rsidRDefault="00925CED" w:rsidP="007C3EA6">
      <w:pPr>
        <w:spacing w:after="0" w:line="240" w:lineRule="auto"/>
      </w:pPr>
      <w:r>
        <w:separator/>
      </w:r>
    </w:p>
  </w:footnote>
  <w:footnote w:type="continuationSeparator" w:id="0">
    <w:p w:rsidR="00925CED" w:rsidRDefault="00925CED" w:rsidP="007C3EA6">
      <w:pPr>
        <w:spacing w:after="0" w:line="240" w:lineRule="auto"/>
      </w:pPr>
      <w:r>
        <w:continuationSeparator/>
      </w:r>
    </w:p>
  </w:footnote>
  <w:footnote w:id="1">
    <w:p w:rsidR="007C3EA6" w:rsidRPr="007C3EA6" w:rsidRDefault="007C3EA6" w:rsidP="007C3EA6">
      <w:pPr>
        <w:pStyle w:val="DipnotMetni"/>
        <w:jc w:val="both"/>
        <w:rPr>
          <w:rFonts w:ascii="Times New Roman" w:hAnsi="Times New Roman" w:cs="Times New Roman"/>
          <w:sz w:val="18"/>
        </w:rPr>
      </w:pPr>
      <w:r w:rsidRPr="00AE263E">
        <w:rPr>
          <w:rStyle w:val="DipnotBavurusu"/>
          <w:rFonts w:ascii="Times New Roman" w:hAnsi="Times New Roman" w:cs="Times New Roman"/>
          <w:sz w:val="18"/>
        </w:rPr>
        <w:footnoteRef/>
      </w:r>
      <w:proofErr w:type="spellStart"/>
      <w:r w:rsidRPr="00AE263E">
        <w:rPr>
          <w:rFonts w:ascii="Times New Roman" w:hAnsi="Times New Roman" w:cs="Times New Roman"/>
          <w:sz w:val="18"/>
        </w:rPr>
        <w:t>Araş</w:t>
      </w:r>
      <w:proofErr w:type="spellEnd"/>
      <w:r w:rsidRPr="00AE263E">
        <w:rPr>
          <w:rFonts w:ascii="Times New Roman" w:hAnsi="Times New Roman" w:cs="Times New Roman"/>
          <w:sz w:val="18"/>
        </w:rPr>
        <w:t xml:space="preserve"> Gör. Dr</w:t>
      </w:r>
      <w:proofErr w:type="gramStart"/>
      <w:r w:rsidRPr="00AE263E">
        <w:rPr>
          <w:rFonts w:ascii="Times New Roman" w:hAnsi="Times New Roman" w:cs="Times New Roman"/>
          <w:sz w:val="18"/>
        </w:rPr>
        <w:t>.,</w:t>
      </w:r>
      <w:proofErr w:type="gramEnd"/>
      <w:r w:rsidRPr="00AE263E">
        <w:rPr>
          <w:rFonts w:ascii="Times New Roman" w:hAnsi="Times New Roman" w:cs="Times New Roman"/>
          <w:sz w:val="18"/>
        </w:rPr>
        <w:t xml:space="preserve"> Osmaniye Korkut Ata Üniversitesi, İİBF, İktisat Bölümü, korkutpata@ktu.edu.tr; korkutpata@osmaniye.edu.tr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A9"/>
    <w:rsid w:val="00027958"/>
    <w:rsid w:val="000953F5"/>
    <w:rsid w:val="00196D2C"/>
    <w:rsid w:val="001E3134"/>
    <w:rsid w:val="00237AA7"/>
    <w:rsid w:val="00310C0F"/>
    <w:rsid w:val="00385FAC"/>
    <w:rsid w:val="005E1B4E"/>
    <w:rsid w:val="006A29C4"/>
    <w:rsid w:val="006B590E"/>
    <w:rsid w:val="00701DBE"/>
    <w:rsid w:val="00787BA9"/>
    <w:rsid w:val="00787D23"/>
    <w:rsid w:val="007C3EA6"/>
    <w:rsid w:val="008258B9"/>
    <w:rsid w:val="008B52C4"/>
    <w:rsid w:val="008E5E21"/>
    <w:rsid w:val="008F4A0B"/>
    <w:rsid w:val="00915F54"/>
    <w:rsid w:val="00925CED"/>
    <w:rsid w:val="00A07D96"/>
    <w:rsid w:val="00AB6566"/>
    <w:rsid w:val="00B00995"/>
    <w:rsid w:val="00B6155E"/>
    <w:rsid w:val="00C7445A"/>
    <w:rsid w:val="00CD186C"/>
    <w:rsid w:val="00C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E24B3"/>
  <w15:chartTrackingRefBased/>
  <w15:docId w15:val="{D1B7F659-AF83-41FB-AEA3-3CD90B0F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A2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C3EA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3EA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3E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 Korkut PAT A</dc:creator>
  <cp:keywords/>
  <dc:description/>
  <cp:lastModifiedBy>Ugur Korkut PAT A</cp:lastModifiedBy>
  <cp:revision>10</cp:revision>
  <dcterms:created xsi:type="dcterms:W3CDTF">2022-04-21T15:35:00Z</dcterms:created>
  <dcterms:modified xsi:type="dcterms:W3CDTF">2022-04-28T13:44:00Z</dcterms:modified>
</cp:coreProperties>
</file>