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4DE5" w14:textId="77777777" w:rsidR="00F07B74" w:rsidRDefault="0098026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Açık ve Uzaktan Öğrenme Dersi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2020 Güz Yarıyılı İzlencesi</w:t>
      </w:r>
    </w:p>
    <w:p w14:paraId="6BF02706" w14:textId="77777777" w:rsidR="00F07B74" w:rsidRDefault="00980267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Öğr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 Üyesi Yiğit Emrah TURGUT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hyperlink r:id="rId7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yigitemrah.turgut@erdogan.edu.tr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>Ofis: Eğitim Fakültesi B Blok, Oda 118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14:paraId="77161367" w14:textId="77777777" w:rsidR="00F07B74" w:rsidRDefault="00980267">
      <w:pPr>
        <w:tabs>
          <w:tab w:val="left" w:pos="1132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Derslik: </w:t>
      </w:r>
    </w:p>
    <w:p w14:paraId="24F34AEF" w14:textId="77777777" w:rsidR="00F07B74" w:rsidRDefault="00980267">
      <w:pPr>
        <w:tabs>
          <w:tab w:val="left" w:pos="1132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Classroom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Sanal Sınıf Kodu: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wbfg5py</w:t>
      </w:r>
      <w:r>
        <w:rPr>
          <w:rFonts w:ascii="Times New Roman" w:eastAsia="Times New Roman" w:hAnsi="Times New Roman" w:cs="Times New Roman"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t>Dersin Amacı:</w:t>
      </w:r>
    </w:p>
    <w:p w14:paraId="248E77AF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Bu ders açık ve uzaktan öğrenme-öğretim kuram ve yaklaşımlarının varsayım, kavram ve ilkelerini inceleyerek, bunların uygulamada nasıl kullanılabileceğini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göstermeyi amaçlamaktadır. Bu ders sonunda öğrencilerin açık ve uzaktan öğrenme alanına yönelik, temel kavramları, alana ait kuram ve yaklaşımları tanımlayabilmesi ve her bir kuram ve yaklaşımı birbirinde ayırt edebilmesi beklenmektedir. </w:t>
      </w:r>
    </w:p>
    <w:p w14:paraId="08924BA5" w14:textId="77777777" w:rsidR="00F07B74" w:rsidRDefault="00F07B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6CAEF6" w14:textId="77777777" w:rsidR="00F07B74" w:rsidRDefault="00980267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Dersin İşlenişi:</w:t>
      </w:r>
    </w:p>
    <w:p w14:paraId="37811226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Dersler canlı dersler şeklinde uzaktan eğitim yoluyla işlenecektir. Dersler haftalık okumalar çerçevesinde işlenecektir. Bu nedenle, haftalık okumalar ve yansıma ödevlerinin yapılması önemlidir. </w:t>
      </w:r>
    </w:p>
    <w:p w14:paraId="6DA1FC2A" w14:textId="77777777" w:rsidR="00F07B74" w:rsidRDefault="00F07B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53D895" w14:textId="77777777" w:rsidR="00F07B74" w:rsidRDefault="00980267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Dersin Devamsızlığı:</w:t>
      </w:r>
    </w:p>
    <w:p w14:paraId="7DA8B9BF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Madde 19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Lisansüstü öğrenci yönetmeli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ği ile ilgili detaylara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https://kms.kaysis.gov.tr/Home/Goster/128419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adresinden ulaşabilirsiniz. Özetle, 4 ders (12 saat) fazla gelmeyen öğrenciler devamsızlıktan kalacaktır.</w:t>
      </w:r>
    </w:p>
    <w:p w14:paraId="4CEACAB3" w14:textId="77777777" w:rsidR="00F07B74" w:rsidRDefault="00F07B7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6F07AC" w14:textId="77777777" w:rsidR="00F07B74" w:rsidRDefault="0098026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Dersin İlkeleri:</w:t>
      </w:r>
    </w:p>
    <w:p w14:paraId="4C8638BC" w14:textId="77777777" w:rsidR="00F07B74" w:rsidRDefault="0098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56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Aşırmacılık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(Eser Hırsızlığı) İlkesi: Başka kaynaklardan alınan bilgiler akademik kurallara uygun olarak açık olarak belirtilmelidir. Aksi tespit edildiği halde gerekli cezai işlem süreci başlatılacaktır.</w:t>
      </w:r>
    </w:p>
    <w:p w14:paraId="543B69AD" w14:textId="77777777" w:rsidR="00F07B74" w:rsidRDefault="0098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5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Takip İlkesi: Dersi alan öğrencile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Google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Classroom’dan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yapılan duyuru ve ödevleri takip etmek ve sistemde kayıtlı e-posta adresini düzenli olarak kontrol etmek ile yükümlüdür. Öğrencilerin kendilerine gönderilen iletiyi teknik ya da başka bir nedenden dolayı almaması onları mesajın içeri</w:t>
      </w:r>
      <w:r>
        <w:rPr>
          <w:rFonts w:ascii="Times New Roman" w:eastAsia="Times New Roman" w:hAnsi="Times New Roman" w:cs="Times New Roman"/>
          <w:sz w:val="20"/>
          <w:szCs w:val="20"/>
        </w:rPr>
        <w:t>ğindeki sorumluluktan muaf tutmaz.</w:t>
      </w:r>
    </w:p>
    <w:p w14:paraId="0651E279" w14:textId="77777777" w:rsidR="00F07B74" w:rsidRDefault="0098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5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Geç Teslim İlkesi: Ödev ve Projelerin zamanında teslim edilmemesi halinde, ilgili haftadaki ödev ya da proje puanından saat başı %10 kesinti yapılarak değerlendirmeye alınacaktır.</w:t>
      </w:r>
    </w:p>
    <w:p w14:paraId="0E6A0085" w14:textId="77777777" w:rsidR="00F07B74" w:rsidRDefault="00F07B7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13A2A983" w14:textId="77777777" w:rsidR="00F07B74" w:rsidRDefault="00980267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Yansıma Ödevleri:</w:t>
      </w:r>
    </w:p>
    <w:p w14:paraId="624DCD18" w14:textId="77777777" w:rsidR="00F07B74" w:rsidRDefault="0098026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Katılımcılar haftalık okumalarla ilgili sorulara ilişkin hazırladıkları yansıma ödevlerini Google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Classroom’a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en geç Pazartesi 12:00’de yüklemeleri gerekmektedir. </w:t>
      </w:r>
    </w:p>
    <w:p w14:paraId="5DC20EFF" w14:textId="77777777" w:rsidR="00F07B74" w:rsidRDefault="00F07B74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C64172" w14:textId="77777777" w:rsidR="00F07B74" w:rsidRDefault="00980267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Proje Ödevleri:</w:t>
      </w:r>
    </w:p>
    <w:p w14:paraId="68C9B96F" w14:textId="77777777" w:rsidR="00F07B74" w:rsidRDefault="009802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Proje ödevi öğrencilerin grup olarak bir dönem boyunca uzaktan eğitim ile 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lgili bir konuda yürüttükleri araştırma kapsamında gerçekleştirdikleri bir ödevdir. </w:t>
      </w:r>
    </w:p>
    <w:p w14:paraId="1DDBBD74" w14:textId="77777777" w:rsidR="00F07B74" w:rsidRDefault="00F07B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14:paraId="11FFD4B9" w14:textId="77777777" w:rsidR="00F07B74" w:rsidRDefault="00980267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Değerlendirme:</w:t>
      </w:r>
    </w:p>
    <w:p w14:paraId="1E907EEC" w14:textId="77777777" w:rsidR="00F07B74" w:rsidRDefault="009802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Vize (%40)</w:t>
      </w:r>
    </w:p>
    <w:p w14:paraId="2861E2AD" w14:textId="77777777" w:rsidR="00F07B74" w:rsidRDefault="00980267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Yansıma ödevleri %80</w:t>
      </w:r>
    </w:p>
    <w:p w14:paraId="4E41D080" w14:textId="77777777" w:rsidR="00F07B74" w:rsidRDefault="00980267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Derse katılım %20</w:t>
      </w:r>
    </w:p>
    <w:p w14:paraId="4DE8AD8B" w14:textId="77777777" w:rsidR="00F07B74" w:rsidRDefault="0098026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Final (%60)</w:t>
      </w:r>
    </w:p>
    <w:p w14:paraId="72568EAD" w14:textId="77777777" w:rsidR="00F07B74" w:rsidRDefault="0098026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Proje ödevi %80</w:t>
      </w:r>
    </w:p>
    <w:p w14:paraId="7DAC733D" w14:textId="77777777" w:rsidR="00F07B74" w:rsidRDefault="00980267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Derse katılım %20</w:t>
      </w:r>
    </w:p>
    <w:p w14:paraId="5BCDD6AE" w14:textId="77777777" w:rsidR="00F07B74" w:rsidRDefault="00F07B74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2B1C43B" w14:textId="77777777" w:rsidR="00F07B74" w:rsidRDefault="00980267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Kaynaklar:</w:t>
      </w:r>
    </w:p>
    <w:p w14:paraId="78C1B7F0" w14:textId="77777777" w:rsidR="00F07B74" w:rsidRDefault="0098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56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Simonson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Smaldino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S., 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Zvacek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S. (2015).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Teaching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learning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at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Foundations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(6th ed.).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Charlotte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North Carolina: Information Age Publishing,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ABA6E59" w14:textId="77777777" w:rsidR="00F07B74" w:rsidRDefault="0098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56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Moore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Michael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Grahame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ed. (2013).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Handbook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(3rd ed.) New York: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Routledge</w:t>
      </w:r>
      <w:proofErr w:type="spellEnd"/>
    </w:p>
    <w:p w14:paraId="1D2815FD" w14:textId="77777777" w:rsidR="00F07B74" w:rsidRDefault="0098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56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İşman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A. (2011). Uzaktan Eğitim, Ankara: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Pegem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Yayıcılık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25E05398" w14:textId="77777777" w:rsidR="00F07B74" w:rsidRDefault="0098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56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Uşun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S. (2006). Uzaktan eğitim. Ankara: Nobel Yayın Dağıtım.</w:t>
      </w:r>
    </w:p>
    <w:p w14:paraId="29F3A90A" w14:textId="77777777" w:rsidR="00F07B74" w:rsidRDefault="0098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5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Turgut, Y. E., Aslan, A., &amp; Kurşun, E. (2020). Dijital dönüşüm ve açık bilim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Selçuk Karaman). 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ükseköğretimde dijital dönüşüm. Ankara: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Pegem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Yayıcılık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3A8AEAA" w14:textId="77777777" w:rsidR="00F07B74" w:rsidRDefault="0098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56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Tekinarslan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E. 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Yavuzalp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N. (2018). Uzaktan eğitim ve öğretim tasarım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Erkan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Tekinarslan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ve Melih Derya Gürer). Uzaktan eğitim.</w:t>
      </w:r>
    </w:p>
    <w:p w14:paraId="794174EA" w14:textId="77777777" w:rsidR="00F07B74" w:rsidRDefault="0098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5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Fırat, M (2019). Uygulamadan Kurama Açık ve Uzaktan Öğrenme, </w:t>
      </w:r>
      <w:r>
        <w:rPr>
          <w:rFonts w:ascii="Times New Roman" w:eastAsia="Times New Roman" w:hAnsi="Times New Roman" w:cs="Times New Roman"/>
          <w:sz w:val="20"/>
          <w:szCs w:val="20"/>
        </w:rPr>
        <w:t>Ankara: Nobel Yayınevi.</w:t>
      </w:r>
    </w:p>
    <w:p w14:paraId="5F2F27F2" w14:textId="77777777" w:rsidR="00F07B74" w:rsidRDefault="0098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5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Kurşun, E. (2016). Açık eğitim kaynakları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Yüksel Göktaş ve Kürşat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Çağıltay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). Öğretim Teknolojilerinin Temelleri. Ankara: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Pegem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Yayıcılık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2F1C6155" w14:textId="77777777" w:rsidR="00F07B74" w:rsidRDefault="00980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6" w:hanging="5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Öğretim elemanının Öğretim Yönetim Sistemine yüklediği akademik makaleler</w:t>
      </w:r>
    </w:p>
    <w:p w14:paraId="6ECEBB5D" w14:textId="77777777" w:rsidR="00F07B74" w:rsidRDefault="00F07B7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BF6D58D" w14:textId="77777777" w:rsidR="00F07B74" w:rsidRDefault="00F07B74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06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9"/>
        <w:gridCol w:w="4500"/>
        <w:gridCol w:w="1990"/>
        <w:gridCol w:w="1990"/>
      </w:tblGrid>
      <w:tr w:rsidR="00F07B74" w14:paraId="6DEC1A62" w14:textId="77777777" w:rsidTr="005E527A">
        <w:trPr>
          <w:trHeight w:val="300"/>
        </w:trPr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B31F4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682C2B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32EE2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Okumalar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DA75F6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Ödevler</w:t>
            </w:r>
          </w:p>
        </w:tc>
      </w:tr>
      <w:tr w:rsidR="00F07B74" w14:paraId="345CE54F" w14:textId="77777777" w:rsidTr="005E527A">
        <w:trPr>
          <w:trHeight w:val="300"/>
        </w:trPr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D0E66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DE2F02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Dersin Tanıtımı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BE0BEF" w14:textId="77777777" w:rsidR="00F07B74" w:rsidRDefault="00F07B7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DCB01C" w14:textId="77777777" w:rsidR="00F07B74" w:rsidRDefault="00F07B7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B74" w14:paraId="004805E4" w14:textId="77777777" w:rsidTr="005E527A">
        <w:trPr>
          <w:trHeight w:val="300"/>
        </w:trPr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5D7F2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CA4D5C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Açık ve Uzaktan Öğrenme Alanında Temel Kavramlar-1                                    </w:t>
            </w:r>
          </w:p>
          <w:p w14:paraId="7406925E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(Basic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Concepts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Open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Learning-1)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2A1915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Okuma Paketi-1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111B0F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Yansıma Ödevi-1</w:t>
            </w:r>
          </w:p>
        </w:tc>
      </w:tr>
      <w:tr w:rsidR="00F07B74" w14:paraId="28477B6A" w14:textId="77777777" w:rsidTr="005E527A">
        <w:trPr>
          <w:trHeight w:val="300"/>
        </w:trPr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69D78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A3F3CB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Açık ve Uzaktan Öğrenme Alanında Temel Kavramlar-2</w:t>
            </w:r>
          </w:p>
          <w:p w14:paraId="08CC6387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(Basic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Concepts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Open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Learning-2)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12EF09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Okuma Paketi-2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690091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Yansıma Ödevi-2</w:t>
            </w:r>
          </w:p>
        </w:tc>
      </w:tr>
      <w:tr w:rsidR="00F07B74" w14:paraId="0BE85566" w14:textId="77777777" w:rsidTr="005E527A">
        <w:trPr>
          <w:trHeight w:val="300"/>
        </w:trPr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5668F3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50B24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Açık ve Uzaktan Öğrenme Alanının Tarihçesi-1</w:t>
            </w:r>
          </w:p>
          <w:p w14:paraId="53894E40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Open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Learning-1)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8BD5D9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Okuma Paketi-3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97D58C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Yansıma Ödevi-3</w:t>
            </w:r>
          </w:p>
        </w:tc>
      </w:tr>
      <w:tr w:rsidR="00F07B74" w14:paraId="01D51E06" w14:textId="77777777" w:rsidTr="005E527A">
        <w:trPr>
          <w:trHeight w:val="180"/>
        </w:trPr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0CF24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B794E8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Açık ve Uzaktan Öğrenme Alanının Tarihçesi-2</w:t>
            </w:r>
          </w:p>
          <w:p w14:paraId="71D879CB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Open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Learning-2)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56812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Okuma Paketi-4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62FD0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Yansıma Ödevi-4</w:t>
            </w:r>
          </w:p>
        </w:tc>
      </w:tr>
      <w:tr w:rsidR="00F07B74" w14:paraId="42919423" w14:textId="77777777" w:rsidTr="005E527A">
        <w:trPr>
          <w:trHeight w:val="300"/>
        </w:trPr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D8F63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A2C68D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Açık ve Uzaktan Öğrenmenin Kuramları-1</w:t>
            </w:r>
          </w:p>
          <w:p w14:paraId="42A7C3D3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Theories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Open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Learning-1)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03CC3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Okuma Paketi-5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F7C6C7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Yansıma Ödevi-5</w:t>
            </w:r>
          </w:p>
        </w:tc>
      </w:tr>
      <w:tr w:rsidR="00F07B74" w14:paraId="2E778915" w14:textId="77777777" w:rsidTr="005E527A">
        <w:trPr>
          <w:trHeight w:val="300"/>
        </w:trPr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ECE65E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4E9451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Açık ve Uzaktan Öğrenmenin Kuramları-2</w:t>
            </w:r>
          </w:p>
          <w:p w14:paraId="7D9CBE0A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Theories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Open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Learning-2)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384F1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Okuma Paketi-6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FB60B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Yansıma Ödevi-6</w:t>
            </w:r>
          </w:p>
        </w:tc>
      </w:tr>
      <w:tr w:rsidR="00F07B74" w14:paraId="431DC53C" w14:textId="77777777" w:rsidTr="005E527A">
        <w:trPr>
          <w:trHeight w:val="300"/>
        </w:trPr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2BBBD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792055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DA36CB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74E262" w14:textId="77777777" w:rsidR="00F07B74" w:rsidRDefault="00F07B7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7B74" w14:paraId="2A93D9C1" w14:textId="77777777" w:rsidTr="005E527A">
        <w:trPr>
          <w:trHeight w:val="300"/>
        </w:trPr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45D8B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259A07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Açık Eğitim Kaynakları-1</w:t>
            </w:r>
          </w:p>
          <w:p w14:paraId="7B92D408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(Open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Resources-1)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DD40C6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Okuma Paketi-7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0ACE2A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Açık Eğitim Kaynakları-Açık Kitap-Açık Kaynak Kodlu Yazılımlar-</w:t>
            </w:r>
          </w:p>
        </w:tc>
      </w:tr>
      <w:tr w:rsidR="00F07B74" w14:paraId="7D35D8F3" w14:textId="77777777" w:rsidTr="005E527A">
        <w:trPr>
          <w:trHeight w:val="300"/>
        </w:trPr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5994F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71729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Açık Eğitim Kaynakları-2</w:t>
            </w:r>
          </w:p>
          <w:p w14:paraId="2D3040DC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(Open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Resources-2)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34FDE8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Okuma Paketi-8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FD79C9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Açık Hakemlik-Açık Erişim Dergi-Kurumsal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Açık Arşivler</w:t>
            </w:r>
          </w:p>
        </w:tc>
      </w:tr>
      <w:tr w:rsidR="00F07B74" w14:paraId="7DA96F01" w14:textId="77777777" w:rsidTr="005E527A">
        <w:trPr>
          <w:trHeight w:val="300"/>
        </w:trPr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0E6AE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2E5331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E-Öğrenme Yönetim Sistemleri</w:t>
            </w:r>
          </w:p>
          <w:p w14:paraId="2E3A3833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(E-Learning Management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Systems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8AB540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Okuma Paketi-9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581EFC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MOOC-LMS</w:t>
            </w:r>
          </w:p>
        </w:tc>
      </w:tr>
      <w:tr w:rsidR="00F07B74" w14:paraId="7652A56B" w14:textId="77777777" w:rsidTr="005E527A">
        <w:trPr>
          <w:trHeight w:val="300"/>
        </w:trPr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1461D0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F94A7E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Açık ve Uzaktan Öğrenmede Öğretim Tasarımı</w:t>
            </w:r>
          </w:p>
          <w:p w14:paraId="26ABAD20" w14:textId="77777777" w:rsidR="00F07B74" w:rsidRDefault="0098026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Instructional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Design in Open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Learning)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D6717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Okuma Paketi-10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89541" w14:textId="77777777" w:rsidR="00F07B74" w:rsidRDefault="00980267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527A" w14:paraId="15758437" w14:textId="77777777" w:rsidTr="005E527A">
        <w:trPr>
          <w:trHeight w:val="300"/>
        </w:trPr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A0ECA9" w14:textId="77777777" w:rsidR="005E527A" w:rsidRDefault="005E527A" w:rsidP="005E527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B002C0" w14:textId="77777777" w:rsidR="005E527A" w:rsidRDefault="005E527A" w:rsidP="005E527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Açık ve Uzaktan Öğrenmede Öğretim Tasarımı</w:t>
            </w:r>
          </w:p>
          <w:p w14:paraId="77C9E25C" w14:textId="4A66497B" w:rsidR="005E527A" w:rsidRDefault="005E527A" w:rsidP="005E527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Instructional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Design in Open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Learning)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DE1AE" w14:textId="77777777" w:rsidR="005E527A" w:rsidRDefault="005E527A" w:rsidP="005E527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Okuma Paketi-11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7863C" w14:textId="77777777" w:rsidR="005E527A" w:rsidRDefault="005E527A" w:rsidP="005E527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527A" w14:paraId="7006423A" w14:textId="77777777" w:rsidTr="005E527A">
        <w:trPr>
          <w:trHeight w:val="300"/>
        </w:trPr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DF258" w14:textId="77777777" w:rsidR="005E527A" w:rsidRDefault="005E527A" w:rsidP="005E527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E880AE" w14:textId="77777777" w:rsidR="005E527A" w:rsidRDefault="005E527A" w:rsidP="005E527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Açık ve Uzaktan Öğrenmede Öğretim Tasarımı</w:t>
            </w:r>
          </w:p>
          <w:p w14:paraId="1C8F3BEF" w14:textId="7D9D3586" w:rsidR="005E527A" w:rsidRDefault="005E527A" w:rsidP="005E527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Instructional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Design in Open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Learning)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FB01C3" w14:textId="77777777" w:rsidR="005E527A" w:rsidRDefault="005E527A" w:rsidP="005E527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Okuma Paketi-12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F69AF" w14:textId="77777777" w:rsidR="005E527A" w:rsidRDefault="005E527A" w:rsidP="005E527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527A" w14:paraId="7395D632" w14:textId="77777777" w:rsidTr="005E527A">
        <w:trPr>
          <w:trHeight w:val="300"/>
        </w:trPr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279B3D" w14:textId="77777777" w:rsidR="005E527A" w:rsidRDefault="005E527A" w:rsidP="005E527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1EE36F" w14:textId="77777777" w:rsidR="005E527A" w:rsidRDefault="005E527A" w:rsidP="005E527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Açık ve Uzaktan Öğrenmede Öğretim Tasarımı</w:t>
            </w:r>
          </w:p>
          <w:p w14:paraId="09CD101B" w14:textId="5C07DD5C" w:rsidR="005E527A" w:rsidRDefault="005E527A" w:rsidP="005E527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Instructional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Design in Open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Distance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Learning)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FA278" w14:textId="77777777" w:rsidR="005E527A" w:rsidRDefault="005E527A" w:rsidP="005E527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389415" w14:textId="77777777" w:rsidR="005E527A" w:rsidRDefault="005E527A" w:rsidP="005E527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527A" w14:paraId="52EA3FB9" w14:textId="77777777" w:rsidTr="005E527A">
        <w:trPr>
          <w:trHeight w:val="300"/>
        </w:trPr>
        <w:tc>
          <w:tcPr>
            <w:tcW w:w="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74402" w14:textId="77777777" w:rsidR="005E527A" w:rsidRDefault="005E527A" w:rsidP="005E527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08E6B5" w14:textId="77777777" w:rsidR="005E527A" w:rsidRDefault="005E527A" w:rsidP="005E527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Yarıyıl Sonu Sınavı</w:t>
            </w:r>
          </w:p>
          <w:p w14:paraId="7B876965" w14:textId="77777777" w:rsidR="005E527A" w:rsidRDefault="005E527A" w:rsidP="005E527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(Final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33803" w14:textId="77777777" w:rsidR="005E527A" w:rsidRDefault="005E527A" w:rsidP="005E527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E8895A" w14:textId="77777777" w:rsidR="005E527A" w:rsidRDefault="005E527A" w:rsidP="005E527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 Ödevi</w:t>
            </w:r>
          </w:p>
        </w:tc>
      </w:tr>
    </w:tbl>
    <w:p w14:paraId="7F9B8A20" w14:textId="77777777" w:rsidR="00F07B74" w:rsidRDefault="00F07B74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0ED960" w14:textId="77777777" w:rsidR="00F07B74" w:rsidRDefault="00980267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Dersin Çıktıları</w:t>
      </w:r>
    </w:p>
    <w:p w14:paraId="0DB5F326" w14:textId="77777777" w:rsidR="00F07B74" w:rsidRDefault="0098026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1- Uzaktan eğitimi tanımlayabilme (Define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83D9FEC" w14:textId="77777777" w:rsidR="00F07B74" w:rsidRDefault="0098026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2- Uzaktan eğitimin tarihçesini bilme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Know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history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F2CCD2C" w14:textId="77777777" w:rsidR="00F07B74" w:rsidRDefault="0098026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3- Açık ve uzaktan öğrenme kuramlarını bilme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Know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learning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theories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4C7B972" w14:textId="77777777" w:rsidR="00F07B74" w:rsidRDefault="0098026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4- Açık eğitim kaynaklarını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bilme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Know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resources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D22278D" w14:textId="77777777" w:rsidR="00F07B74" w:rsidRDefault="0098026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5- Açık ve uzaktan öğrenme ortamlarını değerlendirebilme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Evaluate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open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learning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environments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2541D98" w14:textId="77777777" w:rsidR="00F07B74" w:rsidRDefault="00F07B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003419" w14:textId="77777777" w:rsidR="00F07B74" w:rsidRDefault="0098026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Okuma Paketi-1</w:t>
      </w:r>
    </w:p>
    <w:p w14:paraId="32DB81CB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(2008).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? </w:t>
      </w: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https://www.tonybates.ca/2008/07/07/what-is-distance-education/</w:t>
        </w:r>
      </w:hyperlink>
    </w:p>
    <w:p w14:paraId="2A0F1300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Uşun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(2006). Uzaktan Eğitim. (1.Bölüm- Kavramsal Çerçeve)</w:t>
      </w:r>
    </w:p>
    <w:p w14:paraId="1F58C111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Yansıma Ödevi-1: </w:t>
      </w:r>
      <w:r>
        <w:rPr>
          <w:rFonts w:ascii="Times New Roman" w:eastAsia="Times New Roman" w:hAnsi="Times New Roman" w:cs="Times New Roman"/>
          <w:sz w:val="20"/>
          <w:szCs w:val="20"/>
        </w:rPr>
        <w:t>Açık ve uzaktan öğrenme ile ilgili kavramlardan oluşan bir kavram haritası oluşturu</w:t>
      </w:r>
      <w:r>
        <w:rPr>
          <w:rFonts w:ascii="Times New Roman" w:eastAsia="Times New Roman" w:hAnsi="Times New Roman" w:cs="Times New Roman"/>
          <w:sz w:val="20"/>
          <w:szCs w:val="20"/>
        </w:rPr>
        <w:t>nuz? Oluşturduğunuz bu kavram haritasının, hiyerarşisin ve ilişkilerinin anlamlı olmasına dikkat ediniz.</w:t>
      </w:r>
    </w:p>
    <w:p w14:paraId="2AF36964" w14:textId="77777777" w:rsidR="00F07B74" w:rsidRDefault="00F07B7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1EEE5A" w14:textId="77777777" w:rsidR="00F07B74" w:rsidRDefault="00980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Okuma Paketi-2</w:t>
      </w:r>
    </w:p>
    <w:p w14:paraId="58AAE868" w14:textId="77777777" w:rsidR="00F07B74" w:rsidRDefault="00980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Simonson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vd. (2015).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Brief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History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Chapter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2-Definitions,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History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Theories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(s.32-36)</w:t>
      </w:r>
    </w:p>
    <w:p w14:paraId="2FA2C555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İşman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(2011). Uzaktan Eğitim. (1.Bölüm-Uzaktan Eğitimin Tanımı)</w:t>
      </w:r>
    </w:p>
    <w:p w14:paraId="127928C5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Yansıma Ödevi-2: </w:t>
      </w:r>
      <w:r>
        <w:rPr>
          <w:rFonts w:ascii="Times New Roman" w:eastAsia="Times New Roman" w:hAnsi="Times New Roman" w:cs="Times New Roman"/>
          <w:sz w:val="20"/>
          <w:szCs w:val="20"/>
        </w:rPr>
        <w:t>Açık ve uzaktan öğrenme alanında yaşanan kav</w:t>
      </w:r>
      <w:r>
        <w:rPr>
          <w:rFonts w:ascii="Times New Roman" w:eastAsia="Times New Roman" w:hAnsi="Times New Roman" w:cs="Times New Roman"/>
          <w:sz w:val="20"/>
          <w:szCs w:val="20"/>
        </w:rPr>
        <w:t>ram kargaşasının nedenleri nelerdir? Buna yönelik çözümünüz ne olur?</w:t>
      </w:r>
    </w:p>
    <w:p w14:paraId="4D1DCDB4" w14:textId="77777777" w:rsidR="00F07B74" w:rsidRDefault="00F07B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695ED1" w14:textId="77777777" w:rsidR="00F07B74" w:rsidRDefault="00980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Okuma Paketi-3</w:t>
      </w:r>
    </w:p>
    <w:p w14:paraId="64672508" w14:textId="77777777" w:rsidR="00F07B74" w:rsidRDefault="00980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Simonson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vd. (2015).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Brief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History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Chapter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2-Definitions,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History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Theories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(s.36-40)</w:t>
      </w:r>
    </w:p>
    <w:p w14:paraId="64048B15" w14:textId="77777777" w:rsidR="00F07B74" w:rsidRDefault="00980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Fırat (2019). Uygulamadan Kurama Açık 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Uzaktan Öğrenme. 4. Bölüm-Uygulamadan Kurama Doğru</w:t>
      </w:r>
    </w:p>
    <w:p w14:paraId="1D58830A" w14:textId="77777777" w:rsidR="00F07B74" w:rsidRDefault="00980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Yansıma Ödevi-3: </w:t>
      </w:r>
      <w:r>
        <w:rPr>
          <w:rFonts w:ascii="Times New Roman" w:eastAsia="Times New Roman" w:hAnsi="Times New Roman" w:cs="Times New Roman"/>
          <w:sz w:val="20"/>
          <w:szCs w:val="20"/>
        </w:rPr>
        <w:t>Uzaktan eğitimin tarihsel sürecini zaman çizelgesi üzerinde özetleyiniz. Gelecekte beklediğiniz süreçleri de çizelgenin sonuna ekleyiniz. Gelecekte beklediğiniz süreçleri nedenleri ile aç</w:t>
      </w:r>
      <w:r>
        <w:rPr>
          <w:rFonts w:ascii="Times New Roman" w:eastAsia="Times New Roman" w:hAnsi="Times New Roman" w:cs="Times New Roman"/>
          <w:sz w:val="20"/>
          <w:szCs w:val="20"/>
        </w:rPr>
        <w:t>ıklayınız.</w:t>
      </w:r>
    </w:p>
    <w:p w14:paraId="67A7EB60" w14:textId="77777777" w:rsidR="00F07B74" w:rsidRDefault="00F07B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FDAC6D" w14:textId="77777777" w:rsidR="00F07B74" w:rsidRDefault="00980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Okuma Paketi-4</w:t>
      </w:r>
    </w:p>
    <w:p w14:paraId="31CC9050" w14:textId="77777777" w:rsidR="00F07B74" w:rsidRDefault="00980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Bozkurt (2017). Türkiye’de uzaktan eğitimin dünü, bugünü ve yarını</w:t>
      </w:r>
    </w:p>
    <w:p w14:paraId="0FC9282E" w14:textId="77777777" w:rsidR="00F07B74" w:rsidRDefault="00980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İsman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(2011) Türkiye’de uzaktan eğitimin tarihçesi</w:t>
      </w:r>
    </w:p>
    <w:p w14:paraId="33171B64" w14:textId="77777777" w:rsidR="00F07B74" w:rsidRDefault="00980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Yansıma Ödevi-4: </w:t>
      </w:r>
      <w:r>
        <w:rPr>
          <w:rFonts w:ascii="Times New Roman" w:eastAsia="Times New Roman" w:hAnsi="Times New Roman" w:cs="Times New Roman"/>
          <w:sz w:val="20"/>
          <w:szCs w:val="20"/>
        </w:rPr>
        <w:t>Türkiye'de uzaktan eğitim uygulamaları hangi ihtiyaçlardan ortaya çıkmıştır? Örneklendirerek 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azınız? (Örneğin 1927 yılında Türkiye'de harf inkılabı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ile birlikte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ortaya çıkan okuma yazma ihtiyacının öğretimi için muhabere yoluyla tedrisat uygulamasının yapılması)</w:t>
      </w:r>
    </w:p>
    <w:p w14:paraId="1882AB64" w14:textId="77777777" w:rsidR="00F07B74" w:rsidRDefault="00F07B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F5C98F" w14:textId="77777777" w:rsidR="00F07B74" w:rsidRDefault="0098026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Okuma Paketi-5</w:t>
      </w:r>
    </w:p>
    <w:p w14:paraId="5B424F8F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Moore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(2011).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Systems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View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Online Learning.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hapter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9-The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Scholarship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</w:p>
    <w:p w14:paraId="19F30E46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Simonson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vd. (2015).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Brief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History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Chapter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2-Definitions,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History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Theories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(s.40)</w:t>
      </w:r>
    </w:p>
    <w:p w14:paraId="1C77476F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Fırat (2019). Uygulamadan Kurama Açık ve Uzaktan Öğrenme. 5.Bölüm-Kura</w:t>
      </w:r>
      <w:r>
        <w:rPr>
          <w:rFonts w:ascii="Times New Roman" w:eastAsia="Times New Roman" w:hAnsi="Times New Roman" w:cs="Times New Roman"/>
          <w:sz w:val="20"/>
          <w:szCs w:val="20"/>
        </w:rPr>
        <w:t>msal Temeller</w:t>
      </w:r>
    </w:p>
    <w:p w14:paraId="26FC230D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Yansıma Ödevi-5: </w:t>
      </w:r>
      <w:r>
        <w:rPr>
          <w:rFonts w:ascii="Times New Roman" w:eastAsia="Times New Roman" w:hAnsi="Times New Roman" w:cs="Times New Roman"/>
          <w:sz w:val="20"/>
          <w:szCs w:val="20"/>
        </w:rPr>
        <w:t>Uzaktan eğitimde teorilerin önemi nedir? Ortaya çıkan teorilerin alana katkıları nelerdir? Açıklayınız.</w:t>
      </w:r>
    </w:p>
    <w:p w14:paraId="31D96644" w14:textId="77777777" w:rsidR="00F07B74" w:rsidRDefault="00F07B7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350F8C" w14:textId="77777777" w:rsidR="00F07B74" w:rsidRDefault="0098026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Okuma Paketi-6</w:t>
      </w:r>
    </w:p>
    <w:p w14:paraId="1AA26DB1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Usta (2016). Uzaktan eğitim kuramlarından 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transactional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ın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Türkçeleştirilmesi</w:t>
      </w:r>
    </w:p>
    <w:p w14:paraId="6456CE47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Gökmen, Duman ve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Horzum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(2016) Uzaktan eğitimde kuramlar, değişimler ve yeni yönelimler</w:t>
      </w:r>
    </w:p>
    <w:p w14:paraId="713475B9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Simonson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(2016).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Equivalency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theory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49524AF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Yansıma Ödevi-6: </w:t>
      </w:r>
      <w:r>
        <w:rPr>
          <w:rFonts w:ascii="Times New Roman" w:eastAsia="Times New Roman" w:hAnsi="Times New Roman" w:cs="Times New Roman"/>
          <w:sz w:val="20"/>
          <w:szCs w:val="20"/>
        </w:rPr>
        <w:t>Uzaktan eğitim ile bir ders anlatacağınızı düşünerek, uzaktan eğitim kuramlarından hangisi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ni/hangilerini, dersinizde nasıl, neden ve hangi boyutlarıyla kullanmak istediğinizi açıklayınız. </w:t>
      </w:r>
    </w:p>
    <w:p w14:paraId="68AD0565" w14:textId="77777777" w:rsidR="00F07B74" w:rsidRDefault="00F07B7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B4D9E5" w14:textId="77777777" w:rsidR="00F07B74" w:rsidRDefault="0098026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Okuma Paketi-7</w:t>
      </w:r>
    </w:p>
    <w:p w14:paraId="4517F6BD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Turgut, Aslan ve Kurşun (2020). Yükseköğretimde Dijital Dönüşüm. 3.Modül/2.Bölüm: Dijital dönüşüm ve açık bilim.</w:t>
      </w:r>
    </w:p>
    <w:p w14:paraId="4361949D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Kurşun (2016). Öğretim Tekno</w:t>
      </w:r>
      <w:r>
        <w:rPr>
          <w:rFonts w:ascii="Times New Roman" w:eastAsia="Times New Roman" w:hAnsi="Times New Roman" w:cs="Times New Roman"/>
          <w:sz w:val="20"/>
          <w:szCs w:val="20"/>
        </w:rPr>
        <w:t>lojilerinin Temelleri. 40.Bölüm: Açık eğitim kaynakları</w:t>
      </w:r>
    </w:p>
    <w:p w14:paraId="118F30B7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Bates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Teaching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Digital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Age -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What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is a MOOC? (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pp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170)</w:t>
      </w:r>
    </w:p>
    <w:p w14:paraId="3D4CA29D" w14:textId="77777777" w:rsidR="00F07B74" w:rsidRDefault="00F07B7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073B79" w14:textId="77777777" w:rsidR="00F07B74" w:rsidRDefault="0098026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Okuma Paketi-8</w:t>
      </w:r>
    </w:p>
    <w:p w14:paraId="70817402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Baysal, Çakır ve Toplu (2015) Açık Eğitim Kaynaklarının Gelişimi ve Türkiye’de Uygulama Alanları</w:t>
      </w:r>
    </w:p>
    <w:p w14:paraId="314C75E0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Bozkurt (2015). Kitlesel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Açık Çevrimiçi Dersler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Massive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Open Online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Courses 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MOOCs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ve sayısal bilgi çağında yaşam boyu öğrenme fırsatı </w:t>
      </w:r>
    </w:p>
    <w:p w14:paraId="5D52E3AC" w14:textId="77777777" w:rsidR="00F07B74" w:rsidRDefault="00F07B7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F51A65" w14:textId="77777777" w:rsidR="00F07B74" w:rsidRDefault="00F07B7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027787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Okuma Paketi-9</w:t>
      </w:r>
    </w:p>
    <w:p w14:paraId="3EB0198F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Çoban (2016) Üniversitelerde Öğretim Yönetim Sistemleri Yazılımları Kullanımına Yönelik Bir İnceleme</w:t>
      </w:r>
    </w:p>
    <w:p w14:paraId="04D1608A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Akkuş ve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Kapıdere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Açik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Kaynak Kodlu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Mobi̇l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Uzaktan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Eği̇ti̇m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Yöneti̇m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Si̇stemleri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̇</w:t>
      </w:r>
    </w:p>
    <w:p w14:paraId="6F713C96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Altıparmak, Kurt ve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Kapıdere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(2011) E-Öğrenme ve Uzaktan Eğitimde Açık Kaynak Kodlu Öğrenme Yönetim Sistemleri</w:t>
      </w:r>
    </w:p>
    <w:p w14:paraId="662E3802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Demirel ve Karapınar (2020) Canlı ders araç ve teknolojileri </w:t>
      </w:r>
    </w:p>
    <w:p w14:paraId="162785C3" w14:textId="77777777" w:rsidR="00F07B74" w:rsidRDefault="00F07B7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4345F0" w14:textId="77777777" w:rsidR="00F07B74" w:rsidRDefault="0098026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Okuma Paketi-10</w:t>
      </w:r>
    </w:p>
    <w:p w14:paraId="00DEAF3B" w14:textId="77777777" w:rsidR="00F07B74" w:rsidRDefault="00980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Tekinarslan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Erkan &amp;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Yavuzalp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Nuh. (2018). 6. Bölüm: Uzaktan Eğitim ve Öğretim Tasarımı. </w:t>
      </w:r>
    </w:p>
    <w:p w14:paraId="79F50FE5" w14:textId="77777777" w:rsidR="00F07B74" w:rsidRDefault="00980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Karadeniz, A. (2015). Açık ve uzaktan öğrenmede ders tasarımı: bilim etiği dersi örneği.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AUAd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1(3), 91-107.</w:t>
      </w:r>
    </w:p>
    <w:p w14:paraId="496FBD80" w14:textId="77777777" w:rsidR="00F07B74" w:rsidRDefault="00980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Moore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(2011).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Systems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View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Online Learning.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Chapter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5-Course Design ve Development</w:t>
      </w:r>
    </w:p>
    <w:p w14:paraId="5EC5BFE0" w14:textId="77777777" w:rsidR="00F07B74" w:rsidRDefault="00F07B74">
      <w:pPr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highlight w:val="white"/>
        </w:rPr>
      </w:pPr>
    </w:p>
    <w:p w14:paraId="635ECF30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Okuma Paketi-11</w:t>
      </w:r>
    </w:p>
    <w:p w14:paraId="473F43F9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(2013). 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future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?</w:t>
      </w:r>
    </w:p>
    <w:p w14:paraId="611F71A2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https://www.tonybates.ca/2013/10/23/is-there-a-future-for-distance-education/</w:t>
        </w:r>
      </w:hyperlink>
    </w:p>
    <w:p w14:paraId="0E574D50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Akgün Özbek (2014). Açık ve Uzaktan Öğrenmenin Günümüzdeki Durumu</w:t>
      </w:r>
    </w:p>
    <w:p w14:paraId="463DBA66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Hançer (2011). Türkiye’de E-Öğrenmenin Bugünü ve Geleceği</w:t>
      </w:r>
    </w:p>
    <w:p w14:paraId="4924A7B5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Bozkurt (2020).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Koronavirüs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(Covid-19)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pandemi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süreci ve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pandemi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sonrası dünyada eğitime yönelik değerlendirmeler: Yeni normal ve yeni eğitim paradigması</w:t>
      </w:r>
    </w:p>
    <w:p w14:paraId="1E429DA1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1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Uzaktan Eğitimin Geleceği Paneli Videoları</w:t>
        </w:r>
      </w:hyperlink>
    </w:p>
    <w:p w14:paraId="7CA5D8EA" w14:textId="77777777" w:rsidR="00F07B74" w:rsidRDefault="00F07B7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17F8864" w14:textId="77777777" w:rsidR="00F07B74" w:rsidRDefault="0098026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Okuma Paketi-12</w:t>
      </w:r>
    </w:p>
    <w:p w14:paraId="14A00FB7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Horzum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Özkaya, Demirci ve Alpaslan (2013).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Review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Turkish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Research</w:t>
      </w:r>
      <w:proofErr w:type="spellEnd"/>
    </w:p>
    <w:p w14:paraId="5B87997A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Simonson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(2016).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Teaching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Learning at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</w:t>
      </w:r>
      <w:r>
        <w:rPr>
          <w:rFonts w:ascii="Times New Roman" w:eastAsia="Times New Roman" w:hAnsi="Times New Roman" w:cs="Times New Roman"/>
          <w:sz w:val="20"/>
          <w:szCs w:val="20"/>
        </w:rPr>
        <w:t>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Foundations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Chapter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3-Research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C17B2EC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Tallent-Runnels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vd. (2006).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Teaching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Course Online: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Review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343808E9" w14:textId="77777777" w:rsidR="00F07B74" w:rsidRDefault="0098026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Karaman ve Kurşun (2014).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Behind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Research-based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Practices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Practicefocused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Researches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4BAB22D" w14:textId="77777777" w:rsidR="00F07B74" w:rsidRDefault="00F07B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5258E3" w14:textId="77777777" w:rsidR="00F07B74" w:rsidRDefault="00F07B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28F5ED" w14:textId="77777777" w:rsidR="00F07B74" w:rsidRDefault="00F07B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6F496F" w14:textId="77777777" w:rsidR="00F07B74" w:rsidRDefault="00F07B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60F3F9" w14:textId="77777777" w:rsidR="00F07B74" w:rsidRDefault="00F07B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7C90B0" w14:textId="77777777" w:rsidR="00F07B74" w:rsidRDefault="00980267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Yansıma Ödevleri Değerlendirme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Rubriği</w:t>
      </w:r>
      <w:proofErr w:type="spellEnd"/>
    </w:p>
    <w:p w14:paraId="24C7AC18" w14:textId="77777777" w:rsidR="00F07B74" w:rsidRDefault="00980267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(Yansıma Ödevi 2 &amp; Yansıma Ödevi 6)</w:t>
      </w:r>
    </w:p>
    <w:p w14:paraId="1B21EDD0" w14:textId="77777777" w:rsidR="00F07B74" w:rsidRDefault="00F07B74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0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95"/>
        <w:gridCol w:w="1020"/>
        <w:gridCol w:w="975"/>
        <w:gridCol w:w="1080"/>
      </w:tblGrid>
      <w:tr w:rsidR="00F07B74" w14:paraId="3526BD5D" w14:textId="77777777"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F6E9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Ölçütler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4B3F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Yeterli</w:t>
            </w:r>
          </w:p>
          <w:p w14:paraId="13187A72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10A0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Kısmen</w:t>
            </w:r>
          </w:p>
          <w:p w14:paraId="7570A037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(2)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F52DD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Yetersiz</w:t>
            </w:r>
          </w:p>
          <w:p w14:paraId="52DAF646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(1)</w:t>
            </w:r>
          </w:p>
        </w:tc>
      </w:tr>
      <w:tr w:rsidR="00F07B74" w14:paraId="445AABC7" w14:textId="77777777"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B5BC6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Yansıma sorusuna yanıtı yeterince özgün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C7D3E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D83D9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7EAE2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B74" w14:paraId="6535C6CD" w14:textId="77777777"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DCAA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Fikirlerini literatürle desteklemiş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4AC4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EEFC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712B6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B74" w14:paraId="142AD7CE" w14:textId="77777777"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89BE2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Okuma paketleri dışında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farklı  kaynaklardan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 (makale, tez, kitap vb.) faydalanmış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1F24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9373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987C9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B74" w14:paraId="420FB6C2" w14:textId="77777777"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5ACA3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Ödevin yazımında imla ve noktalama hatalarına dikkat edilmiş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CD466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D33DB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3A7D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B74" w14:paraId="7CDFC4C1" w14:textId="77777777"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31926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Ödevi verilen sürede teslim etmiş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BD7D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A59D2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4BF68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B74" w14:paraId="4E027B10" w14:textId="77777777">
        <w:trPr>
          <w:trHeight w:val="420"/>
        </w:trPr>
        <w:tc>
          <w:tcPr>
            <w:tcW w:w="6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275C" w14:textId="77777777" w:rsidR="00F07B74" w:rsidRDefault="00980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3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EC904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/20</w:t>
            </w:r>
          </w:p>
        </w:tc>
      </w:tr>
    </w:tbl>
    <w:p w14:paraId="50380222" w14:textId="77777777" w:rsidR="00F07B74" w:rsidRDefault="00F07B74">
      <w:pPr>
        <w:spacing w:after="0" w:line="276" w:lineRule="auto"/>
        <w:rPr>
          <w:rFonts w:ascii="Arial" w:eastAsia="Arial" w:hAnsi="Arial" w:cs="Arial"/>
          <w:b/>
        </w:rPr>
      </w:pPr>
    </w:p>
    <w:p w14:paraId="0FB6ACB8" w14:textId="77777777" w:rsidR="00F07B74" w:rsidRDefault="00F07B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0CC491" w14:textId="77777777" w:rsidR="00F07B74" w:rsidRDefault="00980267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Yansıma Ödevleri Değerlendirme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Rubriği</w:t>
      </w:r>
      <w:proofErr w:type="spellEnd"/>
    </w:p>
    <w:p w14:paraId="7ADDD194" w14:textId="77777777" w:rsidR="00F07B74" w:rsidRDefault="00980267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(Yansıma Ödevi 1, Yansıma Ödevi 3, Yansıma Ödevi 4, Yansıma Ödevi 5)</w:t>
      </w:r>
    </w:p>
    <w:p w14:paraId="2ABE11FA" w14:textId="77777777" w:rsidR="00F07B74" w:rsidRDefault="00F07B74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1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40"/>
        <w:gridCol w:w="1005"/>
        <w:gridCol w:w="990"/>
        <w:gridCol w:w="1035"/>
      </w:tblGrid>
      <w:tr w:rsidR="00F07B74" w14:paraId="7E1CAF51" w14:textId="77777777"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7D5C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Ölçütler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A0E96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Yeterli</w:t>
            </w:r>
          </w:p>
          <w:p w14:paraId="6DDE5400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(3)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7718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Kısmen</w:t>
            </w:r>
          </w:p>
          <w:p w14:paraId="6E6A8731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(2)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5AD7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Yetersiz</w:t>
            </w:r>
          </w:p>
          <w:p w14:paraId="05969D49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(1)</w:t>
            </w:r>
          </w:p>
        </w:tc>
      </w:tr>
      <w:tr w:rsidR="00F07B74" w14:paraId="48F3CB62" w14:textId="77777777"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A04D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Yansıma sorusuna yanıtı yeterince özgün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76C6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16ABD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A236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2698F96B" w14:textId="77777777"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394E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Fikirlerini literatürle desteklemiş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42D9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64CAE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8A4D9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7C0673D1" w14:textId="77777777"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53684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Okuma paketleri dışında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farklı  kaynaklardan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 (makale, tez, kitap vb.) faydalanmış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4C15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8B35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5854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353771E2" w14:textId="77777777"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08F2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Ödevin yazımında imla ve noktalama hatalarına dikkat edilmiş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F4AB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42C47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33F7E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4F93F114" w14:textId="77777777"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8ABEB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Ödevi verilen sürede teslim etmiş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0E6A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F39E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B8A8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316BEF3B" w14:textId="77777777">
        <w:trPr>
          <w:trHeight w:val="420"/>
        </w:trPr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46341" w14:textId="77777777" w:rsidR="00F07B74" w:rsidRDefault="00980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3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0B065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/15</w:t>
            </w:r>
          </w:p>
        </w:tc>
      </w:tr>
    </w:tbl>
    <w:p w14:paraId="14C56A6D" w14:textId="77777777" w:rsidR="00F07B74" w:rsidRDefault="00F07B7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908FB7" w14:textId="77777777" w:rsidR="00F07B74" w:rsidRDefault="00F07B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E6618E" w14:textId="77777777" w:rsidR="00F07B74" w:rsidRDefault="00F07B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396B03" w14:textId="77777777" w:rsidR="00F07B74" w:rsidRDefault="00F07B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CB378B" w14:textId="77777777" w:rsidR="00F07B74" w:rsidRDefault="00F07B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1EA716" w14:textId="77777777" w:rsidR="00F07B74" w:rsidRDefault="00F07B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FCDDCB" w14:textId="77777777" w:rsidR="00F07B74" w:rsidRDefault="00F07B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D596AE" w14:textId="77777777" w:rsidR="00F07B74" w:rsidRDefault="00F07B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025432" w14:textId="77777777" w:rsidR="00F07B74" w:rsidRDefault="00F07B7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64EAD7" w14:textId="77777777" w:rsidR="00F07B74" w:rsidRDefault="00980267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Proje Ödevi Değerlendirme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Rubriği</w:t>
      </w:r>
      <w:proofErr w:type="spellEnd"/>
    </w:p>
    <w:p w14:paraId="1D920A6E" w14:textId="77777777" w:rsidR="00F07B74" w:rsidRDefault="00F07B74">
      <w:pPr>
        <w:spacing w:after="0" w:line="276" w:lineRule="auto"/>
        <w:rPr>
          <w:rFonts w:ascii="Arial" w:eastAsia="Arial" w:hAnsi="Arial" w:cs="Arial"/>
          <w:b/>
        </w:rPr>
      </w:pPr>
    </w:p>
    <w:tbl>
      <w:tblPr>
        <w:tblStyle w:val="a2"/>
        <w:tblW w:w="96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5835"/>
        <w:gridCol w:w="900"/>
        <w:gridCol w:w="855"/>
        <w:gridCol w:w="840"/>
      </w:tblGrid>
      <w:tr w:rsidR="00F07B74" w14:paraId="43255176" w14:textId="77777777">
        <w:tc>
          <w:tcPr>
            <w:tcW w:w="118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ED04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57C4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Ölçütler</w:t>
            </w:r>
          </w:p>
        </w:tc>
        <w:tc>
          <w:tcPr>
            <w:tcW w:w="90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6E594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Yeterli</w:t>
            </w:r>
          </w:p>
          <w:p w14:paraId="68121D67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85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F2EE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Kısmen</w:t>
            </w:r>
          </w:p>
          <w:p w14:paraId="64BA4743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(2)</w:t>
            </w:r>
          </w:p>
        </w:tc>
        <w:tc>
          <w:tcPr>
            <w:tcW w:w="84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CB506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Yetersiz</w:t>
            </w:r>
          </w:p>
          <w:p w14:paraId="6EC97F4B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(1)</w:t>
            </w:r>
          </w:p>
        </w:tc>
      </w:tr>
      <w:tr w:rsidR="00F07B74" w14:paraId="601A3B5F" w14:textId="77777777">
        <w:trPr>
          <w:trHeight w:val="420"/>
        </w:trPr>
        <w:tc>
          <w:tcPr>
            <w:tcW w:w="11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30765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42F53E8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Genel (20)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B730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Çalışma konusuna uygun başlık seçilmiş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A5FFD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1458D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6077D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5D922950" w14:textId="77777777">
        <w:trPr>
          <w:trHeight w:val="42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49A2E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BB6A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Çalışmanın okunması kolaydır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B024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F3EBB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643C2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55C1F58F" w14:textId="77777777">
        <w:trPr>
          <w:trHeight w:val="42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7D8F9" w14:textId="77777777" w:rsidR="00F07B74" w:rsidRDefault="00F07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AC6A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Çalışmanın yazımında imla ve noktalama kurallarına dikkat edilmiş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1DD3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EDCA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1276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287AEFD7" w14:textId="77777777">
        <w:trPr>
          <w:trHeight w:val="42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64DBD" w14:textId="77777777" w:rsidR="00F07B74" w:rsidRDefault="00F07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0F684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Çalışma konusu yeterince özgün, güncel ve ilgi çekicidir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E2243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24ED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687F7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4B812D7C" w14:textId="77777777">
        <w:trPr>
          <w:trHeight w:val="42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FCE2B" w14:textId="77777777" w:rsidR="00F07B74" w:rsidRDefault="00F07B7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510E8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Çalışma raporunu belirtilen süre içerisinde teslim edebilme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63A1E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086B0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BD618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6BCCF1C3" w14:textId="77777777">
        <w:trPr>
          <w:trHeight w:val="120"/>
        </w:trPr>
        <w:tc>
          <w:tcPr>
            <w:tcW w:w="118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AD4ED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4AA2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70E14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Yeterli</w:t>
            </w:r>
          </w:p>
          <w:p w14:paraId="70F3FE50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(8)</w:t>
            </w:r>
          </w:p>
        </w:tc>
        <w:tc>
          <w:tcPr>
            <w:tcW w:w="85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3660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Kısmen</w:t>
            </w:r>
          </w:p>
          <w:p w14:paraId="7AE2EFB1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84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4BF0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Yetersiz</w:t>
            </w:r>
          </w:p>
          <w:p w14:paraId="2BF83318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(2)</w:t>
            </w:r>
          </w:p>
        </w:tc>
      </w:tr>
      <w:tr w:rsidR="00F07B74" w14:paraId="424709AB" w14:textId="77777777">
        <w:trPr>
          <w:trHeight w:val="380"/>
        </w:trPr>
        <w:tc>
          <w:tcPr>
            <w:tcW w:w="11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3C212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Raporlama (56)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90CAB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Seçilen konuda çalışmayı zenginleştirecek kaynaklar kullanılmış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7FE0D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9EB00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3445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041FFBBD" w14:textId="77777777">
        <w:trPr>
          <w:trHeight w:val="38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AAD5A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9336E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Seçilen konuda uluslararası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indexlerinde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taranan dergilerde yayınlanmış makaleler kullanılmış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6E5B7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86C1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97BD2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582FC938" w14:textId="77777777">
        <w:trPr>
          <w:trHeight w:val="38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929F8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C04A8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Çalışmanın amacı ve çalışma probleminin tanımı, gerekçesi, araştırma soruları yeterince özetlenmiş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B7AA4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EF12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6B5D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02E53968" w14:textId="77777777">
        <w:trPr>
          <w:trHeight w:val="38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73BB1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9C0AF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Çalışmanın yöntemi, örneklem seçim yöntemi, veri toplama araçları ve veri anali</w:t>
            </w:r>
          </w:p>
          <w:p w14:paraId="3DF1A2B6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FBEF3D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15F02B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B88F2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19843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B0ED8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37C9A11E" w14:textId="77777777">
        <w:trPr>
          <w:trHeight w:val="38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80274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F469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Bulgular araştırma amaçlarını göre yeterli düzeyde, iyi organize edilmiş ve etkili anlatılmış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2993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C68A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89AE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33A2388E" w14:textId="77777777">
        <w:trPr>
          <w:trHeight w:val="38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6CB9F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E76CA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Bulgular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alanyazındaki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benzer ve karşıt literatürle ele alınmış, çıkarımlar yapılmış ve önerilerde bulunulmuş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01007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3C4EA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64643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08EC0A1F" w14:textId="77777777">
        <w:trPr>
          <w:trHeight w:val="38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06C9C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9263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Metin içi ve kaynakçada APA kurallarına uyulmuş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A13B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D0FED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D97B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32D54FD9" w14:textId="77777777">
        <w:tc>
          <w:tcPr>
            <w:tcW w:w="118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CF0D8" w14:textId="77777777" w:rsidR="00F07B74" w:rsidRDefault="00F0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8767" w14:textId="77777777" w:rsidR="00F07B74" w:rsidRDefault="00F0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5AB3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Yeterli</w:t>
            </w:r>
          </w:p>
          <w:p w14:paraId="37FF6E87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(6)</w:t>
            </w:r>
          </w:p>
        </w:tc>
        <w:tc>
          <w:tcPr>
            <w:tcW w:w="855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0014A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Kısmen</w:t>
            </w:r>
          </w:p>
          <w:p w14:paraId="7B7E6253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84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0051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Yetersi</w:t>
            </w:r>
          </w:p>
          <w:p w14:paraId="1B0BE823" w14:textId="77777777" w:rsidR="00F07B74" w:rsidRDefault="0098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(2)</w:t>
            </w:r>
          </w:p>
        </w:tc>
      </w:tr>
      <w:tr w:rsidR="00F07B74" w14:paraId="1BCF73AC" w14:textId="77777777">
        <w:trPr>
          <w:trHeight w:val="380"/>
        </w:trPr>
        <w:tc>
          <w:tcPr>
            <w:tcW w:w="11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4F619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Grup Çalışması (24)</w:t>
            </w: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1F4C0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 grubundaki her bir öğrenci çalışmaya katkı sunmuş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73128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A957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5854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01049D83" w14:textId="77777777">
        <w:trPr>
          <w:trHeight w:val="38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54935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620CF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Öğrenciler üstlenmiş olduğu sorumluluğu yerine getirmiş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AC00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43252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6814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65933387" w14:textId="77777777">
        <w:trPr>
          <w:trHeight w:val="38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B60B1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1F53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Öğrenciler proje için dersler haricinde toplantılar düzenlemiş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37AE5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E8D2D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E1C0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48796E59" w14:textId="77777777">
        <w:trPr>
          <w:trHeight w:val="380"/>
        </w:trPr>
        <w:tc>
          <w:tcPr>
            <w:tcW w:w="11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CA566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20E59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Öğrencilerin çalışma sonuçlarına yönelik etkili sunum gerçekleştirmesi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536F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A0C4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5811" w14:textId="77777777" w:rsidR="00F07B74" w:rsidRDefault="00F07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07B74" w14:paraId="67B7F259" w14:textId="77777777">
        <w:trPr>
          <w:trHeight w:val="420"/>
        </w:trPr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B34EE" w14:textId="77777777" w:rsidR="00F07B74" w:rsidRDefault="00F07B7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7E2D" w14:textId="77777777" w:rsidR="00F07B74" w:rsidRDefault="0098026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TOPLAM</w:t>
            </w:r>
          </w:p>
        </w:tc>
        <w:tc>
          <w:tcPr>
            <w:tcW w:w="25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7DF6" w14:textId="77777777" w:rsidR="00F07B74" w:rsidRDefault="009802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/100</w:t>
            </w:r>
          </w:p>
        </w:tc>
      </w:tr>
    </w:tbl>
    <w:p w14:paraId="16D93213" w14:textId="77777777" w:rsidR="00F07B74" w:rsidRDefault="00F07B7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62D267" w14:textId="77777777" w:rsidR="00F07B74" w:rsidRDefault="00F07B7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B2E888A" w14:textId="77777777" w:rsidR="00F07B74" w:rsidRDefault="00F07B7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3390F25" w14:textId="77777777" w:rsidR="00F07B74" w:rsidRDefault="00F07B7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06BF54" w14:textId="77777777" w:rsidR="00F07B74" w:rsidRDefault="00F07B7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E6DEE5" w14:textId="77777777" w:rsidR="00F07B74" w:rsidRDefault="00F07B7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01C7D0" w14:textId="77777777" w:rsidR="00F07B74" w:rsidRDefault="00F07B7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5B617C" w14:textId="77777777" w:rsidR="00F07B74" w:rsidRDefault="00F07B7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B7B39B" w14:textId="77777777" w:rsidR="00F07B74" w:rsidRDefault="00F07B74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7207D0" w14:textId="77777777" w:rsidR="00F07B74" w:rsidRDefault="00980267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Proje Grupları İçin Çalışma Konuları</w:t>
      </w:r>
    </w:p>
    <w:p w14:paraId="26A2B3D8" w14:textId="77777777" w:rsidR="00F07B74" w:rsidRDefault="00980267">
      <w:pPr>
        <w:numPr>
          <w:ilvl w:val="0"/>
          <w:numId w:val="3"/>
        </w:numPr>
        <w:spacing w:after="0" w:line="276" w:lineRule="auto"/>
        <w:ind w:left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Uzaktan eğitimin ilköğretimde uygulanabilir mi soruları sorulurken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pandemi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sürecinde doğrudan uzaktan eğitime entegre olan ilkokul çocukları bulunmaktadır. Bu noktada ilköğretim öğrencilerinin uzaktan eğitime yönelik tutumlarını çeşitli değişkenlere göre 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nceleme (dijital yeterlilik düzeyi, teknolojiye yönelik tutum, cinsiyet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vb. )</w:t>
      </w:r>
      <w:proofErr w:type="gramEnd"/>
    </w:p>
    <w:p w14:paraId="4ADA33EB" w14:textId="77777777" w:rsidR="00F07B74" w:rsidRDefault="00980267">
      <w:pPr>
        <w:numPr>
          <w:ilvl w:val="0"/>
          <w:numId w:val="3"/>
        </w:numPr>
        <w:spacing w:after="0" w:line="276" w:lineRule="auto"/>
        <w:ind w:left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Uzaktan eğitim yoluyla verilen kurslarda etkileşimi sağlamak verilen eğitimin başarısında önemli bir faktör olduğu literatürde belirtilirken almış olduğunuz yüksek lisans dersler</w:t>
      </w:r>
      <w:r>
        <w:rPr>
          <w:rFonts w:ascii="Times New Roman" w:eastAsia="Times New Roman" w:hAnsi="Times New Roman" w:cs="Times New Roman"/>
          <w:sz w:val="20"/>
          <w:szCs w:val="20"/>
        </w:rPr>
        <w:t>indeki uygulamaları göz önünde bulundurarak öğrencilerin etkileşime yönelik görüşlerini ortaya koyma</w:t>
      </w:r>
    </w:p>
    <w:p w14:paraId="30069F08" w14:textId="77777777" w:rsidR="00F07B74" w:rsidRDefault="00980267">
      <w:pPr>
        <w:numPr>
          <w:ilvl w:val="0"/>
          <w:numId w:val="3"/>
        </w:numPr>
        <w:spacing w:after="0" w:line="276" w:lineRule="auto"/>
        <w:ind w:left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Uzaktan eğitim ortamlarında çeşitli eğitim düzeylerinden öğrencilerin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sosyalburadalık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durumlarının karşılaştırılmalı analizi</w:t>
      </w:r>
    </w:p>
    <w:p w14:paraId="090FB586" w14:textId="77777777" w:rsidR="00F07B74" w:rsidRDefault="00980267">
      <w:pPr>
        <w:numPr>
          <w:ilvl w:val="0"/>
          <w:numId w:val="3"/>
        </w:numPr>
        <w:spacing w:after="0" w:line="276" w:lineRule="auto"/>
        <w:ind w:left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Geleneksel eğitime kıyasla uza</w:t>
      </w:r>
      <w:r>
        <w:rPr>
          <w:rFonts w:ascii="Times New Roman" w:eastAsia="Times New Roman" w:hAnsi="Times New Roman" w:cs="Times New Roman"/>
          <w:sz w:val="20"/>
          <w:szCs w:val="20"/>
        </w:rPr>
        <w:t>ktan eğitimde halen bir sorun olmaya devam eden ve her geçen gün farklı çözümler geliştirilen ölçme-değerlendirme etkinliklerine yönelik öğretim elemanları ve öğrencilerin görüşlerini ortaya koyma</w:t>
      </w:r>
    </w:p>
    <w:p w14:paraId="3AB39153" w14:textId="77777777" w:rsidR="00F07B74" w:rsidRDefault="00980267">
      <w:pPr>
        <w:numPr>
          <w:ilvl w:val="0"/>
          <w:numId w:val="3"/>
        </w:numPr>
        <w:spacing w:after="0" w:line="276" w:lineRule="auto"/>
        <w:ind w:left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Türkiye bağlamında gerçekleştirilen ölçme-değerlendirme etk</w:t>
      </w:r>
      <w:r>
        <w:rPr>
          <w:rFonts w:ascii="Times New Roman" w:eastAsia="Times New Roman" w:hAnsi="Times New Roman" w:cs="Times New Roman"/>
          <w:sz w:val="20"/>
          <w:szCs w:val="20"/>
        </w:rPr>
        <w:t>inliklerini derleme</w:t>
      </w:r>
    </w:p>
    <w:p w14:paraId="15DAE71C" w14:textId="77777777" w:rsidR="00F07B74" w:rsidRDefault="00F07B7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E0DB5E" w14:textId="77777777" w:rsidR="00F07B74" w:rsidRDefault="00F07B7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4C4F7C" w14:textId="77777777" w:rsidR="00F07B74" w:rsidRDefault="00980267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Örnek Derleme Çalışmaları</w:t>
      </w:r>
    </w:p>
    <w:p w14:paraId="14921394" w14:textId="77777777" w:rsidR="00F07B74" w:rsidRDefault="00980267">
      <w:pPr>
        <w:numPr>
          <w:ilvl w:val="0"/>
          <w:numId w:val="1"/>
        </w:numPr>
        <w:shd w:val="clear" w:color="auto" w:fill="FFFFFF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Olaf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Zawacki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-Richter &amp; Som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Naidu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(2016)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Mapping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trends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from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35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years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publications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37:3, 245-269, DOI: </w:t>
      </w:r>
      <w:hyperlink r:id="rId12">
        <w:r>
          <w:rPr>
            <w:rFonts w:ascii="Times New Roman" w:eastAsia="Times New Roman" w:hAnsi="Times New Roman" w:cs="Times New Roman"/>
            <w:color w:val="1177D1"/>
            <w:sz w:val="20"/>
            <w:szCs w:val="20"/>
          </w:rPr>
          <w:t>10.1080/01587919.2016.1185079</w:t>
        </w:r>
      </w:hyperlink>
    </w:p>
    <w:p w14:paraId="4305CBD7" w14:textId="77777777" w:rsidR="00F07B74" w:rsidRDefault="00980267">
      <w:pPr>
        <w:numPr>
          <w:ilvl w:val="0"/>
          <w:numId w:val="1"/>
        </w:numPr>
        <w:shd w:val="clear" w:color="auto" w:fill="FFFFFF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Bozkurt, A.,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Akgun-Ozbek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E.,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Yilmazel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Erdogdu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E.,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Ucar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H.,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Guler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E., Sezgin, S., Karadeniz, A., Sen-Ersoy, N.,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Goksel-Canbek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N.,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Dincer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G. D., Ari, S., &amp; Aydin, C. H. (2015).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Trends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educati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on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content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journals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2009-2013.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Review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 xml:space="preserve"> in Open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 xml:space="preserve"> Distributed Learning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(1). </w:t>
      </w:r>
      <w:hyperlink r:id="rId13">
        <w:r>
          <w:rPr>
            <w:rFonts w:ascii="Times New Roman" w:eastAsia="Times New Roman" w:hAnsi="Times New Roman" w:cs="Times New Roman"/>
            <w:color w:val="1177D1"/>
            <w:sz w:val="20"/>
            <w:szCs w:val="20"/>
          </w:rPr>
          <w:t>https://doi.org/10.19173/irrodl.v16i1.1953</w:t>
        </w:r>
      </w:hyperlink>
    </w:p>
    <w:p w14:paraId="5069BDFD" w14:textId="77777777" w:rsidR="00F07B74" w:rsidRDefault="00980267">
      <w:pPr>
        <w:numPr>
          <w:ilvl w:val="0"/>
          <w:numId w:val="1"/>
        </w:numPr>
        <w:shd w:val="clear" w:color="auto" w:fill="FFFFFF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Nikoletta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Agonács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&amp;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João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Filipe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Matos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(2019)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Heutagogy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self-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determined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review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published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literature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application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implementation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theory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Open Learning: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of Open,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e-Learning, 34:3, 223-240, DOI: </w:t>
      </w:r>
      <w:hyperlink r:id="rId14">
        <w:r>
          <w:rPr>
            <w:rFonts w:ascii="Times New Roman" w:eastAsia="Times New Roman" w:hAnsi="Times New Roman" w:cs="Times New Roman"/>
            <w:color w:val="1177D1"/>
            <w:sz w:val="20"/>
            <w:szCs w:val="20"/>
          </w:rPr>
          <w:t>10.1080/02680513.2018.1562329</w:t>
        </w:r>
      </w:hyperlink>
    </w:p>
    <w:p w14:paraId="03AA664F" w14:textId="77777777" w:rsidR="00F07B74" w:rsidRDefault="00980267">
      <w:pPr>
        <w:numPr>
          <w:ilvl w:val="0"/>
          <w:numId w:val="1"/>
        </w:numPr>
        <w:shd w:val="clear" w:color="auto" w:fill="FFFFFF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Hinojo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Lucena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F. J.,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Aznar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Díaz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I.,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Cáceres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Reche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M. P., &amp;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Romero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Rodríguez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J. M. (2019). A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Tour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of Open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Universities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Through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Literature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Review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 xml:space="preserve">in Open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 xml:space="preserve"> Distributed Learning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(4). </w:t>
      </w:r>
      <w:hyperlink r:id="rId15">
        <w:r>
          <w:rPr>
            <w:rFonts w:ascii="Times New Roman" w:eastAsia="Times New Roman" w:hAnsi="Times New Roman" w:cs="Times New Roman"/>
            <w:color w:val="1177D1"/>
            <w:sz w:val="20"/>
            <w:szCs w:val="20"/>
          </w:rPr>
          <w:t>https://doi.org/10.19173/irrodl.v20i3.4079</w:t>
        </w:r>
      </w:hyperlink>
    </w:p>
    <w:p w14:paraId="3B239E8B" w14:textId="77777777" w:rsidR="00F07B74" w:rsidRDefault="00980267">
      <w:pPr>
        <w:numPr>
          <w:ilvl w:val="0"/>
          <w:numId w:val="1"/>
        </w:numPr>
        <w:shd w:val="clear" w:color="auto" w:fill="FFFFFF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Bozkurt, A., Akgün-Özbek, E., &amp;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Zawacki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-Richter, O. (2017).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Trends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Patterns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Massive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Open Online Courses: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Review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Content Analysis of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MOOCs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(2008-2015).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Review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 xml:space="preserve"> in Open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 xml:space="preserve"> Distributed Learning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(5). </w:t>
      </w:r>
      <w:hyperlink r:id="rId16">
        <w:r>
          <w:rPr>
            <w:rFonts w:ascii="Times New Roman" w:eastAsia="Times New Roman" w:hAnsi="Times New Roman" w:cs="Times New Roman"/>
            <w:color w:val="1177D1"/>
            <w:sz w:val="20"/>
            <w:szCs w:val="20"/>
          </w:rPr>
          <w:t>https://doi.org/10.19173/irrodl.v18i5.3080</w:t>
        </w:r>
      </w:hyperlink>
    </w:p>
    <w:p w14:paraId="60861D06" w14:textId="77777777" w:rsidR="00F07B74" w:rsidRDefault="00980267">
      <w:pPr>
        <w:numPr>
          <w:ilvl w:val="0"/>
          <w:numId w:val="1"/>
        </w:numPr>
        <w:shd w:val="clear" w:color="auto" w:fill="FFFFFF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ÇAKIROĞLU, Ünal, KOKOÇ, M., GÖKOĞLU, S., ÖZTÜRK, M., &amp; ERDOĞDU, F. (2019). An Analysis of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Journey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of Open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Distance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Major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Concepts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toff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Points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>Trends</w:t>
      </w:r>
      <w:proofErr w:type="spellEnd"/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lastRenderedPageBreak/>
        <w:t xml:space="preserve">International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Review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Research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 xml:space="preserve"> in Open </w:t>
      </w:r>
      <w:proofErr w:type="spellStart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 xml:space="preserve"> Distributed Learning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color w:val="21252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12529"/>
          <w:sz w:val="20"/>
          <w:szCs w:val="20"/>
        </w:rPr>
        <w:t xml:space="preserve">(1). </w:t>
      </w:r>
      <w:hyperlink r:id="rId17">
        <w:r>
          <w:rPr>
            <w:rFonts w:ascii="Times New Roman" w:eastAsia="Times New Roman" w:hAnsi="Times New Roman" w:cs="Times New Roman"/>
            <w:color w:val="1177D1"/>
            <w:sz w:val="20"/>
            <w:szCs w:val="20"/>
          </w:rPr>
          <w:t>https://doi.org/10.19173/irrodl.v20i1.3743</w:t>
        </w:r>
      </w:hyperlink>
    </w:p>
    <w:p w14:paraId="141469EA" w14:textId="77777777" w:rsidR="00F07B74" w:rsidRDefault="00F07B7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F07B7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0345" w14:textId="77777777" w:rsidR="00980267" w:rsidRDefault="00980267">
      <w:pPr>
        <w:spacing w:after="0" w:line="240" w:lineRule="auto"/>
      </w:pPr>
      <w:r>
        <w:separator/>
      </w:r>
    </w:p>
  </w:endnote>
  <w:endnote w:type="continuationSeparator" w:id="0">
    <w:p w14:paraId="352F21F9" w14:textId="77777777" w:rsidR="00980267" w:rsidRDefault="0098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A2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B3D4" w14:textId="77777777" w:rsidR="00F07B74" w:rsidRDefault="009802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Açık ve Uzaktan Öğrenme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Der</w:t>
    </w:r>
    <w:r>
      <w:rPr>
        <w:rFonts w:ascii="Times New Roman" w:eastAsia="Times New Roman" w:hAnsi="Times New Roman" w:cs="Times New Roman"/>
        <w:sz w:val="18"/>
        <w:szCs w:val="18"/>
      </w:rPr>
      <w:t>s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izlencesi</w:t>
    </w:r>
  </w:p>
  <w:p w14:paraId="056C994F" w14:textId="77777777" w:rsidR="00F07B74" w:rsidRDefault="009802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Öğretim Teknolojileri Eğitimi TYL Programı</w:t>
    </w:r>
  </w:p>
  <w:p w14:paraId="324219E5" w14:textId="77777777" w:rsidR="00F07B74" w:rsidRDefault="009802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9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Recep Tayyip Erdoğan Üniversitesi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83CE" w14:textId="77777777" w:rsidR="00F07B74" w:rsidRDefault="00F07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7F0457EA" w14:textId="77777777" w:rsidR="00F07B74" w:rsidRDefault="00F07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9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853A" w14:textId="77777777" w:rsidR="00980267" w:rsidRDefault="00980267">
      <w:pPr>
        <w:spacing w:after="0" w:line="240" w:lineRule="auto"/>
      </w:pPr>
      <w:r>
        <w:separator/>
      </w:r>
    </w:p>
  </w:footnote>
  <w:footnote w:type="continuationSeparator" w:id="0">
    <w:p w14:paraId="3FD5A8D8" w14:textId="77777777" w:rsidR="00980267" w:rsidRDefault="0098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98D3" w14:textId="77777777" w:rsidR="00F07B74" w:rsidRDefault="009802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9"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F1D9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/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F1D9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14A9EAA" w14:textId="77777777" w:rsidR="00F07B74" w:rsidRDefault="00F07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16EA" w14:textId="77777777" w:rsidR="00F07B74" w:rsidRDefault="00980267">
    <w:pPr>
      <w:spacing w:before="709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Recep Tayyip Erdoğan Üniversitesi</w:t>
    </w:r>
    <w:r>
      <w:rPr>
        <w:rFonts w:ascii="Times New Roman" w:eastAsia="Times New Roman" w:hAnsi="Times New Roman" w:cs="Times New Roman"/>
        <w:sz w:val="24"/>
        <w:szCs w:val="24"/>
      </w:rPr>
      <w:br/>
      <w:t>Eğitim Fakültesi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61E36848" wp14:editId="6C2480AC">
          <wp:simplePos x="0" y="0"/>
          <wp:positionH relativeFrom="column">
            <wp:posOffset>5143500</wp:posOffset>
          </wp:positionH>
          <wp:positionV relativeFrom="paragraph">
            <wp:posOffset>304800</wp:posOffset>
          </wp:positionV>
          <wp:extent cx="887261" cy="738407"/>
          <wp:effectExtent l="0" t="0" r="0" b="0"/>
          <wp:wrapSquare wrapText="bothSides" distT="0" distB="0" distL="0" distR="0"/>
          <wp:docPr id="1" name="image1.jpg" descr="F:\Dropbox\Visuals for presentations\RTEÜ\Eğitim FAkültesi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:\Dropbox\Visuals for presentations\RTEÜ\Eğitim FAkültesi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7261" cy="7384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4F69439D" wp14:editId="1453C511">
          <wp:simplePos x="0" y="0"/>
          <wp:positionH relativeFrom="column">
            <wp:posOffset>-238124</wp:posOffset>
          </wp:positionH>
          <wp:positionV relativeFrom="paragraph">
            <wp:posOffset>114300</wp:posOffset>
          </wp:positionV>
          <wp:extent cx="752475" cy="1123950"/>
          <wp:effectExtent l="0" t="0" r="0" b="0"/>
          <wp:wrapSquare wrapText="bothSides" distT="0" distB="0" distL="0" distR="0"/>
          <wp:docPr id="2" name="image2.jpg" descr="C:\Users\Hakan\AppData\Local\Microsoft\Windows\INetCache\Content.Word\üni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kan\AppData\Local\Microsoft\Windows\INetCache\Content.Word\üni 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65E930" w14:textId="77777777" w:rsidR="00F07B74" w:rsidRDefault="00980267">
    <w:pPr>
      <w:jc w:val="center"/>
      <w:rPr>
        <w:rFonts w:ascii="Times New Roman" w:eastAsia="Times New Roman" w:hAnsi="Times New Roman" w:cs="Times New Roman"/>
        <w:i/>
        <w:sz w:val="24"/>
        <w:szCs w:val="24"/>
      </w:rPr>
    </w:pPr>
    <w:r>
      <w:rPr>
        <w:rFonts w:ascii="Times New Roman" w:eastAsia="Times New Roman" w:hAnsi="Times New Roman" w:cs="Times New Roman"/>
        <w:i/>
        <w:sz w:val="24"/>
        <w:szCs w:val="24"/>
      </w:rPr>
      <w:t>Bilgisayar ve Öğretim Teknolojileri Eğitimi Bölümü</w:t>
    </w:r>
  </w:p>
  <w:p w14:paraId="23AF8DE3" w14:textId="77777777" w:rsidR="00F07B74" w:rsidRDefault="00F07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6892"/>
    <w:multiLevelType w:val="multilevel"/>
    <w:tmpl w:val="D2907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612C47"/>
    <w:multiLevelType w:val="multilevel"/>
    <w:tmpl w:val="B894B6B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12529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0A208E"/>
    <w:multiLevelType w:val="multilevel"/>
    <w:tmpl w:val="29C6E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9A3749"/>
    <w:multiLevelType w:val="multilevel"/>
    <w:tmpl w:val="317CDB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E8F2FAB"/>
    <w:multiLevelType w:val="multilevel"/>
    <w:tmpl w:val="F3CEA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74"/>
    <w:rsid w:val="005E527A"/>
    <w:rsid w:val="00980267"/>
    <w:rsid w:val="00BF1D90"/>
    <w:rsid w:val="00F0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1881"/>
  <w15:docId w15:val="{1F91F725-DDBA-4AD2-AD2F-F6299221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s.kaysis.gov.tr/Home/Goster/128419" TargetMode="External"/><Relationship Id="rId13" Type="http://schemas.openxmlformats.org/officeDocument/2006/relationships/hyperlink" Target="https://doi.org/10.19173/irrodl.v16i1.1953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yigitemrah.turgut@erdogan.edu.tr" TargetMode="External"/><Relationship Id="rId12" Type="http://schemas.openxmlformats.org/officeDocument/2006/relationships/hyperlink" Target="https://doi.org/10.1080/01587919.2016.1185079" TargetMode="External"/><Relationship Id="rId17" Type="http://schemas.openxmlformats.org/officeDocument/2006/relationships/hyperlink" Target="https://doi.org/10.19173/irrodl.v20i1.37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9173/irrodl.v18i5.3080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YINELo3HIs&amp;list=UUM1arnmkBT8WgQ2fJWJFdfQ&amp;index=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9173/irrodl.v20i3.407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onybates.ca/2013/10/23/is-there-a-future-for-distance-education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onybates.ca/2008/07/07/what-is-distance-education/" TargetMode="External"/><Relationship Id="rId14" Type="http://schemas.openxmlformats.org/officeDocument/2006/relationships/hyperlink" Target="https://doi.org/10.1080/02680513.2018.1562329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2404</Words>
  <Characters>13707</Characters>
  <Application>Microsoft Office Word</Application>
  <DocSecurity>0</DocSecurity>
  <Lines>114</Lines>
  <Paragraphs>32</Paragraphs>
  <ScaleCrop>false</ScaleCrop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YİĞİT</dc:creator>
  <cp:lastModifiedBy>Yiğit Emrah Turgut</cp:lastModifiedBy>
  <cp:revision>3</cp:revision>
  <dcterms:created xsi:type="dcterms:W3CDTF">2021-10-07T20:37:00Z</dcterms:created>
  <dcterms:modified xsi:type="dcterms:W3CDTF">2021-10-07T20:46:00Z</dcterms:modified>
</cp:coreProperties>
</file>