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15E5" w14:textId="77777777" w:rsidR="008758D8" w:rsidRPr="00BD63F2" w:rsidRDefault="008758D8" w:rsidP="00BD63F2">
      <w:pPr>
        <w:jc w:val="both"/>
        <w:rPr>
          <w:color w:val="000000"/>
          <w:sz w:val="18"/>
          <w:szCs w:val="18"/>
        </w:rPr>
      </w:pPr>
    </w:p>
    <w:p w14:paraId="172409E3" w14:textId="7B1138DA" w:rsidR="008758D8" w:rsidRDefault="00B95C90" w:rsidP="00BD63F2">
      <w:pPr>
        <w:jc w:val="center"/>
        <w:rPr>
          <w:b/>
          <w:color w:val="000000"/>
          <w:sz w:val="18"/>
          <w:szCs w:val="18"/>
        </w:rPr>
      </w:pPr>
      <w:r w:rsidRPr="00BD63F2">
        <w:rPr>
          <w:b/>
          <w:color w:val="000000"/>
          <w:sz w:val="18"/>
          <w:szCs w:val="18"/>
        </w:rPr>
        <w:t>VIX VOLATİLİTE ENDEKSİ İLE KÜRESEL SÜRDÜRÜLEBİLİRLİK ENDEKSLERİ ARASINDAKİ İLİŞKİ: YATIRIMCI DUYARLILIĞI AÇISINDAN BİR DEĞERLENDİRME</w:t>
      </w:r>
    </w:p>
    <w:p w14:paraId="5EBEF589" w14:textId="24F5CF1A" w:rsidR="00BD63F2" w:rsidRDefault="00BD63F2" w:rsidP="00BD63F2">
      <w:pPr>
        <w:jc w:val="center"/>
        <w:rPr>
          <w:b/>
          <w:color w:val="000000"/>
          <w:sz w:val="18"/>
          <w:szCs w:val="18"/>
        </w:rPr>
      </w:pPr>
    </w:p>
    <w:p w14:paraId="0516E7CC" w14:textId="6489D3A7" w:rsidR="00BD63F2" w:rsidRDefault="00BD63F2" w:rsidP="00BD63F2">
      <w:pPr>
        <w:jc w:val="right"/>
        <w:rPr>
          <w:bCs/>
          <w:color w:val="000000"/>
          <w:sz w:val="18"/>
          <w:szCs w:val="18"/>
        </w:rPr>
      </w:pPr>
      <w:r>
        <w:rPr>
          <w:rStyle w:val="DipnotBavurusu"/>
          <w:bCs/>
          <w:color w:val="000000"/>
          <w:sz w:val="18"/>
          <w:szCs w:val="18"/>
        </w:rPr>
        <w:footnoteReference w:id="1"/>
      </w:r>
      <w:r>
        <w:rPr>
          <w:bCs/>
          <w:color w:val="000000"/>
          <w:sz w:val="18"/>
          <w:szCs w:val="18"/>
        </w:rPr>
        <w:t>Gamze Vural</w:t>
      </w:r>
    </w:p>
    <w:p w14:paraId="35F65E6A" w14:textId="0DB75371" w:rsidR="00BD63F2" w:rsidRPr="00BD63F2" w:rsidRDefault="00BD63F2" w:rsidP="00BD63F2">
      <w:pPr>
        <w:jc w:val="right"/>
        <w:rPr>
          <w:bCs/>
          <w:color w:val="000000"/>
          <w:sz w:val="18"/>
          <w:szCs w:val="18"/>
        </w:rPr>
      </w:pPr>
      <w:r>
        <w:rPr>
          <w:rStyle w:val="DipnotBavurusu"/>
          <w:bCs/>
          <w:color w:val="000000"/>
          <w:sz w:val="18"/>
          <w:szCs w:val="18"/>
        </w:rPr>
        <w:footnoteReference w:id="2"/>
      </w:r>
      <w:r>
        <w:rPr>
          <w:bCs/>
          <w:color w:val="000000"/>
          <w:sz w:val="18"/>
          <w:szCs w:val="18"/>
        </w:rPr>
        <w:t>Dilara Demirez</w:t>
      </w:r>
    </w:p>
    <w:p w14:paraId="158DBFEE" w14:textId="1499E111" w:rsidR="00BD63F2" w:rsidRDefault="00BD63F2" w:rsidP="00BD63F2">
      <w:pPr>
        <w:jc w:val="right"/>
        <w:rPr>
          <w:b/>
          <w:color w:val="000000"/>
          <w:sz w:val="18"/>
          <w:szCs w:val="18"/>
        </w:rPr>
      </w:pPr>
    </w:p>
    <w:p w14:paraId="6E5C0484" w14:textId="7B52723F" w:rsidR="00BD63F2" w:rsidRPr="00BD63F2" w:rsidRDefault="00BD63F2" w:rsidP="00BD63F2">
      <w:pPr>
        <w:jc w:val="center"/>
        <w:rPr>
          <w:b/>
          <w:color w:val="000000"/>
          <w:sz w:val="18"/>
          <w:szCs w:val="18"/>
        </w:rPr>
      </w:pPr>
      <w:r>
        <w:rPr>
          <w:b/>
          <w:color w:val="000000"/>
          <w:sz w:val="18"/>
          <w:szCs w:val="18"/>
        </w:rPr>
        <w:t>Özet</w:t>
      </w:r>
    </w:p>
    <w:p w14:paraId="5795BD79" w14:textId="77777777" w:rsidR="008758D8" w:rsidRPr="00BD63F2" w:rsidRDefault="008758D8" w:rsidP="00BD63F2">
      <w:pPr>
        <w:jc w:val="both"/>
        <w:rPr>
          <w:color w:val="000000"/>
          <w:sz w:val="18"/>
          <w:szCs w:val="18"/>
        </w:rPr>
      </w:pPr>
    </w:p>
    <w:p w14:paraId="4188EBE4" w14:textId="7CCC94A9" w:rsidR="00661F78" w:rsidRPr="00BD63F2" w:rsidRDefault="00BE1745" w:rsidP="00BD63F2">
      <w:pPr>
        <w:jc w:val="both"/>
        <w:rPr>
          <w:color w:val="000000"/>
          <w:sz w:val="18"/>
          <w:szCs w:val="18"/>
        </w:rPr>
      </w:pPr>
      <w:r w:rsidRPr="00BD63F2">
        <w:rPr>
          <w:color w:val="000000"/>
          <w:sz w:val="18"/>
          <w:szCs w:val="18"/>
        </w:rPr>
        <w:t>Pay piyasaları için hesaplanan sürdürülebilirlik endeksleri, yatırımcıların çevresel</w:t>
      </w:r>
      <w:r w:rsidR="00B95C90" w:rsidRPr="00BD63F2">
        <w:rPr>
          <w:color w:val="000000"/>
          <w:sz w:val="18"/>
          <w:szCs w:val="18"/>
        </w:rPr>
        <w:t>,</w:t>
      </w:r>
      <w:r w:rsidRPr="00BD63F2">
        <w:rPr>
          <w:color w:val="000000"/>
          <w:sz w:val="18"/>
          <w:szCs w:val="18"/>
        </w:rPr>
        <w:t xml:space="preserve"> sosyal ve ekonomik sürdürülebilirlik ilkelerini benimseyen şirketleri ayırt ede</w:t>
      </w:r>
      <w:r w:rsidR="00003E8E" w:rsidRPr="00BD63F2">
        <w:rPr>
          <w:color w:val="000000"/>
          <w:sz w:val="18"/>
          <w:szCs w:val="18"/>
        </w:rPr>
        <w:t>bilmesine ve</w:t>
      </w:r>
      <w:r w:rsidRPr="00BD63F2">
        <w:rPr>
          <w:color w:val="000000"/>
          <w:sz w:val="18"/>
          <w:szCs w:val="18"/>
        </w:rPr>
        <w:t xml:space="preserve"> yatırım yaparken onlara yönelmelerine olanak vermektedir. </w:t>
      </w:r>
      <w:r w:rsidR="00FA518B" w:rsidRPr="00BD63F2">
        <w:rPr>
          <w:color w:val="000000"/>
          <w:sz w:val="18"/>
          <w:szCs w:val="18"/>
        </w:rPr>
        <w:t>Günümüzde,</w:t>
      </w:r>
      <w:r w:rsidR="00EF7584" w:rsidRPr="00BD63F2">
        <w:rPr>
          <w:color w:val="000000"/>
          <w:sz w:val="18"/>
          <w:szCs w:val="18"/>
        </w:rPr>
        <w:t xml:space="preserve"> sürdürülebilirlik yaklaşımını benimsemiş şirketlerin özellikle gelişmiş piyasalardaki yatırımcılar için önem kazandığı ve </w:t>
      </w:r>
      <w:r w:rsidR="00003E8E" w:rsidRPr="00BD63F2">
        <w:rPr>
          <w:color w:val="000000"/>
          <w:sz w:val="18"/>
          <w:szCs w:val="18"/>
        </w:rPr>
        <w:t xml:space="preserve">yatırımcıların, sürdürülebilirlik alanında daha aktif olmaları konusunda şirketlerden </w:t>
      </w:r>
      <w:r w:rsidR="00EF7584" w:rsidRPr="00BD63F2">
        <w:rPr>
          <w:color w:val="000000"/>
          <w:sz w:val="18"/>
          <w:szCs w:val="18"/>
        </w:rPr>
        <w:t>beklentilerinin arttığı gö</w:t>
      </w:r>
      <w:r w:rsidR="00FA518B" w:rsidRPr="00BD63F2">
        <w:rPr>
          <w:color w:val="000000"/>
          <w:sz w:val="18"/>
          <w:szCs w:val="18"/>
        </w:rPr>
        <w:t>rül</w:t>
      </w:r>
      <w:r w:rsidR="00EF7584" w:rsidRPr="00BD63F2">
        <w:rPr>
          <w:color w:val="000000"/>
          <w:sz w:val="18"/>
          <w:szCs w:val="18"/>
        </w:rPr>
        <w:t>mektedir.</w:t>
      </w:r>
      <w:r w:rsidR="00FA518B" w:rsidRPr="00BD63F2">
        <w:rPr>
          <w:color w:val="000000"/>
          <w:sz w:val="18"/>
          <w:szCs w:val="18"/>
        </w:rPr>
        <w:t xml:space="preserve"> </w:t>
      </w:r>
      <w:r w:rsidR="00875783" w:rsidRPr="00BD63F2">
        <w:rPr>
          <w:color w:val="000000"/>
          <w:sz w:val="18"/>
          <w:szCs w:val="18"/>
        </w:rPr>
        <w:t xml:space="preserve">Yatırımcılar </w:t>
      </w:r>
      <w:r w:rsidR="006A64EC" w:rsidRPr="00BD63F2">
        <w:rPr>
          <w:color w:val="000000"/>
          <w:sz w:val="18"/>
          <w:szCs w:val="18"/>
        </w:rPr>
        <w:t>temelde risk-</w:t>
      </w:r>
      <w:r w:rsidR="00875783" w:rsidRPr="00BD63F2">
        <w:rPr>
          <w:color w:val="000000"/>
          <w:sz w:val="18"/>
          <w:szCs w:val="18"/>
        </w:rPr>
        <w:t>getiri esasına göre</w:t>
      </w:r>
      <w:r w:rsidR="006A64EC" w:rsidRPr="00BD63F2">
        <w:rPr>
          <w:color w:val="000000"/>
          <w:sz w:val="18"/>
          <w:szCs w:val="18"/>
        </w:rPr>
        <w:t xml:space="preserve"> </w:t>
      </w:r>
      <w:r w:rsidRPr="00BD63F2">
        <w:rPr>
          <w:color w:val="000000"/>
          <w:sz w:val="18"/>
          <w:szCs w:val="18"/>
        </w:rPr>
        <w:t>yatırım kararı</w:t>
      </w:r>
      <w:r w:rsidR="006A64EC" w:rsidRPr="00BD63F2">
        <w:rPr>
          <w:color w:val="000000"/>
          <w:sz w:val="18"/>
          <w:szCs w:val="18"/>
        </w:rPr>
        <w:t xml:space="preserve"> vermekte ve piyasadaki risk algısı yatırım kararlarında önemli bir etki yaratmaktadır. VIX volatilite endeksi piyasadaki volatilitenin ve belirsizliğin diğer bir deyişle yatırımcının riske karşı duyarlılığının küresel bir göstergesi </w:t>
      </w:r>
      <w:r w:rsidR="001506D2" w:rsidRPr="00BD63F2">
        <w:rPr>
          <w:color w:val="000000"/>
          <w:sz w:val="18"/>
          <w:szCs w:val="18"/>
        </w:rPr>
        <w:t xml:space="preserve">olarak </w:t>
      </w:r>
      <w:r w:rsidR="006A64EC" w:rsidRPr="00BD63F2">
        <w:rPr>
          <w:color w:val="000000"/>
          <w:sz w:val="18"/>
          <w:szCs w:val="18"/>
        </w:rPr>
        <w:t>değerlendirilmektedir.</w:t>
      </w:r>
      <w:r w:rsidR="00B95C90" w:rsidRPr="00BD63F2">
        <w:rPr>
          <w:color w:val="000000"/>
          <w:sz w:val="18"/>
          <w:szCs w:val="18"/>
        </w:rPr>
        <w:t xml:space="preserve"> </w:t>
      </w:r>
      <w:r w:rsidR="006A64EC" w:rsidRPr="00BD63F2">
        <w:rPr>
          <w:color w:val="000000"/>
          <w:sz w:val="18"/>
          <w:szCs w:val="18"/>
        </w:rPr>
        <w:t xml:space="preserve">Ancak sürdürülebilirlik </w:t>
      </w:r>
      <w:r w:rsidR="00B95C90" w:rsidRPr="00BD63F2">
        <w:rPr>
          <w:color w:val="000000"/>
          <w:sz w:val="18"/>
          <w:szCs w:val="18"/>
        </w:rPr>
        <w:t xml:space="preserve">konusunda </w:t>
      </w:r>
      <w:r w:rsidR="00CA48FF" w:rsidRPr="00BD63F2">
        <w:rPr>
          <w:color w:val="000000"/>
          <w:sz w:val="18"/>
          <w:szCs w:val="18"/>
        </w:rPr>
        <w:t>duyarlıl</w:t>
      </w:r>
      <w:r w:rsidR="006A64EC" w:rsidRPr="00BD63F2">
        <w:rPr>
          <w:color w:val="000000"/>
          <w:sz w:val="18"/>
          <w:szCs w:val="18"/>
        </w:rPr>
        <w:t>ığı yüksek olan yatırımcıların,</w:t>
      </w:r>
      <w:r w:rsidR="00CA48FF" w:rsidRPr="00BD63F2">
        <w:rPr>
          <w:color w:val="000000"/>
          <w:sz w:val="18"/>
          <w:szCs w:val="18"/>
        </w:rPr>
        <w:t xml:space="preserve"> piyasadaki risk algısından bağımsız olarak,</w:t>
      </w:r>
      <w:r w:rsidR="006A64EC" w:rsidRPr="00BD63F2">
        <w:rPr>
          <w:color w:val="000000"/>
          <w:sz w:val="18"/>
          <w:szCs w:val="18"/>
        </w:rPr>
        <w:t xml:space="preserve"> sürdürülebilirlik endeksinde yer alan şirketlere</w:t>
      </w:r>
      <w:r w:rsidR="00CA48FF" w:rsidRPr="00BD63F2">
        <w:rPr>
          <w:color w:val="000000"/>
          <w:sz w:val="18"/>
          <w:szCs w:val="18"/>
        </w:rPr>
        <w:t xml:space="preserve"> olan ilgisinde daha kararlı olması beklenebilir.</w:t>
      </w:r>
      <w:r w:rsidR="001C6545" w:rsidRPr="00BD63F2">
        <w:rPr>
          <w:color w:val="000000"/>
          <w:sz w:val="18"/>
          <w:szCs w:val="18"/>
        </w:rPr>
        <w:t xml:space="preserve"> Sürdürülebilirlik endeks</w:t>
      </w:r>
      <w:r w:rsidR="00003E8E" w:rsidRPr="00BD63F2">
        <w:rPr>
          <w:color w:val="000000"/>
          <w:sz w:val="18"/>
          <w:szCs w:val="18"/>
        </w:rPr>
        <w:t xml:space="preserve">indeki şirketlere yatırım yapan </w:t>
      </w:r>
      <w:r w:rsidR="001C6545" w:rsidRPr="00BD63F2">
        <w:rPr>
          <w:color w:val="000000"/>
          <w:sz w:val="18"/>
          <w:szCs w:val="18"/>
        </w:rPr>
        <w:t xml:space="preserve">yatırımcıların bu yatırımları ile ilgili ani reaksiyonlar vermemeleri </w:t>
      </w:r>
      <w:r w:rsidR="00003E8E" w:rsidRPr="00BD63F2">
        <w:rPr>
          <w:color w:val="000000"/>
          <w:sz w:val="18"/>
          <w:szCs w:val="18"/>
        </w:rPr>
        <w:t>gerektiği düşünülebilir.</w:t>
      </w:r>
      <w:r w:rsidR="007E3BF1" w:rsidRPr="00BD63F2">
        <w:rPr>
          <w:sz w:val="18"/>
          <w:szCs w:val="18"/>
        </w:rPr>
        <w:t xml:space="preserve"> </w:t>
      </w:r>
      <w:r w:rsidR="007E3BF1" w:rsidRPr="00BD63F2">
        <w:rPr>
          <w:color w:val="000000"/>
          <w:sz w:val="18"/>
          <w:szCs w:val="18"/>
        </w:rPr>
        <w:t xml:space="preserve">Bu bağlamda, </w:t>
      </w:r>
      <w:r w:rsidR="00003E8E" w:rsidRPr="00BD63F2">
        <w:rPr>
          <w:color w:val="000000"/>
          <w:sz w:val="18"/>
          <w:szCs w:val="18"/>
        </w:rPr>
        <w:t xml:space="preserve">bu çalışmada </w:t>
      </w:r>
      <w:r w:rsidR="007E3BF1" w:rsidRPr="00BD63F2">
        <w:rPr>
          <w:color w:val="000000"/>
          <w:sz w:val="18"/>
          <w:szCs w:val="18"/>
        </w:rPr>
        <w:t xml:space="preserve">sürdürülebilirlik endeksleri ile VIX arasındaki ilişkinin daha zayıf olması </w:t>
      </w:r>
      <w:r w:rsidR="00003E8E" w:rsidRPr="00BD63F2">
        <w:rPr>
          <w:color w:val="000000"/>
          <w:sz w:val="18"/>
          <w:szCs w:val="18"/>
        </w:rPr>
        <w:t>gerektiği görüşünden yola çıkılmıştır.</w:t>
      </w:r>
      <w:r w:rsidR="007E3BF1" w:rsidRPr="00BD63F2">
        <w:rPr>
          <w:color w:val="000000"/>
          <w:sz w:val="18"/>
          <w:szCs w:val="18"/>
        </w:rPr>
        <w:t xml:space="preserve"> </w:t>
      </w:r>
      <w:r w:rsidR="00003E8E" w:rsidRPr="00BD63F2">
        <w:rPr>
          <w:color w:val="000000"/>
          <w:sz w:val="18"/>
          <w:szCs w:val="18"/>
        </w:rPr>
        <w:t>Ç</w:t>
      </w:r>
      <w:r w:rsidR="00CA48FF" w:rsidRPr="00BD63F2">
        <w:rPr>
          <w:color w:val="000000"/>
          <w:sz w:val="18"/>
          <w:szCs w:val="18"/>
        </w:rPr>
        <w:t>alışmada küresel sürdürülebilirlik endeks getirilerinin, VIX endeksine olan duyarlılığının, diğer küresel endekslerin VIX’e olan duyarlılığından daha az olup olmadığı regresyon analizi ile belirlenmeye çalışılmıştır.</w:t>
      </w:r>
      <w:r w:rsidR="007E3BF1" w:rsidRPr="00BD63F2">
        <w:rPr>
          <w:color w:val="000000"/>
          <w:sz w:val="18"/>
          <w:szCs w:val="18"/>
        </w:rPr>
        <w:t xml:space="preserve"> </w:t>
      </w:r>
      <w:r w:rsidR="00EF7584" w:rsidRPr="00BD63F2">
        <w:rPr>
          <w:color w:val="000000"/>
          <w:sz w:val="18"/>
          <w:szCs w:val="18"/>
        </w:rPr>
        <w:t xml:space="preserve">Çalışmada; </w:t>
      </w:r>
      <w:r w:rsidR="00CA48FF" w:rsidRPr="00BD63F2">
        <w:rPr>
          <w:color w:val="000000"/>
          <w:sz w:val="18"/>
          <w:szCs w:val="18"/>
        </w:rPr>
        <w:t>küresel endeksler olarak</w:t>
      </w:r>
      <w:r w:rsidR="00EF7584" w:rsidRPr="00BD63F2">
        <w:rPr>
          <w:color w:val="000000"/>
          <w:sz w:val="18"/>
          <w:szCs w:val="18"/>
        </w:rPr>
        <w:t>, Dow Jones, FTSE</w:t>
      </w:r>
      <w:r w:rsidR="00CA48FF" w:rsidRPr="00BD63F2">
        <w:rPr>
          <w:color w:val="000000"/>
          <w:sz w:val="18"/>
          <w:szCs w:val="18"/>
        </w:rPr>
        <w:t>,</w:t>
      </w:r>
      <w:r w:rsidR="00EF7584" w:rsidRPr="00BD63F2">
        <w:rPr>
          <w:color w:val="000000"/>
          <w:sz w:val="18"/>
          <w:szCs w:val="18"/>
        </w:rPr>
        <w:t xml:space="preserve"> S&amp;P 500 </w:t>
      </w:r>
      <w:r w:rsidR="00CA48FF" w:rsidRPr="00BD63F2">
        <w:rPr>
          <w:color w:val="000000"/>
          <w:sz w:val="18"/>
          <w:szCs w:val="18"/>
        </w:rPr>
        <w:t xml:space="preserve">ve DAX </w:t>
      </w:r>
      <w:r w:rsidR="00EF7584" w:rsidRPr="00BD63F2">
        <w:rPr>
          <w:color w:val="000000"/>
          <w:sz w:val="18"/>
          <w:szCs w:val="18"/>
        </w:rPr>
        <w:t>endeks</w:t>
      </w:r>
      <w:r w:rsidR="00CA48FF" w:rsidRPr="00BD63F2">
        <w:rPr>
          <w:color w:val="000000"/>
          <w:sz w:val="18"/>
          <w:szCs w:val="18"/>
        </w:rPr>
        <w:t>leri,</w:t>
      </w:r>
      <w:r w:rsidR="00EF7584" w:rsidRPr="00BD63F2">
        <w:rPr>
          <w:color w:val="000000"/>
          <w:sz w:val="18"/>
          <w:szCs w:val="18"/>
        </w:rPr>
        <w:t xml:space="preserve"> </w:t>
      </w:r>
      <w:r w:rsidR="00CA48FF" w:rsidRPr="00BD63F2">
        <w:rPr>
          <w:color w:val="000000"/>
          <w:sz w:val="18"/>
          <w:szCs w:val="18"/>
        </w:rPr>
        <w:t xml:space="preserve">başlıca </w:t>
      </w:r>
      <w:r w:rsidR="00EF7584" w:rsidRPr="00BD63F2">
        <w:rPr>
          <w:color w:val="000000"/>
          <w:sz w:val="18"/>
          <w:szCs w:val="18"/>
        </w:rPr>
        <w:t>küresel sürdürülebilirlik endeksler</w:t>
      </w:r>
      <w:r w:rsidR="00CA48FF" w:rsidRPr="00BD63F2">
        <w:rPr>
          <w:color w:val="000000"/>
          <w:sz w:val="18"/>
          <w:szCs w:val="18"/>
        </w:rPr>
        <w:t xml:space="preserve"> olarak ise</w:t>
      </w:r>
      <w:r w:rsidR="00EF7584" w:rsidRPr="00BD63F2">
        <w:rPr>
          <w:color w:val="000000"/>
          <w:sz w:val="18"/>
          <w:szCs w:val="18"/>
        </w:rPr>
        <w:t xml:space="preserve"> Dow Jones Sürdürülebilirlik Endeksi, Dow Jones Eurozone Sürdürülebilirlik Endeksi ve FTSE4Good Endeksi </w:t>
      </w:r>
      <w:r w:rsidR="00CA48FF" w:rsidRPr="00BD63F2">
        <w:rPr>
          <w:color w:val="000000"/>
          <w:sz w:val="18"/>
          <w:szCs w:val="18"/>
        </w:rPr>
        <w:t xml:space="preserve">araştırmaya dahil edilmiştir. </w:t>
      </w:r>
      <w:r w:rsidR="00EF7584" w:rsidRPr="00BD63F2">
        <w:rPr>
          <w:color w:val="000000"/>
          <w:sz w:val="18"/>
          <w:szCs w:val="18"/>
        </w:rPr>
        <w:t xml:space="preserve"> Mart 2019</w:t>
      </w:r>
      <w:r w:rsidR="00CA48FF" w:rsidRPr="00BD63F2">
        <w:rPr>
          <w:color w:val="000000"/>
          <w:sz w:val="18"/>
          <w:szCs w:val="18"/>
        </w:rPr>
        <w:t>-</w:t>
      </w:r>
      <w:r w:rsidR="00B95C90" w:rsidRPr="00BD63F2">
        <w:rPr>
          <w:color w:val="000000"/>
          <w:sz w:val="18"/>
          <w:szCs w:val="18"/>
        </w:rPr>
        <w:t xml:space="preserve">Mart </w:t>
      </w:r>
      <w:r w:rsidR="00EF7584" w:rsidRPr="00BD63F2">
        <w:rPr>
          <w:color w:val="000000"/>
          <w:sz w:val="18"/>
          <w:szCs w:val="18"/>
        </w:rPr>
        <w:t>2021 dönem</w:t>
      </w:r>
      <w:r w:rsidR="00CA48FF" w:rsidRPr="00BD63F2">
        <w:rPr>
          <w:color w:val="000000"/>
          <w:sz w:val="18"/>
          <w:szCs w:val="18"/>
        </w:rPr>
        <w:t>i</w:t>
      </w:r>
      <w:r w:rsidR="00EF7584" w:rsidRPr="00BD63F2">
        <w:rPr>
          <w:color w:val="000000"/>
          <w:sz w:val="18"/>
          <w:szCs w:val="18"/>
        </w:rPr>
        <w:t xml:space="preserve"> günlük veriler</w:t>
      </w:r>
      <w:r w:rsidR="00CA48FF" w:rsidRPr="00BD63F2">
        <w:rPr>
          <w:color w:val="000000"/>
          <w:sz w:val="18"/>
          <w:szCs w:val="18"/>
        </w:rPr>
        <w:t>i kullanılmıştır.</w:t>
      </w:r>
      <w:r w:rsidR="00202FA1" w:rsidRPr="00BD63F2">
        <w:rPr>
          <w:color w:val="000000"/>
          <w:sz w:val="18"/>
          <w:szCs w:val="18"/>
        </w:rPr>
        <w:t xml:space="preserve"> Ayrıca</w:t>
      </w:r>
      <w:r w:rsidR="00CA48FF" w:rsidRPr="00BD63F2">
        <w:rPr>
          <w:color w:val="000000"/>
          <w:sz w:val="18"/>
          <w:szCs w:val="18"/>
        </w:rPr>
        <w:t xml:space="preserve"> </w:t>
      </w:r>
      <w:r w:rsidR="00EF7584" w:rsidRPr="00BD63F2">
        <w:rPr>
          <w:color w:val="000000"/>
          <w:sz w:val="18"/>
          <w:szCs w:val="18"/>
        </w:rPr>
        <w:t>VIX Volatilite endeksi</w:t>
      </w:r>
      <w:r w:rsidR="00202FA1" w:rsidRPr="00BD63F2">
        <w:rPr>
          <w:color w:val="000000"/>
          <w:sz w:val="18"/>
          <w:szCs w:val="18"/>
        </w:rPr>
        <w:t>nin günlük verileri alınmıştır.</w:t>
      </w:r>
      <w:r w:rsidR="00B95C90" w:rsidRPr="00BD63F2">
        <w:rPr>
          <w:color w:val="000000"/>
          <w:sz w:val="18"/>
          <w:szCs w:val="18"/>
        </w:rPr>
        <w:t xml:space="preserve"> </w:t>
      </w:r>
      <w:r w:rsidR="006756B5" w:rsidRPr="00BD63F2">
        <w:rPr>
          <w:color w:val="000000"/>
          <w:sz w:val="18"/>
          <w:szCs w:val="18"/>
        </w:rPr>
        <w:t>Bağımsız değişken</w:t>
      </w:r>
      <w:r w:rsidR="00202FA1" w:rsidRPr="00BD63F2">
        <w:rPr>
          <w:color w:val="000000"/>
          <w:sz w:val="18"/>
          <w:szCs w:val="18"/>
        </w:rPr>
        <w:t xml:space="preserve"> olarak</w:t>
      </w:r>
      <w:r w:rsidR="006756B5" w:rsidRPr="00BD63F2">
        <w:rPr>
          <w:color w:val="000000"/>
          <w:sz w:val="18"/>
          <w:szCs w:val="18"/>
        </w:rPr>
        <w:t xml:space="preserve"> VIX’in, bağımlı değişken olarak alınan her bir endeksle olan ilişkisi </w:t>
      </w:r>
      <w:r w:rsidR="00202FA1" w:rsidRPr="00BD63F2">
        <w:rPr>
          <w:color w:val="000000"/>
          <w:sz w:val="18"/>
          <w:szCs w:val="18"/>
        </w:rPr>
        <w:t xml:space="preserve">istatistiksel olarak </w:t>
      </w:r>
      <w:r w:rsidR="006756B5" w:rsidRPr="00BD63F2">
        <w:rPr>
          <w:color w:val="000000"/>
          <w:sz w:val="18"/>
          <w:szCs w:val="18"/>
        </w:rPr>
        <w:t>anlamlıdır. VIX</w:t>
      </w:r>
      <w:r w:rsidR="001506D2" w:rsidRPr="00BD63F2">
        <w:rPr>
          <w:color w:val="000000"/>
          <w:sz w:val="18"/>
          <w:szCs w:val="18"/>
        </w:rPr>
        <w:t>,</w:t>
      </w:r>
      <w:r w:rsidR="006756B5" w:rsidRPr="00BD63F2">
        <w:rPr>
          <w:color w:val="000000"/>
          <w:sz w:val="18"/>
          <w:szCs w:val="18"/>
        </w:rPr>
        <w:t xml:space="preserve"> tek başına Dow Jones endeksindeki değişimin %42,3’ünü açıkla</w:t>
      </w:r>
      <w:r w:rsidR="00B2305E" w:rsidRPr="00BD63F2">
        <w:rPr>
          <w:color w:val="000000"/>
          <w:sz w:val="18"/>
          <w:szCs w:val="18"/>
        </w:rPr>
        <w:t>maktadır ve</w:t>
      </w:r>
      <w:r w:rsidR="006756B5" w:rsidRPr="00BD63F2">
        <w:rPr>
          <w:color w:val="000000"/>
          <w:sz w:val="18"/>
          <w:szCs w:val="18"/>
        </w:rPr>
        <w:t xml:space="preserve"> beta</w:t>
      </w:r>
      <w:r w:rsidR="00202FA1" w:rsidRPr="00BD63F2">
        <w:rPr>
          <w:color w:val="000000"/>
          <w:sz w:val="18"/>
          <w:szCs w:val="18"/>
        </w:rPr>
        <w:t xml:space="preserve"> </w:t>
      </w:r>
      <w:proofErr w:type="gramStart"/>
      <w:r w:rsidR="00202FA1" w:rsidRPr="00BD63F2">
        <w:rPr>
          <w:color w:val="000000"/>
          <w:sz w:val="18"/>
          <w:szCs w:val="18"/>
        </w:rPr>
        <w:t>katsayısı -</w:t>
      </w:r>
      <w:proofErr w:type="gramEnd"/>
      <w:r w:rsidR="006756B5" w:rsidRPr="00BD63F2">
        <w:rPr>
          <w:color w:val="000000"/>
          <w:sz w:val="18"/>
          <w:szCs w:val="18"/>
        </w:rPr>
        <w:t>0</w:t>
      </w:r>
      <w:r w:rsidR="00EF06CF" w:rsidRPr="00BD63F2">
        <w:rPr>
          <w:color w:val="000000"/>
          <w:sz w:val="18"/>
          <w:szCs w:val="18"/>
        </w:rPr>
        <w:t>.</w:t>
      </w:r>
      <w:r w:rsidR="006756B5" w:rsidRPr="00BD63F2">
        <w:rPr>
          <w:color w:val="000000"/>
          <w:sz w:val="18"/>
          <w:szCs w:val="18"/>
        </w:rPr>
        <w:t xml:space="preserve">12 </w:t>
      </w:r>
      <w:r w:rsidR="001506D2" w:rsidRPr="00BD63F2">
        <w:rPr>
          <w:color w:val="000000"/>
          <w:sz w:val="18"/>
          <w:szCs w:val="18"/>
        </w:rPr>
        <w:t xml:space="preserve">olarak </w:t>
      </w:r>
      <w:r w:rsidR="00B2305E" w:rsidRPr="00BD63F2">
        <w:rPr>
          <w:color w:val="000000"/>
          <w:sz w:val="18"/>
          <w:szCs w:val="18"/>
        </w:rPr>
        <w:t>bulunmuştur</w:t>
      </w:r>
      <w:r w:rsidR="006756B5" w:rsidRPr="00BD63F2">
        <w:rPr>
          <w:color w:val="000000"/>
          <w:sz w:val="18"/>
          <w:szCs w:val="18"/>
        </w:rPr>
        <w:t>.</w:t>
      </w:r>
      <w:r w:rsidR="00B2305E" w:rsidRPr="00BD63F2">
        <w:rPr>
          <w:color w:val="000000"/>
          <w:sz w:val="18"/>
          <w:szCs w:val="18"/>
        </w:rPr>
        <w:t xml:space="preserve"> </w:t>
      </w:r>
      <w:r w:rsidR="006756B5" w:rsidRPr="00BD63F2">
        <w:rPr>
          <w:color w:val="000000"/>
          <w:sz w:val="18"/>
          <w:szCs w:val="18"/>
        </w:rPr>
        <w:t xml:space="preserve"> </w:t>
      </w:r>
      <w:r w:rsidR="00B2305E" w:rsidRPr="00BD63F2">
        <w:rPr>
          <w:color w:val="000000"/>
          <w:sz w:val="18"/>
          <w:szCs w:val="18"/>
        </w:rPr>
        <w:t>VIX’in,</w:t>
      </w:r>
      <w:r w:rsidR="00EF06CF" w:rsidRPr="00BD63F2">
        <w:rPr>
          <w:color w:val="000000"/>
          <w:sz w:val="18"/>
          <w:szCs w:val="18"/>
        </w:rPr>
        <w:t xml:space="preserve"> S&amp;P 500’deki d</w:t>
      </w:r>
      <w:r w:rsidR="00B2305E" w:rsidRPr="00BD63F2">
        <w:rPr>
          <w:color w:val="000000"/>
          <w:sz w:val="18"/>
          <w:szCs w:val="18"/>
        </w:rPr>
        <w:t xml:space="preserve">eğişimi açıklama gücü ise %48, beta </w:t>
      </w:r>
      <w:proofErr w:type="gramStart"/>
      <w:r w:rsidR="00B2305E" w:rsidRPr="00BD63F2">
        <w:rPr>
          <w:color w:val="000000"/>
          <w:sz w:val="18"/>
          <w:szCs w:val="18"/>
        </w:rPr>
        <w:t>katsayısı</w:t>
      </w:r>
      <w:r w:rsidR="00BD63F2">
        <w:rPr>
          <w:color w:val="000000"/>
          <w:sz w:val="18"/>
          <w:szCs w:val="18"/>
        </w:rPr>
        <w:t xml:space="preserve"> </w:t>
      </w:r>
      <w:r w:rsidR="00EF06CF" w:rsidRPr="00BD63F2">
        <w:rPr>
          <w:color w:val="000000"/>
          <w:sz w:val="18"/>
          <w:szCs w:val="18"/>
        </w:rPr>
        <w:t>-</w:t>
      </w:r>
      <w:proofErr w:type="gramEnd"/>
      <w:r w:rsidR="00EF06CF" w:rsidRPr="00BD63F2">
        <w:rPr>
          <w:color w:val="000000"/>
          <w:sz w:val="18"/>
          <w:szCs w:val="18"/>
        </w:rPr>
        <w:t>0.12’dir.</w:t>
      </w:r>
      <w:r w:rsidR="006756B5" w:rsidRPr="00BD63F2">
        <w:rPr>
          <w:color w:val="000000"/>
          <w:sz w:val="18"/>
          <w:szCs w:val="18"/>
        </w:rPr>
        <w:t xml:space="preserve"> Buna karşılık VIX’in Dow Jones sürdürülebilirlik endeksindeki varyansın %40,2’sini açıkladığı görülmektedir, betası </w:t>
      </w:r>
      <w:proofErr w:type="gramStart"/>
      <w:r w:rsidR="006756B5" w:rsidRPr="00BD63F2">
        <w:rPr>
          <w:color w:val="000000"/>
          <w:sz w:val="18"/>
          <w:szCs w:val="18"/>
        </w:rPr>
        <w:t>ise -</w:t>
      </w:r>
      <w:proofErr w:type="gramEnd"/>
      <w:r w:rsidR="006756B5" w:rsidRPr="00BD63F2">
        <w:rPr>
          <w:color w:val="000000"/>
          <w:sz w:val="18"/>
          <w:szCs w:val="18"/>
        </w:rPr>
        <w:t>0</w:t>
      </w:r>
      <w:r w:rsidR="00EF06CF" w:rsidRPr="00BD63F2">
        <w:rPr>
          <w:color w:val="000000"/>
          <w:sz w:val="18"/>
          <w:szCs w:val="18"/>
        </w:rPr>
        <w:t>.</w:t>
      </w:r>
      <w:r w:rsidR="006756B5" w:rsidRPr="00BD63F2">
        <w:rPr>
          <w:color w:val="000000"/>
          <w:sz w:val="18"/>
          <w:szCs w:val="18"/>
        </w:rPr>
        <w:t xml:space="preserve">086’dır. </w:t>
      </w:r>
      <w:r w:rsidR="00EF06CF" w:rsidRPr="00BD63F2">
        <w:rPr>
          <w:color w:val="000000"/>
          <w:sz w:val="18"/>
          <w:szCs w:val="18"/>
        </w:rPr>
        <w:t>Bu noktada, Dow Jones Sürdürülebilirlik Endeksi’nin VIX korku endeksine</w:t>
      </w:r>
      <w:r w:rsidR="00B2305E" w:rsidRPr="00BD63F2">
        <w:rPr>
          <w:color w:val="000000"/>
          <w:sz w:val="18"/>
          <w:szCs w:val="18"/>
        </w:rPr>
        <w:t xml:space="preserve"> nispeten</w:t>
      </w:r>
      <w:r w:rsidR="00EF06CF" w:rsidRPr="00BD63F2">
        <w:rPr>
          <w:color w:val="000000"/>
          <w:sz w:val="18"/>
          <w:szCs w:val="18"/>
        </w:rPr>
        <w:t xml:space="preserve"> daha az duy</w:t>
      </w:r>
      <w:r w:rsidR="00B2305E" w:rsidRPr="00BD63F2">
        <w:rPr>
          <w:color w:val="000000"/>
          <w:sz w:val="18"/>
          <w:szCs w:val="18"/>
        </w:rPr>
        <w:t xml:space="preserve">arlı olduğu görülmektedir. FTSE </w:t>
      </w:r>
      <w:r w:rsidR="00EF06CF" w:rsidRPr="00BD63F2">
        <w:rPr>
          <w:color w:val="000000"/>
          <w:sz w:val="18"/>
          <w:szCs w:val="18"/>
        </w:rPr>
        <w:t>Endeksi</w:t>
      </w:r>
      <w:r w:rsidR="00B2305E" w:rsidRPr="00BD63F2">
        <w:rPr>
          <w:color w:val="000000"/>
          <w:sz w:val="18"/>
          <w:szCs w:val="18"/>
        </w:rPr>
        <w:t xml:space="preserve"> üzerine yapılan regresyonda </w:t>
      </w:r>
      <w:r w:rsidR="00EF06CF" w:rsidRPr="00BD63F2">
        <w:rPr>
          <w:color w:val="000000"/>
          <w:sz w:val="18"/>
          <w:szCs w:val="18"/>
        </w:rPr>
        <w:t>VIX</w:t>
      </w:r>
      <w:r w:rsidR="00B2305E" w:rsidRPr="00BD63F2">
        <w:rPr>
          <w:color w:val="000000"/>
          <w:sz w:val="18"/>
          <w:szCs w:val="18"/>
        </w:rPr>
        <w:t xml:space="preserve">’in </w:t>
      </w:r>
      <w:proofErr w:type="gramStart"/>
      <w:r w:rsidR="00B2305E" w:rsidRPr="00BD63F2">
        <w:rPr>
          <w:color w:val="000000"/>
          <w:sz w:val="18"/>
          <w:szCs w:val="18"/>
        </w:rPr>
        <w:t xml:space="preserve">betasının </w:t>
      </w:r>
      <w:r w:rsidR="00EF06CF" w:rsidRPr="00BD63F2">
        <w:rPr>
          <w:color w:val="000000"/>
          <w:sz w:val="18"/>
          <w:szCs w:val="18"/>
        </w:rPr>
        <w:t>-</w:t>
      </w:r>
      <w:proofErr w:type="gramEnd"/>
      <w:r w:rsidR="00EF06CF" w:rsidRPr="00BD63F2">
        <w:rPr>
          <w:color w:val="000000"/>
          <w:sz w:val="18"/>
          <w:szCs w:val="18"/>
        </w:rPr>
        <w:t>0.091</w:t>
      </w:r>
      <w:r w:rsidR="00B2305E" w:rsidRPr="00BD63F2">
        <w:rPr>
          <w:color w:val="000000"/>
          <w:sz w:val="18"/>
          <w:szCs w:val="18"/>
        </w:rPr>
        <w:t xml:space="preserve"> olduğu belirlenmiştir.</w:t>
      </w:r>
      <w:r w:rsidR="00EF06CF" w:rsidRPr="00BD63F2">
        <w:rPr>
          <w:color w:val="000000"/>
          <w:sz w:val="18"/>
          <w:szCs w:val="18"/>
        </w:rPr>
        <w:t xml:space="preserve"> </w:t>
      </w:r>
      <w:r w:rsidR="00B2305E" w:rsidRPr="00BD63F2">
        <w:rPr>
          <w:color w:val="000000"/>
          <w:sz w:val="18"/>
          <w:szCs w:val="18"/>
        </w:rPr>
        <w:t>En önemli</w:t>
      </w:r>
      <w:r w:rsidR="00EF06CF" w:rsidRPr="00BD63F2">
        <w:rPr>
          <w:color w:val="000000"/>
          <w:sz w:val="18"/>
          <w:szCs w:val="18"/>
        </w:rPr>
        <w:t xml:space="preserve"> küresel sürdürülebilirlik endeksler</w:t>
      </w:r>
      <w:r w:rsidR="001506D2" w:rsidRPr="00BD63F2">
        <w:rPr>
          <w:color w:val="000000"/>
          <w:sz w:val="18"/>
          <w:szCs w:val="18"/>
        </w:rPr>
        <w:t>in</w:t>
      </w:r>
      <w:r w:rsidR="00B2305E" w:rsidRPr="00BD63F2">
        <w:rPr>
          <w:color w:val="000000"/>
          <w:sz w:val="18"/>
          <w:szCs w:val="18"/>
        </w:rPr>
        <w:t>den biri olan</w:t>
      </w:r>
      <w:r w:rsidR="00BD63F2">
        <w:rPr>
          <w:color w:val="000000"/>
          <w:sz w:val="18"/>
          <w:szCs w:val="18"/>
        </w:rPr>
        <w:t xml:space="preserve"> </w:t>
      </w:r>
      <w:r w:rsidR="00EF06CF" w:rsidRPr="00BD63F2">
        <w:rPr>
          <w:color w:val="000000"/>
          <w:sz w:val="18"/>
          <w:szCs w:val="18"/>
        </w:rPr>
        <w:t xml:space="preserve">FTSE4 Good’daki değişimin %46,9’u VIX tarafından açıklanabilmektedir, </w:t>
      </w:r>
      <w:r w:rsidR="00B2305E" w:rsidRPr="00BD63F2">
        <w:rPr>
          <w:color w:val="000000"/>
          <w:sz w:val="18"/>
          <w:szCs w:val="18"/>
        </w:rPr>
        <w:t xml:space="preserve">VIX’in </w:t>
      </w:r>
      <w:r w:rsidR="00EF06CF" w:rsidRPr="00BD63F2">
        <w:rPr>
          <w:color w:val="000000"/>
          <w:sz w:val="18"/>
          <w:szCs w:val="18"/>
        </w:rPr>
        <w:t xml:space="preserve">beta </w:t>
      </w:r>
      <w:r w:rsidR="00B2305E" w:rsidRPr="00BD63F2">
        <w:rPr>
          <w:color w:val="000000"/>
          <w:sz w:val="18"/>
          <w:szCs w:val="18"/>
        </w:rPr>
        <w:t>ka</w:t>
      </w:r>
      <w:r w:rsidR="001506D2" w:rsidRPr="00BD63F2">
        <w:rPr>
          <w:color w:val="000000"/>
          <w:sz w:val="18"/>
          <w:szCs w:val="18"/>
        </w:rPr>
        <w:t>t</w:t>
      </w:r>
      <w:r w:rsidR="00B2305E" w:rsidRPr="00BD63F2">
        <w:rPr>
          <w:color w:val="000000"/>
          <w:sz w:val="18"/>
          <w:szCs w:val="18"/>
        </w:rPr>
        <w:t>sayısı</w:t>
      </w:r>
      <w:r w:rsidR="00EF06CF" w:rsidRPr="00BD63F2">
        <w:rPr>
          <w:color w:val="000000"/>
          <w:sz w:val="18"/>
          <w:szCs w:val="18"/>
        </w:rPr>
        <w:t xml:space="preserve"> </w:t>
      </w:r>
      <w:proofErr w:type="gramStart"/>
      <w:r w:rsidR="001506D2" w:rsidRPr="00BD63F2">
        <w:rPr>
          <w:color w:val="000000"/>
          <w:sz w:val="18"/>
          <w:szCs w:val="18"/>
        </w:rPr>
        <w:t>ise -</w:t>
      </w:r>
      <w:proofErr w:type="gramEnd"/>
      <w:r w:rsidR="00EF06CF" w:rsidRPr="00BD63F2">
        <w:rPr>
          <w:color w:val="000000"/>
          <w:sz w:val="18"/>
          <w:szCs w:val="18"/>
        </w:rPr>
        <w:t>0.10’dur.</w:t>
      </w:r>
      <w:r w:rsidR="00820BAB" w:rsidRPr="00BD63F2">
        <w:rPr>
          <w:color w:val="000000"/>
          <w:sz w:val="18"/>
          <w:szCs w:val="18"/>
        </w:rPr>
        <w:t xml:space="preserve"> VIX’in bir diğer küresel endeks olan DAX’ı açıklama gücünün %24 düzeyinde, betasının </w:t>
      </w:r>
      <w:proofErr w:type="gramStart"/>
      <w:r w:rsidR="00820BAB" w:rsidRPr="00BD63F2">
        <w:rPr>
          <w:color w:val="000000"/>
          <w:sz w:val="18"/>
          <w:szCs w:val="18"/>
        </w:rPr>
        <w:t>ise -</w:t>
      </w:r>
      <w:proofErr w:type="gramEnd"/>
      <w:r w:rsidR="00820BAB" w:rsidRPr="00BD63F2">
        <w:rPr>
          <w:color w:val="000000"/>
          <w:sz w:val="18"/>
          <w:szCs w:val="18"/>
        </w:rPr>
        <w:t>0.083 olduğu görülmektedir.</w:t>
      </w:r>
      <w:r w:rsidR="007E3BF1" w:rsidRPr="00BD63F2">
        <w:rPr>
          <w:color w:val="000000"/>
          <w:sz w:val="18"/>
          <w:szCs w:val="18"/>
        </w:rPr>
        <w:t xml:space="preserve"> </w:t>
      </w:r>
      <w:r w:rsidR="00820BAB" w:rsidRPr="00BD63F2">
        <w:rPr>
          <w:color w:val="000000"/>
          <w:sz w:val="18"/>
          <w:szCs w:val="18"/>
        </w:rPr>
        <w:t xml:space="preserve"> Dow Jones Eurozone Sürdürülebilirlik Endeksi</w:t>
      </w:r>
      <w:r w:rsidR="007E3BF1" w:rsidRPr="00BD63F2">
        <w:rPr>
          <w:color w:val="000000"/>
          <w:sz w:val="18"/>
          <w:szCs w:val="18"/>
        </w:rPr>
        <w:t xml:space="preserve">nin bağımlı değişken olarak alındığı regresyon analizinde VIX’ın beta </w:t>
      </w:r>
      <w:proofErr w:type="gramStart"/>
      <w:r w:rsidR="007E3BF1" w:rsidRPr="00BD63F2">
        <w:rPr>
          <w:color w:val="000000"/>
          <w:sz w:val="18"/>
          <w:szCs w:val="18"/>
        </w:rPr>
        <w:t xml:space="preserve">katsayısı </w:t>
      </w:r>
      <w:r w:rsidR="00820BAB" w:rsidRPr="00BD63F2">
        <w:rPr>
          <w:color w:val="000000"/>
          <w:sz w:val="18"/>
          <w:szCs w:val="18"/>
        </w:rPr>
        <w:t>-</w:t>
      </w:r>
      <w:proofErr w:type="gramEnd"/>
      <w:r w:rsidR="00820BAB" w:rsidRPr="00BD63F2">
        <w:rPr>
          <w:color w:val="000000"/>
          <w:sz w:val="18"/>
          <w:szCs w:val="18"/>
        </w:rPr>
        <w:t xml:space="preserve">0.064’tür. Diğerleri ile karşılaştırıldığında, bu endeksin VIX’e </w:t>
      </w:r>
      <w:r w:rsidR="001C6545" w:rsidRPr="00BD63F2">
        <w:rPr>
          <w:color w:val="000000"/>
          <w:sz w:val="18"/>
          <w:szCs w:val="18"/>
        </w:rPr>
        <w:t>daha</w:t>
      </w:r>
      <w:r w:rsidR="00820BAB" w:rsidRPr="00BD63F2">
        <w:rPr>
          <w:color w:val="000000"/>
          <w:sz w:val="18"/>
          <w:szCs w:val="18"/>
        </w:rPr>
        <w:t xml:space="preserve"> az duyarlı olduğu görülmüştür.</w:t>
      </w:r>
      <w:r w:rsidR="00EF06CF" w:rsidRPr="00BD63F2">
        <w:rPr>
          <w:color w:val="000000"/>
          <w:sz w:val="18"/>
          <w:szCs w:val="18"/>
        </w:rPr>
        <w:t xml:space="preserve"> </w:t>
      </w:r>
      <w:r w:rsidR="00B95C90" w:rsidRPr="00BD63F2">
        <w:rPr>
          <w:color w:val="000000"/>
          <w:sz w:val="18"/>
          <w:szCs w:val="18"/>
        </w:rPr>
        <w:t>Yapılan analiz sonucunda,</w:t>
      </w:r>
      <w:r w:rsidR="001C6545" w:rsidRPr="00BD63F2">
        <w:rPr>
          <w:color w:val="000000"/>
          <w:sz w:val="18"/>
          <w:szCs w:val="18"/>
        </w:rPr>
        <w:t xml:space="preserve"> FTSE4Good endeksi dışında analize </w:t>
      </w:r>
      <w:r w:rsidR="00B95C90" w:rsidRPr="00BD63F2">
        <w:rPr>
          <w:color w:val="000000"/>
          <w:sz w:val="18"/>
          <w:szCs w:val="18"/>
        </w:rPr>
        <w:t xml:space="preserve">dahil edilen </w:t>
      </w:r>
      <w:r w:rsidR="001506D2" w:rsidRPr="00BD63F2">
        <w:rPr>
          <w:color w:val="000000"/>
          <w:sz w:val="18"/>
          <w:szCs w:val="18"/>
        </w:rPr>
        <w:t xml:space="preserve">diğer </w:t>
      </w:r>
      <w:r w:rsidR="001C6545" w:rsidRPr="00BD63F2">
        <w:rPr>
          <w:color w:val="000000"/>
          <w:sz w:val="18"/>
          <w:szCs w:val="18"/>
        </w:rPr>
        <w:t>sürdürülebilirlik endekslerinin VIX’e olan duyarlılığının, küresel endekslerin VIX’e olan duyarlılığından daha az olduğu belirlenmiştir. Ancak bu duyarlılık fark</w:t>
      </w:r>
      <w:r w:rsidR="00B95C90" w:rsidRPr="00BD63F2">
        <w:rPr>
          <w:color w:val="000000"/>
          <w:sz w:val="18"/>
          <w:szCs w:val="18"/>
        </w:rPr>
        <w:t>larının</w:t>
      </w:r>
      <w:r w:rsidR="001C6545" w:rsidRPr="00BD63F2">
        <w:rPr>
          <w:color w:val="000000"/>
          <w:sz w:val="18"/>
          <w:szCs w:val="18"/>
        </w:rPr>
        <w:t xml:space="preserve"> dikkat çekici düz</w:t>
      </w:r>
      <w:r w:rsidR="00DC4817" w:rsidRPr="00BD63F2">
        <w:rPr>
          <w:color w:val="000000"/>
          <w:sz w:val="18"/>
          <w:szCs w:val="18"/>
        </w:rPr>
        <w:t xml:space="preserve">eyde olduğunu söylemek mümkün değildir. </w:t>
      </w:r>
    </w:p>
    <w:p w14:paraId="3ACBFD4C" w14:textId="77777777" w:rsidR="001C6545" w:rsidRPr="00BD63F2" w:rsidRDefault="001C6545" w:rsidP="00BD63F2">
      <w:pPr>
        <w:jc w:val="both"/>
        <w:rPr>
          <w:color w:val="000000"/>
          <w:sz w:val="18"/>
          <w:szCs w:val="18"/>
        </w:rPr>
      </w:pPr>
    </w:p>
    <w:p w14:paraId="0CA67B93" w14:textId="3CC66BDE" w:rsidR="001C6545" w:rsidRPr="00BD63F2" w:rsidRDefault="00347694" w:rsidP="00BD63F2">
      <w:pPr>
        <w:jc w:val="both"/>
        <w:rPr>
          <w:color w:val="000000"/>
          <w:sz w:val="18"/>
          <w:szCs w:val="18"/>
        </w:rPr>
      </w:pPr>
      <w:r w:rsidRPr="00C76507">
        <w:rPr>
          <w:b/>
          <w:bCs/>
          <w:color w:val="000000"/>
          <w:sz w:val="18"/>
          <w:szCs w:val="18"/>
        </w:rPr>
        <w:t>Anahtar kelimeler:</w:t>
      </w:r>
      <w:r w:rsidRPr="00BD63F2">
        <w:rPr>
          <w:color w:val="000000"/>
          <w:sz w:val="18"/>
          <w:szCs w:val="18"/>
        </w:rPr>
        <w:t xml:space="preserve"> </w:t>
      </w:r>
      <w:r w:rsidR="008A0189" w:rsidRPr="00BD63F2">
        <w:rPr>
          <w:color w:val="000000"/>
          <w:sz w:val="18"/>
          <w:szCs w:val="18"/>
        </w:rPr>
        <w:t>Küresel</w:t>
      </w:r>
      <w:r w:rsidRPr="00BD63F2">
        <w:rPr>
          <w:color w:val="000000"/>
          <w:sz w:val="18"/>
          <w:szCs w:val="18"/>
        </w:rPr>
        <w:t xml:space="preserve"> sürdürülebilirlik endeksleri, </w:t>
      </w:r>
      <w:r w:rsidR="008A0189" w:rsidRPr="00BD63F2">
        <w:rPr>
          <w:color w:val="000000"/>
          <w:sz w:val="18"/>
          <w:szCs w:val="18"/>
        </w:rPr>
        <w:t>VIX volatilite endeksi, yatırımcı duyarlılığı</w:t>
      </w:r>
    </w:p>
    <w:p w14:paraId="69DF65C1" w14:textId="77777777" w:rsidR="001C6545" w:rsidRPr="00BD63F2" w:rsidRDefault="001C6545" w:rsidP="00BD63F2">
      <w:pPr>
        <w:jc w:val="both"/>
        <w:rPr>
          <w:color w:val="000000"/>
          <w:sz w:val="18"/>
          <w:szCs w:val="18"/>
        </w:rPr>
      </w:pPr>
    </w:p>
    <w:p w14:paraId="3DA0A34B" w14:textId="77777777" w:rsidR="00D97A3B" w:rsidRPr="00BD63F2" w:rsidRDefault="00D97A3B" w:rsidP="00BD63F2">
      <w:pPr>
        <w:jc w:val="both"/>
        <w:rPr>
          <w:color w:val="000000"/>
          <w:sz w:val="18"/>
          <w:szCs w:val="18"/>
        </w:rPr>
      </w:pPr>
    </w:p>
    <w:p w14:paraId="564EA664" w14:textId="3A6183D0" w:rsidR="00790FDC" w:rsidRDefault="00790FDC" w:rsidP="00BD63F2">
      <w:pPr>
        <w:jc w:val="center"/>
        <w:rPr>
          <w:b/>
          <w:bCs/>
          <w:color w:val="000000"/>
          <w:sz w:val="18"/>
          <w:szCs w:val="18"/>
        </w:rPr>
      </w:pPr>
      <w:r w:rsidRPr="00BD63F2">
        <w:rPr>
          <w:b/>
          <w:bCs/>
          <w:color w:val="000000"/>
          <w:sz w:val="18"/>
          <w:szCs w:val="18"/>
        </w:rPr>
        <w:t>THE RELATIONSHIP BETWEEN THE VIX VOLATILITY INDEX AND THE GLOBAL SUSTAINABILITY INDICES: AN ASSESSMENT OF INVESTOR SENTIMENT</w:t>
      </w:r>
    </w:p>
    <w:p w14:paraId="4A0AA7F1" w14:textId="15D9992D" w:rsidR="001078A8" w:rsidRDefault="001078A8" w:rsidP="00BD63F2">
      <w:pPr>
        <w:jc w:val="center"/>
        <w:rPr>
          <w:b/>
          <w:bCs/>
          <w:color w:val="000000"/>
          <w:sz w:val="18"/>
          <w:szCs w:val="18"/>
        </w:rPr>
      </w:pPr>
    </w:p>
    <w:p w14:paraId="57D617E8" w14:textId="607EC107" w:rsidR="001078A8" w:rsidRPr="00BD63F2" w:rsidRDefault="001078A8" w:rsidP="00BD63F2">
      <w:pPr>
        <w:jc w:val="center"/>
        <w:rPr>
          <w:b/>
          <w:bCs/>
          <w:color w:val="000000"/>
          <w:sz w:val="18"/>
          <w:szCs w:val="18"/>
        </w:rPr>
      </w:pPr>
      <w:r>
        <w:rPr>
          <w:b/>
          <w:bCs/>
          <w:color w:val="000000"/>
          <w:sz w:val="18"/>
          <w:szCs w:val="18"/>
        </w:rPr>
        <w:t>Abstract</w:t>
      </w:r>
    </w:p>
    <w:p w14:paraId="225231F5" w14:textId="77777777" w:rsidR="00790FDC" w:rsidRPr="00BD63F2" w:rsidRDefault="00790FDC" w:rsidP="00BD63F2">
      <w:pPr>
        <w:jc w:val="both"/>
        <w:rPr>
          <w:b/>
          <w:bCs/>
          <w:color w:val="000000"/>
          <w:sz w:val="18"/>
          <w:szCs w:val="18"/>
        </w:rPr>
      </w:pPr>
    </w:p>
    <w:p w14:paraId="46533F7F" w14:textId="77777777" w:rsidR="00790FDC" w:rsidRPr="00BD63F2" w:rsidRDefault="00790FDC" w:rsidP="00BD63F2">
      <w:pPr>
        <w:jc w:val="both"/>
        <w:rPr>
          <w:bCs/>
          <w:color w:val="000000"/>
          <w:sz w:val="18"/>
          <w:szCs w:val="18"/>
        </w:rPr>
      </w:pPr>
      <w:r w:rsidRPr="00BD63F2">
        <w:rPr>
          <w:bCs/>
          <w:color w:val="000000"/>
          <w:sz w:val="18"/>
          <w:szCs w:val="18"/>
        </w:rPr>
        <w:t xml:space="preserve">The sustainability indices calculated for the stock markets allow investors to move toward them when investing by distinguishing companies that adopt the principles of environmental, social, and economic sustainability. Today, it is seen that companies that have adopted the sustainability approach are particularly important to investors in the developed markets and that investors in the sustainability area have increased expectations of companies. Investors are primarily making investment decisions based on risk-return, and their risk appetite in the market has a significant impact on investment decisions. The VIX volatility index is evaluated as a global indicator of volatility and uncertainty in the market, in other words, the investor's sensitivity to risk. However, investors with a high sensitivity to sustainability can be expected to be more determined in their interest in companies in the sustainability index, regardless of the risk appetite in the market. Investors investing in companies included in the sustainability index are expected not to react abruptly to these investments. In this context, the relationship between sustainability indices and VIX is considered to be weaker. In this study, regression analysis has attempted to determine whether the global sustainability indices returns are less sensitive to the VIX index than the sensitivity of other global indices to VIX. In the study; Dow Jones, FTSE, S&amp;P 500, and DAX indices as global indices, Dow Jones Sustainability Index, Dow Jones Eurozone Sustainability Index, and FTSE4Good Index are included in the research as the main global sustainability indices. Daily data for the period March 2019-March 2021 were used. Also, daily data of the VIX Volatility index were taken. The relationship of VIX as an independent variable with each index taken as a dependent variable is statistically significant. VIX alone explains 42.3% of the change in the Dow Jones index and the beta coefficient was found to </w:t>
      </w:r>
      <w:proofErr w:type="gramStart"/>
      <w:r w:rsidRPr="00BD63F2">
        <w:rPr>
          <w:bCs/>
          <w:color w:val="000000"/>
          <w:sz w:val="18"/>
          <w:szCs w:val="18"/>
        </w:rPr>
        <w:t>be -</w:t>
      </w:r>
      <w:proofErr w:type="gramEnd"/>
      <w:r w:rsidRPr="00BD63F2">
        <w:rPr>
          <w:bCs/>
          <w:color w:val="000000"/>
          <w:sz w:val="18"/>
          <w:szCs w:val="18"/>
        </w:rPr>
        <w:t xml:space="preserve">0.12. The power of VIX to explain the change in the S&amp;P 500 is 48%, and its beta coefficient is -0.12. On the other hand, it is seen that VIX explains 40.2% of the variance in the Dow Jones sustainability index, and its beta is -0.086. At this point, it is seen that the </w:t>
      </w:r>
      <w:r w:rsidRPr="00BD63F2">
        <w:rPr>
          <w:bCs/>
          <w:color w:val="000000"/>
          <w:sz w:val="18"/>
          <w:szCs w:val="18"/>
        </w:rPr>
        <w:lastRenderedPageBreak/>
        <w:t xml:space="preserve">Dow Jones Sustainability Index is relatively less sensitive to the VIX fear index. In the regression made on the FTSE Index, it was determined that the beta of VIX </w:t>
      </w:r>
      <w:proofErr w:type="gramStart"/>
      <w:r w:rsidRPr="00BD63F2">
        <w:rPr>
          <w:bCs/>
          <w:color w:val="000000"/>
          <w:sz w:val="18"/>
          <w:szCs w:val="18"/>
        </w:rPr>
        <w:t>was -</w:t>
      </w:r>
      <w:proofErr w:type="gramEnd"/>
      <w:r w:rsidRPr="00BD63F2">
        <w:rPr>
          <w:bCs/>
          <w:color w:val="000000"/>
          <w:sz w:val="18"/>
          <w:szCs w:val="18"/>
        </w:rPr>
        <w:t xml:space="preserve">0.091. 46.9% of the change in FTSE4 Good, one of the most important global sustainability indexes, can be explained by VIX, the beta counter of VIX </w:t>
      </w:r>
      <w:proofErr w:type="gramStart"/>
      <w:r w:rsidRPr="00BD63F2">
        <w:rPr>
          <w:bCs/>
          <w:color w:val="000000"/>
          <w:sz w:val="18"/>
          <w:szCs w:val="18"/>
        </w:rPr>
        <w:t>is -</w:t>
      </w:r>
      <w:proofErr w:type="gramEnd"/>
      <w:r w:rsidRPr="00BD63F2">
        <w:rPr>
          <w:bCs/>
          <w:color w:val="000000"/>
          <w:sz w:val="18"/>
          <w:szCs w:val="18"/>
        </w:rPr>
        <w:t xml:space="preserve">0.10. It is seen that the disclosure power of VIX, another global index, DAX, is 24% and its beta is -0.083. In the regression analysis where Dow Jones Eurozone Sustainability Index is taken as the dependent variable, the beta coefficient of VIX </w:t>
      </w:r>
      <w:proofErr w:type="gramStart"/>
      <w:r w:rsidRPr="00BD63F2">
        <w:rPr>
          <w:bCs/>
          <w:color w:val="000000"/>
          <w:sz w:val="18"/>
          <w:szCs w:val="18"/>
        </w:rPr>
        <w:t>is -</w:t>
      </w:r>
      <w:proofErr w:type="gramEnd"/>
      <w:r w:rsidRPr="00BD63F2">
        <w:rPr>
          <w:bCs/>
          <w:color w:val="000000"/>
          <w:sz w:val="18"/>
          <w:szCs w:val="18"/>
        </w:rPr>
        <w:t>0.064. Compared to others, this index is less sensitive to VIX. As a result of the analysis, it was determined that the sensitivity of the sustainability indices included in the analysis, except for the FTSE4Good index, to VIX is less than the sensitivity of global indices to VIX. However, it is not possible to say that these differences in sensitivity are remarkable.</w:t>
      </w:r>
    </w:p>
    <w:p w14:paraId="02B7CD86" w14:textId="77777777" w:rsidR="00790FDC" w:rsidRPr="00BD63F2" w:rsidRDefault="00790FDC" w:rsidP="00BD63F2">
      <w:pPr>
        <w:jc w:val="both"/>
        <w:rPr>
          <w:bCs/>
          <w:color w:val="000000"/>
          <w:sz w:val="18"/>
          <w:szCs w:val="18"/>
        </w:rPr>
      </w:pPr>
    </w:p>
    <w:p w14:paraId="11742485" w14:textId="0845DBE3" w:rsidR="00EE2E0B" w:rsidRPr="00BD63F2" w:rsidRDefault="00790FDC" w:rsidP="00BD63F2">
      <w:pPr>
        <w:jc w:val="both"/>
        <w:rPr>
          <w:color w:val="000000"/>
          <w:sz w:val="18"/>
          <w:szCs w:val="18"/>
        </w:rPr>
      </w:pPr>
      <w:r w:rsidRPr="00C76507">
        <w:rPr>
          <w:b/>
          <w:color w:val="000000"/>
          <w:sz w:val="18"/>
          <w:szCs w:val="18"/>
        </w:rPr>
        <w:t>Keywords:</w:t>
      </w:r>
      <w:r w:rsidRPr="00BD63F2">
        <w:rPr>
          <w:bCs/>
          <w:color w:val="000000"/>
          <w:sz w:val="18"/>
          <w:szCs w:val="18"/>
        </w:rPr>
        <w:t xml:space="preserve"> Global sustainability indices, VIX volatility index, Investor sentiment</w:t>
      </w:r>
    </w:p>
    <w:sectPr w:rsidR="00EE2E0B" w:rsidRPr="00BD63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949D" w14:textId="77777777" w:rsidR="00D139A2" w:rsidRDefault="00D139A2" w:rsidP="00BD63F2">
      <w:r>
        <w:separator/>
      </w:r>
    </w:p>
  </w:endnote>
  <w:endnote w:type="continuationSeparator" w:id="0">
    <w:p w14:paraId="4A17646C" w14:textId="77777777" w:rsidR="00D139A2" w:rsidRDefault="00D139A2" w:rsidP="00BD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80A25" w14:textId="77777777" w:rsidR="00D139A2" w:rsidRDefault="00D139A2" w:rsidP="00BD63F2">
      <w:r>
        <w:separator/>
      </w:r>
    </w:p>
  </w:footnote>
  <w:footnote w:type="continuationSeparator" w:id="0">
    <w:p w14:paraId="27FF0281" w14:textId="77777777" w:rsidR="00D139A2" w:rsidRDefault="00D139A2" w:rsidP="00BD63F2">
      <w:r>
        <w:continuationSeparator/>
      </w:r>
    </w:p>
  </w:footnote>
  <w:footnote w:id="1">
    <w:p w14:paraId="1689A269" w14:textId="4BD03613" w:rsidR="00BD63F2" w:rsidRDefault="00BD63F2">
      <w:pPr>
        <w:pStyle w:val="DipnotMetni"/>
      </w:pPr>
      <w:r>
        <w:rPr>
          <w:rStyle w:val="DipnotBavurusu"/>
        </w:rPr>
        <w:footnoteRef/>
      </w:r>
      <w:r>
        <w:t xml:space="preserve"> </w:t>
      </w:r>
      <w:r>
        <w:rPr>
          <w:sz w:val="18"/>
        </w:rPr>
        <w:t xml:space="preserve">Doç. Dr., Çukurova Üniversitesi, İİBF, İşletme, </w:t>
      </w:r>
      <w:hyperlink r:id="rId1" w:history="1">
        <w:r w:rsidRPr="009817EE">
          <w:rPr>
            <w:rStyle w:val="Kpr"/>
            <w:sz w:val="18"/>
          </w:rPr>
          <w:t>gvural@cu.edu.tr</w:t>
        </w:r>
      </w:hyperlink>
      <w:r>
        <w:rPr>
          <w:sz w:val="18"/>
        </w:rPr>
        <w:t xml:space="preserve">, </w:t>
      </w:r>
      <w:r w:rsidRPr="008E500B">
        <w:rPr>
          <w:sz w:val="18"/>
        </w:rPr>
        <w:t>ORCID:</w:t>
      </w:r>
      <w:r w:rsidRPr="00766C83">
        <w:rPr>
          <w:sz w:val="18"/>
        </w:rPr>
        <w:t xml:space="preserve"> 0000-000</w:t>
      </w:r>
      <w:r>
        <w:rPr>
          <w:sz w:val="18"/>
        </w:rPr>
        <w:t>2</w:t>
      </w:r>
      <w:r w:rsidRPr="00766C83">
        <w:rPr>
          <w:sz w:val="18"/>
        </w:rPr>
        <w:t>-</w:t>
      </w:r>
      <w:r>
        <w:rPr>
          <w:sz w:val="18"/>
        </w:rPr>
        <w:t>1385</w:t>
      </w:r>
      <w:r w:rsidRPr="00766C83">
        <w:rPr>
          <w:sz w:val="18"/>
        </w:rPr>
        <w:t>-</w:t>
      </w:r>
      <w:r>
        <w:rPr>
          <w:sz w:val="18"/>
        </w:rPr>
        <w:t>7551</w:t>
      </w:r>
    </w:p>
  </w:footnote>
  <w:footnote w:id="2">
    <w:p w14:paraId="4D08D60A" w14:textId="4663A815" w:rsidR="00BD63F2" w:rsidRDefault="00BD63F2">
      <w:pPr>
        <w:pStyle w:val="DipnotMetni"/>
      </w:pPr>
      <w:r>
        <w:rPr>
          <w:rStyle w:val="DipnotBavurusu"/>
        </w:rPr>
        <w:footnoteRef/>
      </w:r>
      <w:r>
        <w:t xml:space="preserve"> </w:t>
      </w:r>
      <w:r>
        <w:rPr>
          <w:sz w:val="18"/>
        </w:rPr>
        <w:t xml:space="preserve">Öğr. Gör., Çağ Üniversitesi, MYO, Bankacılık ve Sigortacılık, </w:t>
      </w:r>
      <w:hyperlink r:id="rId2" w:history="1">
        <w:r w:rsidRPr="007A502D">
          <w:rPr>
            <w:rStyle w:val="Kpr"/>
            <w:sz w:val="18"/>
          </w:rPr>
          <w:t>dilarademirez@cag.edu.tr</w:t>
        </w:r>
      </w:hyperlink>
      <w:r>
        <w:rPr>
          <w:sz w:val="18"/>
        </w:rPr>
        <w:t xml:space="preserve">, </w:t>
      </w:r>
      <w:r w:rsidRPr="008E500B">
        <w:rPr>
          <w:sz w:val="18"/>
        </w:rPr>
        <w:t>ORCID: 0000-0001-8315-3229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84"/>
    <w:rsid w:val="00003E8E"/>
    <w:rsid w:val="000D3B26"/>
    <w:rsid w:val="000F24AD"/>
    <w:rsid w:val="001078A8"/>
    <w:rsid w:val="0013391B"/>
    <w:rsid w:val="00143DAD"/>
    <w:rsid w:val="001506D2"/>
    <w:rsid w:val="001C6545"/>
    <w:rsid w:val="00202FA1"/>
    <w:rsid w:val="00254D90"/>
    <w:rsid w:val="00347694"/>
    <w:rsid w:val="003C261E"/>
    <w:rsid w:val="004211E5"/>
    <w:rsid w:val="00486275"/>
    <w:rsid w:val="005005E8"/>
    <w:rsid w:val="00580369"/>
    <w:rsid w:val="006412A0"/>
    <w:rsid w:val="00661F78"/>
    <w:rsid w:val="006756B5"/>
    <w:rsid w:val="006A64EC"/>
    <w:rsid w:val="006C02B2"/>
    <w:rsid w:val="007870C8"/>
    <w:rsid w:val="00790FDC"/>
    <w:rsid w:val="007E3BF1"/>
    <w:rsid w:val="00820BAB"/>
    <w:rsid w:val="00875783"/>
    <w:rsid w:val="008758D8"/>
    <w:rsid w:val="008A0189"/>
    <w:rsid w:val="009E16FF"/>
    <w:rsid w:val="00B2305E"/>
    <w:rsid w:val="00B46E95"/>
    <w:rsid w:val="00B95C90"/>
    <w:rsid w:val="00BD63F2"/>
    <w:rsid w:val="00BE1745"/>
    <w:rsid w:val="00C76507"/>
    <w:rsid w:val="00C8345C"/>
    <w:rsid w:val="00CA48FF"/>
    <w:rsid w:val="00D139A2"/>
    <w:rsid w:val="00D85B10"/>
    <w:rsid w:val="00D97A3B"/>
    <w:rsid w:val="00DC4817"/>
    <w:rsid w:val="00E833E9"/>
    <w:rsid w:val="00EE2E0B"/>
    <w:rsid w:val="00EF06CF"/>
    <w:rsid w:val="00EF7584"/>
    <w:rsid w:val="00FA5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2376"/>
  <w15:chartTrackingRefBased/>
  <w15:docId w15:val="{CD9E1759-90C9-F948-9435-4AE1C069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1E"/>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D63F2"/>
    <w:rPr>
      <w:sz w:val="16"/>
      <w:szCs w:val="16"/>
    </w:rPr>
  </w:style>
  <w:style w:type="paragraph" w:styleId="AklamaMetni">
    <w:name w:val="annotation text"/>
    <w:basedOn w:val="Normal"/>
    <w:link w:val="AklamaMetniChar"/>
    <w:uiPriority w:val="99"/>
    <w:semiHidden/>
    <w:unhideWhenUsed/>
    <w:rsid w:val="00BD63F2"/>
    <w:rPr>
      <w:sz w:val="20"/>
      <w:szCs w:val="20"/>
    </w:rPr>
  </w:style>
  <w:style w:type="character" w:customStyle="1" w:styleId="AklamaMetniChar">
    <w:name w:val="Açıklama Metni Char"/>
    <w:basedOn w:val="VarsaylanParagrafYazTipi"/>
    <w:link w:val="AklamaMetni"/>
    <w:uiPriority w:val="99"/>
    <w:semiHidden/>
    <w:rsid w:val="00BD63F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D63F2"/>
    <w:rPr>
      <w:b/>
      <w:bCs/>
    </w:rPr>
  </w:style>
  <w:style w:type="character" w:customStyle="1" w:styleId="AklamaKonusuChar">
    <w:name w:val="Açıklama Konusu Char"/>
    <w:basedOn w:val="AklamaMetniChar"/>
    <w:link w:val="AklamaKonusu"/>
    <w:uiPriority w:val="99"/>
    <w:semiHidden/>
    <w:rsid w:val="00BD63F2"/>
    <w:rPr>
      <w:rFonts w:ascii="Times New Roman" w:eastAsia="Times New Roman" w:hAnsi="Times New Roman" w:cs="Times New Roman"/>
      <w:b/>
      <w:bCs/>
      <w:sz w:val="20"/>
      <w:szCs w:val="20"/>
      <w:lang w:eastAsia="tr-TR"/>
    </w:rPr>
  </w:style>
  <w:style w:type="paragraph" w:styleId="DipnotMetni">
    <w:name w:val="footnote text"/>
    <w:basedOn w:val="Normal"/>
    <w:link w:val="DipnotMetniChar"/>
    <w:uiPriority w:val="99"/>
    <w:semiHidden/>
    <w:unhideWhenUsed/>
    <w:rsid w:val="00BD63F2"/>
    <w:rPr>
      <w:sz w:val="20"/>
      <w:szCs w:val="20"/>
    </w:rPr>
  </w:style>
  <w:style w:type="character" w:customStyle="1" w:styleId="DipnotMetniChar">
    <w:name w:val="Dipnot Metni Char"/>
    <w:basedOn w:val="VarsaylanParagrafYazTipi"/>
    <w:link w:val="DipnotMetni"/>
    <w:uiPriority w:val="99"/>
    <w:semiHidden/>
    <w:rsid w:val="00BD63F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D63F2"/>
    <w:rPr>
      <w:vertAlign w:val="superscript"/>
    </w:rPr>
  </w:style>
  <w:style w:type="character" w:styleId="Kpr">
    <w:name w:val="Hyperlink"/>
    <w:basedOn w:val="VarsaylanParagrafYazTipi"/>
    <w:rsid w:val="00BD63F2"/>
    <w:rPr>
      <w:color w:val="0000FF"/>
      <w:u w:val="single"/>
    </w:rPr>
  </w:style>
  <w:style w:type="character" w:styleId="zmlenmeyenBahsetme">
    <w:name w:val="Unresolved Mention"/>
    <w:basedOn w:val="VarsaylanParagrafYazTipi"/>
    <w:uiPriority w:val="99"/>
    <w:semiHidden/>
    <w:unhideWhenUsed/>
    <w:rsid w:val="00BD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95766">
      <w:bodyDiv w:val="1"/>
      <w:marLeft w:val="0"/>
      <w:marRight w:val="0"/>
      <w:marTop w:val="0"/>
      <w:marBottom w:val="0"/>
      <w:divBdr>
        <w:top w:val="none" w:sz="0" w:space="0" w:color="auto"/>
        <w:left w:val="none" w:sz="0" w:space="0" w:color="auto"/>
        <w:bottom w:val="none" w:sz="0" w:space="0" w:color="auto"/>
        <w:right w:val="none" w:sz="0" w:space="0" w:color="auto"/>
      </w:divBdr>
    </w:div>
    <w:div w:id="1105348116">
      <w:bodyDiv w:val="1"/>
      <w:marLeft w:val="0"/>
      <w:marRight w:val="0"/>
      <w:marTop w:val="0"/>
      <w:marBottom w:val="0"/>
      <w:divBdr>
        <w:top w:val="none" w:sz="0" w:space="0" w:color="auto"/>
        <w:left w:val="none" w:sz="0" w:space="0" w:color="auto"/>
        <w:bottom w:val="none" w:sz="0" w:space="0" w:color="auto"/>
        <w:right w:val="none" w:sz="0" w:space="0" w:color="auto"/>
      </w:divBdr>
    </w:div>
    <w:div w:id="1126318019">
      <w:bodyDiv w:val="1"/>
      <w:marLeft w:val="0"/>
      <w:marRight w:val="0"/>
      <w:marTop w:val="0"/>
      <w:marBottom w:val="0"/>
      <w:divBdr>
        <w:top w:val="none" w:sz="0" w:space="0" w:color="auto"/>
        <w:left w:val="none" w:sz="0" w:space="0" w:color="auto"/>
        <w:bottom w:val="none" w:sz="0" w:space="0" w:color="auto"/>
        <w:right w:val="none" w:sz="0" w:space="0" w:color="auto"/>
      </w:divBdr>
    </w:div>
    <w:div w:id="1207991450">
      <w:bodyDiv w:val="1"/>
      <w:marLeft w:val="0"/>
      <w:marRight w:val="0"/>
      <w:marTop w:val="0"/>
      <w:marBottom w:val="0"/>
      <w:divBdr>
        <w:top w:val="none" w:sz="0" w:space="0" w:color="auto"/>
        <w:left w:val="none" w:sz="0" w:space="0" w:color="auto"/>
        <w:bottom w:val="none" w:sz="0" w:space="0" w:color="auto"/>
        <w:right w:val="none" w:sz="0" w:space="0" w:color="auto"/>
      </w:divBdr>
    </w:div>
    <w:div w:id="15290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dilarademirez@cag.edu.tr" TargetMode="External"/><Relationship Id="rId1" Type="http://schemas.openxmlformats.org/officeDocument/2006/relationships/hyperlink" Target="mailto:gvural@c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1CFD-B7ED-F647-8732-B400EFD3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1062</Words>
  <Characters>6058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2021-04-15T16:03:00Z</dcterms:created>
  <dcterms:modified xsi:type="dcterms:W3CDTF">2021-04-15T17:00:00Z</dcterms:modified>
</cp:coreProperties>
</file>