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5EC" w:rsidRPr="006665EC" w:rsidRDefault="006665EC" w:rsidP="006665EC">
      <w:pPr>
        <w:pStyle w:val="a3"/>
        <w:shd w:val="clear" w:color="auto" w:fill="FFFFFF"/>
        <w:spacing w:before="0" w:beforeAutospacing="0" w:after="0" w:afterAutospacing="0" w:line="360" w:lineRule="auto"/>
        <w:jc w:val="right"/>
        <w:rPr>
          <w:color w:val="000000"/>
          <w:lang w:val="en-US"/>
        </w:rPr>
      </w:pPr>
      <w:r>
        <w:rPr>
          <w:b/>
          <w:bCs/>
          <w:color w:val="000000"/>
          <w:sz w:val="28"/>
          <w:szCs w:val="28"/>
          <w:bdr w:val="none" w:sz="0" w:space="0" w:color="auto" w:frame="1"/>
          <w:shd w:val="clear" w:color="auto" w:fill="FFFFFF"/>
          <w:lang w:val="az-Latn-AZ"/>
        </w:rPr>
        <w:t xml:space="preserve">Mammadov Farrux </w:t>
      </w:r>
    </w:p>
    <w:p w:rsidR="006665EC" w:rsidRPr="006665EC" w:rsidRDefault="006665EC" w:rsidP="006665EC">
      <w:pPr>
        <w:pStyle w:val="a3"/>
        <w:shd w:val="clear" w:color="auto" w:fill="FFFFFF"/>
        <w:spacing w:before="0" w:beforeAutospacing="0" w:after="0" w:afterAutospacing="0" w:line="360" w:lineRule="auto"/>
        <w:jc w:val="right"/>
        <w:rPr>
          <w:color w:val="000000"/>
          <w:lang w:val="en-US"/>
        </w:rPr>
      </w:pPr>
      <w:r>
        <w:rPr>
          <w:b/>
          <w:bCs/>
          <w:color w:val="201F1E"/>
          <w:sz w:val="28"/>
          <w:szCs w:val="28"/>
          <w:bdr w:val="none" w:sz="0" w:space="0" w:color="auto" w:frame="1"/>
          <w:lang w:val="az-Latn-AZ"/>
        </w:rPr>
        <w:t>Associate Professor  </w:t>
      </w:r>
    </w:p>
    <w:p w:rsidR="006665EC" w:rsidRDefault="006665EC" w:rsidP="006665EC">
      <w:pPr>
        <w:pStyle w:val="a3"/>
        <w:shd w:val="clear" w:color="auto" w:fill="FFFFFF"/>
        <w:spacing w:before="0" w:beforeAutospacing="0" w:after="0" w:afterAutospacing="0" w:line="360" w:lineRule="auto"/>
        <w:jc w:val="right"/>
        <w:rPr>
          <w:rFonts w:ascii="Calibri" w:hAnsi="Calibri"/>
          <w:color w:val="201F1E"/>
          <w:sz w:val="22"/>
          <w:szCs w:val="22"/>
          <w:lang w:val="en-US"/>
        </w:rPr>
      </w:pPr>
      <w:r>
        <w:rPr>
          <w:b/>
          <w:bCs/>
          <w:color w:val="201F1E"/>
          <w:sz w:val="28"/>
          <w:szCs w:val="28"/>
          <w:bdr w:val="none" w:sz="0" w:space="0" w:color="auto" w:frame="1"/>
          <w:lang w:val="az-Latn-AZ"/>
        </w:rPr>
        <w:t>Baku Slavic University</w:t>
      </w:r>
      <w:r w:rsidRPr="006665EC">
        <w:rPr>
          <w:rFonts w:ascii="Calibri" w:hAnsi="Calibri"/>
          <w:color w:val="201F1E"/>
          <w:sz w:val="22"/>
          <w:szCs w:val="22"/>
          <w:lang w:val="en-US"/>
        </w:rPr>
        <w:t> </w:t>
      </w:r>
    </w:p>
    <w:p w:rsidR="006665EC" w:rsidRPr="006665EC" w:rsidRDefault="006665EC" w:rsidP="006665EC">
      <w:pPr>
        <w:pStyle w:val="a3"/>
        <w:shd w:val="clear" w:color="auto" w:fill="FFFFFF"/>
        <w:spacing w:before="0" w:beforeAutospacing="0" w:after="0" w:afterAutospacing="0" w:line="360" w:lineRule="auto"/>
        <w:jc w:val="right"/>
        <w:rPr>
          <w:color w:val="000000"/>
          <w:lang w:val="en-US"/>
        </w:rPr>
      </w:pPr>
    </w:p>
    <w:p w:rsidR="006665EC" w:rsidRPr="006665EC" w:rsidRDefault="006665EC" w:rsidP="006665EC">
      <w:pPr>
        <w:pStyle w:val="a3"/>
        <w:shd w:val="clear" w:color="auto" w:fill="FFFFFF"/>
        <w:spacing w:before="0" w:beforeAutospacing="0" w:after="0" w:afterAutospacing="0" w:line="360" w:lineRule="auto"/>
        <w:jc w:val="center"/>
        <w:rPr>
          <w:b/>
          <w:color w:val="000000"/>
          <w:lang w:val="en-US"/>
        </w:rPr>
      </w:pPr>
      <w:r w:rsidRPr="006665EC">
        <w:rPr>
          <w:b/>
          <w:bCs/>
          <w:color w:val="201F1E"/>
          <w:sz w:val="28"/>
          <w:szCs w:val="28"/>
          <w:bdr w:val="none" w:sz="0" w:space="0" w:color="auto" w:frame="1"/>
          <w:lang w:val="az-Latn-AZ"/>
        </w:rPr>
        <w:t>External Conflict in the Novel  “Dəli Kür” (</w:t>
      </w:r>
      <w:r w:rsidRPr="006665EC">
        <w:rPr>
          <w:b/>
          <w:color w:val="201F1E"/>
          <w:sz w:val="28"/>
          <w:szCs w:val="28"/>
          <w:bdr w:val="none" w:sz="0" w:space="0" w:color="auto" w:frame="1"/>
          <w:lang w:val="az-Latn-AZ"/>
        </w:rPr>
        <w:t>“</w:t>
      </w:r>
      <w:r w:rsidRPr="006665EC">
        <w:rPr>
          <w:b/>
          <w:color w:val="201F1E"/>
          <w:sz w:val="28"/>
          <w:szCs w:val="28"/>
          <w:bdr w:val="none" w:sz="0" w:space="0" w:color="auto" w:frame="1"/>
          <w:lang w:val="en-US"/>
        </w:rPr>
        <w:t>The Wild Kura”)</w:t>
      </w:r>
      <w:r w:rsidRPr="006665EC">
        <w:rPr>
          <w:rFonts w:ascii="Calibri" w:hAnsi="Calibri"/>
          <w:b/>
          <w:color w:val="201F1E"/>
          <w:sz w:val="22"/>
          <w:szCs w:val="22"/>
          <w:lang w:val="en-US"/>
        </w:rPr>
        <w:t> </w:t>
      </w:r>
    </w:p>
    <w:p w:rsidR="006665EC" w:rsidRPr="006665EC" w:rsidRDefault="006665EC" w:rsidP="006665EC">
      <w:pPr>
        <w:pStyle w:val="a3"/>
        <w:shd w:val="clear" w:color="auto" w:fill="FFFFFF"/>
        <w:spacing w:before="0" w:beforeAutospacing="0" w:after="0" w:afterAutospacing="0" w:line="360" w:lineRule="auto"/>
        <w:jc w:val="center"/>
        <w:rPr>
          <w:rFonts w:ascii="Calibri" w:hAnsi="Calibri"/>
          <w:b/>
          <w:color w:val="201F1E"/>
          <w:sz w:val="22"/>
          <w:szCs w:val="22"/>
          <w:lang w:val="en-US"/>
        </w:rPr>
      </w:pPr>
      <w:r w:rsidRPr="006665EC">
        <w:rPr>
          <w:b/>
          <w:bCs/>
          <w:color w:val="201F1E"/>
          <w:sz w:val="28"/>
          <w:szCs w:val="28"/>
          <w:bdr w:val="none" w:sz="0" w:space="0" w:color="auto" w:frame="1"/>
          <w:lang w:val="az-Latn-AZ"/>
        </w:rPr>
        <w:t>by İsmayıl Şıxlı</w:t>
      </w:r>
      <w:r w:rsidRPr="006665EC">
        <w:rPr>
          <w:rFonts w:ascii="Calibri" w:hAnsi="Calibri"/>
          <w:b/>
          <w:color w:val="201F1E"/>
          <w:sz w:val="22"/>
          <w:szCs w:val="22"/>
          <w:lang w:val="en-US"/>
        </w:rPr>
        <w:t> </w:t>
      </w:r>
    </w:p>
    <w:p w:rsidR="006665EC" w:rsidRDefault="006665EC" w:rsidP="006665EC">
      <w:pPr>
        <w:pStyle w:val="a3"/>
        <w:shd w:val="clear" w:color="auto" w:fill="FFFFFF"/>
        <w:spacing w:before="0" w:beforeAutospacing="0" w:after="0" w:afterAutospacing="0" w:line="360" w:lineRule="auto"/>
        <w:jc w:val="center"/>
        <w:rPr>
          <w:rFonts w:ascii="Calibri" w:hAnsi="Calibri"/>
          <w:color w:val="201F1E"/>
          <w:sz w:val="22"/>
          <w:szCs w:val="22"/>
          <w:lang w:val="en-US"/>
        </w:rPr>
      </w:pPr>
    </w:p>
    <w:p w:rsidR="006665EC" w:rsidRDefault="006665EC" w:rsidP="006665EC">
      <w:pPr>
        <w:pStyle w:val="a3"/>
        <w:shd w:val="clear" w:color="auto" w:fill="FFFFFF"/>
        <w:spacing w:before="0" w:beforeAutospacing="0" w:after="0" w:afterAutospacing="0" w:line="360" w:lineRule="auto"/>
        <w:jc w:val="both"/>
        <w:rPr>
          <w:rFonts w:ascii="Calibri" w:hAnsi="Calibri"/>
          <w:color w:val="201F1E"/>
          <w:sz w:val="22"/>
          <w:szCs w:val="22"/>
          <w:lang w:val="en-US"/>
        </w:rPr>
      </w:pPr>
    </w:p>
    <w:p w:rsidR="006665EC" w:rsidRDefault="006665EC" w:rsidP="006665EC">
      <w:pPr>
        <w:pStyle w:val="a3"/>
        <w:shd w:val="clear" w:color="auto" w:fill="FFFFFF"/>
        <w:spacing w:before="0" w:beforeAutospacing="0" w:after="0" w:afterAutospacing="0" w:line="360" w:lineRule="auto"/>
        <w:jc w:val="both"/>
        <w:rPr>
          <w:color w:val="500050"/>
          <w:sz w:val="28"/>
          <w:szCs w:val="28"/>
          <w:shd w:val="clear" w:color="auto" w:fill="FFFFFF"/>
          <w:lang w:val="az-Latn-AZ"/>
        </w:rPr>
      </w:pPr>
      <w:r>
        <w:rPr>
          <w:b/>
          <w:bCs/>
          <w:color w:val="500050"/>
          <w:sz w:val="28"/>
          <w:szCs w:val="28"/>
          <w:shd w:val="clear" w:color="auto" w:fill="FFFFFF"/>
          <w:lang w:val="az-Latn-AZ"/>
        </w:rPr>
        <w:t>Key words: </w:t>
      </w:r>
      <w:r>
        <w:rPr>
          <w:color w:val="500050"/>
          <w:sz w:val="28"/>
          <w:szCs w:val="28"/>
          <w:shd w:val="clear" w:color="auto" w:fill="FFFFFF"/>
          <w:lang w:val="az-Latn-AZ"/>
        </w:rPr>
        <w:t xml:space="preserve">Ismayıl Şıxlı, “Dəli Kür” </w:t>
      </w:r>
      <w:r w:rsidRPr="006665EC">
        <w:rPr>
          <w:bCs/>
          <w:color w:val="201F1E"/>
          <w:sz w:val="28"/>
          <w:szCs w:val="28"/>
          <w:bdr w:val="none" w:sz="0" w:space="0" w:color="auto" w:frame="1"/>
          <w:lang w:val="az-Latn-AZ"/>
        </w:rPr>
        <w:t>(</w:t>
      </w:r>
      <w:r w:rsidRPr="006665EC">
        <w:rPr>
          <w:color w:val="201F1E"/>
          <w:sz w:val="28"/>
          <w:szCs w:val="28"/>
          <w:bdr w:val="none" w:sz="0" w:space="0" w:color="auto" w:frame="1"/>
          <w:lang w:val="az-Latn-AZ"/>
        </w:rPr>
        <w:t>“</w:t>
      </w:r>
      <w:r w:rsidRPr="006665EC">
        <w:rPr>
          <w:color w:val="201F1E"/>
          <w:sz w:val="28"/>
          <w:szCs w:val="28"/>
          <w:bdr w:val="none" w:sz="0" w:space="0" w:color="auto" w:frame="1"/>
          <w:lang w:val="en-US"/>
        </w:rPr>
        <w:t>The Wild Kura”)</w:t>
      </w:r>
      <w:r w:rsidRPr="006665EC">
        <w:rPr>
          <w:rFonts w:ascii="Calibri" w:hAnsi="Calibri"/>
          <w:color w:val="201F1E"/>
          <w:sz w:val="22"/>
          <w:szCs w:val="22"/>
          <w:lang w:val="en-US"/>
        </w:rPr>
        <w:t> </w:t>
      </w:r>
      <w:r w:rsidRPr="006665EC">
        <w:rPr>
          <w:color w:val="500050"/>
          <w:sz w:val="28"/>
          <w:szCs w:val="28"/>
          <w:shd w:val="clear" w:color="auto" w:fill="FFFFFF"/>
          <w:lang w:val="az-Latn-AZ"/>
        </w:rPr>
        <w:t>,</w:t>
      </w:r>
      <w:r>
        <w:rPr>
          <w:color w:val="500050"/>
          <w:sz w:val="28"/>
          <w:szCs w:val="28"/>
          <w:shd w:val="clear" w:color="auto" w:fill="FFFFFF"/>
          <w:lang w:val="az-Latn-AZ"/>
        </w:rPr>
        <w:t xml:space="preserve"> external conflict, political trends, Azerbaijan, Russian Sovietization </w:t>
      </w:r>
    </w:p>
    <w:p w:rsidR="006665EC" w:rsidRPr="006665EC" w:rsidRDefault="006665EC" w:rsidP="006665EC">
      <w:pPr>
        <w:pStyle w:val="a3"/>
        <w:shd w:val="clear" w:color="auto" w:fill="FFFFFF"/>
        <w:spacing w:before="0" w:beforeAutospacing="0" w:after="0" w:afterAutospacing="0" w:line="360" w:lineRule="auto"/>
        <w:jc w:val="center"/>
        <w:rPr>
          <w:color w:val="000000"/>
          <w:lang w:val="en-US"/>
        </w:rPr>
      </w:pPr>
    </w:p>
    <w:p w:rsidR="006665EC" w:rsidRPr="006665EC" w:rsidRDefault="006665EC" w:rsidP="006665EC">
      <w:pPr>
        <w:pStyle w:val="a3"/>
        <w:shd w:val="clear" w:color="auto" w:fill="FFFFFF"/>
        <w:spacing w:before="0" w:beforeAutospacing="0" w:after="0" w:afterAutospacing="0" w:line="360" w:lineRule="auto"/>
        <w:jc w:val="both"/>
        <w:rPr>
          <w:color w:val="000000"/>
          <w:lang w:val="en-US"/>
        </w:rPr>
      </w:pPr>
      <w:r>
        <w:rPr>
          <w:color w:val="201F1E"/>
          <w:sz w:val="28"/>
          <w:szCs w:val="28"/>
          <w:bdr w:val="none" w:sz="0" w:space="0" w:color="auto" w:frame="1"/>
          <w:lang w:val="az-Latn-AZ"/>
        </w:rPr>
        <w:t>This research is focusing on how Ismayıl Shıxlı  (1919-1995) depicted personal conflict as a projection of political cataclysms of the hectic period for Azerbaijan.</w:t>
      </w:r>
      <w:r w:rsidRPr="006665EC">
        <w:rPr>
          <w:rFonts w:ascii="Calibri" w:hAnsi="Calibri"/>
          <w:color w:val="201F1E"/>
          <w:sz w:val="22"/>
          <w:szCs w:val="22"/>
          <w:lang w:val="en-US"/>
        </w:rPr>
        <w:t> </w:t>
      </w:r>
    </w:p>
    <w:p w:rsidR="006665EC" w:rsidRPr="006665EC" w:rsidRDefault="006665EC" w:rsidP="006665EC">
      <w:pPr>
        <w:pStyle w:val="a3"/>
        <w:shd w:val="clear" w:color="auto" w:fill="FFFFFF"/>
        <w:spacing w:before="0" w:beforeAutospacing="0" w:after="0" w:afterAutospacing="0" w:line="360" w:lineRule="auto"/>
        <w:jc w:val="both"/>
        <w:rPr>
          <w:color w:val="000000"/>
          <w:lang w:val="en-US"/>
        </w:rPr>
      </w:pPr>
      <w:r>
        <w:rPr>
          <w:color w:val="201F1E"/>
          <w:sz w:val="28"/>
          <w:szCs w:val="28"/>
          <w:bdr w:val="none" w:sz="0" w:space="0" w:color="auto" w:frame="1"/>
          <w:lang w:val="az-Latn-AZ"/>
        </w:rPr>
        <w:t>An Azerbaijani writer Ismayıl Shıxlı occupies a significant place in the 20th century Azerbaijani literature. He is an author of novels  “Ayrılan Yollar” (“The Diversified Roads”), “Ölən Dünyam“ (“My Dying World”), “Dəli Kür” (“</w:t>
      </w:r>
      <w:r w:rsidRPr="006665EC">
        <w:rPr>
          <w:color w:val="201F1E"/>
          <w:sz w:val="28"/>
          <w:szCs w:val="28"/>
          <w:bdr w:val="none" w:sz="0" w:space="0" w:color="auto" w:frame="1"/>
          <w:lang w:val="en-US"/>
        </w:rPr>
        <w:t>The Wild Kura”)</w:t>
      </w:r>
      <w:r>
        <w:rPr>
          <w:color w:val="201F1E"/>
          <w:sz w:val="28"/>
          <w:szCs w:val="28"/>
          <w:bdr w:val="none" w:sz="0" w:space="0" w:color="auto" w:frame="1"/>
          <w:lang w:val="az-Latn-AZ"/>
        </w:rPr>
        <w:t>. The last one (1968) is being the peak of his literary activity, depicts life, customs, and traditions along with contradictions of the Azerbaijani society. The novel combines various vicissitudes of life</w:t>
      </w:r>
      <w:r w:rsidRPr="006665EC">
        <w:rPr>
          <w:color w:val="201F1E"/>
          <w:sz w:val="28"/>
          <w:szCs w:val="28"/>
          <w:bdr w:val="none" w:sz="0" w:space="0" w:color="auto" w:frame="1"/>
          <w:lang w:val="en-US"/>
        </w:rPr>
        <w:t>, transferring them to a literary text. </w:t>
      </w:r>
      <w:r>
        <w:rPr>
          <w:color w:val="201F1E"/>
          <w:sz w:val="28"/>
          <w:szCs w:val="28"/>
          <w:bdr w:val="none" w:sz="0" w:space="0" w:color="auto" w:frame="1"/>
          <w:lang w:val="az-Latn-AZ"/>
        </w:rPr>
        <w:t>The central conflict in the novel </w:t>
      </w:r>
      <w:r w:rsidRPr="006665EC">
        <w:rPr>
          <w:color w:val="201F1E"/>
          <w:sz w:val="28"/>
          <w:szCs w:val="28"/>
          <w:bdr w:val="none" w:sz="0" w:space="0" w:color="auto" w:frame="1"/>
          <w:lang w:val="en-US"/>
        </w:rPr>
        <w:t>takes place</w:t>
      </w:r>
      <w:r w:rsidRPr="006665EC">
        <w:rPr>
          <w:color w:val="000000"/>
          <w:lang w:val="en-US"/>
        </w:rPr>
        <w:t> </w:t>
      </w:r>
      <w:r>
        <w:rPr>
          <w:color w:val="201F1E"/>
          <w:sz w:val="28"/>
          <w:szCs w:val="28"/>
          <w:bdr w:val="none" w:sz="0" w:space="0" w:color="auto" w:frame="1"/>
          <w:lang w:val="az-Latn-AZ"/>
        </w:rPr>
        <w:t>in between Jahangir ağa and Mullah Sadıq. They cannot</w:t>
      </w:r>
      <w:r w:rsidRPr="006665EC">
        <w:rPr>
          <w:color w:val="201F1E"/>
          <w:sz w:val="28"/>
          <w:szCs w:val="28"/>
          <w:bdr w:val="none" w:sz="0" w:space="0" w:color="auto" w:frame="1"/>
          <w:lang w:val="en-US"/>
        </w:rPr>
        <w:t> resist</w:t>
      </w:r>
      <w:r>
        <w:rPr>
          <w:color w:val="201F1E"/>
          <w:sz w:val="28"/>
          <w:szCs w:val="28"/>
          <w:bdr w:val="none" w:sz="0" w:space="0" w:color="auto" w:frame="1"/>
          <w:lang w:val="az-Latn-AZ"/>
        </w:rPr>
        <w:t> the struggle against the common enemy represented as the  Russian invaders during Soviet occupation at the beginning of the 20th century. Finally, Jahandar ağa loses the fight because Mullah Sadıq joins the occupants.</w:t>
      </w:r>
      <w:r w:rsidRPr="006665EC">
        <w:rPr>
          <w:rFonts w:ascii="Calibri" w:hAnsi="Calibri"/>
          <w:color w:val="201F1E"/>
          <w:sz w:val="22"/>
          <w:szCs w:val="22"/>
          <w:lang w:val="en-US"/>
        </w:rPr>
        <w:t> </w:t>
      </w:r>
    </w:p>
    <w:p w:rsidR="0004087A" w:rsidRPr="006665EC" w:rsidRDefault="0004087A">
      <w:pPr>
        <w:rPr>
          <w:lang w:val="en-US"/>
        </w:rPr>
      </w:pPr>
    </w:p>
    <w:sectPr w:rsidR="0004087A" w:rsidRPr="006665EC" w:rsidSect="000408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665EC"/>
    <w:rsid w:val="0004087A"/>
    <w:rsid w:val="00285846"/>
    <w:rsid w:val="002C0653"/>
    <w:rsid w:val="00387381"/>
    <w:rsid w:val="003C1E86"/>
    <w:rsid w:val="005C50B7"/>
    <w:rsid w:val="00666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8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65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95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2020-11-24T10:37:00Z</dcterms:created>
  <dcterms:modified xsi:type="dcterms:W3CDTF">2020-11-24T10:41:00Z</dcterms:modified>
</cp:coreProperties>
</file>