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3CCC9" w14:textId="77777777" w:rsidR="00C1398E" w:rsidRPr="00C1398E" w:rsidRDefault="00C1398E" w:rsidP="00C1398E">
      <w:pPr>
        <w:spacing w:line="360" w:lineRule="auto"/>
        <w:jc w:val="center"/>
        <w:rPr>
          <w:rFonts w:ascii="Times New Roman" w:hAnsi="Times New Roman" w:cs="Times New Roman"/>
          <w:b/>
          <w:color w:val="000000"/>
          <w:sz w:val="28"/>
          <w:szCs w:val="28"/>
          <w:shd w:val="clear" w:color="auto" w:fill="FFFFFF"/>
          <w:lang w:val="tr-TR"/>
        </w:rPr>
      </w:pPr>
      <w:r w:rsidRPr="00C1398E">
        <w:rPr>
          <w:rFonts w:ascii="Times New Roman" w:hAnsi="Times New Roman" w:cs="Times New Roman"/>
          <w:b/>
          <w:bCs/>
          <w:color w:val="000000"/>
          <w:sz w:val="28"/>
          <w:szCs w:val="28"/>
          <w:shd w:val="clear" w:color="auto" w:fill="FFFFFF"/>
          <w:lang w:val="tr-TR"/>
        </w:rPr>
        <w:t>Su Ürünleri Yetiştiriciliğinde Nitelikli İnsan Gücü Gereksinimini Karşılamaya Yönelik Arttırılmış Gerçeklik Uygulamaları Destekli Aktif Öğrenme Müfredatı Geliştirilmesi</w:t>
      </w:r>
      <w:r w:rsidRPr="00C1398E">
        <w:rPr>
          <w:rFonts w:ascii="Times New Roman" w:hAnsi="Times New Roman" w:cs="Times New Roman"/>
          <w:b/>
          <w:color w:val="000000"/>
          <w:sz w:val="28"/>
          <w:szCs w:val="28"/>
          <w:shd w:val="clear" w:color="auto" w:fill="FFFFFF"/>
          <w:vertAlign w:val="superscript"/>
          <w:lang w:val="tr-TR"/>
        </w:rPr>
        <w:t xml:space="preserve"> 1</w:t>
      </w:r>
    </w:p>
    <w:p w14:paraId="66341C33" w14:textId="77777777" w:rsidR="00C1398E" w:rsidRPr="00C1398E" w:rsidRDefault="00C1398E" w:rsidP="00C1398E">
      <w:pPr>
        <w:spacing w:line="360" w:lineRule="auto"/>
        <w:jc w:val="center"/>
        <w:rPr>
          <w:rFonts w:ascii="Times New Roman" w:hAnsi="Times New Roman" w:cs="Times New Roman"/>
          <w:color w:val="000000"/>
          <w:sz w:val="24"/>
          <w:szCs w:val="24"/>
          <w:shd w:val="clear" w:color="auto" w:fill="FFFFFF"/>
        </w:rPr>
      </w:pPr>
    </w:p>
    <w:p w14:paraId="782AC0EB" w14:textId="77777777" w:rsidR="00C1398E" w:rsidRPr="00C1398E" w:rsidRDefault="00C1398E" w:rsidP="00C1398E">
      <w:pPr>
        <w:spacing w:line="360" w:lineRule="auto"/>
        <w:jc w:val="center"/>
        <w:rPr>
          <w:rFonts w:ascii="Times New Roman" w:hAnsi="Times New Roman" w:cs="Times New Roman"/>
          <w:color w:val="000000"/>
          <w:sz w:val="24"/>
          <w:szCs w:val="24"/>
          <w:shd w:val="clear" w:color="auto" w:fill="FFFFFF"/>
        </w:rPr>
      </w:pPr>
      <w:r w:rsidRPr="00C1398E">
        <w:rPr>
          <w:rFonts w:ascii="Times New Roman" w:hAnsi="Times New Roman" w:cs="Times New Roman"/>
          <w:color w:val="000000"/>
          <w:sz w:val="24"/>
          <w:szCs w:val="24"/>
          <w:shd w:val="clear" w:color="auto" w:fill="FFFFFF"/>
        </w:rPr>
        <w:t>Engin Karaduman</w:t>
      </w:r>
      <w:r w:rsidRPr="00C1398E">
        <w:rPr>
          <w:rFonts w:ascii="Times New Roman" w:hAnsi="Times New Roman" w:cs="Times New Roman"/>
          <w:color w:val="000000"/>
          <w:sz w:val="24"/>
          <w:szCs w:val="24"/>
          <w:shd w:val="clear" w:color="auto" w:fill="FFFFFF"/>
          <w:vertAlign w:val="superscript"/>
        </w:rPr>
        <w:t>2</w:t>
      </w:r>
      <w:r w:rsidRPr="00C1398E">
        <w:rPr>
          <w:rFonts w:ascii="Times New Roman" w:hAnsi="Times New Roman" w:cs="Times New Roman"/>
          <w:color w:val="000000"/>
          <w:sz w:val="24"/>
          <w:szCs w:val="24"/>
          <w:shd w:val="clear" w:color="auto" w:fill="FFFFFF"/>
        </w:rPr>
        <w:t xml:space="preserve">, 0000-0001-7672-5823, </w:t>
      </w:r>
      <w:r w:rsidRPr="00C1398E">
        <w:rPr>
          <w:rFonts w:ascii="Times New Roman" w:hAnsi="Times New Roman" w:cs="Times New Roman"/>
          <w:i/>
          <w:iCs/>
          <w:color w:val="000000"/>
          <w:sz w:val="24"/>
          <w:szCs w:val="24"/>
          <w:shd w:val="clear" w:color="auto" w:fill="FFFFFF"/>
        </w:rPr>
        <w:t>engin.karaduman@beun.edu.tr</w:t>
      </w:r>
    </w:p>
    <w:p w14:paraId="1B37E2E5" w14:textId="77777777" w:rsidR="00C1398E" w:rsidRPr="00C1398E" w:rsidRDefault="00C1398E" w:rsidP="00C1398E">
      <w:pPr>
        <w:spacing w:line="360" w:lineRule="auto"/>
        <w:jc w:val="center"/>
        <w:rPr>
          <w:rFonts w:ascii="Times New Roman" w:hAnsi="Times New Roman" w:cs="Times New Roman"/>
          <w:bCs/>
          <w:color w:val="000000"/>
          <w:sz w:val="24"/>
          <w:szCs w:val="24"/>
          <w:shd w:val="clear" w:color="auto" w:fill="FFFFFF"/>
          <w:lang w:val="tr-TR"/>
        </w:rPr>
      </w:pPr>
      <w:r w:rsidRPr="00C1398E">
        <w:rPr>
          <w:rFonts w:ascii="Times New Roman" w:hAnsi="Times New Roman" w:cs="Times New Roman"/>
          <w:color w:val="000000"/>
          <w:sz w:val="24"/>
          <w:szCs w:val="24"/>
          <w:shd w:val="clear" w:color="auto" w:fill="FFFFFF"/>
        </w:rPr>
        <w:t>Aylin Galib Faridin</w:t>
      </w:r>
      <w:r w:rsidRPr="00C1398E">
        <w:rPr>
          <w:rFonts w:ascii="Times New Roman" w:hAnsi="Times New Roman" w:cs="Times New Roman"/>
          <w:color w:val="000000"/>
          <w:sz w:val="24"/>
          <w:szCs w:val="24"/>
          <w:shd w:val="clear" w:color="auto" w:fill="FFFFFF"/>
          <w:vertAlign w:val="superscript"/>
        </w:rPr>
        <w:t>2</w:t>
      </w:r>
      <w:r w:rsidRPr="00C1398E">
        <w:rPr>
          <w:rFonts w:ascii="Times New Roman" w:hAnsi="Times New Roman" w:cs="Times New Roman"/>
          <w:color w:val="000000"/>
          <w:sz w:val="24"/>
          <w:szCs w:val="24"/>
          <w:shd w:val="clear" w:color="auto" w:fill="FFFFFF"/>
        </w:rPr>
        <w:t xml:space="preserve">, </w:t>
      </w:r>
      <w:r w:rsidRPr="00C1398E">
        <w:rPr>
          <w:rFonts w:ascii="Times New Roman" w:hAnsi="Times New Roman" w:cs="Times New Roman"/>
          <w:bCs/>
          <w:i/>
          <w:iCs/>
          <w:color w:val="000000"/>
          <w:sz w:val="24"/>
          <w:szCs w:val="24"/>
          <w:shd w:val="clear" w:color="auto" w:fill="FFFFFF"/>
        </w:rPr>
        <w:t>aylinfaridin@gmail.com</w:t>
      </w:r>
      <w:r w:rsidRPr="00C1398E">
        <w:rPr>
          <w:rFonts w:ascii="Times New Roman" w:hAnsi="Times New Roman" w:cs="Times New Roman"/>
          <w:bCs/>
          <w:color w:val="000000"/>
          <w:sz w:val="24"/>
          <w:szCs w:val="24"/>
          <w:shd w:val="clear" w:color="auto" w:fill="FFFFFF"/>
        </w:rPr>
        <w:t xml:space="preserve"> Turan Sina Şebitci², </w:t>
      </w:r>
      <w:r w:rsidRPr="00C1398E">
        <w:rPr>
          <w:rFonts w:ascii="Times New Roman" w:hAnsi="Times New Roman" w:cs="Times New Roman"/>
          <w:bCs/>
          <w:i/>
          <w:iCs/>
          <w:color w:val="000000"/>
          <w:sz w:val="24"/>
          <w:szCs w:val="24"/>
          <w:shd w:val="clear" w:color="auto" w:fill="FFFFFF"/>
          <w:lang w:val="tr-TR"/>
        </w:rPr>
        <w:t>tssepitci@hotmail.com</w:t>
      </w:r>
      <w:r w:rsidRPr="00C1398E">
        <w:rPr>
          <w:rFonts w:ascii="Times New Roman" w:hAnsi="Times New Roman" w:cs="Times New Roman"/>
          <w:bCs/>
          <w:color w:val="000000"/>
          <w:sz w:val="24"/>
          <w:szCs w:val="24"/>
          <w:shd w:val="clear" w:color="auto" w:fill="FFFFFF"/>
          <w:lang w:val="tr-TR"/>
        </w:rPr>
        <w:t xml:space="preserve"> </w:t>
      </w:r>
      <w:r w:rsidRPr="00C1398E">
        <w:rPr>
          <w:rFonts w:ascii="Times New Roman" w:hAnsi="Times New Roman" w:cs="Times New Roman"/>
          <w:color w:val="000000"/>
          <w:sz w:val="24"/>
          <w:szCs w:val="24"/>
          <w:shd w:val="clear" w:color="auto" w:fill="FFFFFF"/>
        </w:rPr>
        <w:t xml:space="preserve">Sema Köse Şepitci², </w:t>
      </w:r>
      <w:r w:rsidRPr="00C1398E">
        <w:rPr>
          <w:rFonts w:ascii="Times New Roman" w:hAnsi="Times New Roman" w:cs="Times New Roman"/>
          <w:i/>
          <w:iCs/>
          <w:color w:val="000000"/>
          <w:sz w:val="24"/>
          <w:szCs w:val="24"/>
          <w:shd w:val="clear" w:color="auto" w:fill="FFFFFF"/>
          <w:lang w:val="tr-TR"/>
        </w:rPr>
        <w:t>asemakose@gmail.com</w:t>
      </w:r>
    </w:p>
    <w:p w14:paraId="4A0837D8" w14:textId="77777777" w:rsidR="00C1398E" w:rsidRPr="00C1398E" w:rsidRDefault="00C1398E" w:rsidP="00C1398E">
      <w:pPr>
        <w:spacing w:line="360" w:lineRule="auto"/>
        <w:rPr>
          <w:rFonts w:ascii="Times New Roman" w:hAnsi="Times New Roman" w:cs="Times New Roman"/>
          <w:color w:val="000000"/>
          <w:sz w:val="24"/>
          <w:szCs w:val="24"/>
          <w:shd w:val="clear" w:color="auto" w:fill="FFFFFF"/>
        </w:rPr>
      </w:pPr>
    </w:p>
    <w:p w14:paraId="38532C57" w14:textId="77777777" w:rsidR="00C1398E" w:rsidRPr="00C1398E" w:rsidRDefault="00C1398E" w:rsidP="00C1398E">
      <w:pPr>
        <w:spacing w:line="360" w:lineRule="auto"/>
        <w:jc w:val="center"/>
        <w:rPr>
          <w:rFonts w:ascii="Times New Roman" w:hAnsi="Times New Roman" w:cs="Times New Roman"/>
          <w:i/>
          <w:iCs/>
          <w:color w:val="000000"/>
          <w:sz w:val="24"/>
          <w:szCs w:val="24"/>
          <w:shd w:val="clear" w:color="auto" w:fill="FFFFFF"/>
        </w:rPr>
      </w:pPr>
      <w:r w:rsidRPr="00C1398E">
        <w:rPr>
          <w:rFonts w:ascii="Times New Roman" w:hAnsi="Times New Roman" w:cs="Times New Roman"/>
          <w:i/>
          <w:iCs/>
          <w:color w:val="000000"/>
          <w:sz w:val="24"/>
          <w:szCs w:val="24"/>
          <w:shd w:val="clear" w:color="auto" w:fill="FFFFFF"/>
          <w:vertAlign w:val="superscript"/>
        </w:rPr>
        <w:t>2</w:t>
      </w:r>
      <w:r w:rsidRPr="00C1398E">
        <w:rPr>
          <w:rFonts w:ascii="Times New Roman" w:hAnsi="Times New Roman" w:cs="Times New Roman"/>
          <w:i/>
          <w:iCs/>
          <w:color w:val="000000"/>
          <w:sz w:val="24"/>
          <w:szCs w:val="24"/>
          <w:shd w:val="clear" w:color="auto" w:fill="FFFFFF"/>
        </w:rPr>
        <w:t>Zonguldak Bulent Ecevit Üniversitesi,</w:t>
      </w:r>
    </w:p>
    <w:p w14:paraId="69D8DB65" w14:textId="77777777" w:rsidR="00C1398E" w:rsidRPr="00C1398E" w:rsidRDefault="00C1398E" w:rsidP="00C1398E">
      <w:pPr>
        <w:spacing w:line="360" w:lineRule="auto"/>
        <w:jc w:val="both"/>
        <w:rPr>
          <w:rFonts w:ascii="Times New Roman" w:hAnsi="Times New Roman" w:cs="Times New Roman"/>
          <w:color w:val="000000"/>
          <w:sz w:val="24"/>
          <w:szCs w:val="24"/>
          <w:shd w:val="clear" w:color="auto" w:fill="FFFFFF"/>
          <w:lang w:val="tr-TR"/>
        </w:rPr>
      </w:pPr>
    </w:p>
    <w:p w14:paraId="3F65B112" w14:textId="7AADEFDC" w:rsidR="00C1398E" w:rsidRPr="00C1398E" w:rsidRDefault="00C1398E" w:rsidP="00C1398E">
      <w:pPr>
        <w:spacing w:line="360" w:lineRule="auto"/>
        <w:jc w:val="both"/>
        <w:rPr>
          <w:rFonts w:ascii="Times New Roman" w:hAnsi="Times New Roman" w:cs="Times New Roman"/>
          <w:color w:val="000000"/>
          <w:sz w:val="24"/>
          <w:szCs w:val="24"/>
          <w:shd w:val="clear" w:color="auto" w:fill="FFFFFF"/>
          <w:lang w:val="tr-TR"/>
        </w:rPr>
      </w:pPr>
      <w:r w:rsidRPr="00C1398E">
        <w:rPr>
          <w:rFonts w:ascii="Times New Roman" w:hAnsi="Times New Roman" w:cs="Times New Roman"/>
          <w:color w:val="000000"/>
          <w:sz w:val="24"/>
          <w:szCs w:val="24"/>
          <w:shd w:val="clear" w:color="auto" w:fill="FFFFFF"/>
          <w:lang w:val="tr-TR"/>
        </w:rPr>
        <w:t xml:space="preserve">Su ürünleri sektörü önemli bir üretim endüstrisidir ve aynı zamanda önemli bir beslenme kaynağıdır </w:t>
      </w:r>
      <w:r w:rsidRPr="00C1398E">
        <w:rPr>
          <w:rFonts w:ascii="Times New Roman" w:hAnsi="Times New Roman" w:cs="Times New Roman"/>
          <w:color w:val="000000"/>
          <w:sz w:val="24"/>
          <w:szCs w:val="24"/>
          <w:shd w:val="clear" w:color="auto" w:fill="FFFFFF"/>
          <w:lang w:val="tr-TR"/>
        </w:rPr>
        <w:fldChar w:fldCharType="begin" w:fldLock="1"/>
      </w:r>
      <w:r w:rsidRPr="00C1398E">
        <w:rPr>
          <w:rFonts w:ascii="Times New Roman" w:hAnsi="Times New Roman" w:cs="Times New Roman"/>
          <w:color w:val="000000"/>
          <w:sz w:val="24"/>
          <w:szCs w:val="24"/>
          <w:shd w:val="clear" w:color="auto" w:fill="FFFFFF"/>
          <w:lang w:val="tr-TR"/>
        </w:rPr>
        <w:instrText>ADDIN CSL_CITATION {"citationItems":[{"id":"ITEM-1","itemData":{"DOI":"10.1016/J.COPBIO.2020.11.014","ISSN":"0958-1669","PMID":"33445136","abstract":"Aquaculture is increasing the global supply of foods, and holds tremendous potential to address malnutrition and diet-related diseases. The species selected and feeds used affects the nutrients available from aquaculture. Progress in the development of novel and sustainable aquaculture feeds to reduce reliance on wild fisheries, feed fortification to increase nutrient content, and expansion of the diversity of aquatic species produced are key areas for continued research and development. Ultimately, the degree to which aquaculture will contribute to nutrition depends largely on who can access the fish produced, which will be shaped by production technology as well as trade and price dynamics. Finally, the contribution of aquaculture expansion to improving nutrition will be bounded by aquaculture's environmental sustainability.","author":[{"dropping-particle":"","family":"Fiorella","given":"Kathryn J.","non-dropping-particle":"","parse-names":false,"suffix":""},{"dropping-particle":"","family":"Okronipa","given":"Harriet","non-dropping-particle":"","parse-names":false,"suffix":""},{"dropping-particle":"","family":"Baker","given":"Katherine","non-dropping-particle":"","parse-names":false,"suffix":""},{"dropping-particle":"","family":"Heilpern","given":"Sebastian","non-dropping-particle":"","parse-names":false,"suffix":""}],"container-title":"Current Opinion in Biotechnology","id":"ITEM-1","issued":{"date-parts":[["2021","8","1"]]},"page":"83-90","publisher":"Elsevier Current Trends","title":"Contemporary aquaculture: implications for human nutrition","type":"article-journal","volume":"70"},"uris":["http://www.mendeley.com/documents/?uuid=f1120717-36e7-3a40-86b2-1c2661c3daee"]}],"mendeley":{"formattedCitation":"(Fiorella et al., 2021)","plainTextFormattedCitation":"(Fiorella et al., 2021)","previouslyFormattedCitation":"(Fiorella et al., 2021)"},"properties":{"noteIndex":0},"schema":"https://github.com/citation-style-language/schema/raw/master/csl-citation.json"}</w:instrText>
      </w:r>
      <w:r w:rsidRPr="00C1398E">
        <w:rPr>
          <w:rFonts w:ascii="Times New Roman" w:hAnsi="Times New Roman" w:cs="Times New Roman"/>
          <w:color w:val="000000"/>
          <w:sz w:val="24"/>
          <w:szCs w:val="24"/>
          <w:shd w:val="clear" w:color="auto" w:fill="FFFFFF"/>
          <w:lang w:val="tr-TR"/>
        </w:rPr>
        <w:fldChar w:fldCharType="separate"/>
      </w:r>
      <w:r w:rsidRPr="00C1398E">
        <w:rPr>
          <w:rFonts w:ascii="Times New Roman" w:hAnsi="Times New Roman" w:cs="Times New Roman"/>
          <w:color w:val="000000"/>
          <w:sz w:val="24"/>
          <w:szCs w:val="24"/>
          <w:shd w:val="clear" w:color="auto" w:fill="FFFFFF"/>
          <w:lang w:val="tr-TR"/>
        </w:rPr>
        <w:t>(Fiorella vd., 2021)</w:t>
      </w:r>
      <w:r w:rsidRPr="00C1398E">
        <w:rPr>
          <w:rFonts w:ascii="Times New Roman" w:hAnsi="Times New Roman" w:cs="Times New Roman"/>
          <w:color w:val="000000"/>
          <w:sz w:val="24"/>
          <w:szCs w:val="24"/>
          <w:shd w:val="clear" w:color="auto" w:fill="FFFFFF"/>
        </w:rPr>
        <w:fldChar w:fldCharType="end"/>
      </w:r>
      <w:r w:rsidRPr="00C1398E">
        <w:rPr>
          <w:rFonts w:ascii="Times New Roman" w:hAnsi="Times New Roman" w:cs="Times New Roman"/>
          <w:color w:val="000000"/>
          <w:sz w:val="24"/>
          <w:szCs w:val="24"/>
          <w:shd w:val="clear" w:color="auto" w:fill="FFFFFF"/>
          <w:lang w:val="tr-TR"/>
        </w:rPr>
        <w:t>. Ülkemizin coğrafi özellikleri göz önüne alındığında su ürünleri yetiştiriciliğinde dünyada önemli bir yerde olma potansiyelimiz bulunmaktadır. Bu potansiyelimizi gerçekleştirmek ve toprak havuzlarda balık üreten işletmelerin sürdürülebilirliğini sağlamak için projemizde belli çözüm önerileri getirilmiştir. Mevcut</w:t>
      </w:r>
      <w:r w:rsidR="001D6746">
        <w:rPr>
          <w:rFonts w:ascii="Times New Roman" w:hAnsi="Times New Roman" w:cs="Times New Roman"/>
          <w:color w:val="000000"/>
          <w:sz w:val="24"/>
          <w:szCs w:val="24"/>
          <w:shd w:val="clear" w:color="auto" w:fill="FFFFFF"/>
          <w:lang w:val="tr-TR"/>
        </w:rPr>
        <w:t xml:space="preserve"> TUBITAK</w:t>
      </w:r>
      <w:r w:rsidRPr="00C1398E">
        <w:rPr>
          <w:rFonts w:ascii="Times New Roman" w:hAnsi="Times New Roman" w:cs="Times New Roman"/>
          <w:color w:val="000000"/>
          <w:sz w:val="24"/>
          <w:szCs w:val="24"/>
          <w:shd w:val="clear" w:color="auto" w:fill="FFFFFF"/>
          <w:lang w:val="tr-TR"/>
        </w:rPr>
        <w:t xml:space="preserve"> proje</w:t>
      </w:r>
      <w:r w:rsidR="001D6746">
        <w:rPr>
          <w:rFonts w:ascii="Times New Roman" w:hAnsi="Times New Roman" w:cs="Times New Roman"/>
          <w:color w:val="000000"/>
          <w:sz w:val="24"/>
          <w:szCs w:val="24"/>
          <w:shd w:val="clear" w:color="auto" w:fill="FFFFFF"/>
          <w:lang w:val="tr-TR"/>
        </w:rPr>
        <w:t>si</w:t>
      </w:r>
      <w:r w:rsidRPr="00C1398E">
        <w:rPr>
          <w:rFonts w:ascii="Times New Roman" w:hAnsi="Times New Roman" w:cs="Times New Roman"/>
          <w:color w:val="000000"/>
          <w:sz w:val="24"/>
          <w:szCs w:val="24"/>
          <w:shd w:val="clear" w:color="auto" w:fill="FFFFFF"/>
          <w:lang w:val="tr-TR"/>
        </w:rPr>
        <w:t xml:space="preserve">nin sanayi ortağıyla yapılan ön görüşmeler neticesinde bu işletmelerin yaşadıkları sorunlarda birçok değişkenin etkisi olduğu anlaşılmıştır. Bu değişkenlerden biri de aeratör kullanımı sırasında karşılaşılan problemlerdir. Aeratör doğru biçimde kullanılmadığında havuz tabanında birikecek atıklar işletmelerin en önemli kök sorunlarından birisini oluşturmaktadır. Bu atıkların balık üretimini ne kadar olumsuz etkilediği konusunda, çalışan personelin yeterli farkındalığa sahip olmadığı tespit edilmiştir (Tezel, 2017). Geleneksel eğitimle, yani usta-çırak ilişkisi içinde kalifiye personelin yetişmesi zaman almaktadır. Bu da personelin üretim sürecinin esaslarıyla ilgili farkındalığının oluşmasını geciktirir. Bunun yanı sıra, aeratör cihazının iki boyutlu öğretilmesi etkin ve kalıcı öğrenmeyi sağlamamaktadır. Personelin istenilen seviyeye en kısa sürede gelmesi, işletmenin büyümesi ile doğru orantılı olacaktır. Bu da personelin doğru eğitimi alması ile mümkündür. Doğru eğitimin ise AR uygulamasıyla sağlanabileceği düşünülmektedir. Su ürünleri yetiştiriciliği sektörünün doğası gereği üretim süreci sırasında kullanılan kimi cihazlar havuz suyunun altında bulunmak durumundadır. Bu yüzden üretim sürecinin su altında kalan kısmı ve cihazın karmaşık </w:t>
      </w:r>
      <w:r w:rsidRPr="00C1398E">
        <w:rPr>
          <w:rFonts w:ascii="Times New Roman" w:hAnsi="Times New Roman" w:cs="Times New Roman"/>
          <w:color w:val="000000"/>
          <w:sz w:val="24"/>
          <w:szCs w:val="24"/>
          <w:shd w:val="clear" w:color="auto" w:fill="FFFFFF"/>
          <w:lang w:val="tr-TR"/>
        </w:rPr>
        <w:lastRenderedPageBreak/>
        <w:t xml:space="preserve">yapısı çalışan kişinin zihninde somutlaşamamaktadır. Bu durum, süreçte kullanılan makinenin ya da sürecin aşamalarının tüm parçalarını/aşamalarını kavrayamayan işçi için tehlikeli iş kazalarına maruz kalma riskini ortaya çıkarmaktadır. Aeratör cihazının üç boyutlu modellenmesi sayesinde, çalışan kişi AR teknolojisini kullanarak hayati bir tehlike olmaksızın, sanal ortamda, hızlı ve güvenli bir şekilde eğitimini alabilecektir. </w:t>
      </w:r>
      <w:r w:rsidRPr="00C1398E">
        <w:rPr>
          <w:rFonts w:ascii="Times New Roman" w:hAnsi="Times New Roman" w:cs="Times New Roman"/>
          <w:color w:val="000000"/>
          <w:sz w:val="24"/>
          <w:szCs w:val="24"/>
          <w:shd w:val="clear" w:color="auto" w:fill="FFFFFF"/>
          <w:lang w:val="tr-TR"/>
        </w:rPr>
        <w:fldChar w:fldCharType="begin" w:fldLock="1"/>
      </w:r>
      <w:r w:rsidRPr="00C1398E">
        <w:rPr>
          <w:rFonts w:ascii="Times New Roman" w:hAnsi="Times New Roman" w:cs="Times New Roman"/>
          <w:color w:val="000000"/>
          <w:sz w:val="24"/>
          <w:szCs w:val="24"/>
          <w:shd w:val="clear" w:color="auto" w:fill="FFFFFF"/>
          <w:lang w:val="tr-TR"/>
        </w:rPr>
        <w:instrText>ADDIN CSL_CITATION {"citationItems":[{"id":"ITEM-1","itemData":{"DOI":"10.2196/29080","ISSN":"22919279","abstract":"Background: Augmented reality (AR), mixed reality (MR), and virtual reality (VR), realized as head-mounted devices (HMDs), may open up new ways of teaching medical content for low-resource settings. The advantages are that HMDs enable repeated practice without adverse effects on the patient in various medical disciplines; may introduce new ways to learn complex medical content; and may alleviate financial, ethical, and supervisory constraints on the use of traditional medical learning materials, like cadavers and other skills lab equipment.\nObjective: We examine the effectiveness of AR, MR, and VR HMDs for medical education, whereby we aim to incorporate a global health perspective comprising low- and middle-income countries (LMICs).\nMethods: We conducted a systematic review according to PRISMA (Preferred Reporting Items for Systematic Reviews and Meta-Analysis) and Cochrane guidelines. Seven medical databases (PubMed, Cochrane Library, Web of Science, Science Direct, PsycINFO, Education Resources Information Centre, and Google Scholar) were searched for peer-reviewed publications from January 1, 2014, to May 31, 2019. An extensive search was carried out to examine relevant literature guided by three concepts of extended reality (XR), which comprises the concepts of AR, MR, and VR, and the concepts of medicine and education. It included health professionals who took part in an HMD intervention that was compared to another teaching or learning method and evaluated with regard to its effectiveness. Quality and risk of bias were assessed with the Medical Education Research Study Quality Instrument, the Newcastle-Ottawa Scale-Education, and A Cochrane Risk of Bias Assessment Tool for Non-Randomized Studies of Interventions. We extracted relevant data and aggregated the data according to the main outcomes of this review (knowledge, skills, and XR HMD).\nResults: A total of 27 studies comprising 956 study participants were included. The participants included all types of health care professionals, especially medical students (n=573, 59.9%) and residents (n=289, 30.2%). AR and VR implemented with HMDs were most often used for training in the fields of surgery (n=13, 48%) and anatomy (n=4, 15%). A range of study designs were used, and quantitative methods were clearly dominant (n=21, 78%). Training with AR- and VR-based HMDs was perceived as salient, motivating, and engaging. In the majority of studies (n=17, 63%), HMD-based interventions were found to be effect…","author":[{"dropping-particle":"","family":"Barteit","given":"Sandra","non-dropping-particle":"","parse-names":false,"suffix":""},{"dropping-particle":"","family":"Lanfermann","given":"Lucia","non-dropping-particle":"","parse-names":false,"suffix":""},{"dropping-particle":"","family":"Bärnighausen","given":"Till","non-dropping-particle":"","parse-names":false,"suffix":""},{"dropping-particle":"","family":"Neuhann","given":"Florian","non-dropping-particle":"","parse-names":false,"suffix":""},{"dropping-particle":"","family":"Beiersmann","given":"Claudia","non-dropping-particle":"","parse-names":false,"suffix":""}],"container-title":"JMIR Serious Games 2021;9(3):e29080 https://games.jmir.org/2021/3/e29080","id":"ITEM-1","issue":"3","issued":{"date-parts":[["2021","7","8"]]},"page":"e29080","publisher":"JMIR Serious Games","title":"Augmented, Mixed, and Virtual Reality-Based Head-Mounted Devices for Medical Education: Systematic Review","type":"article-journal","volume":"9"},"uris":["http://www.mendeley.com/documents/?uuid=57335017-1027-3657-a64d-94faba9a24a1"]}],"mendeley":{"formattedCitation":"(Barteit et al., 2021)","plainTextFormattedCitation":"(Barteit et al., 2021)","previouslyFormattedCitation":"(Barteit et al., 2021)"},"properties":{"noteIndex":0},"schema":"https://github.com/citation-style-language/schema/raw/master/csl-citation.json"}</w:instrText>
      </w:r>
      <w:r w:rsidRPr="00C1398E">
        <w:rPr>
          <w:rFonts w:ascii="Times New Roman" w:hAnsi="Times New Roman" w:cs="Times New Roman"/>
          <w:color w:val="000000"/>
          <w:sz w:val="24"/>
          <w:szCs w:val="24"/>
          <w:shd w:val="clear" w:color="auto" w:fill="FFFFFF"/>
          <w:lang w:val="tr-TR"/>
        </w:rPr>
        <w:fldChar w:fldCharType="separate"/>
      </w:r>
      <w:r w:rsidRPr="00C1398E">
        <w:rPr>
          <w:rFonts w:ascii="Times New Roman" w:hAnsi="Times New Roman" w:cs="Times New Roman"/>
          <w:color w:val="000000"/>
          <w:sz w:val="24"/>
          <w:szCs w:val="24"/>
          <w:shd w:val="clear" w:color="auto" w:fill="FFFFFF"/>
          <w:lang w:val="tr-TR"/>
        </w:rPr>
        <w:t>(Barteit vd., 2021)</w:t>
      </w:r>
      <w:r w:rsidRPr="00C1398E">
        <w:rPr>
          <w:rFonts w:ascii="Times New Roman" w:hAnsi="Times New Roman" w:cs="Times New Roman"/>
          <w:color w:val="000000"/>
          <w:sz w:val="24"/>
          <w:szCs w:val="24"/>
          <w:shd w:val="clear" w:color="auto" w:fill="FFFFFF"/>
        </w:rPr>
        <w:fldChar w:fldCharType="end"/>
      </w:r>
      <w:r w:rsidRPr="00C1398E">
        <w:rPr>
          <w:rFonts w:ascii="Times New Roman" w:hAnsi="Times New Roman" w:cs="Times New Roman"/>
          <w:color w:val="000000"/>
          <w:sz w:val="24"/>
          <w:szCs w:val="24"/>
          <w:shd w:val="clear" w:color="auto" w:fill="FFFFFF"/>
          <w:lang w:val="tr-TR"/>
        </w:rPr>
        <w:t>. AR teknolojisi güvenli ortamda etkin ve kalıcı öğrenme sunmaktadır. AR (Augmented Reality), yani arttırılmış/zenginleştirilmiş gerçeklik; gerçek dünyadaki çevrenin ve içindekilerin, bilgisayar tarafından üretilen ses, görüntü, grafik ve GPS verileriyle zenginleştirilerek meydana getirilen canlı veya dolaylı fiziksel görünümüdür. (</w:t>
      </w:r>
      <w:r w:rsidRPr="00C1398E">
        <w:rPr>
          <w:rFonts w:ascii="Times New Roman" w:hAnsi="Times New Roman" w:cs="Times New Roman"/>
          <w:color w:val="000000"/>
          <w:sz w:val="24"/>
          <w:szCs w:val="24"/>
          <w:shd w:val="clear" w:color="auto" w:fill="FFFFFF"/>
          <w:lang w:val="tr-TR"/>
        </w:rPr>
        <w:fldChar w:fldCharType="begin" w:fldLock="1"/>
      </w:r>
      <w:r w:rsidRPr="00C1398E">
        <w:rPr>
          <w:rFonts w:ascii="Times New Roman" w:hAnsi="Times New Roman" w:cs="Times New Roman"/>
          <w:color w:val="000000"/>
          <w:sz w:val="24"/>
          <w:szCs w:val="24"/>
          <w:shd w:val="clear" w:color="auto" w:fill="FFFFFF"/>
          <w:lang w:val="tr-TR"/>
        </w:rPr>
        <w:instrText>ADDIN CSL_CITATION {"citationItems":[{"id":"ITEM-1","itemData":{"DOI":"10.3389/FROBT.2016.00074/FULL","ISSN":"22969144","author":[{"dropping-particle":"","family":"Slater","given":"Mel","non-dropping-particle":"","parse-names":false,"suffix":""},{"dropping-particle":"V.","family":"Sanchez-Vives","given":"Maria","non-dropping-particle":"","parse-names":false,"suffix":""}],"container-title":"Frontiers Robotics AI","id":"ITEM-1","issue":"DEC","issued":{"date-parts":[["2016","12","1"]]},"publisher":"Frontiers Media S.A.","title":"Enhancing our lives with immersive virtual reality","type":"article-journal","volume":"3"},"uris":["http://www.mendeley.com/documents/?uuid=7e129dac-d1c0-39e8-8bea-9991ef0dfeab"]}],"mendeley":{"formattedCitation":"(Slater &amp; Sanchez-Vives, 2016)","manualFormatting":"Slater &amp; Sanchez-Vives, 2016)","plainTextFormattedCitation":"(Slater &amp; Sanchez-Vives, 2016)","previouslyFormattedCitation":"(Slater &amp; Sanchez-Vives, 2016)"},"properties":{"noteIndex":0},"schema":"https://github.com/citation-style-language/schema/raw/master/csl-citation.json"}</w:instrText>
      </w:r>
      <w:r w:rsidRPr="00C1398E">
        <w:rPr>
          <w:rFonts w:ascii="Times New Roman" w:hAnsi="Times New Roman" w:cs="Times New Roman"/>
          <w:color w:val="000000"/>
          <w:sz w:val="24"/>
          <w:szCs w:val="24"/>
          <w:shd w:val="clear" w:color="auto" w:fill="FFFFFF"/>
          <w:lang w:val="tr-TR"/>
        </w:rPr>
        <w:fldChar w:fldCharType="separate"/>
      </w:r>
      <w:r w:rsidRPr="00C1398E">
        <w:rPr>
          <w:rFonts w:ascii="Times New Roman" w:hAnsi="Times New Roman" w:cs="Times New Roman"/>
          <w:color w:val="000000"/>
          <w:sz w:val="24"/>
          <w:szCs w:val="24"/>
          <w:shd w:val="clear" w:color="auto" w:fill="FFFFFF"/>
          <w:lang w:val="tr-TR"/>
        </w:rPr>
        <w:t>Slater &amp; Sanchez-Vives, 2016)</w:t>
      </w:r>
      <w:r w:rsidRPr="00C1398E">
        <w:rPr>
          <w:rFonts w:ascii="Times New Roman" w:hAnsi="Times New Roman" w:cs="Times New Roman"/>
          <w:color w:val="000000"/>
          <w:sz w:val="24"/>
          <w:szCs w:val="24"/>
          <w:shd w:val="clear" w:color="auto" w:fill="FFFFFF"/>
        </w:rPr>
        <w:fldChar w:fldCharType="end"/>
      </w:r>
      <w:r w:rsidRPr="00C1398E">
        <w:rPr>
          <w:rFonts w:ascii="Times New Roman" w:hAnsi="Times New Roman" w:cs="Times New Roman"/>
          <w:color w:val="000000"/>
          <w:sz w:val="24"/>
          <w:szCs w:val="24"/>
          <w:shd w:val="clear" w:color="auto" w:fill="FFFFFF"/>
          <w:lang w:val="tr-TR"/>
        </w:rPr>
        <w:t xml:space="preserve">. Tasarlanan Arttırılmış Gerçeklik (AR) ile aeratör eğitimi, çevre dostu, esnek ve verimlilik esaslı bir üretim gerçekleştirirken tehlikeli ortamlarda çalışan bireylerin sağlığını koruyacak ve güvenliğini temin edecektir </w:t>
      </w:r>
      <w:r w:rsidRPr="00C1398E">
        <w:rPr>
          <w:rFonts w:ascii="Times New Roman" w:hAnsi="Times New Roman" w:cs="Times New Roman"/>
          <w:color w:val="000000"/>
          <w:sz w:val="24"/>
          <w:szCs w:val="24"/>
          <w:shd w:val="clear" w:color="auto" w:fill="FFFFFF"/>
          <w:lang w:val="tr-TR"/>
        </w:rPr>
        <w:fldChar w:fldCharType="begin" w:fldLock="1"/>
      </w:r>
      <w:r w:rsidRPr="00C1398E">
        <w:rPr>
          <w:rFonts w:ascii="Times New Roman" w:hAnsi="Times New Roman" w:cs="Times New Roman"/>
          <w:color w:val="000000"/>
          <w:sz w:val="24"/>
          <w:szCs w:val="24"/>
          <w:shd w:val="clear" w:color="auto" w:fill="FFFFFF"/>
          <w:lang w:val="tr-TR"/>
        </w:rPr>
        <w:instrText>ADDIN CSL_CITATION {"citationItems":[{"id":"ITEM-1","itemData":{"DOI":"10.1007/S00464-012-2327-Z","ISSN":"14322218","PMID":"22648101","abstract":"Background: There is increasing interest in using simulators for laparoscopic surgery training, and simulators have rapidly become an integral part of surgical education. Methods: We searched MEDLINE, EMBASE, Cochrane Library, and Google Scholar for randomized controlled studies that compared the use of different types of simulators. The inclusion criteria were peer-reviewed published randomized clinical trials that compared simulators versus standard apprenticeship surgical training of surgical trainees with little or no prior laparoscopic experience. Of the 551 relevant studies found, 17 trials fulfilled all inclusion criteria. The effect sizes (ES) with 95 % confidence intervals [CI] were calculated for multiple psychometric skill outcome measures. Results: Data were combined by means of both fixed- and random-effects models. Meta-analytic combined effect size estimates showed that novice students who trained on simulators were superior in their performance and skill scores (d = 1.98, 95 % CI: 1.20-2.77; P &lt; 0.01), were more careful in handling various body tissue (d = 1.08, 95 % CI: 0.36-1.80; P &lt; 0.01), and had a higher accuracy score in conducting laparoscopic tasks (d = 1.38, 95 % CI: 0.30-2.47; P &lt; 0.05). Conclusion: Simulators have been shown to provide better laparoscopic surgery skills training for trainees than the traditional standard apprenticeship approach to skill development. Surgical residency programs are highly encouraged to adopt the use of simulators in teaching laparoscopic surgery skills to novice students. © Springer Science+Business Media, LLC 2012.","author":[{"dropping-particle":"","family":"Al-Kadi","given":"Azzam S.","non-dropping-particle":"","parse-names":false,"suffix":""},{"dropping-particle":"","family":"Donnon","given":"Tyrone","non-dropping-particle":"","parse-names":false,"suffix":""},{"dropping-particle":"","family":"Paolucci","given":"Elizabeth Oddone","non-dropping-particle":"","parse-names":false,"suffix":""},{"dropping-particle":"","family":"Mitchell","given":"Philip","non-dropping-particle":"","parse-names":false,"suffix":""},{"dropping-particle":"","family":"Debru","given":"Estifanos","non-dropping-particle":"","parse-names":false,"suffix":""},{"dropping-particle":"","family":"Church","given":"Neal","non-dropping-particle":"","parse-names":false,"suffix":""}],"container-title":"Surgical Endoscopy","id":"ITEM-1","issue":"11","issued":{"date-parts":[["2012"]]},"page":"3215-3224","publisher":"Springer New York LLC","title":"The effect of simulation in improving students' performance in laparoscopic surgery: A meta-analysis","type":"article-journal","volume":"26"},"uris":["http://www.mendeley.com/documents/?uuid=e6f9a448-4e92-30b7-b512-b56b96bc7146"]}],"mendeley":{"formattedCitation":"(Al-Kadi et al., 2012)","plainTextFormattedCitation":"(Al-Kadi et al., 2012)","previouslyFormattedCitation":"(Al-Kadi et al., 2012)"},"properties":{"noteIndex":0},"schema":"https://github.com/citation-style-language/schema/raw/master/csl-citation.json"}</w:instrText>
      </w:r>
      <w:r w:rsidRPr="00C1398E">
        <w:rPr>
          <w:rFonts w:ascii="Times New Roman" w:hAnsi="Times New Roman" w:cs="Times New Roman"/>
          <w:color w:val="000000"/>
          <w:sz w:val="24"/>
          <w:szCs w:val="24"/>
          <w:shd w:val="clear" w:color="auto" w:fill="FFFFFF"/>
          <w:lang w:val="tr-TR"/>
        </w:rPr>
        <w:fldChar w:fldCharType="separate"/>
      </w:r>
      <w:r w:rsidRPr="00C1398E">
        <w:rPr>
          <w:rFonts w:ascii="Times New Roman" w:hAnsi="Times New Roman" w:cs="Times New Roman"/>
          <w:color w:val="000000"/>
          <w:sz w:val="24"/>
          <w:szCs w:val="24"/>
          <w:shd w:val="clear" w:color="auto" w:fill="FFFFFF"/>
          <w:lang w:val="tr-TR"/>
        </w:rPr>
        <w:t>(Al-Kadi vd., 2012)</w:t>
      </w:r>
      <w:r w:rsidRPr="00C1398E">
        <w:rPr>
          <w:rFonts w:ascii="Times New Roman" w:hAnsi="Times New Roman" w:cs="Times New Roman"/>
          <w:color w:val="000000"/>
          <w:sz w:val="24"/>
          <w:szCs w:val="24"/>
          <w:shd w:val="clear" w:color="auto" w:fill="FFFFFF"/>
        </w:rPr>
        <w:fldChar w:fldCharType="end"/>
      </w:r>
      <w:r w:rsidRPr="00C1398E">
        <w:rPr>
          <w:rFonts w:ascii="Times New Roman" w:hAnsi="Times New Roman" w:cs="Times New Roman"/>
          <w:color w:val="000000"/>
          <w:sz w:val="24"/>
          <w:szCs w:val="24"/>
          <w:shd w:val="clear" w:color="auto" w:fill="FFFFFF"/>
          <w:lang w:val="tr-TR"/>
        </w:rPr>
        <w:t xml:space="preserve">.  Aeratörün modellenmesi ve AR uygulamasının tasarlanması süreci de ADDIE modelinin Analiz (Analyze), Tasarım (Design), Geliştirme (Develop), Uygulama (Implement) ve Değerlendirme (Evaluate) basamaklarından yararlanılarak oluşturulacaktır. Çalışan kişi, yaptığı işin ya da içinde bulunduğu üretim sürecinin farkında olduğu ve böylece işin/sürecin tüm aşamalarını kontrol ettiği zaman, hem kendi verimliliğini hem de dolaylı olarak üretim verimliliğini arttıracaktır </w:t>
      </w:r>
      <w:r w:rsidRPr="00C1398E">
        <w:rPr>
          <w:rFonts w:ascii="Times New Roman" w:hAnsi="Times New Roman" w:cs="Times New Roman"/>
          <w:color w:val="000000"/>
          <w:sz w:val="24"/>
          <w:szCs w:val="24"/>
          <w:shd w:val="clear" w:color="auto" w:fill="FFFFFF"/>
          <w:lang w:val="tr-TR"/>
        </w:rPr>
        <w:fldChar w:fldCharType="begin" w:fldLock="1"/>
      </w:r>
      <w:r w:rsidRPr="00C1398E">
        <w:rPr>
          <w:rFonts w:ascii="Times New Roman" w:hAnsi="Times New Roman" w:cs="Times New Roman"/>
          <w:color w:val="000000"/>
          <w:sz w:val="24"/>
          <w:szCs w:val="24"/>
          <w:shd w:val="clear" w:color="auto" w:fill="FFFFFF"/>
          <w:lang w:val="tr-TR"/>
        </w:rPr>
        <w:instrText>ADDIN CSL_CITATION {"citationItems":[{"id":"ITEM-1","itemData":{"DOI":"10.1016/J.COPBIO.2020.11.014","ISSN":"0958-1669","PMID":"33445136","abstract":"Aquaculture is increasing the global supply of foods, and holds tremendous potential to address malnutrition and diet-related diseases. The species selected and feeds used affects the nutrients available from aquaculture. Progress in the development of novel and sustainable aquaculture feeds to reduce reliance on wild fisheries, feed fortification to increase nutrient content, and expansion of the diversity of aquatic species produced are key areas for continued research and development. Ultimately, the degree to which aquaculture will contribute to nutrition depends largely on who can access the fish produced, which will be shaped by production technology as well as trade and price dynamics. Finally, the contribution of aquaculture expansion to improving nutrition will be bounded by aquaculture's environmental sustainability.","author":[{"dropping-particle":"","family":"Fiorella","given":"Kathryn J.","non-dropping-particle":"","parse-names":false,"suffix":""},{"dropping-particle":"","family":"Okronipa","given":"Harriet","non-dropping-particle":"","parse-names":false,"suffix":""},{"dropping-particle":"","family":"Baker","given":"Katherine","non-dropping-particle":"","parse-names":false,"suffix":""},{"dropping-particle":"","family":"Heilpern","given":"Sebastian","non-dropping-particle":"","parse-names":false,"suffix":""}],"container-title":"Current Opinion in Biotechnology","id":"ITEM-1","issued":{"date-parts":[["2021","8","1"]]},"page":"83-90","publisher":"Elsevier Current Trends","title":"Contemporary aquaculture: implications for human nutrition","type":"article-journal","volume":"70"},"uris":["http://www.mendeley.com/documents/?uuid=f1120717-36e7-3a40-86b2-1c2661c3daee"]}],"mendeley":{"formattedCitation":"(Fiorella et al., 2021)","plainTextFormattedCitation":"(Fiorella et al., 2021)","previouslyFormattedCitation":"(Fiorella et al., 2021)"},"properties":{"noteIndex":0},"schema":"https://github.com/citation-style-language/schema/raw/master/csl-citation.json"}</w:instrText>
      </w:r>
      <w:r w:rsidRPr="00C1398E">
        <w:rPr>
          <w:rFonts w:ascii="Times New Roman" w:hAnsi="Times New Roman" w:cs="Times New Roman"/>
          <w:color w:val="000000"/>
          <w:sz w:val="24"/>
          <w:szCs w:val="24"/>
          <w:shd w:val="clear" w:color="auto" w:fill="FFFFFF"/>
          <w:lang w:val="tr-TR"/>
        </w:rPr>
        <w:fldChar w:fldCharType="separate"/>
      </w:r>
      <w:r w:rsidRPr="00C1398E">
        <w:rPr>
          <w:rFonts w:ascii="Times New Roman" w:hAnsi="Times New Roman" w:cs="Times New Roman"/>
          <w:color w:val="000000"/>
          <w:sz w:val="24"/>
          <w:szCs w:val="24"/>
          <w:shd w:val="clear" w:color="auto" w:fill="FFFFFF"/>
          <w:lang w:val="tr-TR"/>
        </w:rPr>
        <w:t>(Fiorella vd., 2021)</w:t>
      </w:r>
      <w:r w:rsidRPr="00C1398E">
        <w:rPr>
          <w:rFonts w:ascii="Times New Roman" w:hAnsi="Times New Roman" w:cs="Times New Roman"/>
          <w:color w:val="000000"/>
          <w:sz w:val="24"/>
          <w:szCs w:val="24"/>
          <w:shd w:val="clear" w:color="auto" w:fill="FFFFFF"/>
        </w:rPr>
        <w:fldChar w:fldCharType="end"/>
      </w:r>
      <w:r w:rsidRPr="00C1398E">
        <w:rPr>
          <w:rFonts w:ascii="Times New Roman" w:hAnsi="Times New Roman" w:cs="Times New Roman"/>
          <w:color w:val="000000"/>
          <w:sz w:val="24"/>
          <w:szCs w:val="24"/>
          <w:shd w:val="clear" w:color="auto" w:fill="FFFFFF"/>
          <w:lang w:val="tr-TR"/>
        </w:rPr>
        <w:t>.</w:t>
      </w:r>
    </w:p>
    <w:p w14:paraId="26D7BDE1" w14:textId="4A7420EF" w:rsidR="00C1398E" w:rsidRPr="00C1398E" w:rsidRDefault="00C1398E" w:rsidP="00C1398E">
      <w:pPr>
        <w:spacing w:line="360" w:lineRule="auto"/>
        <w:jc w:val="both"/>
        <w:rPr>
          <w:rFonts w:ascii="Times New Roman" w:hAnsi="Times New Roman" w:cs="Times New Roman"/>
          <w:bCs/>
          <w:i/>
          <w:color w:val="000000"/>
          <w:sz w:val="24"/>
          <w:szCs w:val="24"/>
          <w:shd w:val="clear" w:color="auto" w:fill="FFFFFF"/>
          <w:lang w:val="tr-TR"/>
        </w:rPr>
      </w:pPr>
      <w:r w:rsidRPr="00C1398E">
        <w:rPr>
          <w:rFonts w:ascii="Times New Roman" w:hAnsi="Times New Roman" w:cs="Times New Roman"/>
          <w:b/>
          <w:color w:val="000000"/>
          <w:sz w:val="24"/>
          <w:szCs w:val="24"/>
          <w:shd w:val="clear" w:color="auto" w:fill="FFFFFF"/>
          <w:lang w:val="tr-TR"/>
        </w:rPr>
        <w:t>Anahtar Kelimeler:</w:t>
      </w:r>
      <w:r w:rsidRPr="00C1398E">
        <w:rPr>
          <w:rFonts w:ascii="Times New Roman" w:hAnsi="Times New Roman" w:cs="Times New Roman"/>
          <w:color w:val="000000"/>
          <w:sz w:val="24"/>
          <w:szCs w:val="24"/>
          <w:shd w:val="clear" w:color="auto" w:fill="FFFFFF"/>
          <w:lang w:val="tr-TR"/>
        </w:rPr>
        <w:t xml:space="preserve"> </w:t>
      </w:r>
      <w:r w:rsidRPr="00C1398E">
        <w:rPr>
          <w:rFonts w:ascii="Times New Roman" w:hAnsi="Times New Roman" w:cs="Times New Roman"/>
          <w:bCs/>
          <w:i/>
          <w:color w:val="000000"/>
          <w:sz w:val="24"/>
          <w:szCs w:val="24"/>
          <w:shd w:val="clear" w:color="auto" w:fill="FFFFFF"/>
          <w:lang w:val="tr-TR"/>
        </w:rPr>
        <w:t>Su Ürünleri Yetiştiriciliği, Aeratör, Öğretim Sistemi Tasarımı, Instructional System Design, ADDIE Model, AR (Augmented Reality) Teknolojisi, Modelleme.</w:t>
      </w:r>
    </w:p>
    <w:p w14:paraId="3D9C2AD8" w14:textId="77777777" w:rsidR="00C1398E" w:rsidRPr="00C1398E" w:rsidRDefault="00C1398E" w:rsidP="00C1398E">
      <w:pPr>
        <w:spacing w:line="360" w:lineRule="auto"/>
        <w:jc w:val="both"/>
        <w:rPr>
          <w:rFonts w:ascii="Times New Roman" w:hAnsi="Times New Roman" w:cs="Times New Roman"/>
          <w:i/>
          <w:iCs/>
          <w:color w:val="000000"/>
          <w:sz w:val="24"/>
          <w:szCs w:val="24"/>
          <w:shd w:val="clear" w:color="auto" w:fill="FFFFFF"/>
        </w:rPr>
      </w:pPr>
      <w:r w:rsidRPr="00C1398E">
        <w:rPr>
          <w:rFonts w:ascii="Times New Roman" w:hAnsi="Times New Roman" w:cs="Times New Roman"/>
          <w:i/>
          <w:iCs/>
          <w:color w:val="000000"/>
          <w:sz w:val="24"/>
          <w:szCs w:val="24"/>
          <w:shd w:val="clear" w:color="auto" w:fill="FFFFFF"/>
          <w:lang w:val="tr-TR"/>
        </w:rPr>
        <w:t xml:space="preserve">            </w:t>
      </w:r>
      <w:r w:rsidRPr="00C1398E">
        <w:rPr>
          <w:rFonts w:ascii="Times New Roman" w:hAnsi="Times New Roman" w:cs="Times New Roman"/>
          <w:i/>
          <w:iCs/>
          <w:color w:val="000000"/>
          <w:sz w:val="24"/>
          <w:szCs w:val="24"/>
          <w:shd w:val="clear" w:color="auto" w:fill="FFFFFF"/>
          <w:vertAlign w:val="superscript"/>
          <w:lang w:val="tr-TR"/>
        </w:rPr>
        <w:footnoteRef/>
      </w:r>
      <w:r w:rsidRPr="00C1398E">
        <w:rPr>
          <w:rFonts w:ascii="Times New Roman" w:hAnsi="Times New Roman" w:cs="Times New Roman"/>
          <w:i/>
          <w:iCs/>
          <w:color w:val="000000"/>
          <w:sz w:val="24"/>
          <w:szCs w:val="24"/>
          <w:shd w:val="clear" w:color="auto" w:fill="FFFFFF"/>
          <w:lang w:val="tr-TR"/>
        </w:rPr>
        <w:t xml:space="preserve"> Bu çalışma “Toprak Havuzlarda</w:t>
      </w:r>
      <w:r w:rsidRPr="00C1398E">
        <w:rPr>
          <w:rFonts w:ascii="Times New Roman" w:hAnsi="Times New Roman" w:cs="Times New Roman"/>
          <w:b/>
          <w:bCs/>
          <w:i/>
          <w:iCs/>
          <w:color w:val="000000"/>
          <w:sz w:val="24"/>
          <w:szCs w:val="24"/>
          <w:shd w:val="clear" w:color="auto" w:fill="FFFFFF"/>
          <w:lang w:val="tr-TR"/>
        </w:rPr>
        <w:t xml:space="preserve"> </w:t>
      </w:r>
      <w:r w:rsidRPr="00C1398E">
        <w:rPr>
          <w:rFonts w:ascii="Times New Roman" w:hAnsi="Times New Roman" w:cs="Times New Roman"/>
          <w:i/>
          <w:iCs/>
          <w:color w:val="000000"/>
          <w:sz w:val="24"/>
          <w:szCs w:val="24"/>
          <w:shd w:val="clear" w:color="auto" w:fill="FFFFFF"/>
          <w:lang w:val="tr-TR"/>
        </w:rPr>
        <w:t>Arttırılmış Gerçeklik ile</w:t>
      </w:r>
      <w:r w:rsidRPr="00C1398E">
        <w:rPr>
          <w:rFonts w:ascii="Times New Roman" w:hAnsi="Times New Roman" w:cs="Times New Roman"/>
          <w:b/>
          <w:bCs/>
          <w:i/>
          <w:iCs/>
          <w:color w:val="000000"/>
          <w:sz w:val="24"/>
          <w:szCs w:val="24"/>
          <w:shd w:val="clear" w:color="auto" w:fill="FFFFFF"/>
          <w:lang w:val="tr-TR"/>
        </w:rPr>
        <w:t xml:space="preserve"> </w:t>
      </w:r>
      <w:r w:rsidRPr="00C1398E">
        <w:rPr>
          <w:rFonts w:ascii="Times New Roman" w:hAnsi="Times New Roman" w:cs="Times New Roman"/>
          <w:i/>
          <w:iCs/>
          <w:color w:val="000000"/>
          <w:sz w:val="24"/>
          <w:szCs w:val="24"/>
          <w:shd w:val="clear" w:color="auto" w:fill="FFFFFF"/>
          <w:lang w:val="tr-TR"/>
        </w:rPr>
        <w:t xml:space="preserve">Aeratör Kullanımı Eğitimi” isimli 1139B412102881 nolu TUBITAK projesinden üretilmiştir. </w:t>
      </w:r>
    </w:p>
    <w:p w14:paraId="02D0F44F" w14:textId="77777777" w:rsidR="00C1398E" w:rsidRPr="00C1398E" w:rsidRDefault="00C1398E" w:rsidP="00C1398E">
      <w:pPr>
        <w:spacing w:line="360" w:lineRule="auto"/>
        <w:jc w:val="both"/>
        <w:rPr>
          <w:rFonts w:ascii="Times New Roman" w:hAnsi="Times New Roman" w:cs="Times New Roman"/>
          <w:color w:val="000000"/>
          <w:sz w:val="24"/>
          <w:szCs w:val="24"/>
          <w:shd w:val="clear" w:color="auto" w:fill="FFFFFF"/>
        </w:rPr>
      </w:pPr>
    </w:p>
    <w:p w14:paraId="2031290E" w14:textId="77777777" w:rsidR="00C1398E" w:rsidRPr="00C1398E" w:rsidRDefault="00C1398E" w:rsidP="00C1398E">
      <w:pPr>
        <w:spacing w:line="360" w:lineRule="auto"/>
        <w:jc w:val="both"/>
        <w:rPr>
          <w:rFonts w:ascii="Times New Roman" w:hAnsi="Times New Roman" w:cs="Times New Roman"/>
          <w:b/>
          <w:bCs/>
          <w:color w:val="000000"/>
          <w:sz w:val="24"/>
          <w:szCs w:val="24"/>
          <w:shd w:val="clear" w:color="auto" w:fill="FFFFFF"/>
        </w:rPr>
      </w:pPr>
    </w:p>
    <w:p w14:paraId="4ECF586D" w14:textId="4F4ECFC3" w:rsidR="00C1398E" w:rsidRPr="00C1398E" w:rsidRDefault="00C1398E" w:rsidP="00C1398E">
      <w:pPr>
        <w:spacing w:line="360" w:lineRule="auto"/>
        <w:jc w:val="both"/>
        <w:rPr>
          <w:rFonts w:ascii="Times New Roman" w:hAnsi="Times New Roman" w:cs="Times New Roman"/>
          <w:b/>
          <w:bCs/>
          <w:color w:val="000000"/>
          <w:sz w:val="24"/>
          <w:szCs w:val="24"/>
          <w:shd w:val="clear" w:color="auto" w:fill="FFFFFF"/>
        </w:rPr>
      </w:pPr>
    </w:p>
    <w:p w14:paraId="6132FA1D" w14:textId="53B8D69D" w:rsidR="00DA16D3" w:rsidRDefault="00DA16D3" w:rsidP="00DA16D3">
      <w:pPr>
        <w:spacing w:line="360" w:lineRule="auto"/>
        <w:rPr>
          <w:rFonts w:ascii="Times New Roman" w:hAnsi="Times New Roman" w:cs="Times New Roman"/>
          <w:b/>
          <w:bCs/>
          <w:color w:val="000000"/>
          <w:sz w:val="24"/>
          <w:szCs w:val="24"/>
          <w:shd w:val="clear" w:color="auto" w:fill="FFFFFF"/>
        </w:rPr>
      </w:pPr>
    </w:p>
    <w:p w14:paraId="750E33B4" w14:textId="77777777" w:rsidR="00DA16D3" w:rsidRDefault="00DA16D3" w:rsidP="00DA16D3">
      <w:pPr>
        <w:spacing w:line="360" w:lineRule="auto"/>
        <w:rPr>
          <w:rFonts w:ascii="Times New Roman" w:hAnsi="Times New Roman" w:cs="Times New Roman"/>
          <w:b/>
          <w:bCs/>
          <w:color w:val="000000"/>
          <w:sz w:val="24"/>
          <w:szCs w:val="24"/>
          <w:shd w:val="clear" w:color="auto" w:fill="FFFFFF"/>
        </w:rPr>
      </w:pPr>
    </w:p>
    <w:p w14:paraId="78D7379A" w14:textId="77777777" w:rsidR="00DA16D3" w:rsidRDefault="00DA16D3" w:rsidP="00C1398E">
      <w:pPr>
        <w:spacing w:line="360" w:lineRule="auto"/>
        <w:jc w:val="center"/>
        <w:rPr>
          <w:rFonts w:ascii="Times New Roman" w:hAnsi="Times New Roman" w:cs="Times New Roman"/>
          <w:b/>
          <w:bCs/>
          <w:color w:val="000000"/>
          <w:sz w:val="24"/>
          <w:szCs w:val="24"/>
          <w:shd w:val="clear" w:color="auto" w:fill="FFFFFF"/>
        </w:rPr>
      </w:pPr>
    </w:p>
    <w:p w14:paraId="05AFBEBF" w14:textId="1331310A" w:rsidR="00776887" w:rsidRPr="00DA16D3" w:rsidRDefault="00B162CF" w:rsidP="00C1398E">
      <w:pPr>
        <w:spacing w:line="360" w:lineRule="auto"/>
        <w:jc w:val="center"/>
        <w:rPr>
          <w:rFonts w:ascii="Times New Roman" w:hAnsi="Times New Roman" w:cs="Times New Roman"/>
          <w:b/>
          <w:bCs/>
          <w:sz w:val="28"/>
          <w:szCs w:val="28"/>
          <w:vertAlign w:val="superscript"/>
        </w:rPr>
      </w:pPr>
      <w:r w:rsidRPr="00DA16D3">
        <w:rPr>
          <w:rFonts w:ascii="Times New Roman" w:hAnsi="Times New Roman" w:cs="Times New Roman"/>
          <w:b/>
          <w:bCs/>
          <w:color w:val="000000"/>
          <w:sz w:val="28"/>
          <w:szCs w:val="28"/>
          <w:shd w:val="clear" w:color="auto" w:fill="FFFFFF"/>
        </w:rPr>
        <w:lastRenderedPageBreak/>
        <w:t xml:space="preserve">Enhancing Aquaculture Workforce Development Through </w:t>
      </w:r>
      <w:r w:rsidR="00B243A9" w:rsidRPr="00DA16D3">
        <w:rPr>
          <w:rFonts w:ascii="Times New Roman" w:hAnsi="Times New Roman" w:cs="Times New Roman"/>
          <w:b/>
          <w:bCs/>
          <w:color w:val="000000"/>
          <w:sz w:val="28"/>
          <w:szCs w:val="28"/>
          <w:shd w:val="clear" w:color="auto" w:fill="FFFFFF"/>
        </w:rPr>
        <w:t xml:space="preserve">an </w:t>
      </w:r>
      <w:r w:rsidRPr="00DA16D3">
        <w:rPr>
          <w:rFonts w:ascii="Times New Roman" w:hAnsi="Times New Roman" w:cs="Times New Roman"/>
          <w:b/>
          <w:bCs/>
          <w:color w:val="000000"/>
          <w:sz w:val="28"/>
          <w:szCs w:val="28"/>
          <w:shd w:val="clear" w:color="auto" w:fill="FFFFFF"/>
        </w:rPr>
        <w:t>Active Learning Curriculum Supported by Augmented Reality Applications</w:t>
      </w:r>
      <w:r w:rsidRPr="00DA16D3">
        <w:rPr>
          <w:rFonts w:ascii="Times New Roman" w:hAnsi="Times New Roman" w:cs="Times New Roman"/>
          <w:b/>
          <w:bCs/>
          <w:sz w:val="28"/>
          <w:szCs w:val="28"/>
          <w:vertAlign w:val="superscript"/>
        </w:rPr>
        <w:t>1</w:t>
      </w:r>
    </w:p>
    <w:p w14:paraId="0EF684C5" w14:textId="4F7825CC" w:rsidR="00B162CF" w:rsidRPr="00C1398E" w:rsidRDefault="00B162CF" w:rsidP="00C1398E">
      <w:pPr>
        <w:pStyle w:val="Subtitle"/>
        <w:spacing w:after="0" w:line="360" w:lineRule="auto"/>
        <w:rPr>
          <w:rFonts w:ascii="Times New Roman" w:hAnsi="Times New Roman" w:cs="Times New Roman"/>
          <w:sz w:val="24"/>
          <w:szCs w:val="24"/>
          <w:lang w:val="en-US"/>
        </w:rPr>
      </w:pPr>
      <w:r w:rsidRPr="00C1398E">
        <w:rPr>
          <w:rFonts w:ascii="Times New Roman" w:hAnsi="Times New Roman" w:cs="Times New Roman"/>
          <w:sz w:val="24"/>
          <w:szCs w:val="24"/>
          <w:lang w:val="en-US"/>
        </w:rPr>
        <w:t>Engin K</w:t>
      </w:r>
      <w:r w:rsidR="00986496" w:rsidRPr="00C1398E">
        <w:rPr>
          <w:rFonts w:ascii="Times New Roman" w:hAnsi="Times New Roman" w:cs="Times New Roman"/>
          <w:sz w:val="24"/>
          <w:szCs w:val="24"/>
          <w:lang w:val="en-US"/>
        </w:rPr>
        <w:t>araduman</w:t>
      </w:r>
      <w:r w:rsidRPr="00C1398E">
        <w:rPr>
          <w:rFonts w:ascii="Times New Roman" w:hAnsi="Times New Roman" w:cs="Times New Roman"/>
          <w:sz w:val="24"/>
          <w:szCs w:val="24"/>
          <w:vertAlign w:val="superscript"/>
          <w:lang w:val="en-US"/>
        </w:rPr>
        <w:t>2</w:t>
      </w:r>
      <w:r w:rsidRPr="00C1398E">
        <w:rPr>
          <w:rFonts w:ascii="Times New Roman" w:hAnsi="Times New Roman" w:cs="Times New Roman"/>
          <w:sz w:val="24"/>
          <w:szCs w:val="24"/>
          <w:lang w:val="en-US"/>
        </w:rPr>
        <w:t xml:space="preserve">, 0000-0001-7672-5823, </w:t>
      </w:r>
      <w:r w:rsidRPr="00C1398E">
        <w:rPr>
          <w:rFonts w:ascii="Times New Roman" w:hAnsi="Times New Roman" w:cs="Times New Roman"/>
          <w:i/>
          <w:iCs/>
          <w:sz w:val="24"/>
          <w:szCs w:val="24"/>
          <w:lang w:val="en-US"/>
        </w:rPr>
        <w:t>engin.karaduman@beun.edu.tr</w:t>
      </w:r>
    </w:p>
    <w:p w14:paraId="22504013" w14:textId="31F6EBC2" w:rsidR="00B162CF" w:rsidRPr="00C1398E" w:rsidRDefault="00B162CF" w:rsidP="00C1398E">
      <w:pPr>
        <w:pStyle w:val="Subtitle"/>
        <w:spacing w:after="0" w:line="360" w:lineRule="auto"/>
        <w:rPr>
          <w:rFonts w:ascii="Times New Roman" w:hAnsi="Times New Roman" w:cs="Times New Roman"/>
          <w:bCs/>
          <w:sz w:val="24"/>
          <w:szCs w:val="24"/>
        </w:rPr>
      </w:pPr>
      <w:r w:rsidRPr="00C1398E">
        <w:rPr>
          <w:rFonts w:ascii="Times New Roman" w:hAnsi="Times New Roman" w:cs="Times New Roman"/>
          <w:sz w:val="24"/>
          <w:szCs w:val="24"/>
          <w:lang w:val="en-US"/>
        </w:rPr>
        <w:t>Aylin Galib F</w:t>
      </w:r>
      <w:r w:rsidR="00986496" w:rsidRPr="00C1398E">
        <w:rPr>
          <w:rFonts w:ascii="Times New Roman" w:hAnsi="Times New Roman" w:cs="Times New Roman"/>
          <w:sz w:val="24"/>
          <w:szCs w:val="24"/>
          <w:lang w:val="en-US"/>
        </w:rPr>
        <w:t>aridin</w:t>
      </w:r>
      <w:r w:rsidRPr="00C1398E">
        <w:rPr>
          <w:rFonts w:ascii="Times New Roman" w:hAnsi="Times New Roman" w:cs="Times New Roman"/>
          <w:sz w:val="24"/>
          <w:szCs w:val="24"/>
          <w:vertAlign w:val="superscript"/>
          <w:lang w:val="en-US"/>
        </w:rPr>
        <w:t>2</w:t>
      </w:r>
      <w:r w:rsidRPr="00C1398E">
        <w:rPr>
          <w:rFonts w:ascii="Times New Roman" w:hAnsi="Times New Roman" w:cs="Times New Roman"/>
          <w:sz w:val="24"/>
          <w:szCs w:val="24"/>
          <w:lang w:val="en-US"/>
        </w:rPr>
        <w:t xml:space="preserve">, </w:t>
      </w:r>
      <w:r w:rsidRPr="00C1398E">
        <w:rPr>
          <w:rFonts w:ascii="Times New Roman" w:hAnsi="Times New Roman" w:cs="Times New Roman"/>
          <w:bCs/>
          <w:i/>
          <w:iCs/>
          <w:sz w:val="24"/>
          <w:szCs w:val="24"/>
          <w:lang w:val="en-US"/>
        </w:rPr>
        <w:t>aylinfaridin@gmail.com</w:t>
      </w:r>
      <w:r w:rsidRPr="00C1398E">
        <w:rPr>
          <w:rFonts w:ascii="Times New Roman" w:hAnsi="Times New Roman" w:cs="Times New Roman"/>
          <w:bCs/>
          <w:sz w:val="24"/>
          <w:szCs w:val="24"/>
          <w:lang w:val="en-US"/>
        </w:rPr>
        <w:t xml:space="preserve"> Turan Sina Ş</w:t>
      </w:r>
      <w:r w:rsidR="00986496" w:rsidRPr="00C1398E">
        <w:rPr>
          <w:rFonts w:ascii="Times New Roman" w:hAnsi="Times New Roman" w:cs="Times New Roman"/>
          <w:bCs/>
          <w:sz w:val="24"/>
          <w:szCs w:val="24"/>
          <w:lang w:val="en-US"/>
        </w:rPr>
        <w:t>epitci</w:t>
      </w:r>
      <w:r w:rsidRPr="00C1398E">
        <w:rPr>
          <w:rFonts w:ascii="Times New Roman" w:hAnsi="Times New Roman" w:cs="Times New Roman"/>
          <w:bCs/>
          <w:sz w:val="24"/>
          <w:szCs w:val="24"/>
          <w:lang w:val="en-US"/>
        </w:rPr>
        <w:t xml:space="preserve">², </w:t>
      </w:r>
      <w:r w:rsidRPr="00C1398E">
        <w:rPr>
          <w:rFonts w:ascii="Times New Roman" w:hAnsi="Times New Roman" w:cs="Times New Roman"/>
          <w:bCs/>
          <w:i/>
          <w:iCs/>
          <w:sz w:val="24"/>
          <w:szCs w:val="24"/>
        </w:rPr>
        <w:t>tssepitci@hotmail.com</w:t>
      </w:r>
      <w:r w:rsidRPr="00C1398E">
        <w:rPr>
          <w:rFonts w:ascii="Times New Roman" w:hAnsi="Times New Roman" w:cs="Times New Roman"/>
          <w:bCs/>
          <w:sz w:val="24"/>
          <w:szCs w:val="24"/>
        </w:rPr>
        <w:t xml:space="preserve"> </w:t>
      </w:r>
      <w:r w:rsidRPr="00C1398E">
        <w:rPr>
          <w:rFonts w:ascii="Times New Roman" w:hAnsi="Times New Roman" w:cs="Times New Roman"/>
          <w:sz w:val="24"/>
          <w:szCs w:val="24"/>
          <w:lang w:val="en-US"/>
        </w:rPr>
        <w:t xml:space="preserve">Sema </w:t>
      </w:r>
      <w:r w:rsidR="00986496" w:rsidRPr="00C1398E">
        <w:rPr>
          <w:rFonts w:ascii="Times New Roman" w:hAnsi="Times New Roman" w:cs="Times New Roman"/>
          <w:sz w:val="24"/>
          <w:szCs w:val="24"/>
          <w:lang w:val="en-US"/>
        </w:rPr>
        <w:t>Köse Şepitci</w:t>
      </w:r>
      <w:r w:rsidRPr="00C1398E">
        <w:rPr>
          <w:rFonts w:ascii="Times New Roman" w:hAnsi="Times New Roman" w:cs="Times New Roman"/>
          <w:sz w:val="24"/>
          <w:szCs w:val="24"/>
          <w:lang w:val="en-US"/>
        </w:rPr>
        <w:t xml:space="preserve">², </w:t>
      </w:r>
      <w:r w:rsidRPr="00C1398E">
        <w:rPr>
          <w:rFonts w:ascii="Times New Roman" w:hAnsi="Times New Roman" w:cs="Times New Roman"/>
          <w:i/>
          <w:iCs/>
          <w:sz w:val="24"/>
          <w:szCs w:val="24"/>
        </w:rPr>
        <w:t>asemakose@gmail.com</w:t>
      </w:r>
    </w:p>
    <w:p w14:paraId="7BB6EFD1" w14:textId="77777777" w:rsidR="00B162CF" w:rsidRPr="00C1398E" w:rsidRDefault="00B162CF" w:rsidP="00C1398E">
      <w:pPr>
        <w:pStyle w:val="Subtitle"/>
        <w:spacing w:after="0" w:line="360" w:lineRule="auto"/>
        <w:rPr>
          <w:rFonts w:ascii="Times New Roman" w:hAnsi="Times New Roman" w:cs="Times New Roman"/>
          <w:sz w:val="24"/>
          <w:szCs w:val="24"/>
          <w:lang w:val="en-US"/>
        </w:rPr>
      </w:pPr>
    </w:p>
    <w:p w14:paraId="78C32639" w14:textId="2B5B3E8E" w:rsidR="00181ADD" w:rsidRPr="00C1398E" w:rsidRDefault="00B162CF" w:rsidP="00C1398E">
      <w:pPr>
        <w:pStyle w:val="Subtitle"/>
        <w:spacing w:after="0" w:line="360" w:lineRule="auto"/>
        <w:rPr>
          <w:rFonts w:ascii="Times New Roman" w:hAnsi="Times New Roman" w:cs="Times New Roman"/>
          <w:i/>
          <w:iCs/>
          <w:sz w:val="24"/>
          <w:szCs w:val="24"/>
          <w:lang w:val="en-US"/>
        </w:rPr>
      </w:pPr>
      <w:r w:rsidRPr="00C1398E">
        <w:rPr>
          <w:rFonts w:ascii="Times New Roman" w:hAnsi="Times New Roman" w:cs="Times New Roman"/>
          <w:i/>
          <w:iCs/>
          <w:sz w:val="24"/>
          <w:szCs w:val="24"/>
          <w:vertAlign w:val="superscript"/>
          <w:lang w:val="en-US"/>
        </w:rPr>
        <w:t>2</w:t>
      </w:r>
      <w:r w:rsidRPr="00C1398E">
        <w:rPr>
          <w:rFonts w:ascii="Times New Roman" w:hAnsi="Times New Roman" w:cs="Times New Roman"/>
          <w:i/>
          <w:iCs/>
          <w:sz w:val="24"/>
          <w:szCs w:val="24"/>
          <w:lang w:val="en-US"/>
        </w:rPr>
        <w:t xml:space="preserve">Zonguldak Bulent Ecevit </w:t>
      </w:r>
      <w:r w:rsidR="00181ADD" w:rsidRPr="00C1398E">
        <w:rPr>
          <w:rFonts w:ascii="Times New Roman" w:hAnsi="Times New Roman" w:cs="Times New Roman"/>
          <w:i/>
          <w:iCs/>
          <w:sz w:val="24"/>
          <w:szCs w:val="24"/>
          <w:lang w:val="en-US"/>
        </w:rPr>
        <w:t>University</w:t>
      </w:r>
    </w:p>
    <w:p w14:paraId="667B86C1" w14:textId="77777777" w:rsidR="00A54209" w:rsidRPr="00C1398E" w:rsidRDefault="00A54209" w:rsidP="00C1398E">
      <w:pPr>
        <w:spacing w:line="360" w:lineRule="auto"/>
        <w:jc w:val="both"/>
        <w:rPr>
          <w:rFonts w:ascii="Times New Roman" w:hAnsi="Times New Roman" w:cs="Times New Roman"/>
          <w:sz w:val="24"/>
          <w:szCs w:val="24"/>
        </w:rPr>
      </w:pPr>
    </w:p>
    <w:p w14:paraId="5F225E4B" w14:textId="16CA139E" w:rsidR="00181ADD" w:rsidRPr="00C1398E" w:rsidRDefault="00181ADD" w:rsidP="00C1398E">
      <w:pPr>
        <w:spacing w:line="360" w:lineRule="auto"/>
        <w:jc w:val="both"/>
        <w:rPr>
          <w:rFonts w:ascii="Times New Roman" w:hAnsi="Times New Roman" w:cs="Times New Roman"/>
          <w:sz w:val="24"/>
          <w:szCs w:val="24"/>
        </w:rPr>
      </w:pPr>
      <w:r w:rsidRPr="00C1398E">
        <w:rPr>
          <w:rFonts w:ascii="Times New Roman" w:hAnsi="Times New Roman" w:cs="Times New Roman"/>
          <w:sz w:val="24"/>
          <w:szCs w:val="24"/>
        </w:rPr>
        <w:t xml:space="preserve">The aquaculture sector is an essential source of food as well as a vital industry of production </w:t>
      </w:r>
      <w:r w:rsidR="00943ACE" w:rsidRPr="00C1398E">
        <w:rPr>
          <w:rFonts w:ascii="Times New Roman" w:hAnsi="Times New Roman" w:cs="Times New Roman"/>
          <w:sz w:val="24"/>
          <w:szCs w:val="24"/>
        </w:rPr>
        <w:fldChar w:fldCharType="begin" w:fldLock="1"/>
      </w:r>
      <w:r w:rsidR="004C6174" w:rsidRPr="00C1398E">
        <w:rPr>
          <w:rFonts w:ascii="Times New Roman" w:hAnsi="Times New Roman" w:cs="Times New Roman"/>
          <w:sz w:val="24"/>
          <w:szCs w:val="24"/>
        </w:rPr>
        <w:instrText>ADDIN CSL_CITATION {"citationItems":[{"id":"ITEM-1","itemData":{"DOI":"10.1016/J.COPBIO.2020.11.014","ISSN":"0958-1669","PMID":"33445136","abstract":"Aquaculture is increasing the global supply of foods, and holds tremendous potential to address malnutrition and diet-related diseases. The species selected and feeds used affects the nutrients available from aquaculture. Progress in the development of novel and sustainable aquaculture feeds to reduce reliance on wild fisheries, feed fortification to increase nutrient content, and expansion of the diversity of aquatic species produced are key areas for continued research and development. Ultimately, the degree to which aquaculture will contribute to nutrition depends largely on who can access the fish produced, which will be shaped by production technology as well as trade and price dynamics. Finally, the contribution of aquaculture expansion to improving nutrition will be bounded by aquaculture's environmental sustainability.","author":[{"dropping-particle":"","family":"Fiorella","given":"Kathryn J.","non-dropping-particle":"","parse-names":false,"suffix":""},{"dropping-particle":"","family":"Okronipa","given":"Harriet","non-dropping-particle":"","parse-names":false,"suffix":""},{"dropping-particle":"","family":"Baker","given":"Katherine","non-dropping-particle":"","parse-names":false,"suffix":""},{"dropping-particle":"","family":"Heilpern","given":"Sebastian","non-dropping-particle":"","parse-names":false,"suffix":""}],"container-title":"Current Opinion in Biotechnology","id":"ITEM-1","issued":{"date-parts":[["2021","8","1"]]},"page":"83-90","publisher":"Elsevier Current Trends","title":"Contemporary aquaculture: implications for human nutrition","type":"article-journal","volume":"70"},"uris":["http://www.mendeley.com/documents/?uuid=f1120717-36e7-3a40-86b2-1c2661c3daee"]}],"mendeley":{"formattedCitation":"(Fiorella et al., 2021)","plainTextFormattedCitation":"(Fiorella et al., 2021)","previouslyFormattedCitation":"(Fiorella et al., 2021)"},"properties":{"noteIndex":0},"schema":"https://github.com/citation-style-language/schema/raw/master/csl-citation.json"}</w:instrText>
      </w:r>
      <w:r w:rsidR="00943ACE" w:rsidRPr="00C1398E">
        <w:rPr>
          <w:rFonts w:ascii="Times New Roman" w:hAnsi="Times New Roman" w:cs="Times New Roman"/>
          <w:sz w:val="24"/>
          <w:szCs w:val="24"/>
        </w:rPr>
        <w:fldChar w:fldCharType="separate"/>
      </w:r>
      <w:r w:rsidR="00943ACE" w:rsidRPr="00C1398E">
        <w:rPr>
          <w:rFonts w:ascii="Times New Roman" w:hAnsi="Times New Roman" w:cs="Times New Roman"/>
          <w:noProof/>
          <w:sz w:val="24"/>
          <w:szCs w:val="24"/>
        </w:rPr>
        <w:t>(Fiorella et al., 2021)</w:t>
      </w:r>
      <w:r w:rsidR="00943ACE" w:rsidRPr="00C1398E">
        <w:rPr>
          <w:rFonts w:ascii="Times New Roman" w:hAnsi="Times New Roman" w:cs="Times New Roman"/>
          <w:sz w:val="24"/>
          <w:szCs w:val="24"/>
        </w:rPr>
        <w:fldChar w:fldCharType="end"/>
      </w:r>
      <w:r w:rsidR="00943ACE" w:rsidRPr="00C1398E">
        <w:rPr>
          <w:rFonts w:ascii="Times New Roman" w:hAnsi="Times New Roman" w:cs="Times New Roman"/>
          <w:sz w:val="24"/>
          <w:szCs w:val="24"/>
        </w:rPr>
        <w:t xml:space="preserve">. Turkiye, given its geographical characteristics, has the potential to become a major player in the aquaculture industry. </w:t>
      </w:r>
      <w:r w:rsidR="00BB2FB1" w:rsidRPr="00C1398E">
        <w:rPr>
          <w:rFonts w:ascii="Times New Roman" w:hAnsi="Times New Roman" w:cs="Times New Roman"/>
          <w:sz w:val="24"/>
          <w:szCs w:val="24"/>
        </w:rPr>
        <w:t xml:space="preserve">The purpose of our project is to realize this potential and to ensure the sustainability of enterprises producing fish in earthen ponds. Based on preliminary interviews conducted with the industrial partner of the current project, it has been determined that many variables affect the difficulties these companies experience. In addition, one of these variables is the problems encountered during the use of aerators. Aerators must be used appropriately in order to prevent accumulation of wastes on the bottom of the pools. </w:t>
      </w:r>
      <w:r w:rsidR="00BF63B3" w:rsidRPr="00C1398E">
        <w:rPr>
          <w:rFonts w:ascii="Times New Roman" w:hAnsi="Times New Roman" w:cs="Times New Roman"/>
          <w:sz w:val="24"/>
          <w:szCs w:val="24"/>
        </w:rPr>
        <w:t xml:space="preserve">In order to determine how these wastes negatively impact fish production, it was determined that the workers are not sufficiently aware of this problem (Tezel, 2017). Traditional education, which entails a master-apprentice relationship, takes time to train qualified personnel. Due to this delay, the personnel do not become acquainted with the fundamentals of the production process. Furthermore, two-dimensional teaching of the aerator device does not provide effective and permanent learning. Growth of the business is directly related to the level of personnel that can be brought to the desired level as soon as possible. </w:t>
      </w:r>
      <w:r w:rsidR="00A72C4B" w:rsidRPr="00C1398E">
        <w:rPr>
          <w:rFonts w:ascii="Times New Roman" w:hAnsi="Times New Roman" w:cs="Times New Roman"/>
          <w:sz w:val="24"/>
          <w:szCs w:val="24"/>
        </w:rPr>
        <w:t>The right training of the personnel will enable this to be accomplished. Through the application of Augmented Reality</w:t>
      </w:r>
      <w:r w:rsidR="004C6174" w:rsidRPr="00C1398E">
        <w:rPr>
          <w:rFonts w:ascii="Times New Roman" w:hAnsi="Times New Roman" w:cs="Times New Roman"/>
          <w:sz w:val="24"/>
          <w:szCs w:val="24"/>
        </w:rPr>
        <w:t xml:space="preserve"> (AR)</w:t>
      </w:r>
      <w:r w:rsidR="00A72C4B" w:rsidRPr="00C1398E">
        <w:rPr>
          <w:rFonts w:ascii="Times New Roman" w:hAnsi="Times New Roman" w:cs="Times New Roman"/>
          <w:sz w:val="24"/>
          <w:szCs w:val="24"/>
        </w:rPr>
        <w:t xml:space="preserve">, inversive education can be provided to the student. During the production process of aquaculture, some devices </w:t>
      </w:r>
      <w:r w:rsidR="00A54209" w:rsidRPr="00C1398E">
        <w:rPr>
          <w:rFonts w:ascii="Times New Roman" w:hAnsi="Times New Roman" w:cs="Times New Roman"/>
          <w:sz w:val="24"/>
          <w:szCs w:val="24"/>
        </w:rPr>
        <w:t>must</w:t>
      </w:r>
      <w:r w:rsidR="00A72C4B" w:rsidRPr="00C1398E">
        <w:rPr>
          <w:rFonts w:ascii="Times New Roman" w:hAnsi="Times New Roman" w:cs="Times New Roman"/>
          <w:sz w:val="24"/>
          <w:szCs w:val="24"/>
        </w:rPr>
        <w:t xml:space="preserve"> be placed under the water in the pool. </w:t>
      </w:r>
      <w:r w:rsidR="004C6174" w:rsidRPr="00C1398E">
        <w:rPr>
          <w:rFonts w:ascii="Times New Roman" w:hAnsi="Times New Roman" w:cs="Times New Roman"/>
          <w:sz w:val="24"/>
          <w:szCs w:val="24"/>
        </w:rPr>
        <w:t xml:space="preserve">Consequently, the underwater component of the production process and the complex structure of the device cannot be envisioned in the mind of the worker. Having difficulties grasping the parts or stages of the machine used in the process or the stages of the process poses the risk of exposure to dangerous work accidents. Using AR technology, the employee will be able to receive training rapidly and safely in a virtual environment without any life-threatening dangers </w:t>
      </w:r>
      <w:r w:rsidR="004C6174" w:rsidRPr="00C1398E">
        <w:rPr>
          <w:rFonts w:ascii="Times New Roman" w:hAnsi="Times New Roman" w:cs="Times New Roman"/>
          <w:sz w:val="24"/>
          <w:szCs w:val="24"/>
        </w:rPr>
        <w:lastRenderedPageBreak/>
        <w:t xml:space="preserve">due to the three-dimensional modeling of the aerator device </w:t>
      </w:r>
      <w:r w:rsidR="004C6174" w:rsidRPr="00C1398E">
        <w:rPr>
          <w:rFonts w:ascii="Times New Roman" w:hAnsi="Times New Roman" w:cs="Times New Roman"/>
          <w:sz w:val="24"/>
          <w:szCs w:val="24"/>
        </w:rPr>
        <w:fldChar w:fldCharType="begin" w:fldLock="1"/>
      </w:r>
      <w:r w:rsidR="004C6174" w:rsidRPr="00C1398E">
        <w:rPr>
          <w:rFonts w:ascii="Times New Roman" w:hAnsi="Times New Roman" w:cs="Times New Roman"/>
          <w:sz w:val="24"/>
          <w:szCs w:val="24"/>
        </w:rPr>
        <w:instrText>ADDIN CSL_CITATION {"citationItems":[{"id":"ITEM-1","itemData":{"DOI":"10.2196/29080","ISSN":"22919279","abstract":"Background: Augmented reality (AR), mixed reality (MR), and virtual reality (VR), realized as head-mounted devices (HMDs), may open up new ways of teaching medical content for low-resource settings. The advantages are that HMDs enable repeated practice without adverse effects on the patient in various medical disciplines; may introduce new ways to learn complex medical content; and may alleviate financial, ethical, and supervisory constraints on the use of traditional medical learning materials, like cadavers and other skills lab equipment.\nObjective: We examine the effectiveness of AR, MR, and VR HMDs for medical education, whereby we aim to incorporate a global health perspective comprising low- and middle-income countries (LMICs).\nMethods: We conducted a systematic review according to PRISMA (Preferred Reporting Items for Systematic Reviews and Meta-Analysis) and Cochrane guidelines. Seven medical databases (PubMed, Cochrane Library, Web of Science, Science Direct, PsycINFO, Education Resources Information Centre, and Google Scholar) were searched for peer-reviewed publications from January 1, 2014, to May 31, 2019. An extensive search was carried out to examine relevant literature guided by three concepts of extended reality (XR), which comprises the concepts of AR, MR, and VR, and the concepts of medicine and education. It included health professionals who took part in an HMD intervention that was compared to another teaching or learning method and evaluated with regard to its effectiveness. Quality and risk of bias were assessed with the Medical Education Research Study Quality Instrument, the Newcastle-Ottawa Scale-Education, and A Cochrane Risk of Bias Assessment Tool for Non-Randomized Studies of Interventions. We extracted relevant data and aggregated the data according to the main outcomes of this review (knowledge, skills, and XR HMD).\nResults: A total of 27 studies comprising 956 study participants were included. The participants included all types of health care professionals, especially medical students (n=573, 59.9%) and residents (n=289, 30.2%). AR and VR implemented with HMDs were most often used for training in the fields of surgery (n=13, 48%) and anatomy (n=4, 15%). A range of study designs were used, and quantitative methods were clearly dominant (n=21, 78%). Training with AR- and VR-based HMDs was perceived as salient, motivating, and engaging. In the majority of studies (n=17, 63%), HMD-based interventions were found to be effect…","author":[{"dropping-particle":"","family":"Barteit","given":"Sandra","non-dropping-particle":"","parse-names":false,"suffix":""},{"dropping-particle":"","family":"Lanfermann","given":"Lucia","non-dropping-particle":"","parse-names":false,"suffix":""},{"dropping-particle":"","family":"Bärnighausen","given":"Till","non-dropping-particle":"","parse-names":false,"suffix":""},{"dropping-particle":"","family":"Neuhann","given":"Florian","non-dropping-particle":"","parse-names":false,"suffix":""},{"dropping-particle":"","family":"Beiersmann","given":"Claudia","non-dropping-particle":"","parse-names":false,"suffix":""}],"container-title":"JMIR Serious Games 2021;9(3):e29080 https://games.jmir.org/2021/3/e29080","id":"ITEM-1","issue":"3","issued":{"date-parts":[["2021","7","8"]]},"page":"e29080","publisher":"JMIR Serious Games","title":"Augmented, Mixed, and Virtual Reality-Based Head-Mounted Devices for Medical Education: Systematic Review","type":"article-journal","volume":"9"},"uris":["http://www.mendeley.com/documents/?uuid=57335017-1027-3657-a64d-94faba9a24a1"]}],"mendeley":{"formattedCitation":"(Barteit et al., 2021)","plainTextFormattedCitation":"(Barteit et al., 2021)","previouslyFormattedCitation":"(Barteit et al., 2021)"},"properties":{"noteIndex":0},"schema":"https://github.com/citation-style-language/schema/raw/master/csl-citation.json"}</w:instrText>
      </w:r>
      <w:r w:rsidR="004C6174" w:rsidRPr="00C1398E">
        <w:rPr>
          <w:rFonts w:ascii="Times New Roman" w:hAnsi="Times New Roman" w:cs="Times New Roman"/>
          <w:sz w:val="24"/>
          <w:szCs w:val="24"/>
        </w:rPr>
        <w:fldChar w:fldCharType="separate"/>
      </w:r>
      <w:r w:rsidR="004C6174" w:rsidRPr="00C1398E">
        <w:rPr>
          <w:rFonts w:ascii="Times New Roman" w:hAnsi="Times New Roman" w:cs="Times New Roman"/>
          <w:noProof/>
          <w:sz w:val="24"/>
          <w:szCs w:val="24"/>
        </w:rPr>
        <w:t>(Barteit et al., 2021)</w:t>
      </w:r>
      <w:r w:rsidR="004C6174" w:rsidRPr="00C1398E">
        <w:rPr>
          <w:rFonts w:ascii="Times New Roman" w:hAnsi="Times New Roman" w:cs="Times New Roman"/>
          <w:sz w:val="24"/>
          <w:szCs w:val="24"/>
        </w:rPr>
        <w:fldChar w:fldCharType="end"/>
      </w:r>
      <w:r w:rsidR="004C6174" w:rsidRPr="00C1398E">
        <w:rPr>
          <w:rFonts w:ascii="Times New Roman" w:hAnsi="Times New Roman" w:cs="Times New Roman"/>
          <w:sz w:val="24"/>
          <w:szCs w:val="24"/>
        </w:rPr>
        <w:t xml:space="preserve">. In a safe environment, AR technology offers effective and permanent learning. An AR system provides a live or indirect view of a real-world environment and its contents enhanced by computer-generated sound, images, graphics, and GPS data </w:t>
      </w:r>
      <w:r w:rsidR="004C6174" w:rsidRPr="00C1398E">
        <w:rPr>
          <w:rFonts w:ascii="Times New Roman" w:hAnsi="Times New Roman" w:cs="Times New Roman"/>
          <w:sz w:val="24"/>
          <w:szCs w:val="24"/>
        </w:rPr>
        <w:fldChar w:fldCharType="begin" w:fldLock="1"/>
      </w:r>
      <w:r w:rsidR="009F0C10" w:rsidRPr="00C1398E">
        <w:rPr>
          <w:rFonts w:ascii="Times New Roman" w:hAnsi="Times New Roman" w:cs="Times New Roman"/>
          <w:sz w:val="24"/>
          <w:szCs w:val="24"/>
        </w:rPr>
        <w:instrText>ADDIN CSL_CITATION {"citationItems":[{"id":"ITEM-1","itemData":{"DOI":"10.3389/FROBT.2016.00074/FULL","ISSN":"22969144","author":[{"dropping-particle":"","family":"Slater","given":"Mel","non-dropping-particle":"","parse-names":false,"suffix":""},{"dropping-particle":"V.","family":"Sanchez-Vives","given":"Maria","non-dropping-particle":"","parse-names":false,"suffix":""}],"container-title":"Frontiers Robotics AI","id":"ITEM-1","issue":"DEC","issued":{"date-parts":[["2016","12","1"]]},"publisher":"Frontiers Media S.A.","title":"Enhancing our lives with immersive virtual reality","type":"article-journal","volume":"3"},"uris":["http://www.mendeley.com/documents/?uuid=7e129dac-d1c0-39e8-8bea-9991ef0dfeab"]}],"mendeley":{"formattedCitation":"(Slater &amp; Sanchez-Vives, 2016)","plainTextFormattedCitation":"(Slater &amp; Sanchez-Vives, 2016)","previouslyFormattedCitation":"(Slater &amp; Sanchez-Vives, 2016)"},"properties":{"noteIndex":0},"schema":"https://github.com/citation-style-language/schema/raw/master/csl-citation.json"}</w:instrText>
      </w:r>
      <w:r w:rsidR="004C6174" w:rsidRPr="00C1398E">
        <w:rPr>
          <w:rFonts w:ascii="Times New Roman" w:hAnsi="Times New Roman" w:cs="Times New Roman"/>
          <w:sz w:val="24"/>
          <w:szCs w:val="24"/>
        </w:rPr>
        <w:fldChar w:fldCharType="separate"/>
      </w:r>
      <w:r w:rsidR="004C6174" w:rsidRPr="00C1398E">
        <w:rPr>
          <w:rFonts w:ascii="Times New Roman" w:hAnsi="Times New Roman" w:cs="Times New Roman"/>
          <w:noProof/>
          <w:sz w:val="24"/>
          <w:szCs w:val="24"/>
        </w:rPr>
        <w:t>(Slater &amp; Sanchez-Vives, 2016)</w:t>
      </w:r>
      <w:r w:rsidR="004C6174" w:rsidRPr="00C1398E">
        <w:rPr>
          <w:rFonts w:ascii="Times New Roman" w:hAnsi="Times New Roman" w:cs="Times New Roman"/>
          <w:sz w:val="24"/>
          <w:szCs w:val="24"/>
        </w:rPr>
        <w:fldChar w:fldCharType="end"/>
      </w:r>
      <w:r w:rsidR="004C6174" w:rsidRPr="00C1398E">
        <w:rPr>
          <w:rFonts w:ascii="Times New Roman" w:hAnsi="Times New Roman" w:cs="Times New Roman"/>
          <w:sz w:val="24"/>
          <w:szCs w:val="24"/>
        </w:rPr>
        <w:t>.</w:t>
      </w:r>
      <w:r w:rsidR="009F0C10" w:rsidRPr="00C1398E">
        <w:rPr>
          <w:rFonts w:ascii="Times New Roman" w:hAnsi="Times New Roman" w:cs="Times New Roman"/>
          <w:sz w:val="24"/>
          <w:szCs w:val="24"/>
        </w:rPr>
        <w:t xml:space="preserve"> The AR application will enable the aerator training program to protect the health and safety of individuals working in hazardous environments while enhancing the sustainable, flexible, and efficient operation of the facility </w:t>
      </w:r>
      <w:r w:rsidR="009F0C10" w:rsidRPr="00C1398E">
        <w:rPr>
          <w:rFonts w:ascii="Times New Roman" w:hAnsi="Times New Roman" w:cs="Times New Roman"/>
          <w:sz w:val="24"/>
          <w:szCs w:val="24"/>
        </w:rPr>
        <w:fldChar w:fldCharType="begin" w:fldLock="1"/>
      </w:r>
      <w:r w:rsidR="009F0C10" w:rsidRPr="00C1398E">
        <w:rPr>
          <w:rFonts w:ascii="Times New Roman" w:hAnsi="Times New Roman" w:cs="Times New Roman"/>
          <w:sz w:val="24"/>
          <w:szCs w:val="24"/>
        </w:rPr>
        <w:instrText>ADDIN CSL_CITATION {"citationItems":[{"id":"ITEM-1","itemData":{"DOI":"10.1007/S00464-012-2327-Z","ISSN":"14322218","PMID":"22648101","abstract":"Background: There is increasing interest in using simulators for laparoscopic surgery training, and simulators have rapidly become an integral part of surgical education. Methods: We searched MEDLINE, EMBASE, Cochrane Library, and Google Scholar for randomized controlled studies that compared the use of different types of simulators. The inclusion criteria were peer-reviewed published randomized clinical trials that compared simulators versus standard apprenticeship surgical training of surgical trainees with little or no prior laparoscopic experience. Of the 551 relevant studies found, 17 trials fulfilled all inclusion criteria. The effect sizes (ES) with 95 % confidence intervals [CI] were calculated for multiple psychometric skill outcome measures. Results: Data were combined by means of both fixed- and random-effects models. Meta-analytic combined effect size estimates showed that novice students who trained on simulators were superior in their performance and skill scores (d = 1.98, 95 % CI: 1.20-2.77; P &lt; 0.01), were more careful in handling various body tissue (d = 1.08, 95 % CI: 0.36-1.80; P &lt; 0.01), and had a higher accuracy score in conducting laparoscopic tasks (d = 1.38, 95 % CI: 0.30-2.47; P &lt; 0.05). Conclusion: Simulators have been shown to provide better laparoscopic surgery skills training for trainees than the traditional standard apprenticeship approach to skill development. Surgical residency programs are highly encouraged to adopt the use of simulators in teaching laparoscopic surgery skills to novice students. © Springer Science+Business Media, LLC 2012.","author":[{"dropping-particle":"","family":"Al-Kadi","given":"Azzam S.","non-dropping-particle":"","parse-names":false,"suffix":""},{"dropping-particle":"","family":"Donnon","given":"Tyrone","non-dropping-particle":"","parse-names":false,"suffix":""},{"dropping-particle":"","family":"Paolucci","given":"Elizabeth Oddone","non-dropping-particle":"","parse-names":false,"suffix":""},{"dropping-particle":"","family":"Mitchell","given":"Philip","non-dropping-particle":"","parse-names":false,"suffix":""},{"dropping-particle":"","family":"Debru","given":"Estifanos","non-dropping-particle":"","parse-names":false,"suffix":""},{"dropping-particle":"","family":"Church","given":"Neal","non-dropping-particle":"","parse-names":false,"suffix":""}],"container-title":"Surgical Endoscopy","id":"ITEM-1","issue":"11","issued":{"date-parts":[["2012"]]},"page":"3215-3224","publisher":"Springer New York LLC","title":"The effect of simulation in improving students' performance in laparoscopic surgery: A meta-analysis","type":"article-journal","volume":"26"},"uris":["http://www.mendeley.com/documents/?uuid=e6f9a448-4e92-30b7-b512-b56b96bc7146"]}],"mendeley":{"formattedCitation":"(Al-Kadi et al., 2012)","plainTextFormattedCitation":"(Al-Kadi et al., 2012)"},"properties":{"noteIndex":0},"schema":"https://github.com/citation-style-language/schema/raw/master/csl-citation.json"}</w:instrText>
      </w:r>
      <w:r w:rsidR="009F0C10" w:rsidRPr="00C1398E">
        <w:rPr>
          <w:rFonts w:ascii="Times New Roman" w:hAnsi="Times New Roman" w:cs="Times New Roman"/>
          <w:sz w:val="24"/>
          <w:szCs w:val="24"/>
        </w:rPr>
        <w:fldChar w:fldCharType="separate"/>
      </w:r>
      <w:r w:rsidR="009F0C10" w:rsidRPr="00C1398E">
        <w:rPr>
          <w:rFonts w:ascii="Times New Roman" w:hAnsi="Times New Roman" w:cs="Times New Roman"/>
          <w:noProof/>
          <w:sz w:val="24"/>
          <w:szCs w:val="24"/>
        </w:rPr>
        <w:t>(Al-Kadi et al., 2012)</w:t>
      </w:r>
      <w:r w:rsidR="009F0C10" w:rsidRPr="00C1398E">
        <w:rPr>
          <w:rFonts w:ascii="Times New Roman" w:hAnsi="Times New Roman" w:cs="Times New Roman"/>
          <w:sz w:val="24"/>
          <w:szCs w:val="24"/>
        </w:rPr>
        <w:fldChar w:fldCharType="end"/>
      </w:r>
      <w:r w:rsidR="009F0C10" w:rsidRPr="00C1398E">
        <w:rPr>
          <w:rFonts w:ascii="Times New Roman" w:hAnsi="Times New Roman" w:cs="Times New Roman"/>
          <w:sz w:val="24"/>
          <w:szCs w:val="24"/>
        </w:rPr>
        <w:t>. Analyzing the aerator and designing the AR application was accomplished by applying the ADDIE model steps of Analysis, Design, Development, Implementation, and Evaluation. As a result of this application, when the employee is aware of what she is doing or what process she is in, she will be better able to manage every stage of the work / process, which will increase both her own productivity and indirectly the efficiency of the production process.</w:t>
      </w:r>
    </w:p>
    <w:p w14:paraId="391A4047" w14:textId="3F20B23E" w:rsidR="009F0C10" w:rsidRPr="00C1398E" w:rsidRDefault="009F0C10" w:rsidP="00C1398E">
      <w:pPr>
        <w:spacing w:line="360" w:lineRule="auto"/>
        <w:jc w:val="both"/>
        <w:rPr>
          <w:rFonts w:ascii="Times New Roman" w:hAnsi="Times New Roman" w:cs="Times New Roman"/>
          <w:sz w:val="24"/>
          <w:szCs w:val="24"/>
        </w:rPr>
      </w:pPr>
    </w:p>
    <w:p w14:paraId="6462D52E" w14:textId="362F51BA" w:rsidR="009F0C10" w:rsidRPr="00C1398E" w:rsidRDefault="009F0C10" w:rsidP="00C1398E">
      <w:pPr>
        <w:spacing w:line="360" w:lineRule="auto"/>
        <w:jc w:val="both"/>
        <w:rPr>
          <w:rFonts w:ascii="Times New Roman" w:hAnsi="Times New Roman" w:cs="Times New Roman"/>
          <w:sz w:val="24"/>
          <w:szCs w:val="24"/>
        </w:rPr>
      </w:pPr>
      <w:r w:rsidRPr="00C1398E">
        <w:rPr>
          <w:rFonts w:ascii="Times New Roman" w:hAnsi="Times New Roman" w:cs="Times New Roman"/>
          <w:b/>
          <w:bCs/>
          <w:sz w:val="24"/>
          <w:szCs w:val="24"/>
        </w:rPr>
        <w:t>Keywords:</w:t>
      </w:r>
      <w:r w:rsidR="00B243A9" w:rsidRPr="00C1398E">
        <w:rPr>
          <w:rFonts w:ascii="Times New Roman" w:hAnsi="Times New Roman" w:cs="Times New Roman"/>
          <w:b/>
          <w:bCs/>
          <w:sz w:val="24"/>
          <w:szCs w:val="24"/>
        </w:rPr>
        <w:t xml:space="preserve"> </w:t>
      </w:r>
      <w:r w:rsidR="00B243A9" w:rsidRPr="00C1398E">
        <w:rPr>
          <w:rFonts w:ascii="Times New Roman" w:hAnsi="Times New Roman" w:cs="Times New Roman"/>
          <w:sz w:val="24"/>
          <w:szCs w:val="24"/>
        </w:rPr>
        <w:t>Augmented Reality,</w:t>
      </w:r>
      <w:r w:rsidR="00B243A9" w:rsidRPr="00C1398E">
        <w:rPr>
          <w:rFonts w:ascii="Times New Roman" w:hAnsi="Times New Roman" w:cs="Times New Roman"/>
          <w:b/>
          <w:bCs/>
          <w:sz w:val="24"/>
          <w:szCs w:val="24"/>
        </w:rPr>
        <w:t xml:space="preserve"> </w:t>
      </w:r>
      <w:r w:rsidRPr="00C1398E">
        <w:rPr>
          <w:rFonts w:ascii="Times New Roman" w:hAnsi="Times New Roman" w:cs="Times New Roman"/>
          <w:sz w:val="24"/>
          <w:szCs w:val="24"/>
        </w:rPr>
        <w:t>Aquaculture, Aerator</w:t>
      </w:r>
      <w:r w:rsidR="00B243A9" w:rsidRPr="00C1398E">
        <w:rPr>
          <w:rFonts w:ascii="Times New Roman" w:hAnsi="Times New Roman" w:cs="Times New Roman"/>
          <w:sz w:val="24"/>
          <w:szCs w:val="24"/>
        </w:rPr>
        <w:t>, ADDIE Model, Instructional System Design, Curriculum Design</w:t>
      </w:r>
    </w:p>
    <w:p w14:paraId="505F24FC" w14:textId="77777777" w:rsidR="006F4D1E" w:rsidRPr="00C1398E" w:rsidRDefault="006F4D1E" w:rsidP="00C1398E">
      <w:pPr>
        <w:spacing w:line="360" w:lineRule="auto"/>
        <w:jc w:val="both"/>
        <w:rPr>
          <w:rFonts w:ascii="Times New Roman" w:hAnsi="Times New Roman" w:cs="Times New Roman"/>
          <w:sz w:val="24"/>
          <w:szCs w:val="24"/>
        </w:rPr>
      </w:pPr>
    </w:p>
    <w:p w14:paraId="223D1BAB" w14:textId="79EABD85" w:rsidR="00127B69" w:rsidRPr="00C1398E" w:rsidRDefault="006F4D1E" w:rsidP="00C1398E">
      <w:pPr>
        <w:spacing w:line="360" w:lineRule="auto"/>
        <w:jc w:val="both"/>
        <w:rPr>
          <w:rFonts w:ascii="Times New Roman" w:hAnsi="Times New Roman" w:cs="Times New Roman"/>
          <w:i/>
          <w:iCs/>
          <w:sz w:val="24"/>
          <w:szCs w:val="24"/>
        </w:rPr>
      </w:pPr>
      <w:r w:rsidRPr="006F4D1E">
        <w:rPr>
          <w:rFonts w:ascii="Times New Roman" w:hAnsi="Times New Roman" w:cs="Times New Roman"/>
          <w:i/>
          <w:iCs/>
          <w:sz w:val="24"/>
          <w:szCs w:val="24"/>
          <w:vertAlign w:val="superscript"/>
        </w:rPr>
        <w:footnoteRef/>
      </w:r>
      <w:r w:rsidRPr="006F4D1E">
        <w:rPr>
          <w:rFonts w:ascii="Times New Roman" w:hAnsi="Times New Roman" w:cs="Times New Roman"/>
          <w:i/>
          <w:iCs/>
          <w:sz w:val="24"/>
          <w:szCs w:val="24"/>
        </w:rPr>
        <w:t xml:space="preserve"> An article was produced as part of the TUBITAK project numbered 1139B412102881 titled "</w:t>
      </w:r>
      <w:r w:rsidRPr="006F4D1E">
        <w:rPr>
          <w:rFonts w:ascii="Times New Roman" w:hAnsi="Times New Roman" w:cs="Times New Roman"/>
          <w:b/>
          <w:bCs/>
          <w:i/>
          <w:iCs/>
          <w:sz w:val="24"/>
          <w:szCs w:val="24"/>
        </w:rPr>
        <w:t xml:space="preserve"> </w:t>
      </w:r>
      <w:r w:rsidRPr="006F4D1E">
        <w:rPr>
          <w:rFonts w:ascii="Times New Roman" w:hAnsi="Times New Roman" w:cs="Times New Roman"/>
          <w:i/>
          <w:iCs/>
          <w:sz w:val="24"/>
          <w:szCs w:val="24"/>
        </w:rPr>
        <w:t>Enhancing Aquaculture Workforce Development Through Active Learning Curriculum Supported by Augmented Reality Applications ".</w:t>
      </w:r>
    </w:p>
    <w:sectPr w:rsidR="00127B69" w:rsidRPr="00C1398E">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8DB73" w14:textId="77777777" w:rsidR="005360EA" w:rsidRDefault="005360EA" w:rsidP="00B243A9">
      <w:pPr>
        <w:spacing w:after="0" w:line="240" w:lineRule="auto"/>
      </w:pPr>
      <w:r>
        <w:separator/>
      </w:r>
    </w:p>
  </w:endnote>
  <w:endnote w:type="continuationSeparator" w:id="0">
    <w:p w14:paraId="41652BD9" w14:textId="77777777" w:rsidR="005360EA" w:rsidRDefault="005360EA" w:rsidP="00B24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55D20" w14:textId="77777777" w:rsidR="005360EA" w:rsidRDefault="005360EA" w:rsidP="00B243A9">
      <w:pPr>
        <w:spacing w:after="0" w:line="240" w:lineRule="auto"/>
      </w:pPr>
      <w:r>
        <w:separator/>
      </w:r>
    </w:p>
  </w:footnote>
  <w:footnote w:type="continuationSeparator" w:id="0">
    <w:p w14:paraId="75FBC760" w14:textId="77777777" w:rsidR="005360EA" w:rsidRDefault="005360EA" w:rsidP="00B243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2CF"/>
    <w:rsid w:val="00127B69"/>
    <w:rsid w:val="00181ADD"/>
    <w:rsid w:val="001D6746"/>
    <w:rsid w:val="00257E15"/>
    <w:rsid w:val="004C6174"/>
    <w:rsid w:val="005360EA"/>
    <w:rsid w:val="00674632"/>
    <w:rsid w:val="006F4D1E"/>
    <w:rsid w:val="00776887"/>
    <w:rsid w:val="00943ACE"/>
    <w:rsid w:val="00986496"/>
    <w:rsid w:val="009F0C10"/>
    <w:rsid w:val="00A54209"/>
    <w:rsid w:val="00A72C4B"/>
    <w:rsid w:val="00B162CF"/>
    <w:rsid w:val="00B243A9"/>
    <w:rsid w:val="00BB2FB1"/>
    <w:rsid w:val="00BF63B3"/>
    <w:rsid w:val="00C1398E"/>
    <w:rsid w:val="00DA1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95E22"/>
  <w15:chartTrackingRefBased/>
  <w15:docId w15:val="{45372CE1-F12C-49EA-B576-11060281E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aliases w:val="Alt Başlık"/>
    <w:basedOn w:val="Normal"/>
    <w:next w:val="Normal"/>
    <w:link w:val="SubtitleChar"/>
    <w:uiPriority w:val="11"/>
    <w:qFormat/>
    <w:rsid w:val="00B162CF"/>
    <w:pPr>
      <w:numPr>
        <w:ilvl w:val="1"/>
      </w:numPr>
      <w:spacing w:line="240" w:lineRule="auto"/>
      <w:ind w:firstLine="709"/>
      <w:jc w:val="center"/>
    </w:pPr>
    <w:rPr>
      <w:rFonts w:ascii="Verdana" w:eastAsiaTheme="minorEastAsia" w:hAnsi="Verdana"/>
      <w:spacing w:val="15"/>
      <w:sz w:val="16"/>
      <w:lang w:val="tr-TR"/>
    </w:rPr>
  </w:style>
  <w:style w:type="character" w:customStyle="1" w:styleId="SubtitleChar">
    <w:name w:val="Subtitle Char"/>
    <w:aliases w:val="Alt Başlık Char"/>
    <w:basedOn w:val="DefaultParagraphFont"/>
    <w:link w:val="Subtitle"/>
    <w:uiPriority w:val="11"/>
    <w:rsid w:val="00B162CF"/>
    <w:rPr>
      <w:rFonts w:ascii="Verdana" w:eastAsiaTheme="minorEastAsia" w:hAnsi="Verdana"/>
      <w:spacing w:val="15"/>
      <w:sz w:val="16"/>
      <w:lang w:val="tr-TR"/>
    </w:rPr>
  </w:style>
  <w:style w:type="paragraph" w:styleId="Header">
    <w:name w:val="header"/>
    <w:basedOn w:val="Normal"/>
    <w:link w:val="HeaderChar"/>
    <w:uiPriority w:val="99"/>
    <w:unhideWhenUsed/>
    <w:rsid w:val="00B243A9"/>
    <w:pPr>
      <w:tabs>
        <w:tab w:val="center" w:pos="4703"/>
        <w:tab w:val="right" w:pos="9406"/>
      </w:tabs>
      <w:spacing w:after="0" w:line="240" w:lineRule="auto"/>
    </w:pPr>
  </w:style>
  <w:style w:type="character" w:customStyle="1" w:styleId="HeaderChar">
    <w:name w:val="Header Char"/>
    <w:basedOn w:val="DefaultParagraphFont"/>
    <w:link w:val="Header"/>
    <w:uiPriority w:val="99"/>
    <w:rsid w:val="00B243A9"/>
  </w:style>
  <w:style w:type="paragraph" w:styleId="Footer">
    <w:name w:val="footer"/>
    <w:basedOn w:val="Normal"/>
    <w:link w:val="FooterChar"/>
    <w:uiPriority w:val="99"/>
    <w:unhideWhenUsed/>
    <w:rsid w:val="00B243A9"/>
    <w:pPr>
      <w:tabs>
        <w:tab w:val="center" w:pos="4703"/>
        <w:tab w:val="right" w:pos="9406"/>
      </w:tabs>
      <w:spacing w:after="0" w:line="240" w:lineRule="auto"/>
    </w:pPr>
  </w:style>
  <w:style w:type="character" w:customStyle="1" w:styleId="FooterChar">
    <w:name w:val="Footer Char"/>
    <w:basedOn w:val="DefaultParagraphFont"/>
    <w:link w:val="Footer"/>
    <w:uiPriority w:val="99"/>
    <w:rsid w:val="00B243A9"/>
  </w:style>
  <w:style w:type="character" w:styleId="FootnoteReference">
    <w:name w:val="footnote reference"/>
    <w:basedOn w:val="DefaultParagraphFont"/>
    <w:uiPriority w:val="99"/>
    <w:semiHidden/>
    <w:unhideWhenUsed/>
    <w:rsid w:val="00B243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C59FF-B845-4A98-A8E5-768DB68BF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4581</Words>
  <Characters>26115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ENGIN KARADUMAN</dc:creator>
  <cp:keywords/>
  <dc:description/>
  <cp:lastModifiedBy>ENGIN KARADUMAN</cp:lastModifiedBy>
  <cp:revision>4</cp:revision>
  <dcterms:created xsi:type="dcterms:W3CDTF">2022-08-18T09:07:00Z</dcterms:created>
  <dcterms:modified xsi:type="dcterms:W3CDTF">2022-08-21T09:58:00Z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06f9ad23-bf61-3351-b699-9e771cb7f015</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