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C0D" w:rsidRDefault="00EF5C0D" w:rsidP="00FE60DC"/>
    <w:p w:rsidR="00FE60DC" w:rsidRPr="00090A97" w:rsidRDefault="00FE60DC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8"/>
          <w:szCs w:val="28"/>
        </w:rPr>
      </w:pPr>
      <w:r w:rsidRPr="00090A97">
        <w:rPr>
          <w:rFonts w:asciiTheme="majorBidi" w:hAnsiTheme="majorBidi" w:cstheme="majorBidi"/>
          <w:sz w:val="28"/>
          <w:szCs w:val="28"/>
        </w:rPr>
        <w:t>MATERIAL AND METHODS</w:t>
      </w:r>
    </w:p>
    <w:p w:rsidR="00FE60DC" w:rsidRPr="0020737A" w:rsidRDefault="00FE60DC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20737A">
        <w:rPr>
          <w:rFonts w:asciiTheme="majorBidi" w:hAnsiTheme="majorBidi" w:cstheme="majorBidi"/>
          <w:sz w:val="24"/>
          <w:szCs w:val="24"/>
        </w:rPr>
        <w:t xml:space="preserve">The study viewpoint was conducted over a 12 months period from </w:t>
      </w:r>
      <w:proofErr w:type="spellStart"/>
      <w:r w:rsidRPr="0020737A">
        <w:rPr>
          <w:rFonts w:asciiTheme="majorBidi" w:hAnsiTheme="majorBidi" w:cstheme="majorBidi"/>
          <w:sz w:val="24"/>
          <w:szCs w:val="24"/>
        </w:rPr>
        <w:t>Januray</w:t>
      </w:r>
      <w:proofErr w:type="spellEnd"/>
      <w:r w:rsidRPr="0020737A">
        <w:rPr>
          <w:rFonts w:asciiTheme="majorBidi" w:hAnsiTheme="majorBidi" w:cstheme="majorBidi"/>
          <w:sz w:val="24"/>
          <w:szCs w:val="24"/>
        </w:rPr>
        <w:t xml:space="preserve"> -December 2023. For the purpose of the study a descriptive design had been employed. The participants included in this study were 540 women of Libyan nationality between the ages of 25-85 years.</w:t>
      </w:r>
    </w:p>
    <w:p w:rsidR="00FE60DC" w:rsidRPr="0020737A" w:rsidRDefault="00FE60DC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20737A">
        <w:rPr>
          <w:rFonts w:asciiTheme="majorBidi" w:hAnsiTheme="majorBidi" w:cstheme="majorBidi"/>
          <w:sz w:val="24"/>
          <w:szCs w:val="24"/>
        </w:rPr>
        <w:t>- Sampling</w:t>
      </w:r>
    </w:p>
    <w:p w:rsidR="00FE60DC" w:rsidRPr="0020737A" w:rsidRDefault="00FE60DC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20737A">
        <w:rPr>
          <w:rFonts w:asciiTheme="majorBidi" w:hAnsiTheme="majorBidi" w:cstheme="majorBidi"/>
          <w:sz w:val="24"/>
          <w:szCs w:val="24"/>
        </w:rPr>
        <w:t xml:space="preserve">A sample size of 540 Patient was estimated using a single there was samples collection from oncology centers in the study area. Sampling was used to select the study from the various ages and different to ensure representativeness the </w:t>
      </w:r>
      <w:proofErr w:type="gramStart"/>
      <w:r w:rsidRPr="0020737A">
        <w:rPr>
          <w:rFonts w:asciiTheme="majorBidi" w:hAnsiTheme="majorBidi" w:cstheme="majorBidi"/>
          <w:sz w:val="24"/>
          <w:szCs w:val="24"/>
        </w:rPr>
        <w:t>number of patients selected from oncology enter</w:t>
      </w:r>
      <w:proofErr w:type="gramEnd"/>
      <w:r w:rsidRPr="0020737A">
        <w:rPr>
          <w:rFonts w:asciiTheme="majorBidi" w:hAnsiTheme="majorBidi" w:cstheme="majorBidi"/>
          <w:sz w:val="24"/>
          <w:szCs w:val="24"/>
        </w:rPr>
        <w:t xml:space="preserve"> </w:t>
      </w:r>
    </w:p>
    <w:p w:rsidR="00FE60DC" w:rsidRPr="0020737A" w:rsidRDefault="00FE60DC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20737A">
        <w:rPr>
          <w:rFonts w:asciiTheme="majorBidi" w:hAnsiTheme="majorBidi" w:cstheme="majorBidi"/>
          <w:sz w:val="24"/>
          <w:szCs w:val="24"/>
        </w:rPr>
        <w:t xml:space="preserve">- Patient Study </w:t>
      </w:r>
    </w:p>
    <w:p w:rsidR="00FE60DC" w:rsidRPr="0020737A" w:rsidRDefault="00FE60DC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20737A">
        <w:rPr>
          <w:rFonts w:asciiTheme="majorBidi" w:hAnsiTheme="majorBidi" w:cstheme="majorBidi"/>
          <w:sz w:val="24"/>
          <w:szCs w:val="24"/>
        </w:rPr>
        <w:t>This study was conducted randomly on (540) women with breast cancer aged 25 - 85 years</w:t>
      </w:r>
    </w:p>
    <w:p w:rsidR="00FE60DC" w:rsidRPr="0020737A" w:rsidRDefault="00FE60DC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20737A">
        <w:rPr>
          <w:rFonts w:asciiTheme="majorBidi" w:hAnsiTheme="majorBidi" w:cstheme="majorBidi"/>
          <w:sz w:val="24"/>
          <w:szCs w:val="24"/>
        </w:rPr>
        <w:t>- Statistical Analysis</w:t>
      </w:r>
    </w:p>
    <w:p w:rsidR="00FE60DC" w:rsidRPr="0020737A" w:rsidRDefault="00FE60DC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20737A">
        <w:rPr>
          <w:rFonts w:asciiTheme="majorBidi" w:hAnsiTheme="majorBidi" w:cstheme="majorBidi"/>
          <w:sz w:val="24"/>
          <w:szCs w:val="24"/>
        </w:rPr>
        <w:t>Described the distribution of chemotherapy use by patient characteristics, including the median and inter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0737A">
        <w:rPr>
          <w:rFonts w:asciiTheme="majorBidi" w:hAnsiTheme="majorBidi" w:cstheme="majorBidi"/>
          <w:sz w:val="24"/>
          <w:szCs w:val="24"/>
        </w:rPr>
        <w:t>quartil</w:t>
      </w:r>
      <w:r>
        <w:rPr>
          <w:rFonts w:asciiTheme="majorBidi" w:hAnsiTheme="majorBidi" w:cstheme="majorBidi"/>
          <w:sz w:val="24"/>
          <w:szCs w:val="24"/>
        </w:rPr>
        <w:t xml:space="preserve">e range (25th–85th percentile) </w:t>
      </w:r>
      <w:r w:rsidRPr="0020737A">
        <w:rPr>
          <w:rFonts w:asciiTheme="majorBidi" w:hAnsiTheme="majorBidi" w:cstheme="majorBidi"/>
          <w:sz w:val="24"/>
          <w:szCs w:val="24"/>
        </w:rPr>
        <w:t xml:space="preserve">for follow-up end time December 01, 2023). </w:t>
      </w:r>
    </w:p>
    <w:p w:rsidR="00FE60DC" w:rsidRDefault="00FE60DC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20737A">
        <w:rPr>
          <w:rFonts w:asciiTheme="majorBidi" w:hAnsiTheme="majorBidi" w:cstheme="majorBidi"/>
          <w:sz w:val="24"/>
          <w:szCs w:val="24"/>
        </w:rPr>
        <w:t>We then used Cox proportional hazards regression to calculate hazard ratios (HRs) with 95% (CIs) for HF/CM associated with time-varying chemotherapy exposures. Each participant began accruing person-time on the date of chemotherapy initiation and stopped a</w:t>
      </w:r>
      <w:r>
        <w:rPr>
          <w:rFonts w:asciiTheme="majorBidi" w:hAnsiTheme="majorBidi" w:cstheme="majorBidi"/>
          <w:sz w:val="24"/>
          <w:szCs w:val="24"/>
        </w:rPr>
        <w:t>ccruing person-time at the time</w:t>
      </w:r>
      <w:r w:rsidRPr="0020737A">
        <w:rPr>
          <w:rFonts w:asciiTheme="majorBidi" w:hAnsiTheme="majorBidi" w:cstheme="majorBidi"/>
          <w:sz w:val="24"/>
          <w:szCs w:val="24"/>
        </w:rPr>
        <w:t xml:space="preserve">, health plan disenrollment, death, or December 01, 2023. We used day 540 patient after diagnosis as a proxy for the index date for unexposed women. Using time-varying exposures allowed us to account for changes in chemotherapy use. For example, women were considered </w:t>
      </w:r>
      <w:proofErr w:type="spellStart"/>
      <w:r w:rsidRPr="0020737A">
        <w:rPr>
          <w:rFonts w:asciiTheme="majorBidi" w:hAnsiTheme="majorBidi" w:cstheme="majorBidi"/>
          <w:sz w:val="24"/>
          <w:szCs w:val="24"/>
        </w:rPr>
        <w:t>Adriamycin</w:t>
      </w:r>
      <w:proofErr w:type="spellEnd"/>
      <w:r w:rsidRPr="0020737A">
        <w:rPr>
          <w:rFonts w:asciiTheme="majorBidi" w:hAnsiTheme="majorBidi" w:cstheme="majorBidi"/>
          <w:sz w:val="24"/>
          <w:szCs w:val="24"/>
        </w:rPr>
        <w:t xml:space="preserve"> - 50 mg- based-only users until they started </w:t>
      </w:r>
      <w:proofErr w:type="spellStart"/>
      <w:r w:rsidRPr="0020737A">
        <w:rPr>
          <w:rFonts w:asciiTheme="majorBidi" w:hAnsiTheme="majorBidi" w:cstheme="majorBidi"/>
          <w:sz w:val="24"/>
          <w:szCs w:val="24"/>
        </w:rPr>
        <w:t>taxotere</w:t>
      </w:r>
      <w:proofErr w:type="spellEnd"/>
      <w:r w:rsidRPr="0020737A">
        <w:rPr>
          <w:rFonts w:asciiTheme="majorBidi" w:hAnsiTheme="majorBidi" w:cstheme="majorBidi"/>
          <w:sz w:val="24"/>
          <w:szCs w:val="24"/>
        </w:rPr>
        <w:t xml:space="preserve"> therapy 80 mg.</w:t>
      </w:r>
    </w:p>
    <w:p w:rsidR="00FE60DC" w:rsidRPr="0020737A" w:rsidRDefault="00FE60DC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20737A">
        <w:rPr>
          <w:rFonts w:asciiTheme="majorBidi" w:hAnsiTheme="majorBidi" w:cstheme="majorBidi"/>
          <w:sz w:val="24"/>
          <w:szCs w:val="24"/>
        </w:rPr>
        <w:t xml:space="preserve">Data collection: </w:t>
      </w:r>
    </w:p>
    <w:p w:rsidR="00FE60DC" w:rsidRPr="0020737A" w:rsidRDefault="00FE60DC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20737A">
        <w:rPr>
          <w:rFonts w:asciiTheme="majorBidi" w:hAnsiTheme="majorBidi" w:cstheme="majorBidi"/>
          <w:sz w:val="24"/>
          <w:szCs w:val="24"/>
        </w:rPr>
        <w:t xml:space="preserve">Data includes 540 patients diagnosed with one of the danger clinical stages of breast cancer. It collected between </w:t>
      </w:r>
      <w:proofErr w:type="spellStart"/>
      <w:r w:rsidRPr="0020737A">
        <w:rPr>
          <w:rFonts w:asciiTheme="majorBidi" w:hAnsiTheme="majorBidi" w:cstheme="majorBidi"/>
          <w:sz w:val="24"/>
          <w:szCs w:val="24"/>
        </w:rPr>
        <w:t>Januray</w:t>
      </w:r>
      <w:proofErr w:type="spellEnd"/>
      <w:r w:rsidRPr="0020737A">
        <w:rPr>
          <w:rFonts w:asciiTheme="majorBidi" w:hAnsiTheme="majorBidi" w:cstheme="majorBidi"/>
          <w:sz w:val="24"/>
          <w:szCs w:val="24"/>
        </w:rPr>
        <w:t xml:space="preserve"> 2023 and December 2023 from the same place (Oncology Centre) </w:t>
      </w:r>
      <w:r w:rsidRPr="0020737A">
        <w:rPr>
          <w:rFonts w:asciiTheme="majorBidi" w:hAnsiTheme="majorBidi" w:cstheme="majorBidi"/>
          <w:sz w:val="24"/>
          <w:szCs w:val="24"/>
        </w:rPr>
        <w:lastRenderedPageBreak/>
        <w:t>based on the psychology and physical aspects. Eight input variables will be predicted according to the clinical stages.</w:t>
      </w:r>
    </w:p>
    <w:p w:rsidR="00FE60DC" w:rsidRDefault="00FE60DC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20737A">
        <w:rPr>
          <w:rFonts w:asciiTheme="majorBidi" w:hAnsiTheme="majorBidi" w:cstheme="majorBidi"/>
          <w:sz w:val="24"/>
          <w:szCs w:val="24"/>
        </w:rPr>
        <w:t xml:space="preserve">Age is a numerical variable between 25 and 85 years old with mean 44.1 and standard deviation 10.325. Menopausal status divided into two distinct, </w:t>
      </w:r>
      <w:proofErr w:type="spellStart"/>
      <w:r w:rsidRPr="0020737A">
        <w:rPr>
          <w:rFonts w:asciiTheme="majorBidi" w:hAnsiTheme="majorBidi" w:cstheme="majorBidi"/>
          <w:sz w:val="24"/>
          <w:szCs w:val="24"/>
        </w:rPr>
        <w:t>perimenopause</w:t>
      </w:r>
      <w:proofErr w:type="spellEnd"/>
      <w:r w:rsidRPr="0020737A">
        <w:rPr>
          <w:rFonts w:asciiTheme="majorBidi" w:hAnsiTheme="majorBidi" w:cstheme="majorBidi"/>
          <w:sz w:val="24"/>
          <w:szCs w:val="24"/>
        </w:rPr>
        <w:t xml:space="preserve"> 84 patients with a percentage of 64.61% and post-menopausal 46 patients with a percentage of 35.38%. Tumor size is between 1.9 and 34, the mean is 13.88 and a standard deviation of 7.605.Table 1.</w:t>
      </w:r>
    </w:p>
    <w:tbl>
      <w:tblPr>
        <w:tblStyle w:val="TabloKlavuzu"/>
        <w:tblpPr w:leftFromText="141" w:rightFromText="141" w:vertAnchor="text" w:horzAnchor="margin" w:tblpY="286"/>
        <w:tblW w:w="0" w:type="auto"/>
        <w:tblLook w:val="0000"/>
      </w:tblPr>
      <w:tblGrid>
        <w:gridCol w:w="2304"/>
        <w:gridCol w:w="9"/>
        <w:gridCol w:w="2313"/>
        <w:gridCol w:w="2313"/>
        <w:gridCol w:w="2317"/>
      </w:tblGrid>
      <w:tr w:rsidR="003E3DC3" w:rsidRPr="004D5622" w:rsidTr="003E3DC3">
        <w:trPr>
          <w:trHeight w:val="664"/>
        </w:trPr>
        <w:tc>
          <w:tcPr>
            <w:tcW w:w="2304" w:type="dxa"/>
          </w:tcPr>
          <w:p w:rsidR="003E3DC3" w:rsidRPr="004D5622" w:rsidRDefault="003E3DC3" w:rsidP="003E3DC3">
            <w:pPr>
              <w:ind w:left="108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proofErr w:type="spellStart"/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Characteristics</w:t>
            </w:r>
            <w:proofErr w:type="spellEnd"/>
          </w:p>
        </w:tc>
        <w:tc>
          <w:tcPr>
            <w:tcW w:w="2322" w:type="dxa"/>
            <w:gridSpan w:val="2"/>
          </w:tcPr>
          <w:p w:rsidR="003E3DC3" w:rsidRPr="004D5622" w:rsidRDefault="003E3DC3" w:rsidP="003E3DC3">
            <w:pPr>
              <w:ind w:left="108"/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     </w:t>
            </w:r>
            <w:proofErr w:type="spellStart"/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Gender</w:t>
            </w:r>
            <w:proofErr w:type="spellEnd"/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(Female)                               </w:t>
            </w: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Number of </w:t>
            </w:r>
            <w:proofErr w:type="spellStart"/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patients</w:t>
            </w:r>
            <w:proofErr w:type="spellEnd"/>
          </w:p>
        </w:tc>
        <w:tc>
          <w:tcPr>
            <w:tcW w:w="2317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proofErr w:type="spellStart"/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Percentage</w:t>
            </w:r>
            <w:proofErr w:type="spellEnd"/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 xml:space="preserve"> </w:t>
            </w:r>
            <w:r w:rsidRPr="004D5622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3E3DC3" w:rsidRPr="004D5622" w:rsidTr="003E3DC3">
        <w:tc>
          <w:tcPr>
            <w:tcW w:w="2313" w:type="dxa"/>
            <w:gridSpan w:val="2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proofErr w:type="spellStart"/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Gender</w:t>
            </w:r>
            <w:proofErr w:type="spellEnd"/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Female</w:t>
            </w: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540</w:t>
            </w:r>
          </w:p>
        </w:tc>
        <w:tc>
          <w:tcPr>
            <w:tcW w:w="2317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E3DC3" w:rsidRPr="004D5622" w:rsidTr="003E3DC3">
        <w:tblPrEx>
          <w:tblLook w:val="04A0"/>
        </w:tblPrEx>
        <w:tc>
          <w:tcPr>
            <w:tcW w:w="2313" w:type="dxa"/>
            <w:gridSpan w:val="2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Tumor Size</w:t>
            </w: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T1</w:t>
            </w: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155</w:t>
            </w:r>
          </w:p>
        </w:tc>
        <w:tc>
          <w:tcPr>
            <w:tcW w:w="2317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28.5</w:t>
            </w:r>
            <w:r w:rsidRPr="004D5622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%</w:t>
            </w:r>
          </w:p>
        </w:tc>
      </w:tr>
      <w:tr w:rsidR="003E3DC3" w:rsidRPr="004D5622" w:rsidTr="003E3DC3">
        <w:tblPrEx>
          <w:tblLook w:val="04A0"/>
        </w:tblPrEx>
        <w:tc>
          <w:tcPr>
            <w:tcW w:w="2313" w:type="dxa"/>
            <w:gridSpan w:val="2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12</w:t>
            </w: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280</w:t>
            </w:r>
          </w:p>
        </w:tc>
        <w:tc>
          <w:tcPr>
            <w:tcW w:w="2317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51.5</w:t>
            </w:r>
            <w:r w:rsidRPr="004D5622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3E3DC3" w:rsidRPr="004D5622" w:rsidTr="003E3DC3">
        <w:tblPrEx>
          <w:tblLook w:val="04A0"/>
        </w:tblPrEx>
        <w:tc>
          <w:tcPr>
            <w:tcW w:w="2313" w:type="dxa"/>
            <w:gridSpan w:val="2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T3</w:t>
            </w: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56</w:t>
            </w:r>
          </w:p>
        </w:tc>
        <w:tc>
          <w:tcPr>
            <w:tcW w:w="2317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10.5</w:t>
            </w:r>
            <w:r w:rsidRPr="004D5622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3E3DC3" w:rsidRPr="004D5622" w:rsidTr="003E3DC3">
        <w:tblPrEx>
          <w:tblLook w:val="04A0"/>
        </w:tblPrEx>
        <w:tc>
          <w:tcPr>
            <w:tcW w:w="2313" w:type="dxa"/>
            <w:gridSpan w:val="2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T4</w:t>
            </w: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12</w:t>
            </w:r>
          </w:p>
        </w:tc>
        <w:tc>
          <w:tcPr>
            <w:tcW w:w="2317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2.5</w:t>
            </w:r>
            <w:r w:rsidRPr="004D5622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3E3DC3" w:rsidRPr="004D5622" w:rsidTr="003E3DC3">
        <w:tblPrEx>
          <w:tblLook w:val="04A0"/>
        </w:tblPrEx>
        <w:tc>
          <w:tcPr>
            <w:tcW w:w="2313" w:type="dxa"/>
            <w:gridSpan w:val="2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proofErr w:type="spellStart"/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Tx</w:t>
            </w:r>
            <w:proofErr w:type="spellEnd"/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37</w:t>
            </w:r>
          </w:p>
        </w:tc>
        <w:tc>
          <w:tcPr>
            <w:tcW w:w="2317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6.5</w:t>
            </w:r>
            <w:r w:rsidRPr="004D5622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%</w:t>
            </w:r>
          </w:p>
        </w:tc>
      </w:tr>
      <w:tr w:rsidR="003E3DC3" w:rsidRPr="004D5622" w:rsidTr="003E3DC3">
        <w:tblPrEx>
          <w:tblLook w:val="04A0"/>
        </w:tblPrEx>
        <w:trPr>
          <w:trHeight w:val="280"/>
        </w:trPr>
        <w:tc>
          <w:tcPr>
            <w:tcW w:w="2313" w:type="dxa"/>
            <w:gridSpan w:val="2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proofErr w:type="spellStart"/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Stage</w:t>
            </w:r>
            <w:proofErr w:type="spellEnd"/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I</w:t>
            </w: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66</w:t>
            </w:r>
          </w:p>
        </w:tc>
        <w:tc>
          <w:tcPr>
            <w:tcW w:w="2317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12</w:t>
            </w:r>
            <w:r w:rsidRPr="004D5622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3E3DC3" w:rsidRPr="004D5622" w:rsidTr="003E3DC3">
        <w:tblPrEx>
          <w:tblLook w:val="04A0"/>
        </w:tblPrEx>
        <w:tc>
          <w:tcPr>
            <w:tcW w:w="2313" w:type="dxa"/>
            <w:gridSpan w:val="2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II</w:t>
            </w: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168</w:t>
            </w:r>
          </w:p>
        </w:tc>
        <w:tc>
          <w:tcPr>
            <w:tcW w:w="2317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31.5</w:t>
            </w:r>
            <w:r w:rsidRPr="004D5622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3E3DC3" w:rsidRPr="004D5622" w:rsidTr="003E3DC3">
        <w:tblPrEx>
          <w:tblLook w:val="04A0"/>
        </w:tblPrEx>
        <w:tc>
          <w:tcPr>
            <w:tcW w:w="2313" w:type="dxa"/>
            <w:gridSpan w:val="2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III</w:t>
            </w: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287</w:t>
            </w:r>
          </w:p>
        </w:tc>
        <w:tc>
          <w:tcPr>
            <w:tcW w:w="2317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53.5</w:t>
            </w:r>
            <w:r w:rsidRPr="004D5622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%</w:t>
            </w:r>
          </w:p>
        </w:tc>
      </w:tr>
      <w:tr w:rsidR="003E3DC3" w:rsidRPr="004D5622" w:rsidTr="003E3DC3">
        <w:tblPrEx>
          <w:tblLook w:val="04A0"/>
        </w:tblPrEx>
        <w:tc>
          <w:tcPr>
            <w:tcW w:w="2313" w:type="dxa"/>
            <w:gridSpan w:val="2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>IV</w:t>
            </w:r>
          </w:p>
        </w:tc>
        <w:tc>
          <w:tcPr>
            <w:tcW w:w="2313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19</w:t>
            </w:r>
          </w:p>
        </w:tc>
        <w:tc>
          <w:tcPr>
            <w:tcW w:w="2317" w:type="dxa"/>
          </w:tcPr>
          <w:p w:rsidR="003E3DC3" w:rsidRPr="004D5622" w:rsidRDefault="003E3DC3" w:rsidP="003E3DC3">
            <w:pPr>
              <w:rPr>
                <w:rFonts w:asciiTheme="majorBidi" w:hAnsiTheme="majorBidi" w:cstheme="majorBidi"/>
                <w:sz w:val="24"/>
                <w:szCs w:val="24"/>
                <w:lang w:val="tr-TR"/>
              </w:rPr>
            </w:pPr>
            <w:r w:rsidRPr="004D5622">
              <w:rPr>
                <w:rFonts w:asciiTheme="majorBidi" w:hAnsiTheme="majorBidi" w:cstheme="majorBidi"/>
                <w:sz w:val="24"/>
                <w:szCs w:val="24"/>
                <w:lang w:val="tr-TR"/>
              </w:rPr>
              <w:t>3</w:t>
            </w:r>
            <w:r w:rsidRPr="004D5622">
              <w:rPr>
                <w:rFonts w:asciiTheme="majorBidi" w:hAnsiTheme="majorBidi" w:cstheme="majorBidi"/>
                <w:color w:val="333333"/>
                <w:sz w:val="24"/>
                <w:szCs w:val="24"/>
                <w:shd w:val="clear" w:color="auto" w:fill="FFFFFF"/>
              </w:rPr>
              <w:t xml:space="preserve"> %</w:t>
            </w:r>
          </w:p>
        </w:tc>
      </w:tr>
    </w:tbl>
    <w:p w:rsidR="00FE60DC" w:rsidRDefault="00FE60DC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Table1. Distribution of patients according on tumor size and clinical stages</w:t>
      </w:r>
    </w:p>
    <w:p w:rsidR="003E3DC3" w:rsidRDefault="003E3DC3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</w:p>
    <w:p w:rsidR="00FE60DC" w:rsidRDefault="00FE60DC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20737A">
        <w:rPr>
          <w:rFonts w:asciiTheme="majorBidi" w:hAnsiTheme="majorBidi" w:cstheme="majorBidi"/>
          <w:sz w:val="24"/>
          <w:szCs w:val="24"/>
        </w:rPr>
        <w:t xml:space="preserve">Moreover, the clinical stage represents the response variable to predict all data by using data mining, it divided into four stages. Stage </w:t>
      </w:r>
      <w:proofErr w:type="gramStart"/>
      <w:r w:rsidRPr="0020737A">
        <w:rPr>
          <w:rFonts w:asciiTheme="majorBidi" w:hAnsiTheme="majorBidi" w:cstheme="majorBidi"/>
          <w:sz w:val="24"/>
          <w:szCs w:val="24"/>
        </w:rPr>
        <w:t>I</w:t>
      </w:r>
      <w:proofErr w:type="gramEnd"/>
      <w:r w:rsidRPr="0020737A">
        <w:rPr>
          <w:rFonts w:asciiTheme="majorBidi" w:hAnsiTheme="majorBidi" w:cstheme="majorBidi"/>
          <w:sz w:val="24"/>
          <w:szCs w:val="24"/>
        </w:rPr>
        <w:t xml:space="preserve"> with 66 patients and percentage 12%, stage II with 168 patients and percentage 31.5%, stage III with 287 patients and percentage 53.5% and stage IV with 19 patie</w:t>
      </w:r>
      <w:r>
        <w:rPr>
          <w:rFonts w:asciiTheme="majorBidi" w:hAnsiTheme="majorBidi" w:cstheme="majorBidi"/>
          <w:sz w:val="24"/>
          <w:szCs w:val="24"/>
        </w:rPr>
        <w:t>nts with percentage 3 %. Figure -</w:t>
      </w:r>
      <w:r w:rsidRPr="0020737A">
        <w:rPr>
          <w:rFonts w:asciiTheme="majorBidi" w:hAnsiTheme="majorBidi" w:cstheme="majorBidi"/>
          <w:sz w:val="24"/>
          <w:szCs w:val="24"/>
        </w:rPr>
        <w:t>1</w:t>
      </w:r>
    </w:p>
    <w:p w:rsidR="00FE60DC" w:rsidRDefault="00FE60DC" w:rsidP="00FE60DC">
      <w:pPr>
        <w:spacing w:line="360" w:lineRule="auto"/>
        <w:ind w:right="-1"/>
        <w:jc w:val="both"/>
        <w:rPr>
          <w:rFonts w:asciiTheme="majorBidi" w:hAnsiTheme="majorBidi" w:cstheme="majorBidi"/>
          <w:sz w:val="24"/>
          <w:szCs w:val="24"/>
        </w:rPr>
      </w:pPr>
      <w:r w:rsidRPr="00A576EC">
        <w:rPr>
          <w:rFonts w:asciiTheme="majorBidi" w:hAnsiTheme="majorBidi" w:cstheme="majorBidi"/>
          <w:noProof/>
          <w:sz w:val="24"/>
          <w:szCs w:val="24"/>
          <w:lang w:val="tr-TR" w:eastAsia="tr-TR"/>
        </w:rPr>
        <w:lastRenderedPageBreak/>
        <w:drawing>
          <wp:inline distT="0" distB="0" distL="0" distR="0">
            <wp:extent cx="6049452" cy="3081048"/>
            <wp:effectExtent l="57150" t="0" r="46548" b="43152"/>
            <wp:docPr id="2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E60DC" w:rsidRDefault="00FE60DC" w:rsidP="00FE60DC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4760C7">
        <w:rPr>
          <w:rFonts w:asciiTheme="majorBidi" w:hAnsiTheme="majorBidi" w:cstheme="majorBidi"/>
          <w:sz w:val="24"/>
          <w:szCs w:val="24"/>
        </w:rPr>
        <w:t>Figure 1.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E23CF0">
        <w:rPr>
          <w:rFonts w:asciiTheme="majorBidi" w:hAnsiTheme="majorBidi" w:cstheme="majorBidi"/>
          <w:sz w:val="24"/>
          <w:szCs w:val="24"/>
        </w:rPr>
        <w:t>Patients' numbers categorized by tumor stage</w:t>
      </w:r>
    </w:p>
    <w:p w:rsidR="00FE60DC" w:rsidRPr="008528C3" w:rsidRDefault="00FE60DC" w:rsidP="00FE60DC">
      <w:pPr>
        <w:rPr>
          <w:rFonts w:asciiTheme="majorBidi" w:hAnsiTheme="majorBidi" w:cstheme="majorBidi"/>
        </w:rPr>
      </w:pPr>
    </w:p>
    <w:sectPr w:rsidR="00FE60DC" w:rsidRPr="008528C3" w:rsidSect="008528C3">
      <w:pgSz w:w="11906" w:h="16838"/>
      <w:pgMar w:top="1440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F5C0D"/>
    <w:rsid w:val="0011407C"/>
    <w:rsid w:val="003819D5"/>
    <w:rsid w:val="003E3DC3"/>
    <w:rsid w:val="00423C76"/>
    <w:rsid w:val="007D76F9"/>
    <w:rsid w:val="008528C3"/>
    <w:rsid w:val="008B181B"/>
    <w:rsid w:val="00EF5C0D"/>
    <w:rsid w:val="00FE6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8C3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5C0D"/>
    <w:rPr>
      <w:rFonts w:ascii="Tahoma" w:hAnsi="Tahoma" w:cs="Tahoma"/>
      <w:sz w:val="16"/>
      <w:szCs w:val="16"/>
      <w:lang w:val="en-GB"/>
    </w:rPr>
  </w:style>
  <w:style w:type="table" w:styleId="TabloKlavuzu">
    <w:name w:val="Table Grid"/>
    <w:basedOn w:val="NormalTablo"/>
    <w:uiPriority w:val="59"/>
    <w:rsid w:val="00FE6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lineChart>
        <c:grouping val="standard"/>
        <c:ser>
          <c:idx val="0"/>
          <c:order val="0"/>
          <c:tx>
            <c:strRef>
              <c:f>Sayfa1!$B$1</c:f>
              <c:strCache>
                <c:ptCount val="1"/>
                <c:pt idx="0">
                  <c:v>No of Patients  </c:v>
                </c:pt>
              </c:strCache>
            </c:strRef>
          </c:tx>
          <c:marker>
            <c:symbol val="none"/>
          </c:marker>
          <c:cat>
            <c:strRef>
              <c:f>Sayfa1!$A$2:$A$6</c:f>
              <c:strCache>
                <c:ptCount val="5"/>
                <c:pt idx="0">
                  <c:v>Stage 0</c:v>
                </c:pt>
                <c:pt idx="1">
                  <c:v>Stage 1</c:v>
                </c:pt>
                <c:pt idx="2">
                  <c:v>Stage 2</c:v>
                </c:pt>
                <c:pt idx="3">
                  <c:v>Stage 3</c:v>
                </c:pt>
                <c:pt idx="4">
                  <c:v>Stage 4</c:v>
                </c:pt>
              </c:strCache>
            </c:strRef>
          </c:cat>
          <c:val>
            <c:numRef>
              <c:f>Sayfa1!$B$2:$B$6</c:f>
              <c:numCache>
                <c:formatCode>General</c:formatCode>
                <c:ptCount val="5"/>
                <c:pt idx="0">
                  <c:v>0</c:v>
                </c:pt>
                <c:pt idx="1">
                  <c:v>66</c:v>
                </c:pt>
                <c:pt idx="2">
                  <c:v>168</c:v>
                </c:pt>
                <c:pt idx="3">
                  <c:v>287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       Precentage  %</c:v>
                </c:pt>
              </c:strCache>
            </c:strRef>
          </c:tx>
          <c:marker>
            <c:symbol val="none"/>
          </c:marker>
          <c:cat>
            <c:strRef>
              <c:f>Sayfa1!$A$2:$A$6</c:f>
              <c:strCache>
                <c:ptCount val="5"/>
                <c:pt idx="0">
                  <c:v>Stage 0</c:v>
                </c:pt>
                <c:pt idx="1">
                  <c:v>Stage 1</c:v>
                </c:pt>
                <c:pt idx="2">
                  <c:v>Stage 2</c:v>
                </c:pt>
                <c:pt idx="3">
                  <c:v>Stage 3</c:v>
                </c:pt>
                <c:pt idx="4">
                  <c:v>Stage 4</c:v>
                </c:pt>
              </c:strCache>
            </c:strRef>
          </c:cat>
          <c:val>
            <c:numRef>
              <c:f>Sayfa1!$C$2:$C$6</c:f>
              <c:numCache>
                <c:formatCode>General</c:formatCode>
                <c:ptCount val="5"/>
                <c:pt idx="0">
                  <c:v>0</c:v>
                </c:pt>
                <c:pt idx="1">
                  <c:v>12</c:v>
                </c:pt>
                <c:pt idx="2">
                  <c:v>31.5</c:v>
                </c:pt>
                <c:pt idx="3">
                  <c:v>53.5</c:v>
                </c:pt>
                <c:pt idx="4">
                  <c:v>3</c:v>
                </c:pt>
              </c:numCache>
            </c:numRef>
          </c:val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Sütun1</c:v>
                </c:pt>
              </c:strCache>
            </c:strRef>
          </c:tx>
          <c:marker>
            <c:symbol val="none"/>
          </c:marker>
          <c:cat>
            <c:strRef>
              <c:f>Sayfa1!$A$2:$A$6</c:f>
              <c:strCache>
                <c:ptCount val="5"/>
                <c:pt idx="0">
                  <c:v>Stage 0</c:v>
                </c:pt>
                <c:pt idx="1">
                  <c:v>Stage 1</c:v>
                </c:pt>
                <c:pt idx="2">
                  <c:v>Stage 2</c:v>
                </c:pt>
                <c:pt idx="3">
                  <c:v>Stage 3</c:v>
                </c:pt>
                <c:pt idx="4">
                  <c:v>Stage 4</c:v>
                </c:pt>
              </c:strCache>
            </c:strRef>
          </c:cat>
          <c:val>
            <c:numRef>
              <c:f>Sayfa1!$D$2:$D$6</c:f>
              <c:numCache>
                <c:formatCode>General</c:formatCode>
                <c:ptCount val="5"/>
              </c:numCache>
            </c:numRef>
          </c:val>
        </c:ser>
        <c:marker val="1"/>
        <c:axId val="35126656"/>
        <c:axId val="35998336"/>
      </c:lineChart>
      <c:catAx>
        <c:axId val="35126656"/>
        <c:scaling>
          <c:orientation val="minMax"/>
        </c:scaling>
        <c:axPos val="b"/>
        <c:tickLblPos val="nextTo"/>
        <c:crossAx val="35998336"/>
        <c:crosses val="autoZero"/>
        <c:auto val="1"/>
        <c:lblAlgn val="ctr"/>
        <c:lblOffset val="100"/>
      </c:catAx>
      <c:valAx>
        <c:axId val="35998336"/>
        <c:scaling>
          <c:orientation val="minMax"/>
        </c:scaling>
        <c:axPos val="l"/>
        <c:majorGridlines/>
        <c:numFmt formatCode="General" sourceLinked="1"/>
        <c:tickLblPos val="nextTo"/>
        <c:crossAx val="35126656"/>
        <c:crosses val="autoZero"/>
        <c:crossBetween val="between"/>
      </c:valAx>
    </c:plotArea>
    <c:legend>
      <c:legendPos val="r"/>
    </c:legend>
    <c:plotVisOnly val="1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r-TR"/>
    </a:p>
  </c:tx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2023-12-10T20:11:00Z</dcterms:created>
  <dcterms:modified xsi:type="dcterms:W3CDTF">2023-12-14T22:59:00Z</dcterms:modified>
</cp:coreProperties>
</file>