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A2CA5" w14:textId="77777777" w:rsidR="000A6CAF" w:rsidRDefault="005A4995">
      <w:pPr>
        <w:pStyle w:val="Title"/>
        <w:spacing w:after="240"/>
      </w:pPr>
      <w:r>
        <w:t xml:space="preserve">Medyada </w:t>
      </w:r>
      <w:bookmarkStart w:id="0" w:name="_GoBack"/>
      <w:bookmarkEnd w:id="0"/>
      <w:r>
        <w:t>Bağımlılık Konulu Metaverse Sanal Sergisi</w:t>
      </w:r>
    </w:p>
    <w:p w14:paraId="667F89C9" w14:textId="59F89253" w:rsidR="000A6CAF" w:rsidRDefault="005A4995">
      <w:pPr>
        <w:pStyle w:val="Subtitle"/>
        <w:spacing w:after="0"/>
      </w:pPr>
      <w:r>
        <w:t>Erkan Yetik</w:t>
      </w:r>
      <w:r>
        <w:rPr>
          <w:vertAlign w:val="superscript"/>
        </w:rPr>
        <w:t>1</w:t>
      </w:r>
      <w:r>
        <w:t xml:space="preserve">, </w:t>
      </w:r>
      <w:r w:rsidR="00B55C48" w:rsidRPr="00B55C48">
        <w:t>https://orcid.org/0000-0002-7357-0499</w:t>
      </w:r>
      <w:r>
        <w:t>, eyetik@ogu.edu.tr</w:t>
      </w:r>
      <w:r>
        <w:br/>
        <w:t>Zeynep Yurtseven Avcı</w:t>
      </w:r>
      <w:r>
        <w:rPr>
          <w:vertAlign w:val="superscript"/>
        </w:rPr>
        <w:t>2</w:t>
      </w:r>
      <w:r>
        <w:t xml:space="preserve">, https://orcid.org/0000-0001-7740-743X, </w:t>
      </w:r>
      <w:proofErr w:type="spellStart"/>
      <w:r>
        <w:t>zavci</w:t>
      </w:r>
      <w:proofErr w:type="spellEnd"/>
      <w:r>
        <w:rPr>
          <w:lang w:val="en-US"/>
        </w:rPr>
        <w:t>@ogu.edu.tr</w:t>
      </w:r>
    </w:p>
    <w:p w14:paraId="45D5C7AD" w14:textId="77777777" w:rsidR="000A6CAF" w:rsidRDefault="005A4995">
      <w:pPr>
        <w:pStyle w:val="Subtitle"/>
        <w:spacing w:after="0"/>
      </w:pPr>
      <w:r>
        <w:t>Gözde Tekbaş</w:t>
      </w:r>
      <w:r>
        <w:rPr>
          <w:vertAlign w:val="superscript"/>
        </w:rPr>
        <w:t>3</w:t>
      </w:r>
      <w:r>
        <w:t>, https://orcid.org/0000-0003-4525-877X, gozde.tekbas@ogu.edu.tr</w:t>
      </w:r>
    </w:p>
    <w:p w14:paraId="355A01A7" w14:textId="77777777" w:rsidR="000A6CAF" w:rsidRDefault="005A4995">
      <w:pPr>
        <w:pStyle w:val="Subtitle"/>
        <w:spacing w:after="0"/>
      </w:pPr>
      <w:r>
        <w:t>Özge Mısırlı</w:t>
      </w:r>
      <w:r>
        <w:rPr>
          <w:vertAlign w:val="superscript"/>
        </w:rPr>
        <w:t>2</w:t>
      </w:r>
      <w:r>
        <w:t>, https://orcid.org/0000-0002-6135-6815, ozgeekarakus@gmail.com</w:t>
      </w:r>
    </w:p>
    <w:p w14:paraId="58FE3A49" w14:textId="77777777" w:rsidR="000A6CAF" w:rsidRDefault="000A6CAF">
      <w:pPr>
        <w:pStyle w:val="Subtitle"/>
        <w:spacing w:after="0"/>
      </w:pPr>
    </w:p>
    <w:p w14:paraId="2C0EDB76" w14:textId="77777777" w:rsidR="000A6CAF" w:rsidRDefault="005A4995">
      <w:pPr>
        <w:pStyle w:val="Subtitle"/>
        <w:spacing w:after="0"/>
      </w:pPr>
      <w:r>
        <w:rPr>
          <w:vertAlign w:val="superscript"/>
        </w:rPr>
        <w:t>1</w:t>
      </w:r>
      <w:r>
        <w:t xml:space="preserve">Eskişehir Osmangazi Üniversitesi, Uzaktan Eğitim Uygulama ve Araştırma Merkezi </w:t>
      </w:r>
      <w:r>
        <w:rPr>
          <w:vertAlign w:val="superscript"/>
        </w:rPr>
        <w:t>2</w:t>
      </w:r>
      <w:r>
        <w:t xml:space="preserve">Eskişehir Osmangazi Üniversitesi, Bilgisayar ve Öğretim Teknolojileri Eğitimi Bölümü, </w:t>
      </w:r>
      <w:r>
        <w:rPr>
          <w:vertAlign w:val="superscript"/>
        </w:rPr>
        <w:t>3</w:t>
      </w:r>
      <w:r>
        <w:t xml:space="preserve"> </w:t>
      </w:r>
      <w:r>
        <w:rPr>
          <w:vertAlign w:val="superscript"/>
        </w:rPr>
        <w:t>3</w:t>
      </w:r>
      <w:r>
        <w:t>Eskişehir Osmangazi Üniversitesi, Eğitim Bilimleri Bölümü, Rehberlik ve Psikolojik Danışmanlık Anabilim Dalı</w:t>
      </w:r>
    </w:p>
    <w:p w14:paraId="510608A5" w14:textId="77777777" w:rsidR="000A6CAF" w:rsidRDefault="000A6CAF"/>
    <w:p w14:paraId="6F86866B" w14:textId="77777777" w:rsidR="000A6CAF" w:rsidRDefault="005A4995">
      <w:pPr>
        <w:jc w:val="both"/>
      </w:pPr>
      <w:r>
        <w:t xml:space="preserve">Bu çalışma, öğretmen adayları tarafından hazırlanan, </w:t>
      </w:r>
      <w:r>
        <w:rPr>
          <w:i/>
        </w:rPr>
        <w:t>Medyada Bağımlılık</w:t>
      </w:r>
      <w:r>
        <w:t xml:space="preserve"> konulu dijital posterlerin </w:t>
      </w:r>
      <w:r>
        <w:rPr>
          <w:color w:val="000000"/>
        </w:rPr>
        <w:t>bir</w:t>
      </w:r>
      <w:r>
        <w:rPr>
          <w:color w:val="FF0000"/>
        </w:rPr>
        <w:t xml:space="preserve"> </w:t>
      </w:r>
      <w:r>
        <w:t xml:space="preserve">Metaverse ortamında sanal bir sergi haline getirilme süreci üzerinedir. </w:t>
      </w:r>
      <w:r>
        <w:rPr>
          <w:i/>
        </w:rPr>
        <w:t xml:space="preserve">Metaverse </w:t>
      </w:r>
      <w:r>
        <w:t xml:space="preserve">kavramını son yıllarda sıklıkla duymaya ve hayatımızın çeşitli alanlarında daha çok görmeye başladık. Metaverse ortamları, artırılmış gerçeklik (AG), sanal gerçeklik (SG), karma gerçeklik (KG) gibi çeşitli dijital teknolojilerin bir arada kullanımı ile kullanıcılara gerçek ve sanal öğelerden oluşan, gerçeklik hissi yüksek deneyimler sunmaktadır. SG bileşenler, kullanıcıların görselleştirme ve derinlik algısını desteklerken, AG ve KG bileşenler dijital içeriği gerçek dünyaya taşır. Bu çalışma, Türkiye’de bir devlet üniversitesinde, farklı öğretmenlik branşlarında öğrenim gören … öğretmen adayının katılımı ile gerçekleştirilmiştir. Çalışmada öğretmen adayları tarafından hazırlanan dijital içeriklerin, katılımcılar tarafından yer ve zaman </w:t>
      </w:r>
      <w:proofErr w:type="spellStart"/>
      <w:r>
        <w:t>kısıtı</w:t>
      </w:r>
      <w:proofErr w:type="spellEnd"/>
      <w:r>
        <w:t xml:space="preserve"> olmadan ve gerçeğe yakın bir deneyimle ziyaret edebilecekleri bir ortamda sergilenmesi amaçlanmıştır. Çalışmada, Metaverse ortamında sergilenmek üzere seçilen posterler, öğretmen adaylarının medyada hangi tür bağımlıkların nasıl işlendiği üzerine yaptığı araştırma sonrası oluşturdukları metaforlar üzerine hazırlanmıştır. </w:t>
      </w:r>
    </w:p>
    <w:p w14:paraId="16DFA6F7" w14:textId="11F13D6F" w:rsidR="000A6CAF" w:rsidRDefault="005A4995">
      <w:pPr>
        <w:jc w:val="both"/>
      </w:pPr>
      <w:r>
        <w:t xml:space="preserve">Çalışmanın gerçekleştirildiği 2021-2022 Bahar döneminde </w:t>
      </w:r>
      <w:r w:rsidR="005A1D48">
        <w:t xml:space="preserve">Medya Okuryazarlığı dersini </w:t>
      </w:r>
      <w:r w:rsidR="00ED34EF">
        <w:t xml:space="preserve">Eğitim Fakültesi </w:t>
      </w:r>
      <w:r w:rsidR="008021FF">
        <w:t>A grubu (59</w:t>
      </w:r>
      <w:r w:rsidR="000D5123">
        <w:t>), B grubu (84</w:t>
      </w:r>
      <w:r w:rsidR="008021FF">
        <w:t xml:space="preserve">), Ebelik (91) </w:t>
      </w:r>
      <w:r>
        <w:t>olmak üzer</w:t>
      </w:r>
      <w:r w:rsidR="000D5123">
        <w:t>e 234</w:t>
      </w:r>
      <w:r>
        <w:t xml:space="preserve"> öğretmen adayı almıştır. Poster hazırlama sürecinde öğretmen adayları gruplar halinde </w:t>
      </w:r>
      <w:r w:rsidR="00161E9A">
        <w:t>çalışmışlardır. Öğretmen adaylarına, kendilerine uygulanan ankette hazırladıkları içeriklerin bilimsel bir çalışmada ve sanal sergide kullanımına izin verip vermedikleri sorulmuştur. Ankete katılan ve izin veren grupların posterleri arasından sergide yer alacak posterler seçilmiştir.</w:t>
      </w:r>
      <w:r>
        <w:t xml:space="preserve"> Öğretmen adayları poster hazırlama süreci öncesinde, Medya Okuryazarlığı dersi kapsamında iki hafta boyunca çeşitli medya içeriklerini takip etmişler ve bireysel olarak medyada bağımlılık konusu üzerine gözlemlerinden oluşan kısa raporlar hazırlamışlardır. Sonraki aşamada gözlemlerine dayalı olarak seçtikleri bir bağımlık türünü bir metaforla ifade ettikleri ve nedenlerini anlattıkları ikinci bir kısa rapor hazırlamışlardır. Son aşamada ise öğretmen adaylarından oluşturdukları metaforları dijital poster olarak hazırlamaları istenmiştir. Bu bağlamda bu çalışma, yukarıda aşamaları anlatılan daha geniş kapsamlı bir çalışmanın son aşaması üzerine hazırlanmıştır. </w:t>
      </w:r>
    </w:p>
    <w:p w14:paraId="13244B61" w14:textId="7A14ECC3" w:rsidR="000A6CAF" w:rsidRDefault="005A4995">
      <w:pPr>
        <w:jc w:val="both"/>
        <w:rPr>
          <w:rStyle w:val="hgkelc"/>
          <w:bCs/>
        </w:rPr>
      </w:pPr>
      <w:r>
        <w:t xml:space="preserve">Katılımcıların yer ve zaman bağlamında bir kısıtlama olmadan ilgili içerikleri ziyaret edebileceği bir ortam oluşturulması amacıyla hazırlanan posterlerin bir sanal sergide yer alması planlanmıştır. Sanal sergi ortamı, Spatial.io isimli uygulamanın ücretsiz kullanımı ile bir Metaverse ortamı şeklinde oluşturulmuştur. </w:t>
      </w:r>
      <w:r w:rsidR="00854FD0">
        <w:t xml:space="preserve">Toplamda hazırlanan </w:t>
      </w:r>
      <w:r w:rsidR="00A56E43">
        <w:t xml:space="preserve">74 </w:t>
      </w:r>
      <w:r w:rsidR="00854FD0">
        <w:t xml:space="preserve">posterden, </w:t>
      </w:r>
      <w:r w:rsidR="005A1D48">
        <w:t>2</w:t>
      </w:r>
      <w:r w:rsidR="00A944B8">
        <w:t>9</w:t>
      </w:r>
      <w:r w:rsidR="005A1D48">
        <w:t>’u</w:t>
      </w:r>
      <w:r w:rsidR="00A944B8">
        <w:t xml:space="preserve"> </w:t>
      </w:r>
      <w:r w:rsidR="00854FD0">
        <w:t xml:space="preserve">sergide </w:t>
      </w:r>
      <w:r>
        <w:t xml:space="preserve">yer almıştır. </w:t>
      </w:r>
      <w:r>
        <w:rPr>
          <w:rStyle w:val="hgkelc"/>
        </w:rPr>
        <w:t xml:space="preserve">Posterler Metaverse ortamına yüklemek amacıyla </w:t>
      </w:r>
      <w:proofErr w:type="spellStart"/>
      <w:r>
        <w:rPr>
          <w:rStyle w:val="hgkelc"/>
        </w:rPr>
        <w:t>NFT’ye</w:t>
      </w:r>
      <w:proofErr w:type="spellEnd"/>
      <w:r>
        <w:rPr>
          <w:rStyle w:val="hgkelc"/>
        </w:rPr>
        <w:t xml:space="preserve"> </w:t>
      </w:r>
      <w:proofErr w:type="spellStart"/>
      <w:r>
        <w:rPr>
          <w:rStyle w:val="hgkelc"/>
        </w:rPr>
        <w:t>çevirilmiştir</w:t>
      </w:r>
      <w:proofErr w:type="spellEnd"/>
      <w:r>
        <w:rPr>
          <w:rStyle w:val="hgkelc"/>
        </w:rPr>
        <w:t>. İngilizce açılımı “</w:t>
      </w:r>
      <w:proofErr w:type="spellStart"/>
      <w:r>
        <w:rPr>
          <w:rStyle w:val="hgkelc"/>
        </w:rPr>
        <w:t>Non</w:t>
      </w:r>
      <w:proofErr w:type="spellEnd"/>
      <w:r>
        <w:rPr>
          <w:rStyle w:val="hgkelc"/>
        </w:rPr>
        <w:t xml:space="preserve"> </w:t>
      </w:r>
      <w:proofErr w:type="spellStart"/>
      <w:r>
        <w:rPr>
          <w:rStyle w:val="hgkelc"/>
        </w:rPr>
        <w:t>Fungible</w:t>
      </w:r>
      <w:proofErr w:type="spellEnd"/>
      <w:r>
        <w:rPr>
          <w:rStyle w:val="hgkelc"/>
        </w:rPr>
        <w:t xml:space="preserve"> </w:t>
      </w:r>
      <w:proofErr w:type="spellStart"/>
      <w:r>
        <w:rPr>
          <w:rStyle w:val="hgkelc"/>
        </w:rPr>
        <w:t>Token</w:t>
      </w:r>
      <w:proofErr w:type="spellEnd"/>
      <w:r>
        <w:rPr>
          <w:rStyle w:val="hgkelc"/>
        </w:rPr>
        <w:t xml:space="preserve">” olan NFT, değiştirilemez </w:t>
      </w:r>
      <w:proofErr w:type="spellStart"/>
      <w:r>
        <w:rPr>
          <w:rStyle w:val="hgkelc"/>
        </w:rPr>
        <w:t>token</w:t>
      </w:r>
      <w:proofErr w:type="spellEnd"/>
      <w:r>
        <w:rPr>
          <w:rStyle w:val="hgkelc"/>
        </w:rPr>
        <w:t xml:space="preserve"> olarak adlandırılmaktadır. </w:t>
      </w:r>
      <w:proofErr w:type="spellStart"/>
      <w:r>
        <w:rPr>
          <w:rStyle w:val="hgkelc"/>
        </w:rPr>
        <w:t>NFT’ler</w:t>
      </w:r>
      <w:proofErr w:type="spellEnd"/>
      <w:r>
        <w:rPr>
          <w:rStyle w:val="hgkelc"/>
        </w:rPr>
        <w:t xml:space="preserve"> </w:t>
      </w:r>
      <w:proofErr w:type="spellStart"/>
      <w:r>
        <w:rPr>
          <w:rStyle w:val="hgkelc"/>
        </w:rPr>
        <w:t>blokzincir</w:t>
      </w:r>
      <w:proofErr w:type="spellEnd"/>
      <w:r>
        <w:rPr>
          <w:rStyle w:val="hgkelc"/>
        </w:rPr>
        <w:t xml:space="preserve"> teknolojisi ile güvence altına alınmaktadır.</w:t>
      </w:r>
      <w:r>
        <w:rPr>
          <w:bCs/>
        </w:rPr>
        <w:t xml:space="preserve"> </w:t>
      </w:r>
      <w:proofErr w:type="spellStart"/>
      <w:r>
        <w:rPr>
          <w:bCs/>
        </w:rPr>
        <w:t>Blokzincir</w:t>
      </w:r>
      <w:proofErr w:type="spellEnd"/>
      <w:r>
        <w:rPr>
          <w:bCs/>
        </w:rPr>
        <w:t xml:space="preserve"> teknolojisi, blokların birbirine zincir gibi bağlandığı, bir merkezi kontrol noktası ve merkezi bir ağı olmayan dağınık bir veri tabanı şeklinde tanımlanabilir (</w:t>
      </w:r>
      <w:r>
        <w:rPr>
          <w:rFonts w:eastAsia="Times New Roman"/>
        </w:rPr>
        <w:t>Üstün, 2021)</w:t>
      </w:r>
      <w:r>
        <w:rPr>
          <w:bCs/>
        </w:rPr>
        <w:t>. Başka bir tabirle şifreleme kullanılarak bağlanılan ve güvenli hale getirilen, bloklar adı verilen, sürekli büyüyen bir kayıt listesidir. Bu sistemin güvenliğinin en üst seviyede olmasının nedeni, merkezi bir veri tabanına sahip olmaması, dağınık bir şekilde rastgele ortamlarda bulunması üzerine tasarlanmış olmasıdır (</w:t>
      </w:r>
      <w:proofErr w:type="spellStart"/>
      <w:r>
        <w:rPr>
          <w:bCs/>
        </w:rPr>
        <w:t>Kırbaş</w:t>
      </w:r>
      <w:proofErr w:type="spellEnd"/>
      <w:r>
        <w:rPr>
          <w:bCs/>
        </w:rPr>
        <w:t>, 2018).</w:t>
      </w:r>
    </w:p>
    <w:p w14:paraId="726C89DF" w14:textId="77777777" w:rsidR="000A6CAF" w:rsidRDefault="005A4995">
      <w:pPr>
        <w:jc w:val="both"/>
        <w:rPr>
          <w:rStyle w:val="hgkelc"/>
        </w:rPr>
      </w:pPr>
      <w:r>
        <w:rPr>
          <w:rStyle w:val="hgkelc"/>
        </w:rPr>
        <w:t xml:space="preserve">NFT elde edebilmek için öncelikle bir dijital cüzdana ihtiyaç duyulmaktadır. Dijital cüzdan, sanal ortamlarda alışveriş yapılmasına olanak sağlayan, dijital paraların güvenli </w:t>
      </w:r>
      <w:r>
        <w:rPr>
          <w:rStyle w:val="hgkelc"/>
        </w:rPr>
        <w:lastRenderedPageBreak/>
        <w:t xml:space="preserve">bir ortamda tutulmasını sağlayan bir uygulamadır. Dijital cüzdan oluşturulduktan sonra bir pazaryeri seçilerek </w:t>
      </w:r>
      <w:proofErr w:type="spellStart"/>
      <w:r>
        <w:rPr>
          <w:rStyle w:val="hgkelc"/>
        </w:rPr>
        <w:t>NFT’ler</w:t>
      </w:r>
      <w:proofErr w:type="spellEnd"/>
      <w:r>
        <w:rPr>
          <w:rStyle w:val="hgkelc"/>
        </w:rPr>
        <w:t xml:space="preserve"> buraya yüklenmektedir. Bu pazaryerinde </w:t>
      </w:r>
      <w:proofErr w:type="spellStart"/>
      <w:r>
        <w:rPr>
          <w:rStyle w:val="hgkelc"/>
        </w:rPr>
        <w:t>NFT’lerin</w:t>
      </w:r>
      <w:proofErr w:type="spellEnd"/>
      <w:r>
        <w:rPr>
          <w:rStyle w:val="hgkelc"/>
        </w:rPr>
        <w:t xml:space="preserve"> fiyatlanması yapılmaktadır. Buradan kazanılan her </w:t>
      </w:r>
      <w:proofErr w:type="spellStart"/>
      <w:r>
        <w:rPr>
          <w:rStyle w:val="hgkelc"/>
        </w:rPr>
        <w:t>coin</w:t>
      </w:r>
      <w:proofErr w:type="spellEnd"/>
      <w:r>
        <w:rPr>
          <w:rStyle w:val="hgkelc"/>
        </w:rPr>
        <w:t xml:space="preserve"> için pazaryeri sizden belirli bir ücret talep etmektedir. Fiyatlama yapıldıktan sonra istenilen </w:t>
      </w:r>
      <w:proofErr w:type="spellStart"/>
      <w:r>
        <w:rPr>
          <w:rStyle w:val="hgkelc"/>
        </w:rPr>
        <w:t>metaverse</w:t>
      </w:r>
      <w:proofErr w:type="spellEnd"/>
      <w:r>
        <w:rPr>
          <w:rStyle w:val="hgkelc"/>
        </w:rPr>
        <w:t xml:space="preserve"> evreninde güvenle bu </w:t>
      </w:r>
      <w:proofErr w:type="spellStart"/>
      <w:r>
        <w:rPr>
          <w:rStyle w:val="hgkelc"/>
        </w:rPr>
        <w:t>NFT’ler</w:t>
      </w:r>
      <w:proofErr w:type="spellEnd"/>
      <w:r>
        <w:rPr>
          <w:rStyle w:val="hgkelc"/>
        </w:rPr>
        <w:t xml:space="preserve"> sergilenebilmekte ya da yüklenebilmektedir. Bazı Metaverse ortamlarında </w:t>
      </w:r>
      <w:proofErr w:type="spellStart"/>
      <w:r>
        <w:rPr>
          <w:rStyle w:val="hgkelc"/>
        </w:rPr>
        <w:t>NFT’ye</w:t>
      </w:r>
      <w:proofErr w:type="spellEnd"/>
      <w:r>
        <w:rPr>
          <w:rStyle w:val="hgkelc"/>
        </w:rPr>
        <w:t xml:space="preserve"> çevirmeden de görsel yüklemesi yapılabilmektedir, ancak bu şekilde Metaverse ortamlarına yüklenen içeriklerin çalınma riski mevcuttur. Eğer değerli bir içeriğiniz varsa </w:t>
      </w:r>
      <w:proofErr w:type="spellStart"/>
      <w:r>
        <w:rPr>
          <w:rStyle w:val="hgkelc"/>
        </w:rPr>
        <w:t>NFT’ye</w:t>
      </w:r>
      <w:proofErr w:type="spellEnd"/>
      <w:r>
        <w:rPr>
          <w:rStyle w:val="hgkelc"/>
        </w:rPr>
        <w:t xml:space="preserve"> çevirmek akıllıca olacaktır. Bu çalışmada ticari bir kaygı güdülmediğinden ve görsellerin satışı istenmediğinden </w:t>
      </w:r>
      <w:proofErr w:type="spellStart"/>
      <w:r>
        <w:rPr>
          <w:rStyle w:val="hgkelc"/>
        </w:rPr>
        <w:t>NFT’lere</w:t>
      </w:r>
      <w:proofErr w:type="spellEnd"/>
      <w:r>
        <w:rPr>
          <w:rStyle w:val="hgkelc"/>
        </w:rPr>
        <w:t xml:space="preserve"> yüksek bir ücretlendirme yapılarak alımının engellenmesi amaçlanmıştır. Bu proje kapsamında içeriklerin </w:t>
      </w:r>
      <w:proofErr w:type="spellStart"/>
      <w:r>
        <w:rPr>
          <w:rStyle w:val="hgkelc"/>
        </w:rPr>
        <w:t>NFT’ye</w:t>
      </w:r>
      <w:proofErr w:type="spellEnd"/>
      <w:r>
        <w:rPr>
          <w:rStyle w:val="hgkelc"/>
        </w:rPr>
        <w:t xml:space="preserve"> çevrilmesinin nedeni oluşturulan eserlerin güvenliğinin sağlanmasıdır.</w:t>
      </w:r>
    </w:p>
    <w:p w14:paraId="48F234B6" w14:textId="4CC99474" w:rsidR="000A6CAF" w:rsidRDefault="005A4995">
      <w:pPr>
        <w:jc w:val="both"/>
        <w:rPr>
          <w:rStyle w:val="hgkelc"/>
        </w:rPr>
      </w:pPr>
      <w:r>
        <w:rPr>
          <w:rStyle w:val="hgkelc"/>
        </w:rPr>
        <w:t>Sergide yer alan posterlerin içeriklerinin ziyaretçiler tarafından daha iyi anlaşılması amacıyla, her posterin dayandırıldığı metafor poster açıklaması olarak verilmiştir</w:t>
      </w:r>
      <w:r w:rsidR="005A1D48">
        <w:rPr>
          <w:rStyle w:val="hgkelc"/>
        </w:rPr>
        <w:t xml:space="preserve">. Katılımcılar e-posta adreslerine gönderilen </w:t>
      </w:r>
      <w:r w:rsidR="005A1D48">
        <w:t>daveti takip ederek</w:t>
      </w:r>
      <w:r w:rsidR="00291711">
        <w:t xml:space="preserve"> </w:t>
      </w:r>
      <w:r w:rsidR="00E8472C">
        <w:t>Spatial.io adres</w:t>
      </w:r>
      <w:r w:rsidR="00E61396">
        <w:t>i</w:t>
      </w:r>
      <w:r w:rsidR="005A1D48">
        <w:t xml:space="preserve"> üzerinden ücretsiz</w:t>
      </w:r>
      <w:r w:rsidR="00E61396">
        <w:t xml:space="preserve"> üyelik oluşturduktan sonra </w:t>
      </w:r>
      <w:proofErr w:type="spellStart"/>
      <w:r w:rsidR="00A84C7D">
        <w:rPr>
          <w:rStyle w:val="hgkelc"/>
          <w:color w:val="000000"/>
        </w:rPr>
        <w:t>avatarlarını</w:t>
      </w:r>
      <w:proofErr w:type="spellEnd"/>
      <w:r w:rsidR="00A84C7D">
        <w:rPr>
          <w:rStyle w:val="hgkelc"/>
          <w:color w:val="000000"/>
        </w:rPr>
        <w:t xml:space="preserve"> yönlendirerek</w:t>
      </w:r>
      <w:r>
        <w:rPr>
          <w:rStyle w:val="hgkelc"/>
          <w:color w:val="000000"/>
        </w:rPr>
        <w:t xml:space="preserve"> posterleri ziyaret edebilecektir. Sergi katılımları sırasında katılımcılar, herhangi bir poster ya da genel olarak ortam hakkında yorumlarını kendileri ile </w:t>
      </w:r>
      <w:r w:rsidR="00BF02C9">
        <w:rPr>
          <w:rStyle w:val="hgkelc"/>
          <w:color w:val="000000"/>
        </w:rPr>
        <w:t xml:space="preserve">paylaşılan doküman üzerinden </w:t>
      </w:r>
      <w:r>
        <w:rPr>
          <w:rStyle w:val="hgkelc"/>
          <w:color w:val="000000"/>
        </w:rPr>
        <w:t xml:space="preserve">araştırmacılar ile paylaşabilecektir. </w:t>
      </w:r>
      <w:r w:rsidR="00BF02C9">
        <w:rPr>
          <w:rStyle w:val="hgkelc"/>
          <w:color w:val="000000"/>
        </w:rPr>
        <w:t xml:space="preserve">Doküman bağlantısı </w:t>
      </w:r>
      <w:proofErr w:type="spellStart"/>
      <w:r w:rsidR="00BF02C9">
        <w:rPr>
          <w:rStyle w:val="hgkelc"/>
          <w:color w:val="000000"/>
        </w:rPr>
        <w:t>metaverse</w:t>
      </w:r>
      <w:proofErr w:type="spellEnd"/>
      <w:r w:rsidR="00BF02C9">
        <w:rPr>
          <w:rStyle w:val="hgkelc"/>
          <w:color w:val="000000"/>
        </w:rPr>
        <w:t xml:space="preserve"> ortamında katılımcılar ile paylaşılmıştır.</w:t>
      </w:r>
    </w:p>
    <w:p w14:paraId="0EDCF7F9" w14:textId="77777777" w:rsidR="000A6CAF" w:rsidRDefault="000A6CAF"/>
    <w:p w14:paraId="4E21B45E" w14:textId="07C9FC1F" w:rsidR="000A6CAF" w:rsidRDefault="005A4995">
      <w:pPr>
        <w:rPr>
          <w:b/>
          <w:bCs/>
        </w:rPr>
      </w:pPr>
      <w:r>
        <w:rPr>
          <w:b/>
          <w:bCs/>
        </w:rPr>
        <w:t xml:space="preserve">Anahtar Kelimeler: </w:t>
      </w:r>
      <w:r>
        <w:rPr>
          <w:i/>
          <w:iCs/>
        </w:rPr>
        <w:t>Medya, Bağımlılık, Metaverse, NFT, Sanal Sergi</w:t>
      </w:r>
      <w:r w:rsidR="00B55C48">
        <w:rPr>
          <w:i/>
          <w:iCs/>
        </w:rPr>
        <w:t>, dijital poster</w:t>
      </w:r>
    </w:p>
    <w:p w14:paraId="7E115ABA" w14:textId="77777777" w:rsidR="000A6CAF" w:rsidRDefault="000A6CAF"/>
    <w:p w14:paraId="7AD296F0" w14:textId="77777777" w:rsidR="000A6CAF" w:rsidRDefault="005A4995">
      <w:pPr>
        <w:spacing w:after="0"/>
        <w:ind w:left="706" w:hanging="706"/>
        <w:rPr>
          <w:rFonts w:eastAsia="Times New Roman"/>
          <w:sz w:val="24"/>
          <w:szCs w:val="24"/>
          <w:lang w:val="en-US"/>
        </w:rPr>
      </w:pPr>
      <w:r>
        <w:rPr>
          <w:rFonts w:eastAsia="Times New Roman"/>
        </w:rPr>
        <w:t xml:space="preserve">Üstün, E. S. (2021). </w:t>
      </w:r>
      <w:r>
        <w:rPr>
          <w:rFonts w:eastAsia="Times New Roman"/>
          <w:i/>
          <w:iCs/>
        </w:rPr>
        <w:t>TBK kapsamında geleneksel sözleşmeler ile mukayeseli olarak akıllı sözleşmeler-Blok zincir teknolojisi</w:t>
      </w:r>
      <w:r>
        <w:rPr>
          <w:rFonts w:eastAsia="Times New Roman"/>
        </w:rPr>
        <w:t xml:space="preserve">. Seçkin </w:t>
      </w:r>
      <w:r>
        <w:t>Yayıncılık</w:t>
      </w:r>
      <w:r>
        <w:rPr>
          <w:rFonts w:eastAsia="Times New Roman"/>
        </w:rPr>
        <w:t>.</w:t>
      </w:r>
    </w:p>
    <w:p w14:paraId="75716729" w14:textId="355B3503" w:rsidR="007105B5" w:rsidRDefault="005A4995">
      <w:pPr>
        <w:spacing w:after="0"/>
        <w:ind w:left="706" w:hanging="706"/>
        <w:rPr>
          <w:rFonts w:eastAsia="Times New Roman"/>
        </w:rPr>
      </w:pPr>
      <w:proofErr w:type="spellStart"/>
      <w:r>
        <w:rPr>
          <w:rFonts w:eastAsia="Times New Roman"/>
        </w:rPr>
        <w:t>Kırbaş</w:t>
      </w:r>
      <w:proofErr w:type="spellEnd"/>
      <w:r>
        <w:rPr>
          <w:rFonts w:eastAsia="Times New Roman"/>
        </w:rPr>
        <w:t xml:space="preserve">, İ. (2018). Blok zinciri teknolojisi ve yakın gelecekteki uygulama alanları. </w:t>
      </w:r>
      <w:r>
        <w:rPr>
          <w:rFonts w:eastAsia="Times New Roman"/>
          <w:i/>
        </w:rPr>
        <w:t>Mehmet Akif Ersoy Üniversitesi Fen Bilimleri Enstitüsü Dergisi, 9</w:t>
      </w:r>
      <w:r>
        <w:rPr>
          <w:rFonts w:eastAsia="Times New Roman"/>
        </w:rPr>
        <w:t>(1), 75-82.</w:t>
      </w:r>
    </w:p>
    <w:sectPr w:rsidR="007105B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50BD1" w14:textId="77777777" w:rsidR="00383E80" w:rsidRDefault="00383E80">
      <w:pPr>
        <w:spacing w:after="0"/>
      </w:pPr>
      <w:r>
        <w:separator/>
      </w:r>
    </w:p>
  </w:endnote>
  <w:endnote w:type="continuationSeparator" w:id="0">
    <w:p w14:paraId="2B153E00" w14:textId="77777777" w:rsidR="00383E80" w:rsidRDefault="00383E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F625D" w14:textId="77777777" w:rsidR="000A6CAF" w:rsidRDefault="005A4995">
    <w:pPr>
      <w:pStyle w:val="Footer"/>
      <w:jc w:val="center"/>
    </w:pPr>
    <w:r>
      <w:fldChar w:fldCharType="begin"/>
    </w:r>
    <w:r>
      <w:instrText>PAGE   \* MERGEFORMAT</w:instrText>
    </w:r>
    <w:r>
      <w:fldChar w:fldCharType="separate"/>
    </w:r>
    <w:r w:rsidR="00B55C48">
      <w:rPr>
        <w:noProof/>
      </w:rPr>
      <w:t>2</w:t>
    </w:r>
    <w:r>
      <w:fldChar w:fldCharType="end"/>
    </w:r>
  </w:p>
  <w:p w14:paraId="4A2D6E30" w14:textId="77777777" w:rsidR="000A6CAF" w:rsidRDefault="000A6CA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65349" w14:textId="77777777" w:rsidR="00383E80" w:rsidRDefault="00383E80">
      <w:pPr>
        <w:spacing w:after="0"/>
      </w:pPr>
      <w:r>
        <w:separator/>
      </w:r>
    </w:p>
  </w:footnote>
  <w:footnote w:type="continuationSeparator" w:id="0">
    <w:p w14:paraId="2F3DBF51" w14:textId="77777777" w:rsidR="00383E80" w:rsidRDefault="00383E8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2F81EA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0000002"/>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8A72C9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AF"/>
    <w:rsid w:val="000A6CAF"/>
    <w:rsid w:val="000D5123"/>
    <w:rsid w:val="00161E9A"/>
    <w:rsid w:val="00291711"/>
    <w:rsid w:val="00383E80"/>
    <w:rsid w:val="005A1D48"/>
    <w:rsid w:val="005A4995"/>
    <w:rsid w:val="00626EE4"/>
    <w:rsid w:val="007105B5"/>
    <w:rsid w:val="008021FF"/>
    <w:rsid w:val="00852EA3"/>
    <w:rsid w:val="00854FD0"/>
    <w:rsid w:val="008A19F0"/>
    <w:rsid w:val="008E0DE8"/>
    <w:rsid w:val="00961406"/>
    <w:rsid w:val="00961DA5"/>
    <w:rsid w:val="00985842"/>
    <w:rsid w:val="00A56E43"/>
    <w:rsid w:val="00A84C7D"/>
    <w:rsid w:val="00A944B8"/>
    <w:rsid w:val="00B55C48"/>
    <w:rsid w:val="00BF02C9"/>
    <w:rsid w:val="00E61396"/>
    <w:rsid w:val="00E8472C"/>
    <w:rsid w:val="00ED34EF"/>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198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宋体"/>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line="240" w:lineRule="auto"/>
      <w:ind w:firstLine="709"/>
    </w:pPr>
    <w:rPr>
      <w:rFonts w:ascii="Verdana" w:hAnsi="Verdana"/>
      <w:sz w:val="20"/>
    </w:rPr>
  </w:style>
  <w:style w:type="paragraph" w:styleId="Heading1">
    <w:name w:val="heading 1"/>
    <w:basedOn w:val="Normal"/>
    <w:next w:val="Normal"/>
    <w:link w:val="Heading1Char"/>
    <w:uiPriority w:val="9"/>
    <w:qFormat/>
    <w:pPr>
      <w:ind w:firstLine="0"/>
      <w:jc w:val="center"/>
      <w:outlineLvl w:val="0"/>
    </w:pPr>
    <w:rPr>
      <w:b/>
      <w:bCs/>
    </w:rPr>
  </w:style>
  <w:style w:type="paragraph" w:styleId="Heading2">
    <w:name w:val="heading 2"/>
    <w:basedOn w:val="Normal"/>
    <w:next w:val="Normal"/>
    <w:link w:val="Heading2Char"/>
    <w:uiPriority w:val="9"/>
    <w:qFormat/>
    <w:pPr>
      <w:ind w:firstLine="0"/>
      <w:outlineLvl w:val="1"/>
    </w:pPr>
    <w:rPr>
      <w:b/>
      <w:bCs/>
    </w:rPr>
  </w:style>
  <w:style w:type="paragraph" w:styleId="Heading3">
    <w:name w:val="heading 3"/>
    <w:basedOn w:val="Normal"/>
    <w:next w:val="Normal"/>
    <w:link w:val="Heading3Char"/>
    <w:uiPriority w:val="9"/>
    <w:qFormat/>
    <w:pPr>
      <w:ind w:firstLine="0"/>
      <w:outlineLvl w:val="2"/>
    </w:pPr>
    <w:rPr>
      <w:b/>
      <w:bCs/>
      <w:i/>
      <w:iCs/>
    </w:rPr>
  </w:style>
  <w:style w:type="paragraph" w:styleId="Heading4">
    <w:name w:val="heading 4"/>
    <w:basedOn w:val="Normal"/>
    <w:next w:val="Normal"/>
    <w:link w:val="Heading4Char"/>
    <w:uiPriority w:val="9"/>
    <w:qFormat/>
    <w:pPr>
      <w:outlineLvl w:val="3"/>
    </w:pPr>
    <w:rPr>
      <w:b/>
      <w:bCs/>
    </w:rPr>
  </w:style>
  <w:style w:type="paragraph" w:styleId="Heading5">
    <w:name w:val="heading 5"/>
    <w:basedOn w:val="Normal"/>
    <w:next w:val="Normal"/>
    <w:link w:val="Heading5Char"/>
    <w:uiPriority w:val="9"/>
    <w:qFormat/>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ind w:firstLine="0"/>
      <w:jc w:val="center"/>
    </w:pPr>
    <w:rPr>
      <w:b/>
      <w:bCs/>
      <w:sz w:val="28"/>
      <w:szCs w:val="28"/>
    </w:rPr>
  </w:style>
  <w:style w:type="character" w:customStyle="1" w:styleId="TitleChar">
    <w:name w:val="Title Char"/>
    <w:basedOn w:val="DefaultParagraphFont"/>
    <w:link w:val="Title"/>
    <w:uiPriority w:val="10"/>
    <w:rPr>
      <w:rFonts w:ascii="Verdana" w:hAnsi="Verdana"/>
      <w:b/>
      <w:bCs/>
      <w:sz w:val="28"/>
      <w:szCs w:val="28"/>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Verdana" w:hAnsi="Verdana"/>
      <w:b/>
      <w:bCs/>
      <w:sz w:val="20"/>
    </w:rPr>
  </w:style>
  <w:style w:type="character" w:customStyle="1" w:styleId="Heading2Char">
    <w:name w:val="Heading 2 Char"/>
    <w:basedOn w:val="DefaultParagraphFont"/>
    <w:link w:val="Heading2"/>
    <w:uiPriority w:val="9"/>
    <w:rPr>
      <w:rFonts w:ascii="Verdana" w:hAnsi="Verdana"/>
      <w:b/>
      <w:bCs/>
      <w:sz w:val="20"/>
    </w:rPr>
  </w:style>
  <w:style w:type="character" w:customStyle="1" w:styleId="Heading3Char">
    <w:name w:val="Heading 3 Char"/>
    <w:basedOn w:val="DefaultParagraphFont"/>
    <w:link w:val="Heading3"/>
    <w:uiPriority w:val="9"/>
    <w:rPr>
      <w:rFonts w:ascii="Verdana" w:hAnsi="Verdana"/>
      <w:b/>
      <w:bCs/>
      <w:i/>
      <w:iCs/>
      <w:sz w:val="20"/>
    </w:rPr>
  </w:style>
  <w:style w:type="character" w:customStyle="1" w:styleId="Heading4Char">
    <w:name w:val="Heading 4 Char"/>
    <w:basedOn w:val="DefaultParagraphFont"/>
    <w:link w:val="Heading4"/>
    <w:uiPriority w:val="9"/>
    <w:rPr>
      <w:rFonts w:ascii="Verdana" w:hAnsi="Verdana"/>
      <w:b/>
      <w:bCs/>
      <w:sz w:val="20"/>
    </w:rPr>
  </w:style>
  <w:style w:type="character" w:customStyle="1" w:styleId="Heading5Char">
    <w:name w:val="Heading 5 Char"/>
    <w:basedOn w:val="DefaultParagraphFont"/>
    <w:link w:val="Heading5"/>
    <w:uiPriority w:val="9"/>
    <w:rPr>
      <w:rFonts w:ascii="Verdana" w:hAnsi="Verdana"/>
      <w:b/>
      <w:bCs/>
      <w:i/>
      <w:iCs/>
      <w:sz w:val="20"/>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rPr>
      <w:rFonts w:ascii="Verdana" w:hAnsi="Verdana"/>
      <w:sz w:val="20"/>
    </w:rPr>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rPr>
      <w:rFonts w:ascii="Verdana" w:hAnsi="Verdana"/>
      <w:sz w:val="20"/>
    </w:rPr>
  </w:style>
  <w:style w:type="paragraph" w:styleId="NoSpacing">
    <w:name w:val="No Spacing"/>
    <w:uiPriority w:val="1"/>
    <w:qFormat/>
    <w:pPr>
      <w:spacing w:after="0" w:line="240" w:lineRule="auto"/>
    </w:pPr>
    <w:rPr>
      <w:rFonts w:ascii="Verdana" w:hAnsi="Verdana"/>
      <w:sz w:val="20"/>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numPr>
        <w:ilvl w:val="1"/>
      </w:numPr>
      <w:ind w:firstLine="709"/>
      <w:jc w:val="center"/>
    </w:pPr>
    <w:rPr>
      <w:rFonts w:eastAsia="宋体"/>
      <w:spacing w:val="15"/>
      <w:sz w:val="16"/>
    </w:rPr>
  </w:style>
  <w:style w:type="character" w:customStyle="1" w:styleId="SubtitleChar">
    <w:name w:val="Subtitle Char"/>
    <w:basedOn w:val="DefaultParagraphFont"/>
    <w:link w:val="Subtitle"/>
    <w:uiPriority w:val="11"/>
    <w:rPr>
      <w:rFonts w:ascii="Verdana" w:eastAsia="宋体" w:hAnsi="Verdana"/>
      <w:spacing w:val="15"/>
      <w:sz w:val="16"/>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Emphasis">
    <w:name w:val="Emphasis"/>
    <w:basedOn w:val="DefaultParagraphFont"/>
    <w:uiPriority w:val="20"/>
    <w:qFormat/>
    <w:rPr>
      <w:i/>
      <w:iCs/>
    </w:rPr>
  </w:style>
  <w:style w:type="character" w:customStyle="1" w:styleId="hgkelc">
    <w:name w:val="hgkelc"/>
    <w:basedOn w:val="DefaultParagraphFont"/>
  </w:style>
  <w:style w:type="paragraph" w:styleId="BalloonText">
    <w:name w:val="Balloon Text"/>
    <w:basedOn w:val="Normal"/>
    <w:link w:val="BalloonTextChar"/>
    <w:uiPriority w:val="99"/>
    <w:semiHidden/>
    <w:unhideWhenUsed/>
    <w:rsid w:val="00E8472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8472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13597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1493829D-5437-4D59-B2A5-F8717F0BF2A1}">
  <ds:schemaRefs>
    <ds:schemaRef ds:uri="http://www.wps.cn/android/officeDocument/2013/mofficeCustomData"/>
  </ds:schemaRefs>
</ds:datastoreItem>
</file>

<file path=customXml/itemProps2.xml><?xml version="1.0" encoding="utf-8"?>
<ds:datastoreItem xmlns:ds="http://schemas.openxmlformats.org/officeDocument/2006/customXml" ds:itemID="{3212A176-E03B-4C8B-A6B6-C04A58E9CB8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944</Words>
  <Characters>5385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Microsoft Office User</cp:lastModifiedBy>
  <cp:revision>13</cp:revision>
  <cp:lastPrinted>2021-06-16T13:33:00Z</cp:lastPrinted>
  <dcterms:created xsi:type="dcterms:W3CDTF">2022-08-24T17:26:00Z</dcterms:created>
  <dcterms:modified xsi:type="dcterms:W3CDTF">2022-08-28T16:23:00Z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