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EXISTENCE OF  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L_∞ </w:t>
          </w:r>
        </w:sdtContent>
      </w:sdt>
      <w:r w:rsidDel="00000000" w:rsidR="00000000" w:rsidRPr="00000000">
        <w:rPr>
          <w:rtl w:val="0"/>
        </w:rPr>
        <w:t xml:space="preserve">QUASI-ISOMORPHISMS FOR POLYDIFFERENTIAL OPERATORS WITH CONSTANT COEFFICIENTS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Elif Altınay Özaslan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Faculty of Science, Department of Mathematics, Kastamonu University, Kastamonu, Turkiye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highlight w:val="white"/>
          <w:rtl w:val="0"/>
        </w:rPr>
        <w:t xml:space="preserve">0000-0001-9560-1973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06"/>
        <w:tblGridChange w:id="0">
          <w:tblGrid>
            <w:gridCol w:w="10006"/>
          </w:tblGrid>
        </w:tblGridChange>
      </w:tblGrid>
      <w:tr>
        <w:trPr>
          <w:cantSplit w:val="0"/>
          <w:trHeight w:val="267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hd w:fill="d9d9d9" w:val="clear"/>
              <w:ind w:right="-21"/>
              <w:rPr>
                <w:rFonts w:ascii="Times New Roman" w:cs="Times New Roman" w:eastAsia="Times New Roman" w:hAnsi="Times New Roman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ABSTRACT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hd w:fill="d9d9d9" w:val="clear"/>
              <w:ind w:right="-21"/>
              <w:rPr>
                <w:b w:val="1"/>
                <w:sz w:val="20"/>
                <w:szCs w:val="20"/>
              </w:rPr>
            </w:pPr>
            <m:oMath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M. Kontsevich proved in his groundbreaking paper that there exists an </w:t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L_∞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color w:val="008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quasi-isomorphism from the graded Lie algebra of polyvector fields on the affine space </w:t>
            </w: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ℝ</m:t>
                  </m:r>
                </m:e>
                <m:sup>
                  <m:r>
                    <w:rPr/>
                    <m:t xml:space="preserve">d 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to the differential graded (dg) Lie algebra of polydifferential operators on </w:t>
            </w: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ℝ</m:t>
                  </m:r>
                </m:e>
                <m:sup>
                  <m:r>
                    <w:rPr/>
                    <m:t xml:space="preserve">d 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9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mj1td5olwukd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The coefficients entering Kontsevich’s  L_∞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color w:val="008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quasi-isomorphism are hard to compute, even for simple graphs. The situation simplifies dramatically if we consider the algebra of polydifferential operators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on </w:t>
            </w: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ℝ</m:t>
                  </m:r>
                </m:e>
                <m:sup>
                  <m:r>
                    <w:rPr/>
                    <m:t xml:space="preserve">d 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with constant coefficients. </w:t>
            </w:r>
          </w:p>
          <w:p w:rsidR="00000000" w:rsidDel="00000000" w:rsidP="00000000" w:rsidRDefault="00000000" w:rsidRPr="00000000" w14:paraId="0000000B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o6fr405wzaj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t8elcmiedd9y" w:id="3"/>
            <w:bookmarkEnd w:id="3"/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In this talk, we prove that there exists L_∞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color w:val="008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quasi-isomorphisms from the graded Lie algebra of polyvector fields on the affine space </w:t>
            </w: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ℝ</m:t>
                  </m:r>
                </m:e>
                <m:sup>
                  <m:r>
                    <w:rPr/>
                    <m:t xml:space="preserve">d 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with constant coefficients to the dg Lie algebra of polydifferential operators on </w:t>
            </w: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ℝ</m:t>
                  </m:r>
                </m:e>
                <m:sup>
                  <m:r>
                    <w:rPr/>
                    <m:t xml:space="preserve">d 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with constant coefficients. </w:t>
            </w:r>
          </w:p>
          <w:p w:rsidR="00000000" w:rsidDel="00000000" w:rsidP="00000000" w:rsidRDefault="00000000" w:rsidRPr="00000000" w14:paraId="0000000D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lx73fqq9nxqf" w:id="4"/>
            <w:bookmarkEnd w:id="4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i5u1k9bko5a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 our proof, we recall the notion of a stable formality quasi- isomorphism (SFQ). Finally, we use the fact that any SFQ gives us an 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L_∞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color w:val="008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quasi-isomorphism from the graded Lie algebra of polyvector fields on the affine space </w:t>
            </w: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ℝ</m:t>
                  </m:r>
                </m:e>
                <m:sup>
                  <m:r>
                    <w:rPr/>
                    <m:t xml:space="preserve">d 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to the dg Lie algebra of polydifferential operators on </w:t>
            </w:r>
            <m:oMath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ℝ</m:t>
                  </m:r>
                </m:e>
                <m:sup>
                  <m:r>
                    <w:rPr/>
                    <m:t xml:space="preserve">d </m:t>
                  </m:r>
                </m:sup>
              </m:sSup>
            </m:oMath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F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e7dvi0opy4bt" w:id="6"/>
            <w:bookmarkEnd w:id="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8l8ff5p81qnr" w:id="7"/>
            <w:bookmarkEnd w:id="7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4wdlapdyelcb" w:id="8"/>
            <w:bookmarkEnd w:id="8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hd w:fill="d9d9d9" w:val="clear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u w:val="single"/>
                <w:rtl w:val="0"/>
              </w:rPr>
              <w:t xml:space="preserve">References: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hd w:fill="d9d9d9" w:val="clear"/>
              <w:tabs>
                <w:tab w:val="left" w:leader="none" w:pos="319"/>
              </w:tabs>
              <w:ind w:left="319" w:hanging="31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[1] Dolgushev, V. A.  (2021). Stable Formality Quasi-isomorphisms for Hochschild Cochains,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M´em. Soc.Math. Fr.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(N.S.)168(2021), vi+108 pp.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hd w:fill="d9d9d9" w:val="clear"/>
              <w:tabs>
                <w:tab w:val="left" w:leader="none" w:pos="319"/>
              </w:tabs>
              <w:ind w:left="319" w:hanging="31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hd w:fill="d9d9d9" w:val="clear"/>
              <w:tabs>
                <w:tab w:val="left" w:leader="none" w:pos="319"/>
              </w:tabs>
              <w:ind w:left="319" w:hanging="31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[2]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Dolgushev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, V. A.,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Hoffnung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A.E. , and Rogers C. L. (2015) What 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homotopy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algebras form?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Adv. Math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 274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562–605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hd w:fill="d9d9d9" w:val="clear"/>
              <w:tabs>
                <w:tab w:val="left" w:leader="none" w:pos="319"/>
              </w:tabs>
              <w:ind w:left="319" w:hanging="31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hd w:fill="d9d9d9" w:val="clear"/>
              <w:tabs>
                <w:tab w:val="left" w:leader="none" w:pos="319"/>
              </w:tabs>
              <w:ind w:left="319" w:hanging="31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[3]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Dolgushev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V. A. and Rogers C.L. (2015) A Version of the Goldman-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Millson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theorem for filtered 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20"/>
                    <w:szCs w:val="20"/>
                    <w:rtl w:val="0"/>
                  </w:rPr>
                  <w:t xml:space="preserve">L_∞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color w:val="008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algebras,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J. Algebra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430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u w:val="single"/>
                <w:rtl w:val="0"/>
              </w:rPr>
              <w:t xml:space="preserve">260–302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d9d9d9" w:val="clear"/>
              <w:tabs>
                <w:tab w:val="left" w:leader="none" w:pos="319"/>
              </w:tabs>
              <w:ind w:left="319" w:hanging="31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d9d9d9" w:val="clear"/>
              <w:tabs>
                <w:tab w:val="left" w:leader="none" w:pos="319"/>
              </w:tabs>
              <w:ind w:left="319" w:hanging="319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[4] Kontsevich, M. (2003).Deformation quantization of Poisson manifolds,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Lett. Math. Phys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., 66,  157-216; q-alg/9709040.</w:t>
            </w:r>
          </w:p>
          <w:p w:rsidR="00000000" w:rsidDel="00000000" w:rsidP="00000000" w:rsidRDefault="00000000" w:rsidRPr="00000000" w14:paraId="0000001B">
            <w:pPr>
              <w:shd w:fill="d9d9d9" w:val="clear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sz w:val="20"/>
          <w:szCs w:val="20"/>
          <w:rtl w:val="0"/>
        </w:rPr>
        <w:t xml:space="preserve">Keywords: </w:t>
      </w: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sz w:val="20"/>
              <w:szCs w:val="20"/>
              <w:rtl w:val="0"/>
            </w:rPr>
            <w:t xml:space="preserve">L_∞</w:t>
          </w:r>
        </w:sdtContent>
      </w:sdt>
      <w:r w:rsidDel="00000000" w:rsidR="00000000" w:rsidRPr="00000000">
        <w:rPr>
          <w:b w:val="0"/>
          <w:color w:val="008000"/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quasi-isomorphism, stable formality quasi-isomorphisms.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5" w:top="1418" w:left="1021" w:right="1021" w:header="426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Gungsuh"/>
  <w:font w:name="Oxanium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88900</wp:posOffset>
              </wp:positionV>
              <wp:extent cx="752475" cy="45720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974525" y="3556163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  <w:t xml:space="preserve">2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2946400</wp:posOffset>
              </wp:positionH>
              <wp:positionV relativeFrom="paragraph">
                <wp:posOffset>88900</wp:posOffset>
              </wp:positionV>
              <wp:extent cx="752475" cy="457200"/>
              <wp:effectExtent b="0" l="0" r="0" t="0"/>
              <wp:wrapNone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42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5711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5711"/>
      <w:tblGridChange w:id="0">
        <w:tblGrid>
          <w:gridCol w:w="5711"/>
        </w:tblGrid>
      </w:tblGridChange>
    </w:tblGrid>
    <w:tr>
      <w:trPr>
        <w:cantSplit w:val="0"/>
        <w:trHeight w:val="70" w:hRule="atLeast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2E">
          <w:pPr>
            <w:ind w:left="106" w:hanging="106"/>
            <w:jc w:val="both"/>
            <w:rPr>
              <w:rFonts w:ascii="Times New Roman" w:cs="Times New Roman" w:eastAsia="Times New Roman" w:hAnsi="Times New Roman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6"/>
              <w:szCs w:val="16"/>
              <w:rtl w:val="0"/>
            </w:rPr>
            <w:t xml:space="preserve">*Corresponding author’s </w:t>
          </w:r>
          <w:r w:rsidDel="00000000" w:rsidR="00000000" w:rsidRPr="00000000">
            <w:rPr>
              <w:rFonts w:ascii="Times New Roman" w:cs="Times New Roman" w:eastAsia="Times New Roman" w:hAnsi="Times New Roman"/>
              <w:i w:val="1"/>
              <w:color w:val="000000"/>
              <w:sz w:val="16"/>
              <w:szCs w:val="16"/>
              <w:rtl w:val="0"/>
            </w:rPr>
            <w:t xml:space="preserve">e-mail address:kudrety@sakarya.edu.tr.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30" w:hRule="atLeast"/>
        <w:tblHeader w:val="0"/>
      </w:trPr>
      <w:tc>
        <w:tcPr/>
        <w:p w:rsidR="00000000" w:rsidDel="00000000" w:rsidP="00000000" w:rsidRDefault="00000000" w:rsidRPr="00000000" w14:paraId="0000002F">
          <w:pPr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0">
    <w:pPr>
      <w:spacing w:after="0" w:lineRule="auto"/>
      <w:jc w:val="both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54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4912"/>
      <w:gridCol w:w="578"/>
      <w:gridCol w:w="2169"/>
      <w:gridCol w:w="1881"/>
      <w:tblGridChange w:id="0">
        <w:tblGrid>
          <w:gridCol w:w="4912"/>
          <w:gridCol w:w="578"/>
          <w:gridCol w:w="2169"/>
          <w:gridCol w:w="1881"/>
        </w:tblGrid>
      </w:tblGridChange>
    </w:tblGrid>
    <w:tr>
      <w:trPr>
        <w:cantSplit w:val="0"/>
        <w:trHeight w:val="1128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1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superscript"/>
              <w:rtl w:val="0"/>
            </w:rPr>
            <w:t xml:space="preserve">nd 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International Karatekin Science and Technology Conference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1F">
          <w:pPr>
            <w:jc w:val="right"/>
            <w:rPr>
              <w:rFonts w:ascii="Oxanium" w:cs="Oxanium" w:eastAsia="Oxanium" w:hAnsi="Oxanium"/>
              <w:color w:val="000000"/>
              <w:sz w:val="48"/>
              <w:szCs w:val="48"/>
              <w:highlight w:val="whit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20">
          <w:pPr>
            <w:jc w:val="center"/>
            <w:rPr>
              <w:sz w:val="60"/>
              <w:szCs w:val="60"/>
            </w:rPr>
          </w:pPr>
          <w:r w:rsidDel="00000000" w:rsidR="00000000" w:rsidRPr="00000000">
            <w:rPr>
              <w:rFonts w:ascii="Oxanium" w:cs="Oxanium" w:eastAsia="Oxanium" w:hAnsi="Oxanium"/>
              <w:color w:val="000000"/>
              <w:sz w:val="48"/>
              <w:szCs w:val="48"/>
              <w:highlight w:val="white"/>
              <w:rtl w:val="0"/>
            </w:rPr>
            <w:t xml:space="preserve">IKSTC2</w:t>
          </w:r>
          <w:r w:rsidDel="00000000" w:rsidR="00000000" w:rsidRPr="00000000">
            <w:rPr>
              <w:rFonts w:ascii="Oxanium" w:cs="Oxanium" w:eastAsia="Oxanium" w:hAnsi="Oxanium"/>
              <w:color w:val="000000"/>
              <w:sz w:val="48"/>
              <w:szCs w:val="48"/>
              <w:highlight w:val="white"/>
              <w:vertAlign w:val="superscript"/>
              <w:rtl w:val="0"/>
            </w:rPr>
            <w:t xml:space="preserve">nd</w:t>
          </w:r>
          <w:r w:rsidDel="00000000" w:rsidR="00000000" w:rsidRPr="00000000">
            <w:rPr>
              <w:rFonts w:ascii="Oxanium" w:cs="Oxanium" w:eastAsia="Oxanium" w:hAnsi="Oxanium"/>
              <w:color w:val="000000"/>
              <w:sz w:val="48"/>
              <w:szCs w:val="48"/>
              <w:highlight w:val="white"/>
              <w:rtl w:val="0"/>
            </w:rPr>
            <w:t xml:space="preserve"> 2023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971171" cy="746439"/>
                <wp:effectExtent b="0" l="0" r="0" t="0"/>
                <wp:docPr descr="logo" id="4" name="image3.png"/>
                <a:graphic>
                  <a:graphicData uri="http://schemas.openxmlformats.org/drawingml/2006/picture">
                    <pic:pic>
                      <pic:nvPicPr>
                        <pic:cNvPr descr="logo" id="0" name="image3.png"/>
                        <pic:cNvPicPr preferRelativeResize="0"/>
                      </pic:nvPicPr>
                      <pic:blipFill>
                        <a:blip r:embed="rId1"/>
                        <a:srcRect b="6932" l="0" r="0" t="1620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171" cy="74643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96" w:hRule="atLeast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2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536"/>
              <w:tab w:val="right" w:leader="none" w:pos="907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December 21-22, 2023 – Çankırı, Turkiye</w:t>
          </w:r>
        </w:p>
      </w:tc>
      <w:tc>
        <w:tcPr>
          <w:gridSpan w:val="3"/>
          <w:shd w:fill="auto" w:val="clear"/>
        </w:tcPr>
        <w:p w:rsidR="00000000" w:rsidDel="00000000" w:rsidP="00000000" w:rsidRDefault="00000000" w:rsidRPr="00000000" w14:paraId="00000023">
          <w:pPr>
            <w:jc w:val="center"/>
            <w:rPr/>
          </w:pPr>
          <w:hyperlink r:id="rId2"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https://ikstc.karatekin.edu.tr/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55435" cy="1555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023045" y="3706975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Altunay,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ff0000"/>
                              <w:sz w:val="20"/>
                              <w:vertAlign w:val="baseline"/>
                            </w:rPr>
                            <w:t xml:space="preserve">Çakmak-et al.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 / Cumhuriyet Sci. J., 41(x) (2020) xx-yy</w:t>
                          </w: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55435" cy="15557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55435" cy="155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66725" cy="17018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17400" y="3699673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2"/>
                              <w:vertAlign w:val="baseline"/>
                            </w:rPr>
                            <w:t xml:space="preserve">PAGE   \* MERGEFORMAT2</w:t>
                          </w:r>
                        </w:p>
                      </w:txbxContent>
                    </wps:txbx>
                    <wps:bodyPr anchorCtr="0" anchor="ctr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66725" cy="170180"/>
              <wp:effectExtent b="0" l="0" r="0" t="0"/>
              <wp:wrapNone/>
              <wp:docPr id="3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6725" cy="170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jc w:val="center"/>
      <w:rPr>
        <w:b w:val="1"/>
        <w:color w:val="5b9bd5"/>
        <w:sz w:val="20"/>
        <w:szCs w:val="20"/>
      </w:rPr>
    </w:pPr>
    <w:r w:rsidDel="00000000" w:rsidR="00000000" w:rsidRPr="00000000">
      <w:rPr/>
      <w:drawing>
        <wp:inline distB="0" distT="0" distL="0" distR="0">
          <wp:extent cx="464820" cy="464820"/>
          <wp:effectExtent b="0" l="0" r="0" t="0"/>
          <wp:docPr descr="logo" id="6" name="image2.png"/>
          <a:graphic>
            <a:graphicData uri="http://schemas.openxmlformats.org/drawingml/2006/picture">
              <pic:pic>
                <pic:nvPicPr>
                  <pic:cNvPr descr="log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4820" cy="4648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smallCaps w:val="1"/>
        <w:color w:val="5b9bd5"/>
        <w:sz w:val="18"/>
        <w:szCs w:val="18"/>
        <w:rtl w:val="0"/>
      </w:rPr>
      <w:t xml:space="preserve">PROCEEDINGS OF IKSTC 2022 - THE 1</w:t>
    </w:r>
    <w:r w:rsidDel="00000000" w:rsidR="00000000" w:rsidRPr="00000000">
      <w:rPr>
        <w:b w:val="1"/>
        <w:smallCaps w:val="1"/>
        <w:color w:val="5b9bd5"/>
        <w:sz w:val="18"/>
        <w:szCs w:val="18"/>
        <w:vertAlign w:val="superscript"/>
        <w:rtl w:val="0"/>
      </w:rPr>
      <w:t xml:space="preserve">ST</w:t>
    </w:r>
    <w:r w:rsidDel="00000000" w:rsidR="00000000" w:rsidRPr="00000000">
      <w:rPr>
        <w:b w:val="1"/>
        <w:smallCaps w:val="1"/>
        <w:color w:val="5b9bd5"/>
        <w:sz w:val="18"/>
        <w:szCs w:val="18"/>
        <w:rtl w:val="0"/>
      </w:rPr>
      <w:t xml:space="preserve"> INTERNATINAL KARATEKIN SCIENCE AND TECHNOLOGY CONFERENCE</w:t>
    </w:r>
    <w:r w:rsidDel="00000000" w:rsidR="00000000" w:rsidRPr="00000000">
      <w:rPr/>
      <w:drawing>
        <wp:inline distB="0" distT="0" distL="0" distR="0">
          <wp:extent cx="340769" cy="294491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80387" t="0"/>
                  <a:stretch>
                    <a:fillRect/>
                  </a:stretch>
                </pic:blipFill>
                <pic:spPr>
                  <a:xfrm>
                    <a:off x="0" y="0"/>
                    <a:ext cx="340769" cy="29449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6372" w:firstLine="0"/>
      <w:rPr>
        <w:b w:val="1"/>
        <w:smallCaps w:val="1"/>
        <w:color w:val="7030a0"/>
        <w:sz w:val="16"/>
        <w:szCs w:val="16"/>
      </w:rPr>
    </w:pPr>
    <w:r w:rsidDel="00000000" w:rsidR="00000000" w:rsidRPr="00000000">
      <w:rPr>
        <w:b w:val="1"/>
        <w:smallCaps w:val="1"/>
        <w:color w:val="7030a0"/>
        <w:sz w:val="14"/>
        <w:szCs w:val="14"/>
        <w:rtl w:val="0"/>
      </w:rPr>
      <w:t xml:space="preserve">             </w:t>
    </w:r>
    <w:r w:rsidDel="00000000" w:rsidR="00000000" w:rsidRPr="00000000">
      <w:rPr>
        <w:b w:val="1"/>
        <w:smallCaps w:val="1"/>
        <w:color w:val="7030a0"/>
        <w:sz w:val="16"/>
        <w:szCs w:val="16"/>
        <w:rtl w:val="0"/>
      </w:rPr>
      <w:t xml:space="preserve">1-3 SEPTEMBER 2022, ÇANKIRI, TURKEY</w:t>
    </w:r>
  </w:p>
  <w:p w:rsidR="00000000" w:rsidDel="00000000" w:rsidP="00000000" w:rsidRDefault="00000000" w:rsidRPr="00000000" w14:paraId="0000002A">
    <w:pPr>
      <w:ind w:left="6372" w:firstLine="0"/>
      <w:rPr>
        <w:b w:val="1"/>
        <w:smallCaps w:val="1"/>
        <w:color w:val="7030a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xanium-regular.ttf"/><Relationship Id="rId2" Type="http://schemas.openxmlformats.org/officeDocument/2006/relationships/font" Target="fonts/Oxanium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s://ikstc.karatekin.edu.tr/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yux8D8kxM7y4LJ3TqO9rfIP4RQ==">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