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48" w:rsidRDefault="00654FBC" w:rsidP="00CB77C4">
      <w:pPr>
        <w:pStyle w:val="Heading1"/>
        <w:rPr>
          <w:b w:val="0"/>
          <w:lang w:val="en-US"/>
        </w:rPr>
      </w:pPr>
      <w:r>
        <w:rPr>
          <w:lang w:val="en-US"/>
        </w:rPr>
        <w:t>Trade and Foreign Direct Investment on Economic Growth i</w:t>
      </w:r>
      <w:r w:rsidRPr="0022220F">
        <w:rPr>
          <w:lang w:val="en-US"/>
        </w:rPr>
        <w:t xml:space="preserve">n </w:t>
      </w:r>
      <w:r w:rsidR="0022220F" w:rsidRPr="0022220F">
        <w:rPr>
          <w:lang w:val="en-US"/>
        </w:rPr>
        <w:t>Indonesia</w:t>
      </w:r>
      <w:r w:rsidR="0022220F">
        <w:rPr>
          <w:lang w:val="en-US"/>
        </w:rPr>
        <w:t>: ARDL</w:t>
      </w:r>
      <w:r w:rsidR="00480948" w:rsidRPr="00914472">
        <w:rPr>
          <w:lang w:val="en-US"/>
        </w:rPr>
        <w:t xml:space="preserve"> Approach</w:t>
      </w:r>
    </w:p>
    <w:p w:rsidR="00480948" w:rsidRPr="006F160F" w:rsidRDefault="004C1DDC" w:rsidP="004C1DDC">
      <w:pPr>
        <w:jc w:val="center"/>
        <w:rPr>
          <w:vertAlign w:val="superscript"/>
          <w:lang w:val="id-ID"/>
        </w:rPr>
      </w:pPr>
      <w:proofErr w:type="spellStart"/>
      <w:r>
        <w:t>Cahya</w:t>
      </w:r>
      <w:proofErr w:type="spellEnd"/>
      <w:r>
        <w:t xml:space="preserve"> </w:t>
      </w:r>
      <w:r>
        <w:rPr>
          <w:lang w:val="id-ID"/>
        </w:rPr>
        <w:t>B</w:t>
      </w:r>
      <w:proofErr w:type="spellStart"/>
      <w:r w:rsidRPr="004C1DDC">
        <w:t>ud</w:t>
      </w:r>
      <w:proofErr w:type="spellEnd"/>
      <w:r>
        <w:rPr>
          <w:lang w:val="id-ID"/>
        </w:rPr>
        <w:t>h</w:t>
      </w:r>
      <w:r w:rsidRPr="004C1DDC">
        <w:t xml:space="preserve">i </w:t>
      </w:r>
      <w:r>
        <w:rPr>
          <w:lang w:val="id-ID"/>
        </w:rPr>
        <w:t>I</w:t>
      </w:r>
      <w:proofErr w:type="spellStart"/>
      <w:r w:rsidRPr="004C1DDC">
        <w:t>rawan</w:t>
      </w:r>
      <w:proofErr w:type="spellEnd"/>
      <w:r>
        <w:rPr>
          <w:vertAlign w:val="superscript"/>
          <w:lang w:val="id-ID"/>
        </w:rPr>
        <w:t>1</w:t>
      </w:r>
      <w:r>
        <w:rPr>
          <w:lang w:val="id-ID"/>
        </w:rPr>
        <w:t xml:space="preserve">, </w:t>
      </w:r>
      <w:r w:rsidR="001A4633" w:rsidRPr="00E03ADD">
        <w:rPr>
          <w:lang w:val="en-US"/>
        </w:rPr>
        <w:t xml:space="preserve">Budi </w:t>
      </w:r>
      <w:r w:rsidR="001A4633">
        <w:t>S</w:t>
      </w:r>
      <w:proofErr w:type="spellStart"/>
      <w:r w:rsidR="001A4633" w:rsidRPr="00E03ADD">
        <w:rPr>
          <w:lang w:val="en-US"/>
        </w:rPr>
        <w:t>asongko</w:t>
      </w:r>
      <w:bookmarkStart w:id="0" w:name="_GoBack"/>
      <w:bookmarkEnd w:id="0"/>
      <w:proofErr w:type="spellEnd"/>
      <w:r>
        <w:rPr>
          <w:vertAlign w:val="superscript"/>
          <w:lang w:val="id-ID"/>
        </w:rPr>
        <w:t>2</w:t>
      </w:r>
      <w:r>
        <w:rPr>
          <w:lang w:val="id-ID"/>
        </w:rPr>
        <w:t>, M</w:t>
      </w:r>
      <w:r w:rsidRPr="004C1DDC">
        <w:rPr>
          <w:lang w:val="id-ID"/>
        </w:rPr>
        <w:t>uhamad</w:t>
      </w:r>
      <w:r>
        <w:rPr>
          <w:lang w:val="id-ID"/>
        </w:rPr>
        <w:t xml:space="preserve"> M</w:t>
      </w:r>
      <w:r w:rsidRPr="004C1DDC">
        <w:rPr>
          <w:lang w:val="id-ID"/>
        </w:rPr>
        <w:t>ukhlis</w:t>
      </w:r>
      <w:r>
        <w:rPr>
          <w:vertAlign w:val="superscript"/>
          <w:lang w:val="id-ID"/>
        </w:rPr>
        <w:t>3</w:t>
      </w:r>
      <w:r>
        <w:rPr>
          <w:lang w:val="id-ID"/>
        </w:rPr>
        <w:t xml:space="preserve">, </w:t>
      </w:r>
      <w:r w:rsidRPr="004C1DDC">
        <w:rPr>
          <w:lang w:val="id-ID"/>
        </w:rPr>
        <w:t xml:space="preserve">Danang </w:t>
      </w:r>
      <w:proofErr w:type="gramStart"/>
      <w:r w:rsidRPr="004C1DDC">
        <w:rPr>
          <w:lang w:val="id-ID"/>
        </w:rPr>
        <w:t>Dwi</w:t>
      </w:r>
      <w:proofErr w:type="gramEnd"/>
      <w:r w:rsidRPr="004C1DDC">
        <w:rPr>
          <w:lang w:val="id-ID"/>
        </w:rPr>
        <w:t xml:space="preserve"> Gusti Fajar Yanto</w:t>
      </w:r>
      <w:r>
        <w:rPr>
          <w:vertAlign w:val="superscript"/>
          <w:lang w:val="id-ID"/>
        </w:rPr>
        <w:t>4</w:t>
      </w:r>
      <w:r w:rsidR="006F160F">
        <w:rPr>
          <w:lang w:val="id-ID"/>
        </w:rPr>
        <w:t>,</w:t>
      </w:r>
      <w:r w:rsidR="006F160F" w:rsidRPr="006F160F">
        <w:t xml:space="preserve"> </w:t>
      </w:r>
      <w:r w:rsidR="006F160F" w:rsidRPr="006F160F">
        <w:rPr>
          <w:lang w:val="id-ID"/>
        </w:rPr>
        <w:t>Mirta Wahyu Wulandari</w:t>
      </w:r>
      <w:r w:rsidR="006F160F">
        <w:rPr>
          <w:vertAlign w:val="superscript"/>
          <w:lang w:val="id-ID"/>
        </w:rPr>
        <w:t>5</w:t>
      </w:r>
    </w:p>
    <w:p w:rsidR="004C1DDC" w:rsidRDefault="004C1DDC" w:rsidP="004C1DDC">
      <w:pPr>
        <w:jc w:val="center"/>
      </w:pPr>
      <w:r>
        <w:rPr>
          <w:vertAlign w:val="superscript"/>
        </w:rPr>
        <w:t>1</w:t>
      </w:r>
      <w:r>
        <w:t xml:space="preserve">STIE Jaya Negara </w:t>
      </w:r>
      <w:proofErr w:type="spellStart"/>
      <w:r>
        <w:t>Tamansiswa</w:t>
      </w:r>
      <w:proofErr w:type="spellEnd"/>
      <w:r>
        <w:t xml:space="preserve"> </w:t>
      </w:r>
      <w:proofErr w:type="spellStart"/>
      <w:r>
        <w:t>Malang</w:t>
      </w:r>
      <w:proofErr w:type="gramStart"/>
      <w:r>
        <w:t>,Indonesia</w:t>
      </w:r>
      <w:proofErr w:type="spellEnd"/>
      <w:proofErr w:type="gramEnd"/>
      <w:r>
        <w:t xml:space="preserve">, Email : </w:t>
      </w:r>
      <w:r w:rsidR="002A6EFB" w:rsidRPr="002A6EFB">
        <w:t>cahyabudhiirawan</w:t>
      </w:r>
      <w:r>
        <w:t xml:space="preserve">malang@gmail.com, </w:t>
      </w:r>
      <w:proofErr w:type="spellStart"/>
      <w:r>
        <w:t>Orcid</w:t>
      </w:r>
      <w:proofErr w:type="spellEnd"/>
      <w:r>
        <w:t xml:space="preserve"> Id : </w:t>
      </w:r>
      <w:r w:rsidR="007A05E1" w:rsidRPr="007A05E1">
        <w:t>0000-0003-4731-8115</w:t>
      </w:r>
    </w:p>
    <w:p w:rsidR="001A4633" w:rsidRDefault="001A4633" w:rsidP="004C1DDC">
      <w:pPr>
        <w:jc w:val="center"/>
        <w:rPr>
          <w:lang w:val="id-ID"/>
        </w:rPr>
      </w:pPr>
      <w:r>
        <w:rPr>
          <w:vertAlign w:val="superscript"/>
          <w:lang w:val="id-ID"/>
        </w:rPr>
        <w:t>2</w:t>
      </w:r>
      <w:r>
        <w:t xml:space="preserve">STIE Jaya Negara </w:t>
      </w:r>
      <w:proofErr w:type="spellStart"/>
      <w:r>
        <w:t>Tamansiswa</w:t>
      </w:r>
      <w:proofErr w:type="spellEnd"/>
      <w:r>
        <w:t xml:space="preserve"> </w:t>
      </w:r>
      <w:proofErr w:type="spellStart"/>
      <w:r>
        <w:t>Malang,Indonesia</w:t>
      </w:r>
      <w:proofErr w:type="spellEnd"/>
      <w:r>
        <w:t xml:space="preserve">, Email : Budisasongkomalang@gmail.com, </w:t>
      </w:r>
      <w:proofErr w:type="spellStart"/>
      <w:r>
        <w:t>Orcid</w:t>
      </w:r>
      <w:proofErr w:type="spellEnd"/>
      <w:r>
        <w:t xml:space="preserve"> Id : </w:t>
      </w:r>
      <w:r w:rsidRPr="00880617">
        <w:t>0000-0003-0050-9686</w:t>
      </w:r>
    </w:p>
    <w:p w:rsidR="004C1DDC" w:rsidRPr="00B94FEE" w:rsidRDefault="004C1DDC" w:rsidP="004C1DDC">
      <w:pPr>
        <w:jc w:val="center"/>
        <w:rPr>
          <w:lang w:val="id-ID"/>
        </w:rPr>
      </w:pPr>
      <w:r>
        <w:rPr>
          <w:vertAlign w:val="superscript"/>
        </w:rPr>
        <w:t>3</w:t>
      </w:r>
      <w:r w:rsidRPr="00BE07C8">
        <w:t xml:space="preserve"> </w:t>
      </w:r>
      <w:r>
        <w:t xml:space="preserve">STIE Jaya Negara </w:t>
      </w:r>
      <w:proofErr w:type="spellStart"/>
      <w:r>
        <w:t>Tamansiswa</w:t>
      </w:r>
      <w:proofErr w:type="spellEnd"/>
      <w:r>
        <w:t xml:space="preserve"> </w:t>
      </w:r>
      <w:proofErr w:type="spellStart"/>
      <w:r>
        <w:t>Malang</w:t>
      </w:r>
      <w:proofErr w:type="gramStart"/>
      <w:r>
        <w:t>,Indonesia</w:t>
      </w:r>
      <w:proofErr w:type="spellEnd"/>
      <w:proofErr w:type="gramEnd"/>
      <w:r>
        <w:t xml:space="preserve">, Email : </w:t>
      </w:r>
      <w:r w:rsidR="00B94FEE" w:rsidRPr="00B94FEE">
        <w:t>muhamadmukhlis@stiekn.ac.id</w:t>
      </w:r>
      <w:r>
        <w:t xml:space="preserve">, </w:t>
      </w:r>
      <w:proofErr w:type="spellStart"/>
      <w:r>
        <w:t>Orcid</w:t>
      </w:r>
      <w:proofErr w:type="spellEnd"/>
      <w:r>
        <w:t xml:space="preserve"> id </w:t>
      </w:r>
      <w:r w:rsidRPr="00B94FEE">
        <w:t xml:space="preserve">: </w:t>
      </w:r>
      <w:r w:rsidR="00B94FEE" w:rsidRPr="00B94FEE">
        <w:rPr>
          <w:lang w:val="id-ID"/>
        </w:rPr>
        <w:t>-</w:t>
      </w:r>
    </w:p>
    <w:p w:rsidR="004C1DDC" w:rsidRDefault="00B94FEE" w:rsidP="004C1DDC">
      <w:pPr>
        <w:jc w:val="center"/>
        <w:rPr>
          <w:lang w:val="id-ID"/>
        </w:rPr>
      </w:pPr>
      <w:proofErr w:type="gramStart"/>
      <w:r w:rsidRPr="00B94FEE">
        <w:rPr>
          <w:vertAlign w:val="superscript"/>
        </w:rPr>
        <w:t>4</w:t>
      </w:r>
      <w:r w:rsidRPr="00B94FEE">
        <w:t xml:space="preserve">University of </w:t>
      </w:r>
      <w:proofErr w:type="spellStart"/>
      <w:r w:rsidRPr="00B94FEE">
        <w:t>Muhammadiyah</w:t>
      </w:r>
      <w:proofErr w:type="spellEnd"/>
      <w:r w:rsidRPr="00B94FEE">
        <w:t xml:space="preserve"> </w:t>
      </w:r>
      <w:proofErr w:type="spellStart"/>
      <w:r w:rsidRPr="00B94FEE">
        <w:t>Jember</w:t>
      </w:r>
      <w:proofErr w:type="spellEnd"/>
      <w:r w:rsidRPr="00B94FEE">
        <w:t>, Indonesia.</w:t>
      </w:r>
      <w:proofErr w:type="gramEnd"/>
      <w:r w:rsidRPr="00B94FEE">
        <w:t xml:space="preserve"> Email: fajardanangdwi@gmail.com</w:t>
      </w:r>
      <w:r w:rsidR="004C1DDC" w:rsidRPr="00B94FEE">
        <w:t>,</w:t>
      </w:r>
      <w:r w:rsidR="004C1DDC">
        <w:t xml:space="preserve"> </w:t>
      </w:r>
      <w:proofErr w:type="spellStart"/>
      <w:r w:rsidR="004C1DDC">
        <w:t>Orcid</w:t>
      </w:r>
      <w:proofErr w:type="spellEnd"/>
      <w:r w:rsidR="004C1DDC">
        <w:t xml:space="preserve"> </w:t>
      </w:r>
      <w:proofErr w:type="gramStart"/>
      <w:r w:rsidR="004C1DDC">
        <w:t>Id :</w:t>
      </w:r>
      <w:proofErr w:type="gramEnd"/>
      <w:r w:rsidR="004C1DDC">
        <w:t xml:space="preserve"> </w:t>
      </w:r>
      <w:r w:rsidRPr="00B94FEE">
        <w:t>0000-0003-2089-6628</w:t>
      </w:r>
    </w:p>
    <w:p w:rsidR="006F160F" w:rsidRDefault="006F160F" w:rsidP="004C1DDC">
      <w:pPr>
        <w:jc w:val="center"/>
        <w:rPr>
          <w:lang w:val="id-ID"/>
        </w:rPr>
      </w:pPr>
      <w:r w:rsidRPr="006F160F">
        <w:rPr>
          <w:vertAlign w:val="superscript"/>
          <w:lang w:val="id-ID"/>
        </w:rPr>
        <w:t>5</w:t>
      </w:r>
      <w:r w:rsidRPr="006F160F">
        <w:rPr>
          <w:lang w:val="id-ID"/>
        </w:rPr>
        <w:t>STIE Jaya Negara Tamansiswa Malang, Indonesia, Email : mirtawhulandary@gmail.com</w:t>
      </w:r>
      <w:r w:rsidR="00E042ED">
        <w:rPr>
          <w:lang w:val="id-ID"/>
        </w:rPr>
        <w:t xml:space="preserve">, </w:t>
      </w:r>
      <w:proofErr w:type="spellStart"/>
      <w:r w:rsidR="00E042ED">
        <w:t>Orcid</w:t>
      </w:r>
      <w:proofErr w:type="spellEnd"/>
      <w:r w:rsidR="00E042ED">
        <w:t xml:space="preserve"> Id :</w:t>
      </w:r>
      <w:r w:rsidR="00E042ED">
        <w:rPr>
          <w:lang w:val="id-ID"/>
        </w:rPr>
        <w:t>-</w:t>
      </w:r>
    </w:p>
    <w:p w:rsidR="007A5483" w:rsidRPr="00E042ED" w:rsidRDefault="007A5483" w:rsidP="004C1DDC">
      <w:pPr>
        <w:jc w:val="center"/>
        <w:rPr>
          <w:lang w:val="id-ID"/>
        </w:rPr>
      </w:pPr>
    </w:p>
    <w:p w:rsidR="00480948" w:rsidRPr="005E055B" w:rsidRDefault="00480948" w:rsidP="00CB77C4">
      <w:pPr>
        <w:pStyle w:val="Heading2"/>
      </w:pPr>
      <w:r w:rsidRPr="005E055B">
        <w:t xml:space="preserve">Abstract: </w:t>
      </w:r>
    </w:p>
    <w:p w:rsidR="00DC1AB1" w:rsidRPr="00CB77C4" w:rsidRDefault="00DC1AB1" w:rsidP="00480948">
      <w:pPr>
        <w:rPr>
          <w:sz w:val="18"/>
          <w:szCs w:val="18"/>
        </w:rPr>
      </w:pPr>
      <w:r w:rsidRPr="00CB77C4">
        <w:rPr>
          <w:sz w:val="18"/>
          <w:szCs w:val="18"/>
        </w:rPr>
        <w:t>The purpose of this research is to examine the short- and long-term effects of foreign investment and trade on economic development in Indonesia. This analysis makes use of yearly time series data spanning the years 1985 to 2020. This data is derived from secondary sources such as the World Bank. In this research, the dependent variable is the national gross domestic product, which serves as a proxy for economic growth. In this research, the independent variables are trade (T) and foreign direct investment (FDI), which serve as indices of economic activity. The findings of the research utilizing the ARDL technique indicate that although two factors, trade, and foreign direct investment, have little influence on economic development, in the long run, they do have a considerable effect in the short run. According to the ARDL results, trade and foreign direct investment are critical for Indonesia's economic growth, but in Indonesia, a trade sector dominated by imports causes this variable to have a significant negative relationship with economic growth, implying that the greater the proportion of trade, the lower economic growth in Indonesia.</w:t>
      </w:r>
    </w:p>
    <w:p w:rsidR="00480948" w:rsidRPr="00CB77C4" w:rsidRDefault="00480948" w:rsidP="00480948">
      <w:pPr>
        <w:rPr>
          <w:sz w:val="18"/>
          <w:szCs w:val="18"/>
          <w:lang w:val="en-US"/>
        </w:rPr>
      </w:pPr>
      <w:r w:rsidRPr="00CB77C4">
        <w:rPr>
          <w:b/>
          <w:sz w:val="18"/>
          <w:szCs w:val="18"/>
        </w:rPr>
        <w:t>Keyword:</w:t>
      </w:r>
      <w:r w:rsidR="0022220F" w:rsidRPr="00CB77C4">
        <w:rPr>
          <w:b/>
          <w:sz w:val="18"/>
          <w:szCs w:val="18"/>
        </w:rPr>
        <w:t xml:space="preserve"> </w:t>
      </w:r>
      <w:r w:rsidR="0022220F" w:rsidRPr="00CB77C4">
        <w:rPr>
          <w:sz w:val="18"/>
          <w:szCs w:val="18"/>
        </w:rPr>
        <w:t xml:space="preserve">Economic Growth, Trade, FDI, Indonesian. </w:t>
      </w:r>
      <w:r w:rsidRPr="00CB77C4">
        <w:rPr>
          <w:sz w:val="18"/>
          <w:szCs w:val="18"/>
        </w:rPr>
        <w:t xml:space="preserve"> </w:t>
      </w:r>
    </w:p>
    <w:p w:rsidR="00480948" w:rsidRPr="005E055B" w:rsidRDefault="00480948" w:rsidP="00480948">
      <w:pPr>
        <w:rPr>
          <w:rFonts w:eastAsia="Times New Roman"/>
          <w:color w:val="353C3F"/>
          <w:szCs w:val="24"/>
          <w:lang w:val="en-US"/>
        </w:rPr>
      </w:pPr>
      <w:r w:rsidRPr="00CB77C4">
        <w:rPr>
          <w:b/>
          <w:sz w:val="18"/>
          <w:szCs w:val="18"/>
        </w:rPr>
        <w:t>JEL Classification:</w:t>
      </w:r>
      <w:r w:rsidRPr="00CB77C4">
        <w:rPr>
          <w:sz w:val="18"/>
          <w:szCs w:val="18"/>
          <w:lang w:val="en-US"/>
        </w:rPr>
        <w:t xml:space="preserve"> </w:t>
      </w:r>
      <w:r w:rsidR="00546140" w:rsidRPr="00CB77C4">
        <w:rPr>
          <w:sz w:val="18"/>
          <w:szCs w:val="18"/>
          <w:lang w:val="en-US"/>
        </w:rPr>
        <w:t>E22, F17, O47</w:t>
      </w:r>
    </w:p>
    <w:p w:rsidR="00480948" w:rsidRDefault="00480948" w:rsidP="00480948">
      <w:pPr>
        <w:rPr>
          <w:b/>
          <w:szCs w:val="24"/>
        </w:rPr>
      </w:pPr>
    </w:p>
    <w:p w:rsidR="0092576B" w:rsidRPr="00480948" w:rsidRDefault="004E68A5" w:rsidP="00CB77C4">
      <w:pPr>
        <w:pStyle w:val="Heading2"/>
      </w:pPr>
      <w:r w:rsidRPr="00480948">
        <w:t>Introduction</w:t>
      </w:r>
    </w:p>
    <w:p w:rsidR="00480948" w:rsidRPr="00480948" w:rsidRDefault="00480948" w:rsidP="00CB77C4">
      <w:r w:rsidRPr="00480948">
        <w:t>Solow's theory of economic growth explains that investment and population growth are factors that influence economic growth. In neoclassical theory, it is also explained that international trade is needed for economic growth. Based on the neoclassical growth theory, the capital owned by the state is one of the requirements to build economic growth in the country. Capital from various sources will help drive the country's econom</w:t>
      </w:r>
      <w:r w:rsidR="00C36682">
        <w:t xml:space="preserve">y </w:t>
      </w:r>
      <w:r w:rsidRPr="00480948">
        <w:t>(</w:t>
      </w:r>
      <w:proofErr w:type="spellStart"/>
      <w:r w:rsidRPr="00480948">
        <w:t>Vehapi</w:t>
      </w:r>
      <w:proofErr w:type="spellEnd"/>
      <w:r w:rsidRPr="00480948">
        <w:t xml:space="preserve">, </w:t>
      </w:r>
      <w:proofErr w:type="spellStart"/>
      <w:r w:rsidRPr="00480948">
        <w:t>Sadiku</w:t>
      </w:r>
      <w:proofErr w:type="spellEnd"/>
      <w:r w:rsidRPr="00480948">
        <w:t xml:space="preserve">, &amp; </w:t>
      </w:r>
      <w:proofErr w:type="spellStart"/>
      <w:r w:rsidRPr="00480948">
        <w:t>Petkovski</w:t>
      </w:r>
      <w:proofErr w:type="spellEnd"/>
      <w:r w:rsidRPr="00480948">
        <w:t>, 2014).</w:t>
      </w:r>
    </w:p>
    <w:p w:rsidR="0024318F" w:rsidRPr="0024318F" w:rsidRDefault="00480948" w:rsidP="00CB77C4">
      <w:r w:rsidRPr="00480948">
        <w:t xml:space="preserve">The success of economic growth or income of a province cannot be separated from increased investment. Theoretically, it is known that investment is a means of increasing the capital stock, whose presence in an area will determine the economic capacity of that area. In various </w:t>
      </w:r>
      <w:proofErr w:type="gramStart"/>
      <w:r w:rsidRPr="00480948">
        <w:t>literature</w:t>
      </w:r>
      <w:proofErr w:type="gramEnd"/>
      <w:r w:rsidRPr="00480948">
        <w:t xml:space="preserve">, there has been a consensus regarding the higher productivity of foreign investment (FDI) relative to domestic investment. </w:t>
      </w:r>
      <w:r w:rsidR="0024318F" w:rsidRPr="0024318F">
        <w:t>FDI has the potential to enhance production via a multiplier effect, transfer technology and expertise, and improve the degree of comp</w:t>
      </w:r>
      <w:r w:rsidR="0024318F">
        <w:t xml:space="preserve">etition among local enterprises </w:t>
      </w:r>
      <w:r w:rsidRPr="00480948">
        <w:t>(</w:t>
      </w:r>
      <w:proofErr w:type="spellStart"/>
      <w:r w:rsidRPr="00480948">
        <w:t>Sadeghi</w:t>
      </w:r>
      <w:proofErr w:type="spellEnd"/>
      <w:r w:rsidRPr="00480948">
        <w:t xml:space="preserve">, </w:t>
      </w:r>
      <w:proofErr w:type="spellStart"/>
      <w:r w:rsidRPr="00480948">
        <w:t>Shahrestani</w:t>
      </w:r>
      <w:proofErr w:type="spellEnd"/>
      <w:r w:rsidRPr="00480948">
        <w:t xml:space="preserve">, </w:t>
      </w:r>
      <w:proofErr w:type="spellStart"/>
      <w:r w:rsidRPr="00480948">
        <w:t>Kiani</w:t>
      </w:r>
      <w:proofErr w:type="spellEnd"/>
      <w:r w:rsidRPr="00480948">
        <w:t xml:space="preserve">, &amp; </w:t>
      </w:r>
      <w:proofErr w:type="spellStart"/>
      <w:r w:rsidRPr="00480948">
        <w:t>Torabi</w:t>
      </w:r>
      <w:proofErr w:type="spellEnd"/>
      <w:r w:rsidRPr="00480948">
        <w:t>, 2020).</w:t>
      </w:r>
    </w:p>
    <w:p w:rsidR="0024318F" w:rsidRDefault="0024318F" w:rsidP="00CB77C4">
      <w:proofErr w:type="gramStart"/>
      <w:r w:rsidRPr="0024318F">
        <w:t xml:space="preserve">According to the hypothesis that foreign investment benefits the host country's economic development, such as the study conducted by </w:t>
      </w:r>
      <w:proofErr w:type="spellStart"/>
      <w:r w:rsidRPr="0024318F">
        <w:t>Magazzino</w:t>
      </w:r>
      <w:proofErr w:type="spellEnd"/>
      <w:r w:rsidRPr="0024318F">
        <w:t xml:space="preserve"> &amp; </w:t>
      </w:r>
      <w:proofErr w:type="spellStart"/>
      <w:r w:rsidRPr="0024318F">
        <w:t>Mele</w:t>
      </w:r>
      <w:proofErr w:type="spellEnd"/>
      <w:r w:rsidRPr="0024318F">
        <w:t xml:space="preserve"> (2022) in Malta from 1971 to 2017.</w:t>
      </w:r>
      <w:proofErr w:type="gramEnd"/>
      <w:r w:rsidRPr="0024318F">
        <w:t xml:space="preserve"> As </w:t>
      </w:r>
      <w:proofErr w:type="spellStart"/>
      <w:r w:rsidRPr="0024318F">
        <w:t>Athukorala</w:t>
      </w:r>
      <w:proofErr w:type="spellEnd"/>
      <w:r w:rsidRPr="0024318F">
        <w:t xml:space="preserve"> (2003) discovered, FDI has a positive influence on GDP, and there is a unidirectional association between GDP and FDI in Sri Lanka. Contrary to the findings of </w:t>
      </w:r>
      <w:proofErr w:type="spellStart"/>
      <w:r w:rsidRPr="0024318F">
        <w:t>Sadik</w:t>
      </w:r>
      <w:proofErr w:type="spellEnd"/>
      <w:r w:rsidRPr="0024318F">
        <w:t xml:space="preserve"> and </w:t>
      </w:r>
      <w:proofErr w:type="spellStart"/>
      <w:r w:rsidRPr="0024318F">
        <w:t>Bolbol</w:t>
      </w:r>
      <w:proofErr w:type="spellEnd"/>
      <w:r w:rsidRPr="0024318F">
        <w:t xml:space="preserve"> (2001), the quantity of entering FDI has a negative effect on the total output of Tunisia, Egypt, and Saudi Arabia. Consider prior findings of the link between FDI and economic growth, which indicate a </w:t>
      </w:r>
      <w:r w:rsidRPr="0024318F">
        <w:lastRenderedPageBreak/>
        <w:t>positive and negative relationship. This became the primary reason for us to use time-series data to explore the link between FDI, trade, and economic development in Indonesia. The purpose of this research is to examine the short- and long-term effects of foreign investment and trade on economic development in Indonesia.</w:t>
      </w:r>
    </w:p>
    <w:p w:rsidR="001C2DE0" w:rsidRPr="00480948" w:rsidRDefault="001C2DE0" w:rsidP="00CB77C4">
      <w:pPr>
        <w:pStyle w:val="Heading2"/>
      </w:pPr>
      <w:r w:rsidRPr="00480948">
        <w:t>Literature Review</w:t>
      </w:r>
    </w:p>
    <w:p w:rsidR="00480948" w:rsidRPr="00480948" w:rsidRDefault="0024318F" w:rsidP="00480948">
      <w:r w:rsidRPr="0024318F">
        <w:t>Economic growth is a long-term process of increasing production. According to neoclassical economic growth theory, economic development is influenced by four factors: population, the total stock of products and capital, geographical area and natural richness, an</w:t>
      </w:r>
      <w:r>
        <w:t xml:space="preserve">d degree of technology utilized </w:t>
      </w:r>
      <w:proofErr w:type="gramStart"/>
      <w:r w:rsidR="00480948" w:rsidRPr="00480948">
        <w:t xml:space="preserve">( </w:t>
      </w:r>
      <w:proofErr w:type="spellStart"/>
      <w:r w:rsidR="00480948" w:rsidRPr="00480948">
        <w:t>Astuti</w:t>
      </w:r>
      <w:proofErr w:type="spellEnd"/>
      <w:proofErr w:type="gramEnd"/>
      <w:r w:rsidR="00480948" w:rsidRPr="00480948">
        <w:t xml:space="preserve">, 2016). This theory also explains that international trade is needed for economic growth because the benefits derived from the specialization and trade of a country can encourage an increase in opportunity costs. </w:t>
      </w:r>
      <w:r w:rsidR="00C36682" w:rsidRPr="00C36682">
        <w:t xml:space="preserve">In other words, investment and foreign commerce have a </w:t>
      </w:r>
      <w:proofErr w:type="spellStart"/>
      <w:r w:rsidR="00C36682" w:rsidRPr="00C36682">
        <w:t>favorable</w:t>
      </w:r>
      <w:proofErr w:type="spellEnd"/>
      <w:r w:rsidR="00C36682" w:rsidRPr="00C36682">
        <w:t xml:space="preserve"> impact on the economy.</w:t>
      </w:r>
    </w:p>
    <w:p w:rsidR="00480948" w:rsidRPr="00480948" w:rsidRDefault="00C36682" w:rsidP="00480948">
      <w:r w:rsidRPr="00C36682">
        <w:rPr>
          <w:szCs w:val="24"/>
        </w:rPr>
        <w:t>There is a need for foreign investment since development finance is not entir</w:t>
      </w:r>
      <w:r>
        <w:rPr>
          <w:szCs w:val="24"/>
        </w:rPr>
        <w:t xml:space="preserve">ely provided by the government </w:t>
      </w:r>
      <w:r w:rsidR="00480948" w:rsidRPr="00480948">
        <w:t>because the government has a budget deficit in addition to providing opportunities for the private sector to participate in developing the Indonesian economy. Development financing from the private sector, especially foreign investment, is expected to increase economic growth and provide employment opportunities as well as accelerate the poverty alleviation process (</w:t>
      </w:r>
      <w:proofErr w:type="spellStart"/>
      <w:r w:rsidR="00480948" w:rsidRPr="00480948">
        <w:t>Kuncoro</w:t>
      </w:r>
      <w:proofErr w:type="spellEnd"/>
      <w:r w:rsidR="00480948" w:rsidRPr="00480948">
        <w:t>, 2004).</w:t>
      </w:r>
    </w:p>
    <w:p w:rsidR="00480948" w:rsidRPr="00480948" w:rsidRDefault="0024318F" w:rsidP="0024318F">
      <w:pPr>
        <w:rPr>
          <w:b/>
        </w:rPr>
      </w:pPr>
      <w:r w:rsidRPr="0024318F">
        <w:t>According to a recent report, Malaysia has emerged as one of Southeast Asia's most attractive FDI locations. However, what impact will this influx of FDI have on the Malaysian economy? The endogenous growth model was developed to determine the influence of foreign direct investment in Malaysia's economic development. The yearly data set spans the years 1975 to 2010. International investment and human resource development have been shown to be critical to the economic prosperity of the host nation. To spur economic development, technical advances brought on by FDI inflows must be supplemented with more human capital. This means that the government should put more effort into strengthening the nation's workforce in order to attract and service foreign direct investment (FDI). In addition, economic openness and the foreign exchange environment will continue on a beneficial path (</w:t>
      </w:r>
      <w:proofErr w:type="spellStart"/>
      <w:r w:rsidRPr="0024318F">
        <w:t>Fadhil</w:t>
      </w:r>
      <w:proofErr w:type="spellEnd"/>
      <w:r w:rsidRPr="0024318F">
        <w:t xml:space="preserve"> &amp; </w:t>
      </w:r>
      <w:proofErr w:type="spellStart"/>
      <w:r w:rsidRPr="0024318F">
        <w:t>Almsafir</w:t>
      </w:r>
      <w:proofErr w:type="spellEnd"/>
      <w:r w:rsidRPr="0024318F">
        <w:t>, 2015).</w:t>
      </w:r>
    </w:p>
    <w:p w:rsidR="00B77063" w:rsidRPr="00CB77C4" w:rsidRDefault="00B77063" w:rsidP="00CB77C4">
      <w:pPr>
        <w:pStyle w:val="Heading2"/>
      </w:pPr>
      <w:r w:rsidRPr="00CB77C4">
        <w:t>Method</w:t>
      </w:r>
      <w:r w:rsidR="00480948" w:rsidRPr="00CB77C4">
        <w:t>ology</w:t>
      </w:r>
    </w:p>
    <w:p w:rsidR="00B77063" w:rsidRDefault="00B12EE2" w:rsidP="00C36682">
      <w:pPr>
        <w:rPr>
          <w:szCs w:val="24"/>
        </w:rPr>
      </w:pPr>
      <w:r w:rsidRPr="00B12EE2">
        <w:rPr>
          <w:szCs w:val="24"/>
        </w:rPr>
        <w:t xml:space="preserve">The World Bank has provided this data as a secondary source. For the years 1985 to 2020, the following variables will be </w:t>
      </w:r>
      <w:proofErr w:type="spellStart"/>
      <w:r w:rsidRPr="00B12EE2">
        <w:rPr>
          <w:szCs w:val="24"/>
        </w:rPr>
        <w:t>analyzed</w:t>
      </w:r>
      <w:proofErr w:type="spellEnd"/>
      <w:r w:rsidRPr="00B12EE2">
        <w:rPr>
          <w:szCs w:val="24"/>
        </w:rPr>
        <w:t xml:space="preserve"> using two different time series models. The GDP of the country is used as a measure of economic growth in this research. Trade (T) and FDI (FDI) are the study's independent variables since they serve as indicators of how economic activity is affected.</w:t>
      </w:r>
      <w:r>
        <w:rPr>
          <w:szCs w:val="24"/>
        </w:rPr>
        <w:t xml:space="preserve"> </w:t>
      </w:r>
      <w:r w:rsidR="00504B11" w:rsidRPr="00504B11">
        <w:rPr>
          <w:szCs w:val="24"/>
        </w:rPr>
        <w:t>We use the following econometric model:</w:t>
      </w:r>
    </w:p>
    <w:p w:rsidR="00A668F0" w:rsidRPr="00202FD7" w:rsidRDefault="00504B11" w:rsidP="00C76FD5">
      <w:pPr>
        <w:rPr>
          <w:color w:val="000000"/>
          <w:vertAlign w:val="subscript"/>
          <w:lang w:val="en-US"/>
        </w:rPr>
      </w:pPr>
      <w:proofErr w:type="spellStart"/>
      <w:r w:rsidRPr="00202FD7">
        <w:rPr>
          <w:color w:val="000000"/>
          <w:lang w:val="en-US"/>
        </w:rPr>
        <w:t>Eg</w:t>
      </w:r>
      <w:r w:rsidRPr="00202FD7">
        <w:rPr>
          <w:color w:val="000000"/>
          <w:vertAlign w:val="subscript"/>
          <w:lang w:val="en-US"/>
        </w:rPr>
        <w:t>t</w:t>
      </w:r>
      <w:proofErr w:type="spellEnd"/>
      <w:r w:rsidRPr="00202FD7">
        <w:rPr>
          <w:color w:val="000000"/>
          <w:lang w:val="en-US"/>
        </w:rPr>
        <w:t xml:space="preserve"> = β</w:t>
      </w:r>
      <w:r w:rsidRPr="00202FD7">
        <w:rPr>
          <w:color w:val="000000"/>
          <w:vertAlign w:val="subscript"/>
          <w:lang w:val="en-US"/>
        </w:rPr>
        <w:t>0</w:t>
      </w:r>
      <w:r w:rsidRPr="00202FD7">
        <w:rPr>
          <w:color w:val="000000"/>
          <w:lang w:val="en-US"/>
        </w:rPr>
        <w:t>+ β</w:t>
      </w:r>
      <w:r w:rsidRPr="00202FD7">
        <w:rPr>
          <w:color w:val="000000"/>
          <w:vertAlign w:val="subscript"/>
          <w:lang w:val="en-US"/>
        </w:rPr>
        <w:t>1</w:t>
      </w:r>
      <w:r w:rsidRPr="00202FD7">
        <w:rPr>
          <w:color w:val="000000"/>
          <w:lang w:val="en-US"/>
        </w:rPr>
        <w:t>EG</w:t>
      </w:r>
      <w:r w:rsidRPr="00202FD7">
        <w:rPr>
          <w:color w:val="000000"/>
          <w:vertAlign w:val="subscript"/>
          <w:lang w:val="en-US"/>
        </w:rPr>
        <w:t>t-1</w:t>
      </w:r>
      <w:r w:rsidRPr="00202FD7">
        <w:rPr>
          <w:color w:val="000000"/>
          <w:lang w:val="en-US"/>
        </w:rPr>
        <w:t xml:space="preserve"> + β</w:t>
      </w:r>
      <w:r w:rsidRPr="00202FD7">
        <w:rPr>
          <w:color w:val="000000"/>
          <w:vertAlign w:val="subscript"/>
          <w:lang w:val="en-US"/>
        </w:rPr>
        <w:t>2</w:t>
      </w:r>
      <w:r w:rsidRPr="00202FD7">
        <w:rPr>
          <w:color w:val="000000"/>
          <w:lang w:val="en-US"/>
        </w:rPr>
        <w:t>EG</w:t>
      </w:r>
      <w:r w:rsidRPr="00202FD7">
        <w:rPr>
          <w:color w:val="000000"/>
          <w:vertAlign w:val="subscript"/>
          <w:lang w:val="en-US"/>
        </w:rPr>
        <w:t>t-2</w:t>
      </w:r>
      <w:r w:rsidRPr="00202FD7">
        <w:rPr>
          <w:color w:val="000000"/>
          <w:lang w:val="en-US"/>
        </w:rPr>
        <w:t xml:space="preserve"> + β</w:t>
      </w:r>
      <w:r w:rsidRPr="00202FD7">
        <w:rPr>
          <w:color w:val="000000"/>
          <w:vertAlign w:val="subscript"/>
          <w:lang w:val="en-US"/>
        </w:rPr>
        <w:t>3</w:t>
      </w:r>
      <w:r w:rsidR="0022220F">
        <w:rPr>
          <w:color w:val="000000"/>
          <w:lang w:val="en-US"/>
        </w:rPr>
        <w:t>EG</w:t>
      </w:r>
      <w:r w:rsidRPr="00202FD7">
        <w:rPr>
          <w:color w:val="000000"/>
          <w:vertAlign w:val="subscript"/>
          <w:lang w:val="en-US"/>
        </w:rPr>
        <w:t>t</w:t>
      </w:r>
      <w:r w:rsidR="0022220F">
        <w:rPr>
          <w:color w:val="000000"/>
          <w:vertAlign w:val="subscript"/>
          <w:lang w:val="en-US"/>
        </w:rPr>
        <w:t>-</w:t>
      </w:r>
      <w:r w:rsidRPr="00202FD7">
        <w:rPr>
          <w:color w:val="000000"/>
          <w:vertAlign w:val="subscript"/>
          <w:lang w:val="en-US"/>
        </w:rPr>
        <w:t>3</w:t>
      </w:r>
      <w:r w:rsidRPr="00202FD7">
        <w:rPr>
          <w:color w:val="000000"/>
          <w:lang w:val="en-US"/>
        </w:rPr>
        <w:t xml:space="preserve"> + β</w:t>
      </w:r>
      <w:r w:rsidRPr="00202FD7">
        <w:rPr>
          <w:color w:val="000000"/>
          <w:vertAlign w:val="subscript"/>
          <w:lang w:val="en-US"/>
        </w:rPr>
        <w:t>5</w:t>
      </w:r>
      <w:r w:rsidRPr="00202FD7">
        <w:rPr>
          <w:color w:val="000000"/>
          <w:lang w:val="en-US"/>
        </w:rPr>
        <w:t>T</w:t>
      </w:r>
      <w:r w:rsidRPr="00202FD7">
        <w:rPr>
          <w:color w:val="000000"/>
          <w:vertAlign w:val="subscript"/>
          <w:lang w:val="en-US"/>
        </w:rPr>
        <w:t>t-1</w:t>
      </w:r>
      <w:r w:rsidRPr="00202FD7">
        <w:rPr>
          <w:color w:val="000000"/>
          <w:lang w:val="en-US"/>
        </w:rPr>
        <w:t xml:space="preserve"> + β</w:t>
      </w:r>
      <w:r w:rsidRPr="00202FD7">
        <w:rPr>
          <w:color w:val="000000"/>
          <w:vertAlign w:val="subscript"/>
          <w:lang w:val="en-US"/>
        </w:rPr>
        <w:t>6</w:t>
      </w:r>
      <w:r w:rsidRPr="00202FD7">
        <w:rPr>
          <w:color w:val="000000"/>
          <w:lang w:val="en-US"/>
        </w:rPr>
        <w:t>T</w:t>
      </w:r>
      <w:r w:rsidRPr="00202FD7">
        <w:rPr>
          <w:color w:val="000000"/>
          <w:vertAlign w:val="subscript"/>
          <w:lang w:val="en-US"/>
        </w:rPr>
        <w:t>t-2</w:t>
      </w:r>
      <w:r w:rsidRPr="00202FD7">
        <w:rPr>
          <w:color w:val="000000"/>
          <w:lang w:val="en-US"/>
        </w:rPr>
        <w:t xml:space="preserve"> + β</w:t>
      </w:r>
      <w:r w:rsidRPr="00202FD7">
        <w:rPr>
          <w:color w:val="000000"/>
          <w:vertAlign w:val="subscript"/>
          <w:lang w:val="en-US"/>
        </w:rPr>
        <w:t>7</w:t>
      </w:r>
      <w:r w:rsidR="0022220F">
        <w:rPr>
          <w:color w:val="000000"/>
          <w:lang w:val="en-US"/>
        </w:rPr>
        <w:t>FDI</w:t>
      </w:r>
      <w:r w:rsidRPr="00202FD7">
        <w:rPr>
          <w:color w:val="000000"/>
          <w:vertAlign w:val="subscript"/>
          <w:lang w:val="en-US"/>
        </w:rPr>
        <w:t>t</w:t>
      </w:r>
      <w:r w:rsidR="0022220F">
        <w:rPr>
          <w:color w:val="000000"/>
          <w:vertAlign w:val="subscript"/>
          <w:lang w:val="en-US"/>
        </w:rPr>
        <w:t>-1</w:t>
      </w:r>
      <w:r w:rsidRPr="00202FD7">
        <w:rPr>
          <w:color w:val="000000"/>
          <w:lang w:val="en-US"/>
        </w:rPr>
        <w:t xml:space="preserve"> + </w:t>
      </w:r>
      <w:proofErr w:type="gramStart"/>
      <w:r w:rsidRPr="00202FD7">
        <w:rPr>
          <w:color w:val="000000"/>
          <w:lang w:val="en-US"/>
        </w:rPr>
        <w:t>e</w:t>
      </w:r>
      <w:r w:rsidRPr="00202FD7">
        <w:rPr>
          <w:color w:val="000000"/>
          <w:vertAlign w:val="subscript"/>
          <w:lang w:val="en-US"/>
        </w:rPr>
        <w:t>t</w:t>
      </w:r>
      <w:proofErr w:type="gramEnd"/>
    </w:p>
    <w:p w:rsidR="00504B11" w:rsidRDefault="00504B11" w:rsidP="00C76FD5">
      <w:pPr>
        <w:rPr>
          <w:szCs w:val="24"/>
        </w:rPr>
      </w:pPr>
      <w:r>
        <w:rPr>
          <w:szCs w:val="24"/>
        </w:rPr>
        <w:t xml:space="preserve">Where, </w:t>
      </w:r>
    </w:p>
    <w:p w:rsidR="00504B11" w:rsidRDefault="00504B11" w:rsidP="00C76FD5">
      <w:pPr>
        <w:rPr>
          <w:szCs w:val="24"/>
        </w:rPr>
      </w:pPr>
      <w:proofErr w:type="gramStart"/>
      <w:r>
        <w:rPr>
          <w:szCs w:val="24"/>
        </w:rPr>
        <w:t>EG :</w:t>
      </w:r>
      <w:proofErr w:type="gramEnd"/>
      <w:r>
        <w:rPr>
          <w:szCs w:val="24"/>
        </w:rPr>
        <w:t xml:space="preserve"> </w:t>
      </w:r>
      <w:r w:rsidR="0022220F">
        <w:rPr>
          <w:szCs w:val="24"/>
        </w:rPr>
        <w:t>Economic g</w:t>
      </w:r>
      <w:r>
        <w:rPr>
          <w:szCs w:val="24"/>
        </w:rPr>
        <w:t>rowth</w:t>
      </w:r>
    </w:p>
    <w:p w:rsidR="00504B11" w:rsidRDefault="00504B11" w:rsidP="00C76FD5">
      <w:pPr>
        <w:rPr>
          <w:szCs w:val="24"/>
        </w:rPr>
      </w:pPr>
      <w:proofErr w:type="gramStart"/>
      <w:r>
        <w:rPr>
          <w:szCs w:val="24"/>
        </w:rPr>
        <w:t>T :</w:t>
      </w:r>
      <w:proofErr w:type="gramEnd"/>
      <w:r>
        <w:rPr>
          <w:szCs w:val="24"/>
        </w:rPr>
        <w:t xml:space="preserve"> Trade</w:t>
      </w:r>
    </w:p>
    <w:p w:rsidR="00504B11" w:rsidRDefault="00504B11" w:rsidP="00C76FD5">
      <w:pPr>
        <w:rPr>
          <w:szCs w:val="24"/>
        </w:rPr>
      </w:pPr>
      <w:proofErr w:type="gramStart"/>
      <w:r>
        <w:rPr>
          <w:szCs w:val="24"/>
        </w:rPr>
        <w:t>FDI :</w:t>
      </w:r>
      <w:proofErr w:type="gramEnd"/>
      <w:r>
        <w:rPr>
          <w:szCs w:val="24"/>
        </w:rPr>
        <w:t xml:space="preserve"> </w:t>
      </w:r>
      <w:r w:rsidR="0022220F">
        <w:rPr>
          <w:szCs w:val="24"/>
        </w:rPr>
        <w:t>F</w:t>
      </w:r>
      <w:r w:rsidRPr="00C76FD5">
        <w:rPr>
          <w:szCs w:val="24"/>
        </w:rPr>
        <w:t>oreign direct investment</w:t>
      </w:r>
    </w:p>
    <w:p w:rsidR="00504B11" w:rsidRPr="00C76FD5" w:rsidRDefault="00504B11" w:rsidP="00C76FD5">
      <w:pPr>
        <w:rPr>
          <w:szCs w:val="24"/>
        </w:rPr>
      </w:pPr>
      <w:proofErr w:type="gramStart"/>
      <w:r>
        <w:rPr>
          <w:szCs w:val="24"/>
        </w:rPr>
        <w:t xml:space="preserve">e </w:t>
      </w:r>
      <w:r w:rsidR="0022220F">
        <w:rPr>
          <w:szCs w:val="24"/>
        </w:rPr>
        <w:t>:</w:t>
      </w:r>
      <w:proofErr w:type="gramEnd"/>
      <w:r w:rsidR="0022220F">
        <w:rPr>
          <w:szCs w:val="24"/>
        </w:rPr>
        <w:t xml:space="preserve"> E</w:t>
      </w:r>
      <w:r>
        <w:rPr>
          <w:szCs w:val="24"/>
        </w:rPr>
        <w:t>rror term</w:t>
      </w:r>
    </w:p>
    <w:p w:rsidR="00B77063" w:rsidRPr="00C76FD5" w:rsidRDefault="0022220F" w:rsidP="00C76FD5">
      <w:pPr>
        <w:rPr>
          <w:szCs w:val="24"/>
        </w:rPr>
      </w:pPr>
      <w:proofErr w:type="gramStart"/>
      <w:r>
        <w:rPr>
          <w:szCs w:val="24"/>
        </w:rPr>
        <w:t>t :</w:t>
      </w:r>
      <w:proofErr w:type="gramEnd"/>
      <w:r>
        <w:rPr>
          <w:szCs w:val="24"/>
        </w:rPr>
        <w:t xml:space="preserve"> T</w:t>
      </w:r>
      <w:r w:rsidR="00504B11">
        <w:rPr>
          <w:szCs w:val="24"/>
        </w:rPr>
        <w:t>ime series</w:t>
      </w:r>
    </w:p>
    <w:p w:rsidR="00B12EE2" w:rsidRPr="00B12EE2" w:rsidRDefault="00B12EE2" w:rsidP="00B12EE2">
      <w:pPr>
        <w:rPr>
          <w:szCs w:val="24"/>
        </w:rPr>
      </w:pPr>
      <w:r w:rsidRPr="00B12EE2">
        <w:rPr>
          <w:szCs w:val="24"/>
        </w:rPr>
        <w:t xml:space="preserve">According to the study of </w:t>
      </w:r>
      <w:proofErr w:type="spellStart"/>
      <w:r w:rsidRPr="00B12EE2">
        <w:rPr>
          <w:szCs w:val="24"/>
        </w:rPr>
        <w:t>Pesaran</w:t>
      </w:r>
      <w:proofErr w:type="spellEnd"/>
      <w:r w:rsidRPr="00B12EE2">
        <w:rPr>
          <w:szCs w:val="24"/>
        </w:rPr>
        <w:t xml:space="preserve"> et al. (2001), the </w:t>
      </w:r>
      <w:proofErr w:type="spellStart"/>
      <w:r w:rsidRPr="00B12EE2">
        <w:rPr>
          <w:szCs w:val="24"/>
        </w:rPr>
        <w:t>cointegration</w:t>
      </w:r>
      <w:proofErr w:type="spellEnd"/>
      <w:r w:rsidRPr="00B12EE2">
        <w:rPr>
          <w:szCs w:val="24"/>
        </w:rPr>
        <w:t xml:space="preserve"> test employed the obtained F-statistical value as the foundation for reaching judgments regarding whether there was </w:t>
      </w:r>
      <w:proofErr w:type="spellStart"/>
      <w:r w:rsidRPr="00B12EE2">
        <w:rPr>
          <w:szCs w:val="24"/>
        </w:rPr>
        <w:t>cointegr</w:t>
      </w:r>
      <w:r>
        <w:rPr>
          <w:szCs w:val="24"/>
        </w:rPr>
        <w:t>ation</w:t>
      </w:r>
      <w:proofErr w:type="spellEnd"/>
      <w:r>
        <w:rPr>
          <w:szCs w:val="24"/>
        </w:rPr>
        <w:t xml:space="preserve"> among research variables.</w:t>
      </w:r>
    </w:p>
    <w:p w:rsidR="00B12EE2" w:rsidRDefault="00B12EE2" w:rsidP="00B12EE2">
      <w:pPr>
        <w:rPr>
          <w:szCs w:val="24"/>
        </w:rPr>
      </w:pPr>
      <w:r w:rsidRPr="00B12EE2">
        <w:rPr>
          <w:szCs w:val="24"/>
        </w:rPr>
        <w:t xml:space="preserve">Dynamic ARDL was used in this work. When the independent variables undergo a shock, it is possible to investigate, simulate, and forecast it using the ARDL model, as stated by Khan et al. </w:t>
      </w:r>
      <w:r w:rsidRPr="00B12EE2">
        <w:rPr>
          <w:szCs w:val="24"/>
        </w:rPr>
        <w:lastRenderedPageBreak/>
        <w:t xml:space="preserve">(2020). ARDL simulation models may be employed if there is a </w:t>
      </w:r>
      <w:proofErr w:type="spellStart"/>
      <w:r w:rsidRPr="00B12EE2">
        <w:rPr>
          <w:szCs w:val="24"/>
        </w:rPr>
        <w:t>cointegration</w:t>
      </w:r>
      <w:proofErr w:type="spellEnd"/>
      <w:r w:rsidRPr="00B12EE2">
        <w:rPr>
          <w:szCs w:val="24"/>
        </w:rPr>
        <w:t xml:space="preserve"> connection between study variables, according to Jordan and Philips (2018).</w:t>
      </w:r>
    </w:p>
    <w:p w:rsidR="004D53A1" w:rsidRPr="00C76FD5" w:rsidRDefault="00314E8C" w:rsidP="00CB77C4">
      <w:pPr>
        <w:pStyle w:val="Heading2"/>
      </w:pPr>
      <w:r w:rsidRPr="00C76FD5">
        <w:t>Result and Discussion</w:t>
      </w:r>
    </w:p>
    <w:p w:rsidR="00314E8C" w:rsidRDefault="00B12EE2" w:rsidP="00314E8C">
      <w:pPr>
        <w:autoSpaceDE w:val="0"/>
        <w:autoSpaceDN w:val="0"/>
        <w:adjustRightInd w:val="0"/>
        <w:spacing w:after="0"/>
        <w:rPr>
          <w:szCs w:val="24"/>
        </w:rPr>
      </w:pPr>
      <w:r w:rsidRPr="00B12EE2">
        <w:rPr>
          <w:szCs w:val="24"/>
        </w:rPr>
        <w:t>According to the study's variables, descriptive data are shown in Table 1.</w:t>
      </w:r>
    </w:p>
    <w:p w:rsidR="00B12EE2" w:rsidRPr="00C76FD5" w:rsidRDefault="00B12EE2" w:rsidP="00314E8C">
      <w:pPr>
        <w:autoSpaceDE w:val="0"/>
        <w:autoSpaceDN w:val="0"/>
        <w:adjustRightInd w:val="0"/>
        <w:spacing w:after="0"/>
        <w:rPr>
          <w:szCs w:val="24"/>
          <w:lang w:val="en-US"/>
        </w:rPr>
      </w:pPr>
    </w:p>
    <w:p w:rsidR="00314E8C" w:rsidRPr="00C76FD5" w:rsidRDefault="00314E8C" w:rsidP="00314E8C">
      <w:pPr>
        <w:autoSpaceDE w:val="0"/>
        <w:autoSpaceDN w:val="0"/>
        <w:adjustRightInd w:val="0"/>
        <w:spacing w:after="0"/>
        <w:rPr>
          <w:szCs w:val="24"/>
          <w:lang w:val="en-US"/>
        </w:rPr>
      </w:pPr>
      <w:proofErr w:type="gramStart"/>
      <w:r w:rsidRPr="00C76FD5">
        <w:rPr>
          <w:szCs w:val="24"/>
          <w:lang w:val="en-US"/>
        </w:rPr>
        <w:t>Table 1.</w:t>
      </w:r>
      <w:proofErr w:type="gramEnd"/>
      <w:r w:rsidRPr="00C76FD5">
        <w:rPr>
          <w:szCs w:val="24"/>
          <w:lang w:val="en-US"/>
        </w:rPr>
        <w:t xml:space="preserve"> Descriptive statistics</w:t>
      </w:r>
      <w:r w:rsidRPr="00C76FD5">
        <w:rPr>
          <w:szCs w:val="24"/>
          <w:lang w:val="en-US"/>
        </w:rPr>
        <w:cr/>
      </w:r>
    </w:p>
    <w:tbl>
      <w:tblPr>
        <w:tblW w:w="909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8"/>
        <w:gridCol w:w="2199"/>
        <w:gridCol w:w="2197"/>
        <w:gridCol w:w="2199"/>
      </w:tblGrid>
      <w:tr w:rsidR="00314E8C" w:rsidRPr="00C76FD5" w:rsidTr="00314E8C">
        <w:trPr>
          <w:trHeight w:val="259"/>
        </w:trPr>
        <w:tc>
          <w:tcPr>
            <w:tcW w:w="2498"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r w:rsidRPr="00C76FD5">
              <w:rPr>
                <w:lang w:val="en-US"/>
              </w:rPr>
              <w:t>EG</w:t>
            </w:r>
          </w:p>
        </w:tc>
        <w:tc>
          <w:tcPr>
            <w:tcW w:w="2197" w:type="dxa"/>
            <w:vAlign w:val="bottom"/>
          </w:tcPr>
          <w:p w:rsidR="00314E8C" w:rsidRPr="00C76FD5" w:rsidRDefault="00314E8C" w:rsidP="00CB77C4">
            <w:pPr>
              <w:spacing w:after="0"/>
              <w:rPr>
                <w:lang w:val="en-US"/>
              </w:rPr>
            </w:pPr>
            <w:r w:rsidRPr="00C76FD5">
              <w:rPr>
                <w:lang w:val="en-US"/>
              </w:rPr>
              <w:t>T</w:t>
            </w:r>
          </w:p>
        </w:tc>
        <w:tc>
          <w:tcPr>
            <w:tcW w:w="2199" w:type="dxa"/>
            <w:vAlign w:val="bottom"/>
          </w:tcPr>
          <w:p w:rsidR="00314E8C" w:rsidRPr="00C76FD5" w:rsidRDefault="00314E8C" w:rsidP="00CB77C4">
            <w:pPr>
              <w:spacing w:after="0"/>
              <w:rPr>
                <w:lang w:val="en-US"/>
              </w:rPr>
            </w:pPr>
            <w:r w:rsidRPr="00C76FD5">
              <w:rPr>
                <w:lang w:val="en-US"/>
              </w:rPr>
              <w:t>FDI</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Mean</w:t>
            </w:r>
          </w:p>
        </w:tc>
        <w:tc>
          <w:tcPr>
            <w:tcW w:w="2199" w:type="dxa"/>
            <w:vAlign w:val="bottom"/>
          </w:tcPr>
          <w:p w:rsidR="00314E8C" w:rsidRPr="00C76FD5" w:rsidRDefault="00314E8C" w:rsidP="00CB77C4">
            <w:pPr>
              <w:spacing w:after="0"/>
              <w:rPr>
                <w:lang w:val="en-US"/>
              </w:rPr>
            </w:pPr>
            <w:r w:rsidRPr="00C76FD5">
              <w:rPr>
                <w:lang w:val="en-US"/>
              </w:rPr>
              <w:t> 4.864960</w:t>
            </w:r>
          </w:p>
        </w:tc>
        <w:tc>
          <w:tcPr>
            <w:tcW w:w="2197" w:type="dxa"/>
            <w:vAlign w:val="bottom"/>
          </w:tcPr>
          <w:p w:rsidR="00314E8C" w:rsidRPr="00C76FD5" w:rsidRDefault="00314E8C" w:rsidP="00CB77C4">
            <w:pPr>
              <w:spacing w:after="0"/>
              <w:rPr>
                <w:lang w:val="en-US"/>
              </w:rPr>
            </w:pPr>
            <w:r w:rsidRPr="00C76FD5">
              <w:rPr>
                <w:lang w:val="en-US"/>
              </w:rPr>
              <w:t> 52.52893</w:t>
            </w:r>
          </w:p>
        </w:tc>
        <w:tc>
          <w:tcPr>
            <w:tcW w:w="2199" w:type="dxa"/>
            <w:vAlign w:val="bottom"/>
          </w:tcPr>
          <w:p w:rsidR="00314E8C" w:rsidRPr="00C76FD5" w:rsidRDefault="00314E8C" w:rsidP="00CB77C4">
            <w:pPr>
              <w:spacing w:after="0"/>
              <w:rPr>
                <w:lang w:val="en-US"/>
              </w:rPr>
            </w:pPr>
            <w:r w:rsidRPr="00C76FD5">
              <w:rPr>
                <w:lang w:val="en-US"/>
              </w:rPr>
              <w:t> 1.172908</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Median</w:t>
            </w:r>
          </w:p>
        </w:tc>
        <w:tc>
          <w:tcPr>
            <w:tcW w:w="2199" w:type="dxa"/>
            <w:vAlign w:val="bottom"/>
          </w:tcPr>
          <w:p w:rsidR="00314E8C" w:rsidRPr="00C76FD5" w:rsidRDefault="00314E8C" w:rsidP="00CB77C4">
            <w:pPr>
              <w:spacing w:after="0"/>
              <w:rPr>
                <w:lang w:val="en-US"/>
              </w:rPr>
            </w:pPr>
            <w:r w:rsidRPr="00C76FD5">
              <w:rPr>
                <w:lang w:val="en-US"/>
              </w:rPr>
              <w:t> 5.500952</w:t>
            </w:r>
          </w:p>
        </w:tc>
        <w:tc>
          <w:tcPr>
            <w:tcW w:w="2197" w:type="dxa"/>
            <w:vAlign w:val="bottom"/>
          </w:tcPr>
          <w:p w:rsidR="00314E8C" w:rsidRPr="00C76FD5" w:rsidRDefault="00314E8C" w:rsidP="00CB77C4">
            <w:pPr>
              <w:spacing w:after="0"/>
              <w:rPr>
                <w:lang w:val="en-US"/>
              </w:rPr>
            </w:pPr>
            <w:r w:rsidRPr="00C76FD5">
              <w:rPr>
                <w:lang w:val="en-US"/>
              </w:rPr>
              <w:t> 51.87710</w:t>
            </w:r>
          </w:p>
        </w:tc>
        <w:tc>
          <w:tcPr>
            <w:tcW w:w="2199" w:type="dxa"/>
            <w:vAlign w:val="bottom"/>
          </w:tcPr>
          <w:p w:rsidR="00314E8C" w:rsidRPr="00C76FD5" w:rsidRDefault="00314E8C" w:rsidP="00CB77C4">
            <w:pPr>
              <w:spacing w:after="0"/>
              <w:rPr>
                <w:lang w:val="en-US"/>
              </w:rPr>
            </w:pPr>
            <w:r w:rsidRPr="00C76FD5">
              <w:rPr>
                <w:lang w:val="en-US"/>
              </w:rPr>
              <w:t> 1.347943</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Maximum</w:t>
            </w:r>
          </w:p>
        </w:tc>
        <w:tc>
          <w:tcPr>
            <w:tcW w:w="2199" w:type="dxa"/>
            <w:vAlign w:val="bottom"/>
          </w:tcPr>
          <w:p w:rsidR="00314E8C" w:rsidRPr="00C76FD5" w:rsidRDefault="00314E8C" w:rsidP="00CB77C4">
            <w:pPr>
              <w:spacing w:after="0"/>
              <w:rPr>
                <w:lang w:val="en-US"/>
              </w:rPr>
            </w:pPr>
            <w:r w:rsidRPr="00C76FD5">
              <w:rPr>
                <w:lang w:val="en-US"/>
              </w:rPr>
              <w:t> 8.220007</w:t>
            </w:r>
          </w:p>
        </w:tc>
        <w:tc>
          <w:tcPr>
            <w:tcW w:w="2197" w:type="dxa"/>
            <w:vAlign w:val="bottom"/>
          </w:tcPr>
          <w:p w:rsidR="00314E8C" w:rsidRPr="00C76FD5" w:rsidRDefault="00314E8C" w:rsidP="00CB77C4">
            <w:pPr>
              <w:spacing w:after="0"/>
              <w:rPr>
                <w:lang w:val="en-US"/>
              </w:rPr>
            </w:pPr>
            <w:r w:rsidRPr="00C76FD5">
              <w:rPr>
                <w:lang w:val="en-US"/>
              </w:rPr>
              <w:t> 96.18619</w:t>
            </w:r>
          </w:p>
        </w:tc>
        <w:tc>
          <w:tcPr>
            <w:tcW w:w="2199" w:type="dxa"/>
            <w:vAlign w:val="bottom"/>
          </w:tcPr>
          <w:p w:rsidR="00314E8C" w:rsidRPr="00C76FD5" w:rsidRDefault="00314E8C" w:rsidP="00CB77C4">
            <w:pPr>
              <w:spacing w:after="0"/>
              <w:rPr>
                <w:lang w:val="en-US"/>
              </w:rPr>
            </w:pPr>
            <w:r w:rsidRPr="00C76FD5">
              <w:rPr>
                <w:lang w:val="en-US"/>
              </w:rPr>
              <w:t> 2.916115</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Minimum</w:t>
            </w:r>
          </w:p>
        </w:tc>
        <w:tc>
          <w:tcPr>
            <w:tcW w:w="2199" w:type="dxa"/>
            <w:vAlign w:val="bottom"/>
          </w:tcPr>
          <w:p w:rsidR="00314E8C" w:rsidRPr="00C76FD5" w:rsidRDefault="00314E8C" w:rsidP="00CB77C4">
            <w:pPr>
              <w:spacing w:after="0"/>
              <w:rPr>
                <w:lang w:val="en-US"/>
              </w:rPr>
            </w:pPr>
            <w:r w:rsidRPr="00C76FD5">
              <w:rPr>
                <w:lang w:val="en-US"/>
              </w:rPr>
              <w:t>-13.12673</w:t>
            </w:r>
          </w:p>
        </w:tc>
        <w:tc>
          <w:tcPr>
            <w:tcW w:w="2197" w:type="dxa"/>
            <w:vAlign w:val="bottom"/>
          </w:tcPr>
          <w:p w:rsidR="00314E8C" w:rsidRPr="00C76FD5" w:rsidRDefault="00314E8C" w:rsidP="00CB77C4">
            <w:pPr>
              <w:spacing w:after="0"/>
              <w:rPr>
                <w:lang w:val="en-US"/>
              </w:rPr>
            </w:pPr>
            <w:r w:rsidRPr="00C76FD5">
              <w:rPr>
                <w:lang w:val="en-US"/>
              </w:rPr>
              <w:t> 33.19173</w:t>
            </w:r>
          </w:p>
        </w:tc>
        <w:tc>
          <w:tcPr>
            <w:tcW w:w="2199" w:type="dxa"/>
            <w:vAlign w:val="bottom"/>
          </w:tcPr>
          <w:p w:rsidR="00314E8C" w:rsidRPr="00C76FD5" w:rsidRDefault="00314E8C" w:rsidP="00CB77C4">
            <w:pPr>
              <w:spacing w:after="0"/>
              <w:rPr>
                <w:lang w:val="en-US"/>
              </w:rPr>
            </w:pPr>
            <w:r w:rsidRPr="00C76FD5">
              <w:rPr>
                <w:lang w:val="en-US"/>
              </w:rPr>
              <w:t>-2.757440</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Std. Dev.</w:t>
            </w:r>
          </w:p>
        </w:tc>
        <w:tc>
          <w:tcPr>
            <w:tcW w:w="2199" w:type="dxa"/>
            <w:vAlign w:val="bottom"/>
          </w:tcPr>
          <w:p w:rsidR="00314E8C" w:rsidRPr="00C76FD5" w:rsidRDefault="00314E8C" w:rsidP="00CB77C4">
            <w:pPr>
              <w:spacing w:after="0"/>
              <w:rPr>
                <w:lang w:val="en-US"/>
              </w:rPr>
            </w:pPr>
            <w:r w:rsidRPr="00C76FD5">
              <w:rPr>
                <w:lang w:val="en-US"/>
              </w:rPr>
              <w:t> 3.642906</w:t>
            </w:r>
          </w:p>
        </w:tc>
        <w:tc>
          <w:tcPr>
            <w:tcW w:w="2197" w:type="dxa"/>
            <w:vAlign w:val="bottom"/>
          </w:tcPr>
          <w:p w:rsidR="00314E8C" w:rsidRPr="00C76FD5" w:rsidRDefault="00314E8C" w:rsidP="00CB77C4">
            <w:pPr>
              <w:spacing w:after="0"/>
              <w:rPr>
                <w:lang w:val="en-US"/>
              </w:rPr>
            </w:pPr>
            <w:r w:rsidRPr="00C76FD5">
              <w:rPr>
                <w:lang w:val="en-US"/>
              </w:rPr>
              <w:t> 11.68134</w:t>
            </w:r>
          </w:p>
        </w:tc>
        <w:tc>
          <w:tcPr>
            <w:tcW w:w="2199" w:type="dxa"/>
            <w:vAlign w:val="bottom"/>
          </w:tcPr>
          <w:p w:rsidR="00314E8C" w:rsidRPr="00C76FD5" w:rsidRDefault="00314E8C" w:rsidP="00CB77C4">
            <w:pPr>
              <w:spacing w:after="0"/>
              <w:rPr>
                <w:lang w:val="en-US"/>
              </w:rPr>
            </w:pPr>
            <w:r w:rsidRPr="00C76FD5">
              <w:rPr>
                <w:lang w:val="en-US"/>
              </w:rPr>
              <w:t> 1.311260</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w:t>
            </w:r>
            <w:proofErr w:type="spellStart"/>
            <w:r w:rsidRPr="00C76FD5">
              <w:rPr>
                <w:lang w:val="en-US"/>
              </w:rPr>
              <w:t>Skewness</w:t>
            </w:r>
            <w:proofErr w:type="spellEnd"/>
          </w:p>
        </w:tc>
        <w:tc>
          <w:tcPr>
            <w:tcW w:w="2199" w:type="dxa"/>
            <w:vAlign w:val="bottom"/>
          </w:tcPr>
          <w:p w:rsidR="00314E8C" w:rsidRPr="00C76FD5" w:rsidRDefault="00314E8C" w:rsidP="00CB77C4">
            <w:pPr>
              <w:spacing w:after="0"/>
              <w:rPr>
                <w:lang w:val="en-US"/>
              </w:rPr>
            </w:pPr>
            <w:r w:rsidRPr="00C76FD5">
              <w:rPr>
                <w:lang w:val="en-US"/>
              </w:rPr>
              <w:t>-3.754225</w:t>
            </w:r>
          </w:p>
        </w:tc>
        <w:tc>
          <w:tcPr>
            <w:tcW w:w="2197" w:type="dxa"/>
            <w:vAlign w:val="bottom"/>
          </w:tcPr>
          <w:p w:rsidR="00314E8C" w:rsidRPr="00C76FD5" w:rsidRDefault="00314E8C" w:rsidP="00CB77C4">
            <w:pPr>
              <w:spacing w:after="0"/>
              <w:rPr>
                <w:lang w:val="en-US"/>
              </w:rPr>
            </w:pPr>
            <w:r w:rsidRPr="00C76FD5">
              <w:rPr>
                <w:lang w:val="en-US"/>
              </w:rPr>
              <w:t> 1.421566</w:t>
            </w:r>
          </w:p>
        </w:tc>
        <w:tc>
          <w:tcPr>
            <w:tcW w:w="2199" w:type="dxa"/>
            <w:vAlign w:val="bottom"/>
          </w:tcPr>
          <w:p w:rsidR="00314E8C" w:rsidRPr="00C76FD5" w:rsidRDefault="00314E8C" w:rsidP="00CB77C4">
            <w:pPr>
              <w:spacing w:after="0"/>
              <w:rPr>
                <w:lang w:val="en-US"/>
              </w:rPr>
            </w:pPr>
            <w:r w:rsidRPr="00C76FD5">
              <w:rPr>
                <w:lang w:val="en-US"/>
              </w:rPr>
              <w:t>-1.154323</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Kurtosis</w:t>
            </w:r>
          </w:p>
        </w:tc>
        <w:tc>
          <w:tcPr>
            <w:tcW w:w="2199" w:type="dxa"/>
            <w:vAlign w:val="bottom"/>
          </w:tcPr>
          <w:p w:rsidR="00314E8C" w:rsidRPr="00C76FD5" w:rsidRDefault="00314E8C" w:rsidP="00CB77C4">
            <w:pPr>
              <w:spacing w:after="0"/>
              <w:rPr>
                <w:lang w:val="en-US"/>
              </w:rPr>
            </w:pPr>
            <w:r w:rsidRPr="00C76FD5">
              <w:rPr>
                <w:lang w:val="en-US"/>
              </w:rPr>
              <w:t> 18.52443</w:t>
            </w:r>
          </w:p>
        </w:tc>
        <w:tc>
          <w:tcPr>
            <w:tcW w:w="2197" w:type="dxa"/>
            <w:vAlign w:val="bottom"/>
          </w:tcPr>
          <w:p w:rsidR="00314E8C" w:rsidRPr="00C76FD5" w:rsidRDefault="00314E8C" w:rsidP="00CB77C4">
            <w:pPr>
              <w:spacing w:after="0"/>
              <w:rPr>
                <w:lang w:val="en-US"/>
              </w:rPr>
            </w:pPr>
            <w:r w:rsidRPr="00C76FD5">
              <w:rPr>
                <w:lang w:val="en-US"/>
              </w:rPr>
              <w:t> 6.890509</w:t>
            </w:r>
          </w:p>
        </w:tc>
        <w:tc>
          <w:tcPr>
            <w:tcW w:w="2199" w:type="dxa"/>
            <w:vAlign w:val="bottom"/>
          </w:tcPr>
          <w:p w:rsidR="00314E8C" w:rsidRPr="00C76FD5" w:rsidRDefault="00314E8C" w:rsidP="00CB77C4">
            <w:pPr>
              <w:spacing w:after="0"/>
              <w:rPr>
                <w:lang w:val="en-US"/>
              </w:rPr>
            </w:pPr>
            <w:r w:rsidRPr="00C76FD5">
              <w:rPr>
                <w:lang w:val="en-US"/>
              </w:rPr>
              <w:t> 4.184849</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c>
          <w:tcPr>
            <w:tcW w:w="2197"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w:t>
            </w:r>
            <w:proofErr w:type="spellStart"/>
            <w:r w:rsidRPr="00C76FD5">
              <w:rPr>
                <w:lang w:val="en-US"/>
              </w:rPr>
              <w:t>Jarque-Bera</w:t>
            </w:r>
            <w:proofErr w:type="spellEnd"/>
          </w:p>
        </w:tc>
        <w:tc>
          <w:tcPr>
            <w:tcW w:w="2199" w:type="dxa"/>
            <w:vAlign w:val="bottom"/>
          </w:tcPr>
          <w:p w:rsidR="00314E8C" w:rsidRPr="00C76FD5" w:rsidRDefault="00314E8C" w:rsidP="00CB77C4">
            <w:pPr>
              <w:spacing w:after="0"/>
              <w:rPr>
                <w:lang w:val="en-US"/>
              </w:rPr>
            </w:pPr>
            <w:r w:rsidRPr="00C76FD5">
              <w:rPr>
                <w:lang w:val="en-US"/>
              </w:rPr>
              <w:t> 433.6863</w:t>
            </w:r>
          </w:p>
        </w:tc>
        <w:tc>
          <w:tcPr>
            <w:tcW w:w="2197" w:type="dxa"/>
            <w:vAlign w:val="bottom"/>
          </w:tcPr>
          <w:p w:rsidR="00314E8C" w:rsidRPr="00C76FD5" w:rsidRDefault="00314E8C" w:rsidP="00CB77C4">
            <w:pPr>
              <w:spacing w:after="0"/>
              <w:rPr>
                <w:lang w:val="en-US"/>
              </w:rPr>
            </w:pPr>
            <w:r w:rsidRPr="00C76FD5">
              <w:rPr>
                <w:lang w:val="en-US"/>
              </w:rPr>
              <w:t> 33.86171</w:t>
            </w:r>
          </w:p>
        </w:tc>
        <w:tc>
          <w:tcPr>
            <w:tcW w:w="2199" w:type="dxa"/>
            <w:vAlign w:val="bottom"/>
          </w:tcPr>
          <w:p w:rsidR="00314E8C" w:rsidRPr="00C76FD5" w:rsidRDefault="00314E8C" w:rsidP="00CB77C4">
            <w:pPr>
              <w:spacing w:after="0"/>
              <w:rPr>
                <w:lang w:val="en-US"/>
              </w:rPr>
            </w:pPr>
            <w:r w:rsidRPr="00C76FD5">
              <w:rPr>
                <w:lang w:val="en-US"/>
              </w:rPr>
              <w:t> 9.819999</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Probability</w:t>
            </w:r>
          </w:p>
        </w:tc>
        <w:tc>
          <w:tcPr>
            <w:tcW w:w="2199" w:type="dxa"/>
            <w:vAlign w:val="bottom"/>
          </w:tcPr>
          <w:p w:rsidR="00314E8C" w:rsidRPr="00C76FD5" w:rsidRDefault="00314E8C" w:rsidP="00CB77C4">
            <w:pPr>
              <w:spacing w:after="0"/>
              <w:rPr>
                <w:lang w:val="en-US"/>
              </w:rPr>
            </w:pPr>
            <w:r w:rsidRPr="00C76FD5">
              <w:rPr>
                <w:lang w:val="en-US"/>
              </w:rPr>
              <w:t> 0.000000</w:t>
            </w:r>
          </w:p>
        </w:tc>
        <w:tc>
          <w:tcPr>
            <w:tcW w:w="2197" w:type="dxa"/>
            <w:vAlign w:val="bottom"/>
          </w:tcPr>
          <w:p w:rsidR="00314E8C" w:rsidRPr="00C76FD5" w:rsidRDefault="00314E8C" w:rsidP="00CB77C4">
            <w:pPr>
              <w:spacing w:after="0"/>
              <w:rPr>
                <w:lang w:val="en-US"/>
              </w:rPr>
            </w:pPr>
            <w:r w:rsidRPr="00C76FD5">
              <w:rPr>
                <w:lang w:val="en-US"/>
              </w:rPr>
              <w:t> 0.000000</w:t>
            </w:r>
          </w:p>
        </w:tc>
        <w:tc>
          <w:tcPr>
            <w:tcW w:w="2199" w:type="dxa"/>
            <w:vAlign w:val="bottom"/>
          </w:tcPr>
          <w:p w:rsidR="00314E8C" w:rsidRPr="00C76FD5" w:rsidRDefault="00314E8C" w:rsidP="00CB77C4">
            <w:pPr>
              <w:spacing w:after="0"/>
              <w:rPr>
                <w:lang w:val="en-US"/>
              </w:rPr>
            </w:pPr>
            <w:r w:rsidRPr="00C76FD5">
              <w:rPr>
                <w:lang w:val="en-US"/>
              </w:rPr>
              <w:t> 0.007372</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c>
          <w:tcPr>
            <w:tcW w:w="2197"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Sum</w:t>
            </w:r>
          </w:p>
        </w:tc>
        <w:tc>
          <w:tcPr>
            <w:tcW w:w="2199" w:type="dxa"/>
            <w:vAlign w:val="bottom"/>
          </w:tcPr>
          <w:p w:rsidR="00314E8C" w:rsidRPr="00C76FD5" w:rsidRDefault="00314E8C" w:rsidP="00CB77C4">
            <w:pPr>
              <w:spacing w:after="0"/>
              <w:rPr>
                <w:lang w:val="en-US"/>
              </w:rPr>
            </w:pPr>
            <w:r w:rsidRPr="00C76FD5">
              <w:rPr>
                <w:lang w:val="en-US"/>
              </w:rPr>
              <w:t> 170.2736</w:t>
            </w:r>
          </w:p>
        </w:tc>
        <w:tc>
          <w:tcPr>
            <w:tcW w:w="2197" w:type="dxa"/>
            <w:vAlign w:val="bottom"/>
          </w:tcPr>
          <w:p w:rsidR="00314E8C" w:rsidRPr="00C76FD5" w:rsidRDefault="00314E8C" w:rsidP="00CB77C4">
            <w:pPr>
              <w:spacing w:after="0"/>
              <w:rPr>
                <w:lang w:val="en-US"/>
              </w:rPr>
            </w:pPr>
            <w:r w:rsidRPr="00C76FD5">
              <w:rPr>
                <w:lang w:val="en-US"/>
              </w:rPr>
              <w:t> 1838.513</w:t>
            </w:r>
          </w:p>
        </w:tc>
        <w:tc>
          <w:tcPr>
            <w:tcW w:w="2199" w:type="dxa"/>
            <w:vAlign w:val="bottom"/>
          </w:tcPr>
          <w:p w:rsidR="00314E8C" w:rsidRPr="00C76FD5" w:rsidRDefault="00314E8C" w:rsidP="00CB77C4">
            <w:pPr>
              <w:spacing w:after="0"/>
              <w:rPr>
                <w:lang w:val="en-US"/>
              </w:rPr>
            </w:pPr>
            <w:r w:rsidRPr="00C76FD5">
              <w:rPr>
                <w:lang w:val="en-US"/>
              </w:rPr>
              <w:t> 41.05177</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Sum Sq. Dev.</w:t>
            </w:r>
          </w:p>
        </w:tc>
        <w:tc>
          <w:tcPr>
            <w:tcW w:w="2199" w:type="dxa"/>
            <w:vAlign w:val="bottom"/>
          </w:tcPr>
          <w:p w:rsidR="00314E8C" w:rsidRPr="00C76FD5" w:rsidRDefault="00314E8C" w:rsidP="00CB77C4">
            <w:pPr>
              <w:spacing w:after="0"/>
              <w:rPr>
                <w:lang w:val="en-US"/>
              </w:rPr>
            </w:pPr>
            <w:r w:rsidRPr="00C76FD5">
              <w:rPr>
                <w:lang w:val="en-US"/>
              </w:rPr>
              <w:t> 451.2060</w:t>
            </w:r>
          </w:p>
        </w:tc>
        <w:tc>
          <w:tcPr>
            <w:tcW w:w="2197" w:type="dxa"/>
            <w:vAlign w:val="bottom"/>
          </w:tcPr>
          <w:p w:rsidR="00314E8C" w:rsidRPr="00C76FD5" w:rsidRDefault="00314E8C" w:rsidP="00CB77C4">
            <w:pPr>
              <w:spacing w:after="0"/>
              <w:rPr>
                <w:lang w:val="en-US"/>
              </w:rPr>
            </w:pPr>
            <w:r w:rsidRPr="00C76FD5">
              <w:rPr>
                <w:lang w:val="en-US"/>
              </w:rPr>
              <w:t> 4639.427</w:t>
            </w:r>
          </w:p>
        </w:tc>
        <w:tc>
          <w:tcPr>
            <w:tcW w:w="2199" w:type="dxa"/>
            <w:vAlign w:val="bottom"/>
          </w:tcPr>
          <w:p w:rsidR="00314E8C" w:rsidRPr="00C76FD5" w:rsidRDefault="00314E8C" w:rsidP="00CB77C4">
            <w:pPr>
              <w:spacing w:after="0"/>
              <w:rPr>
                <w:lang w:val="en-US"/>
              </w:rPr>
            </w:pPr>
            <w:r w:rsidRPr="00C76FD5">
              <w:rPr>
                <w:lang w:val="en-US"/>
              </w:rPr>
              <w:t> 58.45967</w:t>
            </w:r>
          </w:p>
        </w:tc>
      </w:tr>
      <w:tr w:rsidR="00314E8C" w:rsidRPr="00C76FD5" w:rsidTr="00314E8C">
        <w:trPr>
          <w:trHeight w:val="259"/>
        </w:trPr>
        <w:tc>
          <w:tcPr>
            <w:tcW w:w="2498"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c>
          <w:tcPr>
            <w:tcW w:w="2197" w:type="dxa"/>
            <w:vAlign w:val="bottom"/>
          </w:tcPr>
          <w:p w:rsidR="00314E8C" w:rsidRPr="00C76FD5" w:rsidRDefault="00314E8C" w:rsidP="00CB77C4">
            <w:pPr>
              <w:spacing w:after="0"/>
              <w:rPr>
                <w:lang w:val="en-US"/>
              </w:rPr>
            </w:pPr>
          </w:p>
        </w:tc>
        <w:tc>
          <w:tcPr>
            <w:tcW w:w="2199" w:type="dxa"/>
            <w:vAlign w:val="bottom"/>
          </w:tcPr>
          <w:p w:rsidR="00314E8C" w:rsidRPr="00C76FD5" w:rsidRDefault="00314E8C" w:rsidP="00CB77C4">
            <w:pPr>
              <w:spacing w:after="0"/>
              <w:rPr>
                <w:lang w:val="en-US"/>
              </w:rPr>
            </w:pPr>
          </w:p>
        </w:tc>
      </w:tr>
      <w:tr w:rsidR="00314E8C" w:rsidRPr="00C76FD5" w:rsidTr="00314E8C">
        <w:trPr>
          <w:trHeight w:val="259"/>
        </w:trPr>
        <w:tc>
          <w:tcPr>
            <w:tcW w:w="2498" w:type="dxa"/>
            <w:vAlign w:val="bottom"/>
          </w:tcPr>
          <w:p w:rsidR="00314E8C" w:rsidRPr="00C76FD5" w:rsidRDefault="00314E8C" w:rsidP="00CB77C4">
            <w:pPr>
              <w:spacing w:after="0"/>
              <w:rPr>
                <w:lang w:val="en-US"/>
              </w:rPr>
            </w:pPr>
            <w:r w:rsidRPr="00C76FD5">
              <w:rPr>
                <w:lang w:val="en-US"/>
              </w:rPr>
              <w:t> Observations</w:t>
            </w:r>
          </w:p>
        </w:tc>
        <w:tc>
          <w:tcPr>
            <w:tcW w:w="2199" w:type="dxa"/>
            <w:vAlign w:val="bottom"/>
          </w:tcPr>
          <w:p w:rsidR="00314E8C" w:rsidRPr="00C76FD5" w:rsidRDefault="00314E8C" w:rsidP="00CB77C4">
            <w:pPr>
              <w:spacing w:after="0"/>
              <w:rPr>
                <w:lang w:val="en-US"/>
              </w:rPr>
            </w:pPr>
            <w:r w:rsidRPr="00C76FD5">
              <w:rPr>
                <w:lang w:val="en-US"/>
              </w:rPr>
              <w:t> 35</w:t>
            </w:r>
          </w:p>
        </w:tc>
        <w:tc>
          <w:tcPr>
            <w:tcW w:w="2197" w:type="dxa"/>
            <w:vAlign w:val="bottom"/>
          </w:tcPr>
          <w:p w:rsidR="00314E8C" w:rsidRPr="00C76FD5" w:rsidRDefault="00314E8C" w:rsidP="00CB77C4">
            <w:pPr>
              <w:spacing w:after="0"/>
              <w:rPr>
                <w:lang w:val="en-US"/>
              </w:rPr>
            </w:pPr>
            <w:r w:rsidRPr="00C76FD5">
              <w:rPr>
                <w:lang w:val="en-US"/>
              </w:rPr>
              <w:t> 35</w:t>
            </w:r>
          </w:p>
        </w:tc>
        <w:tc>
          <w:tcPr>
            <w:tcW w:w="2199" w:type="dxa"/>
            <w:vAlign w:val="bottom"/>
          </w:tcPr>
          <w:p w:rsidR="00314E8C" w:rsidRPr="00C76FD5" w:rsidRDefault="00314E8C" w:rsidP="00CB77C4">
            <w:pPr>
              <w:spacing w:after="0"/>
              <w:rPr>
                <w:lang w:val="en-US"/>
              </w:rPr>
            </w:pPr>
            <w:r w:rsidRPr="00C76FD5">
              <w:rPr>
                <w:lang w:val="en-US"/>
              </w:rPr>
              <w:t> 35</w:t>
            </w:r>
          </w:p>
        </w:tc>
      </w:tr>
    </w:tbl>
    <w:p w:rsidR="00314E8C" w:rsidRPr="00C76FD5" w:rsidRDefault="00314E8C" w:rsidP="00C76FD5">
      <w:pPr>
        <w:rPr>
          <w:szCs w:val="24"/>
        </w:rPr>
      </w:pPr>
      <w:r w:rsidRPr="00C76FD5">
        <w:rPr>
          <w:szCs w:val="24"/>
          <w:lang w:val="en-US"/>
        </w:rPr>
        <w:br/>
      </w:r>
      <w:r w:rsidR="003D59E2" w:rsidRPr="003D59E2">
        <w:rPr>
          <w:szCs w:val="24"/>
        </w:rPr>
        <w:t xml:space="preserve">The results of descriptive statistics are expressed in </w:t>
      </w:r>
      <w:r w:rsidR="001874C1">
        <w:rPr>
          <w:szCs w:val="24"/>
        </w:rPr>
        <w:t>terms of the mean, min, max, an</w:t>
      </w:r>
      <w:r w:rsidR="003D59E2" w:rsidRPr="003D59E2">
        <w:rPr>
          <w:szCs w:val="24"/>
        </w:rPr>
        <w:t xml:space="preserve">d </w:t>
      </w:r>
      <w:proofErr w:type="spellStart"/>
      <w:r w:rsidR="003D59E2" w:rsidRPr="003D59E2">
        <w:rPr>
          <w:szCs w:val="24"/>
        </w:rPr>
        <w:t>Std</w:t>
      </w:r>
      <w:proofErr w:type="spellEnd"/>
      <w:r w:rsidR="003D59E2" w:rsidRPr="003D59E2">
        <w:rPr>
          <w:szCs w:val="24"/>
        </w:rPr>
        <w:t xml:space="preserve"> Dev.</w:t>
      </w:r>
      <w:r w:rsidR="003D59E2">
        <w:rPr>
          <w:szCs w:val="24"/>
        </w:rPr>
        <w:t xml:space="preserve"> </w:t>
      </w:r>
      <w:r w:rsidR="004D53A1" w:rsidRPr="00C76FD5">
        <w:rPr>
          <w:szCs w:val="24"/>
        </w:rPr>
        <w:t xml:space="preserve">EG Mean 4,864, EG Min -13,126, EG Max 8,220, EG </w:t>
      </w:r>
      <w:proofErr w:type="spellStart"/>
      <w:r w:rsidR="004D53A1" w:rsidRPr="00C76FD5">
        <w:rPr>
          <w:szCs w:val="24"/>
        </w:rPr>
        <w:t>Std</w:t>
      </w:r>
      <w:proofErr w:type="spellEnd"/>
      <w:r w:rsidR="004D53A1" w:rsidRPr="00C76FD5">
        <w:rPr>
          <w:szCs w:val="24"/>
        </w:rPr>
        <w:t xml:space="preserve"> </w:t>
      </w:r>
      <w:proofErr w:type="spellStart"/>
      <w:r w:rsidR="004D53A1" w:rsidRPr="00C76FD5">
        <w:rPr>
          <w:szCs w:val="24"/>
        </w:rPr>
        <w:t>Dev</w:t>
      </w:r>
      <w:proofErr w:type="spellEnd"/>
      <w:r w:rsidR="004D53A1" w:rsidRPr="00C76FD5">
        <w:rPr>
          <w:szCs w:val="24"/>
        </w:rPr>
        <w:t xml:space="preserve"> 3,642. T Mean 52.528, T Min 33,191, T Max 96,186, T </w:t>
      </w:r>
      <w:proofErr w:type="spellStart"/>
      <w:proofErr w:type="gramStart"/>
      <w:r w:rsidR="004D53A1" w:rsidRPr="00C76FD5">
        <w:rPr>
          <w:szCs w:val="24"/>
        </w:rPr>
        <w:t>Std</w:t>
      </w:r>
      <w:proofErr w:type="spellEnd"/>
      <w:proofErr w:type="gramEnd"/>
      <w:r w:rsidR="004D53A1" w:rsidRPr="00C76FD5">
        <w:rPr>
          <w:szCs w:val="24"/>
        </w:rPr>
        <w:t xml:space="preserve"> </w:t>
      </w:r>
      <w:proofErr w:type="spellStart"/>
      <w:r w:rsidR="004D53A1" w:rsidRPr="00C76FD5">
        <w:rPr>
          <w:szCs w:val="24"/>
        </w:rPr>
        <w:t>Dev</w:t>
      </w:r>
      <w:proofErr w:type="spellEnd"/>
      <w:r w:rsidR="004D53A1" w:rsidRPr="00C76FD5">
        <w:rPr>
          <w:szCs w:val="24"/>
        </w:rPr>
        <w:t xml:space="preserve"> 11,681. FDI mean 1.172, FDI min -2.757, FDI max 2.916, FDI </w:t>
      </w:r>
      <w:proofErr w:type="spellStart"/>
      <w:proofErr w:type="gramStart"/>
      <w:r w:rsidR="004D53A1" w:rsidRPr="00C76FD5">
        <w:rPr>
          <w:szCs w:val="24"/>
        </w:rPr>
        <w:t>Std</w:t>
      </w:r>
      <w:proofErr w:type="spellEnd"/>
      <w:proofErr w:type="gramEnd"/>
      <w:r w:rsidR="004D53A1" w:rsidRPr="00C76FD5">
        <w:rPr>
          <w:szCs w:val="24"/>
        </w:rPr>
        <w:t xml:space="preserve"> </w:t>
      </w:r>
      <w:proofErr w:type="spellStart"/>
      <w:r w:rsidR="004D53A1" w:rsidRPr="00C76FD5">
        <w:rPr>
          <w:szCs w:val="24"/>
        </w:rPr>
        <w:t>Dev</w:t>
      </w:r>
      <w:proofErr w:type="spellEnd"/>
      <w:r w:rsidR="004D53A1" w:rsidRPr="00C76FD5">
        <w:rPr>
          <w:szCs w:val="24"/>
        </w:rPr>
        <w:t xml:space="preserve"> 1.311. EG is Indonesia's economic growth, T is Indonesia's trade as a percentage of GDP, and FDI is a foreign direct investment in Indonesia.</w:t>
      </w:r>
    </w:p>
    <w:p w:rsidR="00E040C1" w:rsidRPr="00C76FD5" w:rsidRDefault="004D69B3" w:rsidP="00C76FD5">
      <w:pPr>
        <w:pBdr>
          <w:top w:val="nil"/>
          <w:left w:val="nil"/>
          <w:bottom w:val="nil"/>
          <w:right w:val="nil"/>
          <w:between w:val="nil"/>
        </w:pBdr>
        <w:rPr>
          <w:szCs w:val="24"/>
        </w:rPr>
      </w:pPr>
      <w:r w:rsidRPr="004D69B3">
        <w:rPr>
          <w:szCs w:val="24"/>
        </w:rPr>
        <w:t>Before using the ARDL model to estimate the value, a stationary test should be performed. Augmented Dickey-Fuller (ADF) may detect whether the series is not stationary by evaluating the error component, which contains any possibility for autocorrelation if the series is not stationary.</w:t>
      </w:r>
      <w:r>
        <w:rPr>
          <w:szCs w:val="24"/>
        </w:rPr>
        <w:t xml:space="preserve"> </w:t>
      </w:r>
      <w:r w:rsidR="00BF310A" w:rsidRPr="00C76FD5">
        <w:rPr>
          <w:szCs w:val="24"/>
        </w:rPr>
        <w:t>Here are t</w:t>
      </w:r>
      <w:r w:rsidR="001874C1">
        <w:rPr>
          <w:szCs w:val="24"/>
        </w:rPr>
        <w:t>he results</w:t>
      </w:r>
      <w:r w:rsidR="00BF310A" w:rsidRPr="00C76FD5">
        <w:rPr>
          <w:szCs w:val="24"/>
        </w:rPr>
        <w:t>:</w:t>
      </w:r>
    </w:p>
    <w:p w:rsidR="00E040C1" w:rsidRPr="00C76FD5" w:rsidRDefault="004D53A1" w:rsidP="00E040C1">
      <w:pPr>
        <w:rPr>
          <w:szCs w:val="24"/>
        </w:rPr>
      </w:pPr>
      <w:proofErr w:type="gramStart"/>
      <w:r w:rsidRPr="00C76FD5">
        <w:rPr>
          <w:szCs w:val="24"/>
        </w:rPr>
        <w:t>Table 2.</w:t>
      </w:r>
      <w:proofErr w:type="gramEnd"/>
      <w:r w:rsidR="00E040C1" w:rsidRPr="00C76FD5">
        <w:rPr>
          <w:szCs w:val="24"/>
        </w:rPr>
        <w:t xml:space="preserve"> ADF's Unit Root Test on </w:t>
      </w:r>
      <w:r w:rsidR="00BF310A" w:rsidRPr="00C76FD5">
        <w:rPr>
          <w:szCs w:val="24"/>
          <w:lang w:val="en-US"/>
        </w:rPr>
        <w:t>EG, T, and FDI</w:t>
      </w:r>
      <w:r w:rsidR="00E040C1" w:rsidRPr="00C76FD5">
        <w:rPr>
          <w:szCs w:val="24"/>
        </w:rPr>
        <w:t xml:space="preserve"> data in Indonesia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9"/>
        <w:gridCol w:w="873"/>
        <w:gridCol w:w="2189"/>
        <w:gridCol w:w="1683"/>
        <w:gridCol w:w="1265"/>
        <w:gridCol w:w="1243"/>
      </w:tblGrid>
      <w:tr w:rsidR="00E040C1" w:rsidRPr="00C76FD5" w:rsidTr="009C2D4B">
        <w:trPr>
          <w:trHeight w:val="708"/>
        </w:trPr>
        <w:tc>
          <w:tcPr>
            <w:tcW w:w="0" w:type="auto"/>
            <w:vAlign w:val="center"/>
          </w:tcPr>
          <w:p w:rsidR="00E040C1" w:rsidRPr="00C76FD5" w:rsidRDefault="00E040C1" w:rsidP="00CB77C4">
            <w:pPr>
              <w:spacing w:after="0"/>
            </w:pPr>
            <w:r w:rsidRPr="00C76FD5">
              <w:t>Variable</w:t>
            </w:r>
          </w:p>
        </w:tc>
        <w:tc>
          <w:tcPr>
            <w:tcW w:w="0" w:type="auto"/>
            <w:vAlign w:val="center"/>
          </w:tcPr>
          <w:p w:rsidR="00E040C1" w:rsidRPr="00C76FD5" w:rsidRDefault="00E040C1" w:rsidP="00CB77C4">
            <w:pPr>
              <w:spacing w:after="0"/>
            </w:pPr>
            <w:r w:rsidRPr="00C76FD5">
              <w:t>Unit Root</w:t>
            </w:r>
          </w:p>
        </w:tc>
        <w:tc>
          <w:tcPr>
            <w:tcW w:w="0" w:type="auto"/>
            <w:vAlign w:val="center"/>
          </w:tcPr>
          <w:p w:rsidR="00E040C1" w:rsidRPr="00C76FD5" w:rsidRDefault="00E040C1" w:rsidP="00CB77C4">
            <w:pPr>
              <w:spacing w:after="0"/>
            </w:pPr>
            <w:r w:rsidRPr="00C76FD5">
              <w:t>Include in the examination Equation</w:t>
            </w:r>
          </w:p>
        </w:tc>
        <w:tc>
          <w:tcPr>
            <w:tcW w:w="0" w:type="auto"/>
            <w:vAlign w:val="center"/>
          </w:tcPr>
          <w:p w:rsidR="00E040C1" w:rsidRPr="00C76FD5" w:rsidRDefault="00E040C1" w:rsidP="00CB77C4">
            <w:pPr>
              <w:spacing w:after="0"/>
            </w:pPr>
            <w:r w:rsidRPr="00C76FD5">
              <w:t>Statistics for the ADF Test</w:t>
            </w:r>
          </w:p>
        </w:tc>
        <w:tc>
          <w:tcPr>
            <w:tcW w:w="0" w:type="auto"/>
            <w:vAlign w:val="center"/>
          </w:tcPr>
          <w:p w:rsidR="00E040C1" w:rsidRPr="00C76FD5" w:rsidRDefault="00E040C1" w:rsidP="00CB77C4">
            <w:pPr>
              <w:spacing w:after="0"/>
            </w:pPr>
            <w:r w:rsidRPr="00C76FD5">
              <w:t>5% Critical Value</w:t>
            </w:r>
          </w:p>
        </w:tc>
        <w:tc>
          <w:tcPr>
            <w:tcW w:w="0" w:type="auto"/>
            <w:vAlign w:val="center"/>
          </w:tcPr>
          <w:p w:rsidR="00E040C1" w:rsidRPr="00C76FD5" w:rsidRDefault="00E040C1" w:rsidP="00CB77C4">
            <w:pPr>
              <w:spacing w:after="0"/>
            </w:pPr>
            <w:r w:rsidRPr="00C76FD5">
              <w:t>Description</w:t>
            </w:r>
          </w:p>
        </w:tc>
      </w:tr>
      <w:tr w:rsidR="00E040C1" w:rsidRPr="00C76FD5" w:rsidTr="009C2D4B">
        <w:trPr>
          <w:trHeight w:val="314"/>
        </w:trPr>
        <w:tc>
          <w:tcPr>
            <w:tcW w:w="0" w:type="auto"/>
            <w:vAlign w:val="center"/>
          </w:tcPr>
          <w:p w:rsidR="00E040C1" w:rsidRPr="00C76FD5" w:rsidRDefault="00E040C1" w:rsidP="00CB77C4">
            <w:pPr>
              <w:spacing w:after="0"/>
              <w:rPr>
                <w:color w:val="000000"/>
                <w:lang w:val="en-US"/>
              </w:rPr>
            </w:pPr>
            <w:r w:rsidRPr="00C76FD5">
              <w:rPr>
                <w:color w:val="000000"/>
                <w:lang w:val="en-US"/>
              </w:rPr>
              <w:t>Economic Growth (EG)</w:t>
            </w:r>
          </w:p>
          <w:p w:rsidR="00E040C1" w:rsidRPr="00C76FD5" w:rsidRDefault="00E040C1" w:rsidP="00CB77C4">
            <w:pPr>
              <w:spacing w:after="0"/>
            </w:pPr>
          </w:p>
        </w:tc>
        <w:tc>
          <w:tcPr>
            <w:tcW w:w="0" w:type="auto"/>
            <w:vAlign w:val="center"/>
          </w:tcPr>
          <w:p w:rsidR="00E040C1" w:rsidRPr="00C76FD5" w:rsidRDefault="00E040C1" w:rsidP="00CB77C4">
            <w:pPr>
              <w:spacing w:after="0"/>
            </w:pPr>
            <w:r w:rsidRPr="00C76FD5">
              <w:t>Level</w:t>
            </w:r>
          </w:p>
        </w:tc>
        <w:tc>
          <w:tcPr>
            <w:tcW w:w="0" w:type="auto"/>
            <w:vAlign w:val="center"/>
          </w:tcPr>
          <w:p w:rsidR="00E040C1" w:rsidRPr="00C76FD5" w:rsidRDefault="00E040C1" w:rsidP="00CB77C4">
            <w:pPr>
              <w:spacing w:after="0"/>
            </w:pPr>
            <w:r w:rsidRPr="00C76FD5">
              <w:t>Intercept</w:t>
            </w:r>
          </w:p>
        </w:tc>
        <w:tc>
          <w:tcPr>
            <w:tcW w:w="0" w:type="auto"/>
          </w:tcPr>
          <w:p w:rsidR="00E040C1" w:rsidRPr="00C76FD5" w:rsidRDefault="00E040C1" w:rsidP="00CB77C4">
            <w:pPr>
              <w:spacing w:after="0"/>
            </w:pPr>
            <w:r w:rsidRPr="00C76FD5">
              <w:t>-3.851914</w:t>
            </w:r>
          </w:p>
        </w:tc>
        <w:tc>
          <w:tcPr>
            <w:tcW w:w="0" w:type="auto"/>
          </w:tcPr>
          <w:p w:rsidR="00E040C1" w:rsidRPr="00C76FD5" w:rsidRDefault="00E040C1" w:rsidP="00CB77C4">
            <w:pPr>
              <w:spacing w:after="0"/>
            </w:pPr>
            <w:r w:rsidRPr="00C76FD5">
              <w:t xml:space="preserve"> 0.0058</w:t>
            </w:r>
          </w:p>
        </w:tc>
        <w:tc>
          <w:tcPr>
            <w:tcW w:w="0" w:type="auto"/>
            <w:vAlign w:val="center"/>
          </w:tcPr>
          <w:p w:rsidR="00E040C1" w:rsidRPr="00C76FD5" w:rsidRDefault="00E040C1" w:rsidP="00CB77C4">
            <w:pPr>
              <w:spacing w:after="0"/>
            </w:pPr>
            <w:r w:rsidRPr="00C76FD5">
              <w:t>Stationer</w:t>
            </w:r>
          </w:p>
        </w:tc>
      </w:tr>
      <w:tr w:rsidR="00E040C1" w:rsidRPr="00C76FD5" w:rsidTr="009C2D4B">
        <w:trPr>
          <w:trHeight w:val="557"/>
        </w:trPr>
        <w:tc>
          <w:tcPr>
            <w:tcW w:w="0" w:type="auto"/>
            <w:vMerge w:val="restart"/>
            <w:vAlign w:val="center"/>
          </w:tcPr>
          <w:p w:rsidR="00E040C1" w:rsidRPr="00C76FD5" w:rsidRDefault="00E040C1" w:rsidP="00CB77C4">
            <w:pPr>
              <w:spacing w:after="0"/>
            </w:pPr>
            <w:r w:rsidRPr="00C76FD5">
              <w:rPr>
                <w:lang w:val="en-US"/>
              </w:rPr>
              <w:t>Trade</w:t>
            </w:r>
            <w:r w:rsidRPr="00C76FD5">
              <w:rPr>
                <w:color w:val="000000"/>
                <w:lang w:val="en-US"/>
              </w:rPr>
              <w:t xml:space="preserve"> (T)</w:t>
            </w:r>
          </w:p>
        </w:tc>
        <w:tc>
          <w:tcPr>
            <w:tcW w:w="0" w:type="auto"/>
            <w:vAlign w:val="center"/>
          </w:tcPr>
          <w:p w:rsidR="00E040C1" w:rsidRPr="00C76FD5" w:rsidRDefault="00E040C1" w:rsidP="00CB77C4">
            <w:pPr>
              <w:spacing w:after="0"/>
            </w:pPr>
            <w:r w:rsidRPr="00C76FD5">
              <w:t>Level</w:t>
            </w:r>
          </w:p>
        </w:tc>
        <w:tc>
          <w:tcPr>
            <w:tcW w:w="0" w:type="auto"/>
            <w:vAlign w:val="center"/>
          </w:tcPr>
          <w:p w:rsidR="00E040C1" w:rsidRPr="00C76FD5" w:rsidRDefault="00E040C1" w:rsidP="00CB77C4">
            <w:pPr>
              <w:spacing w:after="0"/>
            </w:pPr>
            <w:r w:rsidRPr="00C76FD5">
              <w:t>Intercept</w:t>
            </w:r>
          </w:p>
        </w:tc>
        <w:tc>
          <w:tcPr>
            <w:tcW w:w="0" w:type="auto"/>
          </w:tcPr>
          <w:p w:rsidR="00E040C1" w:rsidRPr="00C76FD5" w:rsidRDefault="00E040C1" w:rsidP="00CB77C4">
            <w:pPr>
              <w:spacing w:after="0"/>
            </w:pPr>
            <w:r w:rsidRPr="00C76FD5">
              <w:t>-2.510594</w:t>
            </w:r>
          </w:p>
        </w:tc>
        <w:tc>
          <w:tcPr>
            <w:tcW w:w="0" w:type="auto"/>
          </w:tcPr>
          <w:p w:rsidR="00E040C1" w:rsidRPr="00C76FD5" w:rsidRDefault="00E040C1" w:rsidP="00CB77C4">
            <w:pPr>
              <w:spacing w:after="0"/>
            </w:pPr>
            <w:r w:rsidRPr="00C76FD5">
              <w:t xml:space="preserve"> 0.1219</w:t>
            </w:r>
          </w:p>
        </w:tc>
        <w:tc>
          <w:tcPr>
            <w:tcW w:w="0" w:type="auto"/>
            <w:vAlign w:val="center"/>
          </w:tcPr>
          <w:p w:rsidR="00E040C1" w:rsidRPr="00C76FD5" w:rsidRDefault="00E040C1" w:rsidP="00CB77C4">
            <w:pPr>
              <w:spacing w:after="0"/>
            </w:pPr>
          </w:p>
        </w:tc>
      </w:tr>
      <w:tr w:rsidR="00E040C1" w:rsidRPr="00C76FD5" w:rsidTr="009C2D4B">
        <w:trPr>
          <w:trHeight w:val="331"/>
        </w:trPr>
        <w:tc>
          <w:tcPr>
            <w:tcW w:w="0" w:type="auto"/>
            <w:vMerge/>
            <w:vAlign w:val="center"/>
          </w:tcPr>
          <w:p w:rsidR="00E040C1" w:rsidRPr="00C76FD5" w:rsidRDefault="00E040C1" w:rsidP="00CB77C4">
            <w:pPr>
              <w:spacing w:after="0"/>
            </w:pPr>
          </w:p>
        </w:tc>
        <w:tc>
          <w:tcPr>
            <w:tcW w:w="0" w:type="auto"/>
            <w:vAlign w:val="center"/>
          </w:tcPr>
          <w:p w:rsidR="00E040C1" w:rsidRPr="00C76FD5" w:rsidRDefault="00E040C1" w:rsidP="00CB77C4">
            <w:pPr>
              <w:spacing w:after="0"/>
            </w:pPr>
            <w:r w:rsidRPr="00C76FD5">
              <w:rPr>
                <w:lang w:val="en-US"/>
              </w:rPr>
              <w:t>First</w:t>
            </w:r>
            <w:r w:rsidRPr="00C76FD5">
              <w:t xml:space="preserve"> Diff</w:t>
            </w:r>
          </w:p>
        </w:tc>
        <w:tc>
          <w:tcPr>
            <w:tcW w:w="0" w:type="auto"/>
            <w:vAlign w:val="center"/>
          </w:tcPr>
          <w:p w:rsidR="00E040C1" w:rsidRPr="00C76FD5" w:rsidRDefault="00E040C1" w:rsidP="00CB77C4">
            <w:pPr>
              <w:spacing w:after="0"/>
            </w:pPr>
            <w:r w:rsidRPr="00C76FD5">
              <w:t>Intercept</w:t>
            </w:r>
          </w:p>
        </w:tc>
        <w:tc>
          <w:tcPr>
            <w:tcW w:w="0" w:type="auto"/>
          </w:tcPr>
          <w:p w:rsidR="00E040C1" w:rsidRPr="00C76FD5" w:rsidRDefault="00E040C1" w:rsidP="00CB77C4">
            <w:pPr>
              <w:spacing w:after="0"/>
            </w:pPr>
            <w:r w:rsidRPr="00C76FD5">
              <w:t>-8.868588</w:t>
            </w:r>
          </w:p>
        </w:tc>
        <w:tc>
          <w:tcPr>
            <w:tcW w:w="0" w:type="auto"/>
          </w:tcPr>
          <w:p w:rsidR="00E040C1" w:rsidRPr="00C76FD5" w:rsidRDefault="00E040C1" w:rsidP="00CB77C4">
            <w:pPr>
              <w:spacing w:after="0"/>
            </w:pPr>
            <w:r w:rsidRPr="00C76FD5">
              <w:t xml:space="preserve"> 0.0000</w:t>
            </w:r>
          </w:p>
        </w:tc>
        <w:tc>
          <w:tcPr>
            <w:tcW w:w="0" w:type="auto"/>
            <w:vAlign w:val="center"/>
          </w:tcPr>
          <w:p w:rsidR="00E040C1" w:rsidRPr="00C76FD5" w:rsidRDefault="00E040C1" w:rsidP="00CB77C4">
            <w:pPr>
              <w:spacing w:after="0"/>
            </w:pPr>
            <w:r w:rsidRPr="00C76FD5">
              <w:t>Stationer</w:t>
            </w:r>
          </w:p>
          <w:p w:rsidR="00E040C1" w:rsidRPr="00C76FD5" w:rsidRDefault="00E040C1" w:rsidP="00CB77C4">
            <w:pPr>
              <w:spacing w:after="0"/>
            </w:pPr>
          </w:p>
        </w:tc>
      </w:tr>
      <w:tr w:rsidR="00E040C1" w:rsidRPr="00C76FD5" w:rsidTr="009C2D4B">
        <w:trPr>
          <w:trHeight w:val="331"/>
        </w:trPr>
        <w:tc>
          <w:tcPr>
            <w:tcW w:w="0" w:type="auto"/>
            <w:vMerge w:val="restart"/>
            <w:vAlign w:val="center"/>
          </w:tcPr>
          <w:p w:rsidR="00E040C1" w:rsidRPr="00C76FD5" w:rsidRDefault="00E040C1" w:rsidP="00CB77C4">
            <w:pPr>
              <w:spacing w:after="0"/>
              <w:rPr>
                <w:lang w:val="en-US"/>
              </w:rPr>
            </w:pPr>
            <w:r w:rsidRPr="00C76FD5">
              <w:rPr>
                <w:color w:val="000000"/>
                <w:lang w:val="en-US"/>
              </w:rPr>
              <w:t>Foreign Direct Investment</w:t>
            </w:r>
            <w:r w:rsidRPr="00C76FD5">
              <w:rPr>
                <w:lang w:val="en-US"/>
              </w:rPr>
              <w:t xml:space="preserve"> (FDI)</w:t>
            </w:r>
          </w:p>
        </w:tc>
        <w:tc>
          <w:tcPr>
            <w:tcW w:w="0" w:type="auto"/>
            <w:vAlign w:val="center"/>
          </w:tcPr>
          <w:p w:rsidR="00E040C1" w:rsidRPr="00C76FD5" w:rsidRDefault="00E040C1" w:rsidP="00CB77C4">
            <w:pPr>
              <w:spacing w:after="0"/>
            </w:pPr>
            <w:r w:rsidRPr="00C76FD5">
              <w:t>Level</w:t>
            </w:r>
          </w:p>
        </w:tc>
        <w:tc>
          <w:tcPr>
            <w:tcW w:w="0" w:type="auto"/>
            <w:vAlign w:val="center"/>
          </w:tcPr>
          <w:p w:rsidR="00E040C1" w:rsidRPr="00C76FD5" w:rsidRDefault="00E040C1" w:rsidP="00CB77C4">
            <w:pPr>
              <w:spacing w:after="0"/>
            </w:pPr>
            <w:r w:rsidRPr="00C76FD5">
              <w:t>Intercept</w:t>
            </w:r>
          </w:p>
        </w:tc>
        <w:tc>
          <w:tcPr>
            <w:tcW w:w="0" w:type="auto"/>
          </w:tcPr>
          <w:p w:rsidR="00E040C1" w:rsidRPr="00C76FD5" w:rsidRDefault="00E040C1" w:rsidP="00CB77C4">
            <w:pPr>
              <w:spacing w:after="0"/>
            </w:pPr>
            <w:r w:rsidRPr="00C76FD5">
              <w:t>-2.303508</w:t>
            </w:r>
          </w:p>
        </w:tc>
        <w:tc>
          <w:tcPr>
            <w:tcW w:w="0" w:type="auto"/>
          </w:tcPr>
          <w:p w:rsidR="00E040C1" w:rsidRPr="00C76FD5" w:rsidRDefault="00E040C1" w:rsidP="00CB77C4">
            <w:pPr>
              <w:spacing w:after="0"/>
            </w:pPr>
            <w:r w:rsidRPr="00C76FD5">
              <w:t xml:space="preserve"> 0.1767</w:t>
            </w:r>
          </w:p>
        </w:tc>
        <w:tc>
          <w:tcPr>
            <w:tcW w:w="0" w:type="auto"/>
            <w:vAlign w:val="center"/>
          </w:tcPr>
          <w:p w:rsidR="00E040C1" w:rsidRPr="00C76FD5" w:rsidRDefault="00E040C1" w:rsidP="00CB77C4">
            <w:pPr>
              <w:spacing w:after="0"/>
            </w:pPr>
          </w:p>
        </w:tc>
      </w:tr>
      <w:tr w:rsidR="00E040C1" w:rsidRPr="00C76FD5" w:rsidTr="009C2D4B">
        <w:trPr>
          <w:trHeight w:val="331"/>
        </w:trPr>
        <w:tc>
          <w:tcPr>
            <w:tcW w:w="0" w:type="auto"/>
            <w:vMerge/>
            <w:vAlign w:val="center"/>
          </w:tcPr>
          <w:p w:rsidR="00E040C1" w:rsidRPr="00C76FD5" w:rsidRDefault="00E040C1" w:rsidP="00CB77C4">
            <w:pPr>
              <w:spacing w:after="0"/>
              <w:rPr>
                <w:lang w:val="en-US"/>
              </w:rPr>
            </w:pPr>
          </w:p>
        </w:tc>
        <w:tc>
          <w:tcPr>
            <w:tcW w:w="0" w:type="auto"/>
            <w:vAlign w:val="center"/>
          </w:tcPr>
          <w:p w:rsidR="00E040C1" w:rsidRPr="00C76FD5" w:rsidRDefault="00E040C1" w:rsidP="00CB77C4">
            <w:pPr>
              <w:spacing w:after="0"/>
            </w:pPr>
            <w:r w:rsidRPr="00C76FD5">
              <w:t>First Diff</w:t>
            </w:r>
          </w:p>
        </w:tc>
        <w:tc>
          <w:tcPr>
            <w:tcW w:w="0" w:type="auto"/>
            <w:vAlign w:val="center"/>
          </w:tcPr>
          <w:p w:rsidR="00E040C1" w:rsidRPr="00C76FD5" w:rsidRDefault="00E040C1" w:rsidP="00CB77C4">
            <w:pPr>
              <w:spacing w:after="0"/>
            </w:pPr>
            <w:r w:rsidRPr="00C76FD5">
              <w:t>Intercept</w:t>
            </w:r>
          </w:p>
        </w:tc>
        <w:tc>
          <w:tcPr>
            <w:tcW w:w="0" w:type="auto"/>
          </w:tcPr>
          <w:p w:rsidR="00E040C1" w:rsidRPr="00C76FD5" w:rsidRDefault="00E040C1" w:rsidP="00CB77C4">
            <w:pPr>
              <w:spacing w:after="0"/>
            </w:pPr>
            <w:r w:rsidRPr="00C76FD5">
              <w:t>-5.511589</w:t>
            </w:r>
          </w:p>
        </w:tc>
        <w:tc>
          <w:tcPr>
            <w:tcW w:w="0" w:type="auto"/>
          </w:tcPr>
          <w:p w:rsidR="00E040C1" w:rsidRPr="00C76FD5" w:rsidRDefault="00E040C1" w:rsidP="00CB77C4">
            <w:pPr>
              <w:spacing w:after="0"/>
            </w:pPr>
            <w:r w:rsidRPr="00C76FD5">
              <w:t xml:space="preserve"> 0.0001</w:t>
            </w:r>
          </w:p>
        </w:tc>
        <w:tc>
          <w:tcPr>
            <w:tcW w:w="0" w:type="auto"/>
            <w:vAlign w:val="center"/>
          </w:tcPr>
          <w:p w:rsidR="00E040C1" w:rsidRPr="00C76FD5" w:rsidRDefault="00E040C1" w:rsidP="00CB77C4">
            <w:pPr>
              <w:spacing w:after="0"/>
            </w:pPr>
            <w:r w:rsidRPr="00C76FD5">
              <w:t>Stationer</w:t>
            </w:r>
          </w:p>
          <w:p w:rsidR="00E040C1" w:rsidRPr="00C76FD5" w:rsidRDefault="00E040C1" w:rsidP="00CB77C4">
            <w:pPr>
              <w:spacing w:after="0"/>
            </w:pPr>
          </w:p>
        </w:tc>
      </w:tr>
    </w:tbl>
    <w:p w:rsidR="00E040C1" w:rsidRPr="00C76FD5" w:rsidRDefault="00E040C1" w:rsidP="00E040C1">
      <w:pPr>
        <w:rPr>
          <w:szCs w:val="24"/>
        </w:rPr>
      </w:pPr>
    </w:p>
    <w:p w:rsidR="00E040C1" w:rsidRPr="00C76FD5" w:rsidRDefault="00F259DE" w:rsidP="00C76FD5">
      <w:pPr>
        <w:pStyle w:val="NoSpacing"/>
        <w:jc w:val="both"/>
        <w:rPr>
          <w:rFonts w:ascii="Times New Roman" w:hAnsi="Times New Roman" w:cs="Times New Roman"/>
          <w:sz w:val="24"/>
          <w:szCs w:val="24"/>
          <w:lang w:val="en-US"/>
        </w:rPr>
      </w:pPr>
      <w:r w:rsidRPr="00C76FD5">
        <w:rPr>
          <w:rFonts w:ascii="Times New Roman" w:hAnsi="Times New Roman" w:cs="Times New Roman"/>
          <w:sz w:val="24"/>
          <w:szCs w:val="24"/>
          <w:lang w:val="en-US"/>
        </w:rPr>
        <w:t xml:space="preserve">The EG data is stationary at the original level, while the T and FDI data are stationary at the first difference. This is indicated by the Augmented Dickey-Fuller Test, with a probability of </w:t>
      </w:r>
      <w:r w:rsidRPr="00C76FD5">
        <w:rPr>
          <w:rFonts w:ascii="Times New Roman" w:hAnsi="Times New Roman" w:cs="Times New Roman"/>
          <w:sz w:val="24"/>
          <w:szCs w:val="24"/>
          <w:lang w:val="en-US"/>
        </w:rPr>
        <w:lastRenderedPageBreak/>
        <w:t xml:space="preserve">0.0058, a probability of less than 5%, in this case, the EG data shows stationary in the original data. The same thing happened to the T and FDI data which were stationary at the first difference from the original data. Likewise, if we test the </w:t>
      </w:r>
      <w:proofErr w:type="spellStart"/>
      <w:r w:rsidRPr="00C76FD5">
        <w:rPr>
          <w:rFonts w:ascii="Times New Roman" w:hAnsi="Times New Roman" w:cs="Times New Roman"/>
          <w:sz w:val="24"/>
          <w:szCs w:val="24"/>
          <w:lang w:val="en-US"/>
        </w:rPr>
        <w:t>stationarity</w:t>
      </w:r>
      <w:proofErr w:type="spellEnd"/>
      <w:r w:rsidRPr="00C76FD5">
        <w:rPr>
          <w:rFonts w:ascii="Times New Roman" w:hAnsi="Times New Roman" w:cs="Times New Roman"/>
          <w:sz w:val="24"/>
          <w:szCs w:val="24"/>
          <w:lang w:val="en-US"/>
        </w:rPr>
        <w:t xml:space="preserve"> of the three data simultaneously, the results are as follows:</w:t>
      </w:r>
    </w:p>
    <w:p w:rsidR="00754CE3" w:rsidRPr="00C76FD5" w:rsidRDefault="00754CE3" w:rsidP="00E040C1">
      <w:pPr>
        <w:pStyle w:val="NoSpacing"/>
        <w:rPr>
          <w:rFonts w:ascii="Times New Roman" w:hAnsi="Times New Roman" w:cs="Times New Roman"/>
          <w:sz w:val="24"/>
          <w:szCs w:val="24"/>
          <w:lang w:val="en-US"/>
        </w:rPr>
      </w:pPr>
    </w:p>
    <w:p w:rsidR="00E040C1" w:rsidRPr="00C76FD5" w:rsidRDefault="007323AE" w:rsidP="00E040C1">
      <w:pPr>
        <w:autoSpaceDE w:val="0"/>
        <w:autoSpaceDN w:val="0"/>
        <w:adjustRightInd w:val="0"/>
        <w:spacing w:after="0"/>
        <w:rPr>
          <w:szCs w:val="24"/>
          <w:lang w:val="en-US"/>
        </w:rPr>
      </w:pPr>
      <w:proofErr w:type="spellStart"/>
      <w:proofErr w:type="gramStart"/>
      <w:r w:rsidRPr="00C76FD5">
        <w:rPr>
          <w:szCs w:val="24"/>
          <w:lang w:val="en-US"/>
        </w:rPr>
        <w:t>Tabel</w:t>
      </w:r>
      <w:proofErr w:type="spellEnd"/>
      <w:r w:rsidRPr="00C76FD5">
        <w:rPr>
          <w:szCs w:val="24"/>
          <w:lang w:val="en-US"/>
        </w:rPr>
        <w:t xml:space="preserve"> 3</w:t>
      </w:r>
      <w:r w:rsidR="00754CE3" w:rsidRPr="00C76FD5">
        <w:rPr>
          <w:szCs w:val="24"/>
          <w:lang w:val="en-US"/>
        </w:rPr>
        <w:t>.</w:t>
      </w:r>
      <w:proofErr w:type="gramEnd"/>
      <w:r w:rsidR="00754CE3" w:rsidRPr="00C76FD5">
        <w:rPr>
          <w:szCs w:val="24"/>
          <w:lang w:val="en-US"/>
        </w:rPr>
        <w:t xml:space="preserve"> Stationary Test</w:t>
      </w:r>
    </w:p>
    <w:tbl>
      <w:tblPr>
        <w:tblW w:w="9001" w:type="dxa"/>
        <w:tblInd w:w="30" w:type="dxa"/>
        <w:tblLayout w:type="fixed"/>
        <w:tblCellMar>
          <w:left w:w="0" w:type="dxa"/>
          <w:right w:w="0" w:type="dxa"/>
        </w:tblCellMar>
        <w:tblLook w:val="0000" w:firstRow="0" w:lastRow="0" w:firstColumn="0" w:lastColumn="0" w:noHBand="0" w:noVBand="0"/>
      </w:tblPr>
      <w:tblGrid>
        <w:gridCol w:w="2237"/>
        <w:gridCol w:w="1692"/>
        <w:gridCol w:w="1690"/>
        <w:gridCol w:w="1692"/>
        <w:gridCol w:w="1690"/>
      </w:tblGrid>
      <w:tr w:rsidR="00E040C1" w:rsidRPr="00C76FD5" w:rsidTr="00F259DE">
        <w:trPr>
          <w:trHeight w:val="321"/>
        </w:trPr>
        <w:tc>
          <w:tcPr>
            <w:tcW w:w="2237"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Series</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Prob.</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Lag  </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Max Lag</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proofErr w:type="spellStart"/>
            <w:r w:rsidRPr="00C76FD5">
              <w:rPr>
                <w:color w:val="000000"/>
                <w:szCs w:val="24"/>
                <w:lang w:val="en-US"/>
              </w:rPr>
              <w:t>Obs</w:t>
            </w:r>
            <w:proofErr w:type="spellEnd"/>
          </w:p>
        </w:tc>
      </w:tr>
      <w:tr w:rsidR="00E040C1" w:rsidRPr="00C76FD5" w:rsidTr="00F259DE">
        <w:trPr>
          <w:trHeight w:val="321"/>
        </w:trPr>
        <w:tc>
          <w:tcPr>
            <w:tcW w:w="2237" w:type="dxa"/>
            <w:tcBorders>
              <w:top w:val="single" w:sz="4" w:space="0" w:color="auto"/>
              <w:left w:val="single" w:sz="4" w:space="0" w:color="auto"/>
              <w:bottom w:val="single" w:sz="4" w:space="0" w:color="auto"/>
              <w:right w:val="single" w:sz="4" w:space="0" w:color="auto"/>
            </w:tcBorders>
            <w:vAlign w:val="bottom"/>
          </w:tcPr>
          <w:p w:rsidR="00E040C1" w:rsidRPr="00C76FD5" w:rsidRDefault="001874C1">
            <w:pPr>
              <w:autoSpaceDE w:val="0"/>
              <w:autoSpaceDN w:val="0"/>
              <w:adjustRightInd w:val="0"/>
              <w:spacing w:after="0"/>
              <w:jc w:val="center"/>
              <w:rPr>
                <w:color w:val="000000"/>
                <w:szCs w:val="24"/>
                <w:lang w:val="en-US"/>
              </w:rPr>
            </w:pPr>
            <w:r>
              <w:rPr>
                <w:color w:val="000000"/>
                <w:szCs w:val="24"/>
                <w:lang w:val="en-US"/>
              </w:rPr>
              <w:t>EG</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0.0000</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7</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33</w:t>
            </w:r>
          </w:p>
        </w:tc>
      </w:tr>
      <w:tr w:rsidR="00E040C1" w:rsidRPr="00C76FD5" w:rsidTr="00F259DE">
        <w:trPr>
          <w:trHeight w:val="321"/>
        </w:trPr>
        <w:tc>
          <w:tcPr>
            <w:tcW w:w="2237" w:type="dxa"/>
            <w:tcBorders>
              <w:top w:val="single" w:sz="4" w:space="0" w:color="auto"/>
              <w:left w:val="single" w:sz="4" w:space="0" w:color="auto"/>
              <w:bottom w:val="single" w:sz="4" w:space="0" w:color="auto"/>
              <w:right w:val="single" w:sz="4" w:space="0" w:color="auto"/>
            </w:tcBorders>
            <w:vAlign w:val="bottom"/>
          </w:tcPr>
          <w:p w:rsidR="00E040C1" w:rsidRPr="00C76FD5" w:rsidRDefault="001874C1">
            <w:pPr>
              <w:autoSpaceDE w:val="0"/>
              <w:autoSpaceDN w:val="0"/>
              <w:adjustRightInd w:val="0"/>
              <w:spacing w:after="0"/>
              <w:jc w:val="center"/>
              <w:rPr>
                <w:color w:val="000000"/>
                <w:szCs w:val="24"/>
                <w:lang w:val="en-US"/>
              </w:rPr>
            </w:pPr>
            <w:r>
              <w:rPr>
                <w:color w:val="000000"/>
                <w:szCs w:val="24"/>
                <w:lang w:val="en-US"/>
              </w:rPr>
              <w:t>T</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0.0000</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7</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33</w:t>
            </w:r>
          </w:p>
        </w:tc>
      </w:tr>
      <w:tr w:rsidR="00E040C1" w:rsidRPr="00C76FD5" w:rsidTr="00F259DE">
        <w:trPr>
          <w:trHeight w:val="321"/>
        </w:trPr>
        <w:tc>
          <w:tcPr>
            <w:tcW w:w="2237" w:type="dxa"/>
            <w:tcBorders>
              <w:top w:val="single" w:sz="4" w:space="0" w:color="auto"/>
              <w:left w:val="single" w:sz="4" w:space="0" w:color="auto"/>
              <w:bottom w:val="single" w:sz="4" w:space="0" w:color="auto"/>
              <w:right w:val="single" w:sz="4" w:space="0" w:color="auto"/>
            </w:tcBorders>
            <w:vAlign w:val="bottom"/>
          </w:tcPr>
          <w:p w:rsidR="00E040C1" w:rsidRPr="00C76FD5" w:rsidRDefault="001874C1">
            <w:pPr>
              <w:autoSpaceDE w:val="0"/>
              <w:autoSpaceDN w:val="0"/>
              <w:adjustRightInd w:val="0"/>
              <w:spacing w:after="0"/>
              <w:jc w:val="center"/>
              <w:rPr>
                <w:color w:val="000000"/>
                <w:szCs w:val="24"/>
                <w:lang w:val="en-US"/>
              </w:rPr>
            </w:pPr>
            <w:r>
              <w:rPr>
                <w:color w:val="000000"/>
                <w:szCs w:val="24"/>
                <w:lang w:val="en-US"/>
              </w:rPr>
              <w:t>FDI</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0.0001</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0</w:t>
            </w:r>
          </w:p>
        </w:tc>
        <w:tc>
          <w:tcPr>
            <w:tcW w:w="1692"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7</w:t>
            </w:r>
          </w:p>
        </w:tc>
        <w:tc>
          <w:tcPr>
            <w:tcW w:w="1690" w:type="dxa"/>
            <w:tcBorders>
              <w:top w:val="single" w:sz="4" w:space="0" w:color="auto"/>
              <w:left w:val="single" w:sz="4" w:space="0" w:color="auto"/>
              <w:bottom w:val="single" w:sz="4" w:space="0" w:color="auto"/>
              <w:right w:val="single" w:sz="4" w:space="0" w:color="auto"/>
            </w:tcBorders>
            <w:vAlign w:val="bottom"/>
          </w:tcPr>
          <w:p w:rsidR="00E040C1" w:rsidRPr="00C76FD5" w:rsidRDefault="00E040C1">
            <w:pPr>
              <w:autoSpaceDE w:val="0"/>
              <w:autoSpaceDN w:val="0"/>
              <w:adjustRightInd w:val="0"/>
              <w:spacing w:after="0"/>
              <w:jc w:val="center"/>
              <w:rPr>
                <w:color w:val="000000"/>
                <w:szCs w:val="24"/>
                <w:lang w:val="en-US"/>
              </w:rPr>
            </w:pPr>
            <w:r w:rsidRPr="00C76FD5">
              <w:rPr>
                <w:color w:val="000000"/>
                <w:szCs w:val="24"/>
                <w:lang w:val="en-US"/>
              </w:rPr>
              <w:t> 33</w:t>
            </w:r>
          </w:p>
        </w:tc>
      </w:tr>
    </w:tbl>
    <w:p w:rsidR="00624D76" w:rsidRPr="00C76FD5" w:rsidRDefault="00624D76" w:rsidP="00E040C1">
      <w:pPr>
        <w:pStyle w:val="NoSpacing"/>
        <w:rPr>
          <w:rFonts w:ascii="Times New Roman" w:hAnsi="Times New Roman" w:cs="Times New Roman"/>
          <w:sz w:val="24"/>
          <w:szCs w:val="24"/>
          <w:lang w:val="en-US"/>
        </w:rPr>
      </w:pPr>
    </w:p>
    <w:p w:rsidR="00624D76" w:rsidRPr="00C76FD5" w:rsidRDefault="00624D76" w:rsidP="00C76FD5">
      <w:pPr>
        <w:pStyle w:val="NoSpacing"/>
        <w:jc w:val="both"/>
        <w:rPr>
          <w:rFonts w:ascii="Times New Roman" w:hAnsi="Times New Roman" w:cs="Times New Roman"/>
          <w:sz w:val="24"/>
          <w:szCs w:val="24"/>
          <w:lang w:val="en-US"/>
        </w:rPr>
      </w:pPr>
      <w:proofErr w:type="gramStart"/>
      <w:r w:rsidRPr="00C76FD5">
        <w:rPr>
          <w:rFonts w:ascii="Times New Roman" w:hAnsi="Times New Roman" w:cs="Times New Roman"/>
          <w:sz w:val="24"/>
          <w:szCs w:val="24"/>
          <w:lang w:val="en-US"/>
        </w:rPr>
        <w:t xml:space="preserve">The data of the three variables if tested stationary at the same time shows that </w:t>
      </w:r>
      <w:proofErr w:type="spellStart"/>
      <w:r w:rsidRPr="00C76FD5">
        <w:rPr>
          <w:rFonts w:ascii="Times New Roman" w:hAnsi="Times New Roman" w:cs="Times New Roman"/>
          <w:sz w:val="24"/>
          <w:szCs w:val="24"/>
          <w:lang w:val="en-US"/>
        </w:rPr>
        <w:t>prob</w:t>
      </w:r>
      <w:proofErr w:type="spellEnd"/>
      <w:r w:rsidRPr="00C76FD5">
        <w:rPr>
          <w:rFonts w:ascii="Times New Roman" w:hAnsi="Times New Roman" w:cs="Times New Roman"/>
          <w:sz w:val="24"/>
          <w:szCs w:val="24"/>
          <w:lang w:val="en-US"/>
        </w:rPr>
        <w:t xml:space="preserve"> &lt; 5%, meaning that all three are stationary.</w:t>
      </w:r>
      <w:proofErr w:type="gramEnd"/>
    </w:p>
    <w:p w:rsidR="00754CE3" w:rsidRPr="00C76FD5" w:rsidRDefault="00754CE3" w:rsidP="00E040C1">
      <w:pPr>
        <w:pStyle w:val="NoSpacing"/>
        <w:rPr>
          <w:rFonts w:ascii="Times New Roman" w:hAnsi="Times New Roman" w:cs="Times New Roman"/>
          <w:sz w:val="24"/>
          <w:szCs w:val="24"/>
          <w:lang w:val="en-US"/>
        </w:rPr>
      </w:pPr>
    </w:p>
    <w:p w:rsidR="00754CE3" w:rsidRPr="00C76FD5" w:rsidRDefault="00754CE3" w:rsidP="00480948">
      <w:pPr>
        <w:pStyle w:val="NoSpacing"/>
        <w:jc w:val="center"/>
        <w:rPr>
          <w:rFonts w:ascii="Times New Roman" w:hAnsi="Times New Roman" w:cs="Times New Roman"/>
          <w:sz w:val="24"/>
          <w:szCs w:val="24"/>
          <w:lang w:val="en-US"/>
        </w:rPr>
      </w:pPr>
      <w:proofErr w:type="gramStart"/>
      <w:r w:rsidRPr="00C76FD5">
        <w:rPr>
          <w:rFonts w:ascii="Times New Roman" w:hAnsi="Times New Roman" w:cs="Times New Roman"/>
          <w:sz w:val="24"/>
          <w:szCs w:val="24"/>
          <w:lang w:val="en-US"/>
        </w:rPr>
        <w:t>Picture 1.</w:t>
      </w:r>
      <w:proofErr w:type="gramEnd"/>
      <w:r w:rsidRPr="00C76FD5">
        <w:rPr>
          <w:rFonts w:ascii="Times New Roman" w:hAnsi="Times New Roman" w:cs="Times New Roman"/>
          <w:sz w:val="24"/>
          <w:szCs w:val="24"/>
          <w:lang w:val="en-US"/>
        </w:rPr>
        <w:t xml:space="preserve"> Optimum Lag Test</w:t>
      </w:r>
    </w:p>
    <w:p w:rsidR="001874C1" w:rsidRDefault="001874C1" w:rsidP="001874C1">
      <w:pPr>
        <w:pStyle w:val="NoSpacing"/>
        <w:rPr>
          <w:rFonts w:ascii="Times New Roman" w:hAnsi="Times New Roman" w:cs="Times New Roman"/>
          <w:sz w:val="24"/>
          <w:szCs w:val="24"/>
          <w:lang w:val="en-US"/>
        </w:rPr>
      </w:pPr>
      <w:r w:rsidRPr="00C76FD5">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1781175</wp:posOffset>
            </wp:positionH>
            <wp:positionV relativeFrom="paragraph">
              <wp:posOffset>52070</wp:posOffset>
            </wp:positionV>
            <wp:extent cx="2624006" cy="2114550"/>
            <wp:effectExtent l="0" t="0" r="5080" b="0"/>
            <wp:wrapThrough wrapText="bothSides">
              <wp:wrapPolygon edited="0">
                <wp:start x="0" y="0"/>
                <wp:lineTo x="0" y="21405"/>
                <wp:lineTo x="21485" y="21405"/>
                <wp:lineTo x="2148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40165" cy="2127572"/>
                    </a:xfrm>
                    <a:prstGeom prst="rect">
                      <a:avLst/>
                    </a:prstGeom>
                  </pic:spPr>
                </pic:pic>
              </a:graphicData>
            </a:graphic>
            <wp14:sizeRelH relativeFrom="margin">
              <wp14:pctWidth>0</wp14:pctWidth>
            </wp14:sizeRelH>
            <wp14:sizeRelV relativeFrom="margin">
              <wp14:pctHeight>0</wp14:pctHeight>
            </wp14:sizeRelV>
          </wp:anchor>
        </w:drawing>
      </w: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1874C1" w:rsidRDefault="001874C1" w:rsidP="001874C1">
      <w:pPr>
        <w:pStyle w:val="NoSpacing"/>
        <w:rPr>
          <w:rFonts w:ascii="Times New Roman" w:hAnsi="Times New Roman" w:cs="Times New Roman"/>
          <w:sz w:val="24"/>
          <w:szCs w:val="24"/>
          <w:lang w:val="en-US"/>
        </w:rPr>
      </w:pPr>
    </w:p>
    <w:p w:rsidR="00CB77C4" w:rsidRDefault="00E040C1" w:rsidP="001874C1">
      <w:pPr>
        <w:pStyle w:val="NoSpacing"/>
        <w:rPr>
          <w:szCs w:val="24"/>
        </w:rPr>
      </w:pPr>
      <w:r w:rsidRPr="00C76FD5">
        <w:rPr>
          <w:rFonts w:ascii="Times New Roman" w:hAnsi="Times New Roman" w:cs="Times New Roman"/>
          <w:sz w:val="24"/>
          <w:szCs w:val="24"/>
          <w:lang w:val="en-US"/>
        </w:rPr>
        <w:br/>
      </w:r>
    </w:p>
    <w:p w:rsidR="00CB77C4" w:rsidRDefault="00CB77C4" w:rsidP="001874C1">
      <w:pPr>
        <w:pStyle w:val="NoSpacing"/>
        <w:rPr>
          <w:szCs w:val="24"/>
        </w:rPr>
      </w:pPr>
    </w:p>
    <w:p w:rsidR="00EF770F" w:rsidRPr="001874C1" w:rsidRDefault="00624D76" w:rsidP="00CB77C4">
      <w:pPr>
        <w:rPr>
          <w:sz w:val="24"/>
          <w:lang w:val="en-US"/>
        </w:rPr>
      </w:pPr>
      <w:r w:rsidRPr="00C76FD5">
        <w:rPr>
          <w:lang w:val="en-US"/>
        </w:rPr>
        <w:t>The optimum lag test is carried out to see which lag is suitable for use in the next test, from the picture above, it can be seen that lag 3 is the most recommended.</w:t>
      </w:r>
    </w:p>
    <w:p w:rsidR="00754CE3" w:rsidRPr="00C76FD5" w:rsidRDefault="00754CE3" w:rsidP="00EF770F">
      <w:pPr>
        <w:autoSpaceDE w:val="0"/>
        <w:autoSpaceDN w:val="0"/>
        <w:adjustRightInd w:val="0"/>
        <w:spacing w:after="0"/>
        <w:rPr>
          <w:rFonts w:eastAsia="Arial"/>
          <w:szCs w:val="24"/>
          <w:lang w:val="en-US" w:eastAsia="id-ID"/>
        </w:rPr>
      </w:pPr>
    </w:p>
    <w:p w:rsidR="00624D76" w:rsidRPr="00C76FD5" w:rsidRDefault="007323AE" w:rsidP="00EF770F">
      <w:pPr>
        <w:autoSpaceDE w:val="0"/>
        <w:autoSpaceDN w:val="0"/>
        <w:adjustRightInd w:val="0"/>
        <w:spacing w:after="0"/>
        <w:rPr>
          <w:szCs w:val="24"/>
          <w:lang w:val="en-US"/>
        </w:rPr>
      </w:pPr>
      <w:proofErr w:type="spellStart"/>
      <w:proofErr w:type="gramStart"/>
      <w:r w:rsidRPr="00C76FD5">
        <w:rPr>
          <w:szCs w:val="24"/>
          <w:lang w:val="en-US"/>
        </w:rPr>
        <w:t>Tabel</w:t>
      </w:r>
      <w:proofErr w:type="spellEnd"/>
      <w:r w:rsidRPr="00C76FD5">
        <w:rPr>
          <w:szCs w:val="24"/>
          <w:lang w:val="en-US"/>
        </w:rPr>
        <w:t xml:space="preserve"> 4</w:t>
      </w:r>
      <w:r w:rsidR="00754CE3" w:rsidRPr="00C76FD5">
        <w:rPr>
          <w:szCs w:val="24"/>
          <w:lang w:val="en-US"/>
        </w:rPr>
        <w:t>.</w:t>
      </w:r>
      <w:proofErr w:type="gramEnd"/>
      <w:r w:rsidR="00754CE3" w:rsidRPr="00C76FD5">
        <w:rPr>
          <w:szCs w:val="24"/>
          <w:lang w:val="en-US"/>
        </w:rPr>
        <w:t xml:space="preserve"> </w:t>
      </w:r>
      <w:r w:rsidR="00754CE3" w:rsidRPr="00C76FD5">
        <w:rPr>
          <w:szCs w:val="24"/>
        </w:rPr>
        <w:t>ARDL bounds test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4"/>
        <w:gridCol w:w="1439"/>
        <w:gridCol w:w="1574"/>
        <w:gridCol w:w="1575"/>
        <w:gridCol w:w="1301"/>
      </w:tblGrid>
      <w:tr w:rsidR="00C36682" w:rsidRPr="00C76FD5" w:rsidTr="00C36682">
        <w:trPr>
          <w:trHeight w:val="244"/>
        </w:trPr>
        <w:tc>
          <w:tcPr>
            <w:tcW w:w="8793" w:type="dxa"/>
            <w:gridSpan w:val="5"/>
            <w:vAlign w:val="center"/>
          </w:tcPr>
          <w:p w:rsidR="00C36682" w:rsidRPr="00C76FD5" w:rsidRDefault="00C36682" w:rsidP="00CB77C4">
            <w:pPr>
              <w:spacing w:after="0"/>
              <w:rPr>
                <w:lang w:val="en-US"/>
              </w:rPr>
            </w:pPr>
            <w:r w:rsidRPr="00C76FD5">
              <w:rPr>
                <w:lang w:val="en-US"/>
              </w:rPr>
              <w:t>F-Bounds Test</w:t>
            </w:r>
          </w:p>
        </w:tc>
      </w:tr>
      <w:tr w:rsidR="00EF770F" w:rsidRPr="00C76FD5" w:rsidTr="00754CE3">
        <w:trPr>
          <w:trHeight w:val="244"/>
        </w:trPr>
        <w:tc>
          <w:tcPr>
            <w:tcW w:w="2904" w:type="dxa"/>
            <w:vAlign w:val="bottom"/>
          </w:tcPr>
          <w:p w:rsidR="00EF770F" w:rsidRPr="00C76FD5" w:rsidRDefault="00EF770F" w:rsidP="00CB77C4">
            <w:pPr>
              <w:spacing w:after="0"/>
              <w:rPr>
                <w:lang w:val="en-US"/>
              </w:rPr>
            </w:pPr>
            <w:r w:rsidRPr="00C76FD5">
              <w:rPr>
                <w:lang w:val="en-US"/>
              </w:rPr>
              <w:t>Test Statistic</w:t>
            </w:r>
          </w:p>
        </w:tc>
        <w:tc>
          <w:tcPr>
            <w:tcW w:w="1439" w:type="dxa"/>
            <w:vAlign w:val="bottom"/>
          </w:tcPr>
          <w:p w:rsidR="00EF770F" w:rsidRPr="00C76FD5" w:rsidRDefault="00EF770F" w:rsidP="00CB77C4">
            <w:pPr>
              <w:spacing w:after="0"/>
              <w:rPr>
                <w:lang w:val="en-US"/>
              </w:rPr>
            </w:pPr>
            <w:r w:rsidRPr="00C76FD5">
              <w:rPr>
                <w:lang w:val="en-US"/>
              </w:rPr>
              <w:t>Value</w:t>
            </w:r>
          </w:p>
        </w:tc>
        <w:tc>
          <w:tcPr>
            <w:tcW w:w="1574" w:type="dxa"/>
            <w:vAlign w:val="bottom"/>
          </w:tcPr>
          <w:p w:rsidR="00EF770F" w:rsidRPr="00C76FD5" w:rsidRDefault="00EF770F" w:rsidP="00CB77C4">
            <w:pPr>
              <w:spacing w:after="0"/>
              <w:rPr>
                <w:lang w:val="en-US"/>
              </w:rPr>
            </w:pPr>
            <w:proofErr w:type="spellStart"/>
            <w:r w:rsidRPr="00C76FD5">
              <w:rPr>
                <w:lang w:val="en-US"/>
              </w:rPr>
              <w:t>Signif</w:t>
            </w:r>
            <w:proofErr w:type="spellEnd"/>
            <w:r w:rsidRPr="00C76FD5">
              <w:rPr>
                <w:lang w:val="en-US"/>
              </w:rPr>
              <w:t>.</w:t>
            </w:r>
          </w:p>
        </w:tc>
        <w:tc>
          <w:tcPr>
            <w:tcW w:w="1575" w:type="dxa"/>
            <w:vAlign w:val="bottom"/>
          </w:tcPr>
          <w:p w:rsidR="00EF770F" w:rsidRPr="00C76FD5" w:rsidRDefault="00EF770F" w:rsidP="00CB77C4">
            <w:pPr>
              <w:spacing w:after="0"/>
              <w:rPr>
                <w:lang w:val="en-US"/>
              </w:rPr>
            </w:pPr>
            <w:r w:rsidRPr="00C76FD5">
              <w:rPr>
                <w:lang w:val="en-US"/>
              </w:rPr>
              <w:t>I(0)</w:t>
            </w:r>
          </w:p>
        </w:tc>
        <w:tc>
          <w:tcPr>
            <w:tcW w:w="1301" w:type="dxa"/>
            <w:vAlign w:val="bottom"/>
          </w:tcPr>
          <w:p w:rsidR="00EF770F" w:rsidRPr="00C76FD5" w:rsidRDefault="00EF770F" w:rsidP="00CB77C4">
            <w:pPr>
              <w:spacing w:after="0"/>
              <w:rPr>
                <w:lang w:val="en-US"/>
              </w:rPr>
            </w:pPr>
            <w:r w:rsidRPr="00C76FD5">
              <w:rPr>
                <w:lang w:val="en-US"/>
              </w:rPr>
              <w:t>I(1)</w:t>
            </w:r>
          </w:p>
        </w:tc>
      </w:tr>
      <w:tr w:rsidR="00EF770F" w:rsidRPr="00C76FD5" w:rsidTr="00754CE3">
        <w:trPr>
          <w:trHeight w:val="244"/>
        </w:trPr>
        <w:tc>
          <w:tcPr>
            <w:tcW w:w="2904" w:type="dxa"/>
            <w:vAlign w:val="bottom"/>
          </w:tcPr>
          <w:p w:rsidR="00EF770F" w:rsidRPr="00C76FD5" w:rsidRDefault="00EF770F" w:rsidP="00CB77C4">
            <w:pPr>
              <w:spacing w:after="0"/>
              <w:rPr>
                <w:lang w:val="en-US"/>
              </w:rPr>
            </w:pPr>
            <w:r w:rsidRPr="00C76FD5">
              <w:rPr>
                <w:lang w:val="en-US"/>
              </w:rPr>
              <w:t>F-statistic</w:t>
            </w:r>
          </w:p>
        </w:tc>
        <w:tc>
          <w:tcPr>
            <w:tcW w:w="1439" w:type="dxa"/>
            <w:vAlign w:val="bottom"/>
          </w:tcPr>
          <w:p w:rsidR="00EF770F" w:rsidRPr="00C76FD5" w:rsidRDefault="00EF770F" w:rsidP="00CB77C4">
            <w:pPr>
              <w:spacing w:after="0"/>
              <w:rPr>
                <w:lang w:val="en-US"/>
              </w:rPr>
            </w:pPr>
            <w:r w:rsidRPr="00C76FD5">
              <w:rPr>
                <w:lang w:val="en-US"/>
              </w:rPr>
              <w:t> 29.57561</w:t>
            </w:r>
          </w:p>
        </w:tc>
        <w:tc>
          <w:tcPr>
            <w:tcW w:w="1574" w:type="dxa"/>
            <w:vAlign w:val="bottom"/>
          </w:tcPr>
          <w:p w:rsidR="00EF770F" w:rsidRPr="00C76FD5" w:rsidRDefault="00EF770F" w:rsidP="00CB77C4">
            <w:pPr>
              <w:spacing w:after="0"/>
              <w:rPr>
                <w:lang w:val="en-US"/>
              </w:rPr>
            </w:pPr>
            <w:r w:rsidRPr="00C76FD5">
              <w:rPr>
                <w:lang w:val="en-US"/>
              </w:rPr>
              <w:t>10%  </w:t>
            </w:r>
          </w:p>
        </w:tc>
        <w:tc>
          <w:tcPr>
            <w:tcW w:w="1575" w:type="dxa"/>
            <w:vAlign w:val="bottom"/>
          </w:tcPr>
          <w:p w:rsidR="00EF770F" w:rsidRPr="00C76FD5" w:rsidRDefault="00EF770F" w:rsidP="00CB77C4">
            <w:pPr>
              <w:spacing w:after="0"/>
              <w:rPr>
                <w:lang w:val="en-US"/>
              </w:rPr>
            </w:pPr>
            <w:r w:rsidRPr="00C76FD5">
              <w:rPr>
                <w:lang w:val="en-US"/>
              </w:rPr>
              <w:t>2.63</w:t>
            </w:r>
          </w:p>
        </w:tc>
        <w:tc>
          <w:tcPr>
            <w:tcW w:w="1301" w:type="dxa"/>
            <w:vAlign w:val="bottom"/>
          </w:tcPr>
          <w:p w:rsidR="00EF770F" w:rsidRPr="00C76FD5" w:rsidRDefault="00EF770F" w:rsidP="00CB77C4">
            <w:pPr>
              <w:spacing w:after="0"/>
              <w:rPr>
                <w:lang w:val="en-US"/>
              </w:rPr>
            </w:pPr>
            <w:r w:rsidRPr="00C76FD5">
              <w:rPr>
                <w:lang w:val="en-US"/>
              </w:rPr>
              <w:t>3.35</w:t>
            </w:r>
          </w:p>
        </w:tc>
      </w:tr>
      <w:tr w:rsidR="00EF770F" w:rsidRPr="00C76FD5" w:rsidTr="00754CE3">
        <w:trPr>
          <w:trHeight w:val="244"/>
        </w:trPr>
        <w:tc>
          <w:tcPr>
            <w:tcW w:w="2904" w:type="dxa"/>
            <w:vAlign w:val="bottom"/>
          </w:tcPr>
          <w:p w:rsidR="00EF770F" w:rsidRPr="00C76FD5" w:rsidRDefault="00754CE3" w:rsidP="00CB77C4">
            <w:pPr>
              <w:spacing w:after="0"/>
              <w:rPr>
                <w:lang w:val="en-US"/>
              </w:rPr>
            </w:pPr>
            <w:r w:rsidRPr="00C76FD5">
              <w:rPr>
                <w:lang w:val="en-US"/>
              </w:rPr>
              <w:t>K</w:t>
            </w:r>
          </w:p>
        </w:tc>
        <w:tc>
          <w:tcPr>
            <w:tcW w:w="1439" w:type="dxa"/>
            <w:vAlign w:val="bottom"/>
          </w:tcPr>
          <w:p w:rsidR="00EF770F" w:rsidRPr="00C76FD5" w:rsidRDefault="00EF770F" w:rsidP="00CB77C4">
            <w:pPr>
              <w:spacing w:after="0"/>
              <w:rPr>
                <w:lang w:val="en-US"/>
              </w:rPr>
            </w:pPr>
            <w:r w:rsidRPr="00C76FD5">
              <w:rPr>
                <w:lang w:val="en-US"/>
              </w:rPr>
              <w:t>2</w:t>
            </w:r>
          </w:p>
        </w:tc>
        <w:tc>
          <w:tcPr>
            <w:tcW w:w="1574" w:type="dxa"/>
            <w:vAlign w:val="bottom"/>
          </w:tcPr>
          <w:p w:rsidR="00EF770F" w:rsidRPr="00C76FD5" w:rsidRDefault="00EF770F" w:rsidP="00CB77C4">
            <w:pPr>
              <w:spacing w:after="0"/>
              <w:rPr>
                <w:lang w:val="en-US"/>
              </w:rPr>
            </w:pPr>
            <w:r w:rsidRPr="00C76FD5">
              <w:rPr>
                <w:lang w:val="en-US"/>
              </w:rPr>
              <w:t>5%  </w:t>
            </w:r>
          </w:p>
        </w:tc>
        <w:tc>
          <w:tcPr>
            <w:tcW w:w="1575" w:type="dxa"/>
            <w:vAlign w:val="bottom"/>
          </w:tcPr>
          <w:p w:rsidR="00EF770F" w:rsidRPr="00C76FD5" w:rsidRDefault="00EF770F" w:rsidP="00CB77C4">
            <w:pPr>
              <w:spacing w:after="0"/>
              <w:rPr>
                <w:lang w:val="en-US"/>
              </w:rPr>
            </w:pPr>
            <w:r w:rsidRPr="00C76FD5">
              <w:rPr>
                <w:lang w:val="en-US"/>
              </w:rPr>
              <w:t>3.1</w:t>
            </w:r>
          </w:p>
        </w:tc>
        <w:tc>
          <w:tcPr>
            <w:tcW w:w="1301" w:type="dxa"/>
            <w:vAlign w:val="bottom"/>
          </w:tcPr>
          <w:p w:rsidR="00EF770F" w:rsidRPr="00C76FD5" w:rsidRDefault="00EF770F" w:rsidP="00CB77C4">
            <w:pPr>
              <w:spacing w:after="0"/>
              <w:rPr>
                <w:lang w:val="en-US"/>
              </w:rPr>
            </w:pPr>
            <w:r w:rsidRPr="00C76FD5">
              <w:rPr>
                <w:lang w:val="en-US"/>
              </w:rPr>
              <w:t>3.87</w:t>
            </w:r>
          </w:p>
        </w:tc>
      </w:tr>
      <w:tr w:rsidR="00EF770F" w:rsidRPr="00C76FD5" w:rsidTr="00754CE3">
        <w:trPr>
          <w:trHeight w:val="244"/>
        </w:trPr>
        <w:tc>
          <w:tcPr>
            <w:tcW w:w="2904" w:type="dxa"/>
            <w:vAlign w:val="bottom"/>
          </w:tcPr>
          <w:p w:rsidR="00EF770F" w:rsidRPr="00C76FD5" w:rsidRDefault="00EF770F" w:rsidP="00CB77C4">
            <w:pPr>
              <w:spacing w:after="0"/>
              <w:rPr>
                <w:lang w:val="en-US"/>
              </w:rPr>
            </w:pPr>
          </w:p>
        </w:tc>
        <w:tc>
          <w:tcPr>
            <w:tcW w:w="1439" w:type="dxa"/>
            <w:vAlign w:val="bottom"/>
          </w:tcPr>
          <w:p w:rsidR="00EF770F" w:rsidRPr="00C76FD5" w:rsidRDefault="00EF770F" w:rsidP="00CB77C4">
            <w:pPr>
              <w:spacing w:after="0"/>
              <w:rPr>
                <w:lang w:val="en-US"/>
              </w:rPr>
            </w:pPr>
          </w:p>
        </w:tc>
        <w:tc>
          <w:tcPr>
            <w:tcW w:w="1574" w:type="dxa"/>
            <w:vAlign w:val="bottom"/>
          </w:tcPr>
          <w:p w:rsidR="00EF770F" w:rsidRPr="00C76FD5" w:rsidRDefault="00EF770F" w:rsidP="00CB77C4">
            <w:pPr>
              <w:spacing w:after="0"/>
              <w:rPr>
                <w:lang w:val="en-US"/>
              </w:rPr>
            </w:pPr>
            <w:r w:rsidRPr="00C76FD5">
              <w:rPr>
                <w:lang w:val="en-US"/>
              </w:rPr>
              <w:t>2.5%  </w:t>
            </w:r>
          </w:p>
        </w:tc>
        <w:tc>
          <w:tcPr>
            <w:tcW w:w="1575" w:type="dxa"/>
            <w:vAlign w:val="bottom"/>
          </w:tcPr>
          <w:p w:rsidR="00EF770F" w:rsidRPr="00C76FD5" w:rsidRDefault="00EF770F" w:rsidP="00CB77C4">
            <w:pPr>
              <w:spacing w:after="0"/>
              <w:rPr>
                <w:lang w:val="en-US"/>
              </w:rPr>
            </w:pPr>
            <w:r w:rsidRPr="00C76FD5">
              <w:rPr>
                <w:lang w:val="en-US"/>
              </w:rPr>
              <w:t>3.55</w:t>
            </w:r>
          </w:p>
        </w:tc>
        <w:tc>
          <w:tcPr>
            <w:tcW w:w="1301" w:type="dxa"/>
            <w:vAlign w:val="bottom"/>
          </w:tcPr>
          <w:p w:rsidR="00EF770F" w:rsidRPr="00C76FD5" w:rsidRDefault="00EF770F" w:rsidP="00CB77C4">
            <w:pPr>
              <w:spacing w:after="0"/>
              <w:rPr>
                <w:lang w:val="en-US"/>
              </w:rPr>
            </w:pPr>
            <w:r w:rsidRPr="00C76FD5">
              <w:rPr>
                <w:lang w:val="en-US"/>
              </w:rPr>
              <w:t>4.38</w:t>
            </w:r>
          </w:p>
        </w:tc>
      </w:tr>
      <w:tr w:rsidR="00EF770F" w:rsidRPr="00C76FD5" w:rsidTr="00754CE3">
        <w:trPr>
          <w:trHeight w:val="244"/>
        </w:trPr>
        <w:tc>
          <w:tcPr>
            <w:tcW w:w="2904" w:type="dxa"/>
            <w:vAlign w:val="bottom"/>
          </w:tcPr>
          <w:p w:rsidR="00EF770F" w:rsidRPr="00C76FD5" w:rsidRDefault="00EF770F" w:rsidP="00CB77C4">
            <w:pPr>
              <w:spacing w:after="0"/>
              <w:rPr>
                <w:lang w:val="en-US"/>
              </w:rPr>
            </w:pPr>
          </w:p>
        </w:tc>
        <w:tc>
          <w:tcPr>
            <w:tcW w:w="1439" w:type="dxa"/>
            <w:vAlign w:val="bottom"/>
          </w:tcPr>
          <w:p w:rsidR="00EF770F" w:rsidRPr="00C76FD5" w:rsidRDefault="00EF770F" w:rsidP="00CB77C4">
            <w:pPr>
              <w:spacing w:after="0"/>
              <w:rPr>
                <w:lang w:val="en-US"/>
              </w:rPr>
            </w:pPr>
          </w:p>
        </w:tc>
        <w:tc>
          <w:tcPr>
            <w:tcW w:w="1574" w:type="dxa"/>
            <w:vAlign w:val="bottom"/>
          </w:tcPr>
          <w:p w:rsidR="00EF770F" w:rsidRPr="00C76FD5" w:rsidRDefault="00EF770F" w:rsidP="00CB77C4">
            <w:pPr>
              <w:spacing w:after="0"/>
              <w:rPr>
                <w:lang w:val="en-US"/>
              </w:rPr>
            </w:pPr>
            <w:r w:rsidRPr="00C76FD5">
              <w:rPr>
                <w:lang w:val="en-US"/>
              </w:rPr>
              <w:t>1%  </w:t>
            </w:r>
          </w:p>
        </w:tc>
        <w:tc>
          <w:tcPr>
            <w:tcW w:w="1575" w:type="dxa"/>
            <w:vAlign w:val="bottom"/>
          </w:tcPr>
          <w:p w:rsidR="00EF770F" w:rsidRPr="00C76FD5" w:rsidRDefault="00EF770F" w:rsidP="00CB77C4">
            <w:pPr>
              <w:spacing w:after="0"/>
              <w:rPr>
                <w:lang w:val="en-US"/>
              </w:rPr>
            </w:pPr>
            <w:r w:rsidRPr="00C76FD5">
              <w:rPr>
                <w:lang w:val="en-US"/>
              </w:rPr>
              <w:t>4.13</w:t>
            </w:r>
          </w:p>
        </w:tc>
        <w:tc>
          <w:tcPr>
            <w:tcW w:w="1301" w:type="dxa"/>
            <w:vAlign w:val="bottom"/>
          </w:tcPr>
          <w:p w:rsidR="00EF770F" w:rsidRPr="00C76FD5" w:rsidRDefault="00EF770F" w:rsidP="00CB77C4">
            <w:pPr>
              <w:spacing w:after="0"/>
              <w:rPr>
                <w:lang w:val="en-US"/>
              </w:rPr>
            </w:pPr>
            <w:r w:rsidRPr="00C76FD5">
              <w:rPr>
                <w:lang w:val="en-US"/>
              </w:rPr>
              <w:t>5</w:t>
            </w:r>
          </w:p>
        </w:tc>
      </w:tr>
    </w:tbl>
    <w:p w:rsidR="00754CE3" w:rsidRDefault="00EF770F" w:rsidP="00F41449">
      <w:pPr>
        <w:pStyle w:val="NoSpacing"/>
        <w:jc w:val="both"/>
        <w:rPr>
          <w:rFonts w:ascii="Times New Roman" w:hAnsi="Times New Roman" w:cs="Times New Roman"/>
          <w:sz w:val="24"/>
          <w:szCs w:val="24"/>
          <w:lang w:val="en-US"/>
        </w:rPr>
      </w:pPr>
      <w:r w:rsidRPr="00C76FD5">
        <w:rPr>
          <w:rFonts w:ascii="Times New Roman" w:hAnsi="Times New Roman" w:cs="Times New Roman"/>
          <w:sz w:val="24"/>
          <w:szCs w:val="24"/>
          <w:lang w:val="en-US"/>
        </w:rPr>
        <w:br/>
      </w:r>
      <w:r w:rsidR="001874C1" w:rsidRPr="001874C1">
        <w:rPr>
          <w:rFonts w:ascii="Times New Roman" w:hAnsi="Times New Roman" w:cs="Times New Roman"/>
          <w:sz w:val="24"/>
          <w:szCs w:val="24"/>
          <w:lang w:val="en-US"/>
        </w:rPr>
        <w:t xml:space="preserve">According to the findings of the ARDL model's Limit Test in Table 1.4, the F-statistic model value of 29.57561 is larger than the upper limit value at the 5% level and even greater than the upper limit values at the 2.5% and 1% levels. This demonstrates that the three variables examined in this research, namely economic growth, trade, and foreign investment, are long-term </w:t>
      </w:r>
      <w:proofErr w:type="spellStart"/>
      <w:r w:rsidR="001874C1" w:rsidRPr="001874C1">
        <w:rPr>
          <w:rFonts w:ascii="Times New Roman" w:hAnsi="Times New Roman" w:cs="Times New Roman"/>
          <w:sz w:val="24"/>
          <w:szCs w:val="24"/>
          <w:lang w:val="en-US"/>
        </w:rPr>
        <w:t>cointegrated</w:t>
      </w:r>
      <w:proofErr w:type="spellEnd"/>
      <w:r w:rsidR="001874C1" w:rsidRPr="001874C1">
        <w:rPr>
          <w:rFonts w:ascii="Times New Roman" w:hAnsi="Times New Roman" w:cs="Times New Roman"/>
          <w:sz w:val="24"/>
          <w:szCs w:val="24"/>
          <w:lang w:val="en-US"/>
        </w:rPr>
        <w:t>, or that the three variables move in lockstep over time.</w:t>
      </w:r>
    </w:p>
    <w:p w:rsidR="00C76FD5" w:rsidRPr="00C76FD5" w:rsidRDefault="00C76FD5" w:rsidP="00C76FD5">
      <w:pPr>
        <w:pStyle w:val="NoSpacing"/>
        <w:rPr>
          <w:rFonts w:ascii="Times New Roman" w:hAnsi="Times New Roman" w:cs="Times New Roman"/>
          <w:sz w:val="24"/>
          <w:szCs w:val="24"/>
          <w:lang w:val="en-US"/>
        </w:rPr>
      </w:pPr>
    </w:p>
    <w:p w:rsidR="00754CE3" w:rsidRPr="00C76FD5" w:rsidRDefault="007323AE" w:rsidP="00EF770F">
      <w:pPr>
        <w:autoSpaceDE w:val="0"/>
        <w:autoSpaceDN w:val="0"/>
        <w:adjustRightInd w:val="0"/>
        <w:spacing w:after="0"/>
        <w:rPr>
          <w:szCs w:val="24"/>
          <w:lang w:val="en-US"/>
        </w:rPr>
      </w:pPr>
      <w:proofErr w:type="spellStart"/>
      <w:proofErr w:type="gramStart"/>
      <w:r w:rsidRPr="00C76FD5">
        <w:rPr>
          <w:szCs w:val="24"/>
          <w:lang w:val="en-US"/>
        </w:rPr>
        <w:t>Tabel</w:t>
      </w:r>
      <w:proofErr w:type="spellEnd"/>
      <w:r w:rsidRPr="00C76FD5">
        <w:rPr>
          <w:szCs w:val="24"/>
          <w:lang w:val="en-US"/>
        </w:rPr>
        <w:t xml:space="preserve"> 5</w:t>
      </w:r>
      <w:r w:rsidR="00754CE3" w:rsidRPr="00C76FD5">
        <w:rPr>
          <w:szCs w:val="24"/>
          <w:lang w:val="en-US"/>
        </w:rPr>
        <w:t>.</w:t>
      </w:r>
      <w:proofErr w:type="gramEnd"/>
      <w:r w:rsidR="00754CE3" w:rsidRPr="00C76FD5">
        <w:rPr>
          <w:szCs w:val="24"/>
          <w:lang w:val="en-US"/>
        </w:rPr>
        <w:t xml:space="preserve"> ARDL analysis results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7"/>
        <w:gridCol w:w="1502"/>
        <w:gridCol w:w="1645"/>
        <w:gridCol w:w="1645"/>
        <w:gridCol w:w="1359"/>
      </w:tblGrid>
      <w:tr w:rsidR="00EF770F" w:rsidRPr="00C76FD5" w:rsidTr="00754CE3">
        <w:trPr>
          <w:trHeight w:val="310"/>
        </w:trPr>
        <w:tc>
          <w:tcPr>
            <w:tcW w:w="2747" w:type="dxa"/>
            <w:vAlign w:val="bottom"/>
          </w:tcPr>
          <w:p w:rsidR="00EF770F" w:rsidRPr="00C76FD5" w:rsidRDefault="00EF770F" w:rsidP="00CB77C4">
            <w:pPr>
              <w:spacing w:after="0"/>
              <w:rPr>
                <w:lang w:val="en-US"/>
              </w:rPr>
            </w:pPr>
            <w:r w:rsidRPr="00C76FD5">
              <w:rPr>
                <w:lang w:val="en-US"/>
              </w:rPr>
              <w:t>Variable</w:t>
            </w:r>
          </w:p>
        </w:tc>
        <w:tc>
          <w:tcPr>
            <w:tcW w:w="1502" w:type="dxa"/>
            <w:vAlign w:val="bottom"/>
          </w:tcPr>
          <w:p w:rsidR="00EF770F" w:rsidRPr="00C76FD5" w:rsidRDefault="00EF770F" w:rsidP="00CB77C4">
            <w:pPr>
              <w:spacing w:after="0"/>
              <w:rPr>
                <w:lang w:val="en-US"/>
              </w:rPr>
            </w:pPr>
            <w:r w:rsidRPr="00C76FD5">
              <w:rPr>
                <w:lang w:val="en-US"/>
              </w:rPr>
              <w:t>Coefficient</w:t>
            </w:r>
          </w:p>
        </w:tc>
        <w:tc>
          <w:tcPr>
            <w:tcW w:w="1645" w:type="dxa"/>
            <w:vAlign w:val="bottom"/>
          </w:tcPr>
          <w:p w:rsidR="00EF770F" w:rsidRPr="00C76FD5" w:rsidRDefault="00EF770F" w:rsidP="00CB77C4">
            <w:pPr>
              <w:spacing w:after="0"/>
              <w:rPr>
                <w:lang w:val="en-US"/>
              </w:rPr>
            </w:pPr>
            <w:r w:rsidRPr="00C76FD5">
              <w:rPr>
                <w:lang w:val="en-US"/>
              </w:rPr>
              <w:t>Std. Error</w:t>
            </w:r>
          </w:p>
        </w:tc>
        <w:tc>
          <w:tcPr>
            <w:tcW w:w="1645" w:type="dxa"/>
            <w:vAlign w:val="bottom"/>
          </w:tcPr>
          <w:p w:rsidR="00EF770F" w:rsidRPr="00C76FD5" w:rsidRDefault="00EF770F" w:rsidP="00CB77C4">
            <w:pPr>
              <w:spacing w:after="0"/>
              <w:rPr>
                <w:lang w:val="en-US"/>
              </w:rPr>
            </w:pPr>
            <w:r w:rsidRPr="00C76FD5">
              <w:rPr>
                <w:lang w:val="en-US"/>
              </w:rPr>
              <w:t>t-Statistic</w:t>
            </w:r>
          </w:p>
        </w:tc>
        <w:tc>
          <w:tcPr>
            <w:tcW w:w="1359" w:type="dxa"/>
            <w:vAlign w:val="bottom"/>
          </w:tcPr>
          <w:p w:rsidR="00EF770F" w:rsidRPr="00C76FD5" w:rsidRDefault="00EF770F" w:rsidP="00CB77C4">
            <w:pPr>
              <w:spacing w:after="0"/>
              <w:rPr>
                <w:lang w:val="en-US"/>
              </w:rPr>
            </w:pPr>
            <w:r w:rsidRPr="00C76FD5">
              <w:rPr>
                <w:lang w:val="en-US"/>
              </w:rPr>
              <w:t>Prob.*  </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t>EG(-1)</w:t>
            </w:r>
          </w:p>
        </w:tc>
        <w:tc>
          <w:tcPr>
            <w:tcW w:w="1502" w:type="dxa"/>
            <w:vAlign w:val="bottom"/>
          </w:tcPr>
          <w:p w:rsidR="00EF770F" w:rsidRPr="00C76FD5" w:rsidRDefault="00EF770F" w:rsidP="00CB77C4">
            <w:pPr>
              <w:spacing w:after="0"/>
              <w:rPr>
                <w:lang w:val="en-US"/>
              </w:rPr>
            </w:pPr>
            <w:r w:rsidRPr="00C76FD5">
              <w:rPr>
                <w:lang w:val="en-US"/>
              </w:rPr>
              <w:t>-0.161425</w:t>
            </w:r>
          </w:p>
        </w:tc>
        <w:tc>
          <w:tcPr>
            <w:tcW w:w="1645" w:type="dxa"/>
            <w:vAlign w:val="bottom"/>
          </w:tcPr>
          <w:p w:rsidR="00EF770F" w:rsidRPr="00C76FD5" w:rsidRDefault="00EF770F" w:rsidP="00CB77C4">
            <w:pPr>
              <w:spacing w:after="0"/>
              <w:rPr>
                <w:lang w:val="en-US"/>
              </w:rPr>
            </w:pPr>
            <w:r w:rsidRPr="00C76FD5">
              <w:rPr>
                <w:lang w:val="en-US"/>
              </w:rPr>
              <w:t>0.101241</w:t>
            </w:r>
          </w:p>
        </w:tc>
        <w:tc>
          <w:tcPr>
            <w:tcW w:w="1645" w:type="dxa"/>
            <w:vAlign w:val="bottom"/>
          </w:tcPr>
          <w:p w:rsidR="00EF770F" w:rsidRPr="00C76FD5" w:rsidRDefault="00EF770F" w:rsidP="00CB77C4">
            <w:pPr>
              <w:spacing w:after="0"/>
              <w:rPr>
                <w:lang w:val="en-US"/>
              </w:rPr>
            </w:pPr>
            <w:r w:rsidRPr="00C76FD5">
              <w:rPr>
                <w:lang w:val="en-US"/>
              </w:rPr>
              <w:t>-1.594464</w:t>
            </w:r>
          </w:p>
        </w:tc>
        <w:tc>
          <w:tcPr>
            <w:tcW w:w="1359" w:type="dxa"/>
            <w:vAlign w:val="bottom"/>
          </w:tcPr>
          <w:p w:rsidR="00EF770F" w:rsidRPr="00C76FD5" w:rsidRDefault="00EF770F" w:rsidP="00CB77C4">
            <w:pPr>
              <w:spacing w:after="0"/>
              <w:rPr>
                <w:lang w:val="en-US"/>
              </w:rPr>
            </w:pPr>
            <w:r w:rsidRPr="00C76FD5">
              <w:rPr>
                <w:lang w:val="en-US"/>
              </w:rPr>
              <w:t>0.1239</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t>EG(-2)</w:t>
            </w:r>
          </w:p>
        </w:tc>
        <w:tc>
          <w:tcPr>
            <w:tcW w:w="1502" w:type="dxa"/>
            <w:vAlign w:val="bottom"/>
          </w:tcPr>
          <w:p w:rsidR="00EF770F" w:rsidRPr="00C76FD5" w:rsidRDefault="00EF770F" w:rsidP="00CB77C4">
            <w:pPr>
              <w:spacing w:after="0"/>
              <w:rPr>
                <w:lang w:val="en-US"/>
              </w:rPr>
            </w:pPr>
            <w:r w:rsidRPr="00C76FD5">
              <w:rPr>
                <w:lang w:val="en-US"/>
              </w:rPr>
              <w:t>-0.580022</w:t>
            </w:r>
          </w:p>
        </w:tc>
        <w:tc>
          <w:tcPr>
            <w:tcW w:w="1645" w:type="dxa"/>
            <w:vAlign w:val="bottom"/>
          </w:tcPr>
          <w:p w:rsidR="00EF770F" w:rsidRPr="00C76FD5" w:rsidRDefault="00EF770F" w:rsidP="00CB77C4">
            <w:pPr>
              <w:spacing w:after="0"/>
              <w:rPr>
                <w:lang w:val="en-US"/>
              </w:rPr>
            </w:pPr>
            <w:r w:rsidRPr="00C76FD5">
              <w:rPr>
                <w:lang w:val="en-US"/>
              </w:rPr>
              <w:t>0.100773</w:t>
            </w:r>
          </w:p>
        </w:tc>
        <w:tc>
          <w:tcPr>
            <w:tcW w:w="1645" w:type="dxa"/>
            <w:vAlign w:val="bottom"/>
          </w:tcPr>
          <w:p w:rsidR="00EF770F" w:rsidRPr="00C76FD5" w:rsidRDefault="00EF770F" w:rsidP="00CB77C4">
            <w:pPr>
              <w:spacing w:after="0"/>
              <w:rPr>
                <w:lang w:val="en-US"/>
              </w:rPr>
            </w:pPr>
            <w:r w:rsidRPr="00C76FD5">
              <w:rPr>
                <w:lang w:val="en-US"/>
              </w:rPr>
              <w:t>-5.755721</w:t>
            </w:r>
          </w:p>
        </w:tc>
        <w:tc>
          <w:tcPr>
            <w:tcW w:w="1359" w:type="dxa"/>
            <w:vAlign w:val="bottom"/>
          </w:tcPr>
          <w:p w:rsidR="00EF770F" w:rsidRPr="00C76FD5" w:rsidRDefault="00EF770F" w:rsidP="00CB77C4">
            <w:pPr>
              <w:spacing w:after="0"/>
              <w:rPr>
                <w:lang w:val="en-US"/>
              </w:rPr>
            </w:pPr>
            <w:r w:rsidRPr="00C76FD5">
              <w:rPr>
                <w:lang w:val="en-US"/>
              </w:rPr>
              <w:t>0.0000</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lastRenderedPageBreak/>
              <w:t>EG(-3)</w:t>
            </w:r>
          </w:p>
        </w:tc>
        <w:tc>
          <w:tcPr>
            <w:tcW w:w="1502" w:type="dxa"/>
            <w:vAlign w:val="bottom"/>
          </w:tcPr>
          <w:p w:rsidR="00EF770F" w:rsidRPr="00C76FD5" w:rsidRDefault="00EF770F" w:rsidP="00CB77C4">
            <w:pPr>
              <w:spacing w:after="0"/>
              <w:rPr>
                <w:lang w:val="en-US"/>
              </w:rPr>
            </w:pPr>
            <w:r w:rsidRPr="00C76FD5">
              <w:rPr>
                <w:lang w:val="en-US"/>
              </w:rPr>
              <w:t>-0.299346</w:t>
            </w:r>
          </w:p>
        </w:tc>
        <w:tc>
          <w:tcPr>
            <w:tcW w:w="1645" w:type="dxa"/>
            <w:vAlign w:val="bottom"/>
          </w:tcPr>
          <w:p w:rsidR="00EF770F" w:rsidRPr="00C76FD5" w:rsidRDefault="00EF770F" w:rsidP="00CB77C4">
            <w:pPr>
              <w:spacing w:after="0"/>
              <w:rPr>
                <w:lang w:val="en-US"/>
              </w:rPr>
            </w:pPr>
            <w:r w:rsidRPr="00C76FD5">
              <w:rPr>
                <w:lang w:val="en-US"/>
              </w:rPr>
              <w:t>0.090523</w:t>
            </w:r>
          </w:p>
        </w:tc>
        <w:tc>
          <w:tcPr>
            <w:tcW w:w="1645" w:type="dxa"/>
            <w:vAlign w:val="bottom"/>
          </w:tcPr>
          <w:p w:rsidR="00EF770F" w:rsidRPr="00C76FD5" w:rsidRDefault="00EF770F" w:rsidP="00CB77C4">
            <w:pPr>
              <w:spacing w:after="0"/>
              <w:rPr>
                <w:lang w:val="en-US"/>
              </w:rPr>
            </w:pPr>
            <w:r w:rsidRPr="00C76FD5">
              <w:rPr>
                <w:lang w:val="en-US"/>
              </w:rPr>
              <w:t>-3.306866</w:t>
            </w:r>
          </w:p>
        </w:tc>
        <w:tc>
          <w:tcPr>
            <w:tcW w:w="1359" w:type="dxa"/>
            <w:vAlign w:val="bottom"/>
          </w:tcPr>
          <w:p w:rsidR="00EF770F" w:rsidRPr="00C76FD5" w:rsidRDefault="00EF770F" w:rsidP="00CB77C4">
            <w:pPr>
              <w:spacing w:after="0"/>
              <w:rPr>
                <w:lang w:val="en-US"/>
              </w:rPr>
            </w:pPr>
            <w:r w:rsidRPr="00C76FD5">
              <w:rPr>
                <w:lang w:val="en-US"/>
              </w:rPr>
              <w:t>0.0030</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t>T</w:t>
            </w:r>
          </w:p>
        </w:tc>
        <w:tc>
          <w:tcPr>
            <w:tcW w:w="1502" w:type="dxa"/>
            <w:vAlign w:val="bottom"/>
          </w:tcPr>
          <w:p w:rsidR="00EF770F" w:rsidRPr="00C76FD5" w:rsidRDefault="00EF770F" w:rsidP="00CB77C4">
            <w:pPr>
              <w:spacing w:after="0"/>
              <w:rPr>
                <w:lang w:val="en-US"/>
              </w:rPr>
            </w:pPr>
            <w:r w:rsidRPr="00C76FD5">
              <w:rPr>
                <w:lang w:val="en-US"/>
              </w:rPr>
              <w:t>0.017940</w:t>
            </w:r>
          </w:p>
        </w:tc>
        <w:tc>
          <w:tcPr>
            <w:tcW w:w="1645" w:type="dxa"/>
            <w:vAlign w:val="bottom"/>
          </w:tcPr>
          <w:p w:rsidR="00EF770F" w:rsidRPr="00C76FD5" w:rsidRDefault="00EF770F" w:rsidP="00CB77C4">
            <w:pPr>
              <w:spacing w:after="0"/>
              <w:rPr>
                <w:lang w:val="en-US"/>
              </w:rPr>
            </w:pPr>
            <w:r w:rsidRPr="00C76FD5">
              <w:rPr>
                <w:lang w:val="en-US"/>
              </w:rPr>
              <w:t>0.035637</w:t>
            </w:r>
          </w:p>
        </w:tc>
        <w:tc>
          <w:tcPr>
            <w:tcW w:w="1645" w:type="dxa"/>
            <w:vAlign w:val="bottom"/>
          </w:tcPr>
          <w:p w:rsidR="00EF770F" w:rsidRPr="00C76FD5" w:rsidRDefault="00EF770F" w:rsidP="00CB77C4">
            <w:pPr>
              <w:spacing w:after="0"/>
              <w:rPr>
                <w:lang w:val="en-US"/>
              </w:rPr>
            </w:pPr>
            <w:r w:rsidRPr="00C76FD5">
              <w:rPr>
                <w:lang w:val="en-US"/>
              </w:rPr>
              <w:t>0.503402</w:t>
            </w:r>
          </w:p>
        </w:tc>
        <w:tc>
          <w:tcPr>
            <w:tcW w:w="1359" w:type="dxa"/>
            <w:vAlign w:val="bottom"/>
          </w:tcPr>
          <w:p w:rsidR="00EF770F" w:rsidRPr="00C76FD5" w:rsidRDefault="00EF770F" w:rsidP="00CB77C4">
            <w:pPr>
              <w:spacing w:after="0"/>
              <w:rPr>
                <w:lang w:val="en-US"/>
              </w:rPr>
            </w:pPr>
            <w:r w:rsidRPr="00C76FD5">
              <w:rPr>
                <w:lang w:val="en-US"/>
              </w:rPr>
              <w:t>0.6193</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t>T(-1)</w:t>
            </w:r>
          </w:p>
        </w:tc>
        <w:tc>
          <w:tcPr>
            <w:tcW w:w="1502" w:type="dxa"/>
            <w:vAlign w:val="bottom"/>
          </w:tcPr>
          <w:p w:rsidR="00EF770F" w:rsidRPr="00C76FD5" w:rsidRDefault="00EF770F" w:rsidP="00CB77C4">
            <w:pPr>
              <w:spacing w:after="0"/>
              <w:rPr>
                <w:lang w:val="en-US"/>
              </w:rPr>
            </w:pPr>
            <w:r w:rsidRPr="00C76FD5">
              <w:rPr>
                <w:lang w:val="en-US"/>
              </w:rPr>
              <w:t>-0.306415</w:t>
            </w:r>
          </w:p>
        </w:tc>
        <w:tc>
          <w:tcPr>
            <w:tcW w:w="1645" w:type="dxa"/>
            <w:vAlign w:val="bottom"/>
          </w:tcPr>
          <w:p w:rsidR="00EF770F" w:rsidRPr="00C76FD5" w:rsidRDefault="00EF770F" w:rsidP="00CB77C4">
            <w:pPr>
              <w:spacing w:after="0"/>
              <w:rPr>
                <w:lang w:val="en-US"/>
              </w:rPr>
            </w:pPr>
            <w:r w:rsidRPr="00C76FD5">
              <w:rPr>
                <w:lang w:val="en-US"/>
              </w:rPr>
              <w:t>0.039748</w:t>
            </w:r>
          </w:p>
        </w:tc>
        <w:tc>
          <w:tcPr>
            <w:tcW w:w="1645" w:type="dxa"/>
            <w:vAlign w:val="bottom"/>
          </w:tcPr>
          <w:p w:rsidR="00EF770F" w:rsidRPr="00C76FD5" w:rsidRDefault="00EF770F" w:rsidP="00CB77C4">
            <w:pPr>
              <w:spacing w:after="0"/>
              <w:rPr>
                <w:lang w:val="en-US"/>
              </w:rPr>
            </w:pPr>
            <w:r w:rsidRPr="00C76FD5">
              <w:rPr>
                <w:lang w:val="en-US"/>
              </w:rPr>
              <w:t>-7.708955</w:t>
            </w:r>
          </w:p>
        </w:tc>
        <w:tc>
          <w:tcPr>
            <w:tcW w:w="1359" w:type="dxa"/>
            <w:vAlign w:val="bottom"/>
          </w:tcPr>
          <w:p w:rsidR="00EF770F" w:rsidRPr="00C76FD5" w:rsidRDefault="00EF770F" w:rsidP="00CB77C4">
            <w:pPr>
              <w:spacing w:after="0"/>
              <w:rPr>
                <w:lang w:val="en-US"/>
              </w:rPr>
            </w:pPr>
            <w:r w:rsidRPr="00C76FD5">
              <w:rPr>
                <w:lang w:val="en-US"/>
              </w:rPr>
              <w:t>0.0000</w:t>
            </w:r>
          </w:p>
        </w:tc>
      </w:tr>
      <w:tr w:rsidR="00EF770F" w:rsidRPr="00C76FD5" w:rsidTr="00754CE3">
        <w:trPr>
          <w:trHeight w:val="310"/>
        </w:trPr>
        <w:tc>
          <w:tcPr>
            <w:tcW w:w="2747" w:type="dxa"/>
            <w:vAlign w:val="bottom"/>
          </w:tcPr>
          <w:p w:rsidR="00EF770F" w:rsidRPr="00C76FD5" w:rsidRDefault="00655E4E" w:rsidP="00CB77C4">
            <w:pPr>
              <w:spacing w:after="0"/>
              <w:rPr>
                <w:lang w:val="en-US"/>
              </w:rPr>
            </w:pPr>
            <w:r w:rsidRPr="00C76FD5">
              <w:rPr>
                <w:lang w:val="en-US"/>
              </w:rPr>
              <w:t>FDI</w:t>
            </w:r>
          </w:p>
        </w:tc>
        <w:tc>
          <w:tcPr>
            <w:tcW w:w="1502" w:type="dxa"/>
            <w:vAlign w:val="bottom"/>
          </w:tcPr>
          <w:p w:rsidR="00EF770F" w:rsidRPr="00C76FD5" w:rsidRDefault="00EF770F" w:rsidP="00CB77C4">
            <w:pPr>
              <w:spacing w:after="0"/>
              <w:rPr>
                <w:lang w:val="en-US"/>
              </w:rPr>
            </w:pPr>
            <w:r w:rsidRPr="00C76FD5">
              <w:rPr>
                <w:lang w:val="en-US"/>
              </w:rPr>
              <w:t>1.731552</w:t>
            </w:r>
          </w:p>
        </w:tc>
        <w:tc>
          <w:tcPr>
            <w:tcW w:w="1645" w:type="dxa"/>
            <w:vAlign w:val="bottom"/>
          </w:tcPr>
          <w:p w:rsidR="00EF770F" w:rsidRPr="00C76FD5" w:rsidRDefault="00EF770F" w:rsidP="00CB77C4">
            <w:pPr>
              <w:spacing w:after="0"/>
              <w:rPr>
                <w:lang w:val="en-US"/>
              </w:rPr>
            </w:pPr>
            <w:r w:rsidRPr="00C76FD5">
              <w:rPr>
                <w:lang w:val="en-US"/>
              </w:rPr>
              <w:t>0.387963</w:t>
            </w:r>
          </w:p>
        </w:tc>
        <w:tc>
          <w:tcPr>
            <w:tcW w:w="1645" w:type="dxa"/>
            <w:vAlign w:val="bottom"/>
          </w:tcPr>
          <w:p w:rsidR="00EF770F" w:rsidRPr="00C76FD5" w:rsidRDefault="00EF770F" w:rsidP="00CB77C4">
            <w:pPr>
              <w:spacing w:after="0"/>
              <w:rPr>
                <w:lang w:val="en-US"/>
              </w:rPr>
            </w:pPr>
            <w:r w:rsidRPr="00C76FD5">
              <w:rPr>
                <w:lang w:val="en-US"/>
              </w:rPr>
              <w:t>4.463191</w:t>
            </w:r>
          </w:p>
        </w:tc>
        <w:tc>
          <w:tcPr>
            <w:tcW w:w="1359" w:type="dxa"/>
            <w:vAlign w:val="bottom"/>
          </w:tcPr>
          <w:p w:rsidR="00EF770F" w:rsidRPr="00C76FD5" w:rsidRDefault="00EF770F" w:rsidP="00CB77C4">
            <w:pPr>
              <w:spacing w:after="0"/>
              <w:rPr>
                <w:lang w:val="en-US"/>
              </w:rPr>
            </w:pPr>
            <w:r w:rsidRPr="00C76FD5">
              <w:rPr>
                <w:lang w:val="en-US"/>
              </w:rPr>
              <w:t>0.0002</w:t>
            </w:r>
          </w:p>
        </w:tc>
      </w:tr>
      <w:tr w:rsidR="00EF770F" w:rsidRPr="00C76FD5" w:rsidTr="00754CE3">
        <w:trPr>
          <w:trHeight w:val="310"/>
        </w:trPr>
        <w:tc>
          <w:tcPr>
            <w:tcW w:w="2747" w:type="dxa"/>
            <w:vAlign w:val="bottom"/>
          </w:tcPr>
          <w:p w:rsidR="00EF770F" w:rsidRPr="00C76FD5" w:rsidRDefault="00EF770F" w:rsidP="00CB77C4">
            <w:pPr>
              <w:spacing w:after="0"/>
              <w:rPr>
                <w:lang w:val="en-US"/>
              </w:rPr>
            </w:pPr>
            <w:r w:rsidRPr="00C76FD5">
              <w:rPr>
                <w:lang w:val="en-US"/>
              </w:rPr>
              <w:t>C</w:t>
            </w:r>
          </w:p>
        </w:tc>
        <w:tc>
          <w:tcPr>
            <w:tcW w:w="1502" w:type="dxa"/>
            <w:vAlign w:val="bottom"/>
          </w:tcPr>
          <w:p w:rsidR="00EF770F" w:rsidRPr="00C76FD5" w:rsidRDefault="00EF770F" w:rsidP="00CB77C4">
            <w:pPr>
              <w:spacing w:after="0"/>
              <w:rPr>
                <w:lang w:val="en-US"/>
              </w:rPr>
            </w:pPr>
            <w:r w:rsidRPr="00C76FD5">
              <w:rPr>
                <w:lang w:val="en-US"/>
              </w:rPr>
              <w:t>-0.478557</w:t>
            </w:r>
          </w:p>
        </w:tc>
        <w:tc>
          <w:tcPr>
            <w:tcW w:w="1645" w:type="dxa"/>
            <w:vAlign w:val="bottom"/>
          </w:tcPr>
          <w:p w:rsidR="00EF770F" w:rsidRPr="00C76FD5" w:rsidRDefault="00EF770F" w:rsidP="00CB77C4">
            <w:pPr>
              <w:spacing w:after="0"/>
              <w:rPr>
                <w:lang w:val="en-US"/>
              </w:rPr>
            </w:pPr>
            <w:r w:rsidRPr="00C76FD5">
              <w:rPr>
                <w:lang w:val="en-US"/>
              </w:rPr>
              <w:t>0.332890</w:t>
            </w:r>
          </w:p>
        </w:tc>
        <w:tc>
          <w:tcPr>
            <w:tcW w:w="1645" w:type="dxa"/>
            <w:vAlign w:val="bottom"/>
          </w:tcPr>
          <w:p w:rsidR="00EF770F" w:rsidRPr="00C76FD5" w:rsidRDefault="00EF770F" w:rsidP="00CB77C4">
            <w:pPr>
              <w:spacing w:after="0"/>
              <w:rPr>
                <w:lang w:val="en-US"/>
              </w:rPr>
            </w:pPr>
            <w:r w:rsidRPr="00C76FD5">
              <w:rPr>
                <w:lang w:val="en-US"/>
              </w:rPr>
              <w:t>-1.437583</w:t>
            </w:r>
          </w:p>
        </w:tc>
        <w:tc>
          <w:tcPr>
            <w:tcW w:w="1359" w:type="dxa"/>
            <w:vAlign w:val="bottom"/>
          </w:tcPr>
          <w:p w:rsidR="00EF770F" w:rsidRPr="00C76FD5" w:rsidRDefault="00EF770F" w:rsidP="00CB77C4">
            <w:pPr>
              <w:spacing w:after="0"/>
              <w:rPr>
                <w:lang w:val="en-US"/>
              </w:rPr>
            </w:pPr>
            <w:r w:rsidRPr="00C76FD5">
              <w:rPr>
                <w:lang w:val="en-US"/>
              </w:rPr>
              <w:t>0.1635</w:t>
            </w:r>
          </w:p>
        </w:tc>
      </w:tr>
      <w:tr w:rsidR="00754CE3" w:rsidRPr="00C76FD5" w:rsidTr="00754CE3">
        <w:trPr>
          <w:trHeight w:val="310"/>
        </w:trPr>
        <w:tc>
          <w:tcPr>
            <w:tcW w:w="2747" w:type="dxa"/>
            <w:vAlign w:val="bottom"/>
          </w:tcPr>
          <w:p w:rsidR="00754CE3" w:rsidRPr="00C76FD5" w:rsidRDefault="00754CE3" w:rsidP="00CB77C4">
            <w:pPr>
              <w:spacing w:after="0"/>
              <w:rPr>
                <w:lang w:val="en-US"/>
              </w:rPr>
            </w:pPr>
          </w:p>
        </w:tc>
        <w:tc>
          <w:tcPr>
            <w:tcW w:w="1502" w:type="dxa"/>
            <w:vAlign w:val="bottom"/>
          </w:tcPr>
          <w:p w:rsidR="00754CE3" w:rsidRPr="00C76FD5" w:rsidRDefault="00754CE3" w:rsidP="00CB77C4">
            <w:pPr>
              <w:spacing w:after="0"/>
              <w:rPr>
                <w:lang w:val="en-US"/>
              </w:rPr>
            </w:pPr>
          </w:p>
        </w:tc>
        <w:tc>
          <w:tcPr>
            <w:tcW w:w="1645" w:type="dxa"/>
            <w:vAlign w:val="bottom"/>
          </w:tcPr>
          <w:p w:rsidR="00754CE3" w:rsidRPr="00C76FD5" w:rsidRDefault="00754CE3" w:rsidP="00CB77C4">
            <w:pPr>
              <w:spacing w:after="0"/>
              <w:rPr>
                <w:lang w:val="en-US"/>
              </w:rPr>
            </w:pPr>
          </w:p>
        </w:tc>
        <w:tc>
          <w:tcPr>
            <w:tcW w:w="1645" w:type="dxa"/>
            <w:vAlign w:val="bottom"/>
          </w:tcPr>
          <w:p w:rsidR="00754CE3" w:rsidRPr="00C76FD5" w:rsidRDefault="00754CE3" w:rsidP="00CB77C4">
            <w:pPr>
              <w:spacing w:after="0"/>
              <w:rPr>
                <w:lang w:val="en-US"/>
              </w:rPr>
            </w:pPr>
          </w:p>
        </w:tc>
        <w:tc>
          <w:tcPr>
            <w:tcW w:w="1359" w:type="dxa"/>
            <w:vAlign w:val="bottom"/>
          </w:tcPr>
          <w:p w:rsidR="00754CE3" w:rsidRPr="00C76FD5" w:rsidRDefault="00754CE3" w:rsidP="00CB77C4">
            <w:pPr>
              <w:spacing w:after="0"/>
              <w:rPr>
                <w:lang w:val="en-US"/>
              </w:rPr>
            </w:pPr>
          </w:p>
        </w:tc>
      </w:tr>
      <w:tr w:rsidR="00B11E67" w:rsidRPr="00C76FD5" w:rsidTr="00754CE3">
        <w:trPr>
          <w:trHeight w:val="310"/>
        </w:trPr>
        <w:tc>
          <w:tcPr>
            <w:tcW w:w="2747" w:type="dxa"/>
            <w:vAlign w:val="bottom"/>
          </w:tcPr>
          <w:p w:rsidR="00B11E67" w:rsidRPr="00C76FD5" w:rsidRDefault="00B11E67" w:rsidP="00CB77C4">
            <w:pPr>
              <w:spacing w:after="0"/>
              <w:rPr>
                <w:lang w:val="en-US"/>
              </w:rPr>
            </w:pPr>
            <w:r w:rsidRPr="00C76FD5">
              <w:rPr>
                <w:lang w:val="en-US"/>
              </w:rPr>
              <w:t>R-squared</w:t>
            </w:r>
          </w:p>
        </w:tc>
        <w:tc>
          <w:tcPr>
            <w:tcW w:w="1502" w:type="dxa"/>
            <w:vAlign w:val="bottom"/>
          </w:tcPr>
          <w:p w:rsidR="00B11E67" w:rsidRPr="00C76FD5" w:rsidRDefault="00B11E67" w:rsidP="00CB77C4">
            <w:pPr>
              <w:spacing w:after="0"/>
              <w:rPr>
                <w:lang w:val="en-US"/>
              </w:rPr>
            </w:pPr>
            <w:r w:rsidRPr="00C76FD5">
              <w:rPr>
                <w:lang w:val="en-US"/>
              </w:rPr>
              <w:t>0.863243</w:t>
            </w:r>
          </w:p>
        </w:tc>
        <w:tc>
          <w:tcPr>
            <w:tcW w:w="3290" w:type="dxa"/>
            <w:gridSpan w:val="2"/>
            <w:vAlign w:val="bottom"/>
          </w:tcPr>
          <w:p w:rsidR="00B11E67" w:rsidRPr="00C76FD5" w:rsidRDefault="00B11E67" w:rsidP="00CB77C4">
            <w:pPr>
              <w:spacing w:after="0"/>
              <w:rPr>
                <w:lang w:val="en-US"/>
              </w:rPr>
            </w:pPr>
            <w:r w:rsidRPr="00C76FD5">
              <w:rPr>
                <w:lang w:val="en-US"/>
              </w:rPr>
              <w:t>Adjusted R-squared</w:t>
            </w:r>
          </w:p>
        </w:tc>
        <w:tc>
          <w:tcPr>
            <w:tcW w:w="1359" w:type="dxa"/>
            <w:vAlign w:val="bottom"/>
          </w:tcPr>
          <w:p w:rsidR="00B11E67" w:rsidRPr="00C76FD5" w:rsidRDefault="00B11E67" w:rsidP="00CB77C4">
            <w:pPr>
              <w:spacing w:after="0"/>
              <w:rPr>
                <w:lang w:val="en-US"/>
              </w:rPr>
            </w:pPr>
            <w:r w:rsidRPr="00C76FD5">
              <w:rPr>
                <w:lang w:val="en-US"/>
              </w:rPr>
              <w:t>0.829054</w:t>
            </w:r>
          </w:p>
        </w:tc>
      </w:tr>
    </w:tbl>
    <w:p w:rsidR="00C76FD5" w:rsidRPr="00C76FD5" w:rsidRDefault="00EF770F" w:rsidP="00CB77C4">
      <w:r w:rsidRPr="00C76FD5">
        <w:rPr>
          <w:lang w:val="en-US"/>
        </w:rPr>
        <w:br/>
      </w:r>
      <w:r w:rsidR="00C76FD5" w:rsidRPr="00C76FD5">
        <w:t xml:space="preserve">The adjusted R-squared value and the R-Bar-squared value of the ARDL model are relatively high, with an average of around 0.82 and 0.86. </w:t>
      </w:r>
      <w:r w:rsidR="001874C1" w:rsidRPr="001874C1">
        <w:t>The adjusted R-squared value of 0.82 indicates that each of the independent variables in the specified ARDL model, namely trade and foreign direct investment, can account for 82% of the variance in the dependent variable of economic growth.</w:t>
      </w:r>
      <w:r w:rsidR="001874C1">
        <w:rPr>
          <w:lang w:val="en-US"/>
        </w:rPr>
        <w:t xml:space="preserve"> </w:t>
      </w:r>
      <w:r w:rsidR="00C76FD5" w:rsidRPr="00C76FD5">
        <w:t>This is an indication that this research model is good enough to be analyzed.</w:t>
      </w:r>
    </w:p>
    <w:p w:rsidR="00C76FD5" w:rsidRPr="00C76FD5" w:rsidRDefault="00C76FD5" w:rsidP="00CB77C4"/>
    <w:p w:rsidR="00C76FD5" w:rsidRPr="00C76FD5" w:rsidRDefault="001874C1" w:rsidP="00CB77C4">
      <w:r w:rsidRPr="001874C1">
        <w:t xml:space="preserve">As can be observed from the ARDL estimate findings, the </w:t>
      </w:r>
      <w:proofErr w:type="gramStart"/>
      <w:r w:rsidRPr="001874C1">
        <w:t>EG(</w:t>
      </w:r>
      <w:proofErr w:type="gramEnd"/>
      <w:r w:rsidRPr="001874C1">
        <w:t>-1) variable has a coefficient value of -0.16, indicating that the previous year's economic growth factor is also a factor affecting economic growth. For instance, a 1% economic growth rate in the preceding year would result in a 16 percent decline in Indonesia's GDP.</w:t>
      </w:r>
      <w:r>
        <w:rPr>
          <w:lang w:val="en-US"/>
        </w:rPr>
        <w:t xml:space="preserve"> </w:t>
      </w:r>
      <w:r w:rsidR="00C76FD5" w:rsidRPr="00C76FD5">
        <w:t>Economic growth in the previous year also played a more important role when compared to trade and foreign direct investment, where the coefficients were relatively larger than those of trade and FDI. The value of the trade coefficient is 0.17 which means an increase of 1 percent will increase by 17%.</w:t>
      </w:r>
    </w:p>
    <w:p w:rsidR="00C76FD5" w:rsidRPr="00C76FD5" w:rsidRDefault="00C76FD5" w:rsidP="00C76FD5">
      <w:pPr>
        <w:pStyle w:val="NoSpacing"/>
        <w:rPr>
          <w:rFonts w:ascii="Times New Roman" w:hAnsi="Times New Roman" w:cs="Times New Roman"/>
          <w:sz w:val="24"/>
          <w:szCs w:val="24"/>
        </w:rPr>
      </w:pPr>
    </w:p>
    <w:p w:rsidR="00655E4E" w:rsidRPr="00C76FD5" w:rsidRDefault="00C76FD5" w:rsidP="00CB77C4">
      <w:pPr>
        <w:pStyle w:val="Heading2"/>
      </w:pPr>
      <w:r w:rsidRPr="00C76FD5">
        <w:rPr>
          <w:lang w:val="en-US"/>
        </w:rPr>
        <w:t>Conclusion</w:t>
      </w:r>
      <w:r w:rsidR="00655E4E" w:rsidRPr="00C76FD5">
        <w:t xml:space="preserve"> </w:t>
      </w:r>
    </w:p>
    <w:p w:rsidR="00480948" w:rsidRDefault="00B11E67" w:rsidP="00C76FD5">
      <w:pPr>
        <w:pStyle w:val="NoSpacing"/>
        <w:jc w:val="both"/>
        <w:rPr>
          <w:rFonts w:ascii="Times New Roman" w:hAnsi="Times New Roman" w:cs="Times New Roman"/>
          <w:sz w:val="24"/>
          <w:szCs w:val="24"/>
          <w:lang w:val="en-US"/>
        </w:rPr>
      </w:pPr>
      <w:r w:rsidRPr="00B11E67">
        <w:rPr>
          <w:rFonts w:ascii="Times New Roman" w:hAnsi="Times New Roman" w:cs="Times New Roman"/>
          <w:sz w:val="24"/>
          <w:szCs w:val="24"/>
          <w:lang w:val="en-US"/>
        </w:rPr>
        <w:t>Indonesia is one of the developing countries that have an economic growth rate above the projected average world economic growth rate. The factor of trade and foreign direct investment is quite massive from 1985 to 2020 to encourage economic growth in Indonesia. The findings of the research utilizing the ARDL technique indicate that although two factors, trade, and foreign direct investment, have little influence on economic development, in the long run, they do have a considerable effect in the short run. According to the ARDL results, trade and foreign direct investment are critical for Indonesia's economic growth, but in Indonesia, a trade sector dominated by imports causes this variable to have a significant negative relationship with economic growth, implying that the greater the proportion of trade, the lower economic growth in Indonesia.</w:t>
      </w:r>
    </w:p>
    <w:sdt>
      <w:sdtPr>
        <w:rPr>
          <w:rFonts w:eastAsiaTheme="minorHAnsi" w:cs="Times New Roman"/>
          <w:b w:val="0"/>
          <w:sz w:val="22"/>
          <w:szCs w:val="22"/>
        </w:rPr>
        <w:id w:val="2110846893"/>
        <w:docPartObj>
          <w:docPartGallery w:val="Bibliographies"/>
          <w:docPartUnique/>
        </w:docPartObj>
      </w:sdtPr>
      <w:sdtEndPr/>
      <w:sdtContent>
        <w:p w:rsidR="00480948" w:rsidRPr="00CB77C4" w:rsidRDefault="00480948" w:rsidP="00CB77C4">
          <w:pPr>
            <w:pStyle w:val="Heading1"/>
            <w:jc w:val="both"/>
            <w:rPr>
              <w:rStyle w:val="Heading2Char"/>
            </w:rPr>
          </w:pPr>
          <w:r w:rsidRPr="00CB77C4">
            <w:rPr>
              <w:rStyle w:val="Heading2Char"/>
            </w:rPr>
            <w:t>References</w:t>
          </w:r>
        </w:p>
        <w:p w:rsidR="00480948" w:rsidRPr="00CB77C4" w:rsidRDefault="00480948" w:rsidP="00480948">
          <w:pPr>
            <w:pStyle w:val="Bibliography"/>
            <w:ind w:left="720" w:hanging="720"/>
            <w:rPr>
              <w:noProof/>
              <w:sz w:val="20"/>
              <w:szCs w:val="20"/>
            </w:rPr>
          </w:pPr>
          <w:r w:rsidRPr="00CB77C4">
            <w:rPr>
              <w:noProof/>
              <w:sz w:val="20"/>
              <w:szCs w:val="20"/>
            </w:rPr>
            <w:t xml:space="preserve">Astuti, I. P. (2016). Pengaruh Ekspor dan Impor Terhadap Pertumbuhan Ekonomi di Indonesia. </w:t>
          </w:r>
          <w:r w:rsidRPr="00CB77C4">
            <w:rPr>
              <w:i/>
              <w:iCs/>
              <w:noProof/>
              <w:sz w:val="20"/>
              <w:szCs w:val="20"/>
            </w:rPr>
            <w:t>Jurnal Ekonomi dan Studi Pembangunan, 19 (1)</w:t>
          </w:r>
          <w:r w:rsidRPr="00CB77C4">
            <w:rPr>
              <w:noProof/>
              <w:sz w:val="20"/>
              <w:szCs w:val="20"/>
            </w:rPr>
            <w:t>, 1-10.</w:t>
          </w:r>
        </w:p>
        <w:p w:rsidR="00480948" w:rsidRPr="00CB77C4" w:rsidRDefault="00480948" w:rsidP="00480948">
          <w:pPr>
            <w:pStyle w:val="Bibliography"/>
            <w:ind w:left="720" w:hanging="720"/>
            <w:rPr>
              <w:noProof/>
              <w:sz w:val="20"/>
              <w:szCs w:val="20"/>
            </w:rPr>
          </w:pPr>
          <w:r w:rsidRPr="00CB77C4">
            <w:rPr>
              <w:noProof/>
              <w:sz w:val="20"/>
              <w:szCs w:val="20"/>
            </w:rPr>
            <w:t xml:space="preserve">Athukorala, P. (2003). The impact of foreign direct investment for economic growth: a case study in Sri Lanka. </w:t>
          </w:r>
          <w:r w:rsidRPr="00CB77C4">
            <w:rPr>
              <w:i/>
              <w:iCs/>
              <w:noProof/>
              <w:sz w:val="20"/>
              <w:szCs w:val="20"/>
            </w:rPr>
            <w:t>International Conference on Sri Lanka Studies Full Paper, 92 (1)</w:t>
          </w:r>
          <w:r w:rsidRPr="00CB77C4">
            <w:rPr>
              <w:noProof/>
              <w:sz w:val="20"/>
              <w:szCs w:val="20"/>
            </w:rPr>
            <w:t>, 2-21.</w:t>
          </w:r>
        </w:p>
        <w:p w:rsidR="00480948" w:rsidRPr="00CB77C4" w:rsidRDefault="00480948" w:rsidP="00480948">
          <w:pPr>
            <w:pStyle w:val="Bibliography"/>
            <w:ind w:left="720" w:hanging="720"/>
            <w:rPr>
              <w:noProof/>
              <w:sz w:val="20"/>
              <w:szCs w:val="20"/>
            </w:rPr>
          </w:pPr>
          <w:r w:rsidRPr="00CB77C4">
            <w:rPr>
              <w:noProof/>
              <w:sz w:val="20"/>
              <w:szCs w:val="20"/>
            </w:rPr>
            <w:t xml:space="preserve">Fadhil, M., &amp; Almsafir, M. (2015). The Role of FDI Inflows in Economic Growth in Malaysia (Time Series: 1975-2010). </w:t>
          </w:r>
          <w:r w:rsidRPr="00CB77C4">
            <w:rPr>
              <w:i/>
              <w:iCs/>
              <w:noProof/>
              <w:sz w:val="20"/>
              <w:szCs w:val="20"/>
            </w:rPr>
            <w:t>Procedia Economics and Finance, 23 (1)</w:t>
          </w:r>
          <w:r w:rsidRPr="00CB77C4">
            <w:rPr>
              <w:noProof/>
              <w:sz w:val="20"/>
              <w:szCs w:val="20"/>
            </w:rPr>
            <w:t>, 1558-1566.</w:t>
          </w:r>
        </w:p>
        <w:p w:rsidR="00480948" w:rsidRPr="00CB77C4" w:rsidRDefault="00480948" w:rsidP="00480948">
          <w:pPr>
            <w:pStyle w:val="Bibliography"/>
            <w:ind w:left="720" w:hanging="720"/>
            <w:rPr>
              <w:noProof/>
              <w:sz w:val="20"/>
              <w:szCs w:val="20"/>
            </w:rPr>
          </w:pPr>
          <w:r w:rsidRPr="00CB77C4">
            <w:rPr>
              <w:noProof/>
              <w:sz w:val="20"/>
              <w:szCs w:val="20"/>
            </w:rPr>
            <w:t xml:space="preserve">Jordan, S., &amp; Philips, A. (2018). Cointegration Testing and Dynamic Simulations of Autoregressive Distributed Lag Models. </w:t>
          </w:r>
          <w:r w:rsidRPr="00CB77C4">
            <w:rPr>
              <w:i/>
              <w:iCs/>
              <w:noProof/>
              <w:sz w:val="20"/>
              <w:szCs w:val="20"/>
            </w:rPr>
            <w:t>Stata Journal. 18 (1)</w:t>
          </w:r>
          <w:r w:rsidRPr="00CB77C4">
            <w:rPr>
              <w:noProof/>
              <w:sz w:val="20"/>
              <w:szCs w:val="20"/>
            </w:rPr>
            <w:t>, 1-22. https://doi.org/10.1177/1536867X1801800409.</w:t>
          </w:r>
        </w:p>
        <w:p w:rsidR="00480948" w:rsidRPr="00CB77C4" w:rsidRDefault="00480948" w:rsidP="00480948">
          <w:pPr>
            <w:pStyle w:val="Bibliography"/>
            <w:ind w:left="720" w:hanging="720"/>
            <w:rPr>
              <w:noProof/>
              <w:sz w:val="20"/>
              <w:szCs w:val="20"/>
            </w:rPr>
          </w:pPr>
          <w:r w:rsidRPr="00CB77C4">
            <w:rPr>
              <w:noProof/>
              <w:sz w:val="20"/>
              <w:szCs w:val="20"/>
            </w:rPr>
            <w:t xml:space="preserve">Khan, A., Chenggang, Y., Hussain, J., Bano, S., &amp; Nawaz, A. (2020). Natural resources, tourism development, and energy-growth-CO2 emission nexus: a simultaneity modeling analysis of BRI countries. </w:t>
          </w:r>
          <w:r w:rsidRPr="00CB77C4">
            <w:rPr>
              <w:i/>
              <w:iCs/>
              <w:noProof/>
              <w:sz w:val="20"/>
              <w:szCs w:val="20"/>
            </w:rPr>
            <w:t>Resources Policy, 68 (10)</w:t>
          </w:r>
          <w:r w:rsidRPr="00CB77C4">
            <w:rPr>
              <w:noProof/>
              <w:sz w:val="20"/>
              <w:szCs w:val="20"/>
            </w:rPr>
            <w:t>, 1-17. https://doi.org/10.1016/j.resourpol.2020.101751.</w:t>
          </w:r>
        </w:p>
        <w:p w:rsidR="00480948" w:rsidRPr="00CB77C4" w:rsidRDefault="00480948" w:rsidP="00480948">
          <w:pPr>
            <w:pStyle w:val="Bibliography"/>
            <w:ind w:left="720" w:hanging="720"/>
            <w:rPr>
              <w:noProof/>
              <w:sz w:val="20"/>
              <w:szCs w:val="20"/>
            </w:rPr>
          </w:pPr>
          <w:r w:rsidRPr="00CB77C4">
            <w:rPr>
              <w:noProof/>
              <w:sz w:val="20"/>
              <w:szCs w:val="20"/>
            </w:rPr>
            <w:t xml:space="preserve">Kuncoro, M. (2004). </w:t>
          </w:r>
          <w:r w:rsidRPr="00CB77C4">
            <w:rPr>
              <w:i/>
              <w:iCs/>
              <w:noProof/>
              <w:sz w:val="20"/>
              <w:szCs w:val="20"/>
            </w:rPr>
            <w:t>Otonomi dan Pembangunan Daerah Reformasi, Perencanaan, Strategi dan Peluang.</w:t>
          </w:r>
          <w:r w:rsidRPr="00CB77C4">
            <w:rPr>
              <w:noProof/>
              <w:sz w:val="20"/>
              <w:szCs w:val="20"/>
            </w:rPr>
            <w:t xml:space="preserve"> Jakarta: Erlangga.</w:t>
          </w:r>
        </w:p>
        <w:p w:rsidR="00480948" w:rsidRPr="00CB77C4" w:rsidRDefault="00480948" w:rsidP="00480948">
          <w:pPr>
            <w:pStyle w:val="Bibliography"/>
            <w:ind w:left="720" w:hanging="720"/>
            <w:rPr>
              <w:noProof/>
              <w:sz w:val="20"/>
              <w:szCs w:val="20"/>
            </w:rPr>
          </w:pPr>
          <w:r w:rsidRPr="00CB77C4">
            <w:rPr>
              <w:noProof/>
              <w:sz w:val="20"/>
              <w:szCs w:val="20"/>
            </w:rPr>
            <w:lastRenderedPageBreak/>
            <w:t xml:space="preserve">Magazzino, C., &amp; Mele, M. (2022). Can a change in FDI accelerate GDP growth? Time-series and ANNs evidence on Malta. </w:t>
          </w:r>
          <w:r w:rsidRPr="00CB77C4">
            <w:rPr>
              <w:i/>
              <w:iCs/>
              <w:noProof/>
              <w:sz w:val="20"/>
              <w:szCs w:val="20"/>
            </w:rPr>
            <w:t>The Journal of Economic Asymmetries, 25 (1)</w:t>
          </w:r>
          <w:r w:rsidRPr="00CB77C4">
            <w:rPr>
              <w:noProof/>
              <w:sz w:val="20"/>
              <w:szCs w:val="20"/>
            </w:rPr>
            <w:t>, 44-65.</w:t>
          </w:r>
        </w:p>
        <w:p w:rsidR="00480948" w:rsidRPr="00CB77C4" w:rsidRDefault="00480948" w:rsidP="00480948">
          <w:pPr>
            <w:pStyle w:val="Bibliography"/>
            <w:ind w:left="720" w:hanging="720"/>
            <w:rPr>
              <w:noProof/>
              <w:sz w:val="20"/>
              <w:szCs w:val="20"/>
            </w:rPr>
          </w:pPr>
          <w:r w:rsidRPr="00CB77C4">
            <w:rPr>
              <w:noProof/>
              <w:sz w:val="20"/>
              <w:szCs w:val="20"/>
            </w:rPr>
            <w:t xml:space="preserve">Pesaran, M. H., Shin, Y., &amp; Smith, R. (2001). Bounds testing approaches to the analysis of level relationships. </w:t>
          </w:r>
          <w:r w:rsidRPr="00CB77C4">
            <w:rPr>
              <w:i/>
              <w:iCs/>
              <w:noProof/>
              <w:sz w:val="20"/>
              <w:szCs w:val="20"/>
            </w:rPr>
            <w:t>Journal of Applied Econometrics, 16 (1)</w:t>
          </w:r>
          <w:r w:rsidRPr="00CB77C4">
            <w:rPr>
              <w:noProof/>
              <w:sz w:val="20"/>
              <w:szCs w:val="20"/>
            </w:rPr>
            <w:t>, 289-326.</w:t>
          </w:r>
        </w:p>
        <w:p w:rsidR="00480948" w:rsidRPr="00CB77C4" w:rsidRDefault="00480948" w:rsidP="00480948">
          <w:pPr>
            <w:pStyle w:val="Bibliography"/>
            <w:ind w:left="720" w:hanging="720"/>
            <w:rPr>
              <w:noProof/>
              <w:sz w:val="20"/>
              <w:szCs w:val="20"/>
            </w:rPr>
          </w:pPr>
          <w:r w:rsidRPr="00CB77C4">
            <w:rPr>
              <w:noProof/>
              <w:sz w:val="20"/>
              <w:szCs w:val="20"/>
            </w:rPr>
            <w:t xml:space="preserve">Sadeghi, P., Shahrestani, H., Kiani, K., &amp; Torabi, T. (2020). Economic complexity, human capital, and FDI attraction: A cross country analysis. </w:t>
          </w:r>
          <w:r w:rsidRPr="00CB77C4">
            <w:rPr>
              <w:i/>
              <w:iCs/>
              <w:noProof/>
              <w:sz w:val="20"/>
              <w:szCs w:val="20"/>
            </w:rPr>
            <w:t>International Economics, 164 (1)</w:t>
          </w:r>
          <w:r w:rsidRPr="00CB77C4">
            <w:rPr>
              <w:noProof/>
              <w:sz w:val="20"/>
              <w:szCs w:val="20"/>
            </w:rPr>
            <w:t>, 168-182. https://doi.org/10.1016/j.inteco.2020.08.005.</w:t>
          </w:r>
        </w:p>
        <w:p w:rsidR="00480948" w:rsidRPr="00CB77C4" w:rsidRDefault="00480948" w:rsidP="00480948">
          <w:pPr>
            <w:pStyle w:val="Bibliography"/>
            <w:ind w:left="720" w:hanging="720"/>
            <w:rPr>
              <w:noProof/>
              <w:sz w:val="20"/>
              <w:szCs w:val="20"/>
            </w:rPr>
          </w:pPr>
          <w:r w:rsidRPr="00CB77C4">
            <w:rPr>
              <w:noProof/>
              <w:sz w:val="20"/>
              <w:szCs w:val="20"/>
            </w:rPr>
            <w:t xml:space="preserve">Sadik, A., &amp; Bolbol, A. (2001). Capital flows, FDI, and technology spillovers: evidence from Arab countries. </w:t>
          </w:r>
          <w:r w:rsidRPr="00CB77C4">
            <w:rPr>
              <w:i/>
              <w:iCs/>
              <w:noProof/>
              <w:sz w:val="20"/>
              <w:szCs w:val="20"/>
            </w:rPr>
            <w:t>World Development , 12 (1)</w:t>
          </w:r>
          <w:r w:rsidRPr="00CB77C4">
            <w:rPr>
              <w:noProof/>
              <w:sz w:val="20"/>
              <w:szCs w:val="20"/>
            </w:rPr>
            <w:t>, 2111-2125.</w:t>
          </w:r>
        </w:p>
        <w:p w:rsidR="00480948" w:rsidRDefault="00480948" w:rsidP="00CB77C4">
          <w:pPr>
            <w:pStyle w:val="Bibliography"/>
            <w:ind w:left="720" w:hanging="720"/>
            <w:rPr>
              <w:noProof/>
            </w:rPr>
          </w:pPr>
          <w:r w:rsidRPr="00CB77C4">
            <w:rPr>
              <w:noProof/>
              <w:sz w:val="20"/>
              <w:szCs w:val="20"/>
            </w:rPr>
            <w:t xml:space="preserve">Vehapi, M. F., Sadiku, L., &amp; Petkovski, M. (2014). Empirical Analysis of the Effects of Trade Openness on Economic Growth: An Evidence for South East European Countries. </w:t>
          </w:r>
          <w:r w:rsidRPr="00CB77C4">
            <w:rPr>
              <w:i/>
              <w:iCs/>
              <w:noProof/>
              <w:sz w:val="20"/>
              <w:szCs w:val="20"/>
            </w:rPr>
            <w:t>Procedia Economics and Finance , 19 (1)</w:t>
          </w:r>
          <w:r w:rsidRPr="00CB77C4">
            <w:rPr>
              <w:noProof/>
              <w:sz w:val="20"/>
              <w:szCs w:val="20"/>
            </w:rPr>
            <w:t>, 16-26.</w:t>
          </w:r>
        </w:p>
      </w:sdtContent>
    </w:sdt>
    <w:p w:rsidR="00480948" w:rsidRPr="00C76FD5" w:rsidRDefault="00480948" w:rsidP="00C76FD5">
      <w:pPr>
        <w:pStyle w:val="NoSpacing"/>
        <w:jc w:val="both"/>
        <w:rPr>
          <w:rFonts w:ascii="Times New Roman" w:hAnsi="Times New Roman" w:cs="Times New Roman"/>
          <w:sz w:val="24"/>
          <w:szCs w:val="24"/>
          <w:lang w:val="en-US"/>
        </w:rPr>
      </w:pPr>
    </w:p>
    <w:sectPr w:rsidR="00480948" w:rsidRPr="00C76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A5"/>
    <w:rsid w:val="00016107"/>
    <w:rsid w:val="001874C1"/>
    <w:rsid w:val="001A4633"/>
    <w:rsid w:val="001C2DE0"/>
    <w:rsid w:val="00202FD7"/>
    <w:rsid w:val="00216AE3"/>
    <w:rsid w:val="0022220F"/>
    <w:rsid w:val="0024318F"/>
    <w:rsid w:val="002A6EFB"/>
    <w:rsid w:val="00314E8C"/>
    <w:rsid w:val="003D59E2"/>
    <w:rsid w:val="003E272E"/>
    <w:rsid w:val="00480948"/>
    <w:rsid w:val="004C1DDC"/>
    <w:rsid w:val="004D53A1"/>
    <w:rsid w:val="004D69B3"/>
    <w:rsid w:val="004E68A5"/>
    <w:rsid w:val="00504B11"/>
    <w:rsid w:val="00546140"/>
    <w:rsid w:val="00553B47"/>
    <w:rsid w:val="00617242"/>
    <w:rsid w:val="00624D76"/>
    <w:rsid w:val="00654FBC"/>
    <w:rsid w:val="00655E4E"/>
    <w:rsid w:val="006F160F"/>
    <w:rsid w:val="007323AE"/>
    <w:rsid w:val="00745F05"/>
    <w:rsid w:val="00754CE3"/>
    <w:rsid w:val="007A05E1"/>
    <w:rsid w:val="007A5483"/>
    <w:rsid w:val="0092576B"/>
    <w:rsid w:val="009441DB"/>
    <w:rsid w:val="00A668F0"/>
    <w:rsid w:val="00B11E67"/>
    <w:rsid w:val="00B12EE2"/>
    <w:rsid w:val="00B469A0"/>
    <w:rsid w:val="00B77063"/>
    <w:rsid w:val="00B8222F"/>
    <w:rsid w:val="00B94FEE"/>
    <w:rsid w:val="00BF310A"/>
    <w:rsid w:val="00C36682"/>
    <w:rsid w:val="00C603FA"/>
    <w:rsid w:val="00C76FD5"/>
    <w:rsid w:val="00CB77C4"/>
    <w:rsid w:val="00D371A4"/>
    <w:rsid w:val="00D657EC"/>
    <w:rsid w:val="00DA7364"/>
    <w:rsid w:val="00DC1AB1"/>
    <w:rsid w:val="00E040C1"/>
    <w:rsid w:val="00E042ED"/>
    <w:rsid w:val="00E76C90"/>
    <w:rsid w:val="00EF770F"/>
    <w:rsid w:val="00F259DE"/>
    <w:rsid w:val="00F41449"/>
    <w:rsid w:val="00FD40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C4"/>
    <w:pPr>
      <w:spacing w:line="240" w:lineRule="auto"/>
      <w:jc w:val="both"/>
    </w:pPr>
    <w:rPr>
      <w:sz w:val="22"/>
    </w:rPr>
  </w:style>
  <w:style w:type="paragraph" w:styleId="Heading1">
    <w:name w:val="heading 1"/>
    <w:basedOn w:val="Normal"/>
    <w:next w:val="Normal"/>
    <w:link w:val="Heading1Char"/>
    <w:uiPriority w:val="9"/>
    <w:qFormat/>
    <w:rsid w:val="004C1DDC"/>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B77C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603FA"/>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7C4"/>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4C1DDC"/>
    <w:rPr>
      <w:rFonts w:eastAsiaTheme="majorEastAsia" w:cstheme="majorBidi"/>
      <w:b/>
      <w:szCs w:val="32"/>
    </w:rPr>
  </w:style>
  <w:style w:type="paragraph" w:styleId="NoSpacing">
    <w:name w:val="No Spacing"/>
    <w:uiPriority w:val="1"/>
    <w:qFormat/>
    <w:rsid w:val="00E040C1"/>
    <w:pPr>
      <w:spacing w:after="0" w:line="240" w:lineRule="auto"/>
    </w:pPr>
    <w:rPr>
      <w:rFonts w:ascii="Arial" w:eastAsia="Arial" w:hAnsi="Arial" w:cs="Arial"/>
      <w:sz w:val="22"/>
      <w:lang w:val="id-ID" w:eastAsia="id-ID"/>
    </w:rPr>
  </w:style>
  <w:style w:type="paragraph" w:styleId="Bibliography">
    <w:name w:val="Bibliography"/>
    <w:basedOn w:val="Normal"/>
    <w:next w:val="Normal"/>
    <w:uiPriority w:val="37"/>
    <w:unhideWhenUsed/>
    <w:rsid w:val="00480948"/>
  </w:style>
  <w:style w:type="paragraph" w:styleId="BalloonText">
    <w:name w:val="Balloon Text"/>
    <w:basedOn w:val="Normal"/>
    <w:link w:val="BalloonTextChar"/>
    <w:uiPriority w:val="99"/>
    <w:semiHidden/>
    <w:unhideWhenUsed/>
    <w:rsid w:val="00CB77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7C4"/>
    <w:rPr>
      <w:rFonts w:ascii="Tahoma" w:hAnsi="Tahoma" w:cs="Tahoma"/>
      <w:sz w:val="16"/>
      <w:szCs w:val="16"/>
    </w:rPr>
  </w:style>
  <w:style w:type="character" w:styleId="Hyperlink">
    <w:name w:val="Hyperlink"/>
    <w:basedOn w:val="DefaultParagraphFont"/>
    <w:uiPriority w:val="99"/>
    <w:unhideWhenUsed/>
    <w:rsid w:val="00E042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C4"/>
    <w:pPr>
      <w:spacing w:line="240" w:lineRule="auto"/>
      <w:jc w:val="both"/>
    </w:pPr>
    <w:rPr>
      <w:sz w:val="22"/>
    </w:rPr>
  </w:style>
  <w:style w:type="paragraph" w:styleId="Heading1">
    <w:name w:val="heading 1"/>
    <w:basedOn w:val="Normal"/>
    <w:next w:val="Normal"/>
    <w:link w:val="Heading1Char"/>
    <w:uiPriority w:val="9"/>
    <w:qFormat/>
    <w:rsid w:val="004C1DDC"/>
    <w:pPr>
      <w:keepNext/>
      <w:keepLines/>
      <w:spacing w:before="240" w:after="0"/>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CB77C4"/>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603FA"/>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7C4"/>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4C1DDC"/>
    <w:rPr>
      <w:rFonts w:eastAsiaTheme="majorEastAsia" w:cstheme="majorBidi"/>
      <w:b/>
      <w:szCs w:val="32"/>
    </w:rPr>
  </w:style>
  <w:style w:type="paragraph" w:styleId="NoSpacing">
    <w:name w:val="No Spacing"/>
    <w:uiPriority w:val="1"/>
    <w:qFormat/>
    <w:rsid w:val="00E040C1"/>
    <w:pPr>
      <w:spacing w:after="0" w:line="240" w:lineRule="auto"/>
    </w:pPr>
    <w:rPr>
      <w:rFonts w:ascii="Arial" w:eastAsia="Arial" w:hAnsi="Arial" w:cs="Arial"/>
      <w:sz w:val="22"/>
      <w:lang w:val="id-ID" w:eastAsia="id-ID"/>
    </w:rPr>
  </w:style>
  <w:style w:type="paragraph" w:styleId="Bibliography">
    <w:name w:val="Bibliography"/>
    <w:basedOn w:val="Normal"/>
    <w:next w:val="Normal"/>
    <w:uiPriority w:val="37"/>
    <w:unhideWhenUsed/>
    <w:rsid w:val="00480948"/>
  </w:style>
  <w:style w:type="paragraph" w:styleId="BalloonText">
    <w:name w:val="Balloon Text"/>
    <w:basedOn w:val="Normal"/>
    <w:link w:val="BalloonTextChar"/>
    <w:uiPriority w:val="99"/>
    <w:semiHidden/>
    <w:unhideWhenUsed/>
    <w:rsid w:val="00CB77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7C4"/>
    <w:rPr>
      <w:rFonts w:ascii="Tahoma" w:hAnsi="Tahoma" w:cs="Tahoma"/>
      <w:sz w:val="16"/>
      <w:szCs w:val="16"/>
    </w:rPr>
  </w:style>
  <w:style w:type="character" w:styleId="Hyperlink">
    <w:name w:val="Hyperlink"/>
    <w:basedOn w:val="DefaultParagraphFont"/>
    <w:uiPriority w:val="99"/>
    <w:unhideWhenUsed/>
    <w:rsid w:val="00E04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9350">
      <w:bodyDiv w:val="1"/>
      <w:marLeft w:val="0"/>
      <w:marRight w:val="0"/>
      <w:marTop w:val="0"/>
      <w:marBottom w:val="0"/>
      <w:divBdr>
        <w:top w:val="none" w:sz="0" w:space="0" w:color="auto"/>
        <w:left w:val="none" w:sz="0" w:space="0" w:color="auto"/>
        <w:bottom w:val="none" w:sz="0" w:space="0" w:color="auto"/>
        <w:right w:val="none" w:sz="0" w:space="0" w:color="auto"/>
      </w:divBdr>
    </w:div>
    <w:div w:id="95491384">
      <w:bodyDiv w:val="1"/>
      <w:marLeft w:val="0"/>
      <w:marRight w:val="0"/>
      <w:marTop w:val="0"/>
      <w:marBottom w:val="0"/>
      <w:divBdr>
        <w:top w:val="none" w:sz="0" w:space="0" w:color="auto"/>
        <w:left w:val="none" w:sz="0" w:space="0" w:color="auto"/>
        <w:bottom w:val="none" w:sz="0" w:space="0" w:color="auto"/>
        <w:right w:val="none" w:sz="0" w:space="0" w:color="auto"/>
      </w:divBdr>
    </w:div>
    <w:div w:id="228420608">
      <w:bodyDiv w:val="1"/>
      <w:marLeft w:val="0"/>
      <w:marRight w:val="0"/>
      <w:marTop w:val="0"/>
      <w:marBottom w:val="0"/>
      <w:divBdr>
        <w:top w:val="none" w:sz="0" w:space="0" w:color="auto"/>
        <w:left w:val="none" w:sz="0" w:space="0" w:color="auto"/>
        <w:bottom w:val="none" w:sz="0" w:space="0" w:color="auto"/>
        <w:right w:val="none" w:sz="0" w:space="0" w:color="auto"/>
      </w:divBdr>
    </w:div>
    <w:div w:id="239565830">
      <w:bodyDiv w:val="1"/>
      <w:marLeft w:val="0"/>
      <w:marRight w:val="0"/>
      <w:marTop w:val="0"/>
      <w:marBottom w:val="0"/>
      <w:divBdr>
        <w:top w:val="none" w:sz="0" w:space="0" w:color="auto"/>
        <w:left w:val="none" w:sz="0" w:space="0" w:color="auto"/>
        <w:bottom w:val="none" w:sz="0" w:space="0" w:color="auto"/>
        <w:right w:val="none" w:sz="0" w:space="0" w:color="auto"/>
      </w:divBdr>
    </w:div>
    <w:div w:id="322052779">
      <w:bodyDiv w:val="1"/>
      <w:marLeft w:val="0"/>
      <w:marRight w:val="0"/>
      <w:marTop w:val="0"/>
      <w:marBottom w:val="0"/>
      <w:divBdr>
        <w:top w:val="none" w:sz="0" w:space="0" w:color="auto"/>
        <w:left w:val="none" w:sz="0" w:space="0" w:color="auto"/>
        <w:bottom w:val="none" w:sz="0" w:space="0" w:color="auto"/>
        <w:right w:val="none" w:sz="0" w:space="0" w:color="auto"/>
      </w:divBdr>
    </w:div>
    <w:div w:id="336927883">
      <w:bodyDiv w:val="1"/>
      <w:marLeft w:val="0"/>
      <w:marRight w:val="0"/>
      <w:marTop w:val="0"/>
      <w:marBottom w:val="0"/>
      <w:divBdr>
        <w:top w:val="none" w:sz="0" w:space="0" w:color="auto"/>
        <w:left w:val="none" w:sz="0" w:space="0" w:color="auto"/>
        <w:bottom w:val="none" w:sz="0" w:space="0" w:color="auto"/>
        <w:right w:val="none" w:sz="0" w:space="0" w:color="auto"/>
      </w:divBdr>
    </w:div>
    <w:div w:id="381055446">
      <w:bodyDiv w:val="1"/>
      <w:marLeft w:val="0"/>
      <w:marRight w:val="0"/>
      <w:marTop w:val="0"/>
      <w:marBottom w:val="0"/>
      <w:divBdr>
        <w:top w:val="none" w:sz="0" w:space="0" w:color="auto"/>
        <w:left w:val="none" w:sz="0" w:space="0" w:color="auto"/>
        <w:bottom w:val="none" w:sz="0" w:space="0" w:color="auto"/>
        <w:right w:val="none" w:sz="0" w:space="0" w:color="auto"/>
      </w:divBdr>
    </w:div>
    <w:div w:id="507258612">
      <w:bodyDiv w:val="1"/>
      <w:marLeft w:val="0"/>
      <w:marRight w:val="0"/>
      <w:marTop w:val="0"/>
      <w:marBottom w:val="0"/>
      <w:divBdr>
        <w:top w:val="none" w:sz="0" w:space="0" w:color="auto"/>
        <w:left w:val="none" w:sz="0" w:space="0" w:color="auto"/>
        <w:bottom w:val="none" w:sz="0" w:space="0" w:color="auto"/>
        <w:right w:val="none" w:sz="0" w:space="0" w:color="auto"/>
      </w:divBdr>
      <w:divsChild>
        <w:div w:id="894045086">
          <w:marLeft w:val="0"/>
          <w:marRight w:val="0"/>
          <w:marTop w:val="0"/>
          <w:marBottom w:val="0"/>
          <w:divBdr>
            <w:top w:val="none" w:sz="0" w:space="0" w:color="auto"/>
            <w:left w:val="none" w:sz="0" w:space="0" w:color="auto"/>
            <w:bottom w:val="none" w:sz="0" w:space="0" w:color="auto"/>
            <w:right w:val="none" w:sz="0" w:space="0" w:color="auto"/>
          </w:divBdr>
        </w:div>
        <w:div w:id="817576461">
          <w:marLeft w:val="0"/>
          <w:marRight w:val="0"/>
          <w:marTop w:val="0"/>
          <w:marBottom w:val="0"/>
          <w:divBdr>
            <w:top w:val="none" w:sz="0" w:space="0" w:color="auto"/>
            <w:left w:val="none" w:sz="0" w:space="0" w:color="auto"/>
            <w:bottom w:val="none" w:sz="0" w:space="0" w:color="auto"/>
            <w:right w:val="none" w:sz="0" w:space="0" w:color="auto"/>
          </w:divBdr>
        </w:div>
        <w:div w:id="390883147">
          <w:marLeft w:val="0"/>
          <w:marRight w:val="0"/>
          <w:marTop w:val="0"/>
          <w:marBottom w:val="0"/>
          <w:divBdr>
            <w:top w:val="none" w:sz="0" w:space="0" w:color="auto"/>
            <w:left w:val="none" w:sz="0" w:space="0" w:color="auto"/>
            <w:bottom w:val="none" w:sz="0" w:space="0" w:color="auto"/>
            <w:right w:val="none" w:sz="0" w:space="0" w:color="auto"/>
          </w:divBdr>
        </w:div>
        <w:div w:id="1633749253">
          <w:marLeft w:val="0"/>
          <w:marRight w:val="0"/>
          <w:marTop w:val="0"/>
          <w:marBottom w:val="0"/>
          <w:divBdr>
            <w:top w:val="none" w:sz="0" w:space="0" w:color="auto"/>
            <w:left w:val="none" w:sz="0" w:space="0" w:color="auto"/>
            <w:bottom w:val="none" w:sz="0" w:space="0" w:color="auto"/>
            <w:right w:val="none" w:sz="0" w:space="0" w:color="auto"/>
          </w:divBdr>
        </w:div>
        <w:div w:id="573512052">
          <w:marLeft w:val="0"/>
          <w:marRight w:val="0"/>
          <w:marTop w:val="0"/>
          <w:marBottom w:val="0"/>
          <w:divBdr>
            <w:top w:val="none" w:sz="0" w:space="0" w:color="auto"/>
            <w:left w:val="none" w:sz="0" w:space="0" w:color="auto"/>
            <w:bottom w:val="none" w:sz="0" w:space="0" w:color="auto"/>
            <w:right w:val="none" w:sz="0" w:space="0" w:color="auto"/>
          </w:divBdr>
        </w:div>
        <w:div w:id="197817453">
          <w:marLeft w:val="0"/>
          <w:marRight w:val="0"/>
          <w:marTop w:val="0"/>
          <w:marBottom w:val="0"/>
          <w:divBdr>
            <w:top w:val="none" w:sz="0" w:space="0" w:color="auto"/>
            <w:left w:val="none" w:sz="0" w:space="0" w:color="auto"/>
            <w:bottom w:val="none" w:sz="0" w:space="0" w:color="auto"/>
            <w:right w:val="none" w:sz="0" w:space="0" w:color="auto"/>
          </w:divBdr>
        </w:div>
        <w:div w:id="474952109">
          <w:marLeft w:val="0"/>
          <w:marRight w:val="0"/>
          <w:marTop w:val="0"/>
          <w:marBottom w:val="0"/>
          <w:divBdr>
            <w:top w:val="none" w:sz="0" w:space="0" w:color="auto"/>
            <w:left w:val="none" w:sz="0" w:space="0" w:color="auto"/>
            <w:bottom w:val="none" w:sz="0" w:space="0" w:color="auto"/>
            <w:right w:val="none" w:sz="0" w:space="0" w:color="auto"/>
          </w:divBdr>
        </w:div>
        <w:div w:id="1047605145">
          <w:marLeft w:val="0"/>
          <w:marRight w:val="0"/>
          <w:marTop w:val="0"/>
          <w:marBottom w:val="0"/>
          <w:divBdr>
            <w:top w:val="none" w:sz="0" w:space="0" w:color="auto"/>
            <w:left w:val="none" w:sz="0" w:space="0" w:color="auto"/>
            <w:bottom w:val="none" w:sz="0" w:space="0" w:color="auto"/>
            <w:right w:val="none" w:sz="0" w:space="0" w:color="auto"/>
          </w:divBdr>
        </w:div>
      </w:divsChild>
    </w:div>
    <w:div w:id="583144690">
      <w:bodyDiv w:val="1"/>
      <w:marLeft w:val="0"/>
      <w:marRight w:val="0"/>
      <w:marTop w:val="0"/>
      <w:marBottom w:val="0"/>
      <w:divBdr>
        <w:top w:val="none" w:sz="0" w:space="0" w:color="auto"/>
        <w:left w:val="none" w:sz="0" w:space="0" w:color="auto"/>
        <w:bottom w:val="none" w:sz="0" w:space="0" w:color="auto"/>
        <w:right w:val="none" w:sz="0" w:space="0" w:color="auto"/>
      </w:divBdr>
    </w:div>
    <w:div w:id="637222179">
      <w:bodyDiv w:val="1"/>
      <w:marLeft w:val="0"/>
      <w:marRight w:val="0"/>
      <w:marTop w:val="0"/>
      <w:marBottom w:val="0"/>
      <w:divBdr>
        <w:top w:val="none" w:sz="0" w:space="0" w:color="auto"/>
        <w:left w:val="none" w:sz="0" w:space="0" w:color="auto"/>
        <w:bottom w:val="none" w:sz="0" w:space="0" w:color="auto"/>
        <w:right w:val="none" w:sz="0" w:space="0" w:color="auto"/>
      </w:divBdr>
    </w:div>
    <w:div w:id="954797073">
      <w:bodyDiv w:val="1"/>
      <w:marLeft w:val="0"/>
      <w:marRight w:val="0"/>
      <w:marTop w:val="0"/>
      <w:marBottom w:val="0"/>
      <w:divBdr>
        <w:top w:val="none" w:sz="0" w:space="0" w:color="auto"/>
        <w:left w:val="none" w:sz="0" w:space="0" w:color="auto"/>
        <w:bottom w:val="none" w:sz="0" w:space="0" w:color="auto"/>
        <w:right w:val="none" w:sz="0" w:space="0" w:color="auto"/>
      </w:divBdr>
      <w:divsChild>
        <w:div w:id="618952897">
          <w:marLeft w:val="0"/>
          <w:marRight w:val="0"/>
          <w:marTop w:val="0"/>
          <w:marBottom w:val="0"/>
          <w:divBdr>
            <w:top w:val="none" w:sz="0" w:space="0" w:color="auto"/>
            <w:left w:val="none" w:sz="0" w:space="0" w:color="auto"/>
            <w:bottom w:val="none" w:sz="0" w:space="0" w:color="auto"/>
            <w:right w:val="none" w:sz="0" w:space="0" w:color="auto"/>
          </w:divBdr>
        </w:div>
        <w:div w:id="755172063">
          <w:marLeft w:val="0"/>
          <w:marRight w:val="0"/>
          <w:marTop w:val="0"/>
          <w:marBottom w:val="0"/>
          <w:divBdr>
            <w:top w:val="none" w:sz="0" w:space="0" w:color="auto"/>
            <w:left w:val="none" w:sz="0" w:space="0" w:color="auto"/>
            <w:bottom w:val="none" w:sz="0" w:space="0" w:color="auto"/>
            <w:right w:val="none" w:sz="0" w:space="0" w:color="auto"/>
          </w:divBdr>
        </w:div>
        <w:div w:id="648436043">
          <w:marLeft w:val="0"/>
          <w:marRight w:val="0"/>
          <w:marTop w:val="0"/>
          <w:marBottom w:val="0"/>
          <w:divBdr>
            <w:top w:val="none" w:sz="0" w:space="0" w:color="auto"/>
            <w:left w:val="none" w:sz="0" w:space="0" w:color="auto"/>
            <w:bottom w:val="none" w:sz="0" w:space="0" w:color="auto"/>
            <w:right w:val="none" w:sz="0" w:space="0" w:color="auto"/>
          </w:divBdr>
        </w:div>
        <w:div w:id="982781047">
          <w:marLeft w:val="0"/>
          <w:marRight w:val="0"/>
          <w:marTop w:val="0"/>
          <w:marBottom w:val="0"/>
          <w:divBdr>
            <w:top w:val="none" w:sz="0" w:space="0" w:color="auto"/>
            <w:left w:val="none" w:sz="0" w:space="0" w:color="auto"/>
            <w:bottom w:val="none" w:sz="0" w:space="0" w:color="auto"/>
            <w:right w:val="none" w:sz="0" w:space="0" w:color="auto"/>
          </w:divBdr>
        </w:div>
      </w:divsChild>
    </w:div>
    <w:div w:id="994335363">
      <w:bodyDiv w:val="1"/>
      <w:marLeft w:val="0"/>
      <w:marRight w:val="0"/>
      <w:marTop w:val="0"/>
      <w:marBottom w:val="0"/>
      <w:divBdr>
        <w:top w:val="none" w:sz="0" w:space="0" w:color="auto"/>
        <w:left w:val="none" w:sz="0" w:space="0" w:color="auto"/>
        <w:bottom w:val="none" w:sz="0" w:space="0" w:color="auto"/>
        <w:right w:val="none" w:sz="0" w:space="0" w:color="auto"/>
      </w:divBdr>
    </w:div>
    <w:div w:id="1120222150">
      <w:bodyDiv w:val="1"/>
      <w:marLeft w:val="0"/>
      <w:marRight w:val="0"/>
      <w:marTop w:val="0"/>
      <w:marBottom w:val="0"/>
      <w:divBdr>
        <w:top w:val="none" w:sz="0" w:space="0" w:color="auto"/>
        <w:left w:val="none" w:sz="0" w:space="0" w:color="auto"/>
        <w:bottom w:val="none" w:sz="0" w:space="0" w:color="auto"/>
        <w:right w:val="none" w:sz="0" w:space="0" w:color="auto"/>
      </w:divBdr>
    </w:div>
    <w:div w:id="1219978040">
      <w:bodyDiv w:val="1"/>
      <w:marLeft w:val="0"/>
      <w:marRight w:val="0"/>
      <w:marTop w:val="0"/>
      <w:marBottom w:val="0"/>
      <w:divBdr>
        <w:top w:val="none" w:sz="0" w:space="0" w:color="auto"/>
        <w:left w:val="none" w:sz="0" w:space="0" w:color="auto"/>
        <w:bottom w:val="none" w:sz="0" w:space="0" w:color="auto"/>
        <w:right w:val="none" w:sz="0" w:space="0" w:color="auto"/>
      </w:divBdr>
    </w:div>
    <w:div w:id="1538616437">
      <w:bodyDiv w:val="1"/>
      <w:marLeft w:val="0"/>
      <w:marRight w:val="0"/>
      <w:marTop w:val="0"/>
      <w:marBottom w:val="0"/>
      <w:divBdr>
        <w:top w:val="none" w:sz="0" w:space="0" w:color="auto"/>
        <w:left w:val="none" w:sz="0" w:space="0" w:color="auto"/>
        <w:bottom w:val="none" w:sz="0" w:space="0" w:color="auto"/>
        <w:right w:val="none" w:sz="0" w:space="0" w:color="auto"/>
      </w:divBdr>
      <w:divsChild>
        <w:div w:id="51731487">
          <w:marLeft w:val="0"/>
          <w:marRight w:val="0"/>
          <w:marTop w:val="15"/>
          <w:marBottom w:val="0"/>
          <w:divBdr>
            <w:top w:val="none" w:sz="0" w:space="0" w:color="auto"/>
            <w:left w:val="none" w:sz="0" w:space="0" w:color="auto"/>
            <w:bottom w:val="none" w:sz="0" w:space="0" w:color="auto"/>
            <w:right w:val="none" w:sz="0" w:space="0" w:color="auto"/>
          </w:divBdr>
          <w:divsChild>
            <w:div w:id="188105232">
              <w:marLeft w:val="0"/>
              <w:marRight w:val="0"/>
              <w:marTop w:val="0"/>
              <w:marBottom w:val="0"/>
              <w:divBdr>
                <w:top w:val="none" w:sz="0" w:space="0" w:color="auto"/>
                <w:left w:val="none" w:sz="0" w:space="0" w:color="auto"/>
                <w:bottom w:val="none" w:sz="0" w:space="0" w:color="auto"/>
                <w:right w:val="none" w:sz="0" w:space="0" w:color="auto"/>
              </w:divBdr>
              <w:divsChild>
                <w:div w:id="1804423539">
                  <w:marLeft w:val="0"/>
                  <w:marRight w:val="0"/>
                  <w:marTop w:val="0"/>
                  <w:marBottom w:val="0"/>
                  <w:divBdr>
                    <w:top w:val="none" w:sz="0" w:space="0" w:color="auto"/>
                    <w:left w:val="none" w:sz="0" w:space="0" w:color="auto"/>
                    <w:bottom w:val="none" w:sz="0" w:space="0" w:color="auto"/>
                    <w:right w:val="none" w:sz="0" w:space="0" w:color="auto"/>
                  </w:divBdr>
                </w:div>
                <w:div w:id="1404914704">
                  <w:marLeft w:val="0"/>
                  <w:marRight w:val="0"/>
                  <w:marTop w:val="0"/>
                  <w:marBottom w:val="0"/>
                  <w:divBdr>
                    <w:top w:val="none" w:sz="0" w:space="0" w:color="auto"/>
                    <w:left w:val="none" w:sz="0" w:space="0" w:color="auto"/>
                    <w:bottom w:val="none" w:sz="0" w:space="0" w:color="auto"/>
                    <w:right w:val="none" w:sz="0" w:space="0" w:color="auto"/>
                  </w:divBdr>
                </w:div>
                <w:div w:id="254872624">
                  <w:marLeft w:val="0"/>
                  <w:marRight w:val="0"/>
                  <w:marTop w:val="0"/>
                  <w:marBottom w:val="0"/>
                  <w:divBdr>
                    <w:top w:val="none" w:sz="0" w:space="0" w:color="auto"/>
                    <w:left w:val="none" w:sz="0" w:space="0" w:color="auto"/>
                    <w:bottom w:val="none" w:sz="0" w:space="0" w:color="auto"/>
                    <w:right w:val="none" w:sz="0" w:space="0" w:color="auto"/>
                  </w:divBdr>
                </w:div>
                <w:div w:id="114099406">
                  <w:marLeft w:val="0"/>
                  <w:marRight w:val="0"/>
                  <w:marTop w:val="0"/>
                  <w:marBottom w:val="0"/>
                  <w:divBdr>
                    <w:top w:val="none" w:sz="0" w:space="0" w:color="auto"/>
                    <w:left w:val="none" w:sz="0" w:space="0" w:color="auto"/>
                    <w:bottom w:val="none" w:sz="0" w:space="0" w:color="auto"/>
                    <w:right w:val="none" w:sz="0" w:space="0" w:color="auto"/>
                  </w:divBdr>
                </w:div>
                <w:div w:id="1488863226">
                  <w:marLeft w:val="0"/>
                  <w:marRight w:val="0"/>
                  <w:marTop w:val="0"/>
                  <w:marBottom w:val="0"/>
                  <w:divBdr>
                    <w:top w:val="none" w:sz="0" w:space="0" w:color="auto"/>
                    <w:left w:val="none" w:sz="0" w:space="0" w:color="auto"/>
                    <w:bottom w:val="none" w:sz="0" w:space="0" w:color="auto"/>
                    <w:right w:val="none" w:sz="0" w:space="0" w:color="auto"/>
                  </w:divBdr>
                </w:div>
                <w:div w:id="1858032999">
                  <w:marLeft w:val="0"/>
                  <w:marRight w:val="0"/>
                  <w:marTop w:val="0"/>
                  <w:marBottom w:val="0"/>
                  <w:divBdr>
                    <w:top w:val="none" w:sz="0" w:space="0" w:color="auto"/>
                    <w:left w:val="none" w:sz="0" w:space="0" w:color="auto"/>
                    <w:bottom w:val="none" w:sz="0" w:space="0" w:color="auto"/>
                    <w:right w:val="none" w:sz="0" w:space="0" w:color="auto"/>
                  </w:divBdr>
                </w:div>
                <w:div w:id="1681003136">
                  <w:marLeft w:val="0"/>
                  <w:marRight w:val="0"/>
                  <w:marTop w:val="0"/>
                  <w:marBottom w:val="0"/>
                  <w:divBdr>
                    <w:top w:val="none" w:sz="0" w:space="0" w:color="auto"/>
                    <w:left w:val="none" w:sz="0" w:space="0" w:color="auto"/>
                    <w:bottom w:val="none" w:sz="0" w:space="0" w:color="auto"/>
                    <w:right w:val="none" w:sz="0" w:space="0" w:color="auto"/>
                  </w:divBdr>
                </w:div>
                <w:div w:id="1233542536">
                  <w:marLeft w:val="0"/>
                  <w:marRight w:val="0"/>
                  <w:marTop w:val="0"/>
                  <w:marBottom w:val="0"/>
                  <w:divBdr>
                    <w:top w:val="none" w:sz="0" w:space="0" w:color="auto"/>
                    <w:left w:val="none" w:sz="0" w:space="0" w:color="auto"/>
                    <w:bottom w:val="none" w:sz="0" w:space="0" w:color="auto"/>
                    <w:right w:val="none" w:sz="0" w:space="0" w:color="auto"/>
                  </w:divBdr>
                </w:div>
                <w:div w:id="1266420168">
                  <w:marLeft w:val="0"/>
                  <w:marRight w:val="0"/>
                  <w:marTop w:val="0"/>
                  <w:marBottom w:val="0"/>
                  <w:divBdr>
                    <w:top w:val="none" w:sz="0" w:space="0" w:color="auto"/>
                    <w:left w:val="none" w:sz="0" w:space="0" w:color="auto"/>
                    <w:bottom w:val="none" w:sz="0" w:space="0" w:color="auto"/>
                    <w:right w:val="none" w:sz="0" w:space="0" w:color="auto"/>
                  </w:divBdr>
                </w:div>
                <w:div w:id="1296178580">
                  <w:marLeft w:val="0"/>
                  <w:marRight w:val="0"/>
                  <w:marTop w:val="0"/>
                  <w:marBottom w:val="0"/>
                  <w:divBdr>
                    <w:top w:val="none" w:sz="0" w:space="0" w:color="auto"/>
                    <w:left w:val="none" w:sz="0" w:space="0" w:color="auto"/>
                    <w:bottom w:val="none" w:sz="0" w:space="0" w:color="auto"/>
                    <w:right w:val="none" w:sz="0" w:space="0" w:color="auto"/>
                  </w:divBdr>
                </w:div>
                <w:div w:id="1414861038">
                  <w:marLeft w:val="0"/>
                  <w:marRight w:val="0"/>
                  <w:marTop w:val="0"/>
                  <w:marBottom w:val="0"/>
                  <w:divBdr>
                    <w:top w:val="none" w:sz="0" w:space="0" w:color="auto"/>
                    <w:left w:val="none" w:sz="0" w:space="0" w:color="auto"/>
                    <w:bottom w:val="none" w:sz="0" w:space="0" w:color="auto"/>
                    <w:right w:val="none" w:sz="0" w:space="0" w:color="auto"/>
                  </w:divBdr>
                </w:div>
                <w:div w:id="159735938">
                  <w:marLeft w:val="0"/>
                  <w:marRight w:val="0"/>
                  <w:marTop w:val="0"/>
                  <w:marBottom w:val="0"/>
                  <w:divBdr>
                    <w:top w:val="none" w:sz="0" w:space="0" w:color="auto"/>
                    <w:left w:val="none" w:sz="0" w:space="0" w:color="auto"/>
                    <w:bottom w:val="none" w:sz="0" w:space="0" w:color="auto"/>
                    <w:right w:val="none" w:sz="0" w:space="0" w:color="auto"/>
                  </w:divBdr>
                </w:div>
                <w:div w:id="63576150">
                  <w:marLeft w:val="0"/>
                  <w:marRight w:val="0"/>
                  <w:marTop w:val="0"/>
                  <w:marBottom w:val="0"/>
                  <w:divBdr>
                    <w:top w:val="none" w:sz="0" w:space="0" w:color="auto"/>
                    <w:left w:val="none" w:sz="0" w:space="0" w:color="auto"/>
                    <w:bottom w:val="none" w:sz="0" w:space="0" w:color="auto"/>
                    <w:right w:val="none" w:sz="0" w:space="0" w:color="auto"/>
                  </w:divBdr>
                </w:div>
                <w:div w:id="534271734">
                  <w:marLeft w:val="0"/>
                  <w:marRight w:val="0"/>
                  <w:marTop w:val="0"/>
                  <w:marBottom w:val="0"/>
                  <w:divBdr>
                    <w:top w:val="none" w:sz="0" w:space="0" w:color="auto"/>
                    <w:left w:val="none" w:sz="0" w:space="0" w:color="auto"/>
                    <w:bottom w:val="none" w:sz="0" w:space="0" w:color="auto"/>
                    <w:right w:val="none" w:sz="0" w:space="0" w:color="auto"/>
                  </w:divBdr>
                </w:div>
                <w:div w:id="892547505">
                  <w:marLeft w:val="0"/>
                  <w:marRight w:val="0"/>
                  <w:marTop w:val="0"/>
                  <w:marBottom w:val="0"/>
                  <w:divBdr>
                    <w:top w:val="none" w:sz="0" w:space="0" w:color="auto"/>
                    <w:left w:val="none" w:sz="0" w:space="0" w:color="auto"/>
                    <w:bottom w:val="none" w:sz="0" w:space="0" w:color="auto"/>
                    <w:right w:val="none" w:sz="0" w:space="0" w:color="auto"/>
                  </w:divBdr>
                </w:div>
                <w:div w:id="1795830072">
                  <w:marLeft w:val="0"/>
                  <w:marRight w:val="0"/>
                  <w:marTop w:val="0"/>
                  <w:marBottom w:val="0"/>
                  <w:divBdr>
                    <w:top w:val="none" w:sz="0" w:space="0" w:color="auto"/>
                    <w:left w:val="none" w:sz="0" w:space="0" w:color="auto"/>
                    <w:bottom w:val="none" w:sz="0" w:space="0" w:color="auto"/>
                    <w:right w:val="none" w:sz="0" w:space="0" w:color="auto"/>
                  </w:divBdr>
                </w:div>
                <w:div w:id="965240234">
                  <w:marLeft w:val="0"/>
                  <w:marRight w:val="0"/>
                  <w:marTop w:val="0"/>
                  <w:marBottom w:val="0"/>
                  <w:divBdr>
                    <w:top w:val="none" w:sz="0" w:space="0" w:color="auto"/>
                    <w:left w:val="none" w:sz="0" w:space="0" w:color="auto"/>
                    <w:bottom w:val="none" w:sz="0" w:space="0" w:color="auto"/>
                    <w:right w:val="none" w:sz="0" w:space="0" w:color="auto"/>
                  </w:divBdr>
                </w:div>
                <w:div w:id="1554341639">
                  <w:marLeft w:val="0"/>
                  <w:marRight w:val="0"/>
                  <w:marTop w:val="0"/>
                  <w:marBottom w:val="0"/>
                  <w:divBdr>
                    <w:top w:val="none" w:sz="0" w:space="0" w:color="auto"/>
                    <w:left w:val="none" w:sz="0" w:space="0" w:color="auto"/>
                    <w:bottom w:val="none" w:sz="0" w:space="0" w:color="auto"/>
                    <w:right w:val="none" w:sz="0" w:space="0" w:color="auto"/>
                  </w:divBdr>
                </w:div>
                <w:div w:id="935284988">
                  <w:marLeft w:val="0"/>
                  <w:marRight w:val="0"/>
                  <w:marTop w:val="0"/>
                  <w:marBottom w:val="0"/>
                  <w:divBdr>
                    <w:top w:val="none" w:sz="0" w:space="0" w:color="auto"/>
                    <w:left w:val="none" w:sz="0" w:space="0" w:color="auto"/>
                    <w:bottom w:val="none" w:sz="0" w:space="0" w:color="auto"/>
                    <w:right w:val="none" w:sz="0" w:space="0" w:color="auto"/>
                  </w:divBdr>
                </w:div>
                <w:div w:id="1821537753">
                  <w:marLeft w:val="0"/>
                  <w:marRight w:val="0"/>
                  <w:marTop w:val="0"/>
                  <w:marBottom w:val="0"/>
                  <w:divBdr>
                    <w:top w:val="none" w:sz="0" w:space="0" w:color="auto"/>
                    <w:left w:val="none" w:sz="0" w:space="0" w:color="auto"/>
                    <w:bottom w:val="none" w:sz="0" w:space="0" w:color="auto"/>
                    <w:right w:val="none" w:sz="0" w:space="0" w:color="auto"/>
                  </w:divBdr>
                </w:div>
                <w:div w:id="793527699">
                  <w:marLeft w:val="0"/>
                  <w:marRight w:val="0"/>
                  <w:marTop w:val="0"/>
                  <w:marBottom w:val="0"/>
                  <w:divBdr>
                    <w:top w:val="none" w:sz="0" w:space="0" w:color="auto"/>
                    <w:left w:val="none" w:sz="0" w:space="0" w:color="auto"/>
                    <w:bottom w:val="none" w:sz="0" w:space="0" w:color="auto"/>
                    <w:right w:val="none" w:sz="0" w:space="0" w:color="auto"/>
                  </w:divBdr>
                </w:div>
                <w:div w:id="769810675">
                  <w:marLeft w:val="0"/>
                  <w:marRight w:val="0"/>
                  <w:marTop w:val="0"/>
                  <w:marBottom w:val="0"/>
                  <w:divBdr>
                    <w:top w:val="none" w:sz="0" w:space="0" w:color="auto"/>
                    <w:left w:val="none" w:sz="0" w:space="0" w:color="auto"/>
                    <w:bottom w:val="none" w:sz="0" w:space="0" w:color="auto"/>
                    <w:right w:val="none" w:sz="0" w:space="0" w:color="auto"/>
                  </w:divBdr>
                </w:div>
                <w:div w:id="1597908137">
                  <w:marLeft w:val="0"/>
                  <w:marRight w:val="0"/>
                  <w:marTop w:val="0"/>
                  <w:marBottom w:val="0"/>
                  <w:divBdr>
                    <w:top w:val="none" w:sz="0" w:space="0" w:color="auto"/>
                    <w:left w:val="none" w:sz="0" w:space="0" w:color="auto"/>
                    <w:bottom w:val="none" w:sz="0" w:space="0" w:color="auto"/>
                    <w:right w:val="none" w:sz="0" w:space="0" w:color="auto"/>
                  </w:divBdr>
                </w:div>
                <w:div w:id="1792892516">
                  <w:marLeft w:val="0"/>
                  <w:marRight w:val="0"/>
                  <w:marTop w:val="0"/>
                  <w:marBottom w:val="0"/>
                  <w:divBdr>
                    <w:top w:val="none" w:sz="0" w:space="0" w:color="auto"/>
                    <w:left w:val="none" w:sz="0" w:space="0" w:color="auto"/>
                    <w:bottom w:val="none" w:sz="0" w:space="0" w:color="auto"/>
                    <w:right w:val="none" w:sz="0" w:space="0" w:color="auto"/>
                  </w:divBdr>
                </w:div>
                <w:div w:id="1026174373">
                  <w:marLeft w:val="0"/>
                  <w:marRight w:val="0"/>
                  <w:marTop w:val="0"/>
                  <w:marBottom w:val="0"/>
                  <w:divBdr>
                    <w:top w:val="none" w:sz="0" w:space="0" w:color="auto"/>
                    <w:left w:val="none" w:sz="0" w:space="0" w:color="auto"/>
                    <w:bottom w:val="none" w:sz="0" w:space="0" w:color="auto"/>
                    <w:right w:val="none" w:sz="0" w:space="0" w:color="auto"/>
                  </w:divBdr>
                </w:div>
                <w:div w:id="725108229">
                  <w:marLeft w:val="0"/>
                  <w:marRight w:val="0"/>
                  <w:marTop w:val="0"/>
                  <w:marBottom w:val="0"/>
                  <w:divBdr>
                    <w:top w:val="none" w:sz="0" w:space="0" w:color="auto"/>
                    <w:left w:val="none" w:sz="0" w:space="0" w:color="auto"/>
                    <w:bottom w:val="none" w:sz="0" w:space="0" w:color="auto"/>
                    <w:right w:val="none" w:sz="0" w:space="0" w:color="auto"/>
                  </w:divBdr>
                </w:div>
                <w:div w:id="1085297245">
                  <w:marLeft w:val="0"/>
                  <w:marRight w:val="0"/>
                  <w:marTop w:val="0"/>
                  <w:marBottom w:val="0"/>
                  <w:divBdr>
                    <w:top w:val="none" w:sz="0" w:space="0" w:color="auto"/>
                    <w:left w:val="none" w:sz="0" w:space="0" w:color="auto"/>
                    <w:bottom w:val="none" w:sz="0" w:space="0" w:color="auto"/>
                    <w:right w:val="none" w:sz="0" w:space="0" w:color="auto"/>
                  </w:divBdr>
                </w:div>
                <w:div w:id="1452476639">
                  <w:marLeft w:val="0"/>
                  <w:marRight w:val="0"/>
                  <w:marTop w:val="0"/>
                  <w:marBottom w:val="0"/>
                  <w:divBdr>
                    <w:top w:val="none" w:sz="0" w:space="0" w:color="auto"/>
                    <w:left w:val="none" w:sz="0" w:space="0" w:color="auto"/>
                    <w:bottom w:val="none" w:sz="0" w:space="0" w:color="auto"/>
                    <w:right w:val="none" w:sz="0" w:space="0" w:color="auto"/>
                  </w:divBdr>
                </w:div>
                <w:div w:id="1670517548">
                  <w:marLeft w:val="0"/>
                  <w:marRight w:val="0"/>
                  <w:marTop w:val="0"/>
                  <w:marBottom w:val="0"/>
                  <w:divBdr>
                    <w:top w:val="none" w:sz="0" w:space="0" w:color="auto"/>
                    <w:left w:val="none" w:sz="0" w:space="0" w:color="auto"/>
                    <w:bottom w:val="none" w:sz="0" w:space="0" w:color="auto"/>
                    <w:right w:val="none" w:sz="0" w:space="0" w:color="auto"/>
                  </w:divBdr>
                </w:div>
                <w:div w:id="400058162">
                  <w:marLeft w:val="0"/>
                  <w:marRight w:val="0"/>
                  <w:marTop w:val="0"/>
                  <w:marBottom w:val="0"/>
                  <w:divBdr>
                    <w:top w:val="none" w:sz="0" w:space="0" w:color="auto"/>
                    <w:left w:val="none" w:sz="0" w:space="0" w:color="auto"/>
                    <w:bottom w:val="none" w:sz="0" w:space="0" w:color="auto"/>
                    <w:right w:val="none" w:sz="0" w:space="0" w:color="auto"/>
                  </w:divBdr>
                </w:div>
                <w:div w:id="428506284">
                  <w:marLeft w:val="0"/>
                  <w:marRight w:val="0"/>
                  <w:marTop w:val="0"/>
                  <w:marBottom w:val="0"/>
                  <w:divBdr>
                    <w:top w:val="none" w:sz="0" w:space="0" w:color="auto"/>
                    <w:left w:val="none" w:sz="0" w:space="0" w:color="auto"/>
                    <w:bottom w:val="none" w:sz="0" w:space="0" w:color="auto"/>
                    <w:right w:val="none" w:sz="0" w:space="0" w:color="auto"/>
                  </w:divBdr>
                </w:div>
                <w:div w:id="2019578766">
                  <w:marLeft w:val="0"/>
                  <w:marRight w:val="0"/>
                  <w:marTop w:val="0"/>
                  <w:marBottom w:val="0"/>
                  <w:divBdr>
                    <w:top w:val="none" w:sz="0" w:space="0" w:color="auto"/>
                    <w:left w:val="none" w:sz="0" w:space="0" w:color="auto"/>
                    <w:bottom w:val="none" w:sz="0" w:space="0" w:color="auto"/>
                    <w:right w:val="none" w:sz="0" w:space="0" w:color="auto"/>
                  </w:divBdr>
                </w:div>
                <w:div w:id="292564198">
                  <w:marLeft w:val="0"/>
                  <w:marRight w:val="0"/>
                  <w:marTop w:val="0"/>
                  <w:marBottom w:val="0"/>
                  <w:divBdr>
                    <w:top w:val="none" w:sz="0" w:space="0" w:color="auto"/>
                    <w:left w:val="none" w:sz="0" w:space="0" w:color="auto"/>
                    <w:bottom w:val="none" w:sz="0" w:space="0" w:color="auto"/>
                    <w:right w:val="none" w:sz="0" w:space="0" w:color="auto"/>
                  </w:divBdr>
                </w:div>
                <w:div w:id="2092117402">
                  <w:marLeft w:val="0"/>
                  <w:marRight w:val="0"/>
                  <w:marTop w:val="0"/>
                  <w:marBottom w:val="0"/>
                  <w:divBdr>
                    <w:top w:val="none" w:sz="0" w:space="0" w:color="auto"/>
                    <w:left w:val="none" w:sz="0" w:space="0" w:color="auto"/>
                    <w:bottom w:val="none" w:sz="0" w:space="0" w:color="auto"/>
                    <w:right w:val="none" w:sz="0" w:space="0" w:color="auto"/>
                  </w:divBdr>
                </w:div>
                <w:div w:id="1388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8157">
      <w:bodyDiv w:val="1"/>
      <w:marLeft w:val="0"/>
      <w:marRight w:val="0"/>
      <w:marTop w:val="0"/>
      <w:marBottom w:val="0"/>
      <w:divBdr>
        <w:top w:val="none" w:sz="0" w:space="0" w:color="auto"/>
        <w:left w:val="none" w:sz="0" w:space="0" w:color="auto"/>
        <w:bottom w:val="none" w:sz="0" w:space="0" w:color="auto"/>
        <w:right w:val="none" w:sz="0" w:space="0" w:color="auto"/>
      </w:divBdr>
    </w:div>
    <w:div w:id="1930311660">
      <w:bodyDiv w:val="1"/>
      <w:marLeft w:val="0"/>
      <w:marRight w:val="0"/>
      <w:marTop w:val="0"/>
      <w:marBottom w:val="0"/>
      <w:divBdr>
        <w:top w:val="none" w:sz="0" w:space="0" w:color="auto"/>
        <w:left w:val="none" w:sz="0" w:space="0" w:color="auto"/>
        <w:bottom w:val="none" w:sz="0" w:space="0" w:color="auto"/>
        <w:right w:val="none" w:sz="0" w:space="0" w:color="auto"/>
      </w:divBdr>
    </w:div>
    <w:div w:id="20810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Sad20</b:Tag>
    <b:SourceType>JournalArticle</b:SourceType>
    <b:Guid>{BEF9A08D-E25F-4002-B98B-64A9EC08D87C}</b:Guid>
    <b:Title>Economic complexity, human capital, and FDI attraction: A cross country analysis</b:Title>
    <b:JournalName>International Economics, 164 (1)</b:JournalName>
    <b:Year>2020</b:Year>
    <b:Pages>168-182. https://doi.org/10.1016/j.inteco.2020.08.005.</b:Pages>
    <b:Author>
      <b:Author>
        <b:NameList>
          <b:Person>
            <b:Last>Sadeghi</b:Last>
            <b:First>Pegah </b:First>
          </b:Person>
          <b:Person>
            <b:Last>Shahrestani</b:Last>
            <b:First>Hamid </b:First>
          </b:Person>
          <b:Person>
            <b:Last>Kiani</b:Last>
            <b:First>Kambiz Hojabr</b:First>
          </b:Person>
          <b:Person>
            <b:Last>Torabi</b:Last>
            <b:First>Taghi</b:First>
          </b:Person>
        </b:NameList>
      </b:Author>
    </b:Author>
    <b:RefOrder>1</b:RefOrder>
  </b:Source>
  <b:Source>
    <b:Tag>Mag22</b:Tag>
    <b:SourceType>JournalArticle</b:SourceType>
    <b:Guid>{39D9B120-F8BE-42FE-8EC1-EA50E43C4A3B}</b:Guid>
    <b:Title>Can a change in FDI accelerate GDP growth? Time-series and ANNs evidence on Malta</b:Title>
    <b:JournalName>The Journal of Economic Asymmetries, 25 (1)</b:JournalName>
    <b:Year>2022</b:Year>
    <b:Pages>44-65</b:Pages>
    <b:Author>
      <b:Author>
        <b:NameList>
          <b:Person>
            <b:Last>Magazzino</b:Last>
            <b:First>Cosimo</b:First>
          </b:Person>
          <b:Person>
            <b:Last>Mele</b:Last>
            <b:First>Marco </b:First>
          </b:Person>
        </b:NameList>
      </b:Author>
    </b:Author>
    <b:RefOrder>2</b:RefOrder>
  </b:Source>
  <b:Source>
    <b:Tag>Fad15</b:Tag>
    <b:SourceType>JournalArticle</b:SourceType>
    <b:Guid>{32389D08-6D52-4566-AF42-021F8E7FCFB9}</b:Guid>
    <b:Title>The Role of FDI Inflows in Economic Growth in Malaysia (Time Series: 1975-2010)</b:Title>
    <b:JournalName>Procedia Economics and Finance, 23 (1)</b:JournalName>
    <b:Year>2015</b:Year>
    <b:Pages>1558-1566</b:Pages>
    <b:Author>
      <b:Author>
        <b:NameList>
          <b:Person>
            <b:Last>Fadhil</b:Last>
            <b:First>Mohammed Ameen </b:First>
          </b:Person>
          <b:Person>
            <b:Last>Almsafir</b:Last>
            <b:First>Mahmoud Khalid </b:First>
          </b:Person>
        </b:NameList>
      </b:Author>
    </b:Author>
    <b:RefOrder>3</b:RefOrder>
  </b:Source>
  <b:Source>
    <b:Tag>Kha20</b:Tag>
    <b:SourceType>JournalArticle</b:SourceType>
    <b:Guid>{844991E1-4C44-450A-B10A-BBBEB3C47892}</b:Guid>
    <b:Author>
      <b:Author>
        <b:NameList>
          <b:Person>
            <b:Last>Khan</b:Last>
            <b:First>A</b:First>
          </b:Person>
          <b:Person>
            <b:Last>Chenggang</b:Last>
            <b:First>Y</b:First>
          </b:Person>
          <b:Person>
            <b:Last>Hussain</b:Last>
            <b:First>J</b:First>
          </b:Person>
          <b:Person>
            <b:Last>Bano</b:Last>
            <b:First>S</b:First>
          </b:Person>
          <b:Person>
            <b:Last>Nawaz</b:Last>
            <b:First>A.</b:First>
          </b:Person>
        </b:NameList>
      </b:Author>
    </b:Author>
    <b:Title>Natural resources, tourism development, and energy-growth-CO2 emission nexus: a simultaneity modeling analysis of BRI countries</b:Title>
    <b:JournalName>Resources Policy, 68 (10)</b:JournalName>
    <b:Year>2020</b:Year>
    <b:Pages> 1-17. https://doi.org/10.1016/j.resourpol.2020.101751</b:Pages>
    <b:RefOrder>4</b:RefOrder>
  </b:Source>
  <b:Source>
    <b:Tag>Jor18</b:Tag>
    <b:SourceType>JournalArticle</b:SourceType>
    <b:Guid>{5D8A4271-C050-479B-B927-5189759405D0}</b:Guid>
    <b:Author>
      <b:Author>
        <b:NameList>
          <b:Person>
            <b:Last>Jordan</b:Last>
            <b:First>Soren</b:First>
          </b:Person>
          <b:Person>
            <b:Last>Philips</b:Last>
            <b:First>Andrew.</b:First>
          </b:Person>
        </b:NameList>
      </b:Author>
    </b:Author>
    <b:Title>Cointegration Testing and Dynamic Simulations of Autoregressive Distributed Lag Models</b:Title>
    <b:JournalName>Stata Journal. 18 (1)</b:JournalName>
    <b:Year>2018</b:Year>
    <b:Pages>1-22. https://doi.org/10.1177/1536867X1801800409</b:Pages>
    <b:RefOrder>5</b:RefOrder>
  </b:Source>
  <b:Source>
    <b:Tag>Pes01</b:Tag>
    <b:SourceType>JournalArticle</b:SourceType>
    <b:Guid>{49AE88A3-DA79-45C6-AF6A-0D17051F682D}</b:Guid>
    <b:Author>
      <b:Author>
        <b:NameList>
          <b:Person>
            <b:Last>Pesaran</b:Last>
            <b:First>M.</b:First>
            <b:Middle>H</b:Middle>
          </b:Person>
          <b:Person>
            <b:Last>Shin</b:Last>
            <b:First>Y</b:First>
          </b:Person>
          <b:Person>
            <b:Last>Smith</b:Last>
            <b:First>R.</b:First>
          </b:Person>
        </b:NameList>
      </b:Author>
    </b:Author>
    <b:Title>Bounds testing approaches to the analysis of level relationships</b:Title>
    <b:JournalName>Journal of Applied Econometrics, 16 (1)</b:JournalName>
    <b:Year>2001</b:Year>
    <b:Pages>289-326</b:Pages>
    <b:RefOrder>6</b:RefOrder>
  </b:Source>
  <b:Source>
    <b:Tag>Veh14</b:Tag>
    <b:SourceType>JournalArticle</b:SourceType>
    <b:Guid>{1C429B8E-E1E6-4EDE-B62F-87F71ABE705F}</b:Guid>
    <b:Author>
      <b:Author>
        <b:NameList>
          <b:Person>
            <b:Last>Vehapi</b:Last>
            <b:First>M.</b:First>
            <b:Middle>F</b:Middle>
          </b:Person>
          <b:Person>
            <b:Last>Sadiku</b:Last>
            <b:First>L</b:First>
          </b:Person>
          <b:Person>
            <b:Last>Petkovski</b:Last>
            <b:First>M.</b:First>
          </b:Person>
        </b:NameList>
      </b:Author>
    </b:Author>
    <b:Title>Empirical Analysis of the Effects of Trade Openness on Economic Growth: An Evidence for South East European Countries.</b:Title>
    <b:JournalName>Procedia Economics and Finance , 19 (1)</b:JournalName>
    <b:Year>2014</b:Year>
    <b:Pages>16-26</b:Pages>
    <b:RefOrder>7</b:RefOrder>
  </b:Source>
  <b:Source>
    <b:Tag>Ath03</b:Tag>
    <b:SourceType>JournalArticle</b:SourceType>
    <b:Guid>{B0C3B4BD-B57E-47A3-ABBC-400690BB9FC3}</b:Guid>
    <b:Author>
      <b:Author>
        <b:NameList>
          <b:Person>
            <b:Last>Athukorala</b:Last>
            <b:First>P.</b:First>
          </b:Person>
        </b:NameList>
      </b:Author>
    </b:Author>
    <b:Title>The impact of foreign direct investment for economic growth: a case study in Sri Lanka</b:Title>
    <b:JournalName>International Conference on Sri Lanka Studies Full Paper, 92 (1)</b:JournalName>
    <b:Year>2003</b:Year>
    <b:Pages>2-21</b:Pages>
    <b:RefOrder>8</b:RefOrder>
  </b:Source>
  <b:Source>
    <b:Tag>Sad01</b:Tag>
    <b:SourceType>JournalArticle</b:SourceType>
    <b:Guid>{04BA3B9C-2049-455A-92C7-07F888FBAADE}</b:Guid>
    <b:Author>
      <b:Author>
        <b:NameList>
          <b:Person>
            <b:Last>Sadik</b:Last>
            <b:First>A</b:First>
          </b:Person>
          <b:Person>
            <b:Last>Bolbol</b:Last>
            <b:First>A.</b:First>
          </b:Person>
        </b:NameList>
      </b:Author>
    </b:Author>
    <b:Title>Capital flows, FDI, and technology spillovers: evidence from Arab countries</b:Title>
    <b:JournalName>World Development , 12 (1)</b:JournalName>
    <b:Year>2001</b:Year>
    <b:Pages>2111-2125</b:Pages>
    <b:RefOrder>9</b:RefOrder>
  </b:Source>
  <b:Source>
    <b:Tag>Ast16</b:Tag>
    <b:SourceType>JournalArticle</b:SourceType>
    <b:Guid>{09151544-8A05-4F26-B88B-7911DF559D05}</b:Guid>
    <b:Author>
      <b:Author>
        <b:NameList>
          <b:Person>
            <b:Last>Astuti</b:Last>
            <b:First>Ismadiyanti</b:First>
            <b:Middle>Purwaning</b:Middle>
          </b:Person>
        </b:NameList>
      </b:Author>
    </b:Author>
    <b:Title>Pengaruh Ekspor dan Impor Terhadap Pertumbuhan Ekonomi di Indonesia</b:Title>
    <b:JournalName>Jurnal Ekonomi dan Studi Pembangunan, 19 (1)</b:JournalName>
    <b:Year>2016</b:Year>
    <b:Pages>1-10</b:Pages>
    <b:RefOrder>10</b:RefOrder>
  </b:Source>
  <b:Source>
    <b:Tag>Kun04</b:Tag>
    <b:SourceType>Book</b:SourceType>
    <b:Guid>{D90093A7-EEC5-4F12-A351-1025317DB07F}</b:Guid>
    <b:Title>Otonomi dan Pembangunan Daerah Reformasi, Perencanaan, Strategi dan Peluang</b:Title>
    <b:Year>2004</b:Year>
    <b:Author>
      <b:Author>
        <b:NameList>
          <b:Person>
            <b:Last>Kuncoro</b:Last>
            <b:First>M.</b:First>
          </b:Person>
        </b:NameList>
      </b:Author>
    </b:Author>
    <b:City>Jakarta</b:City>
    <b:Publisher>Erlangga</b:Publisher>
    <b:RefOrder>11</b:RefOrder>
  </b:Source>
</b:Sources>
</file>

<file path=customXml/itemProps1.xml><?xml version="1.0" encoding="utf-8"?>
<ds:datastoreItem xmlns:ds="http://schemas.openxmlformats.org/officeDocument/2006/customXml" ds:itemID="{77F2877A-A377-402D-BAB4-88868212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Birrul Alim</dc:creator>
  <cp:keywords/>
  <dc:description/>
  <cp:lastModifiedBy>pc</cp:lastModifiedBy>
  <cp:revision>13</cp:revision>
  <dcterms:created xsi:type="dcterms:W3CDTF">2022-04-14T21:40:00Z</dcterms:created>
  <dcterms:modified xsi:type="dcterms:W3CDTF">2022-04-19T13:00:00Z</dcterms:modified>
</cp:coreProperties>
</file>