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6B9" w:rsidRDefault="00136DC0" w:rsidP="00E41423">
      <w:pPr>
        <w:spacing w:after="0"/>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The Nexus</w:t>
      </w:r>
      <w:r w:rsidR="006716B9" w:rsidRPr="00C66990">
        <w:rPr>
          <w:rFonts w:ascii="Times New Roman" w:hAnsi="Times New Roman" w:cs="Times New Roman"/>
          <w:b/>
          <w:bCs/>
          <w:sz w:val="24"/>
          <w:szCs w:val="24"/>
          <w:lang w:val="en-GB"/>
        </w:rPr>
        <w:t xml:space="preserve"> </w:t>
      </w:r>
      <w:proofErr w:type="gramStart"/>
      <w:r w:rsidR="006716B9">
        <w:rPr>
          <w:rFonts w:ascii="Times New Roman" w:hAnsi="Times New Roman" w:cs="Times New Roman"/>
          <w:b/>
          <w:bCs/>
          <w:sz w:val="24"/>
          <w:szCs w:val="24"/>
          <w:lang w:val="en-GB"/>
        </w:rPr>
        <w:t>B</w:t>
      </w:r>
      <w:r w:rsidR="006716B9" w:rsidRPr="00C66990">
        <w:rPr>
          <w:rFonts w:ascii="Times New Roman" w:hAnsi="Times New Roman" w:cs="Times New Roman"/>
          <w:b/>
          <w:bCs/>
          <w:sz w:val="24"/>
          <w:szCs w:val="24"/>
          <w:lang w:val="en-GB"/>
        </w:rPr>
        <w:t>etween</w:t>
      </w:r>
      <w:proofErr w:type="gramEnd"/>
      <w:r w:rsidR="006716B9">
        <w:rPr>
          <w:rFonts w:ascii="Times New Roman" w:hAnsi="Times New Roman" w:cs="Times New Roman"/>
          <w:b/>
          <w:bCs/>
          <w:sz w:val="24"/>
          <w:szCs w:val="24"/>
          <w:lang w:val="en-GB"/>
        </w:rPr>
        <w:t xml:space="preserve"> Fertility, Literacy </w:t>
      </w:r>
      <w:r w:rsidR="006716B9" w:rsidRPr="00C66990">
        <w:rPr>
          <w:rFonts w:ascii="Times New Roman" w:hAnsi="Times New Roman" w:cs="Times New Roman"/>
          <w:b/>
          <w:bCs/>
          <w:sz w:val="24"/>
          <w:szCs w:val="24"/>
          <w:lang w:val="en-GB"/>
        </w:rPr>
        <w:t xml:space="preserve">and </w:t>
      </w:r>
      <w:r w:rsidR="008D1D1A">
        <w:rPr>
          <w:rFonts w:ascii="Times New Roman" w:hAnsi="Times New Roman" w:cs="Times New Roman"/>
          <w:b/>
          <w:bCs/>
          <w:sz w:val="24"/>
          <w:szCs w:val="24"/>
          <w:lang w:val="en-GB"/>
        </w:rPr>
        <w:t>Labour Participation</w:t>
      </w:r>
      <w:r w:rsidR="006A1EC6">
        <w:rPr>
          <w:rFonts w:ascii="Times New Roman" w:hAnsi="Times New Roman" w:cs="Times New Roman"/>
          <w:b/>
          <w:bCs/>
          <w:sz w:val="24"/>
          <w:szCs w:val="24"/>
          <w:lang w:val="en-GB"/>
        </w:rPr>
        <w:t xml:space="preserve"> Rates</w:t>
      </w:r>
      <w:bookmarkStart w:id="0" w:name="_GoBack"/>
      <w:bookmarkEnd w:id="0"/>
      <w:r w:rsidR="00EE0D00">
        <w:rPr>
          <w:rFonts w:ascii="Times New Roman" w:hAnsi="Times New Roman" w:cs="Times New Roman"/>
          <w:b/>
          <w:bCs/>
          <w:sz w:val="24"/>
          <w:szCs w:val="24"/>
          <w:lang w:val="en-GB"/>
        </w:rPr>
        <w:t xml:space="preserve">: </w:t>
      </w:r>
      <w:r w:rsidR="00282546">
        <w:rPr>
          <w:rFonts w:ascii="Times New Roman" w:hAnsi="Times New Roman" w:cs="Times New Roman"/>
          <w:b/>
          <w:bCs/>
          <w:sz w:val="24"/>
          <w:szCs w:val="24"/>
          <w:lang w:val="en-GB"/>
        </w:rPr>
        <w:t xml:space="preserve">A </w:t>
      </w:r>
      <w:r w:rsidR="006716B9" w:rsidRPr="00C66990">
        <w:rPr>
          <w:rFonts w:ascii="Times New Roman" w:hAnsi="Times New Roman" w:cs="Times New Roman"/>
          <w:b/>
          <w:bCs/>
          <w:sz w:val="24"/>
          <w:szCs w:val="24"/>
          <w:lang w:val="en-GB"/>
        </w:rPr>
        <w:t xml:space="preserve">Panel </w:t>
      </w:r>
      <w:r w:rsidR="00FB0772">
        <w:rPr>
          <w:rFonts w:ascii="Times New Roman" w:hAnsi="Times New Roman" w:cs="Times New Roman"/>
          <w:b/>
          <w:bCs/>
          <w:sz w:val="24"/>
          <w:szCs w:val="24"/>
          <w:lang w:val="en-GB"/>
        </w:rPr>
        <w:t xml:space="preserve">Granger </w:t>
      </w:r>
      <w:r w:rsidR="00471B22">
        <w:rPr>
          <w:rFonts w:ascii="Times New Roman" w:hAnsi="Times New Roman" w:cs="Times New Roman"/>
          <w:b/>
          <w:bCs/>
          <w:sz w:val="24"/>
          <w:szCs w:val="24"/>
          <w:lang w:val="en-GB"/>
        </w:rPr>
        <w:t>Non-</w:t>
      </w:r>
      <w:r w:rsidR="006716B9" w:rsidRPr="00C66990">
        <w:rPr>
          <w:rFonts w:ascii="Times New Roman" w:hAnsi="Times New Roman" w:cs="Times New Roman"/>
          <w:b/>
          <w:bCs/>
          <w:sz w:val="24"/>
          <w:szCs w:val="24"/>
          <w:lang w:val="en-GB"/>
        </w:rPr>
        <w:t xml:space="preserve">Causality Approach </w:t>
      </w:r>
      <w:r w:rsidR="00EE0D00">
        <w:rPr>
          <w:rFonts w:ascii="Times New Roman" w:hAnsi="Times New Roman" w:cs="Times New Roman"/>
          <w:b/>
          <w:bCs/>
          <w:sz w:val="24"/>
          <w:szCs w:val="24"/>
          <w:lang w:val="en-GB"/>
        </w:rPr>
        <w:t>among</w:t>
      </w:r>
      <w:r w:rsidR="00E41423">
        <w:rPr>
          <w:rFonts w:ascii="Times New Roman" w:hAnsi="Times New Roman" w:cs="Times New Roman"/>
          <w:b/>
          <w:bCs/>
          <w:sz w:val="24"/>
          <w:szCs w:val="24"/>
          <w:lang w:val="en-GB"/>
        </w:rPr>
        <w:t xml:space="preserve"> </w:t>
      </w:r>
      <w:r w:rsidR="006716B9">
        <w:rPr>
          <w:rFonts w:ascii="Times New Roman" w:hAnsi="Times New Roman" w:cs="Times New Roman"/>
          <w:b/>
          <w:bCs/>
          <w:sz w:val="24"/>
          <w:szCs w:val="24"/>
          <w:lang w:val="en-GB"/>
        </w:rPr>
        <w:t>NUTS 2 Regions</w:t>
      </w:r>
      <w:r w:rsidR="00EE0D00">
        <w:rPr>
          <w:rFonts w:ascii="Times New Roman" w:hAnsi="Times New Roman" w:cs="Times New Roman"/>
          <w:b/>
          <w:bCs/>
          <w:sz w:val="24"/>
          <w:szCs w:val="24"/>
          <w:lang w:val="en-GB"/>
        </w:rPr>
        <w:t xml:space="preserve"> in Turkey</w:t>
      </w:r>
    </w:p>
    <w:p w:rsidR="006716B9" w:rsidRPr="006716B9" w:rsidRDefault="006716B9" w:rsidP="00B41128">
      <w:pPr>
        <w:spacing w:after="0"/>
        <w:ind w:firstLineChars="450" w:firstLine="1080"/>
        <w:jc w:val="center"/>
        <w:rPr>
          <w:rFonts w:ascii="Times New Roman" w:hAnsi="Times New Roman" w:cs="Times New Roman"/>
          <w:b/>
          <w:bCs/>
          <w:sz w:val="24"/>
          <w:szCs w:val="24"/>
          <w:lang w:val="en-GB"/>
        </w:rPr>
      </w:pPr>
    </w:p>
    <w:p w:rsidR="00A77BE8" w:rsidRPr="00A77BE8" w:rsidRDefault="00A77BE8" w:rsidP="00B41128">
      <w:pPr>
        <w:jc w:val="center"/>
        <w:rPr>
          <w:rFonts w:ascii="Times New Roman" w:hAnsi="Times New Roman" w:cs="Times New Roman"/>
        </w:rPr>
      </w:pPr>
      <w:r>
        <w:rPr>
          <w:rFonts w:ascii="Times New Roman" w:hAnsi="Times New Roman" w:cs="Times New Roman"/>
        </w:rPr>
        <w:t xml:space="preserve">Merve </w:t>
      </w:r>
      <w:proofErr w:type="spellStart"/>
      <w:r>
        <w:rPr>
          <w:rFonts w:ascii="Times New Roman" w:hAnsi="Times New Roman" w:cs="Times New Roman"/>
        </w:rPr>
        <w:t>Ertok</w:t>
      </w:r>
      <w:proofErr w:type="spellEnd"/>
      <w:r>
        <w:rPr>
          <w:rFonts w:ascii="Times New Roman" w:hAnsi="Times New Roman" w:cs="Times New Roman"/>
        </w:rPr>
        <w:t xml:space="preserve"> </w:t>
      </w:r>
      <w:proofErr w:type="spellStart"/>
      <w:r>
        <w:rPr>
          <w:rFonts w:ascii="Times New Roman" w:hAnsi="Times New Roman" w:cs="Times New Roman"/>
        </w:rPr>
        <w:t>Onurlu</w:t>
      </w:r>
      <w:proofErr w:type="spellEnd"/>
      <w:r w:rsidR="006716B9">
        <w:rPr>
          <w:rStyle w:val="FootnoteReference"/>
          <w:rFonts w:ascii="Times New Roman" w:hAnsi="Times New Roman" w:cs="Times New Roman"/>
        </w:rPr>
        <w:footnoteReference w:id="1"/>
      </w:r>
    </w:p>
    <w:p w:rsidR="00517F7E" w:rsidRDefault="00517F7E" w:rsidP="002874EB">
      <w:pPr>
        <w:jc w:val="both"/>
      </w:pPr>
    </w:p>
    <w:p w:rsidR="00517F7E" w:rsidRDefault="00517F7E" w:rsidP="002874EB">
      <w:pPr>
        <w:jc w:val="both"/>
        <w:rPr>
          <w:rFonts w:ascii="Times New Roman" w:hAnsi="Times New Roman"/>
          <w:sz w:val="24"/>
          <w:szCs w:val="24"/>
          <w:lang w:val="en-GB"/>
        </w:rPr>
      </w:pPr>
      <w:r w:rsidRPr="00C66990">
        <w:rPr>
          <w:rFonts w:ascii="Times New Roman" w:hAnsi="Times New Roman" w:cs="Times New Roman"/>
          <w:sz w:val="24"/>
          <w:szCs w:val="24"/>
          <w:lang w:val="en-GB"/>
        </w:rPr>
        <w:t xml:space="preserve">Literacy </w:t>
      </w:r>
      <w:proofErr w:type="gramStart"/>
      <w:r w:rsidRPr="00C66990">
        <w:rPr>
          <w:rFonts w:ascii="Times New Roman" w:hAnsi="Times New Roman" w:cs="Times New Roman"/>
          <w:sz w:val="24"/>
          <w:szCs w:val="24"/>
          <w:lang w:val="en-GB"/>
        </w:rPr>
        <w:t>is usually defined</w:t>
      </w:r>
      <w:proofErr w:type="gramEnd"/>
      <w:r w:rsidRPr="00C66990">
        <w:rPr>
          <w:rFonts w:ascii="Times New Roman" w:hAnsi="Times New Roman" w:cs="Times New Roman"/>
          <w:sz w:val="24"/>
          <w:szCs w:val="24"/>
          <w:lang w:val="en-GB"/>
        </w:rPr>
        <w:t xml:space="preserve"> as being able to read and write. UNESCO defines literacy as an</w:t>
      </w:r>
      <w:r w:rsidRPr="00C66990">
        <w:rPr>
          <w:rFonts w:ascii="Times New Roman" w:hAnsi="Times New Roman"/>
          <w:sz w:val="24"/>
          <w:szCs w:val="24"/>
          <w:lang w:val="en-GB"/>
        </w:rPr>
        <w:t xml:space="preserve"> ability to identify, perceive, observe, create, communicate and compute via written a</w:t>
      </w:r>
      <w:r w:rsidR="00EE0D00">
        <w:rPr>
          <w:rFonts w:ascii="Times New Roman" w:hAnsi="Times New Roman"/>
          <w:sz w:val="24"/>
          <w:szCs w:val="24"/>
          <w:lang w:val="en-GB"/>
        </w:rPr>
        <w:t xml:space="preserve">nd printed materials (Montoya, 2018: </w:t>
      </w:r>
      <w:r w:rsidRPr="00C66990">
        <w:rPr>
          <w:rFonts w:ascii="Times New Roman" w:hAnsi="Times New Roman"/>
          <w:sz w:val="24"/>
          <w:szCs w:val="24"/>
          <w:lang w:val="en-GB"/>
        </w:rPr>
        <w:t>1).</w:t>
      </w:r>
      <w:r w:rsidRPr="00517F7E">
        <w:t xml:space="preserve"> </w:t>
      </w:r>
      <w:r>
        <w:rPr>
          <w:rFonts w:ascii="Times New Roman" w:hAnsi="Times New Roman"/>
          <w:sz w:val="24"/>
          <w:szCs w:val="24"/>
          <w:lang w:val="en-GB"/>
        </w:rPr>
        <w:t>Li</w:t>
      </w:r>
      <w:r w:rsidR="00DE5527">
        <w:rPr>
          <w:rFonts w:ascii="Times New Roman" w:hAnsi="Times New Roman"/>
          <w:sz w:val="24"/>
          <w:szCs w:val="24"/>
          <w:lang w:val="en-GB"/>
        </w:rPr>
        <w:t>terate</w:t>
      </w:r>
      <w:r w:rsidRPr="00517F7E">
        <w:rPr>
          <w:rFonts w:ascii="Times New Roman" w:hAnsi="Times New Roman"/>
          <w:sz w:val="24"/>
          <w:szCs w:val="24"/>
          <w:lang w:val="en-GB"/>
        </w:rPr>
        <w:t xml:space="preserve"> people would be capable of reading books, newspapers and any type of written materials. They would be more able to communicate with their environment and be more able to understand what is happening around themselves and their society. As a result, they would empower themselves and their families through time.</w:t>
      </w:r>
      <w:r w:rsidR="00D455AA" w:rsidRPr="00D455AA">
        <w:t xml:space="preserve"> </w:t>
      </w:r>
      <w:r w:rsidR="00D455AA" w:rsidRPr="00D455AA">
        <w:rPr>
          <w:rFonts w:ascii="Times New Roman" w:hAnsi="Times New Roman"/>
          <w:sz w:val="24"/>
          <w:szCs w:val="24"/>
          <w:lang w:val="en-GB"/>
        </w:rPr>
        <w:t>In recent years, governments have been seeking to expand compulsory education policies. These policies are crucial as compulsory schooling results in increasing literacy rate in a country. From a country’s point of view, increased literacy rate has a potential to affect economy through multiple channels. Labour market is one of them</w:t>
      </w:r>
      <w:r w:rsidR="00D455AA">
        <w:rPr>
          <w:rFonts w:ascii="Times New Roman" w:hAnsi="Times New Roman"/>
          <w:sz w:val="24"/>
          <w:szCs w:val="24"/>
          <w:lang w:val="en-GB"/>
        </w:rPr>
        <w:t xml:space="preserve">. </w:t>
      </w:r>
      <w:r w:rsidR="00A77BE8" w:rsidRPr="00A77BE8">
        <w:rPr>
          <w:rFonts w:ascii="Times New Roman" w:hAnsi="Times New Roman"/>
          <w:sz w:val="24"/>
          <w:szCs w:val="24"/>
          <w:lang w:val="en-GB"/>
        </w:rPr>
        <w:t xml:space="preserve">From a country’s point of view, increased literacy rate has a potential to affect economy through multiple channels. Labour market is one of them. As people become more literate and educated, they become more willing to participate in labour market. This leads to development in human capital, reduction in unemployment rate and growth in the </w:t>
      </w:r>
      <w:proofErr w:type="gramStart"/>
      <w:r w:rsidR="00A77BE8" w:rsidRPr="00A77BE8">
        <w:rPr>
          <w:rFonts w:ascii="Times New Roman" w:hAnsi="Times New Roman"/>
          <w:sz w:val="24"/>
          <w:szCs w:val="24"/>
          <w:lang w:val="en-GB"/>
        </w:rPr>
        <w:t>whole</w:t>
      </w:r>
      <w:proofErr w:type="gramEnd"/>
      <w:r w:rsidR="00A77BE8" w:rsidRPr="00A77BE8">
        <w:rPr>
          <w:rFonts w:ascii="Times New Roman" w:hAnsi="Times New Roman"/>
          <w:sz w:val="24"/>
          <w:szCs w:val="24"/>
          <w:lang w:val="en-GB"/>
        </w:rPr>
        <w:t xml:space="preserve"> economic system. Besides, increased literacy rate and educational level lead individuals in each generation to be better off in the </w:t>
      </w:r>
      <w:proofErr w:type="gramStart"/>
      <w:r w:rsidR="00A77BE8" w:rsidRPr="00A77BE8">
        <w:rPr>
          <w:rFonts w:ascii="Times New Roman" w:hAnsi="Times New Roman"/>
          <w:sz w:val="24"/>
          <w:szCs w:val="24"/>
          <w:lang w:val="en-GB"/>
        </w:rPr>
        <w:t>long run</w:t>
      </w:r>
      <w:proofErr w:type="gramEnd"/>
      <w:r w:rsidR="00A77BE8" w:rsidRPr="00A77BE8">
        <w:rPr>
          <w:rFonts w:ascii="Times New Roman" w:hAnsi="Times New Roman"/>
          <w:sz w:val="24"/>
          <w:szCs w:val="24"/>
          <w:lang w:val="en-GB"/>
        </w:rPr>
        <w:t xml:space="preserve"> (Eckstein and </w:t>
      </w:r>
      <w:proofErr w:type="spellStart"/>
      <w:r w:rsidR="00A77BE8" w:rsidRPr="00A77BE8">
        <w:rPr>
          <w:rFonts w:ascii="Times New Roman" w:hAnsi="Times New Roman"/>
          <w:sz w:val="24"/>
          <w:szCs w:val="24"/>
          <w:lang w:val="en-GB"/>
        </w:rPr>
        <w:t>Zilcha</w:t>
      </w:r>
      <w:proofErr w:type="spellEnd"/>
      <w:r w:rsidR="00A77BE8" w:rsidRPr="00A77BE8">
        <w:rPr>
          <w:rFonts w:ascii="Times New Roman" w:hAnsi="Times New Roman"/>
          <w:sz w:val="24"/>
          <w:szCs w:val="24"/>
          <w:lang w:val="en-GB"/>
        </w:rPr>
        <w:t>, 1991: 4)</w:t>
      </w:r>
      <w:r w:rsidR="00A77BE8">
        <w:rPr>
          <w:rFonts w:ascii="Times New Roman" w:hAnsi="Times New Roman"/>
          <w:sz w:val="24"/>
          <w:szCs w:val="24"/>
          <w:lang w:val="en-GB"/>
        </w:rPr>
        <w:t xml:space="preserve">. </w:t>
      </w:r>
    </w:p>
    <w:p w:rsidR="00D455AA" w:rsidRDefault="00A77BE8" w:rsidP="002874EB">
      <w:pPr>
        <w:jc w:val="both"/>
        <w:rPr>
          <w:rFonts w:ascii="Times New Roman" w:hAnsi="Times New Roman"/>
          <w:sz w:val="24"/>
          <w:szCs w:val="24"/>
          <w:lang w:val="en-GB"/>
        </w:rPr>
      </w:pPr>
      <w:r w:rsidRPr="00A77BE8">
        <w:rPr>
          <w:rFonts w:ascii="Times New Roman" w:hAnsi="Times New Roman"/>
          <w:sz w:val="24"/>
          <w:szCs w:val="24"/>
          <w:lang w:val="en-GB"/>
        </w:rPr>
        <w:t xml:space="preserve">Women </w:t>
      </w:r>
      <w:proofErr w:type="gramStart"/>
      <w:r w:rsidRPr="00A77BE8">
        <w:rPr>
          <w:rFonts w:ascii="Times New Roman" w:hAnsi="Times New Roman"/>
          <w:sz w:val="24"/>
          <w:szCs w:val="24"/>
          <w:lang w:val="en-GB"/>
        </w:rPr>
        <w:t>are imposed</w:t>
      </w:r>
      <w:proofErr w:type="gramEnd"/>
      <w:r w:rsidRPr="00A77BE8">
        <w:rPr>
          <w:rFonts w:ascii="Times New Roman" w:hAnsi="Times New Roman"/>
          <w:sz w:val="24"/>
          <w:szCs w:val="24"/>
          <w:lang w:val="en-GB"/>
        </w:rPr>
        <w:t xml:space="preserve"> to certain roles within society. Especially some central roles are associated with women. </w:t>
      </w:r>
      <w:r w:rsidR="00DE5527">
        <w:rPr>
          <w:rFonts w:ascii="Times New Roman" w:hAnsi="Times New Roman"/>
          <w:sz w:val="24"/>
          <w:szCs w:val="24"/>
          <w:lang w:val="en-GB"/>
        </w:rPr>
        <w:t>A literate</w:t>
      </w:r>
      <w:r w:rsidRPr="00A77BE8">
        <w:rPr>
          <w:rFonts w:ascii="Times New Roman" w:hAnsi="Times New Roman"/>
          <w:sz w:val="24"/>
          <w:szCs w:val="24"/>
          <w:lang w:val="en-GB"/>
        </w:rPr>
        <w:t xml:space="preserve"> woman is more capable of reading, thinking, communicating with other people and even more likely to be a part of labour market. On the other hand, as fertility event and child upbringing are at th</w:t>
      </w:r>
      <w:r w:rsidR="00950BD7">
        <w:rPr>
          <w:rFonts w:ascii="Times New Roman" w:hAnsi="Times New Roman"/>
          <w:sz w:val="24"/>
          <w:szCs w:val="24"/>
          <w:lang w:val="en-GB"/>
        </w:rPr>
        <w:t>e top of a woman’s major roles. R</w:t>
      </w:r>
      <w:r w:rsidRPr="00A77BE8">
        <w:rPr>
          <w:rFonts w:ascii="Times New Roman" w:hAnsi="Times New Roman"/>
          <w:sz w:val="24"/>
          <w:szCs w:val="24"/>
          <w:lang w:val="en-GB"/>
        </w:rPr>
        <w:t xml:space="preserve">ecent studies from different countries show that there exists a negative correlation between female literacy and fertility rate. This means that as women become more educated, number of children per woman decreases. The negative relation between the aforementioned variables </w:t>
      </w:r>
      <w:proofErr w:type="gramStart"/>
      <w:r w:rsidRPr="00A77BE8">
        <w:rPr>
          <w:rFonts w:ascii="Times New Roman" w:hAnsi="Times New Roman"/>
          <w:sz w:val="24"/>
          <w:szCs w:val="24"/>
          <w:lang w:val="en-GB"/>
        </w:rPr>
        <w:t>can clearly be explained</w:t>
      </w:r>
      <w:proofErr w:type="gramEnd"/>
      <w:r w:rsidRPr="00A77BE8">
        <w:rPr>
          <w:rFonts w:ascii="Times New Roman" w:hAnsi="Times New Roman"/>
          <w:sz w:val="24"/>
          <w:szCs w:val="24"/>
          <w:lang w:val="en-GB"/>
        </w:rPr>
        <w:t xml:space="preserve"> by the tendency of literate women towards having less number of children. Therefore, one needs to question what really causes the reduction in women’s fertility decisions as they become more educated.</w:t>
      </w:r>
    </w:p>
    <w:p w:rsidR="00D676E0" w:rsidRPr="00D676E0" w:rsidRDefault="00D455AA" w:rsidP="002874EB">
      <w:pPr>
        <w:jc w:val="both"/>
        <w:rPr>
          <w:rFonts w:ascii="Times New Roman" w:hAnsi="Times New Roman" w:cs="Times New Roman"/>
          <w:sz w:val="24"/>
          <w:szCs w:val="24"/>
          <w:lang w:val="en-GB"/>
        </w:rPr>
      </w:pPr>
      <w:r w:rsidRPr="00C66990">
        <w:rPr>
          <w:rFonts w:ascii="Times New Roman" w:hAnsi="Times New Roman" w:cs="Times New Roman"/>
          <w:sz w:val="24"/>
          <w:szCs w:val="24"/>
          <w:lang w:val="en-GB"/>
        </w:rPr>
        <w:t xml:space="preserve">This study investigates if any causal relations exist between fertility, literacy and </w:t>
      </w:r>
      <w:r w:rsidR="003E235B">
        <w:rPr>
          <w:rFonts w:ascii="Times New Roman" w:hAnsi="Times New Roman" w:cs="Times New Roman"/>
          <w:sz w:val="24"/>
          <w:szCs w:val="24"/>
          <w:lang w:val="en-GB"/>
        </w:rPr>
        <w:t xml:space="preserve">labour participation </w:t>
      </w:r>
      <w:r w:rsidRPr="00C66990">
        <w:rPr>
          <w:rFonts w:ascii="Times New Roman" w:hAnsi="Times New Roman" w:cs="Times New Roman"/>
          <w:sz w:val="24"/>
          <w:szCs w:val="24"/>
          <w:lang w:val="en-GB"/>
        </w:rPr>
        <w:t>rates for females among Turkish NUTS</w:t>
      </w:r>
      <w:r w:rsidR="008D55EA">
        <w:rPr>
          <w:rFonts w:ascii="Times New Roman" w:hAnsi="Times New Roman" w:cs="Times New Roman"/>
          <w:sz w:val="24"/>
          <w:szCs w:val="24"/>
          <w:lang w:val="en-GB"/>
        </w:rPr>
        <w:t xml:space="preserve"> 2 regions between 2009</w:t>
      </w:r>
      <w:r w:rsidR="00BA74D5">
        <w:rPr>
          <w:rFonts w:ascii="Times New Roman" w:hAnsi="Times New Roman" w:cs="Times New Roman"/>
          <w:sz w:val="24"/>
          <w:szCs w:val="24"/>
          <w:lang w:val="en-GB"/>
        </w:rPr>
        <w:t xml:space="preserve"> and 2020</w:t>
      </w:r>
      <w:r w:rsidR="008D55EA">
        <w:rPr>
          <w:rFonts w:ascii="Times New Roman" w:hAnsi="Times New Roman" w:cs="Times New Roman"/>
          <w:sz w:val="24"/>
          <w:szCs w:val="24"/>
          <w:lang w:val="en-GB"/>
        </w:rPr>
        <w:t xml:space="preserve"> (T = 12</w:t>
      </w:r>
      <w:r w:rsidR="00BA74D5">
        <w:rPr>
          <w:rFonts w:ascii="Times New Roman" w:hAnsi="Times New Roman" w:cs="Times New Roman"/>
          <w:sz w:val="24"/>
          <w:szCs w:val="24"/>
          <w:lang w:val="en-GB"/>
        </w:rPr>
        <w:t>)</w:t>
      </w:r>
      <w:r w:rsidRPr="00C66990">
        <w:rPr>
          <w:rFonts w:ascii="Times New Roman" w:hAnsi="Times New Roman" w:cs="Times New Roman"/>
          <w:sz w:val="24"/>
          <w:szCs w:val="24"/>
          <w:lang w:val="en-GB"/>
        </w:rPr>
        <w:t xml:space="preserve">. </w:t>
      </w:r>
      <w:r w:rsidR="00950BD7">
        <w:rPr>
          <w:rFonts w:ascii="Times New Roman" w:hAnsi="Times New Roman" w:cs="Times New Roman"/>
          <w:sz w:val="24"/>
          <w:szCs w:val="24"/>
          <w:lang w:val="en-GB"/>
        </w:rPr>
        <w:t xml:space="preserve">There </w:t>
      </w:r>
      <w:r w:rsidR="00BA74D5">
        <w:rPr>
          <w:rFonts w:ascii="Times New Roman" w:hAnsi="Times New Roman" w:cs="Times New Roman"/>
          <w:sz w:val="24"/>
          <w:szCs w:val="24"/>
          <w:lang w:val="en-GB"/>
        </w:rPr>
        <w:t>are 26 NUTS 2 Regions in Turkey</w:t>
      </w:r>
      <w:r w:rsidR="00950BD7">
        <w:rPr>
          <w:rFonts w:ascii="Times New Roman" w:hAnsi="Times New Roman" w:cs="Times New Roman"/>
          <w:sz w:val="24"/>
          <w:szCs w:val="24"/>
          <w:lang w:val="en-GB"/>
        </w:rPr>
        <w:t xml:space="preserve">. This provides </w:t>
      </w:r>
      <w:r w:rsidR="00BA74D5">
        <w:rPr>
          <w:rFonts w:ascii="Times New Roman" w:hAnsi="Times New Roman" w:cs="Times New Roman"/>
          <w:sz w:val="24"/>
          <w:szCs w:val="24"/>
          <w:lang w:val="en-GB"/>
        </w:rPr>
        <w:t xml:space="preserve">a panel data setting </w:t>
      </w:r>
      <w:r w:rsidR="008D55EA">
        <w:rPr>
          <w:rFonts w:ascii="Times New Roman" w:hAnsi="Times New Roman" w:cs="Times New Roman"/>
          <w:sz w:val="24"/>
          <w:szCs w:val="24"/>
          <w:lang w:val="en-GB"/>
        </w:rPr>
        <w:t>consisting of 312</w:t>
      </w:r>
      <w:r w:rsidR="00BA74D5">
        <w:rPr>
          <w:rFonts w:ascii="Times New Roman" w:hAnsi="Times New Roman" w:cs="Times New Roman"/>
          <w:sz w:val="24"/>
          <w:szCs w:val="24"/>
          <w:lang w:val="en-GB"/>
        </w:rPr>
        <w:t xml:space="preserve"> observations.</w:t>
      </w:r>
      <w:r w:rsidRPr="00C66990">
        <w:rPr>
          <w:rFonts w:ascii="Times New Roman" w:hAnsi="Times New Roman" w:cs="Times New Roman"/>
          <w:sz w:val="24"/>
          <w:szCs w:val="24"/>
          <w:lang w:val="en-GB"/>
        </w:rPr>
        <w:t xml:space="preserve"> </w:t>
      </w:r>
      <w:r w:rsidR="00A77BE8" w:rsidRPr="00A77BE8">
        <w:rPr>
          <w:rFonts w:ascii="Times New Roman" w:hAnsi="Times New Roman" w:cs="Times New Roman"/>
          <w:sz w:val="24"/>
          <w:szCs w:val="24"/>
          <w:lang w:val="en-GB"/>
        </w:rPr>
        <w:t xml:space="preserve">The data used in this study </w:t>
      </w:r>
      <w:proofErr w:type="gramStart"/>
      <w:r w:rsidR="00A77BE8" w:rsidRPr="00A77BE8">
        <w:rPr>
          <w:rFonts w:ascii="Times New Roman" w:hAnsi="Times New Roman" w:cs="Times New Roman"/>
          <w:sz w:val="24"/>
          <w:szCs w:val="24"/>
          <w:lang w:val="en-GB"/>
        </w:rPr>
        <w:t>are collected</w:t>
      </w:r>
      <w:proofErr w:type="gramEnd"/>
      <w:r w:rsidR="00A77BE8" w:rsidRPr="00A77BE8">
        <w:rPr>
          <w:rFonts w:ascii="Times New Roman" w:hAnsi="Times New Roman" w:cs="Times New Roman"/>
          <w:sz w:val="24"/>
          <w:szCs w:val="24"/>
          <w:lang w:val="en-GB"/>
        </w:rPr>
        <w:t xml:space="preserve"> from the Turkish Statistical Institute</w:t>
      </w:r>
      <w:r w:rsidR="00BA74D5">
        <w:rPr>
          <w:rFonts w:ascii="Times New Roman" w:hAnsi="Times New Roman" w:cs="Times New Roman"/>
          <w:sz w:val="24"/>
          <w:szCs w:val="24"/>
          <w:lang w:val="en-GB"/>
        </w:rPr>
        <w:t xml:space="preserve"> (TURKSTAT). </w:t>
      </w:r>
      <w:r w:rsidR="00A77BE8">
        <w:rPr>
          <w:rFonts w:ascii="Times New Roman" w:hAnsi="Times New Roman" w:cs="Times New Roman"/>
          <w:sz w:val="24"/>
          <w:szCs w:val="24"/>
          <w:lang w:val="en-GB"/>
        </w:rPr>
        <w:t xml:space="preserve">In order to investigate the </w:t>
      </w:r>
      <w:proofErr w:type="spellStart"/>
      <w:r w:rsidR="00A77BE8">
        <w:rPr>
          <w:rFonts w:ascii="Times New Roman" w:hAnsi="Times New Roman" w:cs="Times New Roman"/>
          <w:sz w:val="24"/>
          <w:szCs w:val="24"/>
          <w:lang w:val="en-GB"/>
        </w:rPr>
        <w:t>ca</w:t>
      </w:r>
      <w:r w:rsidR="00950BD7">
        <w:rPr>
          <w:rFonts w:ascii="Times New Roman" w:hAnsi="Times New Roman" w:cs="Times New Roman"/>
          <w:sz w:val="24"/>
          <w:szCs w:val="24"/>
          <w:lang w:val="en-GB"/>
        </w:rPr>
        <w:t>usa</w:t>
      </w:r>
      <w:r w:rsidR="00A77BE8">
        <w:rPr>
          <w:rFonts w:ascii="Times New Roman" w:hAnsi="Times New Roman" w:cs="Times New Roman"/>
          <w:sz w:val="24"/>
          <w:szCs w:val="24"/>
          <w:lang w:val="en-GB"/>
        </w:rPr>
        <w:t>lty</w:t>
      </w:r>
      <w:proofErr w:type="spellEnd"/>
      <w:r w:rsidR="00A77BE8">
        <w:rPr>
          <w:rFonts w:ascii="Times New Roman" w:hAnsi="Times New Roman" w:cs="Times New Roman"/>
          <w:sz w:val="24"/>
          <w:szCs w:val="24"/>
          <w:lang w:val="en-GB"/>
        </w:rPr>
        <w:t xml:space="preserve">, firstly </w:t>
      </w:r>
      <w:r w:rsidR="006716B9">
        <w:rPr>
          <w:rFonts w:ascii="Times New Roman" w:hAnsi="Times New Roman" w:cs="Times New Roman"/>
          <w:sz w:val="24"/>
          <w:szCs w:val="24"/>
          <w:lang w:val="en-GB"/>
        </w:rPr>
        <w:t xml:space="preserve">cross sectional dependency </w:t>
      </w:r>
      <w:proofErr w:type="gramStart"/>
      <w:r w:rsidR="006716B9">
        <w:rPr>
          <w:rFonts w:ascii="Times New Roman" w:hAnsi="Times New Roman" w:cs="Times New Roman"/>
          <w:sz w:val="24"/>
          <w:szCs w:val="24"/>
          <w:lang w:val="en-GB"/>
        </w:rPr>
        <w:t>is investigated</w:t>
      </w:r>
      <w:proofErr w:type="gramEnd"/>
      <w:r w:rsidR="006716B9">
        <w:rPr>
          <w:rFonts w:ascii="Times New Roman" w:hAnsi="Times New Roman" w:cs="Times New Roman"/>
          <w:sz w:val="24"/>
          <w:szCs w:val="24"/>
          <w:lang w:val="en-GB"/>
        </w:rPr>
        <w:t xml:space="preserve"> using </w:t>
      </w:r>
      <w:proofErr w:type="spellStart"/>
      <w:r w:rsidR="00D676E0">
        <w:rPr>
          <w:rFonts w:ascii="Times New Roman" w:hAnsi="Times New Roman" w:cs="Times New Roman"/>
          <w:sz w:val="24"/>
          <w:szCs w:val="24"/>
          <w:lang w:val="en-GB"/>
        </w:rPr>
        <w:t>Breusch</w:t>
      </w:r>
      <w:proofErr w:type="spellEnd"/>
      <w:r w:rsidR="00D676E0">
        <w:rPr>
          <w:rFonts w:ascii="Times New Roman" w:hAnsi="Times New Roman" w:cs="Times New Roman"/>
          <w:sz w:val="24"/>
          <w:szCs w:val="24"/>
          <w:lang w:val="en-GB"/>
        </w:rPr>
        <w:t xml:space="preserve">-Pagan (1980) LM test, </w:t>
      </w:r>
      <w:proofErr w:type="spellStart"/>
      <w:r w:rsidR="00D676E0">
        <w:rPr>
          <w:rFonts w:ascii="Times New Roman" w:hAnsi="Times New Roman" w:cs="Times New Roman"/>
          <w:sz w:val="24"/>
          <w:szCs w:val="24"/>
          <w:lang w:val="en-GB"/>
        </w:rPr>
        <w:t>Pesaran</w:t>
      </w:r>
      <w:proofErr w:type="spellEnd"/>
      <w:r w:rsidR="00D676E0">
        <w:rPr>
          <w:rFonts w:ascii="Times New Roman" w:hAnsi="Times New Roman" w:cs="Times New Roman"/>
          <w:sz w:val="24"/>
          <w:szCs w:val="24"/>
          <w:lang w:val="en-GB"/>
        </w:rPr>
        <w:t xml:space="preserve"> (2004) LM CD test and </w:t>
      </w:r>
      <w:proofErr w:type="spellStart"/>
      <w:r w:rsidR="00D676E0">
        <w:rPr>
          <w:rFonts w:ascii="Times New Roman" w:hAnsi="Times New Roman" w:cs="Times New Roman"/>
          <w:sz w:val="24"/>
          <w:szCs w:val="24"/>
          <w:lang w:val="en-GB"/>
        </w:rPr>
        <w:t>Pesaran</w:t>
      </w:r>
      <w:proofErr w:type="spellEnd"/>
      <w:r w:rsidR="00D676E0">
        <w:rPr>
          <w:rFonts w:ascii="Times New Roman" w:hAnsi="Times New Roman" w:cs="Times New Roman"/>
          <w:sz w:val="24"/>
          <w:szCs w:val="24"/>
          <w:lang w:val="en-GB"/>
        </w:rPr>
        <w:t xml:space="preserve">, </w:t>
      </w:r>
      <w:proofErr w:type="spellStart"/>
      <w:r w:rsidR="00D676E0">
        <w:rPr>
          <w:rFonts w:ascii="Times New Roman" w:hAnsi="Times New Roman" w:cs="Times New Roman"/>
          <w:sz w:val="24"/>
          <w:szCs w:val="24"/>
          <w:lang w:val="en-GB"/>
        </w:rPr>
        <w:t>Ullah</w:t>
      </w:r>
      <w:proofErr w:type="spellEnd"/>
      <w:r w:rsidR="00D676E0">
        <w:rPr>
          <w:rFonts w:ascii="Times New Roman" w:hAnsi="Times New Roman" w:cs="Times New Roman"/>
          <w:sz w:val="24"/>
          <w:szCs w:val="24"/>
          <w:lang w:val="en-GB"/>
        </w:rPr>
        <w:t xml:space="preserve"> &amp;</w:t>
      </w:r>
      <w:r w:rsidR="00D676E0" w:rsidRPr="00D676E0">
        <w:rPr>
          <w:rFonts w:ascii="Times New Roman" w:hAnsi="Times New Roman" w:cs="Times New Roman"/>
          <w:sz w:val="24"/>
          <w:szCs w:val="24"/>
          <w:lang w:val="en-GB"/>
        </w:rPr>
        <w:t xml:space="preserve"> Yamagata (2008) LM</w:t>
      </w:r>
      <w:r w:rsidR="00D676E0">
        <w:rPr>
          <w:rFonts w:ascii="Times New Roman" w:hAnsi="Times New Roman" w:cs="Times New Roman"/>
          <w:sz w:val="24"/>
          <w:szCs w:val="24"/>
          <w:lang w:val="en-GB"/>
        </w:rPr>
        <w:t xml:space="preserve"> </w:t>
      </w:r>
      <w:r w:rsidR="00D676E0" w:rsidRPr="00D676E0">
        <w:rPr>
          <w:rFonts w:ascii="Times New Roman" w:hAnsi="Times New Roman" w:cs="Times New Roman"/>
          <w:sz w:val="24"/>
          <w:szCs w:val="24"/>
          <w:lang w:val="en-GB"/>
        </w:rPr>
        <w:t>adj</w:t>
      </w:r>
      <w:r w:rsidR="00D676E0">
        <w:rPr>
          <w:rFonts w:ascii="Times New Roman" w:hAnsi="Times New Roman" w:cs="Times New Roman"/>
          <w:sz w:val="24"/>
          <w:szCs w:val="24"/>
          <w:lang w:val="en-GB"/>
        </w:rPr>
        <w:t xml:space="preserve">usted test </w:t>
      </w:r>
      <w:r w:rsidR="002E2C42">
        <w:rPr>
          <w:rFonts w:ascii="Times New Roman" w:hAnsi="Times New Roman" w:cs="Times New Roman"/>
          <w:sz w:val="24"/>
          <w:szCs w:val="24"/>
          <w:lang w:val="en-GB"/>
        </w:rPr>
        <w:t>that</w:t>
      </w:r>
      <w:r w:rsidR="00D676E0">
        <w:rPr>
          <w:rFonts w:ascii="Times New Roman" w:hAnsi="Times New Roman" w:cs="Times New Roman"/>
          <w:sz w:val="24"/>
          <w:szCs w:val="24"/>
          <w:lang w:val="en-GB"/>
        </w:rPr>
        <w:t xml:space="preserve"> the latter two are presented below: </w:t>
      </w:r>
    </w:p>
    <w:p w:rsidR="006148DB" w:rsidRDefault="00D676E0" w:rsidP="002874EB">
      <w:pPr>
        <w:jc w:val="both"/>
        <w:rPr>
          <w:rFonts w:ascii="Times New Roman" w:hAnsi="Times New Roman" w:cs="Times New Roman"/>
          <w:sz w:val="24"/>
          <w:szCs w:val="24"/>
          <w:lang w:val="en-GB"/>
        </w:rPr>
      </w:pPr>
      <m:oMath>
        <m:r>
          <w:rPr>
            <w:rFonts w:ascii="Cambria Math" w:hAnsi="Cambria Math" w:cs="Times New Roman"/>
          </w:rPr>
          <w:lastRenderedPageBreak/>
          <m:t>L</m:t>
        </m:r>
        <m:sSub>
          <m:sSubPr>
            <m:ctrlPr>
              <w:rPr>
                <w:rFonts w:ascii="Cambria Math" w:hAnsi="Cambria Math" w:cs="Times New Roman"/>
              </w:rPr>
            </m:ctrlPr>
          </m:sSubPr>
          <m:e>
            <m:r>
              <w:rPr>
                <w:rFonts w:ascii="Cambria Math" w:hAnsi="Cambria Math" w:cs="Times New Roman"/>
              </w:rPr>
              <m:t>M</m:t>
            </m:r>
          </m:e>
          <m:sub>
            <m:r>
              <w:rPr>
                <w:rFonts w:ascii="Cambria Math" w:hAnsi="Cambria Math" w:cs="Times New Roman"/>
              </w:rPr>
              <m:t>CD</m:t>
            </m:r>
          </m:sub>
        </m:sSub>
        <m:r>
          <m:rPr>
            <m:sty m:val="p"/>
          </m:rPr>
          <w:rPr>
            <w:rFonts w:ascii="Cambria Math" w:hAnsi="Cambria Math" w:cs="Times New Roman"/>
          </w:rPr>
          <m:t>=</m:t>
        </m:r>
        <m:rad>
          <m:radPr>
            <m:degHide m:val="1"/>
            <m:ctrlPr>
              <w:rPr>
                <w:rFonts w:ascii="Cambria Math" w:hAnsi="Cambria Math" w:cs="Times New Roman"/>
              </w:rPr>
            </m:ctrlPr>
          </m:radPr>
          <m:deg/>
          <m:e>
            <m:f>
              <m:fPr>
                <m:ctrlPr>
                  <w:rPr>
                    <w:rFonts w:ascii="Cambria Math" w:hAnsi="Cambria Math" w:cs="Times New Roman"/>
                  </w:rPr>
                </m:ctrlPr>
              </m:fPr>
              <m:num>
                <m:r>
                  <m:rPr>
                    <m:sty m:val="p"/>
                  </m:rPr>
                  <w:rPr>
                    <w:rFonts w:ascii="Cambria Math" w:hAnsi="Cambria Math" w:cs="Times New Roman"/>
                  </w:rPr>
                  <m:t>2</m:t>
                </m:r>
                <m:r>
                  <w:rPr>
                    <w:rFonts w:ascii="Cambria Math" w:hAnsi="Cambria Math" w:cs="Times New Roman"/>
                  </w:rPr>
                  <m:t>T</m:t>
                </m:r>
              </m:num>
              <m:den>
                <m:r>
                  <w:rPr>
                    <w:rFonts w:ascii="Cambria Math" w:hAnsi="Cambria Math" w:cs="Times New Roman"/>
                  </w:rPr>
                  <m:t>N</m:t>
                </m:r>
                <m:r>
                  <m:rPr>
                    <m:sty m:val="p"/>
                  </m:rPr>
                  <w:rPr>
                    <w:rFonts w:ascii="Cambria Math" w:hAnsi="Cambria Math" w:cs="Times New Roman"/>
                  </w:rPr>
                  <m:t>(</m:t>
                </m:r>
                <m:r>
                  <w:rPr>
                    <w:rFonts w:ascii="Cambria Math" w:hAnsi="Cambria Math" w:cs="Times New Roman"/>
                  </w:rPr>
                  <m:t>N</m:t>
                </m:r>
                <m:r>
                  <m:rPr>
                    <m:sty m:val="p"/>
                  </m:rPr>
                  <w:rPr>
                    <w:rFonts w:ascii="Cambria Math" w:hAnsi="Cambria Math" w:cs="Times New Roman"/>
                  </w:rPr>
                  <m:t>-1)</m:t>
                </m:r>
              </m:den>
            </m:f>
          </m:e>
        </m:rad>
        <m:d>
          <m:dPr>
            <m:ctrlPr>
              <w:rPr>
                <w:rFonts w:ascii="Cambria Math" w:hAnsi="Cambria Math" w:cs="Times New Roman"/>
              </w:rPr>
            </m:ctrlPr>
          </m:dPr>
          <m:e>
            <m:sSubSup>
              <m:sSubSupPr>
                <m:ctrlPr>
                  <w:rPr>
                    <w:rFonts w:ascii="Cambria Math" w:hAnsi="Cambria Math" w:cs="Times New Roman"/>
                  </w:rPr>
                </m:ctrlPr>
              </m:sSubSupPr>
              <m:e>
                <m:r>
                  <m:rPr>
                    <m:sty m:val="p"/>
                  </m:rPr>
                  <w:rPr>
                    <w:rFonts w:ascii="Cambria Math" w:hAnsi="Cambria Math" w:cs="Times New Roman"/>
                  </w:rPr>
                  <m:t>∑</m:t>
                </m:r>
              </m:e>
              <m:sub>
                <m:r>
                  <w:rPr>
                    <w:rFonts w:ascii="Cambria Math" w:hAnsi="Cambria Math" w:cs="Times New Roman"/>
                  </w:rPr>
                  <m:t>i</m:t>
                </m:r>
                <m:r>
                  <m:rPr>
                    <m:sty m:val="p"/>
                  </m:rPr>
                  <w:rPr>
                    <w:rFonts w:ascii="Cambria Math" w:hAnsi="Cambria Math" w:cs="Times New Roman"/>
                  </w:rPr>
                  <m:t>=1</m:t>
                </m:r>
              </m:sub>
              <m:sup>
                <m:r>
                  <w:rPr>
                    <w:rFonts w:ascii="Cambria Math" w:hAnsi="Cambria Math" w:cs="Times New Roman"/>
                  </w:rPr>
                  <m:t>N</m:t>
                </m:r>
                <m:r>
                  <m:rPr>
                    <m:sty m:val="p"/>
                  </m:rPr>
                  <w:rPr>
                    <w:rFonts w:ascii="Cambria Math" w:hAnsi="Cambria Math" w:cs="Times New Roman"/>
                  </w:rPr>
                  <m:t>-1</m:t>
                </m:r>
              </m:sup>
            </m:sSubSup>
            <m:r>
              <m:rPr>
                <m:sty m:val="p"/>
              </m:rPr>
              <w:rPr>
                <w:rFonts w:ascii="Cambria Math" w:hAnsi="Cambria Math" w:cs="Times New Roman"/>
              </w:rPr>
              <m:t> </m:t>
            </m:r>
            <m:sSubSup>
              <m:sSubSupPr>
                <m:ctrlPr>
                  <w:rPr>
                    <w:rFonts w:ascii="Cambria Math" w:hAnsi="Cambria Math" w:cs="Times New Roman"/>
                  </w:rPr>
                </m:ctrlPr>
              </m:sSubSupPr>
              <m:e>
                <m:r>
                  <m:rPr>
                    <m:sty m:val="p"/>
                  </m:rPr>
                  <w:rPr>
                    <w:rFonts w:ascii="Cambria Math" w:hAnsi="Cambria Math" w:cs="Times New Roman"/>
                  </w:rPr>
                  <m:t>∑</m:t>
                </m:r>
              </m:e>
              <m:sub>
                <m:r>
                  <w:rPr>
                    <w:rFonts w:ascii="Cambria Math" w:hAnsi="Cambria Math" w:cs="Times New Roman"/>
                  </w:rPr>
                  <m:t>j</m:t>
                </m:r>
                <m:r>
                  <m:rPr>
                    <m:sty m:val="p"/>
                  </m:rPr>
                  <w:rPr>
                    <w:rFonts w:ascii="Cambria Math" w:hAnsi="Cambria Math" w:cs="Times New Roman"/>
                  </w:rPr>
                  <m:t>=</m:t>
                </m:r>
                <m:r>
                  <w:rPr>
                    <w:rFonts w:ascii="Cambria Math" w:hAnsi="Cambria Math" w:cs="Times New Roman"/>
                  </w:rPr>
                  <m:t>i</m:t>
                </m:r>
                <m:r>
                  <m:rPr>
                    <m:sty m:val="p"/>
                  </m:rPr>
                  <w:rPr>
                    <w:rFonts w:ascii="Cambria Math" w:hAnsi="Cambria Math" w:cs="Times New Roman"/>
                  </w:rPr>
                  <m:t>+1</m:t>
                </m:r>
              </m:sub>
              <m:sup>
                <m:r>
                  <w:rPr>
                    <w:rFonts w:ascii="Cambria Math" w:hAnsi="Cambria Math" w:cs="Times New Roman"/>
                  </w:rPr>
                  <m:t>N</m:t>
                </m:r>
              </m:sup>
            </m:sSubSup>
            <m:r>
              <m:rPr>
                <m:sty m:val="p"/>
              </m:rPr>
              <w:rPr>
                <w:rFonts w:ascii="Cambria Math" w:hAnsi="Cambria Math" w:cs="Times New Roman"/>
              </w:rPr>
              <m:t> </m:t>
            </m:r>
            <m:sSub>
              <m:sSubPr>
                <m:ctrlPr>
                  <w:rPr>
                    <w:rFonts w:ascii="Cambria Math" w:hAnsi="Cambria Math" w:cs="Times New Roman"/>
                  </w:rPr>
                </m:ctrlPr>
              </m:sSubPr>
              <m:e>
                <m:r>
                  <w:rPr>
                    <w:rFonts w:ascii="Cambria Math" w:hAnsi="Cambria Math" w:cs="Times New Roman"/>
                  </w:rPr>
                  <m:t>ρ</m:t>
                </m:r>
              </m:e>
              <m:sub>
                <m:r>
                  <w:rPr>
                    <w:rFonts w:ascii="Cambria Math" w:hAnsi="Cambria Math" w:cs="Times New Roman"/>
                  </w:rPr>
                  <m:t>ij</m:t>
                </m:r>
              </m:sub>
            </m:sSub>
          </m:e>
        </m:d>
      </m:oMath>
      <w:r w:rsidRPr="002874EB">
        <w:rPr>
          <w:rFonts w:ascii="Times New Roman" w:eastAsiaTheme="minorEastAsia" w:hAnsi="Times New Roman" w:cs="Times New Roman"/>
        </w:rPr>
        <w:t xml:space="preserve">                                                                                                    </w:t>
      </w:r>
      <w:r w:rsidR="002874EB">
        <w:rPr>
          <w:rFonts w:ascii="Times New Roman" w:eastAsiaTheme="minorEastAsia" w:hAnsi="Times New Roman" w:cs="Times New Roman"/>
        </w:rPr>
        <w:t xml:space="preserve">  </w:t>
      </w:r>
      <w:r w:rsidRPr="002874EB">
        <w:rPr>
          <w:rFonts w:ascii="Times New Roman" w:eastAsiaTheme="minorEastAsia" w:hAnsi="Times New Roman" w:cs="Times New Roman"/>
        </w:rPr>
        <w:t>(1)</w:t>
      </w:r>
      <w:r>
        <w:br/>
      </w:r>
    </w:p>
    <w:p w:rsidR="006148DB" w:rsidRDefault="00D676E0" w:rsidP="002874EB">
      <w:pPr>
        <w:jc w:val="both"/>
        <w:rPr>
          <w:rFonts w:ascii="Times New Roman" w:eastAsiaTheme="minorEastAsia" w:hAnsi="Times New Roman" w:cs="Times New Roman"/>
        </w:rPr>
      </w:pPr>
      <m:oMath>
        <m:r>
          <w:rPr>
            <w:rFonts w:ascii="Cambria Math" w:hAnsi="Cambria Math" w:cs="Times New Roman"/>
          </w:rPr>
          <m:t>L</m:t>
        </m:r>
        <m:sSub>
          <m:sSubPr>
            <m:ctrlPr>
              <w:rPr>
                <w:rFonts w:ascii="Cambria Math" w:hAnsi="Cambria Math" w:cs="Times New Roman"/>
              </w:rPr>
            </m:ctrlPr>
          </m:sSubPr>
          <m:e>
            <m:r>
              <w:rPr>
                <w:rFonts w:ascii="Cambria Math" w:hAnsi="Cambria Math" w:cs="Times New Roman"/>
              </w:rPr>
              <m:t>M</m:t>
            </m:r>
          </m:e>
          <m:sub>
            <m:r>
              <w:rPr>
                <w:rFonts w:ascii="Cambria Math" w:hAnsi="Cambria Math" w:cs="Times New Roman"/>
              </w:rPr>
              <m:t>adj</m:t>
            </m:r>
          </m:sub>
        </m:sSub>
        <m:r>
          <m:rPr>
            <m:sty m:val="p"/>
          </m:rPr>
          <w:rPr>
            <w:rFonts w:ascii="Cambria Math" w:hAnsi="Cambria Math" w:cs="Times New Roman"/>
          </w:rPr>
          <m:t>=</m:t>
        </m:r>
        <m:rad>
          <m:radPr>
            <m:degHide m:val="1"/>
            <m:ctrlPr>
              <w:rPr>
                <w:rFonts w:ascii="Cambria Math" w:hAnsi="Cambria Math" w:cs="Times New Roman"/>
              </w:rPr>
            </m:ctrlPr>
          </m:radPr>
          <m:deg/>
          <m:e>
            <m:f>
              <m:fPr>
                <m:ctrlPr>
                  <w:rPr>
                    <w:rFonts w:ascii="Cambria Math" w:hAnsi="Cambria Math" w:cs="Times New Roman"/>
                  </w:rPr>
                </m:ctrlPr>
              </m:fPr>
              <m:num>
                <m:r>
                  <m:rPr>
                    <m:sty m:val="p"/>
                  </m:rPr>
                  <w:rPr>
                    <w:rFonts w:ascii="Cambria Math" w:hAnsi="Cambria Math" w:cs="Times New Roman"/>
                  </w:rPr>
                  <m:t>2</m:t>
                </m:r>
              </m:num>
              <m:den>
                <m:r>
                  <w:rPr>
                    <w:rFonts w:ascii="Cambria Math" w:hAnsi="Cambria Math" w:cs="Times New Roman"/>
                  </w:rPr>
                  <m:t>N</m:t>
                </m:r>
                <m:r>
                  <m:rPr>
                    <m:sty m:val="p"/>
                  </m:rPr>
                  <w:rPr>
                    <w:rFonts w:ascii="Cambria Math" w:hAnsi="Cambria Math" w:cs="Times New Roman"/>
                  </w:rPr>
                  <m:t>(</m:t>
                </m:r>
                <m:r>
                  <w:rPr>
                    <w:rFonts w:ascii="Cambria Math" w:hAnsi="Cambria Math" w:cs="Times New Roman"/>
                  </w:rPr>
                  <m:t>N</m:t>
                </m:r>
                <m:r>
                  <m:rPr>
                    <m:sty m:val="p"/>
                  </m:rPr>
                  <w:rPr>
                    <w:rFonts w:ascii="Cambria Math" w:hAnsi="Cambria Math" w:cs="Times New Roman"/>
                  </w:rPr>
                  <m:t>-1)</m:t>
                </m:r>
              </m:den>
            </m:f>
          </m:e>
        </m:rad>
        <m:sSubSup>
          <m:sSubSupPr>
            <m:ctrlPr>
              <w:rPr>
                <w:rFonts w:ascii="Cambria Math" w:hAnsi="Cambria Math" w:cs="Times New Roman"/>
              </w:rPr>
            </m:ctrlPr>
          </m:sSubSupPr>
          <m:e>
            <m:r>
              <m:rPr>
                <m:sty m:val="p"/>
              </m:rPr>
              <w:rPr>
                <w:rFonts w:ascii="Cambria Math" w:hAnsi="Cambria Math" w:cs="Times New Roman"/>
              </w:rPr>
              <m:t>∑</m:t>
            </m:r>
          </m:e>
          <m:sub>
            <m:r>
              <w:rPr>
                <w:rFonts w:ascii="Cambria Math" w:hAnsi="Cambria Math" w:cs="Times New Roman"/>
              </w:rPr>
              <m:t>i</m:t>
            </m:r>
            <m:r>
              <m:rPr>
                <m:sty m:val="p"/>
              </m:rPr>
              <w:rPr>
                <w:rFonts w:ascii="Cambria Math" w:hAnsi="Cambria Math" w:cs="Times New Roman"/>
              </w:rPr>
              <m:t>=1</m:t>
            </m:r>
          </m:sub>
          <m:sup>
            <m:r>
              <w:rPr>
                <w:rFonts w:ascii="Cambria Math" w:hAnsi="Cambria Math" w:cs="Times New Roman"/>
              </w:rPr>
              <m:t>N</m:t>
            </m:r>
            <m:r>
              <m:rPr>
                <m:sty m:val="p"/>
              </m:rPr>
              <w:rPr>
                <w:rFonts w:ascii="Cambria Math" w:hAnsi="Cambria Math" w:cs="Times New Roman"/>
              </w:rPr>
              <m:t>-1</m:t>
            </m:r>
          </m:sup>
        </m:sSubSup>
        <m:r>
          <m:rPr>
            <m:sty m:val="p"/>
          </m:rPr>
          <w:rPr>
            <w:rFonts w:ascii="Cambria Math" w:hAnsi="Cambria Math" w:cs="Times New Roman"/>
          </w:rPr>
          <m:t> </m:t>
        </m:r>
        <m:sSubSup>
          <m:sSubSupPr>
            <m:ctrlPr>
              <w:rPr>
                <w:rFonts w:ascii="Cambria Math" w:hAnsi="Cambria Math" w:cs="Times New Roman"/>
              </w:rPr>
            </m:ctrlPr>
          </m:sSubSupPr>
          <m:e>
            <m:r>
              <m:rPr>
                <m:sty m:val="p"/>
              </m:rPr>
              <w:rPr>
                <w:rFonts w:ascii="Cambria Math" w:hAnsi="Cambria Math" w:cs="Times New Roman"/>
              </w:rPr>
              <m:t>∑</m:t>
            </m:r>
          </m:e>
          <m:sub>
            <m:r>
              <w:rPr>
                <w:rFonts w:ascii="Cambria Math" w:hAnsi="Cambria Math" w:cs="Times New Roman"/>
              </w:rPr>
              <m:t>j</m:t>
            </m:r>
            <m:r>
              <m:rPr>
                <m:sty m:val="p"/>
              </m:rPr>
              <w:rPr>
                <w:rFonts w:ascii="Cambria Math" w:hAnsi="Cambria Math" w:cs="Times New Roman"/>
              </w:rPr>
              <m:t>=</m:t>
            </m:r>
            <m:r>
              <w:rPr>
                <w:rFonts w:ascii="Cambria Math" w:hAnsi="Cambria Math" w:cs="Times New Roman"/>
              </w:rPr>
              <m:t>i</m:t>
            </m:r>
            <m:r>
              <m:rPr>
                <m:sty m:val="p"/>
              </m:rPr>
              <w:rPr>
                <w:rFonts w:ascii="Cambria Math" w:hAnsi="Cambria Math" w:cs="Times New Roman"/>
              </w:rPr>
              <m:t>+1</m:t>
            </m:r>
          </m:sub>
          <m:sup>
            <m:r>
              <w:rPr>
                <w:rFonts w:ascii="Cambria Math" w:hAnsi="Cambria Math" w:cs="Times New Roman"/>
              </w:rPr>
              <m:t>N</m:t>
            </m:r>
          </m:sup>
        </m:sSubSup>
        <m:r>
          <m:rPr>
            <m:sty m:val="p"/>
          </m:rPr>
          <w:rPr>
            <w:rFonts w:ascii="Cambria Math" w:hAnsi="Cambria Math" w:cs="Times New Roman"/>
          </w:rPr>
          <m:t> </m:t>
        </m:r>
        <m:f>
          <m:fPr>
            <m:ctrlPr>
              <w:rPr>
                <w:rFonts w:ascii="Cambria Math" w:hAnsi="Cambria Math" w:cs="Times New Roman"/>
              </w:rPr>
            </m:ctrlPr>
          </m:fPr>
          <m:num>
            <m:r>
              <m:rPr>
                <m:sty m:val="p"/>
              </m:rPr>
              <w:rPr>
                <w:rFonts w:ascii="Cambria Math" w:hAnsi="Cambria Math" w:cs="Times New Roman"/>
              </w:rPr>
              <m:t>(</m:t>
            </m:r>
            <m:r>
              <w:rPr>
                <w:rFonts w:ascii="Cambria Math" w:hAnsi="Cambria Math" w:cs="Times New Roman"/>
              </w:rPr>
              <m:t>T</m:t>
            </m:r>
            <m:r>
              <m:rPr>
                <m:sty m:val="p"/>
              </m:rPr>
              <w:rPr>
                <w:rFonts w:ascii="Cambria Math" w:hAnsi="Cambria Math" w:cs="Times New Roman"/>
              </w:rPr>
              <m:t>-</m:t>
            </m:r>
            <m:r>
              <w:rPr>
                <w:rFonts w:ascii="Cambria Math" w:hAnsi="Cambria Math" w:cs="Times New Roman"/>
              </w:rPr>
              <m:t>K</m:t>
            </m:r>
            <m:r>
              <m:rPr>
                <m:sty m:val="p"/>
              </m:rPr>
              <w:rPr>
                <w:rFonts w:ascii="Cambria Math" w:hAnsi="Cambria Math" w:cs="Times New Roman"/>
              </w:rPr>
              <m:t>)</m:t>
            </m:r>
            <m:sSubSup>
              <m:sSubSupPr>
                <m:ctrlPr>
                  <w:rPr>
                    <w:rFonts w:ascii="Cambria Math" w:hAnsi="Cambria Math" w:cs="Times New Roman"/>
                  </w:rPr>
                </m:ctrlPr>
              </m:sSubSupPr>
              <m:e>
                <m:r>
                  <w:rPr>
                    <w:rFonts w:ascii="Cambria Math" w:hAnsi="Cambria Math" w:cs="Times New Roman"/>
                  </w:rPr>
                  <m:t>ρ</m:t>
                </m:r>
              </m:e>
              <m:sub>
                <m:r>
                  <w:rPr>
                    <w:rFonts w:ascii="Cambria Math" w:hAnsi="Cambria Math" w:cs="Times New Roman"/>
                  </w:rPr>
                  <m:t>ij</m:t>
                </m:r>
              </m:sub>
              <m:sup>
                <m:r>
                  <m:rPr>
                    <m:sty m:val="p"/>
                  </m:rPr>
                  <w:rPr>
                    <w:rFonts w:ascii="Cambria Math" w:hAnsi="Cambria Math" w:cs="Times New Roman"/>
                  </w:rPr>
                  <m:t>2</m:t>
                </m:r>
              </m:sup>
            </m:sSubSup>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μ</m:t>
                </m:r>
              </m:e>
              <m:sub>
                <m:sSub>
                  <m:sSubPr>
                    <m:ctrlPr>
                      <w:rPr>
                        <w:rFonts w:ascii="Cambria Math" w:hAnsi="Cambria Math" w:cs="Times New Roman"/>
                      </w:rPr>
                    </m:ctrlPr>
                  </m:sSubPr>
                  <m:e>
                    <m:r>
                      <w:rPr>
                        <w:rFonts w:ascii="Cambria Math" w:hAnsi="Cambria Math" w:cs="Times New Roman"/>
                      </w:rPr>
                      <m:t>T</m:t>
                    </m:r>
                  </m:e>
                  <m:sub>
                    <m:r>
                      <w:rPr>
                        <w:rFonts w:ascii="Cambria Math" w:hAnsi="Cambria Math" w:cs="Times New Roman"/>
                      </w:rPr>
                      <m:t>ij</m:t>
                    </m:r>
                  </m:sub>
                </m:sSub>
              </m:sub>
            </m:sSub>
          </m:num>
          <m:den>
            <m:sSub>
              <m:sSubPr>
                <m:ctrlPr>
                  <w:rPr>
                    <w:rFonts w:ascii="Cambria Math" w:hAnsi="Cambria Math" w:cs="Times New Roman"/>
                  </w:rPr>
                </m:ctrlPr>
              </m:sSubPr>
              <m:e>
                <m:r>
                  <w:rPr>
                    <w:rFonts w:ascii="Cambria Math" w:hAnsi="Cambria Math" w:cs="Times New Roman"/>
                  </w:rPr>
                  <m:t>ϑ</m:t>
                </m:r>
              </m:e>
              <m:sub>
                <m:sSub>
                  <m:sSubPr>
                    <m:ctrlPr>
                      <w:rPr>
                        <w:rFonts w:ascii="Cambria Math" w:hAnsi="Cambria Math" w:cs="Times New Roman"/>
                      </w:rPr>
                    </m:ctrlPr>
                  </m:sSubPr>
                  <m:e>
                    <m:r>
                      <w:rPr>
                        <w:rFonts w:ascii="Cambria Math" w:hAnsi="Cambria Math" w:cs="Times New Roman"/>
                      </w:rPr>
                      <m:t>T</m:t>
                    </m:r>
                  </m:e>
                  <m:sub>
                    <m:r>
                      <w:rPr>
                        <w:rFonts w:ascii="Cambria Math" w:hAnsi="Cambria Math" w:cs="Times New Roman"/>
                      </w:rPr>
                      <m:t>ij</m:t>
                    </m:r>
                  </m:sub>
                </m:sSub>
              </m:sub>
            </m:sSub>
          </m:den>
        </m:f>
      </m:oMath>
      <w:r w:rsidRPr="002D5CFC">
        <w:rPr>
          <w:rFonts w:ascii="Times New Roman" w:eastAsiaTheme="minorEastAsia" w:hAnsi="Times New Roman" w:cs="Times New Roman"/>
        </w:rPr>
        <w:t xml:space="preserve">      </w:t>
      </w:r>
      <w:r>
        <w:rPr>
          <w:rFonts w:ascii="Times New Roman" w:eastAsiaTheme="minorEastAsia" w:hAnsi="Times New Roman" w:cs="Times New Roman"/>
        </w:rPr>
        <w:t xml:space="preserve">                                                                               </w:t>
      </w:r>
      <w:r w:rsidR="002874EB">
        <w:rPr>
          <w:rFonts w:ascii="Times New Roman" w:eastAsiaTheme="minorEastAsia" w:hAnsi="Times New Roman" w:cs="Times New Roman"/>
        </w:rPr>
        <w:t xml:space="preserve">           </w:t>
      </w:r>
      <w:r>
        <w:rPr>
          <w:rFonts w:ascii="Times New Roman" w:eastAsiaTheme="minorEastAsia" w:hAnsi="Times New Roman" w:cs="Times New Roman"/>
        </w:rPr>
        <w:t>(2)</w:t>
      </w:r>
    </w:p>
    <w:p w:rsidR="00D676E0" w:rsidRDefault="00D676E0" w:rsidP="002874EB">
      <w:pPr>
        <w:jc w:val="both"/>
        <w:rPr>
          <w:rFonts w:ascii="Times New Roman" w:eastAsiaTheme="minorEastAsia" w:hAnsi="Times New Roman" w:cs="Times New Roman"/>
        </w:rPr>
      </w:pPr>
    </w:p>
    <w:p w:rsidR="00D676E0" w:rsidRPr="002D5CFC" w:rsidRDefault="00D676E0" w:rsidP="002874EB">
      <w:pPr>
        <w:jc w:val="both"/>
        <w:rPr>
          <w:rFonts w:ascii="Times New Roman" w:eastAsiaTheme="minorEastAsia" w:hAnsi="Times New Roman" w:cs="Times New Roman"/>
          <w:sz w:val="24"/>
          <w:szCs w:val="24"/>
        </w:rPr>
      </w:pPr>
      <w:r w:rsidRPr="002D5CFC">
        <w:rPr>
          <w:rFonts w:ascii="Times New Roman" w:eastAsiaTheme="minorEastAsia" w:hAnsi="Times New Roman" w:cs="Times New Roman"/>
          <w:sz w:val="24"/>
          <w:szCs w:val="24"/>
        </w:rPr>
        <w:t xml:space="preserve">Test results show that there exists cross sectional dependency among units. Therefore, the alternative hypothesis </w:t>
      </w:r>
      <w:proofErr w:type="gramStart"/>
      <w:r w:rsidRPr="002D5CFC">
        <w:rPr>
          <w:rFonts w:ascii="Times New Roman" w:eastAsiaTheme="minorEastAsia" w:hAnsi="Times New Roman" w:cs="Times New Roman"/>
          <w:sz w:val="24"/>
          <w:szCs w:val="24"/>
        </w:rPr>
        <w:t>is accepted</w:t>
      </w:r>
      <w:proofErr w:type="gramEnd"/>
      <w:r w:rsidRPr="002D5CFC">
        <w:rPr>
          <w:rFonts w:ascii="Times New Roman" w:eastAsiaTheme="minorEastAsia" w:hAnsi="Times New Roman" w:cs="Times New Roman"/>
          <w:sz w:val="24"/>
          <w:szCs w:val="24"/>
        </w:rPr>
        <w:t xml:space="preserve"> at 1% significance level. (</w:t>
      </w:r>
      <w:proofErr w:type="gramStart"/>
      <w:r w:rsidRPr="002D5CFC">
        <w:rPr>
          <w:rFonts w:ascii="Times New Roman" w:eastAsiaTheme="minorEastAsia" w:hAnsi="Times New Roman" w:cs="Times New Roman"/>
          <w:sz w:val="24"/>
          <w:szCs w:val="24"/>
        </w:rPr>
        <w:t>p</w:t>
      </w:r>
      <w:proofErr w:type="gramEnd"/>
      <w:r w:rsidRPr="002D5CFC">
        <w:rPr>
          <w:rFonts w:ascii="Times New Roman" w:eastAsiaTheme="minorEastAsia" w:hAnsi="Times New Roman" w:cs="Times New Roman"/>
          <w:sz w:val="24"/>
          <w:szCs w:val="24"/>
        </w:rPr>
        <w:t xml:space="preserve"> &lt; 0.00 and this holds among all aforementioned tests.) </w:t>
      </w:r>
    </w:p>
    <w:p w:rsidR="002874EB" w:rsidRPr="002D5CFC" w:rsidRDefault="00A03542" w:rsidP="002874EB">
      <w:pPr>
        <w:jc w:val="both"/>
        <w:rPr>
          <w:rFonts w:ascii="Times New Roman" w:eastAsiaTheme="minorEastAsia" w:hAnsi="Times New Roman" w:cs="Times New Roman"/>
          <w:sz w:val="24"/>
          <w:szCs w:val="24"/>
        </w:rPr>
      </w:pPr>
      <w:r w:rsidRPr="002D5CFC">
        <w:rPr>
          <w:rFonts w:ascii="Times New Roman" w:eastAsiaTheme="minorEastAsia" w:hAnsi="Times New Roman" w:cs="Times New Roman"/>
          <w:sz w:val="24"/>
          <w:szCs w:val="24"/>
        </w:rPr>
        <w:t xml:space="preserve">Secondly, </w:t>
      </w:r>
      <w:r w:rsidR="00445C96" w:rsidRPr="002D5CFC">
        <w:rPr>
          <w:rFonts w:ascii="Times New Roman" w:eastAsiaTheme="minorEastAsia" w:hAnsi="Times New Roman" w:cs="Times New Roman"/>
          <w:sz w:val="24"/>
          <w:szCs w:val="24"/>
        </w:rPr>
        <w:t xml:space="preserve">the </w:t>
      </w:r>
      <w:r w:rsidRPr="002D5CFC">
        <w:rPr>
          <w:rFonts w:ascii="Times New Roman" w:eastAsiaTheme="minorEastAsia" w:hAnsi="Times New Roman" w:cs="Times New Roman"/>
          <w:sz w:val="24"/>
          <w:szCs w:val="24"/>
        </w:rPr>
        <w:t>slope homoge</w:t>
      </w:r>
      <w:r w:rsidR="00D75B16" w:rsidRPr="002D5CFC">
        <w:rPr>
          <w:rFonts w:ascii="Times New Roman" w:eastAsiaTheme="minorEastAsia" w:hAnsi="Times New Roman" w:cs="Times New Roman"/>
          <w:sz w:val="24"/>
          <w:szCs w:val="24"/>
        </w:rPr>
        <w:t>n</w:t>
      </w:r>
      <w:r w:rsidRPr="002D5CFC">
        <w:rPr>
          <w:rFonts w:ascii="Times New Roman" w:eastAsiaTheme="minorEastAsia" w:hAnsi="Times New Roman" w:cs="Times New Roman"/>
          <w:sz w:val="24"/>
          <w:szCs w:val="24"/>
        </w:rPr>
        <w:t>ei</w:t>
      </w:r>
      <w:r w:rsidR="00D75B16" w:rsidRPr="002D5CFC">
        <w:rPr>
          <w:rFonts w:ascii="Times New Roman" w:eastAsiaTheme="minorEastAsia" w:hAnsi="Times New Roman" w:cs="Times New Roman"/>
          <w:sz w:val="24"/>
          <w:szCs w:val="24"/>
        </w:rPr>
        <w:t xml:space="preserve">ty </w:t>
      </w:r>
      <w:proofErr w:type="gramStart"/>
      <w:r w:rsidRPr="002D5CFC">
        <w:rPr>
          <w:rFonts w:ascii="Times New Roman" w:eastAsiaTheme="minorEastAsia" w:hAnsi="Times New Roman" w:cs="Times New Roman"/>
          <w:sz w:val="24"/>
          <w:szCs w:val="24"/>
        </w:rPr>
        <w:t>is tested</w:t>
      </w:r>
      <w:proofErr w:type="gramEnd"/>
      <w:r w:rsidRPr="002D5CFC">
        <w:rPr>
          <w:rFonts w:ascii="Times New Roman" w:eastAsiaTheme="minorEastAsia" w:hAnsi="Times New Roman" w:cs="Times New Roman"/>
          <w:sz w:val="24"/>
          <w:szCs w:val="24"/>
        </w:rPr>
        <w:t xml:space="preserve"> via Delta </w:t>
      </w:r>
      <w:r w:rsidR="006E111B" w:rsidRPr="002D5CFC">
        <w:rPr>
          <w:rFonts w:ascii="Times New Roman" w:eastAsiaTheme="minorEastAsia" w:hAnsi="Times New Roman" w:cs="Times New Roman"/>
          <w:sz w:val="24"/>
          <w:szCs w:val="24"/>
        </w:rPr>
        <w:t>test</w:t>
      </w:r>
      <w:r w:rsidR="002874EB" w:rsidRPr="002D5CFC">
        <w:rPr>
          <w:rFonts w:ascii="Times New Roman" w:eastAsiaTheme="minorEastAsia" w:hAnsi="Times New Roman" w:cs="Times New Roman"/>
          <w:sz w:val="24"/>
          <w:szCs w:val="24"/>
        </w:rPr>
        <w:t xml:space="preserve"> developed by</w:t>
      </w:r>
      <w:r w:rsidR="002874EB" w:rsidRPr="002D5CFC">
        <w:rPr>
          <w:rFonts w:ascii="Times New Roman" w:hAnsi="Times New Roman" w:cs="Times New Roman"/>
          <w:sz w:val="24"/>
          <w:szCs w:val="24"/>
        </w:rPr>
        <w:t xml:space="preserve"> </w:t>
      </w:r>
      <w:proofErr w:type="spellStart"/>
      <w:r w:rsidR="002874EB" w:rsidRPr="002D5CFC">
        <w:rPr>
          <w:rFonts w:ascii="Times New Roman" w:eastAsiaTheme="minorEastAsia" w:hAnsi="Times New Roman" w:cs="Times New Roman"/>
          <w:sz w:val="24"/>
          <w:szCs w:val="24"/>
        </w:rPr>
        <w:t>Pesaran</w:t>
      </w:r>
      <w:proofErr w:type="spellEnd"/>
      <w:r w:rsidR="002874EB" w:rsidRPr="002D5CFC">
        <w:rPr>
          <w:rFonts w:ascii="Times New Roman" w:eastAsiaTheme="minorEastAsia" w:hAnsi="Times New Roman" w:cs="Times New Roman"/>
          <w:sz w:val="24"/>
          <w:szCs w:val="24"/>
        </w:rPr>
        <w:t xml:space="preserve"> </w:t>
      </w:r>
      <w:proofErr w:type="spellStart"/>
      <w:r w:rsidR="002874EB" w:rsidRPr="002D5CFC">
        <w:rPr>
          <w:rFonts w:ascii="Times New Roman" w:eastAsiaTheme="minorEastAsia" w:hAnsi="Times New Roman" w:cs="Times New Roman"/>
          <w:sz w:val="24"/>
          <w:szCs w:val="24"/>
        </w:rPr>
        <w:t>ve</w:t>
      </w:r>
      <w:proofErr w:type="spellEnd"/>
      <w:r w:rsidR="002874EB" w:rsidRPr="002D5CFC">
        <w:rPr>
          <w:rFonts w:ascii="Times New Roman" w:eastAsiaTheme="minorEastAsia" w:hAnsi="Times New Roman" w:cs="Times New Roman"/>
          <w:sz w:val="24"/>
          <w:szCs w:val="24"/>
        </w:rPr>
        <w:t xml:space="preserve"> Yamagata (2008): </w:t>
      </w:r>
    </w:p>
    <w:p w:rsidR="002874EB" w:rsidRPr="002D5CFC" w:rsidRDefault="00E0785D" w:rsidP="002874EB">
      <w:pPr>
        <w:jc w:val="both"/>
        <w:rPr>
          <w:rFonts w:ascii="Times New Roman" w:eastAsiaTheme="minorEastAsia" w:hAnsi="Times New Roman" w:cs="Times New Roman"/>
          <w:sz w:val="24"/>
          <w:szCs w:val="24"/>
        </w:rPr>
      </w:pPr>
      <m:oMath>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Δ</m:t>
            </m:r>
          </m:e>
        </m:acc>
        <m:r>
          <w:rPr>
            <w:rFonts w:ascii="Cambria Math" w:eastAsiaTheme="minorEastAsia" w:hAnsi="Cambria Math" w:cs="Times New Roman"/>
            <w:sz w:val="24"/>
            <w:szCs w:val="24"/>
          </w:rPr>
          <m:t>=</m:t>
        </m:r>
        <m:rad>
          <m:radPr>
            <m:degHide m:val="1"/>
            <m:ctrlPr>
              <w:rPr>
                <w:rFonts w:ascii="Cambria Math" w:eastAsiaTheme="minorEastAsia" w:hAnsi="Cambria Math" w:cs="Times New Roman"/>
                <w:sz w:val="24"/>
                <w:szCs w:val="24"/>
              </w:rPr>
            </m:ctrlPr>
          </m:radPr>
          <m:deg/>
          <m:e>
            <m:r>
              <w:rPr>
                <w:rFonts w:ascii="Cambria Math" w:eastAsiaTheme="minorEastAsia" w:hAnsi="Cambria Math" w:cs="Times New Roman"/>
                <w:sz w:val="24"/>
                <w:szCs w:val="24"/>
              </w:rPr>
              <m:t>N</m:t>
            </m:r>
          </m:e>
        </m:rad>
        <m:f>
          <m:fPr>
            <m:ctrlPr>
              <w:rPr>
                <w:rFonts w:ascii="Cambria Math" w:eastAsiaTheme="minorEastAsia" w:hAnsi="Cambria Math" w:cs="Times New Roman"/>
                <w:sz w:val="24"/>
                <w:szCs w:val="24"/>
              </w:rPr>
            </m:ctrlPr>
          </m:fPr>
          <m:num>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N</m:t>
                </m:r>
              </m:e>
              <m:sup>
                <m:r>
                  <w:rPr>
                    <w:rFonts w:ascii="Cambria Math" w:eastAsiaTheme="minorEastAsia" w:hAnsi="Cambria Math" w:cs="Times New Roman"/>
                    <w:sz w:val="24"/>
                    <w:szCs w:val="24"/>
                  </w:rPr>
                  <m:t>-1</m:t>
                </m:r>
              </m:sup>
            </m:sSup>
            <m:acc>
              <m:accPr>
                <m:chr m:val="̌"/>
                <m:ctrlPr>
                  <w:rPr>
                    <w:rFonts w:ascii="Cambria Math" w:eastAsiaTheme="minorEastAsia" w:hAnsi="Cambria Math" w:cs="Times New Roman"/>
                    <w:sz w:val="24"/>
                    <w:szCs w:val="24"/>
                  </w:rPr>
                </m:ctrlPr>
              </m:accPr>
              <m:e>
                <m:r>
                  <w:rPr>
                    <w:rFonts w:ascii="Cambria Math" w:eastAsiaTheme="minorEastAsia" w:hAnsi="Cambria Math" w:cs="Times New Roman"/>
                    <w:sz w:val="24"/>
                    <w:szCs w:val="24"/>
                  </w:rPr>
                  <m:t>S</m:t>
                </m:r>
              </m:e>
            </m:acc>
            <m:r>
              <w:rPr>
                <w:rFonts w:ascii="Cambria Math" w:eastAsiaTheme="minorEastAsia" w:hAnsi="Cambria Math" w:cs="Times New Roman"/>
                <w:sz w:val="24"/>
                <w:szCs w:val="24"/>
              </w:rPr>
              <m:t>-K</m:t>
            </m:r>
          </m:num>
          <m:den>
            <m:rad>
              <m:radPr>
                <m:degHide m:val="1"/>
                <m:ctrlPr>
                  <w:rPr>
                    <w:rFonts w:ascii="Cambria Math" w:eastAsiaTheme="minorEastAsia" w:hAnsi="Cambria Math" w:cs="Times New Roman"/>
                    <w:sz w:val="24"/>
                    <w:szCs w:val="24"/>
                  </w:rPr>
                </m:ctrlPr>
              </m:radPr>
              <m:deg/>
              <m:e>
                <m:r>
                  <w:rPr>
                    <w:rFonts w:ascii="Cambria Math" w:eastAsiaTheme="minorEastAsia" w:hAnsi="Cambria Math" w:cs="Times New Roman"/>
                    <w:sz w:val="24"/>
                    <w:szCs w:val="24"/>
                  </w:rPr>
                  <m:t>2k</m:t>
                </m:r>
              </m:e>
            </m:rad>
          </m:den>
        </m:f>
      </m:oMath>
      <w:r w:rsidR="002874EB" w:rsidRPr="002D5CFC">
        <w:rPr>
          <w:rFonts w:ascii="Times New Roman" w:eastAsiaTheme="minorEastAsia" w:hAnsi="Times New Roman" w:cs="Times New Roman"/>
          <w:sz w:val="24"/>
          <w:szCs w:val="24"/>
        </w:rPr>
        <w:t xml:space="preserve">                                                                                                                                             (3)</w:t>
      </w:r>
    </w:p>
    <w:p w:rsidR="00FA1325" w:rsidRPr="002D5CFC" w:rsidRDefault="00D90634" w:rsidP="002874EB">
      <w:pPr>
        <w:jc w:val="both"/>
        <w:rPr>
          <w:rFonts w:ascii="Times New Roman" w:eastAsiaTheme="minorEastAsia" w:hAnsi="Times New Roman" w:cs="Times New Roman"/>
          <w:sz w:val="24"/>
          <w:szCs w:val="24"/>
        </w:rPr>
      </w:pPr>
      <w:r w:rsidRPr="002D5CFC">
        <w:rPr>
          <w:rFonts w:ascii="Times New Roman" w:eastAsiaTheme="minorEastAsia" w:hAnsi="Times New Roman" w:cs="Times New Roman"/>
          <w:sz w:val="24"/>
          <w:szCs w:val="24"/>
        </w:rPr>
        <w:t>The t</w:t>
      </w:r>
      <w:r w:rsidR="00A03542" w:rsidRPr="002D5CFC">
        <w:rPr>
          <w:rFonts w:ascii="Times New Roman" w:eastAsiaTheme="minorEastAsia" w:hAnsi="Times New Roman" w:cs="Times New Roman"/>
          <w:sz w:val="24"/>
          <w:szCs w:val="24"/>
        </w:rPr>
        <w:t xml:space="preserve">est </w:t>
      </w:r>
      <w:r w:rsidR="006E111B" w:rsidRPr="002D5CFC">
        <w:rPr>
          <w:rFonts w:ascii="Times New Roman" w:eastAsiaTheme="minorEastAsia" w:hAnsi="Times New Roman" w:cs="Times New Roman"/>
          <w:sz w:val="24"/>
          <w:szCs w:val="24"/>
        </w:rPr>
        <w:t>result</w:t>
      </w:r>
      <w:r w:rsidR="00A03542" w:rsidRPr="002D5CFC">
        <w:rPr>
          <w:rFonts w:ascii="Times New Roman" w:eastAsiaTheme="minorEastAsia" w:hAnsi="Times New Roman" w:cs="Times New Roman"/>
          <w:sz w:val="24"/>
          <w:szCs w:val="24"/>
        </w:rPr>
        <w:t xml:space="preserve"> show</w:t>
      </w:r>
      <w:r w:rsidR="006E111B" w:rsidRPr="002D5CFC">
        <w:rPr>
          <w:rFonts w:ascii="Times New Roman" w:eastAsiaTheme="minorEastAsia" w:hAnsi="Times New Roman" w:cs="Times New Roman"/>
          <w:sz w:val="24"/>
          <w:szCs w:val="24"/>
        </w:rPr>
        <w:t>s</w:t>
      </w:r>
      <w:r w:rsidR="00A03542" w:rsidRPr="002D5CFC">
        <w:rPr>
          <w:rFonts w:ascii="Times New Roman" w:eastAsiaTheme="minorEastAsia" w:hAnsi="Times New Roman" w:cs="Times New Roman"/>
          <w:sz w:val="24"/>
          <w:szCs w:val="24"/>
        </w:rPr>
        <w:t xml:space="preserve"> that the slope coe</w:t>
      </w:r>
      <w:r w:rsidR="00841160" w:rsidRPr="002D5CFC">
        <w:rPr>
          <w:rFonts w:ascii="Times New Roman" w:eastAsiaTheme="minorEastAsia" w:hAnsi="Times New Roman" w:cs="Times New Roman"/>
          <w:sz w:val="24"/>
          <w:szCs w:val="24"/>
        </w:rPr>
        <w:t>fficients are not homogenous whi</w:t>
      </w:r>
      <w:r w:rsidR="00A03542" w:rsidRPr="002D5CFC">
        <w:rPr>
          <w:rFonts w:ascii="Times New Roman" w:eastAsiaTheme="minorEastAsia" w:hAnsi="Times New Roman" w:cs="Times New Roman"/>
          <w:sz w:val="24"/>
          <w:szCs w:val="24"/>
        </w:rPr>
        <w:t xml:space="preserve">ch further suggests that </w:t>
      </w:r>
      <w:r w:rsidR="006E111B" w:rsidRPr="002D5CFC">
        <w:rPr>
          <w:rFonts w:ascii="Times New Roman" w:eastAsiaTheme="minorEastAsia" w:hAnsi="Times New Roman" w:cs="Times New Roman"/>
          <w:sz w:val="24"/>
          <w:szCs w:val="24"/>
        </w:rPr>
        <w:t>the null hypothesis s</w:t>
      </w:r>
      <w:r w:rsidR="002874EB" w:rsidRPr="002D5CFC">
        <w:rPr>
          <w:rFonts w:ascii="Times New Roman" w:eastAsiaTheme="minorEastAsia" w:hAnsi="Times New Roman" w:cs="Times New Roman"/>
          <w:sz w:val="24"/>
          <w:szCs w:val="24"/>
        </w:rPr>
        <w:t xml:space="preserve">hould be </w:t>
      </w:r>
      <w:r w:rsidR="000808ED" w:rsidRPr="002D5CFC">
        <w:rPr>
          <w:rFonts w:ascii="Times New Roman" w:eastAsiaTheme="minorEastAsia" w:hAnsi="Times New Roman" w:cs="Times New Roman"/>
          <w:sz w:val="24"/>
          <w:szCs w:val="24"/>
        </w:rPr>
        <w:t>rejected</w:t>
      </w:r>
      <w:r w:rsidR="006E111B" w:rsidRPr="002D5CFC">
        <w:rPr>
          <w:rFonts w:ascii="Times New Roman" w:eastAsiaTheme="minorEastAsia" w:hAnsi="Times New Roman" w:cs="Times New Roman"/>
          <w:sz w:val="24"/>
          <w:szCs w:val="24"/>
        </w:rPr>
        <w:t xml:space="preserve"> (</w:t>
      </w:r>
      <w:r w:rsidR="000808ED" w:rsidRPr="002D5CFC">
        <w:rPr>
          <w:rFonts w:ascii="Times New Roman" w:eastAsiaTheme="minorEastAsia" w:hAnsi="Times New Roman" w:cs="Times New Roman"/>
          <w:sz w:val="24"/>
          <w:szCs w:val="24"/>
        </w:rPr>
        <w:t>p &lt; 0.000</w:t>
      </w:r>
      <w:r w:rsidR="006E111B" w:rsidRPr="002D5CFC">
        <w:rPr>
          <w:rFonts w:ascii="Times New Roman" w:eastAsiaTheme="minorEastAsia" w:hAnsi="Times New Roman" w:cs="Times New Roman"/>
          <w:sz w:val="24"/>
          <w:szCs w:val="24"/>
        </w:rPr>
        <w:t xml:space="preserve">). </w:t>
      </w:r>
    </w:p>
    <w:p w:rsidR="000808ED" w:rsidRPr="002D5CFC" w:rsidRDefault="00445C96" w:rsidP="002874EB">
      <w:pPr>
        <w:jc w:val="both"/>
        <w:rPr>
          <w:rFonts w:ascii="Times New Roman" w:eastAsiaTheme="minorEastAsia" w:hAnsi="Times New Roman" w:cs="Times New Roman"/>
          <w:sz w:val="24"/>
          <w:szCs w:val="24"/>
        </w:rPr>
      </w:pPr>
      <w:r w:rsidRPr="002D5CFC">
        <w:rPr>
          <w:rFonts w:ascii="Times New Roman" w:eastAsiaTheme="minorEastAsia" w:hAnsi="Times New Roman" w:cs="Times New Roman"/>
          <w:sz w:val="24"/>
          <w:szCs w:val="24"/>
        </w:rPr>
        <w:t>As a result, to investigate panel causality</w:t>
      </w:r>
      <w:r w:rsidR="00EF2F2B" w:rsidRPr="002D5CFC">
        <w:rPr>
          <w:rFonts w:ascii="Times New Roman" w:eastAsiaTheme="minorEastAsia" w:hAnsi="Times New Roman" w:cs="Times New Roman"/>
          <w:sz w:val="24"/>
          <w:szCs w:val="24"/>
        </w:rPr>
        <w:t>,</w:t>
      </w:r>
      <w:r w:rsidR="00144832" w:rsidRPr="002D5CFC">
        <w:rPr>
          <w:rFonts w:ascii="Times New Roman" w:eastAsiaTheme="minorEastAsia" w:hAnsi="Times New Roman" w:cs="Times New Roman"/>
          <w:sz w:val="24"/>
          <w:szCs w:val="24"/>
        </w:rPr>
        <w:t xml:space="preserve"> </w:t>
      </w:r>
      <w:proofErr w:type="spellStart"/>
      <w:r w:rsidR="000808ED" w:rsidRPr="002D5CFC">
        <w:rPr>
          <w:rFonts w:ascii="Times New Roman" w:eastAsiaTheme="minorEastAsia" w:hAnsi="Times New Roman" w:cs="Times New Roman"/>
          <w:sz w:val="24"/>
          <w:szCs w:val="24"/>
        </w:rPr>
        <w:t>Dumitrescu</w:t>
      </w:r>
      <w:proofErr w:type="spellEnd"/>
      <w:r w:rsidR="000808ED" w:rsidRPr="002D5CFC">
        <w:rPr>
          <w:rFonts w:ascii="Times New Roman" w:eastAsiaTheme="minorEastAsia" w:hAnsi="Times New Roman" w:cs="Times New Roman"/>
          <w:sz w:val="24"/>
          <w:szCs w:val="24"/>
        </w:rPr>
        <w:t xml:space="preserve"> </w:t>
      </w:r>
      <w:proofErr w:type="spellStart"/>
      <w:r w:rsidR="000808ED" w:rsidRPr="002D5CFC">
        <w:rPr>
          <w:rFonts w:ascii="Times New Roman" w:eastAsiaTheme="minorEastAsia" w:hAnsi="Times New Roman" w:cs="Times New Roman"/>
          <w:sz w:val="24"/>
          <w:szCs w:val="24"/>
        </w:rPr>
        <w:t>ve</w:t>
      </w:r>
      <w:proofErr w:type="spellEnd"/>
      <w:r w:rsidR="000808ED" w:rsidRPr="002D5CFC">
        <w:rPr>
          <w:rFonts w:ascii="Times New Roman" w:eastAsiaTheme="minorEastAsia" w:hAnsi="Times New Roman" w:cs="Times New Roman"/>
          <w:sz w:val="24"/>
          <w:szCs w:val="24"/>
        </w:rPr>
        <w:t xml:space="preserve"> </w:t>
      </w:r>
      <w:proofErr w:type="spellStart"/>
      <w:r w:rsidR="000808ED" w:rsidRPr="002D5CFC">
        <w:rPr>
          <w:rFonts w:ascii="Times New Roman" w:eastAsiaTheme="minorEastAsia" w:hAnsi="Times New Roman" w:cs="Times New Roman"/>
          <w:sz w:val="24"/>
          <w:szCs w:val="24"/>
        </w:rPr>
        <w:t>Hurlin</w:t>
      </w:r>
      <w:proofErr w:type="spellEnd"/>
      <w:r w:rsidR="000808ED" w:rsidRPr="002D5CFC">
        <w:rPr>
          <w:rFonts w:ascii="Times New Roman" w:eastAsiaTheme="minorEastAsia" w:hAnsi="Times New Roman" w:cs="Times New Roman"/>
          <w:sz w:val="24"/>
          <w:szCs w:val="24"/>
        </w:rPr>
        <w:t xml:space="preserve"> (2012</w:t>
      </w:r>
      <w:r w:rsidR="002D5CFC" w:rsidRPr="002D5CFC">
        <w:rPr>
          <w:rFonts w:ascii="Times New Roman" w:eastAsiaTheme="minorEastAsia" w:hAnsi="Times New Roman" w:cs="Times New Roman"/>
          <w:sz w:val="24"/>
          <w:szCs w:val="24"/>
        </w:rPr>
        <w:t>: 5</w:t>
      </w:r>
      <w:r w:rsidR="000808ED" w:rsidRPr="002D5CFC">
        <w:rPr>
          <w:rFonts w:ascii="Times New Roman" w:eastAsiaTheme="minorEastAsia" w:hAnsi="Times New Roman" w:cs="Times New Roman"/>
          <w:sz w:val="24"/>
          <w:szCs w:val="24"/>
        </w:rPr>
        <w:t xml:space="preserve">) causality test </w:t>
      </w:r>
      <w:proofErr w:type="gramStart"/>
      <w:r w:rsidR="00144832" w:rsidRPr="002D5CFC">
        <w:rPr>
          <w:rFonts w:ascii="Times New Roman" w:eastAsiaTheme="minorEastAsia" w:hAnsi="Times New Roman" w:cs="Times New Roman"/>
          <w:sz w:val="24"/>
          <w:szCs w:val="24"/>
        </w:rPr>
        <w:t>is</w:t>
      </w:r>
      <w:r w:rsidR="000808ED" w:rsidRPr="002D5CFC">
        <w:rPr>
          <w:rFonts w:ascii="Times New Roman" w:eastAsiaTheme="minorEastAsia" w:hAnsi="Times New Roman" w:cs="Times New Roman"/>
          <w:sz w:val="24"/>
          <w:szCs w:val="24"/>
        </w:rPr>
        <w:t xml:space="preserve"> employed</w:t>
      </w:r>
      <w:proofErr w:type="gramEnd"/>
      <w:r w:rsidR="00352436" w:rsidRPr="002D5CFC">
        <w:rPr>
          <w:rFonts w:ascii="Times New Roman" w:eastAsiaTheme="minorEastAsia" w:hAnsi="Times New Roman" w:cs="Times New Roman"/>
          <w:sz w:val="24"/>
          <w:szCs w:val="24"/>
        </w:rPr>
        <w:t xml:space="preserve"> under the existence of heterogeneous slope coefficients</w:t>
      </w:r>
      <w:r w:rsidR="000808ED" w:rsidRPr="002D5CFC">
        <w:rPr>
          <w:rFonts w:ascii="Times New Roman" w:eastAsiaTheme="minorEastAsia" w:hAnsi="Times New Roman" w:cs="Times New Roman"/>
          <w:sz w:val="24"/>
          <w:szCs w:val="24"/>
        </w:rPr>
        <w:t xml:space="preserve">: </w:t>
      </w:r>
    </w:p>
    <w:p w:rsidR="00570596" w:rsidRDefault="000808ED" w:rsidP="002874EB">
      <w:pPr>
        <w:jc w:val="both"/>
        <w:rPr>
          <w:rFonts w:ascii="Times New Roman" w:eastAsiaTheme="minorEastAsia" w:hAnsi="Times New Roman" w:cs="Times New Roman"/>
          <w:sz w:val="24"/>
          <w:szCs w:val="24"/>
        </w:rPr>
      </w:pPr>
      <w:r w:rsidRPr="002D5CFC">
        <w:rPr>
          <w:rFonts w:ascii="Times New Roman" w:eastAsiaTheme="minorEastAsia" w:hAnsi="Times New Roman" w:cs="Times New Roman"/>
          <w:sz w:val="24"/>
          <w:szCs w:val="24"/>
        </w:rPr>
        <w:t xml:space="preserve">     </w:t>
      </w:r>
      <m:oMath>
        <m:eqArr>
          <m:eqArrPr>
            <m:ctrlPr>
              <w:rPr>
                <w:rFonts w:ascii="Cambria Math" w:eastAsiaTheme="minorEastAsia" w:hAnsi="Cambria Math" w:cs="Times New Roman"/>
                <w:sz w:val="24"/>
                <w:szCs w:val="24"/>
              </w:rPr>
            </m:ctrlPr>
          </m:eqArrPr>
          <m:e>
            <m:r>
              <w:rPr>
                <w:rFonts w:ascii="Cambria Math" w:eastAsiaTheme="minorEastAsia" w:hAnsi="Cambria Math" w:cs="Times New Roman"/>
                <w:sz w:val="24"/>
                <w:szCs w:val="24"/>
              </w:rPr>
              <m:t>&amp;</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it</m:t>
                </m:r>
              </m:sub>
            </m:sSub>
            <m: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nary>
              <m:naryPr>
                <m:chr m:val="∑"/>
                <m:limLoc m:val="undOvr"/>
                <m:grow m:val="1"/>
                <m:ctrlPr>
                  <w:rPr>
                    <w:rFonts w:ascii="Cambria Math" w:eastAsiaTheme="minorEastAsia" w:hAnsi="Cambria Math" w:cs="Times New Roman"/>
                    <w:sz w:val="24"/>
                    <w:szCs w:val="24"/>
                  </w:rPr>
                </m:ctrlPr>
              </m:naryPr>
              <m:sub>
                <m:r>
                  <w:rPr>
                    <w:rFonts w:ascii="Cambria Math" w:eastAsiaTheme="minorEastAsia" w:hAnsi="Cambria Math" w:cs="Times New Roman"/>
                    <w:sz w:val="24"/>
                    <w:szCs w:val="24"/>
                  </w:rPr>
                  <m:t>k=1</m:t>
                </m:r>
              </m:sub>
              <m:sup>
                <m:r>
                  <w:rPr>
                    <w:rFonts w:ascii="Cambria Math" w:eastAsiaTheme="minorEastAsia" w:hAnsi="Cambria Math" w:cs="Times New Roman"/>
                    <w:sz w:val="24"/>
                    <w:szCs w:val="24"/>
                  </w:rPr>
                  <m:t>K</m:t>
                </m:r>
              </m:sup>
              <m:e>
                <m:r>
                  <w:rPr>
                    <w:rFonts w:ascii="Cambria Math" w:eastAsiaTheme="minorEastAsia" w:hAnsi="Cambria Math" w:cs="Times New Roman"/>
                    <w:sz w:val="24"/>
                    <w:szCs w:val="24"/>
                  </w:rPr>
                  <m:t> </m:t>
                </m:r>
              </m:e>
            </m:nary>
            <m:sSubSup>
              <m:sSubSupPr>
                <m:ctrlPr>
                  <w:rPr>
                    <w:rFonts w:ascii="Cambria Math" w:eastAsiaTheme="minorEastAsia" w:hAnsi="Cambria Math" w:cs="Times New Roman"/>
                    <w:sz w:val="24"/>
                    <w:szCs w:val="24"/>
                  </w:rPr>
                </m:ctrlPr>
              </m:sSubSup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(k)</m:t>
                </m:r>
              </m:sup>
            </m:sSubSup>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i,t-k</m:t>
                </m:r>
              </m:sub>
            </m:sSub>
            <m:r>
              <w:rPr>
                <w:rFonts w:ascii="Cambria Math" w:eastAsiaTheme="minorEastAsia" w:hAnsi="Cambria Math" w:cs="Times New Roman"/>
                <w:sz w:val="24"/>
                <w:szCs w:val="24"/>
              </w:rPr>
              <m:t>+</m:t>
            </m:r>
            <m:nary>
              <m:naryPr>
                <m:chr m:val="∑"/>
                <m:limLoc m:val="undOvr"/>
                <m:grow m:val="1"/>
                <m:ctrlPr>
                  <w:rPr>
                    <w:rFonts w:ascii="Cambria Math" w:eastAsiaTheme="minorEastAsia" w:hAnsi="Cambria Math" w:cs="Times New Roman"/>
                    <w:sz w:val="24"/>
                    <w:szCs w:val="24"/>
                  </w:rPr>
                </m:ctrlPr>
              </m:naryPr>
              <m:sub>
                <m:r>
                  <w:rPr>
                    <w:rFonts w:ascii="Cambria Math" w:eastAsiaTheme="minorEastAsia" w:hAnsi="Cambria Math" w:cs="Times New Roman"/>
                    <w:sz w:val="24"/>
                    <w:szCs w:val="24"/>
                  </w:rPr>
                  <m:t>k=1</m:t>
                </m:r>
              </m:sub>
              <m:sup>
                <m:r>
                  <w:rPr>
                    <w:rFonts w:ascii="Cambria Math" w:eastAsiaTheme="minorEastAsia" w:hAnsi="Cambria Math" w:cs="Times New Roman"/>
                    <w:sz w:val="24"/>
                    <w:szCs w:val="24"/>
                  </w:rPr>
                  <m:t>K</m:t>
                </m:r>
              </m:sup>
              <m:e>
                <m:r>
                  <w:rPr>
                    <w:rFonts w:ascii="Cambria Math" w:eastAsiaTheme="minorEastAsia" w:hAnsi="Cambria Math" w:cs="Times New Roman"/>
                    <w:sz w:val="24"/>
                    <w:szCs w:val="24"/>
                  </w:rPr>
                  <m:t> </m:t>
                </m:r>
              </m:e>
            </m:nary>
            <m:sSubSup>
              <m:sSubSupPr>
                <m:ctrlPr>
                  <w:rPr>
                    <w:rFonts w:ascii="Cambria Math" w:eastAsiaTheme="minorEastAsia" w:hAnsi="Cambria Math" w:cs="Times New Roman"/>
                    <w:sz w:val="24"/>
                    <w:szCs w:val="24"/>
                  </w:rPr>
                </m:ctrlPr>
              </m:sSubSup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(k)</m:t>
                </m:r>
              </m:sup>
            </m:sSubSup>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i,t-k</m:t>
                </m:r>
              </m:sub>
            </m:sSub>
            <m: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it</m:t>
                </m:r>
              </m:sub>
            </m:sSub>
            <m:m>
              <m:mPr>
                <m:plcHide m:val="1"/>
                <m:mcs>
                  <m:mc>
                    <m:mcPr>
                      <m:count m:val="2"/>
                      <m:mcJc m:val="center"/>
                    </m:mcPr>
                  </m:mc>
                </m:mcs>
                <m:ctrlPr>
                  <w:rPr>
                    <w:rFonts w:ascii="Cambria Math" w:eastAsiaTheme="minorEastAsia" w:hAnsi="Cambria Math" w:cs="Times New Roman"/>
                    <w:sz w:val="24"/>
                    <w:szCs w:val="24"/>
                  </w:rPr>
                </m:ctrlPr>
              </m:mPr>
              <m:mr>
                <m:e/>
                <m:e>
                  <m:r>
                    <w:rPr>
                      <w:rFonts w:ascii="Cambria Math" w:eastAsiaTheme="minorEastAsia" w:hAnsi="Cambria Math" w:cs="Times New Roman"/>
                      <w:sz w:val="24"/>
                      <w:szCs w:val="24"/>
                    </w:rPr>
                    <m:t>i=1,…,N</m:t>
                  </m:r>
                </m:e>
              </m:mr>
              <m:mr>
                <m:e/>
                <m:e>
                  <m:r>
                    <w:rPr>
                      <w:rFonts w:ascii="Cambria Math" w:eastAsiaTheme="minorEastAsia" w:hAnsi="Cambria Math" w:cs="Times New Roman"/>
                      <w:sz w:val="24"/>
                      <w:szCs w:val="24"/>
                    </w:rPr>
                    <m:t>t=1,…,T</m:t>
                  </m:r>
                </m:e>
              </m:mr>
            </m:m>
          </m:e>
          <m:e>
            <m:r>
              <w:rPr>
                <w:rFonts w:ascii="Cambria Math" w:eastAsiaTheme="minorEastAsia" w:hAnsi="Cambria Math" w:cs="Times New Roman"/>
                <w:sz w:val="24"/>
                <w:szCs w:val="24"/>
              </w:rPr>
              <m:t>&amp;</m:t>
            </m:r>
            <m:r>
              <m:rPr>
                <m:nor/>
              </m:rPr>
              <w:rPr>
                <w:rFonts w:ascii="Times New Roman" w:eastAsiaTheme="minorEastAsia" w:hAnsi="Times New Roman" w:cs="Times New Roman"/>
                <w:sz w:val="24"/>
                <w:szCs w:val="24"/>
              </w:rPr>
              <m:t xml:space="preserve"> where hypotheses are presented as below:</m:t>
            </m:r>
          </m:e>
          <m:e>
            <m:r>
              <w:rPr>
                <w:rFonts w:ascii="Cambria Math" w:eastAsiaTheme="minorEastAsia" w:hAnsi="Cambria Math" w:cs="Times New Roman"/>
                <w:sz w:val="24"/>
                <w:szCs w:val="24"/>
              </w:rPr>
              <m:t>&amp;</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=0i=1,…,N</m:t>
            </m:r>
          </m:e>
          <m:e>
            <m:r>
              <w:rPr>
                <w:rFonts w:ascii="Cambria Math" w:eastAsiaTheme="minorEastAsia" w:hAnsi="Cambria Math" w:cs="Times New Roman"/>
                <w:sz w:val="24"/>
                <w:szCs w:val="24"/>
              </w:rPr>
              <m:t>&amp;</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sz w:val="24"/>
                    <w:szCs w:val="24"/>
                  </w:rPr>
                </m:ctrlPr>
              </m:dPr>
              <m:e>
                <m:m>
                  <m:mPr>
                    <m:plcHide m:val="1"/>
                    <m:mcs>
                      <m:mc>
                        <m:mcPr>
                          <m:count m:val="2"/>
                          <m:mcJc m:val="center"/>
                        </m:mcPr>
                      </m:mc>
                    </m:mcs>
                    <m:ctrlPr>
                      <w:rPr>
                        <w:rFonts w:ascii="Cambria Math" w:eastAsiaTheme="minorEastAsia" w:hAnsi="Cambria Math" w:cs="Times New Roman"/>
                        <w:sz w:val="24"/>
                        <w:szCs w:val="24"/>
                      </w:rPr>
                    </m:ctrlPr>
                  </m:mPr>
                  <m:mr>
                    <m:e>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=0</m:t>
                      </m:r>
                    </m:e>
                    <m:e>
                      <m:r>
                        <w:rPr>
                          <w:rFonts w:ascii="Cambria Math" w:eastAsiaTheme="minorEastAsia" w:hAnsi="Cambria Math" w:cs="Times New Roman"/>
                          <w:sz w:val="24"/>
                          <w:szCs w:val="24"/>
                        </w:rPr>
                        <m:t>i=1,…,</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e>
                  </m:mr>
                  <m:mr>
                    <m:e>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≠0</m:t>
                      </m:r>
                    </m:e>
                    <m:e>
                      <m:r>
                        <w:rPr>
                          <w:rFonts w:ascii="Cambria Math" w:eastAsiaTheme="minorEastAsia" w:hAnsi="Cambria Math" w:cs="Times New Roman"/>
                          <w:sz w:val="24"/>
                          <w:szCs w:val="24"/>
                        </w:rPr>
                        <m:t>i=</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+1,</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+1,…,N</m:t>
                      </m:r>
                    </m:e>
                  </m:mr>
                </m:m>
              </m:e>
            </m:d>
          </m:e>
        </m:eqArr>
      </m:oMath>
      <w:r w:rsidRPr="002D5CFC">
        <w:rPr>
          <w:rFonts w:ascii="Times New Roman" w:eastAsiaTheme="minorEastAsia" w:hAnsi="Times New Roman" w:cs="Times New Roman"/>
          <w:sz w:val="24"/>
          <w:szCs w:val="24"/>
        </w:rPr>
        <w:t xml:space="preserve">                           </w:t>
      </w:r>
      <w:r w:rsidR="002D5CFC">
        <w:rPr>
          <w:rFonts w:ascii="Times New Roman" w:eastAsiaTheme="minorEastAsia" w:hAnsi="Times New Roman" w:cs="Times New Roman"/>
          <w:sz w:val="24"/>
          <w:szCs w:val="24"/>
        </w:rPr>
        <w:t xml:space="preserve">                    (4)</w:t>
      </w:r>
      <w:r w:rsidRPr="002D5CFC">
        <w:rPr>
          <w:rFonts w:ascii="Times New Roman" w:eastAsiaTheme="minorEastAsia" w:hAnsi="Times New Roman" w:cs="Times New Roman"/>
          <w:sz w:val="24"/>
          <w:szCs w:val="24"/>
        </w:rPr>
        <w:t xml:space="preserve">            </w:t>
      </w:r>
      <w:r w:rsidR="0062180C" w:rsidRPr="002D5CFC">
        <w:rPr>
          <w:rFonts w:ascii="Times New Roman" w:eastAsiaTheme="minorEastAsia" w:hAnsi="Times New Roman" w:cs="Times New Roman"/>
          <w:sz w:val="24"/>
          <w:szCs w:val="24"/>
        </w:rPr>
        <w:t xml:space="preserve">                              </w:t>
      </w:r>
    </w:p>
    <w:p w:rsidR="006D69A3" w:rsidRPr="00AB7EDB" w:rsidRDefault="002E0C62" w:rsidP="00AB7EDB">
      <w:pPr>
        <w:jc w:val="both"/>
        <w:rPr>
          <w:rFonts w:ascii="Times New Roman" w:eastAsiaTheme="minorEastAsia" w:hAnsi="Times New Roman" w:cs="Times New Roman"/>
          <w:sz w:val="24"/>
          <w:szCs w:val="24"/>
        </w:rPr>
      </w:pPr>
      <w:r w:rsidRPr="00AB7EDB">
        <w:rPr>
          <w:rFonts w:ascii="Times New Roman" w:eastAsiaTheme="minorEastAsia" w:hAnsi="Times New Roman" w:cs="Times New Roman"/>
          <w:sz w:val="24"/>
          <w:szCs w:val="24"/>
        </w:rPr>
        <w:t xml:space="preserve">The </w:t>
      </w:r>
      <w:r w:rsidRPr="00AB7EDB">
        <w:rPr>
          <w:rFonts w:ascii="Times New Roman" w:hAnsi="Times New Roman" w:cs="Times New Roman"/>
          <w:sz w:val="24"/>
          <w:szCs w:val="24"/>
        </w:rPr>
        <w:t xml:space="preserve">bootstrapped p-values </w:t>
      </w:r>
      <w:r w:rsidR="006D69A3" w:rsidRPr="00AB7EDB">
        <w:rPr>
          <w:rFonts w:ascii="Times New Roman" w:hAnsi="Times New Roman" w:cs="Times New Roman"/>
          <w:sz w:val="24"/>
          <w:szCs w:val="24"/>
        </w:rPr>
        <w:t xml:space="preserve">(p values for Z-bar and Z-bar </w:t>
      </w:r>
      <w:r w:rsidR="002E2C42" w:rsidRPr="00AB7EDB">
        <w:rPr>
          <w:rFonts w:ascii="Times New Roman" w:hAnsi="Times New Roman" w:cs="Times New Roman"/>
          <w:sz w:val="24"/>
          <w:szCs w:val="24"/>
        </w:rPr>
        <w:t>tilde)</w:t>
      </w:r>
      <w:r w:rsidR="006D69A3" w:rsidRPr="00AB7EDB">
        <w:rPr>
          <w:rFonts w:ascii="Times New Roman" w:hAnsi="Times New Roman" w:cs="Times New Roman"/>
          <w:sz w:val="24"/>
          <w:szCs w:val="24"/>
        </w:rPr>
        <w:t xml:space="preserve"> </w:t>
      </w:r>
      <w:r w:rsidRPr="00AB7EDB">
        <w:rPr>
          <w:rFonts w:ascii="Times New Roman" w:hAnsi="Times New Roman" w:cs="Times New Roman"/>
          <w:sz w:val="24"/>
          <w:szCs w:val="24"/>
        </w:rPr>
        <w:t>indicate that</w:t>
      </w:r>
      <w:r w:rsidRPr="00AB7EDB">
        <w:rPr>
          <w:rFonts w:ascii="Times New Roman" w:eastAsiaTheme="minorEastAsia" w:hAnsi="Times New Roman" w:cs="Times New Roman"/>
          <w:sz w:val="24"/>
          <w:szCs w:val="24"/>
        </w:rPr>
        <w:t xml:space="preserve"> </w:t>
      </w:r>
      <w:r w:rsidR="006D69A3" w:rsidRPr="00AB7EDB">
        <w:rPr>
          <w:rFonts w:ascii="Times New Roman" w:eastAsiaTheme="minorEastAsia" w:hAnsi="Times New Roman" w:cs="Times New Roman"/>
          <w:sz w:val="24"/>
          <w:szCs w:val="24"/>
        </w:rPr>
        <w:t xml:space="preserve">fertility does Granger-cause </w:t>
      </w:r>
      <w:proofErr w:type="spellStart"/>
      <w:r w:rsidR="006D69A3" w:rsidRPr="00AB7EDB">
        <w:rPr>
          <w:rFonts w:ascii="Times New Roman" w:eastAsiaTheme="minorEastAsia" w:hAnsi="Times New Roman" w:cs="Times New Roman"/>
          <w:sz w:val="24"/>
          <w:szCs w:val="24"/>
        </w:rPr>
        <w:t>labour</w:t>
      </w:r>
      <w:proofErr w:type="spellEnd"/>
      <w:r w:rsidR="006D69A3" w:rsidRPr="00AB7EDB">
        <w:rPr>
          <w:rFonts w:ascii="Times New Roman" w:eastAsiaTheme="minorEastAsia" w:hAnsi="Times New Roman" w:cs="Times New Roman"/>
          <w:sz w:val="24"/>
          <w:szCs w:val="24"/>
        </w:rPr>
        <w:t xml:space="preserve"> participation among females for at least one panel whereas </w:t>
      </w:r>
      <w:proofErr w:type="spellStart"/>
      <w:r w:rsidR="00570596" w:rsidRPr="00AB7EDB">
        <w:rPr>
          <w:rFonts w:ascii="Times New Roman" w:eastAsiaTheme="minorEastAsia" w:hAnsi="Times New Roman" w:cs="Times New Roman"/>
          <w:sz w:val="24"/>
          <w:szCs w:val="24"/>
        </w:rPr>
        <w:t>labour</w:t>
      </w:r>
      <w:proofErr w:type="spellEnd"/>
      <w:r w:rsidR="00570596" w:rsidRPr="00AB7EDB">
        <w:rPr>
          <w:rFonts w:ascii="Times New Roman" w:eastAsiaTheme="minorEastAsia" w:hAnsi="Times New Roman" w:cs="Times New Roman"/>
          <w:sz w:val="24"/>
          <w:szCs w:val="24"/>
        </w:rPr>
        <w:t xml:space="preserve"> participation </w:t>
      </w:r>
      <w:r w:rsidR="004868BE" w:rsidRPr="00AB7EDB">
        <w:rPr>
          <w:rFonts w:ascii="Times New Roman" w:eastAsiaTheme="minorEastAsia" w:hAnsi="Times New Roman" w:cs="Times New Roman"/>
          <w:sz w:val="24"/>
          <w:szCs w:val="24"/>
        </w:rPr>
        <w:t>does not Granger-cause fertility</w:t>
      </w:r>
      <w:r w:rsidR="00570596" w:rsidRPr="00AB7EDB">
        <w:rPr>
          <w:rFonts w:ascii="Times New Roman" w:eastAsiaTheme="minorEastAsia" w:hAnsi="Times New Roman" w:cs="Times New Roman"/>
          <w:sz w:val="24"/>
          <w:szCs w:val="24"/>
        </w:rPr>
        <w:t xml:space="preserve"> at NUTS 2 level</w:t>
      </w:r>
      <w:r w:rsidR="006D69A3" w:rsidRPr="00AB7EDB">
        <w:rPr>
          <w:rFonts w:ascii="Times New Roman" w:eastAsiaTheme="minorEastAsia" w:hAnsi="Times New Roman" w:cs="Times New Roman"/>
          <w:sz w:val="24"/>
          <w:szCs w:val="24"/>
        </w:rPr>
        <w:t xml:space="preserve">. </w:t>
      </w:r>
      <w:r w:rsidR="00570596" w:rsidRPr="00AB7EDB">
        <w:rPr>
          <w:rFonts w:ascii="Times New Roman" w:eastAsiaTheme="minorEastAsia" w:hAnsi="Times New Roman" w:cs="Times New Roman"/>
          <w:sz w:val="24"/>
          <w:szCs w:val="24"/>
        </w:rPr>
        <w:t>Furthermore, l</w:t>
      </w:r>
      <w:r w:rsidR="006D69A3" w:rsidRPr="00AB7EDB">
        <w:rPr>
          <w:rFonts w:ascii="Times New Roman" w:eastAsiaTheme="minorEastAsia" w:hAnsi="Times New Roman" w:cs="Times New Roman"/>
          <w:sz w:val="24"/>
          <w:szCs w:val="24"/>
        </w:rPr>
        <w:t xml:space="preserve">iteracy does not Granger-cause </w:t>
      </w:r>
      <w:proofErr w:type="spellStart"/>
      <w:r w:rsidR="002E2C42">
        <w:rPr>
          <w:rFonts w:ascii="Times New Roman" w:eastAsiaTheme="minorEastAsia" w:hAnsi="Times New Roman" w:cs="Times New Roman"/>
          <w:sz w:val="24"/>
          <w:szCs w:val="24"/>
        </w:rPr>
        <w:t>labour</w:t>
      </w:r>
      <w:proofErr w:type="spellEnd"/>
      <w:r w:rsidR="002E2C42">
        <w:rPr>
          <w:rFonts w:ascii="Times New Roman" w:eastAsiaTheme="minorEastAsia" w:hAnsi="Times New Roman" w:cs="Times New Roman"/>
          <w:sz w:val="24"/>
          <w:szCs w:val="24"/>
        </w:rPr>
        <w:t xml:space="preserve"> participation </w:t>
      </w:r>
      <w:r w:rsidR="006D69A3" w:rsidRPr="00AB7EDB">
        <w:rPr>
          <w:rFonts w:ascii="Times New Roman" w:eastAsiaTheme="minorEastAsia" w:hAnsi="Times New Roman" w:cs="Times New Roman"/>
          <w:sz w:val="24"/>
          <w:szCs w:val="24"/>
        </w:rPr>
        <w:t xml:space="preserve">while </w:t>
      </w:r>
      <w:proofErr w:type="spellStart"/>
      <w:r w:rsidR="006D69A3" w:rsidRPr="00AB7EDB">
        <w:rPr>
          <w:rFonts w:ascii="Times New Roman" w:eastAsiaTheme="minorEastAsia" w:hAnsi="Times New Roman" w:cs="Times New Roman"/>
          <w:sz w:val="24"/>
          <w:szCs w:val="24"/>
        </w:rPr>
        <w:t>labour</w:t>
      </w:r>
      <w:proofErr w:type="spellEnd"/>
      <w:r w:rsidR="006D69A3" w:rsidRPr="00AB7EDB">
        <w:rPr>
          <w:rFonts w:ascii="Times New Roman" w:eastAsiaTheme="minorEastAsia" w:hAnsi="Times New Roman" w:cs="Times New Roman"/>
          <w:sz w:val="24"/>
          <w:szCs w:val="24"/>
        </w:rPr>
        <w:t xml:space="preserve"> participation</w:t>
      </w:r>
      <w:r w:rsidR="004868BE" w:rsidRPr="00AB7EDB">
        <w:rPr>
          <w:rFonts w:ascii="Times New Roman" w:eastAsiaTheme="minorEastAsia" w:hAnsi="Times New Roman" w:cs="Times New Roman"/>
          <w:sz w:val="24"/>
          <w:szCs w:val="24"/>
        </w:rPr>
        <w:t xml:space="preserve"> rate </w:t>
      </w:r>
      <w:r w:rsidR="006D69A3" w:rsidRPr="00AB7EDB">
        <w:rPr>
          <w:rFonts w:ascii="Times New Roman" w:eastAsiaTheme="minorEastAsia" w:hAnsi="Times New Roman" w:cs="Times New Roman"/>
          <w:sz w:val="24"/>
          <w:szCs w:val="24"/>
        </w:rPr>
        <w:t xml:space="preserve">does Granger-cause literacy for at least one panel. </w:t>
      </w:r>
      <w:r w:rsidR="00570596" w:rsidRPr="00AB7EDB">
        <w:rPr>
          <w:rFonts w:ascii="Times New Roman" w:eastAsiaTheme="minorEastAsia" w:hAnsi="Times New Roman" w:cs="Times New Roman"/>
          <w:sz w:val="24"/>
          <w:szCs w:val="24"/>
        </w:rPr>
        <w:t>Finally, f</w:t>
      </w:r>
      <w:r w:rsidR="006D69A3" w:rsidRPr="00AB7EDB">
        <w:rPr>
          <w:rFonts w:ascii="Times New Roman" w:eastAsiaTheme="minorEastAsia" w:hAnsi="Times New Roman" w:cs="Times New Roman"/>
          <w:sz w:val="24"/>
          <w:szCs w:val="24"/>
        </w:rPr>
        <w:t>ertility</w:t>
      </w:r>
      <w:r w:rsidR="00570596" w:rsidRPr="00AB7EDB">
        <w:rPr>
          <w:rFonts w:ascii="Times New Roman" w:eastAsiaTheme="minorEastAsia" w:hAnsi="Times New Roman" w:cs="Times New Roman"/>
          <w:sz w:val="24"/>
          <w:szCs w:val="24"/>
        </w:rPr>
        <w:t xml:space="preserve"> </w:t>
      </w:r>
      <w:proofErr w:type="gramStart"/>
      <w:r w:rsidR="00570596" w:rsidRPr="00AB7EDB">
        <w:rPr>
          <w:rFonts w:ascii="Times New Roman" w:eastAsiaTheme="minorEastAsia" w:hAnsi="Times New Roman" w:cs="Times New Roman"/>
          <w:sz w:val="24"/>
          <w:szCs w:val="24"/>
        </w:rPr>
        <w:t>is found</w:t>
      </w:r>
      <w:proofErr w:type="gramEnd"/>
      <w:r w:rsidR="00570596" w:rsidRPr="00AB7EDB">
        <w:rPr>
          <w:rFonts w:ascii="Times New Roman" w:eastAsiaTheme="minorEastAsia" w:hAnsi="Times New Roman" w:cs="Times New Roman"/>
          <w:sz w:val="24"/>
          <w:szCs w:val="24"/>
        </w:rPr>
        <w:t xml:space="preserve"> to</w:t>
      </w:r>
      <w:r w:rsidR="006D69A3" w:rsidRPr="00AB7EDB">
        <w:rPr>
          <w:rFonts w:ascii="Times New Roman" w:eastAsiaTheme="minorEastAsia" w:hAnsi="Times New Roman" w:cs="Times New Roman"/>
          <w:sz w:val="24"/>
          <w:szCs w:val="24"/>
        </w:rPr>
        <w:t xml:space="preserve"> Granger-cause literacy rate for at least one panel </w:t>
      </w:r>
      <w:r w:rsidR="00570596" w:rsidRPr="00AB7EDB">
        <w:rPr>
          <w:rFonts w:ascii="Times New Roman" w:eastAsiaTheme="minorEastAsia" w:hAnsi="Times New Roman" w:cs="Times New Roman"/>
          <w:sz w:val="24"/>
          <w:szCs w:val="24"/>
        </w:rPr>
        <w:t xml:space="preserve">but literacy does not Granger cause fertility at NUTS 2 level. </w:t>
      </w:r>
      <w:r w:rsidR="00AB7EDB" w:rsidRPr="00AB7EDB">
        <w:rPr>
          <w:rFonts w:ascii="Times New Roman" w:eastAsiaTheme="minorEastAsia" w:hAnsi="Times New Roman" w:cs="Times New Roman"/>
          <w:sz w:val="24"/>
          <w:szCs w:val="24"/>
        </w:rPr>
        <w:t>Overall,</w:t>
      </w:r>
      <w:r w:rsidR="00AB7EDB" w:rsidRPr="00AB7EDB">
        <w:rPr>
          <w:rFonts w:ascii="Times New Roman" w:hAnsi="Times New Roman" w:cs="Times New Roman"/>
          <w:sz w:val="24"/>
          <w:szCs w:val="24"/>
        </w:rPr>
        <w:t xml:space="preserve"> the bidirectional Granger causality </w:t>
      </w:r>
      <w:r w:rsidR="002E2C42">
        <w:rPr>
          <w:rFonts w:ascii="Times New Roman" w:hAnsi="Times New Roman" w:cs="Times New Roman"/>
          <w:sz w:val="24"/>
          <w:szCs w:val="24"/>
        </w:rPr>
        <w:t xml:space="preserve">does not exist </w:t>
      </w:r>
      <w:r w:rsidR="00AB7EDB" w:rsidRPr="00AB7EDB">
        <w:rPr>
          <w:rFonts w:ascii="Times New Roman" w:hAnsi="Times New Roman" w:cs="Times New Roman"/>
          <w:sz w:val="24"/>
          <w:szCs w:val="24"/>
        </w:rPr>
        <w:t xml:space="preserve">among </w:t>
      </w:r>
      <w:r w:rsidR="00AB7EDB" w:rsidRPr="00AB7EDB">
        <w:rPr>
          <w:rFonts w:ascii="Times New Roman" w:eastAsiaTheme="minorEastAsia" w:hAnsi="Times New Roman" w:cs="Times New Roman"/>
          <w:sz w:val="24"/>
          <w:szCs w:val="24"/>
        </w:rPr>
        <w:t>these three varia</w:t>
      </w:r>
      <w:r w:rsidR="004D7EEB">
        <w:rPr>
          <w:rFonts w:ascii="Times New Roman" w:eastAsiaTheme="minorEastAsia" w:hAnsi="Times New Roman" w:cs="Times New Roman"/>
          <w:sz w:val="24"/>
          <w:szCs w:val="24"/>
        </w:rPr>
        <w:t xml:space="preserve">bles at NUTS 2 </w:t>
      </w:r>
      <w:r w:rsidR="004D7EEB" w:rsidRPr="004D7EEB">
        <w:rPr>
          <w:rFonts w:ascii="Times New Roman" w:eastAsiaTheme="minorEastAsia" w:hAnsi="Times New Roman" w:cs="Times New Roman"/>
          <w:sz w:val="24"/>
          <w:szCs w:val="24"/>
        </w:rPr>
        <w:t xml:space="preserve">level in Turkey </w:t>
      </w:r>
      <w:r w:rsidR="004D7EEB" w:rsidRPr="004D7EEB">
        <w:rPr>
          <w:rFonts w:ascii="Times New Roman" w:hAnsi="Times New Roman" w:cs="Times New Roman"/>
          <w:color w:val="333333"/>
          <w:sz w:val="24"/>
          <w:szCs w:val="24"/>
          <w:shd w:val="clear" w:color="auto" w:fill="FFFFFF"/>
        </w:rPr>
        <w:t>as there exists only unidirectional causality.</w:t>
      </w:r>
      <w:r w:rsidR="004D7EEB">
        <w:rPr>
          <w:color w:val="333333"/>
          <w:shd w:val="clear" w:color="auto" w:fill="FFFFFF"/>
        </w:rPr>
        <w:t> </w:t>
      </w:r>
    </w:p>
    <w:p w:rsidR="006D69A3" w:rsidRPr="002D5CFC" w:rsidRDefault="006D69A3" w:rsidP="002874EB">
      <w:pPr>
        <w:jc w:val="both"/>
        <w:rPr>
          <w:rFonts w:ascii="Times New Roman" w:eastAsiaTheme="minorEastAsia" w:hAnsi="Times New Roman" w:cs="Times New Roman"/>
          <w:sz w:val="24"/>
          <w:szCs w:val="24"/>
        </w:rPr>
      </w:pPr>
    </w:p>
    <w:p w:rsidR="006148DB" w:rsidRPr="002D5CFC" w:rsidRDefault="006148DB" w:rsidP="002874EB">
      <w:pPr>
        <w:jc w:val="both"/>
        <w:rPr>
          <w:rFonts w:ascii="Times New Roman" w:hAnsi="Times New Roman" w:cs="Times New Roman"/>
          <w:sz w:val="24"/>
          <w:szCs w:val="24"/>
          <w:lang w:val="en-GB"/>
        </w:rPr>
      </w:pPr>
      <w:r w:rsidRPr="002D5CFC">
        <w:rPr>
          <w:rFonts w:ascii="Times New Roman" w:hAnsi="Times New Roman" w:cs="Times New Roman"/>
          <w:b/>
          <w:sz w:val="24"/>
          <w:szCs w:val="24"/>
          <w:lang w:val="en-GB"/>
        </w:rPr>
        <w:t xml:space="preserve">JEL codes: </w:t>
      </w:r>
      <w:r w:rsidR="00474B9A">
        <w:rPr>
          <w:rFonts w:ascii="Times New Roman" w:hAnsi="Times New Roman" w:cs="Times New Roman"/>
          <w:sz w:val="24"/>
          <w:szCs w:val="24"/>
          <w:lang w:val="en-GB"/>
        </w:rPr>
        <w:t>I21, J13, J01</w:t>
      </w:r>
      <w:r w:rsidRPr="002D5CFC">
        <w:rPr>
          <w:rFonts w:ascii="Times New Roman" w:hAnsi="Times New Roman" w:cs="Times New Roman"/>
          <w:sz w:val="24"/>
          <w:szCs w:val="24"/>
          <w:lang w:val="en-GB"/>
        </w:rPr>
        <w:t>, C51, C33</w:t>
      </w:r>
    </w:p>
    <w:p w:rsidR="006148DB" w:rsidRPr="002D5CFC" w:rsidRDefault="006148DB" w:rsidP="002874EB">
      <w:pPr>
        <w:jc w:val="both"/>
        <w:rPr>
          <w:rFonts w:ascii="Times New Roman" w:hAnsi="Times New Roman" w:cs="Times New Roman"/>
          <w:sz w:val="24"/>
          <w:szCs w:val="24"/>
          <w:lang w:val="en-GB"/>
        </w:rPr>
      </w:pPr>
      <w:r w:rsidRPr="002D5CFC">
        <w:rPr>
          <w:rFonts w:ascii="Times New Roman" w:hAnsi="Times New Roman" w:cs="Times New Roman"/>
          <w:b/>
          <w:sz w:val="24"/>
          <w:szCs w:val="24"/>
          <w:lang w:val="en-GB"/>
        </w:rPr>
        <w:t xml:space="preserve">Keywords: </w:t>
      </w:r>
      <w:r w:rsidRPr="002D5CFC">
        <w:rPr>
          <w:rFonts w:ascii="Times New Roman" w:hAnsi="Times New Roman" w:cs="Times New Roman"/>
          <w:sz w:val="24"/>
          <w:szCs w:val="24"/>
          <w:lang w:val="en-GB"/>
        </w:rPr>
        <w:t xml:space="preserve">fertility, </w:t>
      </w:r>
      <w:r w:rsidR="00B60941" w:rsidRPr="002D5CFC">
        <w:rPr>
          <w:rFonts w:ascii="Times New Roman" w:hAnsi="Times New Roman" w:cs="Times New Roman"/>
          <w:sz w:val="24"/>
          <w:szCs w:val="24"/>
          <w:lang w:val="en-GB"/>
        </w:rPr>
        <w:t>labour participation rate</w:t>
      </w:r>
      <w:r w:rsidRPr="002D5CFC">
        <w:rPr>
          <w:rFonts w:ascii="Times New Roman" w:hAnsi="Times New Roman" w:cs="Times New Roman"/>
          <w:sz w:val="24"/>
          <w:szCs w:val="24"/>
          <w:lang w:val="en-GB"/>
        </w:rPr>
        <w:t xml:space="preserve">, literacy, granger </w:t>
      </w:r>
      <w:r w:rsidR="0022036C">
        <w:rPr>
          <w:rFonts w:ascii="Times New Roman" w:hAnsi="Times New Roman" w:cs="Times New Roman"/>
          <w:sz w:val="24"/>
          <w:szCs w:val="24"/>
          <w:lang w:val="en-GB"/>
        </w:rPr>
        <w:t>non-</w:t>
      </w:r>
      <w:r w:rsidRPr="002D5CFC">
        <w:rPr>
          <w:rFonts w:ascii="Times New Roman" w:hAnsi="Times New Roman" w:cs="Times New Roman"/>
          <w:sz w:val="24"/>
          <w:szCs w:val="24"/>
          <w:lang w:val="en-GB"/>
        </w:rPr>
        <w:t>causality, panel data analysis</w:t>
      </w:r>
      <w:r w:rsidR="0022036C">
        <w:rPr>
          <w:rFonts w:ascii="Times New Roman" w:hAnsi="Times New Roman" w:cs="Times New Roman"/>
          <w:sz w:val="24"/>
          <w:szCs w:val="24"/>
          <w:lang w:val="en-GB"/>
        </w:rPr>
        <w:t>, NUTS 2 level.</w:t>
      </w:r>
    </w:p>
    <w:p w:rsidR="006148DB" w:rsidRPr="002D5CFC" w:rsidRDefault="006148DB" w:rsidP="002874EB">
      <w:pPr>
        <w:jc w:val="both"/>
        <w:rPr>
          <w:rFonts w:ascii="Times New Roman" w:hAnsi="Times New Roman" w:cs="Times New Roman"/>
          <w:sz w:val="24"/>
          <w:szCs w:val="24"/>
        </w:rPr>
      </w:pPr>
    </w:p>
    <w:p w:rsidR="00950BD7" w:rsidRPr="002D5CFC" w:rsidRDefault="00950BD7" w:rsidP="002874EB">
      <w:pPr>
        <w:jc w:val="both"/>
        <w:rPr>
          <w:rFonts w:ascii="Times New Roman" w:hAnsi="Times New Roman" w:cs="Times New Roman"/>
          <w:sz w:val="24"/>
          <w:szCs w:val="24"/>
        </w:rPr>
      </w:pPr>
    </w:p>
    <w:p w:rsidR="00EE0D00" w:rsidRPr="002D5CFC" w:rsidRDefault="00EE0D00" w:rsidP="002874EB">
      <w:pPr>
        <w:jc w:val="both"/>
        <w:rPr>
          <w:rFonts w:ascii="Times New Roman" w:hAnsi="Times New Roman" w:cs="Times New Roman"/>
          <w:sz w:val="24"/>
          <w:szCs w:val="24"/>
        </w:rPr>
      </w:pPr>
      <w:r w:rsidRPr="002D5CFC">
        <w:rPr>
          <w:rFonts w:ascii="Times New Roman" w:hAnsi="Times New Roman" w:cs="Times New Roman"/>
          <w:sz w:val="24"/>
          <w:szCs w:val="24"/>
        </w:rPr>
        <w:t>REFERENCES</w:t>
      </w:r>
    </w:p>
    <w:p w:rsidR="00950BD7" w:rsidRPr="002D5CFC" w:rsidRDefault="00950BD7" w:rsidP="00950BD7">
      <w:pPr>
        <w:jc w:val="both"/>
        <w:rPr>
          <w:rFonts w:ascii="Times New Roman" w:hAnsi="Times New Roman" w:cs="Times New Roman"/>
          <w:sz w:val="24"/>
          <w:szCs w:val="24"/>
        </w:rPr>
      </w:pPr>
      <w:proofErr w:type="spellStart"/>
      <w:r w:rsidRPr="002D5CFC">
        <w:rPr>
          <w:rFonts w:ascii="Times New Roman" w:hAnsi="Times New Roman" w:cs="Times New Roman"/>
          <w:sz w:val="24"/>
          <w:szCs w:val="24"/>
        </w:rPr>
        <w:t>Breusch</w:t>
      </w:r>
      <w:proofErr w:type="spellEnd"/>
      <w:r w:rsidRPr="002D5CFC">
        <w:rPr>
          <w:rFonts w:ascii="Times New Roman" w:hAnsi="Times New Roman" w:cs="Times New Roman"/>
          <w:sz w:val="24"/>
          <w:szCs w:val="24"/>
        </w:rPr>
        <w:t>, T. &amp; Pagan, A. (1980), “The Lagrange Multiplier Test and Its Applications to Model Specification in Econometrics”, Review of Economic Studies, 47 (1), 239-253.</w:t>
      </w:r>
      <w:r w:rsidRPr="002D5CFC">
        <w:rPr>
          <w:rFonts w:ascii="Times New Roman" w:hAnsi="Times New Roman" w:cs="Times New Roman"/>
          <w:sz w:val="24"/>
          <w:szCs w:val="24"/>
        </w:rPr>
        <w:cr/>
      </w:r>
    </w:p>
    <w:p w:rsidR="00950BD7" w:rsidRPr="002D5CFC" w:rsidRDefault="00183CB1" w:rsidP="002874EB">
      <w:pPr>
        <w:jc w:val="both"/>
        <w:rPr>
          <w:rFonts w:ascii="Times New Roman" w:hAnsi="Times New Roman" w:cs="Times New Roman"/>
          <w:sz w:val="24"/>
          <w:szCs w:val="24"/>
        </w:rPr>
      </w:pPr>
      <w:r w:rsidRPr="002D5CFC">
        <w:rPr>
          <w:rFonts w:ascii="Times New Roman" w:hAnsi="Times New Roman" w:cs="Times New Roman"/>
          <w:sz w:val="24"/>
          <w:szCs w:val="24"/>
        </w:rPr>
        <w:t xml:space="preserve">Eckstein, Z. &amp; </w:t>
      </w:r>
      <w:proofErr w:type="spellStart"/>
      <w:r w:rsidRPr="002D5CFC">
        <w:rPr>
          <w:rFonts w:ascii="Times New Roman" w:hAnsi="Times New Roman" w:cs="Times New Roman"/>
          <w:sz w:val="24"/>
          <w:szCs w:val="24"/>
        </w:rPr>
        <w:t>Zilcha</w:t>
      </w:r>
      <w:proofErr w:type="spellEnd"/>
      <w:r w:rsidRPr="002D5CFC">
        <w:rPr>
          <w:rFonts w:ascii="Times New Roman" w:hAnsi="Times New Roman" w:cs="Times New Roman"/>
          <w:sz w:val="24"/>
          <w:szCs w:val="24"/>
        </w:rPr>
        <w:t>, I.</w:t>
      </w:r>
      <w:r w:rsidR="00950BD7" w:rsidRPr="002D5CFC">
        <w:rPr>
          <w:rFonts w:ascii="Times New Roman" w:hAnsi="Times New Roman" w:cs="Times New Roman"/>
          <w:sz w:val="24"/>
          <w:szCs w:val="24"/>
        </w:rPr>
        <w:t xml:space="preserve"> </w:t>
      </w:r>
      <w:r w:rsidRPr="002D5CFC">
        <w:rPr>
          <w:rFonts w:ascii="Times New Roman" w:hAnsi="Times New Roman" w:cs="Times New Roman"/>
          <w:sz w:val="24"/>
          <w:szCs w:val="24"/>
        </w:rPr>
        <w:t>(</w:t>
      </w:r>
      <w:r w:rsidR="00950BD7" w:rsidRPr="002D5CFC">
        <w:rPr>
          <w:rFonts w:ascii="Times New Roman" w:hAnsi="Times New Roman" w:cs="Times New Roman"/>
          <w:sz w:val="24"/>
          <w:szCs w:val="24"/>
        </w:rPr>
        <w:t>1991</w:t>
      </w:r>
      <w:r w:rsidRPr="002D5CFC">
        <w:rPr>
          <w:rFonts w:ascii="Times New Roman" w:hAnsi="Times New Roman" w:cs="Times New Roman"/>
          <w:sz w:val="24"/>
          <w:szCs w:val="24"/>
        </w:rPr>
        <w:t>)</w:t>
      </w:r>
      <w:r w:rsidR="00950BD7" w:rsidRPr="002D5CFC">
        <w:rPr>
          <w:rFonts w:ascii="Times New Roman" w:hAnsi="Times New Roman" w:cs="Times New Roman"/>
          <w:sz w:val="24"/>
          <w:szCs w:val="24"/>
        </w:rPr>
        <w:t xml:space="preserve">. "The Effects of Compulsory Schooling on Growth Income Distribution and Welfare," </w:t>
      </w:r>
      <w:proofErr w:type="spellStart"/>
      <w:r w:rsidR="00950BD7" w:rsidRPr="002D5CFC">
        <w:rPr>
          <w:rFonts w:ascii="Times New Roman" w:hAnsi="Times New Roman" w:cs="Times New Roman"/>
          <w:sz w:val="24"/>
          <w:szCs w:val="24"/>
        </w:rPr>
        <w:t>Foerder</w:t>
      </w:r>
      <w:proofErr w:type="spellEnd"/>
      <w:r w:rsidR="00950BD7" w:rsidRPr="002D5CFC">
        <w:rPr>
          <w:rFonts w:ascii="Times New Roman" w:hAnsi="Times New Roman" w:cs="Times New Roman"/>
          <w:sz w:val="24"/>
          <w:szCs w:val="24"/>
        </w:rPr>
        <w:t xml:space="preserve"> Institute for Economic Research Working Papers 275551, Tel-Aviv University &gt; </w:t>
      </w:r>
      <w:proofErr w:type="spellStart"/>
      <w:r w:rsidR="00950BD7" w:rsidRPr="002D5CFC">
        <w:rPr>
          <w:rFonts w:ascii="Times New Roman" w:hAnsi="Times New Roman" w:cs="Times New Roman"/>
          <w:sz w:val="24"/>
          <w:szCs w:val="24"/>
        </w:rPr>
        <w:t>Foerder</w:t>
      </w:r>
      <w:proofErr w:type="spellEnd"/>
      <w:r w:rsidR="00950BD7" w:rsidRPr="002D5CFC">
        <w:rPr>
          <w:rFonts w:ascii="Times New Roman" w:hAnsi="Times New Roman" w:cs="Times New Roman"/>
          <w:sz w:val="24"/>
          <w:szCs w:val="24"/>
        </w:rPr>
        <w:t xml:space="preserve"> Institute for Economic Research.</w:t>
      </w:r>
    </w:p>
    <w:p w:rsidR="00950BD7" w:rsidRPr="002D5CFC" w:rsidRDefault="00183CB1" w:rsidP="002874EB">
      <w:pPr>
        <w:jc w:val="both"/>
        <w:rPr>
          <w:rFonts w:ascii="Times New Roman" w:hAnsi="Times New Roman" w:cs="Times New Roman"/>
          <w:sz w:val="24"/>
          <w:szCs w:val="24"/>
        </w:rPr>
      </w:pPr>
      <w:proofErr w:type="spellStart"/>
      <w:r w:rsidRPr="002D5CFC">
        <w:rPr>
          <w:rFonts w:ascii="Times New Roman" w:hAnsi="Times New Roman" w:cs="Times New Roman"/>
          <w:sz w:val="24"/>
          <w:szCs w:val="24"/>
        </w:rPr>
        <w:t>Dumitrescu</w:t>
      </w:r>
      <w:proofErr w:type="spellEnd"/>
      <w:r w:rsidRPr="002D5CFC">
        <w:rPr>
          <w:rFonts w:ascii="Times New Roman" w:hAnsi="Times New Roman" w:cs="Times New Roman"/>
          <w:sz w:val="24"/>
          <w:szCs w:val="24"/>
        </w:rPr>
        <w:t>, E.I.</w:t>
      </w:r>
      <w:r w:rsidR="00950BD7" w:rsidRPr="002D5CFC">
        <w:rPr>
          <w:rFonts w:ascii="Times New Roman" w:hAnsi="Times New Roman" w:cs="Times New Roman"/>
          <w:sz w:val="24"/>
          <w:szCs w:val="24"/>
        </w:rPr>
        <w:t xml:space="preserve"> &amp; </w:t>
      </w:r>
      <w:proofErr w:type="spellStart"/>
      <w:r w:rsidR="00950BD7" w:rsidRPr="002D5CFC">
        <w:rPr>
          <w:rFonts w:ascii="Times New Roman" w:hAnsi="Times New Roman" w:cs="Times New Roman"/>
          <w:sz w:val="24"/>
          <w:szCs w:val="24"/>
        </w:rPr>
        <w:t>Hurlin</w:t>
      </w:r>
      <w:proofErr w:type="spellEnd"/>
      <w:r w:rsidR="00950BD7" w:rsidRPr="002D5CFC">
        <w:rPr>
          <w:rFonts w:ascii="Times New Roman" w:hAnsi="Times New Roman" w:cs="Times New Roman"/>
          <w:sz w:val="24"/>
          <w:szCs w:val="24"/>
        </w:rPr>
        <w:t>, C. (2012). Testing for granger non-causality in heterogeneous panels. Economic Modelling, 29(4), 1450-1460. https://halshs.archivesouvertes.fr/halshs-00224434/document.</w:t>
      </w:r>
    </w:p>
    <w:p w:rsidR="00EE0D00" w:rsidRPr="002D5CFC" w:rsidRDefault="00EE0D00" w:rsidP="002874EB">
      <w:pPr>
        <w:jc w:val="both"/>
        <w:rPr>
          <w:rFonts w:ascii="Times New Roman" w:hAnsi="Times New Roman" w:cs="Times New Roman"/>
          <w:sz w:val="24"/>
          <w:szCs w:val="24"/>
        </w:rPr>
      </w:pPr>
      <w:r w:rsidRPr="002D5CFC">
        <w:rPr>
          <w:rFonts w:ascii="Times New Roman" w:hAnsi="Times New Roman" w:cs="Times New Roman"/>
          <w:sz w:val="24"/>
          <w:szCs w:val="24"/>
        </w:rPr>
        <w:t xml:space="preserve">Montoya, S. (2018). Defining Literacy. UNESCO. </w:t>
      </w:r>
      <w:hyperlink r:id="rId7" w:history="1">
        <w:r w:rsidRPr="002D5CFC">
          <w:rPr>
            <w:rStyle w:val="Hyperlink"/>
            <w:rFonts w:ascii="Times New Roman" w:hAnsi="Times New Roman" w:cs="Times New Roman"/>
            <w:sz w:val="24"/>
            <w:szCs w:val="24"/>
          </w:rPr>
          <w:t>http://gaml.uis.unesco.org/wp-content/uploads/sites/2/2018/12/4.6.1_07_4.6-defining-litera cy.pdf</w:t>
        </w:r>
      </w:hyperlink>
      <w:r w:rsidRPr="002D5CFC">
        <w:rPr>
          <w:rFonts w:ascii="Times New Roman" w:hAnsi="Times New Roman" w:cs="Times New Roman"/>
          <w:sz w:val="24"/>
          <w:szCs w:val="24"/>
        </w:rPr>
        <w:t>.</w:t>
      </w:r>
    </w:p>
    <w:p w:rsidR="00950BD7" w:rsidRPr="002D5CFC" w:rsidRDefault="00950BD7" w:rsidP="002874EB">
      <w:pPr>
        <w:jc w:val="both"/>
        <w:rPr>
          <w:rFonts w:ascii="Times New Roman" w:hAnsi="Times New Roman" w:cs="Times New Roman"/>
          <w:sz w:val="24"/>
          <w:szCs w:val="24"/>
        </w:rPr>
      </w:pPr>
      <w:proofErr w:type="spellStart"/>
      <w:r w:rsidRPr="002D5CFC">
        <w:rPr>
          <w:rFonts w:ascii="Times New Roman" w:hAnsi="Times New Roman" w:cs="Times New Roman"/>
          <w:sz w:val="24"/>
          <w:szCs w:val="24"/>
        </w:rPr>
        <w:t>Pesaran</w:t>
      </w:r>
      <w:proofErr w:type="spellEnd"/>
      <w:r w:rsidRPr="002D5CFC">
        <w:rPr>
          <w:rFonts w:ascii="Times New Roman" w:hAnsi="Times New Roman" w:cs="Times New Roman"/>
          <w:sz w:val="24"/>
          <w:szCs w:val="24"/>
        </w:rPr>
        <w:t xml:space="preserve">, M. H. (2004). General diagnostic tests for cross section dependence in panels. Cambridge Working Papers in Economics, 435. </w:t>
      </w:r>
      <w:proofErr w:type="spellStart"/>
      <w:r w:rsidRPr="002D5CFC">
        <w:rPr>
          <w:rFonts w:ascii="Times New Roman" w:hAnsi="Times New Roman" w:cs="Times New Roman"/>
          <w:sz w:val="24"/>
          <w:szCs w:val="24"/>
        </w:rPr>
        <w:t>Erişim</w:t>
      </w:r>
      <w:proofErr w:type="spellEnd"/>
      <w:r w:rsidRPr="002D5CFC">
        <w:rPr>
          <w:rFonts w:ascii="Times New Roman" w:hAnsi="Times New Roman" w:cs="Times New Roman"/>
          <w:sz w:val="24"/>
          <w:szCs w:val="24"/>
        </w:rPr>
        <w:t xml:space="preserve"> </w:t>
      </w:r>
      <w:proofErr w:type="spellStart"/>
      <w:r w:rsidRPr="002D5CFC">
        <w:rPr>
          <w:rFonts w:ascii="Times New Roman" w:hAnsi="Times New Roman" w:cs="Times New Roman"/>
          <w:sz w:val="24"/>
          <w:szCs w:val="24"/>
        </w:rPr>
        <w:t>adresi</w:t>
      </w:r>
      <w:proofErr w:type="spellEnd"/>
      <w:r w:rsidRPr="002D5CFC">
        <w:rPr>
          <w:rFonts w:ascii="Times New Roman" w:hAnsi="Times New Roman" w:cs="Times New Roman"/>
          <w:sz w:val="24"/>
          <w:szCs w:val="24"/>
        </w:rPr>
        <w:t xml:space="preserve">: </w:t>
      </w:r>
      <w:hyperlink r:id="rId8" w:history="1">
        <w:r w:rsidRPr="002D5CFC">
          <w:rPr>
            <w:rStyle w:val="Hyperlink"/>
            <w:rFonts w:ascii="Times New Roman" w:hAnsi="Times New Roman" w:cs="Times New Roman"/>
            <w:sz w:val="24"/>
            <w:szCs w:val="24"/>
          </w:rPr>
          <w:t>http://hdl.handle.net/10419/18868</w:t>
        </w:r>
      </w:hyperlink>
      <w:r w:rsidRPr="002D5CFC">
        <w:rPr>
          <w:rFonts w:ascii="Times New Roman" w:hAnsi="Times New Roman" w:cs="Times New Roman"/>
          <w:sz w:val="24"/>
          <w:szCs w:val="24"/>
        </w:rPr>
        <w:t xml:space="preserve"> </w:t>
      </w:r>
    </w:p>
    <w:p w:rsidR="00950BD7" w:rsidRPr="002D5CFC" w:rsidRDefault="00950BD7" w:rsidP="002874EB">
      <w:pPr>
        <w:jc w:val="both"/>
        <w:rPr>
          <w:rFonts w:ascii="Times New Roman" w:hAnsi="Times New Roman" w:cs="Times New Roman"/>
          <w:sz w:val="24"/>
          <w:szCs w:val="24"/>
        </w:rPr>
      </w:pPr>
      <w:proofErr w:type="spellStart"/>
      <w:r w:rsidRPr="002D5CFC">
        <w:rPr>
          <w:rFonts w:ascii="Times New Roman" w:hAnsi="Times New Roman" w:cs="Times New Roman"/>
          <w:sz w:val="24"/>
          <w:szCs w:val="24"/>
        </w:rPr>
        <w:t>Pesaran</w:t>
      </w:r>
      <w:proofErr w:type="spellEnd"/>
      <w:r w:rsidRPr="002D5CFC">
        <w:rPr>
          <w:rFonts w:ascii="Times New Roman" w:hAnsi="Times New Roman" w:cs="Times New Roman"/>
          <w:sz w:val="24"/>
          <w:szCs w:val="24"/>
        </w:rPr>
        <w:t xml:space="preserve">, M. H., </w:t>
      </w:r>
      <w:proofErr w:type="spellStart"/>
      <w:r w:rsidRPr="002D5CFC">
        <w:rPr>
          <w:rFonts w:ascii="Times New Roman" w:hAnsi="Times New Roman" w:cs="Times New Roman"/>
          <w:sz w:val="24"/>
          <w:szCs w:val="24"/>
        </w:rPr>
        <w:t>Ullah</w:t>
      </w:r>
      <w:proofErr w:type="spellEnd"/>
      <w:r w:rsidRPr="002D5CFC">
        <w:rPr>
          <w:rFonts w:ascii="Times New Roman" w:hAnsi="Times New Roman" w:cs="Times New Roman"/>
          <w:sz w:val="24"/>
          <w:szCs w:val="24"/>
        </w:rPr>
        <w:t xml:space="preserve">, A., &amp; Yamagata, T. (2008). A bias-adjusted LM test of error </w:t>
      </w:r>
      <w:proofErr w:type="spellStart"/>
      <w:r w:rsidRPr="002D5CFC">
        <w:rPr>
          <w:rFonts w:ascii="Times New Roman" w:hAnsi="Times New Roman" w:cs="Times New Roman"/>
          <w:sz w:val="24"/>
          <w:szCs w:val="24"/>
        </w:rPr>
        <w:t>crosssection</w:t>
      </w:r>
      <w:proofErr w:type="spellEnd"/>
      <w:r w:rsidRPr="002D5CFC">
        <w:rPr>
          <w:rFonts w:ascii="Times New Roman" w:hAnsi="Times New Roman" w:cs="Times New Roman"/>
          <w:sz w:val="24"/>
          <w:szCs w:val="24"/>
        </w:rPr>
        <w:t xml:space="preserve"> independence. The Econometrics Journal, 11(1), 105- 127. DOI: </w:t>
      </w:r>
      <w:hyperlink r:id="rId9" w:history="1">
        <w:r w:rsidRPr="002D5CFC">
          <w:rPr>
            <w:rStyle w:val="Hyperlink"/>
            <w:rFonts w:ascii="Times New Roman" w:hAnsi="Times New Roman" w:cs="Times New Roman"/>
            <w:sz w:val="24"/>
            <w:szCs w:val="24"/>
          </w:rPr>
          <w:t>https://doi.org/10.1111/j.1368-423X.2007.00227.x</w:t>
        </w:r>
      </w:hyperlink>
      <w:r w:rsidRPr="002D5CFC">
        <w:rPr>
          <w:rFonts w:ascii="Times New Roman" w:hAnsi="Times New Roman" w:cs="Times New Roman"/>
          <w:sz w:val="24"/>
          <w:szCs w:val="24"/>
        </w:rPr>
        <w:t xml:space="preserve"> </w:t>
      </w:r>
    </w:p>
    <w:p w:rsidR="00950BD7" w:rsidRPr="002D5CFC" w:rsidRDefault="00950BD7" w:rsidP="002874EB">
      <w:pPr>
        <w:jc w:val="both"/>
        <w:rPr>
          <w:rFonts w:ascii="Times New Roman" w:hAnsi="Times New Roman" w:cs="Times New Roman"/>
          <w:sz w:val="24"/>
          <w:szCs w:val="24"/>
        </w:rPr>
      </w:pPr>
      <w:proofErr w:type="spellStart"/>
      <w:r w:rsidRPr="002D5CFC">
        <w:rPr>
          <w:rFonts w:ascii="Times New Roman" w:hAnsi="Times New Roman" w:cs="Times New Roman"/>
          <w:sz w:val="24"/>
          <w:szCs w:val="24"/>
        </w:rPr>
        <w:t>Pesaran</w:t>
      </w:r>
      <w:proofErr w:type="spellEnd"/>
      <w:r w:rsidRPr="002D5CFC">
        <w:rPr>
          <w:rFonts w:ascii="Times New Roman" w:hAnsi="Times New Roman" w:cs="Times New Roman"/>
          <w:sz w:val="24"/>
          <w:szCs w:val="24"/>
        </w:rPr>
        <w:t>, M. H., &amp; Yamagata, T. (2008). Testing slope homogeneity in large panels. Journal of Econometrics, 142(1), 50-93. DOI: https://doi.org/10.1016/j.jeconom.2007.05.010</w:t>
      </w:r>
    </w:p>
    <w:p w:rsidR="00EE0D00" w:rsidRPr="002D5CFC" w:rsidRDefault="00EE0D00" w:rsidP="002874EB">
      <w:pPr>
        <w:jc w:val="both"/>
        <w:rPr>
          <w:rFonts w:ascii="Times New Roman" w:hAnsi="Times New Roman" w:cs="Times New Roman"/>
          <w:sz w:val="24"/>
          <w:szCs w:val="24"/>
        </w:rPr>
      </w:pPr>
    </w:p>
    <w:sectPr w:rsidR="00EE0D00" w:rsidRPr="002D5CF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85D" w:rsidRDefault="00E0785D" w:rsidP="006716B9">
      <w:pPr>
        <w:spacing w:after="0" w:line="240" w:lineRule="auto"/>
      </w:pPr>
      <w:r>
        <w:separator/>
      </w:r>
    </w:p>
  </w:endnote>
  <w:endnote w:type="continuationSeparator" w:id="0">
    <w:p w:rsidR="00E0785D" w:rsidRDefault="00E0785D" w:rsidP="00671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85D" w:rsidRDefault="00E0785D" w:rsidP="006716B9">
      <w:pPr>
        <w:spacing w:after="0" w:line="240" w:lineRule="auto"/>
      </w:pPr>
      <w:r>
        <w:separator/>
      </w:r>
    </w:p>
  </w:footnote>
  <w:footnote w:type="continuationSeparator" w:id="0">
    <w:p w:rsidR="00E0785D" w:rsidRDefault="00E0785D" w:rsidP="006716B9">
      <w:pPr>
        <w:spacing w:after="0" w:line="240" w:lineRule="auto"/>
      </w:pPr>
      <w:r>
        <w:continuationSeparator/>
      </w:r>
    </w:p>
  </w:footnote>
  <w:footnote w:id="1">
    <w:p w:rsidR="006716B9" w:rsidRPr="006716B9" w:rsidRDefault="006716B9">
      <w:pPr>
        <w:pStyle w:val="FootnoteText"/>
        <w:rPr>
          <w:lang w:val="tr-TR"/>
        </w:rPr>
      </w:pPr>
      <w:r>
        <w:rPr>
          <w:rStyle w:val="FootnoteReference"/>
        </w:rPr>
        <w:footnoteRef/>
      </w:r>
      <w:r>
        <w:t xml:space="preserve"> </w:t>
      </w:r>
      <w:proofErr w:type="spellStart"/>
      <w:r w:rsidRPr="00422ECB">
        <w:rPr>
          <w:rFonts w:ascii="Times New Roman" w:hAnsi="Times New Roman" w:cs="Times New Roman"/>
          <w:lang w:val="tr-TR"/>
        </w:rPr>
        <w:t>Assis</w:t>
      </w:r>
      <w:proofErr w:type="spellEnd"/>
      <w:r w:rsidRPr="00422ECB">
        <w:rPr>
          <w:rFonts w:ascii="Times New Roman" w:hAnsi="Times New Roman" w:cs="Times New Roman"/>
          <w:lang w:val="tr-TR"/>
        </w:rPr>
        <w:t>. Prof. Dr. Çanakkal</w:t>
      </w:r>
      <w:r w:rsidR="006148DB" w:rsidRPr="00422ECB">
        <w:rPr>
          <w:rFonts w:ascii="Times New Roman" w:hAnsi="Times New Roman" w:cs="Times New Roman"/>
          <w:lang w:val="tr-TR"/>
        </w:rPr>
        <w:t xml:space="preserve">e </w:t>
      </w:r>
      <w:proofErr w:type="spellStart"/>
      <w:r w:rsidR="006148DB" w:rsidRPr="00422ECB">
        <w:rPr>
          <w:rFonts w:ascii="Times New Roman" w:hAnsi="Times New Roman" w:cs="Times New Roman"/>
          <w:lang w:val="tr-TR"/>
        </w:rPr>
        <w:t>Onsekiz</w:t>
      </w:r>
      <w:proofErr w:type="spellEnd"/>
      <w:r w:rsidR="006148DB" w:rsidRPr="00422ECB">
        <w:rPr>
          <w:rFonts w:ascii="Times New Roman" w:hAnsi="Times New Roman" w:cs="Times New Roman"/>
          <w:lang w:val="tr-TR"/>
        </w:rPr>
        <w:t xml:space="preserve"> Mart </w:t>
      </w:r>
      <w:proofErr w:type="spellStart"/>
      <w:r w:rsidR="006148DB" w:rsidRPr="00422ECB">
        <w:rPr>
          <w:rFonts w:ascii="Times New Roman" w:hAnsi="Times New Roman" w:cs="Times New Roman"/>
          <w:lang w:val="tr-TR"/>
        </w:rPr>
        <w:t>University</w:t>
      </w:r>
      <w:proofErr w:type="spellEnd"/>
      <w:r w:rsidR="006148DB" w:rsidRPr="00422ECB">
        <w:rPr>
          <w:rFonts w:ascii="Times New Roman" w:hAnsi="Times New Roman" w:cs="Times New Roman"/>
          <w:lang w:val="tr-TR"/>
        </w:rPr>
        <w:t xml:space="preserve">, Biga </w:t>
      </w:r>
      <w:proofErr w:type="spellStart"/>
      <w:r w:rsidR="006148DB" w:rsidRPr="00422ECB">
        <w:rPr>
          <w:rFonts w:ascii="Times New Roman" w:hAnsi="Times New Roman" w:cs="Times New Roman"/>
          <w:lang w:val="tr-TR"/>
        </w:rPr>
        <w:t>Faculty</w:t>
      </w:r>
      <w:proofErr w:type="spellEnd"/>
      <w:r w:rsidR="006148DB" w:rsidRPr="00422ECB">
        <w:rPr>
          <w:rFonts w:ascii="Times New Roman" w:hAnsi="Times New Roman" w:cs="Times New Roman"/>
          <w:lang w:val="tr-TR"/>
        </w:rPr>
        <w:t xml:space="preserve"> of </w:t>
      </w:r>
      <w:proofErr w:type="spellStart"/>
      <w:r w:rsidR="006148DB" w:rsidRPr="00422ECB">
        <w:rPr>
          <w:rFonts w:ascii="Times New Roman" w:hAnsi="Times New Roman" w:cs="Times New Roman"/>
          <w:lang w:val="tr-TR"/>
        </w:rPr>
        <w:t>Economics</w:t>
      </w:r>
      <w:proofErr w:type="spellEnd"/>
      <w:r w:rsidR="006148DB" w:rsidRPr="00422ECB">
        <w:rPr>
          <w:rFonts w:ascii="Times New Roman" w:hAnsi="Times New Roman" w:cs="Times New Roman"/>
          <w:lang w:val="tr-TR"/>
        </w:rPr>
        <w:t xml:space="preserve"> </w:t>
      </w:r>
      <w:proofErr w:type="spellStart"/>
      <w:r w:rsidR="006148DB" w:rsidRPr="00422ECB">
        <w:rPr>
          <w:rFonts w:ascii="Times New Roman" w:hAnsi="Times New Roman" w:cs="Times New Roman"/>
          <w:lang w:val="tr-TR"/>
        </w:rPr>
        <w:t>and</w:t>
      </w:r>
      <w:proofErr w:type="spellEnd"/>
      <w:r w:rsidR="006148DB" w:rsidRPr="00422ECB">
        <w:rPr>
          <w:rFonts w:ascii="Times New Roman" w:hAnsi="Times New Roman" w:cs="Times New Roman"/>
          <w:lang w:val="tr-TR"/>
        </w:rPr>
        <w:t xml:space="preserve"> </w:t>
      </w:r>
      <w:proofErr w:type="spellStart"/>
      <w:r w:rsidR="006148DB" w:rsidRPr="00422ECB">
        <w:rPr>
          <w:rFonts w:ascii="Times New Roman" w:hAnsi="Times New Roman" w:cs="Times New Roman"/>
          <w:lang w:val="tr-TR"/>
        </w:rPr>
        <w:t>Administrative</w:t>
      </w:r>
      <w:proofErr w:type="spellEnd"/>
      <w:r w:rsidR="006148DB" w:rsidRPr="00422ECB">
        <w:rPr>
          <w:rFonts w:ascii="Times New Roman" w:hAnsi="Times New Roman" w:cs="Times New Roman"/>
          <w:lang w:val="tr-TR"/>
        </w:rPr>
        <w:t xml:space="preserve"> </w:t>
      </w:r>
      <w:proofErr w:type="spellStart"/>
      <w:r w:rsidR="006148DB" w:rsidRPr="00422ECB">
        <w:rPr>
          <w:rFonts w:ascii="Times New Roman" w:hAnsi="Times New Roman" w:cs="Times New Roman"/>
          <w:lang w:val="tr-TR"/>
        </w:rPr>
        <w:t>Sciences</w:t>
      </w:r>
      <w:proofErr w:type="spellEnd"/>
      <w:r w:rsidR="006148DB" w:rsidRPr="00422ECB">
        <w:rPr>
          <w:rFonts w:ascii="Times New Roman" w:hAnsi="Times New Roman" w:cs="Times New Roman"/>
          <w:lang w:val="tr-TR"/>
        </w:rPr>
        <w:t xml:space="preserve">. </w:t>
      </w:r>
      <w:proofErr w:type="spellStart"/>
      <w:r w:rsidR="006148DB" w:rsidRPr="00422ECB">
        <w:rPr>
          <w:rFonts w:ascii="Times New Roman" w:hAnsi="Times New Roman" w:cs="Times New Roman"/>
          <w:lang w:val="tr-TR"/>
        </w:rPr>
        <w:t>Department</w:t>
      </w:r>
      <w:proofErr w:type="spellEnd"/>
      <w:r w:rsidR="006148DB" w:rsidRPr="00422ECB">
        <w:rPr>
          <w:rFonts w:ascii="Times New Roman" w:hAnsi="Times New Roman" w:cs="Times New Roman"/>
          <w:lang w:val="tr-TR"/>
        </w:rPr>
        <w:t xml:space="preserve"> of </w:t>
      </w:r>
      <w:proofErr w:type="spellStart"/>
      <w:r w:rsidR="006148DB" w:rsidRPr="00422ECB">
        <w:rPr>
          <w:rFonts w:ascii="Times New Roman" w:hAnsi="Times New Roman" w:cs="Times New Roman"/>
          <w:lang w:val="tr-TR"/>
        </w:rPr>
        <w:t>Econometrics</w:t>
      </w:r>
      <w:proofErr w:type="spellEnd"/>
      <w:r w:rsidR="006148DB" w:rsidRPr="00422ECB">
        <w:rPr>
          <w:rFonts w:ascii="Times New Roman" w:hAnsi="Times New Roman" w:cs="Times New Roman"/>
          <w:lang w:val="tr-TR"/>
        </w:rPr>
        <w:t xml:space="preserve">. </w:t>
      </w:r>
      <w:proofErr w:type="spellStart"/>
      <w:r w:rsidR="006148DB" w:rsidRPr="00422ECB">
        <w:rPr>
          <w:rFonts w:ascii="Times New Roman" w:hAnsi="Times New Roman" w:cs="Times New Roman"/>
          <w:lang w:val="tr-TR"/>
        </w:rPr>
        <w:t>Email</w:t>
      </w:r>
      <w:proofErr w:type="spellEnd"/>
      <w:r w:rsidR="006148DB" w:rsidRPr="00422ECB">
        <w:rPr>
          <w:rFonts w:ascii="Times New Roman" w:hAnsi="Times New Roman" w:cs="Times New Roman"/>
          <w:lang w:val="tr-TR"/>
        </w:rPr>
        <w:t>: m.ertok.onurlu@comu.edu.</w:t>
      </w:r>
      <w:proofErr w:type="gramStart"/>
      <w:r w:rsidR="006148DB" w:rsidRPr="00422ECB">
        <w:rPr>
          <w:rFonts w:ascii="Times New Roman" w:hAnsi="Times New Roman" w:cs="Times New Roman"/>
          <w:lang w:val="tr-TR"/>
        </w:rPr>
        <w:t>tr .</w:t>
      </w:r>
      <w:proofErr w:type="gramEnd"/>
      <w:r w:rsidR="006148DB">
        <w:rPr>
          <w:lang w:val="tr-TR"/>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F7E"/>
    <w:rsid w:val="00046C97"/>
    <w:rsid w:val="000808ED"/>
    <w:rsid w:val="00136DC0"/>
    <w:rsid w:val="00144832"/>
    <w:rsid w:val="00183CB1"/>
    <w:rsid w:val="00212E19"/>
    <w:rsid w:val="0022036C"/>
    <w:rsid w:val="00282546"/>
    <w:rsid w:val="002874EB"/>
    <w:rsid w:val="002A7D73"/>
    <w:rsid w:val="002B5776"/>
    <w:rsid w:val="002D5CFC"/>
    <w:rsid w:val="002E0C62"/>
    <w:rsid w:val="002E2C42"/>
    <w:rsid w:val="00352436"/>
    <w:rsid w:val="003E235B"/>
    <w:rsid w:val="00422ECB"/>
    <w:rsid w:val="0044514C"/>
    <w:rsid w:val="00445C96"/>
    <w:rsid w:val="00471B22"/>
    <w:rsid w:val="00474B9A"/>
    <w:rsid w:val="004868BE"/>
    <w:rsid w:val="004D7EEB"/>
    <w:rsid w:val="00517F7E"/>
    <w:rsid w:val="00525E2E"/>
    <w:rsid w:val="00570596"/>
    <w:rsid w:val="006148DB"/>
    <w:rsid w:val="0062180C"/>
    <w:rsid w:val="006452C8"/>
    <w:rsid w:val="006716B9"/>
    <w:rsid w:val="006A1EC6"/>
    <w:rsid w:val="006D69A3"/>
    <w:rsid w:val="006E111B"/>
    <w:rsid w:val="007D03B8"/>
    <w:rsid w:val="00841160"/>
    <w:rsid w:val="008D1D1A"/>
    <w:rsid w:val="008D55EA"/>
    <w:rsid w:val="00950BD7"/>
    <w:rsid w:val="00961431"/>
    <w:rsid w:val="00A03542"/>
    <w:rsid w:val="00A77BE8"/>
    <w:rsid w:val="00A9408D"/>
    <w:rsid w:val="00AB7EDB"/>
    <w:rsid w:val="00B41128"/>
    <w:rsid w:val="00B60941"/>
    <w:rsid w:val="00BA74D5"/>
    <w:rsid w:val="00D455AA"/>
    <w:rsid w:val="00D676E0"/>
    <w:rsid w:val="00D75B16"/>
    <w:rsid w:val="00D90634"/>
    <w:rsid w:val="00D928E2"/>
    <w:rsid w:val="00DE5527"/>
    <w:rsid w:val="00E0785D"/>
    <w:rsid w:val="00E41423"/>
    <w:rsid w:val="00EE0D00"/>
    <w:rsid w:val="00EF2F2B"/>
    <w:rsid w:val="00FA1325"/>
    <w:rsid w:val="00FA33DB"/>
    <w:rsid w:val="00FB0772"/>
    <w:rsid w:val="00FD4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A3646"/>
  <w15:chartTrackingRefBased/>
  <w15:docId w15:val="{AC1AC617-7A21-4019-98B3-99BE07B13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716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6B9"/>
    <w:rPr>
      <w:sz w:val="20"/>
      <w:szCs w:val="20"/>
    </w:rPr>
  </w:style>
  <w:style w:type="character" w:styleId="FootnoteReference">
    <w:name w:val="footnote reference"/>
    <w:basedOn w:val="DefaultParagraphFont"/>
    <w:uiPriority w:val="99"/>
    <w:semiHidden/>
    <w:unhideWhenUsed/>
    <w:rsid w:val="006716B9"/>
    <w:rPr>
      <w:vertAlign w:val="superscript"/>
    </w:rPr>
  </w:style>
  <w:style w:type="character" w:styleId="Hyperlink">
    <w:name w:val="Hyperlink"/>
    <w:basedOn w:val="DefaultParagraphFont"/>
    <w:uiPriority w:val="99"/>
    <w:unhideWhenUsed/>
    <w:rsid w:val="006148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3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dl.handle.net/10419/18868" TargetMode="External"/><Relationship Id="rId3" Type="http://schemas.openxmlformats.org/officeDocument/2006/relationships/settings" Target="settings.xml"/><Relationship Id="rId7" Type="http://schemas.openxmlformats.org/officeDocument/2006/relationships/hyperlink" Target="http://gaml.uis.unesco.org/wp-content/uploads/sites/2/2018/12/4.6.1_07_4.6-defining-litera%20cy.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111/j.1368-423X.2007.00227.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663FE-D5F2-4D15-96B4-DFB4C1122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2943</TotalTime>
  <Pages>3</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dc:creator>
  <cp:keywords/>
  <dc:description/>
  <cp:lastModifiedBy>Merve </cp:lastModifiedBy>
  <cp:revision>42</cp:revision>
  <dcterms:created xsi:type="dcterms:W3CDTF">2021-08-15T13:58:00Z</dcterms:created>
  <dcterms:modified xsi:type="dcterms:W3CDTF">2021-08-18T10:48:00Z</dcterms:modified>
</cp:coreProperties>
</file>