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6A65E" w14:textId="00797481" w:rsidR="000A45E5" w:rsidRPr="0015413B" w:rsidRDefault="00D67DD5" w:rsidP="00766385">
      <w:pPr>
        <w:spacing w:line="360" w:lineRule="auto"/>
        <w:jc w:val="center"/>
        <w:rPr>
          <w:rFonts w:ascii="Times New Roman" w:hAnsi="Times New Roman" w:cs="Times New Roman"/>
          <w:b/>
          <w:bCs/>
          <w:sz w:val="24"/>
          <w:szCs w:val="24"/>
        </w:rPr>
      </w:pPr>
      <w:bookmarkStart w:id="0" w:name="_Hlk75123594"/>
      <w:r>
        <w:rPr>
          <w:rFonts w:ascii="Times New Roman" w:hAnsi="Times New Roman" w:cs="Times New Roman"/>
          <w:b/>
          <w:bCs/>
          <w:sz w:val="24"/>
          <w:szCs w:val="24"/>
        </w:rPr>
        <w:t>S</w:t>
      </w:r>
      <w:r w:rsidR="00766385">
        <w:rPr>
          <w:rFonts w:ascii="Times New Roman" w:hAnsi="Times New Roman" w:cs="Times New Roman"/>
          <w:b/>
          <w:bCs/>
          <w:sz w:val="24"/>
          <w:szCs w:val="24"/>
        </w:rPr>
        <w:t>TUDYING</w:t>
      </w:r>
      <w:r w:rsidR="00002BEA" w:rsidRPr="0015413B">
        <w:rPr>
          <w:rFonts w:ascii="Times New Roman" w:hAnsi="Times New Roman" w:cs="Times New Roman"/>
          <w:b/>
          <w:bCs/>
          <w:sz w:val="24"/>
          <w:szCs w:val="24"/>
        </w:rPr>
        <w:t xml:space="preserve"> </w:t>
      </w:r>
      <w:r w:rsidR="00766385">
        <w:rPr>
          <w:rFonts w:ascii="Times New Roman" w:hAnsi="Times New Roman" w:cs="Times New Roman"/>
          <w:b/>
          <w:bCs/>
          <w:sz w:val="24"/>
          <w:szCs w:val="24"/>
        </w:rPr>
        <w:t xml:space="preserve">THE </w:t>
      </w:r>
      <w:r w:rsidR="00223FF2" w:rsidRPr="0015413B">
        <w:rPr>
          <w:rFonts w:ascii="Times New Roman" w:hAnsi="Times New Roman" w:cs="Times New Roman"/>
          <w:b/>
          <w:bCs/>
          <w:sz w:val="24"/>
          <w:szCs w:val="24"/>
        </w:rPr>
        <w:t>A</w:t>
      </w:r>
      <w:r w:rsidR="00766385">
        <w:rPr>
          <w:rFonts w:ascii="Times New Roman" w:hAnsi="Times New Roman" w:cs="Times New Roman"/>
          <w:b/>
          <w:bCs/>
          <w:sz w:val="24"/>
          <w:szCs w:val="24"/>
        </w:rPr>
        <w:t>SSOCIATION OF</w:t>
      </w:r>
      <w:r w:rsidR="00223FF2" w:rsidRPr="0015413B">
        <w:rPr>
          <w:rFonts w:ascii="Times New Roman" w:hAnsi="Times New Roman" w:cs="Times New Roman"/>
          <w:b/>
          <w:bCs/>
          <w:sz w:val="24"/>
          <w:szCs w:val="24"/>
        </w:rPr>
        <w:t xml:space="preserve"> </w:t>
      </w:r>
      <w:r w:rsidR="00766385">
        <w:rPr>
          <w:rFonts w:ascii="Times New Roman" w:hAnsi="Times New Roman" w:cs="Times New Roman"/>
          <w:b/>
          <w:bCs/>
          <w:sz w:val="24"/>
          <w:szCs w:val="24"/>
        </w:rPr>
        <w:t>HUMAN DEVELOPMENT INDEX AND SUSTAINABLE DEVELOPMENT GOALS WITH MULTIPLE CORRESPONDENCE ANALYSIS</w:t>
      </w:r>
    </w:p>
    <w:p w14:paraId="035298A8" w14:textId="77777777" w:rsidR="00E818DA" w:rsidRPr="0015413B" w:rsidRDefault="00E818DA" w:rsidP="00D67DD5">
      <w:pPr>
        <w:spacing w:line="240" w:lineRule="auto"/>
        <w:rPr>
          <w:rFonts w:ascii="Times New Roman" w:hAnsi="Times New Roman" w:cs="Times New Roman"/>
          <w:b/>
          <w:bCs/>
          <w:sz w:val="24"/>
          <w:szCs w:val="24"/>
        </w:rPr>
      </w:pPr>
    </w:p>
    <w:bookmarkEnd w:id="0"/>
    <w:p w14:paraId="34A90CC3" w14:textId="5EFAA7F2" w:rsidR="004E1B54" w:rsidRPr="0015413B" w:rsidRDefault="004E1B54" w:rsidP="00D67DD5">
      <w:pPr>
        <w:pStyle w:val="Heading1"/>
      </w:pPr>
      <w:r w:rsidRPr="0015413B">
        <w:t>ABSTRACT</w:t>
      </w:r>
    </w:p>
    <w:p w14:paraId="545B5E0B" w14:textId="77777777" w:rsidR="004E1B54" w:rsidRPr="0015413B" w:rsidRDefault="004E1B54" w:rsidP="00D67DD5">
      <w:pPr>
        <w:spacing w:line="240" w:lineRule="auto"/>
        <w:jc w:val="both"/>
        <w:rPr>
          <w:rFonts w:ascii="Times New Roman" w:hAnsi="Times New Roman" w:cs="Times New Roman"/>
          <w:i/>
          <w:iCs/>
          <w:sz w:val="20"/>
          <w:szCs w:val="20"/>
        </w:rPr>
      </w:pPr>
      <w:r w:rsidRPr="0015413B">
        <w:rPr>
          <w:rFonts w:ascii="Times New Roman" w:hAnsi="Times New Roman" w:cs="Times New Roman"/>
          <w:i/>
          <w:iCs/>
          <w:sz w:val="20"/>
          <w:szCs w:val="20"/>
        </w:rPr>
        <w:t>Since 1990’s, multiple different measurements were created to calculate and compare development levels of different countries. Human Development Index (HDI) by United Nations Development Programme is one of the most important measures of development economics despite numerous legitimate criticism. Sustainable Development Goals (SDG) were introduced as common goals to achieve by 2030 in United Nations Conference on Sustainable Development and they consist of multiple indicators to measure the progress on each of 17 goals within SDG. The indicators consist of measures from a large array of  economic, social and environmental issues. There is some research on the relation of these indicators to income levels or development measured by GDP or other means. But this study aims to focus on the association of the levels of HDI and SDG indicators to each other, using multiple correspondence analysis as a statistical tool.</w:t>
      </w:r>
    </w:p>
    <w:p w14:paraId="5033B798" w14:textId="77777777" w:rsidR="004E1B54" w:rsidRPr="0015413B" w:rsidRDefault="004E1B54" w:rsidP="00D67DD5">
      <w:pPr>
        <w:spacing w:line="240" w:lineRule="auto"/>
        <w:jc w:val="both"/>
        <w:rPr>
          <w:rFonts w:ascii="Times New Roman" w:hAnsi="Times New Roman" w:cs="Times New Roman"/>
          <w:i/>
          <w:iCs/>
          <w:sz w:val="20"/>
          <w:szCs w:val="20"/>
        </w:rPr>
      </w:pPr>
      <w:r w:rsidRPr="0015413B">
        <w:rPr>
          <w:rFonts w:ascii="Times New Roman" w:hAnsi="Times New Roman" w:cs="Times New Roman"/>
          <w:i/>
          <w:iCs/>
          <w:sz w:val="20"/>
          <w:szCs w:val="20"/>
        </w:rPr>
        <w:t xml:space="preserve">Multiple correspondence analysis is statistical method that can be used to visualize association between levels of categorical data. It is also useful for this research since a large number of variables can be used in the analysis and a value of inertia can be calculated for each variable that shows the contribution of that variable to overall variance within the data. To conduct the research, the HDI values for 189 countries and its indicators were collected from UNDP website from the most recent Human Development Report. SDG indicators for the same countries were collected from United Nations website. Most data that is used in this study was collected in 2019 with exception to variables that are observed over multiple years. Since multiple correspondence analysis uses categorical data, all the data in the study was reduced to categories based on percentiles from numeric measures. </w:t>
      </w:r>
    </w:p>
    <w:p w14:paraId="6FAAC7FB" w14:textId="1D479A64" w:rsidR="004E1B54" w:rsidRPr="0015413B" w:rsidRDefault="004E1B54" w:rsidP="00D67DD5">
      <w:pPr>
        <w:spacing w:line="240" w:lineRule="auto"/>
        <w:jc w:val="both"/>
        <w:rPr>
          <w:rFonts w:ascii="Times New Roman" w:hAnsi="Times New Roman" w:cs="Times New Roman"/>
          <w:i/>
          <w:iCs/>
          <w:sz w:val="20"/>
          <w:szCs w:val="20"/>
        </w:rPr>
      </w:pPr>
      <w:r w:rsidRPr="0015413B">
        <w:rPr>
          <w:rFonts w:ascii="Times New Roman" w:hAnsi="Times New Roman" w:cs="Times New Roman"/>
          <w:i/>
          <w:iCs/>
          <w:sz w:val="20"/>
          <w:szCs w:val="20"/>
        </w:rPr>
        <w:t>The analysis shows that HDI levels, life expectancy and education related variables tend explain a large variance in the data. Results indicate that, for countries, having a lower value of the indicators tend to be more critical for their placement than having middle or higher value.</w:t>
      </w:r>
    </w:p>
    <w:p w14:paraId="3D25A709" w14:textId="1883E692" w:rsidR="004E1B54" w:rsidRDefault="004E1B54" w:rsidP="00D668CE">
      <w:pPr>
        <w:spacing w:line="240" w:lineRule="auto"/>
        <w:ind w:left="567" w:right="567"/>
        <w:jc w:val="both"/>
        <w:rPr>
          <w:rFonts w:ascii="Times New Roman" w:hAnsi="Times New Roman" w:cs="Times New Roman"/>
          <w:sz w:val="20"/>
          <w:szCs w:val="20"/>
        </w:rPr>
      </w:pPr>
      <w:r w:rsidRPr="0015413B">
        <w:rPr>
          <w:rFonts w:ascii="Times New Roman" w:hAnsi="Times New Roman" w:cs="Times New Roman"/>
          <w:b/>
          <w:bCs/>
          <w:sz w:val="20"/>
          <w:szCs w:val="20"/>
        </w:rPr>
        <w:t xml:space="preserve">Key words:  </w:t>
      </w:r>
      <w:r w:rsidRPr="0015413B">
        <w:rPr>
          <w:rFonts w:ascii="Times New Roman" w:hAnsi="Times New Roman" w:cs="Times New Roman"/>
          <w:i/>
          <w:iCs/>
          <w:sz w:val="20"/>
          <w:szCs w:val="20"/>
        </w:rPr>
        <w:t>Human Development Index, SDG, Multiple Correspondence Analysis, Sustainable Development, Homogeneity Analysis</w:t>
      </w:r>
    </w:p>
    <w:p w14:paraId="17313AF2" w14:textId="77777777" w:rsidR="00D668CE" w:rsidRPr="0015413B" w:rsidRDefault="00D668CE" w:rsidP="00D668CE">
      <w:pPr>
        <w:spacing w:line="240" w:lineRule="auto"/>
        <w:ind w:right="567"/>
        <w:jc w:val="both"/>
        <w:rPr>
          <w:rFonts w:ascii="Times New Roman" w:hAnsi="Times New Roman" w:cs="Times New Roman"/>
          <w:sz w:val="20"/>
          <w:szCs w:val="20"/>
        </w:rPr>
      </w:pPr>
    </w:p>
    <w:p w14:paraId="5BB9C77E" w14:textId="6974BB3C" w:rsidR="00850A38" w:rsidRPr="00D014C7" w:rsidRDefault="00850A38" w:rsidP="00766385">
      <w:pPr>
        <w:spacing w:before="120" w:line="240" w:lineRule="auto"/>
        <w:jc w:val="both"/>
        <w:rPr>
          <w:rFonts w:ascii="Times New Roman" w:hAnsi="Times New Roman" w:cs="Times New Roman"/>
          <w:b/>
          <w:bCs/>
          <w:sz w:val="24"/>
          <w:szCs w:val="24"/>
        </w:rPr>
      </w:pPr>
      <w:r w:rsidRPr="00D014C7">
        <w:rPr>
          <w:rFonts w:ascii="Times New Roman" w:hAnsi="Times New Roman" w:cs="Times New Roman"/>
          <w:b/>
          <w:bCs/>
          <w:sz w:val="24"/>
          <w:szCs w:val="24"/>
        </w:rPr>
        <w:t>1. INTRODUCTION</w:t>
      </w:r>
    </w:p>
    <w:p w14:paraId="5509D19C" w14:textId="7C07EAFB" w:rsidR="00850A38" w:rsidRPr="00D014C7" w:rsidRDefault="00850A38" w:rsidP="00766385">
      <w:pPr>
        <w:spacing w:before="120" w:line="240" w:lineRule="auto"/>
        <w:jc w:val="both"/>
        <w:rPr>
          <w:rFonts w:ascii="Times New Roman" w:hAnsi="Times New Roman" w:cs="Times New Roman"/>
          <w:b/>
          <w:bCs/>
          <w:sz w:val="24"/>
          <w:szCs w:val="24"/>
        </w:rPr>
      </w:pPr>
      <w:r w:rsidRPr="00D014C7">
        <w:rPr>
          <w:rFonts w:ascii="Times New Roman" w:hAnsi="Times New Roman" w:cs="Times New Roman"/>
          <w:b/>
          <w:bCs/>
          <w:sz w:val="24"/>
          <w:szCs w:val="24"/>
        </w:rPr>
        <w:t>1.1 Human Development Index and Sustainable Development Goals</w:t>
      </w:r>
    </w:p>
    <w:p w14:paraId="6DF03554" w14:textId="04E8CA0A" w:rsidR="000A45E5" w:rsidRPr="00D014C7" w:rsidRDefault="00850A38"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 xml:space="preserve">Since 1990’s, Human Development Index (HDI), reported annually in Human Development Reports (HDR) by United Nations Development Programme (UNDP), became a critical measure of comparing development of nations globally. </w:t>
      </w:r>
      <w:r w:rsidR="00B70C50" w:rsidRPr="00D014C7">
        <w:rPr>
          <w:rFonts w:ascii="Times New Roman" w:hAnsi="Times New Roman" w:cs="Times New Roman"/>
          <w:sz w:val="24"/>
          <w:szCs w:val="24"/>
        </w:rPr>
        <w:t>Developed by economist Mahbub ul Haq, i</w:t>
      </w:r>
      <w:r w:rsidRPr="00D014C7">
        <w:rPr>
          <w:rFonts w:ascii="Times New Roman" w:hAnsi="Times New Roman" w:cs="Times New Roman"/>
          <w:sz w:val="24"/>
          <w:szCs w:val="24"/>
        </w:rPr>
        <w:t xml:space="preserve">t was </w:t>
      </w:r>
      <w:r w:rsidR="0069231D" w:rsidRPr="00D014C7">
        <w:rPr>
          <w:rFonts w:ascii="Times New Roman" w:hAnsi="Times New Roman" w:cs="Times New Roman"/>
          <w:sz w:val="24"/>
          <w:szCs w:val="24"/>
        </w:rPr>
        <w:t xml:space="preserve">one of the attempts to </w:t>
      </w:r>
      <w:r w:rsidRPr="00D014C7">
        <w:rPr>
          <w:rFonts w:ascii="Times New Roman" w:hAnsi="Times New Roman" w:cs="Times New Roman"/>
          <w:sz w:val="24"/>
          <w:szCs w:val="24"/>
        </w:rPr>
        <w:t>create</w:t>
      </w:r>
      <w:r w:rsidR="0069231D" w:rsidRPr="00D014C7">
        <w:rPr>
          <w:rFonts w:ascii="Times New Roman" w:hAnsi="Times New Roman" w:cs="Times New Roman"/>
          <w:sz w:val="24"/>
          <w:szCs w:val="24"/>
        </w:rPr>
        <w:t xml:space="preserve"> an index</w:t>
      </w:r>
      <w:r w:rsidRPr="00D014C7">
        <w:rPr>
          <w:rFonts w:ascii="Times New Roman" w:hAnsi="Times New Roman" w:cs="Times New Roman"/>
          <w:sz w:val="24"/>
          <w:szCs w:val="24"/>
        </w:rPr>
        <w:t xml:space="preserve"> as an improvement from one dimensional measures of development such as GDP </w:t>
      </w:r>
      <w:r w:rsidR="00EE04D3" w:rsidRPr="00D014C7">
        <w:rPr>
          <w:rFonts w:ascii="Times New Roman" w:hAnsi="Times New Roman" w:cs="Times New Roman"/>
          <w:sz w:val="24"/>
          <w:szCs w:val="24"/>
        </w:rPr>
        <w:t>growth</w:t>
      </w:r>
      <w:r w:rsidR="001C3AB9">
        <w:rPr>
          <w:rFonts w:ascii="Times New Roman" w:hAnsi="Times New Roman" w:cs="Times New Roman"/>
          <w:sz w:val="24"/>
          <w:szCs w:val="24"/>
        </w:rPr>
        <w:t>,</w:t>
      </w:r>
      <w:r w:rsidR="00EE04D3" w:rsidRPr="00D014C7">
        <w:rPr>
          <w:rFonts w:ascii="Times New Roman" w:hAnsi="Times New Roman" w:cs="Times New Roman"/>
          <w:sz w:val="24"/>
          <w:szCs w:val="24"/>
        </w:rPr>
        <w:t xml:space="preserve"> </w:t>
      </w:r>
      <w:r w:rsidRPr="00D014C7">
        <w:rPr>
          <w:rFonts w:ascii="Times New Roman" w:hAnsi="Times New Roman" w:cs="Times New Roman"/>
          <w:sz w:val="24"/>
          <w:szCs w:val="24"/>
        </w:rPr>
        <w:t>and reflects the “capabilities approach” of the renowned development economist Amartya Sen (Stanton, 2007</w:t>
      </w:r>
      <w:r w:rsidR="004E1B54" w:rsidRPr="00D014C7">
        <w:rPr>
          <w:rFonts w:ascii="Times New Roman" w:hAnsi="Times New Roman" w:cs="Times New Roman"/>
          <w:sz w:val="24"/>
          <w:szCs w:val="24"/>
        </w:rPr>
        <w:t xml:space="preserve">: </w:t>
      </w:r>
      <w:r w:rsidR="0069231D" w:rsidRPr="00D014C7">
        <w:rPr>
          <w:rFonts w:ascii="Times New Roman" w:hAnsi="Times New Roman" w:cs="Times New Roman"/>
          <w:sz w:val="24"/>
          <w:szCs w:val="24"/>
        </w:rPr>
        <w:t>15</w:t>
      </w:r>
      <w:r w:rsidRPr="00D014C7">
        <w:rPr>
          <w:rFonts w:ascii="Times New Roman" w:hAnsi="Times New Roman" w:cs="Times New Roman"/>
          <w:sz w:val="24"/>
          <w:szCs w:val="24"/>
        </w:rPr>
        <w:t xml:space="preserve">). Sen </w:t>
      </w:r>
      <w:r w:rsidR="00EE04D3" w:rsidRPr="00D014C7">
        <w:rPr>
          <w:rFonts w:ascii="Times New Roman" w:hAnsi="Times New Roman" w:cs="Times New Roman"/>
          <w:sz w:val="24"/>
          <w:szCs w:val="24"/>
        </w:rPr>
        <w:t xml:space="preserve">(1999) </w:t>
      </w:r>
      <w:r w:rsidRPr="00D014C7">
        <w:rPr>
          <w:rFonts w:ascii="Times New Roman" w:hAnsi="Times New Roman" w:cs="Times New Roman"/>
          <w:sz w:val="24"/>
          <w:szCs w:val="24"/>
        </w:rPr>
        <w:t>introduced an understanding of development as “building blocks” and argued that the focus should be on expanding the “capabilities” of individuals. Human Development Index, in this context, marks a progress since it also includes healthy life, standard of living and education dimensions in calculation.</w:t>
      </w:r>
      <w:r w:rsidR="00740930" w:rsidRPr="00D014C7">
        <w:rPr>
          <w:rFonts w:ascii="Times New Roman" w:hAnsi="Times New Roman" w:cs="Times New Roman"/>
          <w:sz w:val="24"/>
          <w:szCs w:val="24"/>
        </w:rPr>
        <w:t xml:space="preserve"> </w:t>
      </w:r>
      <w:r w:rsidRPr="00D014C7">
        <w:rPr>
          <w:rFonts w:ascii="Times New Roman" w:hAnsi="Times New Roman" w:cs="Times New Roman"/>
          <w:sz w:val="24"/>
          <w:szCs w:val="24"/>
        </w:rPr>
        <w:t xml:space="preserve">HDI is computed as geometric average from indicators for three dimensions. These indicators are life expectancy at birth, mean of years of schooling for adults aged 25 and more, expected years of schooling for children of school entering age and gross national income per capita. </w:t>
      </w:r>
      <w:r w:rsidR="00431ED5" w:rsidRPr="00D014C7">
        <w:rPr>
          <w:rFonts w:ascii="Times New Roman" w:hAnsi="Times New Roman" w:cs="Times New Roman"/>
          <w:sz w:val="24"/>
          <w:szCs w:val="24"/>
        </w:rPr>
        <w:t xml:space="preserve"> </w:t>
      </w:r>
      <w:r w:rsidRPr="00D014C7">
        <w:rPr>
          <w:rFonts w:ascii="Times New Roman" w:hAnsi="Times New Roman" w:cs="Times New Roman"/>
          <w:sz w:val="24"/>
          <w:szCs w:val="24"/>
        </w:rPr>
        <w:t xml:space="preserve">The index faced some criticisms </w:t>
      </w:r>
      <w:r w:rsidR="00747E6C" w:rsidRPr="00D014C7">
        <w:rPr>
          <w:rFonts w:ascii="Times New Roman" w:hAnsi="Times New Roman" w:cs="Times New Roman"/>
          <w:sz w:val="24"/>
          <w:szCs w:val="24"/>
        </w:rPr>
        <w:t>such as</w:t>
      </w:r>
      <w:r w:rsidRPr="00D014C7">
        <w:rPr>
          <w:rFonts w:ascii="Times New Roman" w:hAnsi="Times New Roman" w:cs="Times New Roman"/>
          <w:sz w:val="24"/>
          <w:szCs w:val="24"/>
        </w:rPr>
        <w:t xml:space="preserve"> </w:t>
      </w:r>
      <w:r w:rsidR="00EE04D3" w:rsidRPr="00D014C7">
        <w:rPr>
          <w:rFonts w:ascii="Times New Roman" w:hAnsi="Times New Roman" w:cs="Times New Roman"/>
          <w:sz w:val="24"/>
          <w:szCs w:val="24"/>
        </w:rPr>
        <w:t>inability to</w:t>
      </w:r>
      <w:r w:rsidRPr="00D014C7">
        <w:rPr>
          <w:rFonts w:ascii="Times New Roman" w:hAnsi="Times New Roman" w:cs="Times New Roman"/>
          <w:sz w:val="24"/>
          <w:szCs w:val="24"/>
        </w:rPr>
        <w:t xml:space="preserve"> capture </w:t>
      </w:r>
      <w:r w:rsidR="00EE04D3" w:rsidRPr="00D014C7">
        <w:rPr>
          <w:rFonts w:ascii="Times New Roman" w:hAnsi="Times New Roman" w:cs="Times New Roman"/>
          <w:sz w:val="24"/>
          <w:szCs w:val="24"/>
        </w:rPr>
        <w:t xml:space="preserve">complexities of </w:t>
      </w:r>
      <w:r w:rsidRPr="00D014C7">
        <w:rPr>
          <w:rFonts w:ascii="Times New Roman" w:hAnsi="Times New Roman" w:cs="Times New Roman"/>
          <w:sz w:val="24"/>
          <w:szCs w:val="24"/>
        </w:rPr>
        <w:t>human development</w:t>
      </w:r>
      <w:r w:rsidR="0069231D" w:rsidRPr="00D014C7">
        <w:rPr>
          <w:rFonts w:ascii="Times New Roman" w:hAnsi="Times New Roman" w:cs="Times New Roman"/>
          <w:sz w:val="24"/>
          <w:szCs w:val="24"/>
        </w:rPr>
        <w:t>, data problems, arbitrary calculation or poor choice of indicators (</w:t>
      </w:r>
      <w:r w:rsidR="00D06A6C" w:rsidRPr="00D014C7">
        <w:rPr>
          <w:rFonts w:ascii="Times New Roman" w:hAnsi="Times New Roman" w:cs="Times New Roman"/>
          <w:sz w:val="24"/>
          <w:szCs w:val="24"/>
        </w:rPr>
        <w:t xml:space="preserve">Kovacevic, 2010, </w:t>
      </w:r>
      <w:r w:rsidR="0069231D" w:rsidRPr="00D014C7">
        <w:rPr>
          <w:rFonts w:ascii="Times New Roman" w:hAnsi="Times New Roman" w:cs="Times New Roman"/>
          <w:sz w:val="24"/>
          <w:szCs w:val="24"/>
        </w:rPr>
        <w:t xml:space="preserve">Stanton, 2007: 18). Over the years, UNDP reacted to some of these criticism by changing the calculation of HDI or </w:t>
      </w:r>
      <w:r w:rsidRPr="00D014C7">
        <w:rPr>
          <w:rFonts w:ascii="Times New Roman" w:hAnsi="Times New Roman" w:cs="Times New Roman"/>
          <w:sz w:val="24"/>
          <w:szCs w:val="24"/>
        </w:rPr>
        <w:t>introduc</w:t>
      </w:r>
      <w:r w:rsidR="0069231D" w:rsidRPr="00D014C7">
        <w:rPr>
          <w:rFonts w:ascii="Times New Roman" w:hAnsi="Times New Roman" w:cs="Times New Roman"/>
          <w:sz w:val="24"/>
          <w:szCs w:val="24"/>
        </w:rPr>
        <w:t>ing</w:t>
      </w:r>
      <w:r w:rsidRPr="00D014C7">
        <w:rPr>
          <w:rFonts w:ascii="Times New Roman" w:hAnsi="Times New Roman" w:cs="Times New Roman"/>
          <w:sz w:val="24"/>
          <w:szCs w:val="24"/>
        </w:rPr>
        <w:t xml:space="preserve"> several different indices such as Gender Development Index, Multidimensional Poverty Index and</w:t>
      </w:r>
      <w:r w:rsidR="00EE04D3" w:rsidRPr="00D014C7">
        <w:rPr>
          <w:rFonts w:ascii="Times New Roman" w:hAnsi="Times New Roman" w:cs="Times New Roman"/>
          <w:sz w:val="24"/>
          <w:szCs w:val="24"/>
        </w:rPr>
        <w:t>,</w:t>
      </w:r>
      <w:r w:rsidRPr="00D014C7">
        <w:rPr>
          <w:rFonts w:ascii="Times New Roman" w:hAnsi="Times New Roman" w:cs="Times New Roman"/>
          <w:sz w:val="24"/>
          <w:szCs w:val="24"/>
        </w:rPr>
        <w:t xml:space="preserve"> recently in</w:t>
      </w:r>
      <w:r w:rsidR="00EE04D3" w:rsidRPr="00D014C7">
        <w:rPr>
          <w:rFonts w:ascii="Times New Roman" w:hAnsi="Times New Roman" w:cs="Times New Roman"/>
          <w:sz w:val="24"/>
          <w:szCs w:val="24"/>
        </w:rPr>
        <w:t xml:space="preserve"> the most recent HDR in</w:t>
      </w:r>
      <w:r w:rsidRPr="00D014C7">
        <w:rPr>
          <w:rFonts w:ascii="Times New Roman" w:hAnsi="Times New Roman" w:cs="Times New Roman"/>
          <w:sz w:val="24"/>
          <w:szCs w:val="24"/>
        </w:rPr>
        <w:t xml:space="preserve"> 2020</w:t>
      </w:r>
      <w:r w:rsidR="009A055A" w:rsidRPr="00D014C7">
        <w:rPr>
          <w:rFonts w:ascii="Times New Roman" w:hAnsi="Times New Roman" w:cs="Times New Roman"/>
          <w:sz w:val="24"/>
          <w:szCs w:val="24"/>
        </w:rPr>
        <w:t>,</w:t>
      </w:r>
      <w:r w:rsidRPr="00D014C7">
        <w:rPr>
          <w:rFonts w:ascii="Times New Roman" w:hAnsi="Times New Roman" w:cs="Times New Roman"/>
          <w:sz w:val="24"/>
          <w:szCs w:val="24"/>
        </w:rPr>
        <w:t xml:space="preserve"> Planetary pressures-adjusted Human Development Index. Despite the criticisms, </w:t>
      </w:r>
      <w:r w:rsidRPr="00D014C7">
        <w:rPr>
          <w:rFonts w:ascii="Times New Roman" w:hAnsi="Times New Roman" w:cs="Times New Roman"/>
          <w:sz w:val="24"/>
          <w:szCs w:val="24"/>
        </w:rPr>
        <w:lastRenderedPageBreak/>
        <w:t xml:space="preserve">HDI is still one of the most commonly used measures of national development and is </w:t>
      </w:r>
      <w:r w:rsidR="00D06A6C" w:rsidRPr="00D014C7">
        <w:rPr>
          <w:rFonts w:ascii="Times New Roman" w:hAnsi="Times New Roman" w:cs="Times New Roman"/>
          <w:sz w:val="24"/>
          <w:szCs w:val="24"/>
        </w:rPr>
        <w:t xml:space="preserve">one of </w:t>
      </w:r>
      <w:r w:rsidRPr="00D014C7">
        <w:rPr>
          <w:rFonts w:ascii="Times New Roman" w:hAnsi="Times New Roman" w:cs="Times New Roman"/>
          <w:sz w:val="24"/>
          <w:szCs w:val="24"/>
        </w:rPr>
        <w:t xml:space="preserve">the most important statistic </w:t>
      </w:r>
      <w:r w:rsidR="00D06A6C" w:rsidRPr="00D014C7">
        <w:rPr>
          <w:rFonts w:ascii="Times New Roman" w:hAnsi="Times New Roman" w:cs="Times New Roman"/>
          <w:sz w:val="24"/>
          <w:szCs w:val="24"/>
        </w:rPr>
        <w:t>published periodically regarding development economics.</w:t>
      </w:r>
    </w:p>
    <w:p w14:paraId="2912694C" w14:textId="719B976E" w:rsidR="00747E6C" w:rsidRPr="00D014C7" w:rsidRDefault="00850A38"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As “sustainability” became one of the most commonly referred topics in development economics in last decade, United Nations General Assembly introduced “Sustainable Development Goals” in 2015, as common goals to achieve by 2030 as well as a measure of sustainability. Sustainable Development Goals (SDG</w:t>
      </w:r>
      <w:r w:rsidR="00955A05" w:rsidRPr="00D014C7">
        <w:rPr>
          <w:rFonts w:ascii="Times New Roman" w:hAnsi="Times New Roman" w:cs="Times New Roman"/>
          <w:sz w:val="24"/>
          <w:szCs w:val="24"/>
        </w:rPr>
        <w:t>s</w:t>
      </w:r>
      <w:r w:rsidRPr="00D014C7">
        <w:rPr>
          <w:rFonts w:ascii="Times New Roman" w:hAnsi="Times New Roman" w:cs="Times New Roman"/>
          <w:sz w:val="24"/>
          <w:szCs w:val="24"/>
        </w:rPr>
        <w:t>)</w:t>
      </w:r>
      <w:r w:rsidR="00955A05" w:rsidRPr="00D014C7">
        <w:rPr>
          <w:rFonts w:ascii="Times New Roman" w:hAnsi="Times New Roman" w:cs="Times New Roman"/>
          <w:sz w:val="24"/>
          <w:szCs w:val="24"/>
        </w:rPr>
        <w:t xml:space="preserve"> </w:t>
      </w:r>
      <w:r w:rsidR="00662DA3" w:rsidRPr="00D014C7">
        <w:rPr>
          <w:rFonts w:ascii="Times New Roman" w:hAnsi="Times New Roman" w:cs="Times New Roman"/>
          <w:sz w:val="24"/>
          <w:szCs w:val="24"/>
        </w:rPr>
        <w:t xml:space="preserve">framework builds upon the Millenium Development Goals, 8 goals that were aimed to be achieved by 2015. SDGs </w:t>
      </w:r>
      <w:r w:rsidRPr="00D014C7">
        <w:rPr>
          <w:rFonts w:ascii="Times New Roman" w:hAnsi="Times New Roman" w:cs="Times New Roman"/>
          <w:sz w:val="24"/>
          <w:szCs w:val="24"/>
        </w:rPr>
        <w:t>consist of 17 main goal</w:t>
      </w:r>
      <w:r w:rsidR="00662DA3" w:rsidRPr="00D014C7">
        <w:rPr>
          <w:rFonts w:ascii="Times New Roman" w:hAnsi="Times New Roman" w:cs="Times New Roman"/>
          <w:sz w:val="24"/>
          <w:szCs w:val="24"/>
        </w:rPr>
        <w:t>s.</w:t>
      </w:r>
      <w:r w:rsidRPr="00D014C7">
        <w:rPr>
          <w:rFonts w:ascii="Times New Roman" w:hAnsi="Times New Roman" w:cs="Times New Roman"/>
          <w:sz w:val="24"/>
          <w:szCs w:val="24"/>
        </w:rPr>
        <w:t xml:space="preserve"> Each of the 17 goals has multiple targets and each target has multiple indicators to </w:t>
      </w:r>
      <w:r w:rsidR="00662DA3" w:rsidRPr="00D014C7">
        <w:rPr>
          <w:rFonts w:ascii="Times New Roman" w:hAnsi="Times New Roman" w:cs="Times New Roman"/>
          <w:sz w:val="24"/>
          <w:szCs w:val="24"/>
        </w:rPr>
        <w:t>monitor</w:t>
      </w:r>
      <w:r w:rsidRPr="00D014C7">
        <w:rPr>
          <w:rFonts w:ascii="Times New Roman" w:hAnsi="Times New Roman" w:cs="Times New Roman"/>
          <w:sz w:val="24"/>
          <w:szCs w:val="24"/>
        </w:rPr>
        <w:t xml:space="preserve"> progress on that target</w:t>
      </w:r>
      <w:r w:rsidR="005137DA" w:rsidRPr="00D014C7">
        <w:rPr>
          <w:rFonts w:ascii="Times New Roman" w:hAnsi="Times New Roman" w:cs="Times New Roman"/>
          <w:sz w:val="24"/>
          <w:szCs w:val="24"/>
        </w:rPr>
        <w:t>, accumulating to 169 targets and 232 indicators in total</w:t>
      </w:r>
      <w:r w:rsidRPr="00D014C7">
        <w:rPr>
          <w:rFonts w:ascii="Times New Roman" w:hAnsi="Times New Roman" w:cs="Times New Roman"/>
          <w:sz w:val="24"/>
          <w:szCs w:val="24"/>
        </w:rPr>
        <w:t>.</w:t>
      </w:r>
      <w:r w:rsidR="00D11A75" w:rsidRPr="00D014C7">
        <w:rPr>
          <w:rFonts w:ascii="Times New Roman" w:hAnsi="Times New Roman" w:cs="Times New Roman"/>
          <w:sz w:val="24"/>
          <w:szCs w:val="24"/>
        </w:rPr>
        <w:t xml:space="preserve"> A list of 17 goals are presented in the Table 1 below.</w:t>
      </w:r>
      <w:r w:rsidRPr="00D014C7">
        <w:rPr>
          <w:rFonts w:ascii="Times New Roman" w:hAnsi="Times New Roman" w:cs="Times New Roman"/>
          <w:sz w:val="24"/>
          <w:szCs w:val="24"/>
        </w:rPr>
        <w:t xml:space="preserve"> </w:t>
      </w:r>
      <w:r w:rsidR="00662DA3" w:rsidRPr="00D014C7">
        <w:rPr>
          <w:rFonts w:ascii="Times New Roman" w:hAnsi="Times New Roman" w:cs="Times New Roman"/>
          <w:sz w:val="24"/>
          <w:szCs w:val="24"/>
        </w:rPr>
        <w:t>The SDGs aim to create progress on different fronts from poverty and socioeconomic well-being to gender equality to environment and sustainability</w:t>
      </w:r>
      <w:r w:rsidRPr="00D014C7">
        <w:rPr>
          <w:rFonts w:ascii="Times New Roman" w:hAnsi="Times New Roman" w:cs="Times New Roman"/>
          <w:sz w:val="24"/>
          <w:szCs w:val="24"/>
        </w:rPr>
        <w:t>.</w:t>
      </w:r>
      <w:r w:rsidR="00662DA3" w:rsidRPr="00D014C7">
        <w:rPr>
          <w:rFonts w:ascii="Times New Roman" w:hAnsi="Times New Roman" w:cs="Times New Roman"/>
          <w:sz w:val="24"/>
          <w:szCs w:val="24"/>
        </w:rPr>
        <w:t xml:space="preserve"> </w:t>
      </w:r>
      <w:r w:rsidRPr="00D014C7">
        <w:rPr>
          <w:rFonts w:ascii="Times New Roman" w:hAnsi="Times New Roman" w:cs="Times New Roman"/>
          <w:sz w:val="24"/>
          <w:szCs w:val="24"/>
        </w:rPr>
        <w:t xml:space="preserve">Although the usefulness of SDG targets, especially for underdeveloped countries, is debated, it is still </w:t>
      </w:r>
      <w:r w:rsidR="00BD2066" w:rsidRPr="00D014C7">
        <w:rPr>
          <w:rFonts w:ascii="Times New Roman" w:hAnsi="Times New Roman" w:cs="Times New Roman"/>
          <w:sz w:val="24"/>
          <w:szCs w:val="24"/>
        </w:rPr>
        <w:t>one of the</w:t>
      </w:r>
      <w:r w:rsidRPr="00D014C7">
        <w:rPr>
          <w:rFonts w:ascii="Times New Roman" w:hAnsi="Times New Roman" w:cs="Times New Roman"/>
          <w:sz w:val="24"/>
          <w:szCs w:val="24"/>
        </w:rPr>
        <w:t xml:space="preserve"> most comprehensive list of measures for development </w:t>
      </w:r>
      <w:r w:rsidR="00D11A75" w:rsidRPr="00D014C7">
        <w:rPr>
          <w:rFonts w:ascii="Times New Roman" w:hAnsi="Times New Roman" w:cs="Times New Roman"/>
          <w:sz w:val="24"/>
          <w:szCs w:val="24"/>
        </w:rPr>
        <w:t>and became an important reference point for corporate social responsibility worldwide</w:t>
      </w:r>
      <w:r w:rsidRPr="00D014C7">
        <w:rPr>
          <w:rFonts w:ascii="Times New Roman" w:hAnsi="Times New Roman" w:cs="Times New Roman"/>
          <w:sz w:val="24"/>
          <w:szCs w:val="24"/>
        </w:rPr>
        <w:t xml:space="preserve"> (Sridhar, 2016). </w:t>
      </w:r>
    </w:p>
    <w:p w14:paraId="3503BE19" w14:textId="7E2767AA" w:rsidR="00BD2066" w:rsidRPr="0015413B" w:rsidRDefault="00BD2066" w:rsidP="00D67DD5">
      <w:pPr>
        <w:spacing w:line="240" w:lineRule="auto"/>
        <w:jc w:val="both"/>
        <w:rPr>
          <w:rFonts w:ascii="Times New Roman" w:hAnsi="Times New Roman" w:cs="Times New Roman"/>
        </w:rPr>
      </w:pPr>
    </w:p>
    <w:tbl>
      <w:tblPr>
        <w:tblW w:w="9838" w:type="dxa"/>
        <w:tblInd w:w="108" w:type="dxa"/>
        <w:tblLook w:val="04A0" w:firstRow="1" w:lastRow="0" w:firstColumn="1" w:lastColumn="0" w:noHBand="0" w:noVBand="1"/>
      </w:tblPr>
      <w:tblGrid>
        <w:gridCol w:w="1026"/>
        <w:gridCol w:w="8812"/>
      </w:tblGrid>
      <w:tr w:rsidR="00D11A75" w:rsidRPr="0015413B" w14:paraId="4213543B" w14:textId="77777777" w:rsidTr="00D11A75">
        <w:trPr>
          <w:trHeight w:val="289"/>
        </w:trPr>
        <w:tc>
          <w:tcPr>
            <w:tcW w:w="9838" w:type="dxa"/>
            <w:gridSpan w:val="2"/>
            <w:tcBorders>
              <w:top w:val="nil"/>
              <w:left w:val="nil"/>
              <w:bottom w:val="single" w:sz="8" w:space="0" w:color="auto"/>
              <w:right w:val="nil"/>
            </w:tcBorders>
            <w:shd w:val="clear" w:color="000000" w:fill="FFFFFF"/>
            <w:noWrap/>
            <w:vAlign w:val="center"/>
            <w:hideMark/>
          </w:tcPr>
          <w:p w14:paraId="4F8F288C" w14:textId="73E5DB40" w:rsidR="00D11A75" w:rsidRPr="003B1D26" w:rsidRDefault="003B1D26" w:rsidP="0046268B">
            <w:pPr>
              <w:spacing w:line="240" w:lineRule="auto"/>
              <w:jc w:val="center"/>
              <w:rPr>
                <w:rFonts w:ascii="Times New Roman" w:hAnsi="Times New Roman" w:cs="Times New Roman"/>
                <w:color w:val="000000"/>
                <w:lang w:eastAsia="en-GB"/>
              </w:rPr>
            </w:pPr>
            <w:r w:rsidRPr="0046268B">
              <w:rPr>
                <w:rFonts w:ascii="Times New Roman" w:hAnsi="Times New Roman" w:cs="Times New Roman"/>
                <w:b/>
                <w:bCs/>
                <w:sz w:val="24"/>
                <w:szCs w:val="24"/>
              </w:rPr>
              <w:t xml:space="preserve">Table </w:t>
            </w:r>
            <w:r w:rsidRPr="0046268B">
              <w:rPr>
                <w:rFonts w:ascii="Times New Roman" w:hAnsi="Times New Roman" w:cs="Times New Roman"/>
                <w:b/>
                <w:bCs/>
                <w:sz w:val="24"/>
                <w:szCs w:val="24"/>
              </w:rPr>
              <w:fldChar w:fldCharType="begin"/>
            </w:r>
            <w:r w:rsidRPr="0046268B">
              <w:rPr>
                <w:rFonts w:ascii="Times New Roman" w:hAnsi="Times New Roman" w:cs="Times New Roman"/>
                <w:b/>
                <w:bCs/>
                <w:sz w:val="24"/>
                <w:szCs w:val="24"/>
              </w:rPr>
              <w:instrText xml:space="preserve"> SEQ Table \* ARABIC </w:instrText>
            </w:r>
            <w:r w:rsidRPr="0046268B">
              <w:rPr>
                <w:rFonts w:ascii="Times New Roman" w:hAnsi="Times New Roman" w:cs="Times New Roman"/>
                <w:b/>
                <w:bCs/>
                <w:sz w:val="24"/>
                <w:szCs w:val="24"/>
              </w:rPr>
              <w:fldChar w:fldCharType="separate"/>
            </w:r>
            <w:r w:rsidR="0056758C">
              <w:rPr>
                <w:rFonts w:ascii="Times New Roman" w:hAnsi="Times New Roman" w:cs="Times New Roman"/>
                <w:b/>
                <w:bCs/>
                <w:noProof/>
                <w:sz w:val="24"/>
                <w:szCs w:val="24"/>
              </w:rPr>
              <w:t>1</w:t>
            </w:r>
            <w:r w:rsidRPr="0046268B">
              <w:rPr>
                <w:rFonts w:ascii="Times New Roman" w:hAnsi="Times New Roman" w:cs="Times New Roman"/>
                <w:b/>
                <w:bCs/>
                <w:sz w:val="24"/>
                <w:szCs w:val="24"/>
              </w:rPr>
              <w:fldChar w:fldCharType="end"/>
            </w:r>
            <w:r w:rsidRPr="0046268B">
              <w:rPr>
                <w:rFonts w:ascii="Times New Roman" w:hAnsi="Times New Roman" w:cs="Times New Roman"/>
                <w:b/>
                <w:bCs/>
                <w:sz w:val="24"/>
                <w:szCs w:val="24"/>
              </w:rPr>
              <w:t>. Sustainable Development Goals</w:t>
            </w:r>
          </w:p>
        </w:tc>
      </w:tr>
      <w:tr w:rsidR="00D11A75" w:rsidRPr="0015413B" w14:paraId="17D37C30" w14:textId="77777777" w:rsidTr="00D014C7">
        <w:trPr>
          <w:trHeight w:val="257"/>
        </w:trPr>
        <w:tc>
          <w:tcPr>
            <w:tcW w:w="1026" w:type="dxa"/>
            <w:tcBorders>
              <w:top w:val="nil"/>
              <w:left w:val="nil"/>
              <w:bottom w:val="nil"/>
              <w:right w:val="nil"/>
            </w:tcBorders>
            <w:shd w:val="clear" w:color="000000" w:fill="FFFFFF"/>
            <w:vAlign w:val="center"/>
            <w:hideMark/>
          </w:tcPr>
          <w:p w14:paraId="7A933F4F"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w:t>
            </w:r>
          </w:p>
        </w:tc>
        <w:tc>
          <w:tcPr>
            <w:tcW w:w="8812" w:type="dxa"/>
            <w:tcBorders>
              <w:top w:val="single" w:sz="8" w:space="0" w:color="auto"/>
              <w:left w:val="nil"/>
              <w:bottom w:val="nil"/>
              <w:right w:val="nil"/>
            </w:tcBorders>
            <w:shd w:val="clear" w:color="000000" w:fill="FFFFFF"/>
            <w:noWrap/>
            <w:vAlign w:val="center"/>
            <w:hideMark/>
          </w:tcPr>
          <w:p w14:paraId="7DF0BEC5"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End poverty in all its forms everywhere</w:t>
            </w:r>
          </w:p>
        </w:tc>
      </w:tr>
      <w:tr w:rsidR="00D11A75" w:rsidRPr="0015413B" w14:paraId="42251E2A" w14:textId="77777777" w:rsidTr="00D014C7">
        <w:trPr>
          <w:trHeight w:val="278"/>
        </w:trPr>
        <w:tc>
          <w:tcPr>
            <w:tcW w:w="1026" w:type="dxa"/>
            <w:tcBorders>
              <w:top w:val="nil"/>
              <w:left w:val="nil"/>
              <w:bottom w:val="nil"/>
              <w:right w:val="nil"/>
            </w:tcBorders>
            <w:shd w:val="clear" w:color="000000" w:fill="FFFFFF"/>
            <w:vAlign w:val="center"/>
            <w:hideMark/>
          </w:tcPr>
          <w:p w14:paraId="274FF137"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2</w:t>
            </w:r>
          </w:p>
        </w:tc>
        <w:tc>
          <w:tcPr>
            <w:tcW w:w="8812" w:type="dxa"/>
            <w:tcBorders>
              <w:top w:val="nil"/>
              <w:left w:val="nil"/>
              <w:bottom w:val="nil"/>
              <w:right w:val="nil"/>
            </w:tcBorders>
            <w:shd w:val="clear" w:color="000000" w:fill="FFFFFF"/>
            <w:noWrap/>
            <w:vAlign w:val="center"/>
            <w:hideMark/>
          </w:tcPr>
          <w:p w14:paraId="40E5922A"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End hunger, achieve food security and improved nutrition and promote sustainable agriculture</w:t>
            </w:r>
          </w:p>
        </w:tc>
      </w:tr>
      <w:tr w:rsidR="00D11A75" w:rsidRPr="0015413B" w14:paraId="41EEE143" w14:textId="77777777" w:rsidTr="00D014C7">
        <w:trPr>
          <w:trHeight w:val="278"/>
        </w:trPr>
        <w:tc>
          <w:tcPr>
            <w:tcW w:w="1026" w:type="dxa"/>
            <w:tcBorders>
              <w:top w:val="nil"/>
              <w:left w:val="nil"/>
              <w:bottom w:val="nil"/>
              <w:right w:val="nil"/>
            </w:tcBorders>
            <w:shd w:val="clear" w:color="000000" w:fill="FFFFFF"/>
            <w:vAlign w:val="center"/>
            <w:hideMark/>
          </w:tcPr>
          <w:p w14:paraId="250300FC"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3</w:t>
            </w:r>
          </w:p>
        </w:tc>
        <w:tc>
          <w:tcPr>
            <w:tcW w:w="8812" w:type="dxa"/>
            <w:tcBorders>
              <w:top w:val="nil"/>
              <w:left w:val="nil"/>
              <w:bottom w:val="nil"/>
              <w:right w:val="nil"/>
            </w:tcBorders>
            <w:shd w:val="clear" w:color="000000" w:fill="FFFFFF"/>
            <w:noWrap/>
            <w:vAlign w:val="center"/>
            <w:hideMark/>
          </w:tcPr>
          <w:p w14:paraId="7F498136"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Ensure healthy lives and promote well-being for all at all ages</w:t>
            </w:r>
          </w:p>
        </w:tc>
      </w:tr>
      <w:tr w:rsidR="00D11A75" w:rsidRPr="0015413B" w14:paraId="6FF1228F" w14:textId="77777777" w:rsidTr="00D014C7">
        <w:trPr>
          <w:trHeight w:val="278"/>
        </w:trPr>
        <w:tc>
          <w:tcPr>
            <w:tcW w:w="1026" w:type="dxa"/>
            <w:tcBorders>
              <w:top w:val="nil"/>
              <w:left w:val="nil"/>
              <w:bottom w:val="nil"/>
              <w:right w:val="nil"/>
            </w:tcBorders>
            <w:shd w:val="clear" w:color="000000" w:fill="FFFFFF"/>
            <w:vAlign w:val="center"/>
            <w:hideMark/>
          </w:tcPr>
          <w:p w14:paraId="0444AFDE"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4</w:t>
            </w:r>
          </w:p>
        </w:tc>
        <w:tc>
          <w:tcPr>
            <w:tcW w:w="8812" w:type="dxa"/>
            <w:tcBorders>
              <w:top w:val="nil"/>
              <w:left w:val="nil"/>
              <w:bottom w:val="nil"/>
              <w:right w:val="nil"/>
            </w:tcBorders>
            <w:shd w:val="clear" w:color="000000" w:fill="FFFFFF"/>
            <w:noWrap/>
            <w:vAlign w:val="center"/>
            <w:hideMark/>
          </w:tcPr>
          <w:p w14:paraId="5A1B9A09"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Ensure inclusive and equitable quality education and promote lifelong learning opportunities for all</w:t>
            </w:r>
          </w:p>
        </w:tc>
      </w:tr>
      <w:tr w:rsidR="00D11A75" w:rsidRPr="0015413B" w14:paraId="60D22E40" w14:textId="77777777" w:rsidTr="00D014C7">
        <w:trPr>
          <w:trHeight w:val="278"/>
        </w:trPr>
        <w:tc>
          <w:tcPr>
            <w:tcW w:w="1026" w:type="dxa"/>
            <w:tcBorders>
              <w:top w:val="nil"/>
              <w:left w:val="nil"/>
              <w:bottom w:val="nil"/>
              <w:right w:val="nil"/>
            </w:tcBorders>
            <w:shd w:val="clear" w:color="000000" w:fill="FFFFFF"/>
            <w:vAlign w:val="center"/>
            <w:hideMark/>
          </w:tcPr>
          <w:p w14:paraId="10C7B93E"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5</w:t>
            </w:r>
          </w:p>
        </w:tc>
        <w:tc>
          <w:tcPr>
            <w:tcW w:w="8812" w:type="dxa"/>
            <w:tcBorders>
              <w:top w:val="nil"/>
              <w:left w:val="nil"/>
              <w:bottom w:val="nil"/>
              <w:right w:val="nil"/>
            </w:tcBorders>
            <w:shd w:val="clear" w:color="000000" w:fill="FFFFFF"/>
            <w:noWrap/>
            <w:vAlign w:val="center"/>
            <w:hideMark/>
          </w:tcPr>
          <w:p w14:paraId="591A4B93"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Achieve gender equality and empower all women and girls</w:t>
            </w:r>
          </w:p>
        </w:tc>
      </w:tr>
      <w:tr w:rsidR="00D11A75" w:rsidRPr="0015413B" w14:paraId="4750E2BA" w14:textId="77777777" w:rsidTr="00D014C7">
        <w:trPr>
          <w:trHeight w:val="278"/>
        </w:trPr>
        <w:tc>
          <w:tcPr>
            <w:tcW w:w="1026" w:type="dxa"/>
            <w:tcBorders>
              <w:top w:val="nil"/>
              <w:left w:val="nil"/>
              <w:bottom w:val="nil"/>
              <w:right w:val="nil"/>
            </w:tcBorders>
            <w:shd w:val="clear" w:color="000000" w:fill="FFFFFF"/>
            <w:vAlign w:val="center"/>
            <w:hideMark/>
          </w:tcPr>
          <w:p w14:paraId="7A454402"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6</w:t>
            </w:r>
          </w:p>
        </w:tc>
        <w:tc>
          <w:tcPr>
            <w:tcW w:w="8812" w:type="dxa"/>
            <w:tcBorders>
              <w:top w:val="nil"/>
              <w:left w:val="nil"/>
              <w:bottom w:val="nil"/>
              <w:right w:val="nil"/>
            </w:tcBorders>
            <w:shd w:val="clear" w:color="000000" w:fill="FFFFFF"/>
            <w:noWrap/>
            <w:vAlign w:val="center"/>
            <w:hideMark/>
          </w:tcPr>
          <w:p w14:paraId="4E4EFD1B"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Ensure availability and sustainable management of water and sanitation for all</w:t>
            </w:r>
          </w:p>
        </w:tc>
      </w:tr>
      <w:tr w:rsidR="00D11A75" w:rsidRPr="0015413B" w14:paraId="6AE8EB2E" w14:textId="77777777" w:rsidTr="00D014C7">
        <w:trPr>
          <w:trHeight w:val="278"/>
        </w:trPr>
        <w:tc>
          <w:tcPr>
            <w:tcW w:w="1026" w:type="dxa"/>
            <w:tcBorders>
              <w:top w:val="nil"/>
              <w:left w:val="nil"/>
              <w:bottom w:val="nil"/>
              <w:right w:val="nil"/>
            </w:tcBorders>
            <w:shd w:val="clear" w:color="000000" w:fill="FFFFFF"/>
            <w:vAlign w:val="center"/>
            <w:hideMark/>
          </w:tcPr>
          <w:p w14:paraId="0516E552"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7</w:t>
            </w:r>
          </w:p>
        </w:tc>
        <w:tc>
          <w:tcPr>
            <w:tcW w:w="8812" w:type="dxa"/>
            <w:tcBorders>
              <w:top w:val="nil"/>
              <w:left w:val="nil"/>
              <w:bottom w:val="nil"/>
              <w:right w:val="nil"/>
            </w:tcBorders>
            <w:shd w:val="clear" w:color="000000" w:fill="FFFFFF"/>
            <w:noWrap/>
            <w:vAlign w:val="center"/>
            <w:hideMark/>
          </w:tcPr>
          <w:p w14:paraId="5A6835E8"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Ensure access to affordable, reliable, sustainable and modern energy for all</w:t>
            </w:r>
          </w:p>
        </w:tc>
      </w:tr>
      <w:tr w:rsidR="00D11A75" w:rsidRPr="0015413B" w14:paraId="48981FB9" w14:textId="77777777" w:rsidTr="00D014C7">
        <w:trPr>
          <w:trHeight w:val="278"/>
        </w:trPr>
        <w:tc>
          <w:tcPr>
            <w:tcW w:w="1026" w:type="dxa"/>
            <w:tcBorders>
              <w:top w:val="nil"/>
              <w:left w:val="nil"/>
              <w:bottom w:val="nil"/>
              <w:right w:val="nil"/>
            </w:tcBorders>
            <w:shd w:val="clear" w:color="000000" w:fill="FFFFFF"/>
            <w:vAlign w:val="center"/>
            <w:hideMark/>
          </w:tcPr>
          <w:p w14:paraId="0493451E"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8</w:t>
            </w:r>
          </w:p>
        </w:tc>
        <w:tc>
          <w:tcPr>
            <w:tcW w:w="8812" w:type="dxa"/>
            <w:tcBorders>
              <w:top w:val="nil"/>
              <w:left w:val="nil"/>
              <w:bottom w:val="nil"/>
              <w:right w:val="nil"/>
            </w:tcBorders>
            <w:shd w:val="clear" w:color="000000" w:fill="FFFFFF"/>
            <w:noWrap/>
            <w:vAlign w:val="center"/>
            <w:hideMark/>
          </w:tcPr>
          <w:p w14:paraId="20CF37B0"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Promote sustained, inclusive and sustainable economic growth, full and productive employment and decent work for all</w:t>
            </w:r>
          </w:p>
        </w:tc>
      </w:tr>
      <w:tr w:rsidR="00D11A75" w:rsidRPr="0015413B" w14:paraId="5FA2B282" w14:textId="77777777" w:rsidTr="00D014C7">
        <w:trPr>
          <w:trHeight w:val="278"/>
        </w:trPr>
        <w:tc>
          <w:tcPr>
            <w:tcW w:w="1026" w:type="dxa"/>
            <w:tcBorders>
              <w:top w:val="nil"/>
              <w:left w:val="nil"/>
              <w:bottom w:val="nil"/>
              <w:right w:val="nil"/>
            </w:tcBorders>
            <w:shd w:val="clear" w:color="000000" w:fill="FFFFFF"/>
            <w:vAlign w:val="center"/>
            <w:hideMark/>
          </w:tcPr>
          <w:p w14:paraId="0F05CC4F"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9</w:t>
            </w:r>
          </w:p>
        </w:tc>
        <w:tc>
          <w:tcPr>
            <w:tcW w:w="8812" w:type="dxa"/>
            <w:tcBorders>
              <w:top w:val="nil"/>
              <w:left w:val="nil"/>
              <w:bottom w:val="nil"/>
              <w:right w:val="nil"/>
            </w:tcBorders>
            <w:shd w:val="clear" w:color="000000" w:fill="FFFFFF"/>
            <w:noWrap/>
            <w:vAlign w:val="center"/>
            <w:hideMark/>
          </w:tcPr>
          <w:p w14:paraId="6C7BACD7"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Build resilient infrastructure, promote inclusive and sustainable industrialization and foster innovation</w:t>
            </w:r>
          </w:p>
        </w:tc>
      </w:tr>
      <w:tr w:rsidR="00D11A75" w:rsidRPr="0015413B" w14:paraId="41745E51" w14:textId="77777777" w:rsidTr="00D014C7">
        <w:trPr>
          <w:trHeight w:val="278"/>
        </w:trPr>
        <w:tc>
          <w:tcPr>
            <w:tcW w:w="1026" w:type="dxa"/>
            <w:tcBorders>
              <w:top w:val="nil"/>
              <w:left w:val="nil"/>
              <w:bottom w:val="nil"/>
              <w:right w:val="nil"/>
            </w:tcBorders>
            <w:shd w:val="clear" w:color="000000" w:fill="FFFFFF"/>
            <w:vAlign w:val="center"/>
            <w:hideMark/>
          </w:tcPr>
          <w:p w14:paraId="7FA70F8C"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10</w:t>
            </w:r>
          </w:p>
        </w:tc>
        <w:tc>
          <w:tcPr>
            <w:tcW w:w="8812" w:type="dxa"/>
            <w:tcBorders>
              <w:top w:val="nil"/>
              <w:left w:val="nil"/>
              <w:bottom w:val="nil"/>
              <w:right w:val="nil"/>
            </w:tcBorders>
            <w:shd w:val="clear" w:color="000000" w:fill="FFFFFF"/>
            <w:noWrap/>
            <w:vAlign w:val="center"/>
            <w:hideMark/>
          </w:tcPr>
          <w:p w14:paraId="470C6465"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Reduce inequality within and among countries</w:t>
            </w:r>
          </w:p>
        </w:tc>
      </w:tr>
      <w:tr w:rsidR="00D11A75" w:rsidRPr="0015413B" w14:paraId="1B4EB391" w14:textId="77777777" w:rsidTr="00D014C7">
        <w:trPr>
          <w:trHeight w:val="278"/>
        </w:trPr>
        <w:tc>
          <w:tcPr>
            <w:tcW w:w="1026" w:type="dxa"/>
            <w:tcBorders>
              <w:top w:val="nil"/>
              <w:left w:val="nil"/>
              <w:bottom w:val="nil"/>
              <w:right w:val="nil"/>
            </w:tcBorders>
            <w:shd w:val="clear" w:color="000000" w:fill="FFFFFF"/>
            <w:vAlign w:val="center"/>
            <w:hideMark/>
          </w:tcPr>
          <w:p w14:paraId="28532B49"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11</w:t>
            </w:r>
          </w:p>
        </w:tc>
        <w:tc>
          <w:tcPr>
            <w:tcW w:w="8812" w:type="dxa"/>
            <w:tcBorders>
              <w:top w:val="nil"/>
              <w:left w:val="nil"/>
              <w:bottom w:val="nil"/>
              <w:right w:val="nil"/>
            </w:tcBorders>
            <w:shd w:val="clear" w:color="000000" w:fill="FFFFFF"/>
            <w:noWrap/>
            <w:vAlign w:val="center"/>
            <w:hideMark/>
          </w:tcPr>
          <w:p w14:paraId="19B04B8A"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Make cities and human settlements inclusive, safe, resilient and sustainable</w:t>
            </w:r>
          </w:p>
        </w:tc>
      </w:tr>
      <w:tr w:rsidR="00D11A75" w:rsidRPr="0015413B" w14:paraId="3F2F81F3" w14:textId="77777777" w:rsidTr="00D014C7">
        <w:trPr>
          <w:trHeight w:val="278"/>
        </w:trPr>
        <w:tc>
          <w:tcPr>
            <w:tcW w:w="1026" w:type="dxa"/>
            <w:tcBorders>
              <w:top w:val="nil"/>
              <w:left w:val="nil"/>
              <w:bottom w:val="nil"/>
              <w:right w:val="nil"/>
            </w:tcBorders>
            <w:shd w:val="clear" w:color="000000" w:fill="FFFFFF"/>
            <w:vAlign w:val="center"/>
            <w:hideMark/>
          </w:tcPr>
          <w:p w14:paraId="354B91A0"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12</w:t>
            </w:r>
          </w:p>
        </w:tc>
        <w:tc>
          <w:tcPr>
            <w:tcW w:w="8812" w:type="dxa"/>
            <w:tcBorders>
              <w:top w:val="nil"/>
              <w:left w:val="nil"/>
              <w:bottom w:val="nil"/>
              <w:right w:val="nil"/>
            </w:tcBorders>
            <w:shd w:val="clear" w:color="000000" w:fill="FFFFFF"/>
            <w:noWrap/>
            <w:vAlign w:val="center"/>
            <w:hideMark/>
          </w:tcPr>
          <w:p w14:paraId="2F1E79B3"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Ensure sustainable consumption and production patterns</w:t>
            </w:r>
          </w:p>
        </w:tc>
      </w:tr>
      <w:tr w:rsidR="00D11A75" w:rsidRPr="0015413B" w14:paraId="1D8D5E8F" w14:textId="77777777" w:rsidTr="00D014C7">
        <w:trPr>
          <w:trHeight w:val="278"/>
        </w:trPr>
        <w:tc>
          <w:tcPr>
            <w:tcW w:w="1026" w:type="dxa"/>
            <w:tcBorders>
              <w:top w:val="nil"/>
              <w:left w:val="nil"/>
              <w:bottom w:val="nil"/>
              <w:right w:val="nil"/>
            </w:tcBorders>
            <w:shd w:val="clear" w:color="000000" w:fill="FFFFFF"/>
            <w:vAlign w:val="center"/>
            <w:hideMark/>
          </w:tcPr>
          <w:p w14:paraId="1C990A6A"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13</w:t>
            </w:r>
          </w:p>
        </w:tc>
        <w:tc>
          <w:tcPr>
            <w:tcW w:w="8812" w:type="dxa"/>
            <w:tcBorders>
              <w:top w:val="nil"/>
              <w:left w:val="nil"/>
              <w:bottom w:val="nil"/>
              <w:right w:val="nil"/>
            </w:tcBorders>
            <w:shd w:val="clear" w:color="000000" w:fill="FFFFFF"/>
            <w:noWrap/>
            <w:vAlign w:val="center"/>
            <w:hideMark/>
          </w:tcPr>
          <w:p w14:paraId="363154C2"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Take urgent action to combat climate change and its impacts</w:t>
            </w:r>
          </w:p>
        </w:tc>
      </w:tr>
      <w:tr w:rsidR="00D11A75" w:rsidRPr="0015413B" w14:paraId="3ACC7521" w14:textId="77777777" w:rsidTr="00D014C7">
        <w:trPr>
          <w:trHeight w:val="278"/>
        </w:trPr>
        <w:tc>
          <w:tcPr>
            <w:tcW w:w="1026" w:type="dxa"/>
            <w:tcBorders>
              <w:top w:val="nil"/>
              <w:left w:val="nil"/>
              <w:bottom w:val="nil"/>
              <w:right w:val="nil"/>
            </w:tcBorders>
            <w:shd w:val="clear" w:color="000000" w:fill="FFFFFF"/>
            <w:vAlign w:val="center"/>
            <w:hideMark/>
          </w:tcPr>
          <w:p w14:paraId="537163BF"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14</w:t>
            </w:r>
          </w:p>
        </w:tc>
        <w:tc>
          <w:tcPr>
            <w:tcW w:w="8812" w:type="dxa"/>
            <w:tcBorders>
              <w:top w:val="nil"/>
              <w:left w:val="nil"/>
              <w:bottom w:val="nil"/>
              <w:right w:val="nil"/>
            </w:tcBorders>
            <w:shd w:val="clear" w:color="000000" w:fill="FFFFFF"/>
            <w:noWrap/>
            <w:vAlign w:val="center"/>
            <w:hideMark/>
          </w:tcPr>
          <w:p w14:paraId="400C8162"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Conserve and sustainably use the oceans, seas and marine resources for sustainable development</w:t>
            </w:r>
          </w:p>
        </w:tc>
      </w:tr>
      <w:tr w:rsidR="00D11A75" w:rsidRPr="0015413B" w14:paraId="6DC3EB8C" w14:textId="77777777" w:rsidTr="00D014C7">
        <w:trPr>
          <w:trHeight w:val="590"/>
        </w:trPr>
        <w:tc>
          <w:tcPr>
            <w:tcW w:w="1026" w:type="dxa"/>
            <w:tcBorders>
              <w:top w:val="nil"/>
              <w:left w:val="nil"/>
              <w:bottom w:val="nil"/>
              <w:right w:val="nil"/>
            </w:tcBorders>
            <w:shd w:val="clear" w:color="000000" w:fill="FFFFFF"/>
            <w:vAlign w:val="center"/>
            <w:hideMark/>
          </w:tcPr>
          <w:p w14:paraId="50B63560"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15</w:t>
            </w:r>
          </w:p>
        </w:tc>
        <w:tc>
          <w:tcPr>
            <w:tcW w:w="8812" w:type="dxa"/>
            <w:tcBorders>
              <w:top w:val="nil"/>
              <w:left w:val="nil"/>
              <w:bottom w:val="nil"/>
              <w:right w:val="nil"/>
            </w:tcBorders>
            <w:shd w:val="clear" w:color="000000" w:fill="FFFFFF"/>
            <w:vAlign w:val="center"/>
            <w:hideMark/>
          </w:tcPr>
          <w:p w14:paraId="792A7B2A"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Protect, restore and promote sustainable use of terrestrial ecosystems, sustainably manage forests, combat desertification, and halt and reverse land degradation and halt biodiversity loss</w:t>
            </w:r>
          </w:p>
        </w:tc>
      </w:tr>
      <w:tr w:rsidR="00D11A75" w:rsidRPr="0015413B" w14:paraId="7D9FD76C" w14:textId="77777777" w:rsidTr="00D014C7">
        <w:trPr>
          <w:trHeight w:val="568"/>
        </w:trPr>
        <w:tc>
          <w:tcPr>
            <w:tcW w:w="1026" w:type="dxa"/>
            <w:tcBorders>
              <w:top w:val="nil"/>
              <w:left w:val="nil"/>
              <w:bottom w:val="nil"/>
              <w:right w:val="nil"/>
            </w:tcBorders>
            <w:shd w:val="clear" w:color="000000" w:fill="FFFFFF"/>
            <w:vAlign w:val="center"/>
            <w:hideMark/>
          </w:tcPr>
          <w:p w14:paraId="10304C47"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16</w:t>
            </w:r>
          </w:p>
        </w:tc>
        <w:tc>
          <w:tcPr>
            <w:tcW w:w="8812" w:type="dxa"/>
            <w:tcBorders>
              <w:top w:val="nil"/>
              <w:left w:val="nil"/>
              <w:bottom w:val="nil"/>
              <w:right w:val="nil"/>
            </w:tcBorders>
            <w:shd w:val="clear" w:color="000000" w:fill="FFFFFF"/>
            <w:vAlign w:val="center"/>
            <w:hideMark/>
          </w:tcPr>
          <w:p w14:paraId="27EB015B" w14:textId="77777777" w:rsidR="00D11A75" w:rsidRPr="003B1D26" w:rsidRDefault="00D11A75" w:rsidP="00D67DD5">
            <w:pPr>
              <w:spacing w:line="240" w:lineRule="auto"/>
              <w:rPr>
                <w:rFonts w:ascii="Times New Roman" w:hAnsi="Times New Roman" w:cs="Times New Roman"/>
                <w:color w:val="000000"/>
              </w:rPr>
            </w:pPr>
            <w:r w:rsidRPr="003B1D26">
              <w:rPr>
                <w:rFonts w:ascii="Times New Roman" w:hAnsi="Times New Roman" w:cs="Times New Roman"/>
                <w:color w:val="000000"/>
              </w:rPr>
              <w:t>Promote peaceful and inclusive societies for sustainable development, provide access to justice for all and build effective, accountable and inclusive institutions at all levels</w:t>
            </w:r>
          </w:p>
        </w:tc>
      </w:tr>
      <w:tr w:rsidR="00D11A75" w:rsidRPr="0015413B" w14:paraId="2046B659" w14:textId="77777777" w:rsidTr="00D014C7">
        <w:trPr>
          <w:trHeight w:val="289"/>
        </w:trPr>
        <w:tc>
          <w:tcPr>
            <w:tcW w:w="1026" w:type="dxa"/>
            <w:tcBorders>
              <w:top w:val="nil"/>
              <w:left w:val="nil"/>
              <w:bottom w:val="double" w:sz="6" w:space="0" w:color="auto"/>
              <w:right w:val="nil"/>
            </w:tcBorders>
            <w:shd w:val="clear" w:color="000000" w:fill="FFFFFF"/>
            <w:vAlign w:val="center"/>
            <w:hideMark/>
          </w:tcPr>
          <w:p w14:paraId="7818427E" w14:textId="77777777" w:rsidR="00D11A75" w:rsidRPr="003B1D26" w:rsidRDefault="00D11A75" w:rsidP="00D67DD5">
            <w:pPr>
              <w:spacing w:line="240" w:lineRule="auto"/>
              <w:jc w:val="both"/>
              <w:rPr>
                <w:rFonts w:ascii="Times New Roman" w:hAnsi="Times New Roman" w:cs="Times New Roman"/>
                <w:i/>
                <w:iCs/>
                <w:color w:val="000000"/>
              </w:rPr>
            </w:pPr>
            <w:r w:rsidRPr="003B1D26">
              <w:rPr>
                <w:rFonts w:ascii="Times New Roman" w:hAnsi="Times New Roman" w:cs="Times New Roman"/>
                <w:i/>
                <w:iCs/>
                <w:color w:val="000000"/>
              </w:rPr>
              <w:t>Goal 17</w:t>
            </w:r>
          </w:p>
        </w:tc>
        <w:tc>
          <w:tcPr>
            <w:tcW w:w="8812" w:type="dxa"/>
            <w:tcBorders>
              <w:top w:val="nil"/>
              <w:left w:val="nil"/>
              <w:bottom w:val="double" w:sz="6" w:space="0" w:color="auto"/>
              <w:right w:val="nil"/>
            </w:tcBorders>
            <w:shd w:val="clear" w:color="000000" w:fill="FFFFFF"/>
            <w:noWrap/>
            <w:vAlign w:val="center"/>
            <w:hideMark/>
          </w:tcPr>
          <w:p w14:paraId="55BBCA24" w14:textId="77777777" w:rsidR="00D11A75" w:rsidRPr="003B1D26" w:rsidRDefault="00D11A75" w:rsidP="00D67DD5">
            <w:pPr>
              <w:keepNext/>
              <w:spacing w:line="240" w:lineRule="auto"/>
              <w:rPr>
                <w:rFonts w:ascii="Times New Roman" w:hAnsi="Times New Roman" w:cs="Times New Roman"/>
                <w:color w:val="000000"/>
              </w:rPr>
            </w:pPr>
            <w:r w:rsidRPr="003B1D26">
              <w:rPr>
                <w:rFonts w:ascii="Times New Roman" w:hAnsi="Times New Roman" w:cs="Times New Roman"/>
                <w:color w:val="000000"/>
              </w:rPr>
              <w:t>Strengthen the means of implementation and revitalize the Global Partnership for Sustainable Development</w:t>
            </w:r>
          </w:p>
        </w:tc>
      </w:tr>
    </w:tbl>
    <w:p w14:paraId="2B15B11E" w14:textId="77777777" w:rsidR="00D11A75" w:rsidRPr="003B1D26" w:rsidRDefault="00D11A75" w:rsidP="00D67DD5">
      <w:pPr>
        <w:spacing w:line="240" w:lineRule="auto"/>
        <w:rPr>
          <w:rFonts w:ascii="Times New Roman" w:hAnsi="Times New Roman" w:cs="Times New Roman"/>
          <w:i/>
          <w:iCs/>
        </w:rPr>
      </w:pPr>
      <w:r w:rsidRPr="003B1D26">
        <w:rPr>
          <w:rFonts w:ascii="Times New Roman" w:hAnsi="Times New Roman" w:cs="Times New Roman"/>
          <w:i/>
          <w:iCs/>
        </w:rPr>
        <w:t xml:space="preserve">Source: </w:t>
      </w:r>
      <w:hyperlink r:id="rId8" w:history="1">
        <w:r w:rsidRPr="003B1D26">
          <w:rPr>
            <w:rStyle w:val="CommentSubjectChar"/>
            <w:rFonts w:ascii="Times New Roman" w:hAnsi="Times New Roman" w:cs="Times New Roman"/>
            <w:i/>
            <w:iCs/>
            <w:sz w:val="22"/>
            <w:szCs w:val="22"/>
          </w:rPr>
          <w:t>https://sdgs.un.org/goals</w:t>
        </w:r>
      </w:hyperlink>
    </w:p>
    <w:p w14:paraId="2D5310B1" w14:textId="48C0D107" w:rsidR="00BD2066" w:rsidRDefault="00BD2066" w:rsidP="00D67DD5">
      <w:pPr>
        <w:spacing w:line="240" w:lineRule="auto"/>
        <w:jc w:val="both"/>
        <w:rPr>
          <w:rFonts w:ascii="Times New Roman" w:hAnsi="Times New Roman" w:cs="Times New Roman"/>
        </w:rPr>
      </w:pPr>
    </w:p>
    <w:p w14:paraId="281FE584" w14:textId="726D3D87" w:rsidR="00BD2066" w:rsidRPr="00D014C7" w:rsidRDefault="00BD2066" w:rsidP="00766385">
      <w:pPr>
        <w:spacing w:line="240" w:lineRule="auto"/>
        <w:ind w:firstLine="851"/>
        <w:jc w:val="both"/>
        <w:rPr>
          <w:rFonts w:ascii="Times New Roman" w:hAnsi="Times New Roman" w:cs="Times New Roman"/>
          <w:sz w:val="24"/>
          <w:szCs w:val="24"/>
        </w:rPr>
      </w:pPr>
      <w:r w:rsidRPr="0046268B">
        <w:rPr>
          <w:rFonts w:ascii="Times New Roman" w:hAnsi="Times New Roman" w:cs="Times New Roman"/>
          <w:sz w:val="24"/>
          <w:szCs w:val="24"/>
        </w:rPr>
        <w:lastRenderedPageBreak/>
        <w:t xml:space="preserve">This study aims to illustrate the associations between the levels of HDI and SDG indicators using multiple correspondence analysis. </w:t>
      </w:r>
    </w:p>
    <w:p w14:paraId="79A80C02" w14:textId="5CAA1831" w:rsidR="008947A9" w:rsidRPr="00D014C7" w:rsidRDefault="008947A9" w:rsidP="00766385">
      <w:pPr>
        <w:spacing w:before="120" w:line="240" w:lineRule="auto"/>
        <w:jc w:val="both"/>
        <w:rPr>
          <w:rFonts w:ascii="Times New Roman" w:hAnsi="Times New Roman" w:cs="Times New Roman"/>
          <w:b/>
          <w:bCs/>
          <w:sz w:val="24"/>
          <w:szCs w:val="24"/>
        </w:rPr>
      </w:pPr>
      <w:r w:rsidRPr="00D014C7">
        <w:rPr>
          <w:rFonts w:ascii="Times New Roman" w:hAnsi="Times New Roman" w:cs="Times New Roman"/>
          <w:b/>
          <w:bCs/>
          <w:sz w:val="24"/>
          <w:szCs w:val="24"/>
        </w:rPr>
        <w:t xml:space="preserve">1.2. Multiple </w:t>
      </w:r>
      <w:r w:rsidR="00766385" w:rsidRPr="00D014C7">
        <w:rPr>
          <w:rFonts w:ascii="Times New Roman" w:hAnsi="Times New Roman" w:cs="Times New Roman"/>
          <w:b/>
          <w:bCs/>
          <w:sz w:val="24"/>
          <w:szCs w:val="24"/>
        </w:rPr>
        <w:t>C</w:t>
      </w:r>
      <w:r w:rsidRPr="00D014C7">
        <w:rPr>
          <w:rFonts w:ascii="Times New Roman" w:hAnsi="Times New Roman" w:cs="Times New Roman"/>
          <w:b/>
          <w:bCs/>
          <w:sz w:val="24"/>
          <w:szCs w:val="24"/>
        </w:rPr>
        <w:t xml:space="preserve">orrespondence </w:t>
      </w:r>
      <w:r w:rsidR="00766385" w:rsidRPr="00D014C7">
        <w:rPr>
          <w:rFonts w:ascii="Times New Roman" w:hAnsi="Times New Roman" w:cs="Times New Roman"/>
          <w:b/>
          <w:bCs/>
          <w:sz w:val="24"/>
          <w:szCs w:val="24"/>
        </w:rPr>
        <w:t>A</w:t>
      </w:r>
      <w:r w:rsidRPr="00D014C7">
        <w:rPr>
          <w:rFonts w:ascii="Times New Roman" w:hAnsi="Times New Roman" w:cs="Times New Roman"/>
          <w:b/>
          <w:bCs/>
          <w:sz w:val="24"/>
          <w:szCs w:val="24"/>
        </w:rPr>
        <w:t>nalysis</w:t>
      </w:r>
    </w:p>
    <w:p w14:paraId="504E2DB7" w14:textId="124DF1EB" w:rsidR="005F0526" w:rsidRPr="00D014C7" w:rsidRDefault="005F0526"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Multiple correspondence analysis is a statistical method that is used to visualise the association between levels of categorical data. It can be thought as application of principal component analysis to categorical variables. So it is a multidimensional scaling method suitable for categorical data reported in contingency tables or frequency matrices. One of the main advantages of multiple correspondence analysis is that it does not assume any type of distribution for the variables which makes it very convenient for many different data sources. Multiple correspondence analysis is known under many different names such as optimal scaling, optimal scoring, dual scaling and homogeneity analysis (Kamalja and Kangar, 2017; Abdi and Valentin, 2007; Hoffman and Leeuw, 1992).</w:t>
      </w:r>
    </w:p>
    <w:p w14:paraId="49BA79F2" w14:textId="53468F13" w:rsidR="005F0526" w:rsidRPr="00D014C7" w:rsidRDefault="005F0526"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The existence of relation or dependence between two categorical variables is normally studied with use of chi-square independence test. But chi-square independence test cannot give an idea about what type of relationship exist, or if it exist at all, between the levels of these categorical variables. Correspondence analysis can be used in this case.  (Bulut, 2018).</w:t>
      </w:r>
    </w:p>
    <w:p w14:paraId="19ABE334" w14:textId="6FCF155B" w:rsidR="005F0526" w:rsidRPr="00D014C7" w:rsidRDefault="005F0526"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Correspondence analysis utilizes chi-square distances between observations, shown in the Equation 1.1.</w:t>
      </w:r>
    </w:p>
    <w:p w14:paraId="6C2DF661" w14:textId="54EBA969" w:rsidR="005F0526" w:rsidRPr="00D014C7" w:rsidRDefault="009E625D" w:rsidP="00D67DD5">
      <w:pPr>
        <w:spacing w:line="240" w:lineRule="auto"/>
        <w:ind w:left="2880"/>
        <w:jc w:val="both"/>
        <w:rPr>
          <w:rFonts w:ascii="Times New Roman" w:hAnsi="Times New Roman" w:cs="Times New Roman"/>
          <w:sz w:val="24"/>
          <w:szCs w:val="24"/>
        </w:rPr>
      </w:pPr>
      <m:oMath>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hAnsi="Cambria Math" w:cs="Times New Roman"/>
                <w:sz w:val="24"/>
                <w:szCs w:val="24"/>
              </w:rPr>
              <m:t>x,y</m:t>
            </m:r>
          </m:sub>
        </m:sSub>
        <m:r>
          <w:rPr>
            <w:rFonts w:ascii="Cambria Math" w:hAnsi="Cambria Math" w:cs="Times New Roman"/>
            <w:sz w:val="24"/>
            <w:szCs w:val="24"/>
          </w:rPr>
          <m:t>=</m:t>
        </m:r>
        <m:rad>
          <m:radPr>
            <m:degHide m:val="1"/>
            <m:ctrlPr>
              <w:rPr>
                <w:rFonts w:ascii="Cambria Math" w:eastAsia="Calibri" w:hAnsi="Cambria Math" w:cs="Times New Roman"/>
                <w:i/>
                <w:sz w:val="24"/>
                <w:szCs w:val="24"/>
              </w:rPr>
            </m:ctrlPr>
          </m:radPr>
          <m:deg/>
          <m:e>
            <m:nary>
              <m:naryPr>
                <m:chr m:val="∑"/>
                <m:limLoc m:val="undOvr"/>
                <m:ctrlPr>
                  <w:rPr>
                    <w:rFonts w:ascii="Cambria Math" w:eastAsia="Calibri"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J</m:t>
                </m:r>
              </m:sup>
              <m:e>
                <m:sSup>
                  <m:sSupPr>
                    <m:ctrlPr>
                      <w:rPr>
                        <w:rFonts w:ascii="Cambria Math" w:eastAsia="Calibri" w:hAnsi="Cambria Math" w:cs="Times New Roman"/>
                        <w:i/>
                        <w:sz w:val="24"/>
                        <w:szCs w:val="24"/>
                      </w:rPr>
                    </m:ctrlPr>
                  </m:sSupPr>
                  <m:e>
                    <m:r>
                      <w:rPr>
                        <w:rFonts w:ascii="Cambria Math" w:hAnsi="Cambria Math" w:cs="Times New Roman"/>
                        <w:sz w:val="24"/>
                        <w:szCs w:val="24"/>
                      </w:rPr>
                      <m:t>1/</m:t>
                    </m:r>
                    <m:sSub>
                      <m:sSubPr>
                        <m:ctrlPr>
                          <w:rPr>
                            <w:rFonts w:ascii="Cambria Math" w:eastAsia="Calibri"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eastAsia="Calibri" w:hAnsi="Cambria Math" w:cs="Times New Roman"/>
                            <w:i/>
                            <w:sz w:val="24"/>
                            <w:szCs w:val="24"/>
                          </w:rPr>
                        </m:ctrlPr>
                      </m:sSubPr>
                      <m:e>
                        <m:r>
                          <w:rPr>
                            <w:rFonts w:ascii="Cambria Math" w:eastAsia="Calibri"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 xml:space="preserve">- </m:t>
                    </m:r>
                    <m:sSub>
                      <m:sSubPr>
                        <m:ctrlPr>
                          <w:rPr>
                            <w:rFonts w:ascii="Cambria Math" w:eastAsia="Calibri"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ub>
                    </m:sSub>
                    <m:r>
                      <w:rPr>
                        <w:rFonts w:ascii="Cambria Math" w:hAnsi="Cambria Math" w:cs="Times New Roman"/>
                        <w:sz w:val="24"/>
                        <w:szCs w:val="24"/>
                      </w:rPr>
                      <m:t>)</m:t>
                    </m:r>
                  </m:e>
                  <m:sup>
                    <m:r>
                      <w:rPr>
                        <w:rFonts w:ascii="Cambria Math" w:hAnsi="Cambria Math" w:cs="Times New Roman"/>
                        <w:sz w:val="24"/>
                        <w:szCs w:val="24"/>
                      </w:rPr>
                      <m:t>2</m:t>
                    </m:r>
                  </m:sup>
                </m:sSup>
              </m:e>
            </m:nary>
            <m:r>
              <w:rPr>
                <w:rFonts w:ascii="Cambria Math" w:hAnsi="Cambria Math" w:cs="Times New Roman"/>
                <w:sz w:val="24"/>
                <w:szCs w:val="24"/>
              </w:rPr>
              <m:t xml:space="preserve"> </m:t>
            </m:r>
          </m:e>
        </m:rad>
        <m:r>
          <w:rPr>
            <w:rFonts w:ascii="Cambria Math" w:hAnsi="Cambria Math" w:cs="Times New Roman"/>
            <w:sz w:val="24"/>
            <w:szCs w:val="24"/>
          </w:rPr>
          <m:t xml:space="preserve"> </m:t>
        </m:r>
      </m:oMath>
      <w:r w:rsidR="005F0526" w:rsidRPr="00D014C7">
        <w:rPr>
          <w:rFonts w:ascii="Times New Roman" w:hAnsi="Times New Roman" w:cs="Times New Roman"/>
          <w:sz w:val="24"/>
          <w:szCs w:val="24"/>
        </w:rPr>
        <w:tab/>
      </w:r>
      <w:r w:rsidR="005F0526" w:rsidRPr="00D014C7">
        <w:rPr>
          <w:rFonts w:ascii="Times New Roman" w:hAnsi="Times New Roman" w:cs="Times New Roman"/>
          <w:sz w:val="24"/>
          <w:szCs w:val="24"/>
        </w:rPr>
        <w:tab/>
      </w:r>
      <w:r w:rsidR="005F0526" w:rsidRPr="00D014C7">
        <w:rPr>
          <w:rFonts w:ascii="Times New Roman" w:hAnsi="Times New Roman" w:cs="Times New Roman"/>
          <w:sz w:val="24"/>
          <w:szCs w:val="24"/>
        </w:rPr>
        <w:tab/>
        <w:t>(1.1)</w:t>
      </w:r>
    </w:p>
    <w:p w14:paraId="73B2A596" w14:textId="767339B1" w:rsidR="005F0526" w:rsidRPr="00D014C7" w:rsidRDefault="005F0526"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 xml:space="preserve">The value of inertia is calculated using these chi-square distances between observations, as shown in Equation 1.2. </w:t>
      </w:r>
    </w:p>
    <w:p w14:paraId="27876C39" w14:textId="3FEF3E7A" w:rsidR="005F0526" w:rsidRPr="00D014C7" w:rsidRDefault="005F0526" w:rsidP="00D67DD5">
      <w:pPr>
        <w:spacing w:line="240" w:lineRule="auto"/>
        <w:ind w:left="720" w:firstLine="720"/>
        <w:jc w:val="center"/>
        <w:rPr>
          <w:rFonts w:ascii="Times New Roman" w:hAnsi="Times New Roman" w:cs="Times New Roman"/>
          <w:i/>
          <w:sz w:val="24"/>
          <w:szCs w:val="24"/>
        </w:rPr>
      </w:pPr>
      <m:oMath>
        <m:r>
          <w:rPr>
            <w:rFonts w:ascii="Cambria Math" w:eastAsia="Times New Roman" w:hAnsi="Cambria Math" w:cs="Times New Roman"/>
            <w:sz w:val="24"/>
            <w:szCs w:val="24"/>
          </w:rPr>
          <m:t xml:space="preserve">Inertia= </m:t>
        </m:r>
        <m:nary>
          <m:naryPr>
            <m:chr m:val="∑"/>
            <m:limLoc m:val="undOvr"/>
            <m:supHide m:val="1"/>
            <m:ctrlPr>
              <w:rPr>
                <w:rFonts w:ascii="Cambria Math" w:eastAsia="Times New Roman" w:hAnsi="Cambria Math" w:cs="Times New Roman"/>
                <w:i/>
                <w:sz w:val="24"/>
                <w:szCs w:val="24"/>
              </w:rPr>
            </m:ctrlPr>
          </m:naryPr>
          <m:sub>
            <m:r>
              <w:rPr>
                <w:rFonts w:ascii="Cambria Math" w:eastAsia="Times New Roman" w:hAnsi="Cambria Math" w:cs="Times New Roman"/>
                <w:sz w:val="24"/>
                <w:szCs w:val="24"/>
              </w:rPr>
              <m:t>i</m:t>
            </m:r>
          </m:sub>
          <m:sup/>
          <m:e>
            <m:sSub>
              <m:sSubPr>
                <m:ctrlPr>
                  <w:rPr>
                    <w:rFonts w:ascii="Cambria Math" w:eastAsia="Times New Roman" w:hAnsi="Cambria Math" w:cs="Times New Roman"/>
                    <w:i/>
                    <w:sz w:val="24"/>
                    <w:szCs w:val="24"/>
                  </w:rPr>
                </m:ctrlPr>
              </m:sSubPr>
              <m:e>
                <m:r>
                  <w:rPr>
                    <w:rFonts w:ascii="Cambria Math" w:hAnsi="Cambria Math" w:cs="Times New Roman"/>
                    <w:sz w:val="24"/>
                    <w:szCs w:val="24"/>
                  </w:rPr>
                  <m:t>w</m:t>
                </m:r>
              </m:e>
              <m:sub>
                <m:r>
                  <w:rPr>
                    <w:rFonts w:ascii="Cambria Math" w:eastAsia="Times New Roman" w:hAnsi="Cambria Math" w:cs="Times New Roman"/>
                    <w:sz w:val="24"/>
                    <w:szCs w:val="24"/>
                  </w:rPr>
                  <m:t>i</m:t>
                </m:r>
              </m:sub>
            </m:sSub>
            <m:r>
              <w:rPr>
                <w:rFonts w:ascii="Cambria Math" w:eastAsia="Times New Roman" w:hAnsi="Cambria Math" w:cs="Times New Roman"/>
                <w:sz w:val="24"/>
                <w:szCs w:val="24"/>
              </w:rPr>
              <m:t>*</m:t>
            </m:r>
            <m:sSubSup>
              <m:sSubSupPr>
                <m:ctrlPr>
                  <w:rPr>
                    <w:rFonts w:ascii="Cambria Math" w:eastAsia="Times New Roman" w:hAnsi="Cambria Math" w:cs="Times New Roman"/>
                    <w:i/>
                    <w:sz w:val="24"/>
                    <w:szCs w:val="24"/>
                  </w:rPr>
                </m:ctrlPr>
              </m:sSubSupPr>
              <m:e>
                <m:r>
                  <w:rPr>
                    <w:rFonts w:ascii="Cambria Math" w:eastAsia="Times New Roman" w:hAnsi="Cambria Math" w:cs="Times New Roman"/>
                    <w:sz w:val="24"/>
                    <w:szCs w:val="24"/>
                  </w:rPr>
                  <m:t>m</m:t>
                </m:r>
              </m:e>
              <m:sub>
                <m:r>
                  <w:rPr>
                    <w:rFonts w:ascii="Cambria Math" w:eastAsia="Times New Roman" w:hAnsi="Cambria Math" w:cs="Times New Roman"/>
                    <w:sz w:val="24"/>
                    <w:szCs w:val="24"/>
                  </w:rPr>
                  <m:t>i</m:t>
                </m:r>
              </m:sub>
              <m:sup>
                <m:r>
                  <w:rPr>
                    <w:rFonts w:ascii="Cambria Math" w:eastAsia="Times New Roman" w:hAnsi="Cambria Math" w:cs="Times New Roman"/>
                    <w:sz w:val="24"/>
                    <w:szCs w:val="24"/>
                  </w:rPr>
                  <m:t>2</m:t>
                </m:r>
              </m:sup>
            </m:sSubSup>
            <m:r>
              <w:rPr>
                <w:rFonts w:ascii="Cambria Math" w:eastAsia="Times New Roman" w:hAnsi="Cambria Math" w:cs="Times New Roman"/>
                <w:sz w:val="24"/>
                <w:szCs w:val="24"/>
              </w:rPr>
              <m:t xml:space="preserve"> </m:t>
            </m:r>
          </m:e>
        </m:nary>
      </m:oMath>
      <w:r w:rsidRPr="00D014C7">
        <w:rPr>
          <w:rFonts w:ascii="Times New Roman" w:hAnsi="Times New Roman" w:cs="Times New Roman"/>
          <w:sz w:val="24"/>
          <w:szCs w:val="24"/>
        </w:rPr>
        <w:t xml:space="preserve"> </w:t>
      </w:r>
      <w:r w:rsidRPr="00D014C7">
        <w:rPr>
          <w:rFonts w:ascii="Times New Roman" w:hAnsi="Times New Roman" w:cs="Times New Roman"/>
          <w:sz w:val="24"/>
          <w:szCs w:val="24"/>
        </w:rPr>
        <w:tab/>
      </w:r>
      <w:r w:rsidRPr="00D014C7">
        <w:rPr>
          <w:rFonts w:ascii="Times New Roman" w:hAnsi="Times New Roman" w:cs="Times New Roman"/>
          <w:sz w:val="24"/>
          <w:szCs w:val="24"/>
        </w:rPr>
        <w:tab/>
      </w:r>
      <w:r w:rsidRPr="00D014C7">
        <w:rPr>
          <w:rFonts w:ascii="Times New Roman" w:hAnsi="Times New Roman" w:cs="Times New Roman"/>
          <w:sz w:val="24"/>
          <w:szCs w:val="24"/>
        </w:rPr>
        <w:tab/>
        <w:t>(1.2)</w:t>
      </w:r>
    </w:p>
    <w:p w14:paraId="114F7C95" w14:textId="77777777" w:rsidR="005F0526" w:rsidRPr="00D014C7" w:rsidRDefault="005F0526" w:rsidP="00D67DD5">
      <w:pPr>
        <w:spacing w:line="240" w:lineRule="auto"/>
        <w:jc w:val="both"/>
        <w:rPr>
          <w:rFonts w:ascii="Times New Roman" w:hAnsi="Times New Roman" w:cs="Times New Roman"/>
          <w:sz w:val="24"/>
          <w:szCs w:val="24"/>
        </w:rPr>
      </w:pPr>
      <w:r w:rsidRPr="00D014C7">
        <w:rPr>
          <w:rFonts w:ascii="Times New Roman" w:hAnsi="Times New Roman" w:cs="Times New Roman"/>
          <w:sz w:val="24"/>
          <w:szCs w:val="24"/>
        </w:rPr>
        <w:t>w</w:t>
      </w:r>
      <w:r w:rsidRPr="00D014C7">
        <w:rPr>
          <w:rFonts w:ascii="Times New Roman" w:hAnsi="Times New Roman" w:cs="Times New Roman"/>
          <w:sz w:val="24"/>
          <w:szCs w:val="24"/>
          <w:vertAlign w:val="subscript"/>
        </w:rPr>
        <w:t xml:space="preserve">i : </w:t>
      </w:r>
      <w:r w:rsidRPr="00D014C7">
        <w:rPr>
          <w:rFonts w:ascii="Times New Roman" w:hAnsi="Times New Roman" w:cs="Times New Roman"/>
          <w:sz w:val="24"/>
          <w:szCs w:val="24"/>
        </w:rPr>
        <w:t>The weight of observation i across all levels</w:t>
      </w:r>
    </w:p>
    <w:p w14:paraId="774E6B46" w14:textId="1847983F" w:rsidR="005F0526" w:rsidRPr="00D014C7" w:rsidRDefault="005F0526" w:rsidP="00D67DD5">
      <w:pPr>
        <w:spacing w:line="240" w:lineRule="auto"/>
        <w:jc w:val="both"/>
        <w:rPr>
          <w:rFonts w:ascii="Times New Roman" w:hAnsi="Times New Roman" w:cs="Times New Roman"/>
          <w:sz w:val="24"/>
          <w:szCs w:val="24"/>
        </w:rPr>
      </w:pPr>
      <w:r w:rsidRPr="00D014C7">
        <w:rPr>
          <w:rFonts w:ascii="Times New Roman" w:hAnsi="Times New Roman" w:cs="Times New Roman"/>
          <w:sz w:val="24"/>
          <w:szCs w:val="24"/>
        </w:rPr>
        <w:t>m</w:t>
      </w:r>
      <w:r w:rsidRPr="00D014C7">
        <w:rPr>
          <w:rFonts w:ascii="Times New Roman" w:hAnsi="Times New Roman" w:cs="Times New Roman"/>
          <w:sz w:val="24"/>
          <w:szCs w:val="24"/>
          <w:vertAlign w:val="subscript"/>
        </w:rPr>
        <w:t>i</w:t>
      </w:r>
      <w:r w:rsidRPr="00D014C7">
        <w:rPr>
          <w:rFonts w:ascii="Times New Roman" w:hAnsi="Times New Roman" w:cs="Times New Roman"/>
          <w:sz w:val="24"/>
          <w:szCs w:val="24"/>
        </w:rPr>
        <w:t>: The chi-square distance of observation i to the center</w:t>
      </w:r>
    </w:p>
    <w:p w14:paraId="55DAE3E0" w14:textId="78449C07" w:rsidR="005F0526" w:rsidRPr="00D014C7" w:rsidRDefault="005F0526"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 xml:space="preserve">Mathematically, inertia can be considered as a weighted average of chi-square distances or the normalized chi-square value, as it is closely related to chi-square statistics. Chi-square statistic can be calculated from total inertia value by multiplying inertia with the number of observations. The concept of inertia in multiple correspondence analysis </w:t>
      </w:r>
      <w:r w:rsidR="00BD2066" w:rsidRPr="00D014C7">
        <w:rPr>
          <w:rFonts w:ascii="Times New Roman" w:hAnsi="Times New Roman" w:cs="Times New Roman"/>
          <w:sz w:val="24"/>
          <w:szCs w:val="24"/>
        </w:rPr>
        <w:t>can be considered as</w:t>
      </w:r>
      <w:r w:rsidRPr="00D014C7">
        <w:rPr>
          <w:rFonts w:ascii="Times New Roman" w:hAnsi="Times New Roman" w:cs="Times New Roman"/>
          <w:sz w:val="24"/>
          <w:szCs w:val="24"/>
        </w:rPr>
        <w:t xml:space="preserve"> equivalent of the concept of variance in statistics. Correspondence analysis, essentially, tries to reduce the data matrix while explaining the most inertia (Bulut, 2018</w:t>
      </w:r>
      <w:r w:rsidR="002F661F">
        <w:rPr>
          <w:rFonts w:ascii="Times New Roman" w:hAnsi="Times New Roman" w:cs="Times New Roman"/>
          <w:sz w:val="24"/>
          <w:szCs w:val="24"/>
        </w:rPr>
        <w:t>;</w:t>
      </w:r>
      <w:r w:rsidRPr="00D014C7">
        <w:rPr>
          <w:rFonts w:ascii="Times New Roman" w:hAnsi="Times New Roman" w:cs="Times New Roman"/>
          <w:sz w:val="24"/>
          <w:szCs w:val="24"/>
        </w:rPr>
        <w:t xml:space="preserve"> Kamalja and Kangar, 2017</w:t>
      </w:r>
      <w:r w:rsidR="002F661F">
        <w:rPr>
          <w:rFonts w:ascii="Times New Roman" w:hAnsi="Times New Roman" w:cs="Times New Roman"/>
          <w:sz w:val="24"/>
          <w:szCs w:val="24"/>
        </w:rPr>
        <w:t>;</w:t>
      </w:r>
      <w:r w:rsidRPr="00D014C7">
        <w:rPr>
          <w:rFonts w:ascii="Times New Roman" w:hAnsi="Times New Roman" w:cs="Times New Roman"/>
          <w:sz w:val="24"/>
          <w:szCs w:val="24"/>
        </w:rPr>
        <w:t xml:space="preserve"> Beh and Lombardo, 2014).</w:t>
      </w:r>
    </w:p>
    <w:p w14:paraId="509D776B" w14:textId="7FBF35A2" w:rsidR="001945CC" w:rsidRDefault="001945CC" w:rsidP="00D014C7">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Multiple correspondence analysis offers limited causal and inferential insight and has no significance test</w:t>
      </w:r>
      <w:r w:rsidR="00C65571">
        <w:rPr>
          <w:rFonts w:ascii="Times New Roman" w:hAnsi="Times New Roman" w:cs="Times New Roman"/>
          <w:sz w:val="24"/>
          <w:szCs w:val="24"/>
        </w:rPr>
        <w:t xml:space="preserve">. </w:t>
      </w:r>
      <w:r>
        <w:rPr>
          <w:rFonts w:ascii="Times New Roman" w:hAnsi="Times New Roman" w:cs="Times New Roman"/>
          <w:sz w:val="24"/>
          <w:szCs w:val="24"/>
        </w:rPr>
        <w:t>But there are several advantages to using multiple correspondence analysis. The most important advantage</w:t>
      </w:r>
      <w:r w:rsidR="001C3AB9">
        <w:rPr>
          <w:rFonts w:ascii="Times New Roman" w:hAnsi="Times New Roman" w:cs="Times New Roman"/>
          <w:sz w:val="24"/>
          <w:szCs w:val="24"/>
        </w:rPr>
        <w:t xml:space="preserve"> </w:t>
      </w:r>
      <w:r>
        <w:rPr>
          <w:rFonts w:ascii="Times New Roman" w:hAnsi="Times New Roman" w:cs="Times New Roman"/>
          <w:sz w:val="24"/>
          <w:szCs w:val="24"/>
        </w:rPr>
        <w:t xml:space="preserve">is that multiple correspondence analysis technique does not assume a specific type of distribution for data set which is very useful in case of working with large sets of variables. </w:t>
      </w:r>
      <w:r w:rsidR="001C3AB9">
        <w:rPr>
          <w:rFonts w:ascii="Times New Roman" w:hAnsi="Times New Roman" w:cs="Times New Roman"/>
          <w:sz w:val="24"/>
          <w:szCs w:val="24"/>
        </w:rPr>
        <w:t>Second</w:t>
      </w:r>
      <w:r w:rsidR="00C65571">
        <w:rPr>
          <w:rFonts w:ascii="Times New Roman" w:hAnsi="Times New Roman" w:cs="Times New Roman"/>
          <w:sz w:val="24"/>
          <w:szCs w:val="24"/>
        </w:rPr>
        <w:t xml:space="preserve"> advantage over commonly used techniques like OLS regression is getting rid of concerns over collinearity. Multiple correspondence analysis generally has few limitations on the data. Although categorical data is generally thought as less strong than numeric, it is more suitable in case of HDI levels (from Very High to Low). But numerically observed variables of SDG indicators had to be reduced to categorical data in order to conduct the analysis.</w:t>
      </w:r>
      <w:r w:rsidR="001C3AB9">
        <w:rPr>
          <w:rFonts w:ascii="Times New Roman" w:hAnsi="Times New Roman" w:cs="Times New Roman"/>
          <w:sz w:val="24"/>
          <w:szCs w:val="24"/>
        </w:rPr>
        <w:t xml:space="preserve"> Although there are important limitations of this technique, it can be very useful as mainly a visualisation method</w:t>
      </w:r>
      <w:r w:rsidR="00E65349">
        <w:rPr>
          <w:rFonts w:ascii="Times New Roman" w:hAnsi="Times New Roman" w:cs="Times New Roman"/>
          <w:sz w:val="24"/>
          <w:szCs w:val="24"/>
        </w:rPr>
        <w:t>. It</w:t>
      </w:r>
      <w:r w:rsidR="001C3AB9">
        <w:rPr>
          <w:rFonts w:ascii="Times New Roman" w:hAnsi="Times New Roman" w:cs="Times New Roman"/>
          <w:sz w:val="24"/>
          <w:szCs w:val="24"/>
        </w:rPr>
        <w:t xml:space="preserve"> is able to reduce highly complex data </w:t>
      </w:r>
      <w:r w:rsidR="00E65349">
        <w:rPr>
          <w:rFonts w:ascii="Times New Roman" w:hAnsi="Times New Roman" w:cs="Times New Roman"/>
          <w:sz w:val="24"/>
          <w:szCs w:val="24"/>
        </w:rPr>
        <w:t xml:space="preserve">that is </w:t>
      </w:r>
      <w:r w:rsidR="001C3AB9">
        <w:rPr>
          <w:rFonts w:ascii="Times New Roman" w:hAnsi="Times New Roman" w:cs="Times New Roman"/>
          <w:sz w:val="24"/>
          <w:szCs w:val="24"/>
        </w:rPr>
        <w:t>made of tens of variables to simplified and insightful graphics</w:t>
      </w:r>
      <w:r w:rsidR="00E65349">
        <w:rPr>
          <w:rFonts w:ascii="Times New Roman" w:hAnsi="Times New Roman" w:cs="Times New Roman"/>
          <w:sz w:val="24"/>
          <w:szCs w:val="24"/>
        </w:rPr>
        <w:t>.</w:t>
      </w:r>
    </w:p>
    <w:p w14:paraId="0C7D1E8C" w14:textId="77777777" w:rsidR="001C3AB9" w:rsidRPr="00D014C7" w:rsidRDefault="001C3AB9" w:rsidP="00E65349">
      <w:pPr>
        <w:spacing w:line="240" w:lineRule="auto"/>
        <w:jc w:val="both"/>
        <w:rPr>
          <w:rFonts w:ascii="Times New Roman" w:hAnsi="Times New Roman" w:cs="Times New Roman"/>
          <w:sz w:val="24"/>
          <w:szCs w:val="24"/>
        </w:rPr>
      </w:pPr>
    </w:p>
    <w:p w14:paraId="086EDE0B" w14:textId="6C04AF8E" w:rsidR="008947A9" w:rsidRPr="00D014C7" w:rsidRDefault="008947A9" w:rsidP="00766385">
      <w:pPr>
        <w:spacing w:before="120" w:line="240" w:lineRule="auto"/>
        <w:jc w:val="both"/>
        <w:rPr>
          <w:rFonts w:ascii="Times New Roman" w:hAnsi="Times New Roman" w:cs="Times New Roman"/>
          <w:b/>
          <w:bCs/>
          <w:sz w:val="24"/>
          <w:szCs w:val="24"/>
        </w:rPr>
      </w:pPr>
      <w:r w:rsidRPr="00D014C7">
        <w:rPr>
          <w:rFonts w:ascii="Times New Roman" w:hAnsi="Times New Roman" w:cs="Times New Roman"/>
          <w:b/>
          <w:bCs/>
          <w:sz w:val="24"/>
          <w:szCs w:val="24"/>
        </w:rPr>
        <w:lastRenderedPageBreak/>
        <w:t>2. LITERATURE REVIEW</w:t>
      </w:r>
    </w:p>
    <w:p w14:paraId="78F736ED" w14:textId="04458FDA" w:rsidR="005137DA" w:rsidRPr="00D014C7" w:rsidRDefault="002531D1"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 xml:space="preserve">Reaching </w:t>
      </w:r>
      <w:r w:rsidR="005B29A3" w:rsidRPr="00D014C7">
        <w:rPr>
          <w:rFonts w:ascii="Times New Roman" w:hAnsi="Times New Roman" w:cs="Times New Roman"/>
          <w:sz w:val="24"/>
          <w:szCs w:val="24"/>
        </w:rPr>
        <w:t xml:space="preserve">Sustainable Development Goals require a complicated and dedicated effort to address targets on multiple fronts. </w:t>
      </w:r>
      <w:r w:rsidRPr="00D014C7">
        <w:rPr>
          <w:rFonts w:ascii="Times New Roman" w:hAnsi="Times New Roman" w:cs="Times New Roman"/>
          <w:sz w:val="24"/>
          <w:szCs w:val="24"/>
        </w:rPr>
        <w:t xml:space="preserve">Also, limited resources and timeframe means policy-makers have to prioritize certain goals over others and try to find an optimal policy. </w:t>
      </w:r>
      <w:r w:rsidR="005B29A3" w:rsidRPr="00D014C7">
        <w:rPr>
          <w:rFonts w:ascii="Times New Roman" w:hAnsi="Times New Roman" w:cs="Times New Roman"/>
          <w:sz w:val="24"/>
          <w:szCs w:val="24"/>
        </w:rPr>
        <w:t xml:space="preserve">Hence, identifying the relationships between different goals and finding pathways to address multiple goals </w:t>
      </w:r>
      <w:r w:rsidRPr="00D014C7">
        <w:rPr>
          <w:rFonts w:ascii="Times New Roman" w:hAnsi="Times New Roman" w:cs="Times New Roman"/>
          <w:sz w:val="24"/>
          <w:szCs w:val="24"/>
        </w:rPr>
        <w:t xml:space="preserve">at once </w:t>
      </w:r>
      <w:r w:rsidR="005B29A3" w:rsidRPr="00D014C7">
        <w:rPr>
          <w:rFonts w:ascii="Times New Roman" w:hAnsi="Times New Roman" w:cs="Times New Roman"/>
          <w:sz w:val="24"/>
          <w:szCs w:val="24"/>
        </w:rPr>
        <w:t xml:space="preserve">is critical for policy-makers. </w:t>
      </w:r>
      <w:r w:rsidR="00B01011" w:rsidRPr="00D014C7">
        <w:rPr>
          <w:rFonts w:ascii="Times New Roman" w:hAnsi="Times New Roman" w:cs="Times New Roman"/>
          <w:sz w:val="24"/>
          <w:szCs w:val="24"/>
        </w:rPr>
        <w:t xml:space="preserve">Although Sustainable Development Goals can be considered a relatively recent phenomenon, there is some research on the relationship among different goals. </w:t>
      </w:r>
      <w:r w:rsidR="00394AE8" w:rsidRPr="00D014C7">
        <w:rPr>
          <w:rFonts w:ascii="Times New Roman" w:hAnsi="Times New Roman" w:cs="Times New Roman"/>
          <w:sz w:val="24"/>
          <w:szCs w:val="24"/>
        </w:rPr>
        <w:t xml:space="preserve">Many of the 17 goals are considered closely related. Le Blanc (2015) argues that </w:t>
      </w:r>
      <w:r w:rsidRPr="00D014C7">
        <w:rPr>
          <w:rFonts w:ascii="Times New Roman" w:hAnsi="Times New Roman" w:cs="Times New Roman"/>
          <w:sz w:val="24"/>
          <w:szCs w:val="24"/>
        </w:rPr>
        <w:t>SDGs</w:t>
      </w:r>
      <w:r w:rsidR="00394AE8" w:rsidRPr="00D014C7">
        <w:rPr>
          <w:rFonts w:ascii="Times New Roman" w:hAnsi="Times New Roman" w:cs="Times New Roman"/>
          <w:sz w:val="24"/>
          <w:szCs w:val="24"/>
        </w:rPr>
        <w:t xml:space="preserve"> can be considered as a network connected through targets that refer to more than one goal. </w:t>
      </w:r>
      <w:r w:rsidR="002F026F" w:rsidRPr="00D014C7">
        <w:rPr>
          <w:rFonts w:ascii="Times New Roman" w:hAnsi="Times New Roman" w:cs="Times New Roman"/>
          <w:sz w:val="24"/>
          <w:szCs w:val="24"/>
        </w:rPr>
        <w:t xml:space="preserve">Using network analysis, Le Blanc shows that while most targets are interconnected, some targets such as </w:t>
      </w:r>
      <w:r w:rsidR="00A8018B" w:rsidRPr="00D014C7">
        <w:rPr>
          <w:rFonts w:ascii="Times New Roman" w:hAnsi="Times New Roman" w:cs="Times New Roman"/>
          <w:sz w:val="24"/>
          <w:szCs w:val="24"/>
        </w:rPr>
        <w:t xml:space="preserve">reducing </w:t>
      </w:r>
      <w:r w:rsidR="002F026F" w:rsidRPr="00D014C7">
        <w:rPr>
          <w:rFonts w:ascii="Times New Roman" w:hAnsi="Times New Roman" w:cs="Times New Roman"/>
          <w:sz w:val="24"/>
          <w:szCs w:val="24"/>
        </w:rPr>
        <w:t>inequality, poverty</w:t>
      </w:r>
      <w:r w:rsidR="00A8018B" w:rsidRPr="00D014C7">
        <w:rPr>
          <w:rFonts w:ascii="Times New Roman" w:hAnsi="Times New Roman" w:cs="Times New Roman"/>
          <w:sz w:val="24"/>
          <w:szCs w:val="24"/>
        </w:rPr>
        <w:t xml:space="preserve"> and improving </w:t>
      </w:r>
      <w:r w:rsidR="002F026F" w:rsidRPr="00D014C7">
        <w:rPr>
          <w:rFonts w:ascii="Times New Roman" w:hAnsi="Times New Roman" w:cs="Times New Roman"/>
          <w:sz w:val="24"/>
          <w:szCs w:val="24"/>
        </w:rPr>
        <w:t xml:space="preserve">education are core links in the network that connect to most other goals. </w:t>
      </w:r>
      <w:r w:rsidR="005137DA" w:rsidRPr="00D014C7">
        <w:rPr>
          <w:rFonts w:ascii="Times New Roman" w:hAnsi="Times New Roman" w:cs="Times New Roman"/>
          <w:color w:val="222222"/>
          <w:sz w:val="24"/>
          <w:szCs w:val="24"/>
          <w:shd w:val="clear" w:color="auto" w:fill="FFFFFF"/>
        </w:rPr>
        <w:t xml:space="preserve">Lusseau and Mancini (2019) also used network approach to </w:t>
      </w:r>
      <w:r w:rsidR="001C266A" w:rsidRPr="00D014C7">
        <w:rPr>
          <w:rFonts w:ascii="Times New Roman" w:hAnsi="Times New Roman" w:cs="Times New Roman"/>
          <w:color w:val="222222"/>
          <w:sz w:val="24"/>
          <w:szCs w:val="24"/>
          <w:shd w:val="clear" w:color="auto" w:fill="FFFFFF"/>
        </w:rPr>
        <w:t>estimate interactions among SDGs across different income levels which is particularly relevant for this study since HDI</w:t>
      </w:r>
      <w:r w:rsidR="00681E80" w:rsidRPr="00D014C7">
        <w:rPr>
          <w:rFonts w:ascii="Times New Roman" w:hAnsi="Times New Roman" w:cs="Times New Roman"/>
          <w:color w:val="222222"/>
          <w:sz w:val="24"/>
          <w:szCs w:val="24"/>
          <w:shd w:val="clear" w:color="auto" w:fill="FFFFFF"/>
        </w:rPr>
        <w:t xml:space="preserve"> also takes national income into account. Their research </w:t>
      </w:r>
      <w:r w:rsidR="001C266A" w:rsidRPr="00D014C7">
        <w:rPr>
          <w:rFonts w:ascii="Times New Roman" w:hAnsi="Times New Roman" w:cs="Times New Roman"/>
          <w:color w:val="222222"/>
          <w:sz w:val="24"/>
          <w:szCs w:val="24"/>
          <w:shd w:val="clear" w:color="auto" w:fill="FFFFFF"/>
        </w:rPr>
        <w:t xml:space="preserve">contributed to the framework by showing </w:t>
      </w:r>
      <w:r w:rsidR="00E65349">
        <w:rPr>
          <w:rFonts w:ascii="Times New Roman" w:hAnsi="Times New Roman" w:cs="Times New Roman"/>
          <w:color w:val="222222"/>
          <w:sz w:val="24"/>
          <w:szCs w:val="24"/>
          <w:shd w:val="clear" w:color="auto" w:fill="FFFFFF"/>
        </w:rPr>
        <w:t xml:space="preserve">that </w:t>
      </w:r>
      <w:r w:rsidR="001C266A" w:rsidRPr="00D014C7">
        <w:rPr>
          <w:rFonts w:ascii="Times New Roman" w:hAnsi="Times New Roman" w:cs="Times New Roman"/>
          <w:color w:val="222222"/>
          <w:sz w:val="24"/>
          <w:szCs w:val="24"/>
          <w:shd w:val="clear" w:color="auto" w:fill="FFFFFF"/>
        </w:rPr>
        <w:t xml:space="preserve">the SDG interactions differ by the country income level according to the income categories by World Bank. </w:t>
      </w:r>
    </w:p>
    <w:p w14:paraId="537308A8" w14:textId="139B3A7C" w:rsidR="003B1D26" w:rsidRPr="00D014C7" w:rsidRDefault="00665380" w:rsidP="00D014C7">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 xml:space="preserve">Nerini et al. (2018) studied the relationship of 169 targets with the SDG7,  </w:t>
      </w:r>
      <w:r w:rsidR="00E65349">
        <w:rPr>
          <w:rFonts w:ascii="Times New Roman" w:hAnsi="Times New Roman" w:cs="Times New Roman"/>
          <w:sz w:val="24"/>
          <w:szCs w:val="24"/>
        </w:rPr>
        <w:t>“E</w:t>
      </w:r>
      <w:r w:rsidRPr="00D014C7">
        <w:rPr>
          <w:rFonts w:ascii="Times New Roman" w:hAnsi="Times New Roman" w:cs="Times New Roman"/>
          <w:sz w:val="24"/>
          <w:szCs w:val="24"/>
        </w:rPr>
        <w:t>nsuring access to affordable, reliable, sustainable and modern energy for all</w:t>
      </w:r>
      <w:r w:rsidR="00E65349">
        <w:rPr>
          <w:rFonts w:ascii="Times New Roman" w:hAnsi="Times New Roman" w:cs="Times New Roman"/>
          <w:sz w:val="24"/>
          <w:szCs w:val="24"/>
        </w:rPr>
        <w:t>”</w:t>
      </w:r>
      <w:r w:rsidRPr="00D014C7">
        <w:rPr>
          <w:rFonts w:ascii="Times New Roman" w:hAnsi="Times New Roman" w:cs="Times New Roman"/>
          <w:sz w:val="24"/>
          <w:szCs w:val="24"/>
        </w:rPr>
        <w:t>. They found that at least 143 targets in SDGs have synergetic or trade-off relationship with efforts to achieve SDG7</w:t>
      </w:r>
      <w:r w:rsidR="00DC4F2F" w:rsidRPr="00D014C7">
        <w:rPr>
          <w:rFonts w:ascii="Times New Roman" w:hAnsi="Times New Roman" w:cs="Times New Roman"/>
          <w:sz w:val="24"/>
          <w:szCs w:val="24"/>
        </w:rPr>
        <w:t>, more than twice synergies than trade-offs</w:t>
      </w:r>
      <w:r w:rsidRPr="00D014C7">
        <w:rPr>
          <w:rFonts w:ascii="Times New Roman" w:hAnsi="Times New Roman" w:cs="Times New Roman"/>
          <w:sz w:val="24"/>
          <w:szCs w:val="24"/>
        </w:rPr>
        <w:t xml:space="preserve">. </w:t>
      </w:r>
      <w:r w:rsidR="00DC4F2F" w:rsidRPr="00D014C7">
        <w:rPr>
          <w:rFonts w:ascii="Times New Roman" w:hAnsi="Times New Roman" w:cs="Times New Roman"/>
          <w:sz w:val="24"/>
          <w:szCs w:val="24"/>
        </w:rPr>
        <w:t>Similarly, Fonseca et al. (2020) found that between most SDGs, there is strong positive interactions. But some SDGs like responsible consumption and production show requirement for trade-offs and moderate negative correlation with other SDGs (Fonseca et al., 2020: 11).</w:t>
      </w:r>
      <w:r w:rsidR="001D6420" w:rsidRPr="00D014C7">
        <w:rPr>
          <w:rFonts w:ascii="Times New Roman" w:hAnsi="Times New Roman" w:cs="Times New Roman"/>
          <w:sz w:val="24"/>
          <w:szCs w:val="24"/>
        </w:rPr>
        <w:t xml:space="preserve"> Pradhan et al. (2017) also found the SDG12, responsible consumption and </w:t>
      </w:r>
      <w:r w:rsidR="00DC4F2F" w:rsidRPr="00D014C7">
        <w:rPr>
          <w:rFonts w:ascii="Times New Roman" w:hAnsi="Times New Roman" w:cs="Times New Roman"/>
          <w:sz w:val="24"/>
          <w:szCs w:val="24"/>
        </w:rPr>
        <w:t xml:space="preserve"> </w:t>
      </w:r>
      <w:r w:rsidR="001D6420" w:rsidRPr="00D014C7">
        <w:rPr>
          <w:rFonts w:ascii="Times New Roman" w:hAnsi="Times New Roman" w:cs="Times New Roman"/>
          <w:sz w:val="24"/>
          <w:szCs w:val="24"/>
        </w:rPr>
        <w:t xml:space="preserve">production, to be the goal that showed prominent trade-offs with other SDGs. </w:t>
      </w:r>
      <w:r w:rsidR="00287A5B" w:rsidRPr="00D014C7">
        <w:rPr>
          <w:rFonts w:ascii="Times New Roman" w:hAnsi="Times New Roman" w:cs="Times New Roman"/>
          <w:sz w:val="24"/>
          <w:szCs w:val="24"/>
        </w:rPr>
        <w:t xml:space="preserve">A report published by United Nations (2019) identifies co-benefit and trade-off type of interactions among the SDGs at the target level based on over 100 articles written on the subject. It shows some trade-offs, but also the dominance of positive relationships over negatives. </w:t>
      </w:r>
    </w:p>
    <w:p w14:paraId="07FB742A" w14:textId="4328DC56" w:rsidR="00B70C50" w:rsidRPr="00D014C7" w:rsidRDefault="00B70C50" w:rsidP="00766385">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Schmidt-Traub et al. (2017)</w:t>
      </w:r>
      <w:r w:rsidR="00AC50BA" w:rsidRPr="00D014C7">
        <w:rPr>
          <w:rFonts w:ascii="Times New Roman" w:hAnsi="Times New Roman" w:cs="Times New Roman"/>
          <w:sz w:val="24"/>
          <w:szCs w:val="24"/>
        </w:rPr>
        <w:t xml:space="preserve"> compared several indices including HDI to an SDG index, a composite number created from over 60 SDG indicators. They found that SDG index is correlated with HDI, as well as with GDP, but </w:t>
      </w:r>
      <w:r w:rsidR="003110CE">
        <w:rPr>
          <w:rFonts w:ascii="Times New Roman" w:hAnsi="Times New Roman" w:cs="Times New Roman"/>
          <w:sz w:val="24"/>
          <w:szCs w:val="24"/>
        </w:rPr>
        <w:t xml:space="preserve">there were </w:t>
      </w:r>
      <w:r w:rsidR="00AC50BA" w:rsidRPr="00D014C7">
        <w:rPr>
          <w:rFonts w:ascii="Times New Roman" w:hAnsi="Times New Roman" w:cs="Times New Roman"/>
          <w:sz w:val="24"/>
          <w:szCs w:val="24"/>
        </w:rPr>
        <w:t>substantial differences across regions and income groups.</w:t>
      </w:r>
      <w:r w:rsidR="00D46B27" w:rsidRPr="00D46B27">
        <w:t xml:space="preserve"> </w:t>
      </w:r>
      <w:r w:rsidR="00D46B27" w:rsidRPr="00D46B27">
        <w:rPr>
          <w:rFonts w:ascii="Times New Roman" w:hAnsi="Times New Roman" w:cs="Times New Roman"/>
          <w:sz w:val="24"/>
          <w:szCs w:val="24"/>
        </w:rPr>
        <w:t>Perdomo et al. (2017) use</w:t>
      </w:r>
      <w:r w:rsidR="00C944E5">
        <w:rPr>
          <w:rFonts w:ascii="Times New Roman" w:hAnsi="Times New Roman" w:cs="Times New Roman"/>
          <w:sz w:val="24"/>
          <w:szCs w:val="24"/>
        </w:rPr>
        <w:t>d</w:t>
      </w:r>
      <w:r w:rsidR="00D46B27" w:rsidRPr="00D46B27">
        <w:rPr>
          <w:rFonts w:ascii="Times New Roman" w:hAnsi="Times New Roman" w:cs="Times New Roman"/>
          <w:sz w:val="24"/>
          <w:szCs w:val="24"/>
        </w:rPr>
        <w:t xml:space="preserve"> Nussbaum’s theory of capabilities to define capabilities associated with health, survival and mental well-being as “Sustainable Well-being Dimensions” and analyse</w:t>
      </w:r>
      <w:r w:rsidR="00C944E5">
        <w:rPr>
          <w:rFonts w:ascii="Times New Roman" w:hAnsi="Times New Roman" w:cs="Times New Roman"/>
          <w:sz w:val="24"/>
          <w:szCs w:val="24"/>
        </w:rPr>
        <w:t>d</w:t>
      </w:r>
      <w:r w:rsidR="00D46B27" w:rsidRPr="00D46B27">
        <w:rPr>
          <w:rFonts w:ascii="Times New Roman" w:hAnsi="Times New Roman" w:cs="Times New Roman"/>
          <w:sz w:val="24"/>
          <w:szCs w:val="24"/>
        </w:rPr>
        <w:t xml:space="preserve"> these through multiple correspondence analysis. They found that first dimension is mainly consisted of high and low categories, and first </w:t>
      </w:r>
      <w:r w:rsidR="00C944E5">
        <w:rPr>
          <w:rFonts w:ascii="Times New Roman" w:hAnsi="Times New Roman" w:cs="Times New Roman"/>
          <w:sz w:val="24"/>
          <w:szCs w:val="24"/>
        </w:rPr>
        <w:t>three</w:t>
      </w:r>
      <w:r w:rsidR="00D46B27" w:rsidRPr="00D46B27">
        <w:rPr>
          <w:rFonts w:ascii="Times New Roman" w:hAnsi="Times New Roman" w:cs="Times New Roman"/>
          <w:sz w:val="24"/>
          <w:szCs w:val="24"/>
        </w:rPr>
        <w:t xml:space="preserve"> dimensions accounted for about 41% of variation in data</w:t>
      </w:r>
      <w:r w:rsidR="00E65349">
        <w:rPr>
          <w:rFonts w:ascii="Times New Roman" w:hAnsi="Times New Roman" w:cs="Times New Roman"/>
          <w:sz w:val="24"/>
          <w:szCs w:val="24"/>
        </w:rPr>
        <w:t xml:space="preserve"> (</w:t>
      </w:r>
      <w:r w:rsidR="00E65349" w:rsidRPr="00D46B27">
        <w:rPr>
          <w:rFonts w:ascii="Times New Roman" w:hAnsi="Times New Roman" w:cs="Times New Roman"/>
          <w:sz w:val="24"/>
          <w:szCs w:val="24"/>
        </w:rPr>
        <w:t>Perdomo et al.</w:t>
      </w:r>
      <w:r w:rsidR="00E65349">
        <w:rPr>
          <w:rFonts w:ascii="Times New Roman" w:hAnsi="Times New Roman" w:cs="Times New Roman"/>
          <w:sz w:val="24"/>
          <w:szCs w:val="24"/>
        </w:rPr>
        <w:t>, 2017).</w:t>
      </w:r>
    </w:p>
    <w:p w14:paraId="3675ECFD" w14:textId="07502362" w:rsidR="00EB0D79" w:rsidRPr="00D014C7" w:rsidRDefault="00935B7C" w:rsidP="00D014C7">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 xml:space="preserve">While methods like </w:t>
      </w:r>
      <w:r w:rsidR="00F308FE" w:rsidRPr="00D014C7">
        <w:rPr>
          <w:rFonts w:ascii="Times New Roman" w:hAnsi="Times New Roman" w:cs="Times New Roman"/>
          <w:sz w:val="24"/>
          <w:szCs w:val="24"/>
        </w:rPr>
        <w:t xml:space="preserve">network analysis or other statistical methods were used to analyse SDGs or HDI, </w:t>
      </w:r>
      <w:r w:rsidR="00E65349">
        <w:rPr>
          <w:rFonts w:ascii="Times New Roman" w:hAnsi="Times New Roman" w:cs="Times New Roman"/>
          <w:sz w:val="24"/>
          <w:szCs w:val="24"/>
        </w:rPr>
        <w:t>a significant amount</w:t>
      </w:r>
      <w:r w:rsidR="00F308FE" w:rsidRPr="00D014C7">
        <w:rPr>
          <w:rFonts w:ascii="Times New Roman" w:hAnsi="Times New Roman" w:cs="Times New Roman"/>
          <w:sz w:val="24"/>
          <w:szCs w:val="24"/>
        </w:rPr>
        <w:t xml:space="preserve"> of the research using multiple correspondence analysis is focused </w:t>
      </w:r>
      <w:r w:rsidR="00D46B27">
        <w:rPr>
          <w:rFonts w:ascii="Times New Roman" w:hAnsi="Times New Roman" w:cs="Times New Roman"/>
          <w:sz w:val="24"/>
          <w:szCs w:val="24"/>
        </w:rPr>
        <w:t>on analysing and assigning weights to</w:t>
      </w:r>
      <w:r w:rsidR="00F308FE" w:rsidRPr="00D014C7">
        <w:rPr>
          <w:rFonts w:ascii="Times New Roman" w:hAnsi="Times New Roman" w:cs="Times New Roman"/>
          <w:sz w:val="24"/>
          <w:szCs w:val="24"/>
        </w:rPr>
        <w:t xml:space="preserve"> Multidimensional Poverty Index</w:t>
      </w:r>
      <w:r w:rsidR="00D46B27">
        <w:rPr>
          <w:rFonts w:ascii="Times New Roman" w:hAnsi="Times New Roman" w:cs="Times New Roman"/>
          <w:sz w:val="24"/>
          <w:szCs w:val="24"/>
        </w:rPr>
        <w:t xml:space="preserve">. </w:t>
      </w:r>
      <w:r w:rsidR="00F12008">
        <w:rPr>
          <w:rFonts w:ascii="Times New Roman" w:hAnsi="Times New Roman" w:cs="Times New Roman"/>
          <w:sz w:val="24"/>
          <w:szCs w:val="24"/>
        </w:rPr>
        <w:t>Asselin and Ahn (2008) proposed using multiple correspondence analysis for measuring</w:t>
      </w:r>
      <w:r w:rsidR="00C073F0">
        <w:rPr>
          <w:rFonts w:ascii="Times New Roman" w:hAnsi="Times New Roman" w:cs="Times New Roman"/>
          <w:sz w:val="24"/>
          <w:szCs w:val="24"/>
        </w:rPr>
        <w:t xml:space="preserve"> </w:t>
      </w:r>
      <w:r w:rsidR="00F12008">
        <w:rPr>
          <w:rFonts w:ascii="Times New Roman" w:hAnsi="Times New Roman" w:cs="Times New Roman"/>
          <w:sz w:val="24"/>
          <w:szCs w:val="24"/>
        </w:rPr>
        <w:t xml:space="preserve"> multidimensional poverty because it has little restriction on the data type</w:t>
      </w:r>
      <w:r w:rsidR="00E65349">
        <w:rPr>
          <w:rFonts w:ascii="Times New Roman" w:hAnsi="Times New Roman" w:cs="Times New Roman"/>
          <w:sz w:val="24"/>
          <w:szCs w:val="24"/>
        </w:rPr>
        <w:t>s</w:t>
      </w:r>
      <w:r w:rsidR="00F12008">
        <w:rPr>
          <w:rFonts w:ascii="Times New Roman" w:hAnsi="Times New Roman" w:cs="Times New Roman"/>
          <w:sz w:val="24"/>
          <w:szCs w:val="24"/>
        </w:rPr>
        <w:t xml:space="preserve"> of indicators.</w:t>
      </w:r>
      <w:r w:rsidR="00F308FE" w:rsidRPr="00D014C7">
        <w:rPr>
          <w:rFonts w:ascii="Times New Roman" w:hAnsi="Times New Roman" w:cs="Times New Roman"/>
          <w:sz w:val="24"/>
          <w:szCs w:val="24"/>
        </w:rPr>
        <w:t xml:space="preserve"> </w:t>
      </w:r>
      <w:r w:rsidR="002236AB" w:rsidRPr="002236AB">
        <w:rPr>
          <w:rFonts w:ascii="Times New Roman" w:hAnsi="Times New Roman" w:cs="Times New Roman"/>
          <w:sz w:val="24"/>
          <w:szCs w:val="24"/>
        </w:rPr>
        <w:t>Pasha (2017) propose</w:t>
      </w:r>
      <w:r w:rsidR="00EB0D79">
        <w:rPr>
          <w:rFonts w:ascii="Times New Roman" w:hAnsi="Times New Roman" w:cs="Times New Roman"/>
          <w:sz w:val="24"/>
          <w:szCs w:val="24"/>
        </w:rPr>
        <w:t>d</w:t>
      </w:r>
      <w:r w:rsidR="002236AB" w:rsidRPr="002236AB">
        <w:rPr>
          <w:rFonts w:ascii="Times New Roman" w:hAnsi="Times New Roman" w:cs="Times New Roman"/>
          <w:sz w:val="24"/>
          <w:szCs w:val="24"/>
        </w:rPr>
        <w:t xml:space="preserve"> to use multiple correspondence analysis to get over the problem of collinearity in data when analysing </w:t>
      </w:r>
      <w:r w:rsidR="00E96DD0">
        <w:rPr>
          <w:rFonts w:ascii="Times New Roman" w:hAnsi="Times New Roman" w:cs="Times New Roman"/>
          <w:sz w:val="24"/>
          <w:szCs w:val="24"/>
        </w:rPr>
        <w:t xml:space="preserve">the weights of the </w:t>
      </w:r>
      <w:r w:rsidR="002236AB" w:rsidRPr="002236AB">
        <w:rPr>
          <w:rFonts w:ascii="Times New Roman" w:hAnsi="Times New Roman" w:cs="Times New Roman"/>
          <w:sz w:val="24"/>
          <w:szCs w:val="24"/>
        </w:rPr>
        <w:t>indicators of multidimensional poverty index. They found that standard of living indicators explain nearly 86% of variation in data. They also compared principal component analysis to multiple correspondence analysis and found similar results, but suggested PCA for more intuitive understanding (Pasha, 2017).</w:t>
      </w:r>
      <w:r w:rsidR="00103ED4">
        <w:rPr>
          <w:rFonts w:ascii="Times New Roman" w:hAnsi="Times New Roman" w:cs="Times New Roman"/>
          <w:sz w:val="24"/>
          <w:szCs w:val="24"/>
        </w:rPr>
        <w:t xml:space="preserve"> Similarly, Ferrant (2010) used multiple correspondence analysis to determine weights to Gender Inequality Index.</w:t>
      </w:r>
      <w:r w:rsidR="00EB0D79">
        <w:rPr>
          <w:rFonts w:ascii="Times New Roman" w:hAnsi="Times New Roman" w:cs="Times New Roman"/>
          <w:sz w:val="24"/>
          <w:szCs w:val="24"/>
        </w:rPr>
        <w:t xml:space="preserve"> Ambapour (2020) analysed multidimensional poverty in Congo with multiple correspondence analysis and </w:t>
      </w:r>
      <w:r w:rsidR="00B477AE">
        <w:rPr>
          <w:rFonts w:ascii="Times New Roman" w:hAnsi="Times New Roman" w:cs="Times New Roman"/>
          <w:sz w:val="24"/>
          <w:szCs w:val="24"/>
        </w:rPr>
        <w:lastRenderedPageBreak/>
        <w:t xml:space="preserve">identified three types of non-monetary poverty: </w:t>
      </w:r>
      <w:r w:rsidR="00B477AE" w:rsidRPr="00B477AE">
        <w:rPr>
          <w:rFonts w:ascii="Times New Roman" w:hAnsi="Times New Roman" w:cs="Times New Roman"/>
          <w:sz w:val="24"/>
          <w:szCs w:val="24"/>
        </w:rPr>
        <w:t>infrastructure poverty, vulnerability of human existence and poverty of com</w:t>
      </w:r>
      <w:r w:rsidR="00B477AE">
        <w:rPr>
          <w:rFonts w:ascii="Times New Roman" w:hAnsi="Times New Roman" w:cs="Times New Roman"/>
          <w:sz w:val="24"/>
          <w:szCs w:val="24"/>
        </w:rPr>
        <w:t xml:space="preserve">fort. </w:t>
      </w:r>
    </w:p>
    <w:p w14:paraId="30875BD8" w14:textId="34B0767B" w:rsidR="008947A9" w:rsidRPr="00D014C7" w:rsidRDefault="008947A9" w:rsidP="00766385">
      <w:pPr>
        <w:spacing w:before="120" w:line="240" w:lineRule="auto"/>
        <w:jc w:val="both"/>
        <w:rPr>
          <w:rFonts w:ascii="Times New Roman" w:hAnsi="Times New Roman" w:cs="Times New Roman"/>
          <w:b/>
          <w:bCs/>
          <w:sz w:val="24"/>
          <w:szCs w:val="24"/>
        </w:rPr>
      </w:pPr>
      <w:r w:rsidRPr="00D014C7">
        <w:rPr>
          <w:rFonts w:ascii="Times New Roman" w:hAnsi="Times New Roman" w:cs="Times New Roman"/>
          <w:b/>
          <w:bCs/>
          <w:sz w:val="24"/>
          <w:szCs w:val="24"/>
        </w:rPr>
        <w:t>3. METHODOLOGY AND DATA</w:t>
      </w:r>
    </w:p>
    <w:p w14:paraId="6A86E1A6" w14:textId="2CD6C767" w:rsidR="0015413B" w:rsidRDefault="0015413B" w:rsidP="00D014C7">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The data of Human Development Index values for 189 countries and its indicators were collected from UNDP website. The HDI values used for this study is from 2019 collections which were used for the most recent Human Development Report (2020). SDG indicators for the same countries were collected from United Nations website (</w:t>
      </w:r>
      <w:hyperlink r:id="rId9" w:history="1">
        <w:r w:rsidRPr="00D014C7">
          <w:rPr>
            <w:rStyle w:val="CommentSubjectChar"/>
            <w:rFonts w:ascii="Times New Roman" w:hAnsi="Times New Roman" w:cs="Times New Roman"/>
            <w:sz w:val="24"/>
            <w:szCs w:val="24"/>
          </w:rPr>
          <w:t>https://unstats.un.org/</w:t>
        </w:r>
      </w:hyperlink>
      <w:r w:rsidRPr="00D014C7">
        <w:rPr>
          <w:rFonts w:ascii="Times New Roman" w:hAnsi="Times New Roman" w:cs="Times New Roman"/>
          <w:sz w:val="24"/>
          <w:szCs w:val="24"/>
        </w:rPr>
        <w:t xml:space="preserve">). Most data observations that is used in this study belong to the year 2019 with following exceptions: Female or total population with at least some secondary education (2015-2019), government expenditure on education as percentage of GDP (2013-2018), prison population per 100.000 people (2013-2018), homicide rate per 100.000 people (2013-2018), fossil fuel energy consumption as percentage of total energy consumption (2013-2015) and carbon dioxide emissions (2017). </w:t>
      </w:r>
      <w:r w:rsidR="00817EC8">
        <w:rPr>
          <w:rFonts w:ascii="Times New Roman" w:hAnsi="Times New Roman" w:cs="Times New Roman"/>
          <w:sz w:val="24"/>
          <w:szCs w:val="24"/>
        </w:rPr>
        <w:t>The number of variables were chosen from SDG indicators according to availability</w:t>
      </w:r>
      <w:r w:rsidR="00E65349">
        <w:rPr>
          <w:rFonts w:ascii="Times New Roman" w:hAnsi="Times New Roman" w:cs="Times New Roman"/>
          <w:sz w:val="24"/>
          <w:szCs w:val="24"/>
        </w:rPr>
        <w:t xml:space="preserve"> of data</w:t>
      </w:r>
      <w:r w:rsidR="00817EC8">
        <w:rPr>
          <w:rFonts w:ascii="Times New Roman" w:hAnsi="Times New Roman" w:cs="Times New Roman"/>
          <w:sz w:val="24"/>
          <w:szCs w:val="24"/>
        </w:rPr>
        <w:t xml:space="preserve"> for the countries in data set. </w:t>
      </w:r>
      <w:r w:rsidR="00817EC8" w:rsidRPr="00D014C7">
        <w:rPr>
          <w:rFonts w:ascii="Times New Roman" w:hAnsi="Times New Roman" w:cs="Times New Roman"/>
          <w:sz w:val="24"/>
          <w:szCs w:val="24"/>
        </w:rPr>
        <w:t xml:space="preserve">A list of all variables used in this study can be seen in </w:t>
      </w:r>
      <w:r w:rsidR="00E65349">
        <w:rPr>
          <w:rFonts w:ascii="Times New Roman" w:hAnsi="Times New Roman" w:cs="Times New Roman"/>
          <w:sz w:val="24"/>
          <w:szCs w:val="24"/>
        </w:rPr>
        <w:t xml:space="preserve">the </w:t>
      </w:r>
      <w:r w:rsidR="00817EC8">
        <w:rPr>
          <w:rFonts w:ascii="Times New Roman" w:hAnsi="Times New Roman" w:cs="Times New Roman"/>
          <w:sz w:val="24"/>
          <w:szCs w:val="24"/>
        </w:rPr>
        <w:t>Table</w:t>
      </w:r>
      <w:r w:rsidR="00817EC8" w:rsidRPr="00D014C7">
        <w:rPr>
          <w:rFonts w:ascii="Times New Roman" w:hAnsi="Times New Roman" w:cs="Times New Roman"/>
          <w:sz w:val="24"/>
          <w:szCs w:val="24"/>
        </w:rPr>
        <w:t xml:space="preserve"> </w:t>
      </w:r>
      <w:r w:rsidR="00817EC8">
        <w:rPr>
          <w:rFonts w:ascii="Times New Roman" w:hAnsi="Times New Roman" w:cs="Times New Roman"/>
          <w:sz w:val="24"/>
          <w:szCs w:val="24"/>
        </w:rPr>
        <w:t>2</w:t>
      </w:r>
      <w:r w:rsidR="00817EC8" w:rsidRPr="00D014C7">
        <w:rPr>
          <w:rFonts w:ascii="Times New Roman" w:hAnsi="Times New Roman" w:cs="Times New Roman"/>
          <w:sz w:val="24"/>
          <w:szCs w:val="24"/>
        </w:rPr>
        <w:t xml:space="preserve"> below.</w:t>
      </w:r>
    </w:p>
    <w:p w14:paraId="6EC5B537" w14:textId="571AFBC2" w:rsidR="00D014C7" w:rsidRPr="0046268B" w:rsidRDefault="00D014C7" w:rsidP="00D014C7">
      <w:pPr>
        <w:keepNext/>
        <w:jc w:val="center"/>
        <w:rPr>
          <w:rFonts w:ascii="Times New Roman" w:hAnsi="Times New Roman" w:cs="Times New Roman"/>
          <w:b/>
          <w:bCs/>
          <w:sz w:val="24"/>
          <w:szCs w:val="24"/>
        </w:rPr>
      </w:pPr>
      <w:r w:rsidRPr="0046268B">
        <w:rPr>
          <w:rFonts w:ascii="Times New Roman" w:hAnsi="Times New Roman" w:cs="Times New Roman"/>
          <w:b/>
          <w:bCs/>
          <w:sz w:val="24"/>
          <w:szCs w:val="24"/>
        </w:rPr>
        <w:t xml:space="preserve">Table </w:t>
      </w:r>
      <w:r w:rsidRPr="0046268B">
        <w:rPr>
          <w:rFonts w:ascii="Times New Roman" w:hAnsi="Times New Roman" w:cs="Times New Roman"/>
          <w:b/>
          <w:bCs/>
          <w:sz w:val="24"/>
          <w:szCs w:val="24"/>
        </w:rPr>
        <w:fldChar w:fldCharType="begin"/>
      </w:r>
      <w:r w:rsidRPr="0046268B">
        <w:rPr>
          <w:rFonts w:ascii="Times New Roman" w:hAnsi="Times New Roman" w:cs="Times New Roman"/>
          <w:b/>
          <w:bCs/>
          <w:sz w:val="24"/>
          <w:szCs w:val="24"/>
        </w:rPr>
        <w:instrText xml:space="preserve"> SEQ Table \* ARABIC </w:instrText>
      </w:r>
      <w:r w:rsidRPr="0046268B">
        <w:rPr>
          <w:rFonts w:ascii="Times New Roman" w:hAnsi="Times New Roman" w:cs="Times New Roman"/>
          <w:b/>
          <w:bCs/>
          <w:sz w:val="24"/>
          <w:szCs w:val="24"/>
        </w:rPr>
        <w:fldChar w:fldCharType="separate"/>
      </w:r>
      <w:r w:rsidR="0056758C">
        <w:rPr>
          <w:rFonts w:ascii="Times New Roman" w:hAnsi="Times New Roman" w:cs="Times New Roman"/>
          <w:b/>
          <w:bCs/>
          <w:noProof/>
          <w:sz w:val="24"/>
          <w:szCs w:val="24"/>
        </w:rPr>
        <w:t>2</w:t>
      </w:r>
      <w:r w:rsidRPr="0046268B">
        <w:rPr>
          <w:rFonts w:ascii="Times New Roman" w:hAnsi="Times New Roman" w:cs="Times New Roman"/>
          <w:b/>
          <w:bCs/>
          <w:sz w:val="24"/>
          <w:szCs w:val="24"/>
        </w:rPr>
        <w:fldChar w:fldCharType="end"/>
      </w:r>
      <w:r w:rsidRPr="0046268B">
        <w:rPr>
          <w:rFonts w:ascii="Times New Roman" w:hAnsi="Times New Roman" w:cs="Times New Roman"/>
          <w:b/>
          <w:bCs/>
          <w:sz w:val="24"/>
          <w:szCs w:val="24"/>
        </w:rPr>
        <w:t xml:space="preserve">. </w:t>
      </w:r>
      <w:r w:rsidR="003110CE" w:rsidRPr="0046268B">
        <w:rPr>
          <w:rFonts w:ascii="Times New Roman" w:hAnsi="Times New Roman" w:cs="Times New Roman"/>
          <w:b/>
          <w:bCs/>
          <w:sz w:val="24"/>
          <w:szCs w:val="24"/>
        </w:rPr>
        <w:t>V</w:t>
      </w:r>
      <w:r w:rsidRPr="0046268B">
        <w:rPr>
          <w:rFonts w:ascii="Times New Roman" w:hAnsi="Times New Roman" w:cs="Times New Roman"/>
          <w:b/>
          <w:bCs/>
          <w:sz w:val="24"/>
          <w:szCs w:val="24"/>
        </w:rPr>
        <w:t xml:space="preserve">ariables that </w:t>
      </w:r>
      <w:r w:rsidR="003110CE" w:rsidRPr="0046268B">
        <w:rPr>
          <w:rFonts w:ascii="Times New Roman" w:hAnsi="Times New Roman" w:cs="Times New Roman"/>
          <w:b/>
          <w:bCs/>
          <w:sz w:val="24"/>
          <w:szCs w:val="24"/>
        </w:rPr>
        <w:t>are</w:t>
      </w:r>
      <w:r w:rsidRPr="0046268B">
        <w:rPr>
          <w:rFonts w:ascii="Times New Roman" w:hAnsi="Times New Roman" w:cs="Times New Roman"/>
          <w:b/>
          <w:bCs/>
          <w:sz w:val="24"/>
          <w:szCs w:val="24"/>
        </w:rPr>
        <w:t xml:space="preserve"> used in </w:t>
      </w:r>
      <w:r w:rsidR="003110CE" w:rsidRPr="0046268B">
        <w:rPr>
          <w:rFonts w:ascii="Times New Roman" w:hAnsi="Times New Roman" w:cs="Times New Roman"/>
          <w:b/>
          <w:bCs/>
          <w:sz w:val="24"/>
          <w:szCs w:val="24"/>
        </w:rPr>
        <w:t>the</w:t>
      </w:r>
      <w:r w:rsidRPr="0046268B">
        <w:rPr>
          <w:rFonts w:ascii="Times New Roman" w:hAnsi="Times New Roman" w:cs="Times New Roman"/>
          <w:b/>
          <w:bCs/>
          <w:sz w:val="24"/>
          <w:szCs w:val="24"/>
        </w:rPr>
        <w:t xml:space="preserve"> study</w:t>
      </w:r>
    </w:p>
    <w:tbl>
      <w:tblPr>
        <w:tblpPr w:leftFromText="180" w:rightFromText="180" w:vertAnchor="text" w:tblpY="513"/>
        <w:tblW w:w="9620" w:type="dxa"/>
        <w:tblLook w:val="04A0" w:firstRow="1" w:lastRow="0" w:firstColumn="1" w:lastColumn="0" w:noHBand="0" w:noVBand="1"/>
      </w:tblPr>
      <w:tblGrid>
        <w:gridCol w:w="7032"/>
        <w:gridCol w:w="2216"/>
        <w:gridCol w:w="372"/>
      </w:tblGrid>
      <w:tr w:rsidR="00D014C7" w:rsidRPr="00D014C7" w14:paraId="785DF4A5" w14:textId="77777777" w:rsidTr="009A4AEC">
        <w:trPr>
          <w:gridAfter w:val="1"/>
          <w:wAfter w:w="372" w:type="dxa"/>
          <w:trHeight w:val="450"/>
        </w:trPr>
        <w:tc>
          <w:tcPr>
            <w:tcW w:w="7032" w:type="dxa"/>
            <w:vMerge w:val="restart"/>
            <w:tcBorders>
              <w:top w:val="double" w:sz="6" w:space="0" w:color="auto"/>
              <w:left w:val="nil"/>
              <w:bottom w:val="single" w:sz="8" w:space="0" w:color="000000"/>
              <w:right w:val="nil"/>
            </w:tcBorders>
            <w:shd w:val="clear" w:color="000000" w:fill="FFFFFF"/>
            <w:noWrap/>
            <w:vAlign w:val="center"/>
            <w:hideMark/>
          </w:tcPr>
          <w:p w14:paraId="31C603FB" w14:textId="77777777" w:rsidR="00D014C7" w:rsidRPr="00D014C7" w:rsidRDefault="00D014C7" w:rsidP="009A4AEC">
            <w:pPr>
              <w:spacing w:line="240" w:lineRule="auto"/>
              <w:jc w:val="center"/>
              <w:rPr>
                <w:rFonts w:ascii="Times New Roman" w:hAnsi="Times New Roman" w:cs="Times New Roman"/>
                <w:color w:val="000000"/>
                <w:sz w:val="24"/>
                <w:szCs w:val="24"/>
                <w:lang w:eastAsia="en-GB"/>
              </w:rPr>
            </w:pPr>
            <w:r w:rsidRPr="00D014C7">
              <w:rPr>
                <w:rFonts w:ascii="Times New Roman" w:hAnsi="Times New Roman" w:cs="Times New Roman"/>
                <w:color w:val="000000"/>
                <w:sz w:val="24"/>
                <w:szCs w:val="24"/>
              </w:rPr>
              <w:t xml:space="preserve">Variable </w:t>
            </w:r>
          </w:p>
        </w:tc>
        <w:tc>
          <w:tcPr>
            <w:tcW w:w="2216" w:type="dxa"/>
            <w:vMerge w:val="restart"/>
            <w:tcBorders>
              <w:top w:val="double" w:sz="6" w:space="0" w:color="auto"/>
              <w:left w:val="nil"/>
              <w:bottom w:val="single" w:sz="8" w:space="0" w:color="000000"/>
              <w:right w:val="nil"/>
            </w:tcBorders>
            <w:shd w:val="clear" w:color="000000" w:fill="FFFFFF"/>
            <w:vAlign w:val="center"/>
            <w:hideMark/>
          </w:tcPr>
          <w:p w14:paraId="1493778C" w14:textId="77777777" w:rsidR="00D014C7" w:rsidRPr="00D014C7" w:rsidRDefault="00D014C7" w:rsidP="009A4AEC">
            <w:pPr>
              <w:spacing w:line="240" w:lineRule="auto"/>
              <w:jc w:val="center"/>
              <w:rPr>
                <w:rFonts w:ascii="Times New Roman" w:hAnsi="Times New Roman" w:cs="Times New Roman"/>
                <w:color w:val="000000"/>
                <w:sz w:val="24"/>
                <w:szCs w:val="24"/>
              </w:rPr>
            </w:pPr>
            <w:r w:rsidRPr="00D014C7">
              <w:rPr>
                <w:rFonts w:ascii="Times New Roman" w:hAnsi="Times New Roman" w:cs="Times New Roman"/>
                <w:color w:val="000000"/>
                <w:sz w:val="24"/>
                <w:szCs w:val="24"/>
              </w:rPr>
              <w:t>Data Observation Period</w:t>
            </w:r>
          </w:p>
        </w:tc>
      </w:tr>
      <w:tr w:rsidR="00D014C7" w:rsidRPr="00D014C7" w14:paraId="6AC6DA84" w14:textId="77777777" w:rsidTr="009A4AEC">
        <w:trPr>
          <w:trHeight w:val="220"/>
        </w:trPr>
        <w:tc>
          <w:tcPr>
            <w:tcW w:w="7032" w:type="dxa"/>
            <w:vMerge/>
            <w:tcBorders>
              <w:top w:val="double" w:sz="6" w:space="0" w:color="auto"/>
              <w:left w:val="nil"/>
              <w:bottom w:val="single" w:sz="8" w:space="0" w:color="000000"/>
              <w:right w:val="nil"/>
            </w:tcBorders>
            <w:vAlign w:val="center"/>
            <w:hideMark/>
          </w:tcPr>
          <w:p w14:paraId="477F6663" w14:textId="77777777" w:rsidR="00D014C7" w:rsidRPr="00D014C7" w:rsidRDefault="00D014C7" w:rsidP="009A4AEC">
            <w:pPr>
              <w:spacing w:line="240" w:lineRule="auto"/>
              <w:rPr>
                <w:rFonts w:ascii="Times New Roman" w:hAnsi="Times New Roman" w:cs="Times New Roman"/>
                <w:color w:val="000000"/>
                <w:sz w:val="24"/>
                <w:szCs w:val="24"/>
              </w:rPr>
            </w:pPr>
          </w:p>
        </w:tc>
        <w:tc>
          <w:tcPr>
            <w:tcW w:w="2216" w:type="dxa"/>
            <w:vMerge/>
            <w:tcBorders>
              <w:top w:val="double" w:sz="6" w:space="0" w:color="auto"/>
              <w:left w:val="nil"/>
              <w:bottom w:val="single" w:sz="8" w:space="0" w:color="000000"/>
              <w:right w:val="nil"/>
            </w:tcBorders>
            <w:vAlign w:val="center"/>
            <w:hideMark/>
          </w:tcPr>
          <w:p w14:paraId="7D87B4F5" w14:textId="77777777" w:rsidR="00D014C7" w:rsidRPr="00D014C7" w:rsidRDefault="00D014C7" w:rsidP="009A4AEC">
            <w:pPr>
              <w:spacing w:line="240" w:lineRule="auto"/>
              <w:rPr>
                <w:rFonts w:ascii="Times New Roman" w:hAnsi="Times New Roman" w:cs="Times New Roman"/>
                <w:color w:val="000000"/>
                <w:sz w:val="24"/>
                <w:szCs w:val="24"/>
              </w:rPr>
            </w:pPr>
          </w:p>
        </w:tc>
        <w:tc>
          <w:tcPr>
            <w:tcW w:w="372" w:type="dxa"/>
            <w:tcBorders>
              <w:top w:val="nil"/>
              <w:left w:val="nil"/>
              <w:bottom w:val="nil"/>
              <w:right w:val="nil"/>
            </w:tcBorders>
            <w:shd w:val="clear" w:color="auto" w:fill="auto"/>
            <w:noWrap/>
            <w:vAlign w:val="bottom"/>
            <w:hideMark/>
          </w:tcPr>
          <w:p w14:paraId="5A3628C4" w14:textId="77777777" w:rsidR="00D014C7" w:rsidRPr="00D014C7" w:rsidRDefault="00D014C7" w:rsidP="009A4AEC">
            <w:pPr>
              <w:spacing w:line="240" w:lineRule="auto"/>
              <w:jc w:val="center"/>
              <w:rPr>
                <w:rFonts w:ascii="Times New Roman" w:hAnsi="Times New Roman" w:cs="Times New Roman"/>
                <w:color w:val="000000"/>
                <w:sz w:val="24"/>
                <w:szCs w:val="24"/>
              </w:rPr>
            </w:pPr>
          </w:p>
        </w:tc>
      </w:tr>
      <w:tr w:rsidR="00D014C7" w:rsidRPr="00D014C7" w14:paraId="1D4E32EC" w14:textId="77777777" w:rsidTr="009A4AEC">
        <w:trPr>
          <w:trHeight w:val="210"/>
        </w:trPr>
        <w:tc>
          <w:tcPr>
            <w:tcW w:w="7032" w:type="dxa"/>
            <w:tcBorders>
              <w:top w:val="nil"/>
              <w:left w:val="nil"/>
              <w:bottom w:val="nil"/>
              <w:right w:val="nil"/>
            </w:tcBorders>
            <w:shd w:val="clear" w:color="000000" w:fill="FFFFFF"/>
            <w:vAlign w:val="center"/>
            <w:hideMark/>
          </w:tcPr>
          <w:p w14:paraId="69B9E8B2"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HDI</w:t>
            </w:r>
          </w:p>
        </w:tc>
        <w:tc>
          <w:tcPr>
            <w:tcW w:w="2216" w:type="dxa"/>
            <w:tcBorders>
              <w:top w:val="nil"/>
              <w:left w:val="nil"/>
              <w:bottom w:val="nil"/>
              <w:right w:val="nil"/>
            </w:tcBorders>
            <w:shd w:val="clear" w:color="000000" w:fill="FFFFFF"/>
            <w:vAlign w:val="center"/>
            <w:hideMark/>
          </w:tcPr>
          <w:p w14:paraId="1C20E07D"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3450DD7F"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0B4927EB" w14:textId="77777777" w:rsidTr="009A4AEC">
        <w:trPr>
          <w:trHeight w:val="210"/>
        </w:trPr>
        <w:tc>
          <w:tcPr>
            <w:tcW w:w="7032" w:type="dxa"/>
            <w:tcBorders>
              <w:top w:val="nil"/>
              <w:left w:val="nil"/>
              <w:bottom w:val="nil"/>
              <w:right w:val="nil"/>
            </w:tcBorders>
            <w:shd w:val="clear" w:color="000000" w:fill="FFFFFF"/>
            <w:vAlign w:val="center"/>
            <w:hideMark/>
          </w:tcPr>
          <w:p w14:paraId="5C043CC8"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Expected Years Of Schooling</w:t>
            </w:r>
          </w:p>
        </w:tc>
        <w:tc>
          <w:tcPr>
            <w:tcW w:w="2216" w:type="dxa"/>
            <w:tcBorders>
              <w:top w:val="nil"/>
              <w:left w:val="nil"/>
              <w:bottom w:val="nil"/>
              <w:right w:val="nil"/>
            </w:tcBorders>
            <w:shd w:val="clear" w:color="000000" w:fill="FFFFFF"/>
            <w:vAlign w:val="center"/>
            <w:hideMark/>
          </w:tcPr>
          <w:p w14:paraId="299CB593"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7BEE97F9"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2124326D" w14:textId="77777777" w:rsidTr="009A4AEC">
        <w:trPr>
          <w:trHeight w:val="210"/>
        </w:trPr>
        <w:tc>
          <w:tcPr>
            <w:tcW w:w="7032" w:type="dxa"/>
            <w:tcBorders>
              <w:top w:val="nil"/>
              <w:left w:val="nil"/>
              <w:bottom w:val="nil"/>
              <w:right w:val="nil"/>
            </w:tcBorders>
            <w:shd w:val="clear" w:color="000000" w:fill="FFFFFF"/>
            <w:vAlign w:val="center"/>
            <w:hideMark/>
          </w:tcPr>
          <w:p w14:paraId="108D0A9C"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Mean Years Of Schooling</w:t>
            </w:r>
          </w:p>
        </w:tc>
        <w:tc>
          <w:tcPr>
            <w:tcW w:w="2216" w:type="dxa"/>
            <w:tcBorders>
              <w:top w:val="nil"/>
              <w:left w:val="nil"/>
              <w:bottom w:val="nil"/>
              <w:right w:val="nil"/>
            </w:tcBorders>
            <w:shd w:val="clear" w:color="000000" w:fill="FFFFFF"/>
            <w:vAlign w:val="center"/>
            <w:hideMark/>
          </w:tcPr>
          <w:p w14:paraId="0DDCCAE8"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6A60DDA7"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71919CBD" w14:textId="77777777" w:rsidTr="009A4AEC">
        <w:trPr>
          <w:trHeight w:val="210"/>
        </w:trPr>
        <w:tc>
          <w:tcPr>
            <w:tcW w:w="7032" w:type="dxa"/>
            <w:tcBorders>
              <w:top w:val="nil"/>
              <w:left w:val="nil"/>
              <w:bottom w:val="nil"/>
              <w:right w:val="nil"/>
            </w:tcBorders>
            <w:shd w:val="clear" w:color="000000" w:fill="FFFFFF"/>
            <w:vAlign w:val="center"/>
            <w:hideMark/>
          </w:tcPr>
          <w:p w14:paraId="04AF4283"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GNI per capita</w:t>
            </w:r>
          </w:p>
        </w:tc>
        <w:tc>
          <w:tcPr>
            <w:tcW w:w="2216" w:type="dxa"/>
            <w:tcBorders>
              <w:top w:val="nil"/>
              <w:left w:val="nil"/>
              <w:bottom w:val="nil"/>
              <w:right w:val="nil"/>
            </w:tcBorders>
            <w:shd w:val="clear" w:color="000000" w:fill="FFFFFF"/>
            <w:vAlign w:val="center"/>
            <w:hideMark/>
          </w:tcPr>
          <w:p w14:paraId="529756EF"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12EEE345"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3678AAE3" w14:textId="77777777" w:rsidTr="009A4AEC">
        <w:trPr>
          <w:trHeight w:val="210"/>
        </w:trPr>
        <w:tc>
          <w:tcPr>
            <w:tcW w:w="7032" w:type="dxa"/>
            <w:tcBorders>
              <w:top w:val="nil"/>
              <w:left w:val="nil"/>
              <w:bottom w:val="nil"/>
              <w:right w:val="nil"/>
            </w:tcBorders>
            <w:shd w:val="clear" w:color="000000" w:fill="FFFFFF"/>
            <w:vAlign w:val="center"/>
            <w:hideMark/>
          </w:tcPr>
          <w:p w14:paraId="7A36F438"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Maternal mortality ratio</w:t>
            </w:r>
          </w:p>
        </w:tc>
        <w:tc>
          <w:tcPr>
            <w:tcW w:w="2216" w:type="dxa"/>
            <w:tcBorders>
              <w:top w:val="nil"/>
              <w:left w:val="nil"/>
              <w:bottom w:val="nil"/>
              <w:right w:val="nil"/>
            </w:tcBorders>
            <w:shd w:val="clear" w:color="000000" w:fill="FFFFFF"/>
            <w:vAlign w:val="center"/>
            <w:hideMark/>
          </w:tcPr>
          <w:p w14:paraId="29440866"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2017</w:t>
            </w:r>
          </w:p>
        </w:tc>
        <w:tc>
          <w:tcPr>
            <w:tcW w:w="372" w:type="dxa"/>
            <w:vAlign w:val="center"/>
            <w:hideMark/>
          </w:tcPr>
          <w:p w14:paraId="3202F4DE"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4D626084" w14:textId="77777777" w:rsidTr="009A4AEC">
        <w:trPr>
          <w:trHeight w:val="210"/>
        </w:trPr>
        <w:tc>
          <w:tcPr>
            <w:tcW w:w="7032" w:type="dxa"/>
            <w:tcBorders>
              <w:top w:val="nil"/>
              <w:left w:val="nil"/>
              <w:bottom w:val="nil"/>
              <w:right w:val="nil"/>
            </w:tcBorders>
            <w:shd w:val="clear" w:color="000000" w:fill="FFFFFF"/>
            <w:vAlign w:val="center"/>
            <w:hideMark/>
          </w:tcPr>
          <w:p w14:paraId="4E408FD2"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Adolescent Birth Rate</w:t>
            </w:r>
          </w:p>
        </w:tc>
        <w:tc>
          <w:tcPr>
            <w:tcW w:w="2216" w:type="dxa"/>
            <w:tcBorders>
              <w:top w:val="nil"/>
              <w:left w:val="nil"/>
              <w:bottom w:val="nil"/>
              <w:right w:val="nil"/>
            </w:tcBorders>
            <w:shd w:val="clear" w:color="000000" w:fill="FFFFFF"/>
            <w:vAlign w:val="center"/>
            <w:hideMark/>
          </w:tcPr>
          <w:p w14:paraId="1DDA3E76"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2015-2020</w:t>
            </w:r>
          </w:p>
        </w:tc>
        <w:tc>
          <w:tcPr>
            <w:tcW w:w="372" w:type="dxa"/>
            <w:vAlign w:val="center"/>
            <w:hideMark/>
          </w:tcPr>
          <w:p w14:paraId="589B002B"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5A3CCAB8" w14:textId="77777777" w:rsidTr="009A4AEC">
        <w:trPr>
          <w:trHeight w:val="210"/>
        </w:trPr>
        <w:tc>
          <w:tcPr>
            <w:tcW w:w="7032" w:type="dxa"/>
            <w:tcBorders>
              <w:top w:val="nil"/>
              <w:left w:val="nil"/>
              <w:bottom w:val="nil"/>
              <w:right w:val="nil"/>
            </w:tcBorders>
            <w:shd w:val="clear" w:color="000000" w:fill="FFFFFF"/>
            <w:vAlign w:val="center"/>
            <w:hideMark/>
          </w:tcPr>
          <w:p w14:paraId="521D7B33"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Women's share of seats at parliament</w:t>
            </w:r>
          </w:p>
        </w:tc>
        <w:tc>
          <w:tcPr>
            <w:tcW w:w="2216" w:type="dxa"/>
            <w:tcBorders>
              <w:top w:val="nil"/>
              <w:left w:val="nil"/>
              <w:bottom w:val="nil"/>
              <w:right w:val="nil"/>
            </w:tcBorders>
            <w:shd w:val="clear" w:color="000000" w:fill="FFFFFF"/>
            <w:vAlign w:val="center"/>
            <w:hideMark/>
          </w:tcPr>
          <w:p w14:paraId="500C25CC"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7D12EDE1"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4C8606E6" w14:textId="77777777" w:rsidTr="009A4AEC">
        <w:trPr>
          <w:trHeight w:val="387"/>
        </w:trPr>
        <w:tc>
          <w:tcPr>
            <w:tcW w:w="7032" w:type="dxa"/>
            <w:tcBorders>
              <w:top w:val="nil"/>
              <w:left w:val="nil"/>
              <w:bottom w:val="nil"/>
              <w:right w:val="nil"/>
            </w:tcBorders>
            <w:shd w:val="clear" w:color="000000" w:fill="FFFFFF"/>
            <w:vAlign w:val="center"/>
            <w:hideMark/>
          </w:tcPr>
          <w:p w14:paraId="6939E9F4"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Female Population with at least some secondary education</w:t>
            </w:r>
          </w:p>
        </w:tc>
        <w:tc>
          <w:tcPr>
            <w:tcW w:w="2216" w:type="dxa"/>
            <w:tcBorders>
              <w:top w:val="nil"/>
              <w:left w:val="nil"/>
              <w:bottom w:val="nil"/>
              <w:right w:val="nil"/>
            </w:tcBorders>
            <w:shd w:val="clear" w:color="000000" w:fill="FFFFFF"/>
            <w:vAlign w:val="center"/>
            <w:hideMark/>
          </w:tcPr>
          <w:p w14:paraId="6DD1322B"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2015-2019</w:t>
            </w:r>
          </w:p>
        </w:tc>
        <w:tc>
          <w:tcPr>
            <w:tcW w:w="372" w:type="dxa"/>
            <w:vAlign w:val="center"/>
            <w:hideMark/>
          </w:tcPr>
          <w:p w14:paraId="0D7E977B"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71E0DA23" w14:textId="77777777" w:rsidTr="009A4AEC">
        <w:trPr>
          <w:trHeight w:val="387"/>
        </w:trPr>
        <w:tc>
          <w:tcPr>
            <w:tcW w:w="7032" w:type="dxa"/>
            <w:tcBorders>
              <w:top w:val="nil"/>
              <w:left w:val="nil"/>
              <w:bottom w:val="nil"/>
              <w:right w:val="nil"/>
            </w:tcBorders>
            <w:shd w:val="clear" w:color="000000" w:fill="FFFFFF"/>
            <w:vAlign w:val="center"/>
            <w:hideMark/>
          </w:tcPr>
          <w:p w14:paraId="4CC38EC1"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Male population with at least some secondary education</w:t>
            </w:r>
          </w:p>
        </w:tc>
        <w:tc>
          <w:tcPr>
            <w:tcW w:w="2216" w:type="dxa"/>
            <w:tcBorders>
              <w:top w:val="nil"/>
              <w:left w:val="nil"/>
              <w:bottom w:val="nil"/>
              <w:right w:val="nil"/>
            </w:tcBorders>
            <w:shd w:val="clear" w:color="000000" w:fill="FFFFFF"/>
            <w:vAlign w:val="center"/>
            <w:hideMark/>
          </w:tcPr>
          <w:p w14:paraId="05485CDB"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2015-2019</w:t>
            </w:r>
          </w:p>
        </w:tc>
        <w:tc>
          <w:tcPr>
            <w:tcW w:w="372" w:type="dxa"/>
            <w:vAlign w:val="center"/>
            <w:hideMark/>
          </w:tcPr>
          <w:p w14:paraId="441EEFC3"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755744ED" w14:textId="77777777" w:rsidTr="009A4AEC">
        <w:trPr>
          <w:trHeight w:val="210"/>
        </w:trPr>
        <w:tc>
          <w:tcPr>
            <w:tcW w:w="7032" w:type="dxa"/>
            <w:tcBorders>
              <w:top w:val="nil"/>
              <w:left w:val="nil"/>
              <w:bottom w:val="nil"/>
              <w:right w:val="nil"/>
            </w:tcBorders>
            <w:shd w:val="clear" w:color="000000" w:fill="FFFFFF"/>
            <w:vAlign w:val="center"/>
            <w:hideMark/>
          </w:tcPr>
          <w:p w14:paraId="5A1D69CC"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 xml:space="preserve">Female - Labor force participation rate </w:t>
            </w:r>
          </w:p>
        </w:tc>
        <w:tc>
          <w:tcPr>
            <w:tcW w:w="2216" w:type="dxa"/>
            <w:tcBorders>
              <w:top w:val="nil"/>
              <w:left w:val="nil"/>
              <w:bottom w:val="nil"/>
              <w:right w:val="nil"/>
            </w:tcBorders>
            <w:shd w:val="clear" w:color="000000" w:fill="FFFFFF"/>
            <w:vAlign w:val="center"/>
            <w:hideMark/>
          </w:tcPr>
          <w:p w14:paraId="3570A554"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3D8368C6"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11E1CA24" w14:textId="77777777" w:rsidTr="009A4AEC">
        <w:trPr>
          <w:trHeight w:val="210"/>
        </w:trPr>
        <w:tc>
          <w:tcPr>
            <w:tcW w:w="7032" w:type="dxa"/>
            <w:tcBorders>
              <w:top w:val="nil"/>
              <w:left w:val="nil"/>
              <w:bottom w:val="nil"/>
              <w:right w:val="nil"/>
            </w:tcBorders>
            <w:shd w:val="clear" w:color="000000" w:fill="FFFFFF"/>
            <w:vAlign w:val="center"/>
            <w:hideMark/>
          </w:tcPr>
          <w:p w14:paraId="2FFC1F80"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 xml:space="preserve">Male - Labor force participation rate </w:t>
            </w:r>
          </w:p>
        </w:tc>
        <w:tc>
          <w:tcPr>
            <w:tcW w:w="2216" w:type="dxa"/>
            <w:tcBorders>
              <w:top w:val="nil"/>
              <w:left w:val="nil"/>
              <w:bottom w:val="nil"/>
              <w:right w:val="nil"/>
            </w:tcBorders>
            <w:shd w:val="clear" w:color="000000" w:fill="FFFFFF"/>
            <w:vAlign w:val="center"/>
            <w:hideMark/>
          </w:tcPr>
          <w:p w14:paraId="76513E73"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25D5B086"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1A7DA7EA" w14:textId="77777777" w:rsidTr="009A4AEC">
        <w:trPr>
          <w:trHeight w:val="210"/>
        </w:trPr>
        <w:tc>
          <w:tcPr>
            <w:tcW w:w="7032" w:type="dxa"/>
            <w:tcBorders>
              <w:top w:val="nil"/>
              <w:left w:val="nil"/>
              <w:bottom w:val="nil"/>
              <w:right w:val="nil"/>
            </w:tcBorders>
            <w:shd w:val="clear" w:color="000000" w:fill="FFFFFF"/>
            <w:vAlign w:val="center"/>
            <w:hideMark/>
          </w:tcPr>
          <w:p w14:paraId="1E14892B"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Infant Mortality Rate</w:t>
            </w:r>
          </w:p>
        </w:tc>
        <w:tc>
          <w:tcPr>
            <w:tcW w:w="2216" w:type="dxa"/>
            <w:tcBorders>
              <w:top w:val="nil"/>
              <w:left w:val="nil"/>
              <w:bottom w:val="nil"/>
              <w:right w:val="nil"/>
            </w:tcBorders>
            <w:shd w:val="clear" w:color="000000" w:fill="FFFFFF"/>
            <w:vAlign w:val="center"/>
            <w:hideMark/>
          </w:tcPr>
          <w:p w14:paraId="14DEF20B"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2018</w:t>
            </w:r>
          </w:p>
        </w:tc>
        <w:tc>
          <w:tcPr>
            <w:tcW w:w="372" w:type="dxa"/>
            <w:vAlign w:val="center"/>
            <w:hideMark/>
          </w:tcPr>
          <w:p w14:paraId="47F8450C"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5560C50F" w14:textId="77777777" w:rsidTr="009A4AEC">
        <w:trPr>
          <w:trHeight w:val="210"/>
        </w:trPr>
        <w:tc>
          <w:tcPr>
            <w:tcW w:w="7032" w:type="dxa"/>
            <w:tcBorders>
              <w:top w:val="nil"/>
              <w:left w:val="nil"/>
              <w:bottom w:val="nil"/>
              <w:right w:val="nil"/>
            </w:tcBorders>
            <w:shd w:val="clear" w:color="000000" w:fill="FFFFFF"/>
            <w:vAlign w:val="center"/>
            <w:hideMark/>
          </w:tcPr>
          <w:p w14:paraId="619F8B94"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Healthy life expectancy at birth (years)</w:t>
            </w:r>
          </w:p>
        </w:tc>
        <w:tc>
          <w:tcPr>
            <w:tcW w:w="2216" w:type="dxa"/>
            <w:tcBorders>
              <w:top w:val="nil"/>
              <w:left w:val="nil"/>
              <w:bottom w:val="nil"/>
              <w:right w:val="nil"/>
            </w:tcBorders>
            <w:shd w:val="clear" w:color="000000" w:fill="FFFFFF"/>
            <w:vAlign w:val="center"/>
            <w:hideMark/>
          </w:tcPr>
          <w:p w14:paraId="40BAA939"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53FABE3B"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1D64C49D" w14:textId="77777777" w:rsidTr="009A4AEC">
        <w:trPr>
          <w:trHeight w:val="210"/>
        </w:trPr>
        <w:tc>
          <w:tcPr>
            <w:tcW w:w="7032" w:type="dxa"/>
            <w:tcBorders>
              <w:top w:val="nil"/>
              <w:left w:val="nil"/>
              <w:bottom w:val="nil"/>
              <w:right w:val="nil"/>
            </w:tcBorders>
            <w:shd w:val="clear" w:color="000000" w:fill="FFFFFF"/>
            <w:vAlign w:val="center"/>
            <w:hideMark/>
          </w:tcPr>
          <w:p w14:paraId="7C74B24D"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Current health expenditure (% of GDP)</w:t>
            </w:r>
          </w:p>
        </w:tc>
        <w:tc>
          <w:tcPr>
            <w:tcW w:w="2216" w:type="dxa"/>
            <w:tcBorders>
              <w:top w:val="nil"/>
              <w:left w:val="nil"/>
              <w:bottom w:val="nil"/>
              <w:right w:val="nil"/>
            </w:tcBorders>
            <w:shd w:val="clear" w:color="000000" w:fill="FFFFFF"/>
            <w:vAlign w:val="center"/>
            <w:hideMark/>
          </w:tcPr>
          <w:p w14:paraId="23E93CB8"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2017</w:t>
            </w:r>
          </w:p>
        </w:tc>
        <w:tc>
          <w:tcPr>
            <w:tcW w:w="372" w:type="dxa"/>
            <w:vAlign w:val="center"/>
            <w:hideMark/>
          </w:tcPr>
          <w:p w14:paraId="45CB255A"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37028528" w14:textId="77777777" w:rsidTr="009A4AEC">
        <w:trPr>
          <w:trHeight w:val="387"/>
        </w:trPr>
        <w:tc>
          <w:tcPr>
            <w:tcW w:w="7032" w:type="dxa"/>
            <w:tcBorders>
              <w:top w:val="nil"/>
              <w:left w:val="nil"/>
              <w:bottom w:val="nil"/>
              <w:right w:val="nil"/>
            </w:tcBorders>
            <w:shd w:val="clear" w:color="000000" w:fill="FFFFFF"/>
            <w:vAlign w:val="center"/>
            <w:hideMark/>
          </w:tcPr>
          <w:p w14:paraId="3DD7897C"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Government expenditure on education (% of GDP)</w:t>
            </w:r>
          </w:p>
        </w:tc>
        <w:tc>
          <w:tcPr>
            <w:tcW w:w="2216" w:type="dxa"/>
            <w:tcBorders>
              <w:top w:val="nil"/>
              <w:left w:val="nil"/>
              <w:bottom w:val="nil"/>
              <w:right w:val="nil"/>
            </w:tcBorders>
            <w:shd w:val="clear" w:color="000000" w:fill="FFFFFF"/>
            <w:vAlign w:val="center"/>
            <w:hideMark/>
          </w:tcPr>
          <w:p w14:paraId="10C23AB5"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2013-2018</w:t>
            </w:r>
          </w:p>
        </w:tc>
        <w:tc>
          <w:tcPr>
            <w:tcW w:w="372" w:type="dxa"/>
            <w:vAlign w:val="center"/>
            <w:hideMark/>
          </w:tcPr>
          <w:p w14:paraId="0652F15F"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32479737" w14:textId="77777777" w:rsidTr="009A4AEC">
        <w:trPr>
          <w:trHeight w:val="210"/>
        </w:trPr>
        <w:tc>
          <w:tcPr>
            <w:tcW w:w="7032" w:type="dxa"/>
            <w:tcBorders>
              <w:top w:val="nil"/>
              <w:left w:val="nil"/>
              <w:bottom w:val="nil"/>
              <w:right w:val="nil"/>
            </w:tcBorders>
            <w:shd w:val="clear" w:color="000000" w:fill="FFFFFF"/>
            <w:vAlign w:val="center"/>
            <w:hideMark/>
          </w:tcPr>
          <w:p w14:paraId="76BB197C"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Employment in agriculture</w:t>
            </w:r>
          </w:p>
        </w:tc>
        <w:tc>
          <w:tcPr>
            <w:tcW w:w="2216" w:type="dxa"/>
            <w:tcBorders>
              <w:top w:val="nil"/>
              <w:left w:val="nil"/>
              <w:bottom w:val="nil"/>
              <w:right w:val="nil"/>
            </w:tcBorders>
            <w:shd w:val="clear" w:color="000000" w:fill="FFFFFF"/>
            <w:vAlign w:val="center"/>
            <w:hideMark/>
          </w:tcPr>
          <w:p w14:paraId="02CD8E9B"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22E47ACC"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1BE74370" w14:textId="77777777" w:rsidTr="009A4AEC">
        <w:trPr>
          <w:trHeight w:val="210"/>
        </w:trPr>
        <w:tc>
          <w:tcPr>
            <w:tcW w:w="7032" w:type="dxa"/>
            <w:tcBorders>
              <w:top w:val="nil"/>
              <w:left w:val="nil"/>
              <w:bottom w:val="nil"/>
              <w:right w:val="nil"/>
            </w:tcBorders>
            <w:shd w:val="clear" w:color="000000" w:fill="FFFFFF"/>
            <w:vAlign w:val="center"/>
            <w:hideMark/>
          </w:tcPr>
          <w:p w14:paraId="7F80DECF"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 xml:space="preserve">Employment in services </w:t>
            </w:r>
          </w:p>
        </w:tc>
        <w:tc>
          <w:tcPr>
            <w:tcW w:w="2216" w:type="dxa"/>
            <w:tcBorders>
              <w:top w:val="nil"/>
              <w:left w:val="nil"/>
              <w:bottom w:val="nil"/>
              <w:right w:val="nil"/>
            </w:tcBorders>
            <w:shd w:val="clear" w:color="000000" w:fill="FFFFFF"/>
            <w:vAlign w:val="center"/>
            <w:hideMark/>
          </w:tcPr>
          <w:p w14:paraId="0DF0B67F"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6695CD06"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247FCF26" w14:textId="77777777" w:rsidTr="009A4AEC">
        <w:trPr>
          <w:trHeight w:val="210"/>
        </w:trPr>
        <w:tc>
          <w:tcPr>
            <w:tcW w:w="7032" w:type="dxa"/>
            <w:tcBorders>
              <w:top w:val="nil"/>
              <w:left w:val="nil"/>
              <w:bottom w:val="nil"/>
              <w:right w:val="nil"/>
            </w:tcBorders>
            <w:shd w:val="clear" w:color="000000" w:fill="FFFFFF"/>
            <w:vAlign w:val="center"/>
            <w:hideMark/>
          </w:tcPr>
          <w:p w14:paraId="1212D484"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Unemployment (% of labor force)</w:t>
            </w:r>
          </w:p>
        </w:tc>
        <w:tc>
          <w:tcPr>
            <w:tcW w:w="2216" w:type="dxa"/>
            <w:tcBorders>
              <w:top w:val="nil"/>
              <w:left w:val="nil"/>
              <w:bottom w:val="nil"/>
              <w:right w:val="nil"/>
            </w:tcBorders>
            <w:shd w:val="clear" w:color="000000" w:fill="FFFFFF"/>
            <w:vAlign w:val="center"/>
            <w:hideMark/>
          </w:tcPr>
          <w:p w14:paraId="776F8199"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0BCBCCE3"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416075D6" w14:textId="77777777" w:rsidTr="009A4AEC">
        <w:trPr>
          <w:trHeight w:val="210"/>
        </w:trPr>
        <w:tc>
          <w:tcPr>
            <w:tcW w:w="7032" w:type="dxa"/>
            <w:tcBorders>
              <w:top w:val="nil"/>
              <w:left w:val="nil"/>
              <w:bottom w:val="nil"/>
              <w:right w:val="nil"/>
            </w:tcBorders>
            <w:shd w:val="clear" w:color="000000" w:fill="FFFFFF"/>
            <w:vAlign w:val="center"/>
            <w:hideMark/>
          </w:tcPr>
          <w:p w14:paraId="563A9E80"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Youth unemployment (% of ages 15-24)</w:t>
            </w:r>
          </w:p>
        </w:tc>
        <w:tc>
          <w:tcPr>
            <w:tcW w:w="2216" w:type="dxa"/>
            <w:tcBorders>
              <w:top w:val="nil"/>
              <w:left w:val="nil"/>
              <w:bottom w:val="nil"/>
              <w:right w:val="nil"/>
            </w:tcBorders>
            <w:shd w:val="clear" w:color="000000" w:fill="FFFFFF"/>
            <w:vAlign w:val="center"/>
            <w:hideMark/>
          </w:tcPr>
          <w:p w14:paraId="21DF6919"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12CF9A55"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03D1F3EF" w14:textId="77777777" w:rsidTr="009A4AEC">
        <w:trPr>
          <w:trHeight w:val="210"/>
        </w:trPr>
        <w:tc>
          <w:tcPr>
            <w:tcW w:w="7032" w:type="dxa"/>
            <w:tcBorders>
              <w:top w:val="nil"/>
              <w:left w:val="nil"/>
              <w:bottom w:val="nil"/>
              <w:right w:val="nil"/>
            </w:tcBorders>
            <w:shd w:val="clear" w:color="000000" w:fill="FFFFFF"/>
            <w:vAlign w:val="center"/>
            <w:hideMark/>
          </w:tcPr>
          <w:p w14:paraId="2C956D1B"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lastRenderedPageBreak/>
              <w:t>Youth not in school or employment</w:t>
            </w:r>
          </w:p>
        </w:tc>
        <w:tc>
          <w:tcPr>
            <w:tcW w:w="2216" w:type="dxa"/>
            <w:tcBorders>
              <w:top w:val="nil"/>
              <w:left w:val="nil"/>
              <w:bottom w:val="nil"/>
              <w:right w:val="nil"/>
            </w:tcBorders>
            <w:shd w:val="clear" w:color="000000" w:fill="FFFFFF"/>
            <w:vAlign w:val="center"/>
            <w:hideMark/>
          </w:tcPr>
          <w:p w14:paraId="7B8780E4"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2019</w:t>
            </w:r>
          </w:p>
        </w:tc>
        <w:tc>
          <w:tcPr>
            <w:tcW w:w="372" w:type="dxa"/>
            <w:vAlign w:val="center"/>
            <w:hideMark/>
          </w:tcPr>
          <w:p w14:paraId="1868B419"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53A1CB17" w14:textId="77777777" w:rsidTr="009A4AEC">
        <w:trPr>
          <w:trHeight w:val="210"/>
        </w:trPr>
        <w:tc>
          <w:tcPr>
            <w:tcW w:w="7032" w:type="dxa"/>
            <w:tcBorders>
              <w:top w:val="nil"/>
              <w:left w:val="nil"/>
              <w:bottom w:val="nil"/>
              <w:right w:val="nil"/>
            </w:tcBorders>
            <w:shd w:val="clear" w:color="000000" w:fill="FFFFFF"/>
            <w:vAlign w:val="center"/>
            <w:hideMark/>
          </w:tcPr>
          <w:p w14:paraId="2887CAED"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High-skill to low-skill employment ratio</w:t>
            </w:r>
          </w:p>
        </w:tc>
        <w:tc>
          <w:tcPr>
            <w:tcW w:w="2216" w:type="dxa"/>
            <w:tcBorders>
              <w:top w:val="nil"/>
              <w:left w:val="nil"/>
              <w:bottom w:val="nil"/>
              <w:right w:val="nil"/>
            </w:tcBorders>
            <w:shd w:val="clear" w:color="000000" w:fill="FFFFFF"/>
            <w:vAlign w:val="center"/>
            <w:hideMark/>
          </w:tcPr>
          <w:p w14:paraId="7C80BB4A"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2009-2019</w:t>
            </w:r>
          </w:p>
        </w:tc>
        <w:tc>
          <w:tcPr>
            <w:tcW w:w="372" w:type="dxa"/>
            <w:vAlign w:val="center"/>
            <w:hideMark/>
          </w:tcPr>
          <w:p w14:paraId="719DF3E0"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1C4E98ED" w14:textId="77777777" w:rsidTr="009A4AEC">
        <w:trPr>
          <w:trHeight w:val="387"/>
        </w:trPr>
        <w:tc>
          <w:tcPr>
            <w:tcW w:w="7032" w:type="dxa"/>
            <w:tcBorders>
              <w:top w:val="nil"/>
              <w:left w:val="nil"/>
              <w:bottom w:val="nil"/>
              <w:right w:val="nil"/>
            </w:tcBorders>
            <w:shd w:val="clear" w:color="000000" w:fill="FFFFFF"/>
            <w:vAlign w:val="center"/>
            <w:hideMark/>
          </w:tcPr>
          <w:p w14:paraId="00F90ECC"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Old-age pension recipients  (% of statutory pension age population)</w:t>
            </w:r>
          </w:p>
        </w:tc>
        <w:tc>
          <w:tcPr>
            <w:tcW w:w="2216" w:type="dxa"/>
            <w:tcBorders>
              <w:top w:val="nil"/>
              <w:left w:val="nil"/>
              <w:bottom w:val="nil"/>
              <w:right w:val="nil"/>
            </w:tcBorders>
            <w:shd w:val="clear" w:color="000000" w:fill="FFFFFF"/>
            <w:vAlign w:val="center"/>
            <w:hideMark/>
          </w:tcPr>
          <w:p w14:paraId="6DB948A0"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2014-2019</w:t>
            </w:r>
          </w:p>
        </w:tc>
        <w:tc>
          <w:tcPr>
            <w:tcW w:w="372" w:type="dxa"/>
            <w:vAlign w:val="center"/>
            <w:hideMark/>
          </w:tcPr>
          <w:p w14:paraId="78241BE2"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7D71A936" w14:textId="77777777" w:rsidTr="009A4AEC">
        <w:trPr>
          <w:trHeight w:val="210"/>
        </w:trPr>
        <w:tc>
          <w:tcPr>
            <w:tcW w:w="7032" w:type="dxa"/>
            <w:tcBorders>
              <w:top w:val="nil"/>
              <w:left w:val="nil"/>
              <w:bottom w:val="nil"/>
              <w:right w:val="nil"/>
            </w:tcBorders>
            <w:shd w:val="clear" w:color="000000" w:fill="FFFFFF"/>
            <w:vAlign w:val="center"/>
            <w:hideMark/>
          </w:tcPr>
          <w:p w14:paraId="0E4D7E43"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Prison population (per 100,000 people)</w:t>
            </w:r>
          </w:p>
        </w:tc>
        <w:tc>
          <w:tcPr>
            <w:tcW w:w="2216" w:type="dxa"/>
            <w:tcBorders>
              <w:top w:val="nil"/>
              <w:left w:val="nil"/>
              <w:bottom w:val="nil"/>
              <w:right w:val="nil"/>
            </w:tcBorders>
            <w:shd w:val="clear" w:color="000000" w:fill="FFFFFF"/>
            <w:vAlign w:val="center"/>
            <w:hideMark/>
          </w:tcPr>
          <w:p w14:paraId="4DF192BA"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2013-2018</w:t>
            </w:r>
          </w:p>
        </w:tc>
        <w:tc>
          <w:tcPr>
            <w:tcW w:w="372" w:type="dxa"/>
            <w:vAlign w:val="center"/>
            <w:hideMark/>
          </w:tcPr>
          <w:p w14:paraId="4796C0DD"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267F8049" w14:textId="77777777" w:rsidTr="009A4AEC">
        <w:trPr>
          <w:trHeight w:val="210"/>
        </w:trPr>
        <w:tc>
          <w:tcPr>
            <w:tcW w:w="7032" w:type="dxa"/>
            <w:tcBorders>
              <w:top w:val="nil"/>
              <w:left w:val="nil"/>
              <w:bottom w:val="nil"/>
              <w:right w:val="nil"/>
            </w:tcBorders>
            <w:shd w:val="clear" w:color="000000" w:fill="FFFFFF"/>
            <w:vAlign w:val="center"/>
            <w:hideMark/>
          </w:tcPr>
          <w:p w14:paraId="0C756F09"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Homicide rate (per 100,000 people)</w:t>
            </w:r>
          </w:p>
        </w:tc>
        <w:tc>
          <w:tcPr>
            <w:tcW w:w="2216" w:type="dxa"/>
            <w:tcBorders>
              <w:top w:val="nil"/>
              <w:left w:val="nil"/>
              <w:bottom w:val="nil"/>
              <w:right w:val="nil"/>
            </w:tcBorders>
            <w:shd w:val="clear" w:color="000000" w:fill="FFFFFF"/>
            <w:vAlign w:val="center"/>
            <w:hideMark/>
          </w:tcPr>
          <w:p w14:paraId="10316DD6"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2013-2018</w:t>
            </w:r>
          </w:p>
        </w:tc>
        <w:tc>
          <w:tcPr>
            <w:tcW w:w="372" w:type="dxa"/>
            <w:vAlign w:val="center"/>
            <w:hideMark/>
          </w:tcPr>
          <w:p w14:paraId="534F5BBF"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33E8AEF0" w14:textId="77777777" w:rsidTr="009A4AEC">
        <w:trPr>
          <w:trHeight w:val="387"/>
        </w:trPr>
        <w:tc>
          <w:tcPr>
            <w:tcW w:w="7032" w:type="dxa"/>
            <w:tcBorders>
              <w:top w:val="nil"/>
              <w:left w:val="nil"/>
              <w:bottom w:val="nil"/>
              <w:right w:val="nil"/>
            </w:tcBorders>
            <w:shd w:val="clear" w:color="000000" w:fill="FFFFFF"/>
            <w:vAlign w:val="center"/>
            <w:hideMark/>
          </w:tcPr>
          <w:p w14:paraId="04693874"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Average dietary energy supply adequacy (percentage)</w:t>
            </w:r>
          </w:p>
        </w:tc>
        <w:tc>
          <w:tcPr>
            <w:tcW w:w="2216" w:type="dxa"/>
            <w:tcBorders>
              <w:top w:val="nil"/>
              <w:left w:val="nil"/>
              <w:bottom w:val="nil"/>
              <w:right w:val="nil"/>
            </w:tcBorders>
            <w:shd w:val="clear" w:color="000000" w:fill="FFFFFF"/>
            <w:vAlign w:val="center"/>
            <w:hideMark/>
          </w:tcPr>
          <w:p w14:paraId="53A77C00"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2017/2019</w:t>
            </w:r>
          </w:p>
        </w:tc>
        <w:tc>
          <w:tcPr>
            <w:tcW w:w="372" w:type="dxa"/>
            <w:vAlign w:val="center"/>
            <w:hideMark/>
          </w:tcPr>
          <w:p w14:paraId="5B4CFF3D"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0AE345D6" w14:textId="77777777" w:rsidTr="009A4AEC">
        <w:trPr>
          <w:trHeight w:val="387"/>
        </w:trPr>
        <w:tc>
          <w:tcPr>
            <w:tcW w:w="7032" w:type="dxa"/>
            <w:tcBorders>
              <w:top w:val="nil"/>
              <w:left w:val="nil"/>
              <w:bottom w:val="nil"/>
              <w:right w:val="nil"/>
            </w:tcBorders>
            <w:shd w:val="clear" w:color="000000" w:fill="FFFFFF"/>
            <w:vAlign w:val="center"/>
            <w:hideMark/>
          </w:tcPr>
          <w:p w14:paraId="008BF69F"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Fossil fuel energy consumption   (% of total energy consumption)</w:t>
            </w:r>
          </w:p>
        </w:tc>
        <w:tc>
          <w:tcPr>
            <w:tcW w:w="2216" w:type="dxa"/>
            <w:tcBorders>
              <w:top w:val="nil"/>
              <w:left w:val="nil"/>
              <w:bottom w:val="nil"/>
              <w:right w:val="nil"/>
            </w:tcBorders>
            <w:shd w:val="clear" w:color="000000" w:fill="FFFFFF"/>
            <w:vAlign w:val="center"/>
            <w:hideMark/>
          </w:tcPr>
          <w:p w14:paraId="1480E58A"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2013-2015</w:t>
            </w:r>
          </w:p>
        </w:tc>
        <w:tc>
          <w:tcPr>
            <w:tcW w:w="372" w:type="dxa"/>
            <w:vAlign w:val="center"/>
            <w:hideMark/>
          </w:tcPr>
          <w:p w14:paraId="2FF2A651"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01218F0D" w14:textId="77777777" w:rsidTr="009A4AEC">
        <w:trPr>
          <w:trHeight w:val="387"/>
        </w:trPr>
        <w:tc>
          <w:tcPr>
            <w:tcW w:w="7032" w:type="dxa"/>
            <w:tcBorders>
              <w:top w:val="nil"/>
              <w:left w:val="nil"/>
              <w:bottom w:val="nil"/>
              <w:right w:val="nil"/>
            </w:tcBorders>
            <w:shd w:val="clear" w:color="000000" w:fill="FFFFFF"/>
            <w:vAlign w:val="center"/>
            <w:hideMark/>
          </w:tcPr>
          <w:p w14:paraId="4BFADAC0"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Carbon dioxide emissions (kg per 2010 US$ of GDP)</w:t>
            </w:r>
          </w:p>
        </w:tc>
        <w:tc>
          <w:tcPr>
            <w:tcW w:w="2216" w:type="dxa"/>
            <w:tcBorders>
              <w:top w:val="nil"/>
              <w:left w:val="nil"/>
              <w:bottom w:val="nil"/>
              <w:right w:val="nil"/>
            </w:tcBorders>
            <w:shd w:val="clear" w:color="000000" w:fill="FFFFFF"/>
            <w:vAlign w:val="center"/>
            <w:hideMark/>
          </w:tcPr>
          <w:p w14:paraId="71A6DC30"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2017</w:t>
            </w:r>
          </w:p>
        </w:tc>
        <w:tc>
          <w:tcPr>
            <w:tcW w:w="372" w:type="dxa"/>
            <w:vAlign w:val="center"/>
            <w:hideMark/>
          </w:tcPr>
          <w:p w14:paraId="295A1D44" w14:textId="77777777" w:rsidR="00D014C7" w:rsidRPr="00D014C7" w:rsidRDefault="00D014C7" w:rsidP="009A4AEC">
            <w:pPr>
              <w:spacing w:line="240" w:lineRule="auto"/>
              <w:rPr>
                <w:rFonts w:ascii="Times New Roman" w:hAnsi="Times New Roman" w:cs="Times New Roman"/>
                <w:sz w:val="24"/>
                <w:szCs w:val="24"/>
              </w:rPr>
            </w:pPr>
          </w:p>
        </w:tc>
      </w:tr>
      <w:tr w:rsidR="00D014C7" w:rsidRPr="00D014C7" w14:paraId="4205C211" w14:textId="77777777" w:rsidTr="009A4AEC">
        <w:trPr>
          <w:trHeight w:val="220"/>
        </w:trPr>
        <w:tc>
          <w:tcPr>
            <w:tcW w:w="7032" w:type="dxa"/>
            <w:tcBorders>
              <w:top w:val="nil"/>
              <w:left w:val="nil"/>
              <w:bottom w:val="double" w:sz="6" w:space="0" w:color="auto"/>
              <w:right w:val="nil"/>
            </w:tcBorders>
            <w:shd w:val="clear" w:color="000000" w:fill="FFFFFF"/>
            <w:vAlign w:val="center"/>
            <w:hideMark/>
          </w:tcPr>
          <w:p w14:paraId="7F7994ED" w14:textId="77777777" w:rsidR="00D014C7" w:rsidRPr="00D014C7" w:rsidRDefault="00D014C7" w:rsidP="009A4AEC">
            <w:pPr>
              <w:spacing w:line="240" w:lineRule="auto"/>
              <w:jc w:val="both"/>
              <w:rPr>
                <w:rFonts w:ascii="Times New Roman" w:hAnsi="Times New Roman" w:cs="Times New Roman"/>
                <w:i/>
                <w:iCs/>
                <w:color w:val="000000"/>
                <w:sz w:val="24"/>
                <w:szCs w:val="24"/>
              </w:rPr>
            </w:pPr>
            <w:r w:rsidRPr="00D014C7">
              <w:rPr>
                <w:rFonts w:ascii="Times New Roman" w:hAnsi="Times New Roman" w:cs="Times New Roman"/>
                <w:i/>
                <w:iCs/>
                <w:color w:val="000000"/>
                <w:sz w:val="24"/>
                <w:szCs w:val="24"/>
              </w:rPr>
              <w:t>Forest area  (% of total land area)</w:t>
            </w:r>
          </w:p>
        </w:tc>
        <w:tc>
          <w:tcPr>
            <w:tcW w:w="2216" w:type="dxa"/>
            <w:tcBorders>
              <w:top w:val="nil"/>
              <w:left w:val="nil"/>
              <w:bottom w:val="double" w:sz="6" w:space="0" w:color="auto"/>
              <w:right w:val="nil"/>
            </w:tcBorders>
            <w:shd w:val="clear" w:color="000000" w:fill="FFFFFF"/>
            <w:vAlign w:val="center"/>
            <w:hideMark/>
          </w:tcPr>
          <w:p w14:paraId="76533292" w14:textId="77777777" w:rsidR="00D014C7" w:rsidRPr="00D014C7" w:rsidRDefault="00D014C7" w:rsidP="009A4AEC">
            <w:pPr>
              <w:spacing w:line="240" w:lineRule="auto"/>
              <w:jc w:val="both"/>
              <w:rPr>
                <w:rFonts w:ascii="Times New Roman" w:hAnsi="Times New Roman" w:cs="Times New Roman"/>
                <w:color w:val="000000"/>
                <w:sz w:val="24"/>
                <w:szCs w:val="24"/>
              </w:rPr>
            </w:pPr>
            <w:r w:rsidRPr="00D014C7">
              <w:rPr>
                <w:rFonts w:ascii="Times New Roman" w:hAnsi="Times New Roman" w:cs="Times New Roman"/>
                <w:color w:val="000000"/>
                <w:sz w:val="24"/>
                <w:szCs w:val="24"/>
              </w:rPr>
              <w:t>2016</w:t>
            </w:r>
          </w:p>
        </w:tc>
        <w:tc>
          <w:tcPr>
            <w:tcW w:w="372" w:type="dxa"/>
            <w:vAlign w:val="center"/>
            <w:hideMark/>
          </w:tcPr>
          <w:p w14:paraId="70C7F4C3" w14:textId="77777777" w:rsidR="00D014C7" w:rsidRPr="00D014C7" w:rsidRDefault="00D014C7" w:rsidP="009A4AEC">
            <w:pPr>
              <w:keepNext/>
              <w:spacing w:line="240" w:lineRule="auto"/>
              <w:rPr>
                <w:rFonts w:ascii="Times New Roman" w:hAnsi="Times New Roman" w:cs="Times New Roman"/>
                <w:sz w:val="24"/>
                <w:szCs w:val="24"/>
              </w:rPr>
            </w:pPr>
          </w:p>
        </w:tc>
      </w:tr>
    </w:tbl>
    <w:p w14:paraId="7591A076" w14:textId="77777777" w:rsidR="00D014C7" w:rsidRPr="00D014C7" w:rsidRDefault="00D014C7" w:rsidP="00D014C7">
      <w:pPr>
        <w:spacing w:line="240" w:lineRule="auto"/>
        <w:ind w:firstLine="851"/>
        <w:jc w:val="both"/>
        <w:rPr>
          <w:rFonts w:ascii="Times New Roman" w:hAnsi="Times New Roman" w:cs="Times New Roman"/>
          <w:sz w:val="24"/>
          <w:szCs w:val="24"/>
        </w:rPr>
      </w:pPr>
    </w:p>
    <w:p w14:paraId="5A06947B" w14:textId="11E38A68" w:rsidR="00D4484B" w:rsidRPr="00D014C7" w:rsidRDefault="0015413B" w:rsidP="00D4484B">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 xml:space="preserve">Since multiple correspondence analysis uses categorical data, all the data in the study </w:t>
      </w:r>
      <w:r w:rsidR="00E65349">
        <w:rPr>
          <w:rFonts w:ascii="Times New Roman" w:hAnsi="Times New Roman" w:cs="Times New Roman"/>
          <w:sz w:val="24"/>
          <w:szCs w:val="24"/>
        </w:rPr>
        <w:t>was</w:t>
      </w:r>
      <w:r w:rsidRPr="00D014C7">
        <w:rPr>
          <w:rFonts w:ascii="Times New Roman" w:hAnsi="Times New Roman" w:cs="Times New Roman"/>
          <w:sz w:val="24"/>
          <w:szCs w:val="24"/>
        </w:rPr>
        <w:t xml:space="preserve"> reduced to categories based on percentiles from numeric measures. For HDI measures, officially reported four categories for countries were used: Very High Human Development, High Human Development, Medium Human Development and Low Human Development. For all other variables, the observations were reduced to three categories </w:t>
      </w:r>
      <w:r w:rsidR="00E65349">
        <w:rPr>
          <w:rFonts w:ascii="Times New Roman" w:hAnsi="Times New Roman" w:cs="Times New Roman"/>
          <w:sz w:val="24"/>
          <w:szCs w:val="24"/>
        </w:rPr>
        <w:t xml:space="preserve">as </w:t>
      </w:r>
      <w:r w:rsidRPr="00D014C7">
        <w:rPr>
          <w:rFonts w:ascii="Times New Roman" w:hAnsi="Times New Roman" w:cs="Times New Roman"/>
          <w:sz w:val="24"/>
          <w:szCs w:val="24"/>
        </w:rPr>
        <w:t>High, Medium</w:t>
      </w:r>
      <w:r w:rsidR="00E65349">
        <w:rPr>
          <w:rFonts w:ascii="Times New Roman" w:hAnsi="Times New Roman" w:cs="Times New Roman"/>
          <w:sz w:val="24"/>
          <w:szCs w:val="24"/>
        </w:rPr>
        <w:t xml:space="preserve"> and </w:t>
      </w:r>
      <w:r w:rsidRPr="00D014C7">
        <w:rPr>
          <w:rFonts w:ascii="Times New Roman" w:hAnsi="Times New Roman" w:cs="Times New Roman"/>
          <w:sz w:val="24"/>
          <w:szCs w:val="24"/>
        </w:rPr>
        <w:t xml:space="preserve">Low. The final data is analysed with the help of statistical package program Stata. </w:t>
      </w:r>
      <w:r w:rsidR="00D4484B">
        <w:rPr>
          <w:rFonts w:ascii="Times New Roman" w:hAnsi="Times New Roman" w:cs="Times New Roman"/>
          <w:sz w:val="24"/>
          <w:szCs w:val="24"/>
        </w:rPr>
        <w:t>Multiple correspondence analysis is first conducted with HDI levels and SDG indicators and secondly with HDI indicators and SDG indicators to see the effect of income level separately.</w:t>
      </w:r>
    </w:p>
    <w:p w14:paraId="5656D629" w14:textId="4B0366D6" w:rsidR="0015413B" w:rsidRPr="00D014C7" w:rsidRDefault="0015413B" w:rsidP="00766385">
      <w:pPr>
        <w:spacing w:before="120" w:line="240" w:lineRule="auto"/>
        <w:jc w:val="both"/>
        <w:rPr>
          <w:rFonts w:ascii="Times New Roman" w:hAnsi="Times New Roman" w:cs="Times New Roman"/>
          <w:b/>
          <w:bCs/>
          <w:sz w:val="24"/>
          <w:szCs w:val="24"/>
        </w:rPr>
      </w:pPr>
      <w:r w:rsidRPr="00D014C7">
        <w:rPr>
          <w:rFonts w:ascii="Times New Roman" w:hAnsi="Times New Roman" w:cs="Times New Roman"/>
          <w:b/>
          <w:bCs/>
          <w:sz w:val="24"/>
          <w:szCs w:val="24"/>
        </w:rPr>
        <w:t>4. RESULTS</w:t>
      </w:r>
    </w:p>
    <w:p w14:paraId="5564CDA5" w14:textId="5DD49E85" w:rsidR="0015413B" w:rsidRPr="00D014C7" w:rsidRDefault="0056758C" w:rsidP="00D014C7">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For the first analysis</w:t>
      </w:r>
      <w:r w:rsidR="00D4484B">
        <w:rPr>
          <w:rFonts w:ascii="Times New Roman" w:hAnsi="Times New Roman" w:cs="Times New Roman"/>
          <w:sz w:val="24"/>
          <w:szCs w:val="24"/>
        </w:rPr>
        <w:t xml:space="preserve"> with HDI levels</w:t>
      </w:r>
      <w:r>
        <w:rPr>
          <w:rFonts w:ascii="Times New Roman" w:hAnsi="Times New Roman" w:cs="Times New Roman"/>
          <w:sz w:val="24"/>
          <w:szCs w:val="24"/>
        </w:rPr>
        <w:t>, t</w:t>
      </w:r>
      <w:r w:rsidR="0015413B" w:rsidRPr="00D014C7">
        <w:rPr>
          <w:rFonts w:ascii="Times New Roman" w:hAnsi="Times New Roman" w:cs="Times New Roman"/>
          <w:sz w:val="24"/>
          <w:szCs w:val="24"/>
        </w:rPr>
        <w:t xml:space="preserve">he contribution of each dimension to total inertia, calculated by multiple correspondence analysis is shown in the Table </w:t>
      </w:r>
      <w:r w:rsidR="00B20DEE">
        <w:rPr>
          <w:rFonts w:ascii="Times New Roman" w:hAnsi="Times New Roman" w:cs="Times New Roman"/>
          <w:sz w:val="24"/>
          <w:szCs w:val="24"/>
        </w:rPr>
        <w:t>3</w:t>
      </w:r>
      <w:r w:rsidR="0015413B" w:rsidRPr="00D014C7">
        <w:rPr>
          <w:rFonts w:ascii="Times New Roman" w:hAnsi="Times New Roman" w:cs="Times New Roman"/>
          <w:sz w:val="24"/>
          <w:szCs w:val="24"/>
        </w:rPr>
        <w:t xml:space="preserve"> below. The first dimension accounts for </w:t>
      </w:r>
      <w:r w:rsidR="000064B4">
        <w:rPr>
          <w:rFonts w:ascii="Times New Roman" w:hAnsi="Times New Roman" w:cs="Times New Roman"/>
          <w:sz w:val="24"/>
          <w:szCs w:val="24"/>
        </w:rPr>
        <w:t>54,15</w:t>
      </w:r>
      <w:r w:rsidR="0015413B" w:rsidRPr="00D014C7">
        <w:rPr>
          <w:rFonts w:ascii="Times New Roman" w:hAnsi="Times New Roman" w:cs="Times New Roman"/>
          <w:sz w:val="24"/>
          <w:szCs w:val="24"/>
        </w:rPr>
        <w:t xml:space="preserve"> percent of all inertia. The second dimension accounts for </w:t>
      </w:r>
      <w:r w:rsidR="000064B4">
        <w:rPr>
          <w:rFonts w:ascii="Times New Roman" w:hAnsi="Times New Roman" w:cs="Times New Roman"/>
          <w:sz w:val="24"/>
          <w:szCs w:val="24"/>
        </w:rPr>
        <w:t>24,35</w:t>
      </w:r>
      <w:r w:rsidR="0015413B" w:rsidRPr="00D014C7">
        <w:rPr>
          <w:rFonts w:ascii="Times New Roman" w:hAnsi="Times New Roman" w:cs="Times New Roman"/>
          <w:sz w:val="24"/>
          <w:szCs w:val="24"/>
        </w:rPr>
        <w:t xml:space="preserve"> percent of all inertia, while the rest of dimensions explain below 5 percent of total inertia.</w:t>
      </w:r>
      <w:r w:rsidR="00B20DEE">
        <w:rPr>
          <w:rFonts w:ascii="Times New Roman" w:hAnsi="Times New Roman" w:cs="Times New Roman"/>
          <w:sz w:val="24"/>
          <w:szCs w:val="24"/>
        </w:rPr>
        <w:t xml:space="preserve"> Only </w:t>
      </w:r>
      <w:r w:rsidR="0065207C">
        <w:rPr>
          <w:rFonts w:ascii="Times New Roman" w:hAnsi="Times New Roman" w:cs="Times New Roman"/>
          <w:sz w:val="24"/>
          <w:szCs w:val="24"/>
        </w:rPr>
        <w:t xml:space="preserve">the </w:t>
      </w:r>
      <w:r w:rsidR="00B20DEE">
        <w:rPr>
          <w:rFonts w:ascii="Times New Roman" w:hAnsi="Times New Roman" w:cs="Times New Roman"/>
          <w:sz w:val="24"/>
          <w:szCs w:val="24"/>
        </w:rPr>
        <w:t>first two dimensions will be used in this study as they explain significant part of all variance in data.</w:t>
      </w:r>
    </w:p>
    <w:p w14:paraId="64E48074" w14:textId="613111D7" w:rsidR="003B1D26" w:rsidRPr="0046268B" w:rsidRDefault="003B1D26" w:rsidP="003B1D26">
      <w:pPr>
        <w:keepNext/>
        <w:jc w:val="center"/>
        <w:rPr>
          <w:rFonts w:ascii="Times New Roman" w:hAnsi="Times New Roman" w:cs="Times New Roman"/>
          <w:b/>
          <w:bCs/>
          <w:sz w:val="24"/>
          <w:szCs w:val="24"/>
        </w:rPr>
      </w:pPr>
      <w:r w:rsidRPr="0046268B">
        <w:rPr>
          <w:rFonts w:ascii="Times New Roman" w:hAnsi="Times New Roman" w:cs="Times New Roman"/>
          <w:b/>
          <w:bCs/>
          <w:sz w:val="24"/>
          <w:szCs w:val="24"/>
        </w:rPr>
        <w:t xml:space="preserve">Table </w:t>
      </w:r>
      <w:r w:rsidRPr="0046268B">
        <w:rPr>
          <w:rFonts w:ascii="Times New Roman" w:hAnsi="Times New Roman" w:cs="Times New Roman"/>
          <w:b/>
          <w:bCs/>
          <w:sz w:val="24"/>
          <w:szCs w:val="24"/>
        </w:rPr>
        <w:fldChar w:fldCharType="begin"/>
      </w:r>
      <w:r w:rsidRPr="0046268B">
        <w:rPr>
          <w:rFonts w:ascii="Times New Roman" w:hAnsi="Times New Roman" w:cs="Times New Roman"/>
          <w:b/>
          <w:bCs/>
          <w:sz w:val="24"/>
          <w:szCs w:val="24"/>
        </w:rPr>
        <w:instrText xml:space="preserve"> SEQ Table \* ARABIC </w:instrText>
      </w:r>
      <w:r w:rsidRPr="0046268B">
        <w:rPr>
          <w:rFonts w:ascii="Times New Roman" w:hAnsi="Times New Roman" w:cs="Times New Roman"/>
          <w:b/>
          <w:bCs/>
          <w:sz w:val="24"/>
          <w:szCs w:val="24"/>
        </w:rPr>
        <w:fldChar w:fldCharType="separate"/>
      </w:r>
      <w:r w:rsidR="0056758C">
        <w:rPr>
          <w:rFonts w:ascii="Times New Roman" w:hAnsi="Times New Roman" w:cs="Times New Roman"/>
          <w:b/>
          <w:bCs/>
          <w:noProof/>
          <w:sz w:val="24"/>
          <w:szCs w:val="24"/>
        </w:rPr>
        <w:t>3</w:t>
      </w:r>
      <w:r w:rsidRPr="0046268B">
        <w:rPr>
          <w:rFonts w:ascii="Times New Roman" w:hAnsi="Times New Roman" w:cs="Times New Roman"/>
          <w:b/>
          <w:bCs/>
          <w:sz w:val="24"/>
          <w:szCs w:val="24"/>
        </w:rPr>
        <w:fldChar w:fldCharType="end"/>
      </w:r>
      <w:r w:rsidRPr="0046268B">
        <w:rPr>
          <w:rFonts w:ascii="Times New Roman" w:hAnsi="Times New Roman" w:cs="Times New Roman"/>
          <w:b/>
          <w:bCs/>
          <w:sz w:val="24"/>
          <w:szCs w:val="24"/>
        </w:rPr>
        <w:t>. Inertia values for dimensions from multiple correspondence analysis results</w:t>
      </w:r>
    </w:p>
    <w:tbl>
      <w:tblPr>
        <w:tblW w:w="3934" w:type="dxa"/>
        <w:tblInd w:w="108" w:type="dxa"/>
        <w:tblLook w:val="04A0" w:firstRow="1" w:lastRow="0" w:firstColumn="1" w:lastColumn="0" w:noHBand="0" w:noVBand="1"/>
      </w:tblPr>
      <w:tblGrid>
        <w:gridCol w:w="1440"/>
        <w:gridCol w:w="936"/>
        <w:gridCol w:w="1336"/>
        <w:gridCol w:w="222"/>
      </w:tblGrid>
      <w:tr w:rsidR="00D4484B" w:rsidRPr="00D014C7" w14:paraId="1342582D" w14:textId="77777777" w:rsidTr="00D4484B">
        <w:trPr>
          <w:gridAfter w:val="1"/>
          <w:wAfter w:w="222" w:type="dxa"/>
          <w:trHeight w:val="450"/>
        </w:trPr>
        <w:tc>
          <w:tcPr>
            <w:tcW w:w="1440" w:type="dxa"/>
            <w:vMerge w:val="restart"/>
            <w:tcBorders>
              <w:top w:val="double" w:sz="6" w:space="0" w:color="auto"/>
              <w:left w:val="nil"/>
              <w:bottom w:val="single" w:sz="8" w:space="0" w:color="000000"/>
              <w:right w:val="nil"/>
            </w:tcBorders>
            <w:shd w:val="clear" w:color="000000" w:fill="FFFFFF"/>
            <w:noWrap/>
            <w:vAlign w:val="center"/>
            <w:hideMark/>
          </w:tcPr>
          <w:p w14:paraId="17321E8B" w14:textId="77777777" w:rsidR="00D4484B" w:rsidRPr="00D014C7" w:rsidRDefault="00D4484B" w:rsidP="00D67DD5">
            <w:pPr>
              <w:spacing w:line="240" w:lineRule="auto"/>
              <w:jc w:val="center"/>
              <w:rPr>
                <w:rFonts w:ascii="Times New Roman" w:hAnsi="Times New Roman" w:cs="Times New Roman"/>
                <w:color w:val="000000"/>
                <w:sz w:val="24"/>
                <w:szCs w:val="24"/>
                <w:lang w:eastAsia="en-GB"/>
              </w:rPr>
            </w:pPr>
            <w:r w:rsidRPr="00D014C7">
              <w:rPr>
                <w:rFonts w:ascii="Times New Roman" w:hAnsi="Times New Roman" w:cs="Times New Roman"/>
                <w:color w:val="000000"/>
                <w:sz w:val="24"/>
                <w:szCs w:val="24"/>
              </w:rPr>
              <w:t>Dimension</w:t>
            </w:r>
          </w:p>
        </w:tc>
        <w:tc>
          <w:tcPr>
            <w:tcW w:w="936" w:type="dxa"/>
            <w:vMerge w:val="restart"/>
            <w:tcBorders>
              <w:top w:val="double" w:sz="6" w:space="0" w:color="auto"/>
              <w:left w:val="nil"/>
              <w:bottom w:val="single" w:sz="8" w:space="0" w:color="000000"/>
              <w:right w:val="nil"/>
            </w:tcBorders>
            <w:shd w:val="clear" w:color="000000" w:fill="FFFFFF"/>
            <w:noWrap/>
            <w:vAlign w:val="center"/>
            <w:hideMark/>
          </w:tcPr>
          <w:p w14:paraId="07F845FF" w14:textId="77777777" w:rsidR="00D4484B" w:rsidRPr="00D014C7" w:rsidRDefault="00D4484B" w:rsidP="00D67DD5">
            <w:pPr>
              <w:spacing w:line="240" w:lineRule="auto"/>
              <w:jc w:val="center"/>
              <w:rPr>
                <w:rFonts w:ascii="Times New Roman" w:hAnsi="Times New Roman" w:cs="Times New Roman"/>
                <w:color w:val="000000"/>
                <w:sz w:val="24"/>
                <w:szCs w:val="24"/>
              </w:rPr>
            </w:pPr>
            <w:r w:rsidRPr="00D014C7">
              <w:rPr>
                <w:rFonts w:ascii="Times New Roman" w:hAnsi="Times New Roman" w:cs="Times New Roman"/>
                <w:color w:val="000000"/>
                <w:sz w:val="24"/>
                <w:szCs w:val="24"/>
              </w:rPr>
              <w:t>Percent</w:t>
            </w:r>
          </w:p>
        </w:tc>
        <w:tc>
          <w:tcPr>
            <w:tcW w:w="1336" w:type="dxa"/>
            <w:vMerge w:val="restart"/>
            <w:tcBorders>
              <w:top w:val="double" w:sz="6" w:space="0" w:color="auto"/>
              <w:left w:val="nil"/>
              <w:bottom w:val="single" w:sz="8" w:space="0" w:color="000000"/>
              <w:right w:val="nil"/>
            </w:tcBorders>
            <w:shd w:val="clear" w:color="000000" w:fill="FFFFFF"/>
            <w:vAlign w:val="center"/>
            <w:hideMark/>
          </w:tcPr>
          <w:p w14:paraId="5AA1FBB6" w14:textId="77777777" w:rsidR="00D4484B" w:rsidRPr="00D014C7" w:rsidRDefault="00D4484B" w:rsidP="00D67DD5">
            <w:pPr>
              <w:spacing w:line="240" w:lineRule="auto"/>
              <w:jc w:val="center"/>
              <w:rPr>
                <w:rFonts w:ascii="Times New Roman" w:hAnsi="Times New Roman" w:cs="Times New Roman"/>
                <w:color w:val="000000"/>
                <w:sz w:val="24"/>
                <w:szCs w:val="24"/>
              </w:rPr>
            </w:pPr>
            <w:r w:rsidRPr="00D014C7">
              <w:rPr>
                <w:rFonts w:ascii="Times New Roman" w:hAnsi="Times New Roman" w:cs="Times New Roman"/>
                <w:color w:val="000000"/>
                <w:sz w:val="24"/>
                <w:szCs w:val="24"/>
              </w:rPr>
              <w:t>Cumulative Percent</w:t>
            </w:r>
          </w:p>
        </w:tc>
      </w:tr>
      <w:tr w:rsidR="00D4484B" w:rsidRPr="00D014C7" w14:paraId="51B5212B" w14:textId="77777777" w:rsidTr="00D4484B">
        <w:trPr>
          <w:trHeight w:val="300"/>
        </w:trPr>
        <w:tc>
          <w:tcPr>
            <w:tcW w:w="1440" w:type="dxa"/>
            <w:vMerge/>
            <w:tcBorders>
              <w:top w:val="double" w:sz="6" w:space="0" w:color="auto"/>
              <w:left w:val="nil"/>
              <w:bottom w:val="single" w:sz="8" w:space="0" w:color="000000"/>
              <w:right w:val="nil"/>
            </w:tcBorders>
            <w:vAlign w:val="center"/>
            <w:hideMark/>
          </w:tcPr>
          <w:p w14:paraId="733D6EC4" w14:textId="77777777" w:rsidR="00D4484B" w:rsidRPr="00D014C7" w:rsidRDefault="00D4484B" w:rsidP="00D67DD5">
            <w:pPr>
              <w:spacing w:line="240" w:lineRule="auto"/>
              <w:rPr>
                <w:rFonts w:ascii="Times New Roman" w:hAnsi="Times New Roman" w:cs="Times New Roman"/>
                <w:color w:val="000000"/>
                <w:sz w:val="24"/>
                <w:szCs w:val="24"/>
              </w:rPr>
            </w:pPr>
          </w:p>
        </w:tc>
        <w:tc>
          <w:tcPr>
            <w:tcW w:w="936" w:type="dxa"/>
            <w:vMerge/>
            <w:tcBorders>
              <w:top w:val="double" w:sz="6" w:space="0" w:color="auto"/>
              <w:left w:val="nil"/>
              <w:bottom w:val="single" w:sz="8" w:space="0" w:color="000000"/>
              <w:right w:val="nil"/>
            </w:tcBorders>
            <w:vAlign w:val="center"/>
            <w:hideMark/>
          </w:tcPr>
          <w:p w14:paraId="29C1B754" w14:textId="77777777" w:rsidR="00D4484B" w:rsidRPr="00D014C7" w:rsidRDefault="00D4484B" w:rsidP="00D67DD5">
            <w:pPr>
              <w:spacing w:line="240" w:lineRule="auto"/>
              <w:rPr>
                <w:rFonts w:ascii="Times New Roman" w:hAnsi="Times New Roman" w:cs="Times New Roman"/>
                <w:color w:val="000000"/>
                <w:sz w:val="24"/>
                <w:szCs w:val="24"/>
              </w:rPr>
            </w:pPr>
          </w:p>
        </w:tc>
        <w:tc>
          <w:tcPr>
            <w:tcW w:w="1336" w:type="dxa"/>
            <w:vMerge/>
            <w:tcBorders>
              <w:top w:val="double" w:sz="6" w:space="0" w:color="auto"/>
              <w:left w:val="nil"/>
              <w:bottom w:val="single" w:sz="8" w:space="0" w:color="000000"/>
              <w:right w:val="nil"/>
            </w:tcBorders>
            <w:vAlign w:val="center"/>
            <w:hideMark/>
          </w:tcPr>
          <w:p w14:paraId="07A2D21C" w14:textId="77777777" w:rsidR="00D4484B" w:rsidRPr="00D014C7" w:rsidRDefault="00D4484B" w:rsidP="00D67DD5">
            <w:pPr>
              <w:spacing w:line="240" w:lineRule="auto"/>
              <w:rPr>
                <w:rFonts w:ascii="Times New Roman" w:hAnsi="Times New Roman" w:cs="Times New Roman"/>
                <w:color w:val="000000"/>
                <w:sz w:val="24"/>
                <w:szCs w:val="24"/>
              </w:rPr>
            </w:pPr>
          </w:p>
        </w:tc>
        <w:tc>
          <w:tcPr>
            <w:tcW w:w="222" w:type="dxa"/>
            <w:tcBorders>
              <w:top w:val="nil"/>
              <w:left w:val="nil"/>
              <w:bottom w:val="nil"/>
              <w:right w:val="nil"/>
            </w:tcBorders>
            <w:shd w:val="clear" w:color="auto" w:fill="auto"/>
            <w:noWrap/>
            <w:vAlign w:val="bottom"/>
            <w:hideMark/>
          </w:tcPr>
          <w:p w14:paraId="0C631F51" w14:textId="77777777" w:rsidR="00D4484B" w:rsidRPr="00D014C7" w:rsidRDefault="00D4484B" w:rsidP="00D67DD5">
            <w:pPr>
              <w:spacing w:line="240" w:lineRule="auto"/>
              <w:jc w:val="center"/>
              <w:rPr>
                <w:rFonts w:ascii="Times New Roman" w:hAnsi="Times New Roman" w:cs="Times New Roman"/>
                <w:color w:val="000000"/>
                <w:sz w:val="24"/>
                <w:szCs w:val="24"/>
              </w:rPr>
            </w:pPr>
          </w:p>
        </w:tc>
      </w:tr>
      <w:tr w:rsidR="00D4484B" w:rsidRPr="00D014C7" w14:paraId="776E0EC9" w14:textId="77777777" w:rsidTr="00D4484B">
        <w:trPr>
          <w:trHeight w:val="288"/>
        </w:trPr>
        <w:tc>
          <w:tcPr>
            <w:tcW w:w="1440" w:type="dxa"/>
            <w:tcBorders>
              <w:top w:val="nil"/>
              <w:left w:val="nil"/>
              <w:bottom w:val="nil"/>
              <w:right w:val="nil"/>
            </w:tcBorders>
            <w:shd w:val="clear" w:color="000000" w:fill="FFFFFF"/>
            <w:vAlign w:val="center"/>
            <w:hideMark/>
          </w:tcPr>
          <w:p w14:paraId="2CC6580C"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dim1</w:t>
            </w:r>
          </w:p>
        </w:tc>
        <w:tc>
          <w:tcPr>
            <w:tcW w:w="936" w:type="dxa"/>
            <w:tcBorders>
              <w:top w:val="nil"/>
              <w:left w:val="nil"/>
              <w:bottom w:val="nil"/>
              <w:right w:val="nil"/>
            </w:tcBorders>
            <w:shd w:val="clear" w:color="000000" w:fill="FFFFFF"/>
            <w:vAlign w:val="bottom"/>
            <w:hideMark/>
          </w:tcPr>
          <w:p w14:paraId="584298C7" w14:textId="476B18D2"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54.15</w:t>
            </w:r>
          </w:p>
        </w:tc>
        <w:tc>
          <w:tcPr>
            <w:tcW w:w="1336" w:type="dxa"/>
            <w:tcBorders>
              <w:top w:val="nil"/>
              <w:left w:val="nil"/>
              <w:bottom w:val="nil"/>
              <w:right w:val="nil"/>
            </w:tcBorders>
            <w:shd w:val="clear" w:color="000000" w:fill="FFFFFF"/>
            <w:vAlign w:val="bottom"/>
            <w:hideMark/>
          </w:tcPr>
          <w:p w14:paraId="0DEC0015" w14:textId="1CE5A5FA"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54.15</w:t>
            </w:r>
          </w:p>
        </w:tc>
        <w:tc>
          <w:tcPr>
            <w:tcW w:w="222" w:type="dxa"/>
            <w:vAlign w:val="center"/>
            <w:hideMark/>
          </w:tcPr>
          <w:p w14:paraId="31CBEDC9"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2BAF97C5" w14:textId="77777777" w:rsidTr="00D4484B">
        <w:trPr>
          <w:trHeight w:val="288"/>
        </w:trPr>
        <w:tc>
          <w:tcPr>
            <w:tcW w:w="1440" w:type="dxa"/>
            <w:tcBorders>
              <w:top w:val="nil"/>
              <w:left w:val="nil"/>
              <w:bottom w:val="nil"/>
              <w:right w:val="nil"/>
            </w:tcBorders>
            <w:shd w:val="clear" w:color="000000" w:fill="FFFFFF"/>
            <w:vAlign w:val="center"/>
            <w:hideMark/>
          </w:tcPr>
          <w:p w14:paraId="543A1BE5"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dim2</w:t>
            </w:r>
          </w:p>
        </w:tc>
        <w:tc>
          <w:tcPr>
            <w:tcW w:w="936" w:type="dxa"/>
            <w:tcBorders>
              <w:top w:val="nil"/>
              <w:left w:val="nil"/>
              <w:bottom w:val="nil"/>
              <w:right w:val="nil"/>
            </w:tcBorders>
            <w:shd w:val="clear" w:color="000000" w:fill="FFFFFF"/>
            <w:vAlign w:val="bottom"/>
            <w:hideMark/>
          </w:tcPr>
          <w:p w14:paraId="2A657C75" w14:textId="0741E9D7"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24.35</w:t>
            </w:r>
          </w:p>
        </w:tc>
        <w:tc>
          <w:tcPr>
            <w:tcW w:w="1336" w:type="dxa"/>
            <w:tcBorders>
              <w:top w:val="nil"/>
              <w:left w:val="nil"/>
              <w:bottom w:val="nil"/>
              <w:right w:val="nil"/>
            </w:tcBorders>
            <w:shd w:val="clear" w:color="000000" w:fill="FFFFFF"/>
            <w:vAlign w:val="bottom"/>
            <w:hideMark/>
          </w:tcPr>
          <w:p w14:paraId="12645312" w14:textId="586BF22E"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78.5</w:t>
            </w:r>
          </w:p>
        </w:tc>
        <w:tc>
          <w:tcPr>
            <w:tcW w:w="222" w:type="dxa"/>
            <w:vAlign w:val="center"/>
            <w:hideMark/>
          </w:tcPr>
          <w:p w14:paraId="2DD3A6B7"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1CCFAB5C" w14:textId="77777777" w:rsidTr="00D4484B">
        <w:trPr>
          <w:trHeight w:val="288"/>
        </w:trPr>
        <w:tc>
          <w:tcPr>
            <w:tcW w:w="1440" w:type="dxa"/>
            <w:tcBorders>
              <w:top w:val="nil"/>
              <w:left w:val="nil"/>
              <w:bottom w:val="nil"/>
              <w:right w:val="nil"/>
            </w:tcBorders>
            <w:shd w:val="clear" w:color="000000" w:fill="FFFFFF"/>
            <w:vAlign w:val="center"/>
            <w:hideMark/>
          </w:tcPr>
          <w:p w14:paraId="0A5E1984"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dim3</w:t>
            </w:r>
          </w:p>
        </w:tc>
        <w:tc>
          <w:tcPr>
            <w:tcW w:w="936" w:type="dxa"/>
            <w:tcBorders>
              <w:top w:val="nil"/>
              <w:left w:val="nil"/>
              <w:bottom w:val="nil"/>
              <w:right w:val="nil"/>
            </w:tcBorders>
            <w:shd w:val="clear" w:color="000000" w:fill="FFFFFF"/>
            <w:vAlign w:val="bottom"/>
            <w:hideMark/>
          </w:tcPr>
          <w:p w14:paraId="0BC79A88" w14:textId="32288C54"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4.46</w:t>
            </w:r>
          </w:p>
        </w:tc>
        <w:tc>
          <w:tcPr>
            <w:tcW w:w="1336" w:type="dxa"/>
            <w:tcBorders>
              <w:top w:val="nil"/>
              <w:left w:val="nil"/>
              <w:bottom w:val="nil"/>
              <w:right w:val="nil"/>
            </w:tcBorders>
            <w:shd w:val="clear" w:color="000000" w:fill="FFFFFF"/>
            <w:vAlign w:val="bottom"/>
            <w:hideMark/>
          </w:tcPr>
          <w:p w14:paraId="0380169F" w14:textId="7C94EE79"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82.96</w:t>
            </w:r>
          </w:p>
        </w:tc>
        <w:tc>
          <w:tcPr>
            <w:tcW w:w="222" w:type="dxa"/>
            <w:vAlign w:val="center"/>
            <w:hideMark/>
          </w:tcPr>
          <w:p w14:paraId="63F0829D"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66244A19" w14:textId="77777777" w:rsidTr="00D4484B">
        <w:trPr>
          <w:trHeight w:val="288"/>
        </w:trPr>
        <w:tc>
          <w:tcPr>
            <w:tcW w:w="1440" w:type="dxa"/>
            <w:tcBorders>
              <w:top w:val="nil"/>
              <w:left w:val="nil"/>
              <w:bottom w:val="nil"/>
              <w:right w:val="nil"/>
            </w:tcBorders>
            <w:shd w:val="clear" w:color="000000" w:fill="FFFFFF"/>
            <w:vAlign w:val="center"/>
            <w:hideMark/>
          </w:tcPr>
          <w:p w14:paraId="65EDB898"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dim4</w:t>
            </w:r>
          </w:p>
        </w:tc>
        <w:tc>
          <w:tcPr>
            <w:tcW w:w="936" w:type="dxa"/>
            <w:tcBorders>
              <w:top w:val="nil"/>
              <w:left w:val="nil"/>
              <w:bottom w:val="nil"/>
              <w:right w:val="nil"/>
            </w:tcBorders>
            <w:shd w:val="clear" w:color="000000" w:fill="FFFFFF"/>
            <w:vAlign w:val="bottom"/>
            <w:hideMark/>
          </w:tcPr>
          <w:p w14:paraId="136F2E96" w14:textId="1164A689"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2.03</w:t>
            </w:r>
          </w:p>
        </w:tc>
        <w:tc>
          <w:tcPr>
            <w:tcW w:w="1336" w:type="dxa"/>
            <w:tcBorders>
              <w:top w:val="nil"/>
              <w:left w:val="nil"/>
              <w:bottom w:val="nil"/>
              <w:right w:val="nil"/>
            </w:tcBorders>
            <w:shd w:val="clear" w:color="000000" w:fill="FFFFFF"/>
            <w:vAlign w:val="bottom"/>
            <w:hideMark/>
          </w:tcPr>
          <w:p w14:paraId="2B5AF4C1" w14:textId="34AA5121"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84.99</w:t>
            </w:r>
          </w:p>
        </w:tc>
        <w:tc>
          <w:tcPr>
            <w:tcW w:w="222" w:type="dxa"/>
            <w:vAlign w:val="center"/>
            <w:hideMark/>
          </w:tcPr>
          <w:p w14:paraId="5B6C55CC"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7D0E761B" w14:textId="77777777" w:rsidTr="00D4484B">
        <w:trPr>
          <w:trHeight w:val="288"/>
        </w:trPr>
        <w:tc>
          <w:tcPr>
            <w:tcW w:w="1440" w:type="dxa"/>
            <w:tcBorders>
              <w:top w:val="nil"/>
              <w:left w:val="nil"/>
              <w:bottom w:val="nil"/>
              <w:right w:val="nil"/>
            </w:tcBorders>
            <w:shd w:val="clear" w:color="000000" w:fill="FFFFFF"/>
            <w:vAlign w:val="center"/>
            <w:hideMark/>
          </w:tcPr>
          <w:p w14:paraId="193B9CDE"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dim5</w:t>
            </w:r>
          </w:p>
        </w:tc>
        <w:tc>
          <w:tcPr>
            <w:tcW w:w="936" w:type="dxa"/>
            <w:tcBorders>
              <w:top w:val="nil"/>
              <w:left w:val="nil"/>
              <w:bottom w:val="nil"/>
              <w:right w:val="nil"/>
            </w:tcBorders>
            <w:shd w:val="clear" w:color="000000" w:fill="FFFFFF"/>
            <w:vAlign w:val="bottom"/>
            <w:hideMark/>
          </w:tcPr>
          <w:p w14:paraId="03F5ACA5" w14:textId="7098F140"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1.05</w:t>
            </w:r>
          </w:p>
        </w:tc>
        <w:tc>
          <w:tcPr>
            <w:tcW w:w="1336" w:type="dxa"/>
            <w:tcBorders>
              <w:top w:val="nil"/>
              <w:left w:val="nil"/>
              <w:bottom w:val="nil"/>
              <w:right w:val="nil"/>
            </w:tcBorders>
            <w:shd w:val="clear" w:color="000000" w:fill="FFFFFF"/>
            <w:vAlign w:val="bottom"/>
            <w:hideMark/>
          </w:tcPr>
          <w:p w14:paraId="02ECEE11" w14:textId="6B46FB44"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86.04</w:t>
            </w:r>
          </w:p>
        </w:tc>
        <w:tc>
          <w:tcPr>
            <w:tcW w:w="222" w:type="dxa"/>
            <w:vAlign w:val="center"/>
            <w:hideMark/>
          </w:tcPr>
          <w:p w14:paraId="5675B786"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04F193D5" w14:textId="77777777" w:rsidTr="00D4484B">
        <w:trPr>
          <w:trHeight w:val="288"/>
        </w:trPr>
        <w:tc>
          <w:tcPr>
            <w:tcW w:w="1440" w:type="dxa"/>
            <w:tcBorders>
              <w:top w:val="nil"/>
              <w:left w:val="nil"/>
              <w:bottom w:val="nil"/>
              <w:right w:val="nil"/>
            </w:tcBorders>
            <w:shd w:val="clear" w:color="000000" w:fill="FFFFFF"/>
            <w:vAlign w:val="center"/>
            <w:hideMark/>
          </w:tcPr>
          <w:p w14:paraId="2ED5E644"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dim6</w:t>
            </w:r>
          </w:p>
        </w:tc>
        <w:tc>
          <w:tcPr>
            <w:tcW w:w="936" w:type="dxa"/>
            <w:tcBorders>
              <w:top w:val="nil"/>
              <w:left w:val="nil"/>
              <w:bottom w:val="nil"/>
              <w:right w:val="nil"/>
            </w:tcBorders>
            <w:shd w:val="clear" w:color="000000" w:fill="FFFFFF"/>
            <w:vAlign w:val="bottom"/>
            <w:hideMark/>
          </w:tcPr>
          <w:p w14:paraId="270CB192" w14:textId="2017AB43"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0.73</w:t>
            </w:r>
          </w:p>
        </w:tc>
        <w:tc>
          <w:tcPr>
            <w:tcW w:w="1336" w:type="dxa"/>
            <w:tcBorders>
              <w:top w:val="nil"/>
              <w:left w:val="nil"/>
              <w:bottom w:val="nil"/>
              <w:right w:val="nil"/>
            </w:tcBorders>
            <w:shd w:val="clear" w:color="000000" w:fill="FFFFFF"/>
            <w:vAlign w:val="bottom"/>
            <w:hideMark/>
          </w:tcPr>
          <w:p w14:paraId="2D04E56A" w14:textId="167BAB21"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86.77</w:t>
            </w:r>
          </w:p>
        </w:tc>
        <w:tc>
          <w:tcPr>
            <w:tcW w:w="222" w:type="dxa"/>
            <w:vAlign w:val="center"/>
            <w:hideMark/>
          </w:tcPr>
          <w:p w14:paraId="2FE1CFE7"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35991E3A" w14:textId="77777777" w:rsidTr="00D4484B">
        <w:trPr>
          <w:trHeight w:val="288"/>
        </w:trPr>
        <w:tc>
          <w:tcPr>
            <w:tcW w:w="1440" w:type="dxa"/>
            <w:tcBorders>
              <w:top w:val="nil"/>
              <w:left w:val="nil"/>
              <w:bottom w:val="nil"/>
              <w:right w:val="nil"/>
            </w:tcBorders>
            <w:shd w:val="clear" w:color="000000" w:fill="FFFFFF"/>
            <w:vAlign w:val="center"/>
            <w:hideMark/>
          </w:tcPr>
          <w:p w14:paraId="42C10DB9"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dim7</w:t>
            </w:r>
          </w:p>
        </w:tc>
        <w:tc>
          <w:tcPr>
            <w:tcW w:w="936" w:type="dxa"/>
            <w:tcBorders>
              <w:top w:val="nil"/>
              <w:left w:val="nil"/>
              <w:bottom w:val="nil"/>
              <w:right w:val="nil"/>
            </w:tcBorders>
            <w:shd w:val="clear" w:color="000000" w:fill="FFFFFF"/>
            <w:vAlign w:val="bottom"/>
            <w:hideMark/>
          </w:tcPr>
          <w:p w14:paraId="20FB4358" w14:textId="2EC2921C"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0.44</w:t>
            </w:r>
          </w:p>
        </w:tc>
        <w:tc>
          <w:tcPr>
            <w:tcW w:w="1336" w:type="dxa"/>
            <w:tcBorders>
              <w:top w:val="nil"/>
              <w:left w:val="nil"/>
              <w:bottom w:val="nil"/>
              <w:right w:val="nil"/>
            </w:tcBorders>
            <w:shd w:val="clear" w:color="000000" w:fill="FFFFFF"/>
            <w:vAlign w:val="bottom"/>
            <w:hideMark/>
          </w:tcPr>
          <w:p w14:paraId="6253562B" w14:textId="425045DE"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87.21</w:t>
            </w:r>
          </w:p>
        </w:tc>
        <w:tc>
          <w:tcPr>
            <w:tcW w:w="222" w:type="dxa"/>
            <w:vAlign w:val="center"/>
            <w:hideMark/>
          </w:tcPr>
          <w:p w14:paraId="321DA03D"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576536B5" w14:textId="77777777" w:rsidTr="00D4484B">
        <w:trPr>
          <w:trHeight w:val="288"/>
        </w:trPr>
        <w:tc>
          <w:tcPr>
            <w:tcW w:w="1440" w:type="dxa"/>
            <w:tcBorders>
              <w:top w:val="nil"/>
              <w:left w:val="nil"/>
              <w:bottom w:val="nil"/>
              <w:right w:val="nil"/>
            </w:tcBorders>
            <w:shd w:val="clear" w:color="000000" w:fill="FFFFFF"/>
            <w:vAlign w:val="center"/>
            <w:hideMark/>
          </w:tcPr>
          <w:p w14:paraId="4E295749"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dim8</w:t>
            </w:r>
          </w:p>
        </w:tc>
        <w:tc>
          <w:tcPr>
            <w:tcW w:w="936" w:type="dxa"/>
            <w:tcBorders>
              <w:top w:val="nil"/>
              <w:left w:val="nil"/>
              <w:bottom w:val="nil"/>
              <w:right w:val="nil"/>
            </w:tcBorders>
            <w:shd w:val="clear" w:color="000000" w:fill="FFFFFF"/>
            <w:vAlign w:val="bottom"/>
            <w:hideMark/>
          </w:tcPr>
          <w:p w14:paraId="457FC235" w14:textId="1CA2E46F"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0.23</w:t>
            </w:r>
          </w:p>
        </w:tc>
        <w:tc>
          <w:tcPr>
            <w:tcW w:w="1336" w:type="dxa"/>
            <w:tcBorders>
              <w:top w:val="nil"/>
              <w:left w:val="nil"/>
              <w:bottom w:val="nil"/>
              <w:right w:val="nil"/>
            </w:tcBorders>
            <w:shd w:val="clear" w:color="000000" w:fill="FFFFFF"/>
            <w:vAlign w:val="bottom"/>
            <w:hideMark/>
          </w:tcPr>
          <w:p w14:paraId="514A52CE" w14:textId="2E6D3850"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87.45</w:t>
            </w:r>
          </w:p>
        </w:tc>
        <w:tc>
          <w:tcPr>
            <w:tcW w:w="222" w:type="dxa"/>
            <w:vAlign w:val="center"/>
            <w:hideMark/>
          </w:tcPr>
          <w:p w14:paraId="2B5783BA"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0FCCBD99" w14:textId="77777777" w:rsidTr="00D4484B">
        <w:trPr>
          <w:trHeight w:val="288"/>
        </w:trPr>
        <w:tc>
          <w:tcPr>
            <w:tcW w:w="1440" w:type="dxa"/>
            <w:tcBorders>
              <w:top w:val="nil"/>
              <w:left w:val="nil"/>
              <w:bottom w:val="nil"/>
              <w:right w:val="nil"/>
            </w:tcBorders>
            <w:shd w:val="clear" w:color="000000" w:fill="FFFFFF"/>
            <w:vAlign w:val="center"/>
            <w:hideMark/>
          </w:tcPr>
          <w:p w14:paraId="60F0AA2C"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dim9</w:t>
            </w:r>
          </w:p>
        </w:tc>
        <w:tc>
          <w:tcPr>
            <w:tcW w:w="936" w:type="dxa"/>
            <w:tcBorders>
              <w:top w:val="nil"/>
              <w:left w:val="nil"/>
              <w:bottom w:val="nil"/>
              <w:right w:val="nil"/>
            </w:tcBorders>
            <w:shd w:val="clear" w:color="000000" w:fill="FFFFFF"/>
            <w:vAlign w:val="bottom"/>
            <w:hideMark/>
          </w:tcPr>
          <w:p w14:paraId="79456019" w14:textId="63640432"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0.18</w:t>
            </w:r>
          </w:p>
        </w:tc>
        <w:tc>
          <w:tcPr>
            <w:tcW w:w="1336" w:type="dxa"/>
            <w:tcBorders>
              <w:top w:val="nil"/>
              <w:left w:val="nil"/>
              <w:bottom w:val="nil"/>
              <w:right w:val="nil"/>
            </w:tcBorders>
            <w:shd w:val="clear" w:color="000000" w:fill="FFFFFF"/>
            <w:vAlign w:val="bottom"/>
            <w:hideMark/>
          </w:tcPr>
          <w:p w14:paraId="7584A3DA" w14:textId="53638F61"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87.63</w:t>
            </w:r>
          </w:p>
        </w:tc>
        <w:tc>
          <w:tcPr>
            <w:tcW w:w="222" w:type="dxa"/>
            <w:vAlign w:val="center"/>
            <w:hideMark/>
          </w:tcPr>
          <w:p w14:paraId="7C8EDD4D"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05D74E11" w14:textId="77777777" w:rsidTr="00D4484B">
        <w:trPr>
          <w:trHeight w:val="288"/>
        </w:trPr>
        <w:tc>
          <w:tcPr>
            <w:tcW w:w="1440" w:type="dxa"/>
            <w:tcBorders>
              <w:top w:val="nil"/>
              <w:left w:val="nil"/>
              <w:bottom w:val="nil"/>
              <w:right w:val="nil"/>
            </w:tcBorders>
            <w:shd w:val="clear" w:color="000000" w:fill="FFFFFF"/>
            <w:vAlign w:val="center"/>
            <w:hideMark/>
          </w:tcPr>
          <w:p w14:paraId="3C925C57"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dim10</w:t>
            </w:r>
          </w:p>
        </w:tc>
        <w:tc>
          <w:tcPr>
            <w:tcW w:w="936" w:type="dxa"/>
            <w:tcBorders>
              <w:top w:val="nil"/>
              <w:left w:val="nil"/>
              <w:bottom w:val="nil"/>
              <w:right w:val="nil"/>
            </w:tcBorders>
            <w:shd w:val="clear" w:color="000000" w:fill="FFFFFF"/>
            <w:vAlign w:val="bottom"/>
            <w:hideMark/>
          </w:tcPr>
          <w:p w14:paraId="0CABB2FA" w14:textId="2BE5F690"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0.11</w:t>
            </w:r>
          </w:p>
        </w:tc>
        <w:tc>
          <w:tcPr>
            <w:tcW w:w="1336" w:type="dxa"/>
            <w:tcBorders>
              <w:top w:val="nil"/>
              <w:left w:val="nil"/>
              <w:bottom w:val="nil"/>
              <w:right w:val="nil"/>
            </w:tcBorders>
            <w:shd w:val="clear" w:color="000000" w:fill="FFFFFF"/>
            <w:vAlign w:val="bottom"/>
            <w:hideMark/>
          </w:tcPr>
          <w:p w14:paraId="31FDD75F" w14:textId="5ABE89B8"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87.74</w:t>
            </w:r>
          </w:p>
        </w:tc>
        <w:tc>
          <w:tcPr>
            <w:tcW w:w="222" w:type="dxa"/>
            <w:vAlign w:val="center"/>
            <w:hideMark/>
          </w:tcPr>
          <w:p w14:paraId="723C13FA"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722D25A2" w14:textId="77777777" w:rsidTr="00D4484B">
        <w:trPr>
          <w:trHeight w:val="288"/>
        </w:trPr>
        <w:tc>
          <w:tcPr>
            <w:tcW w:w="1440" w:type="dxa"/>
            <w:tcBorders>
              <w:top w:val="nil"/>
              <w:left w:val="nil"/>
              <w:bottom w:val="nil"/>
              <w:right w:val="nil"/>
            </w:tcBorders>
            <w:shd w:val="clear" w:color="000000" w:fill="FFFFFF"/>
            <w:vAlign w:val="center"/>
            <w:hideMark/>
          </w:tcPr>
          <w:p w14:paraId="2FDA998D"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lastRenderedPageBreak/>
              <w:t>dim11</w:t>
            </w:r>
          </w:p>
        </w:tc>
        <w:tc>
          <w:tcPr>
            <w:tcW w:w="936" w:type="dxa"/>
            <w:tcBorders>
              <w:top w:val="nil"/>
              <w:left w:val="nil"/>
              <w:bottom w:val="nil"/>
              <w:right w:val="nil"/>
            </w:tcBorders>
            <w:shd w:val="clear" w:color="000000" w:fill="FFFFFF"/>
            <w:vAlign w:val="bottom"/>
            <w:hideMark/>
          </w:tcPr>
          <w:p w14:paraId="19D6DA50" w14:textId="7DFBC1EA"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0.08</w:t>
            </w:r>
          </w:p>
        </w:tc>
        <w:tc>
          <w:tcPr>
            <w:tcW w:w="1336" w:type="dxa"/>
            <w:tcBorders>
              <w:top w:val="nil"/>
              <w:left w:val="nil"/>
              <w:bottom w:val="nil"/>
              <w:right w:val="nil"/>
            </w:tcBorders>
            <w:shd w:val="clear" w:color="000000" w:fill="FFFFFF"/>
            <w:vAlign w:val="bottom"/>
            <w:hideMark/>
          </w:tcPr>
          <w:p w14:paraId="6281EA7B" w14:textId="639AB1FC"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87.82</w:t>
            </w:r>
          </w:p>
        </w:tc>
        <w:tc>
          <w:tcPr>
            <w:tcW w:w="222" w:type="dxa"/>
            <w:vAlign w:val="center"/>
            <w:hideMark/>
          </w:tcPr>
          <w:p w14:paraId="2D0D4C19"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14946265" w14:textId="77777777" w:rsidTr="00D4484B">
        <w:trPr>
          <w:trHeight w:val="288"/>
        </w:trPr>
        <w:tc>
          <w:tcPr>
            <w:tcW w:w="1440" w:type="dxa"/>
            <w:tcBorders>
              <w:top w:val="nil"/>
              <w:left w:val="nil"/>
              <w:bottom w:val="nil"/>
              <w:right w:val="nil"/>
            </w:tcBorders>
            <w:shd w:val="clear" w:color="000000" w:fill="FFFFFF"/>
            <w:vAlign w:val="center"/>
            <w:hideMark/>
          </w:tcPr>
          <w:p w14:paraId="4909ADCA"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dim12</w:t>
            </w:r>
          </w:p>
        </w:tc>
        <w:tc>
          <w:tcPr>
            <w:tcW w:w="936" w:type="dxa"/>
            <w:tcBorders>
              <w:top w:val="nil"/>
              <w:left w:val="nil"/>
              <w:bottom w:val="nil"/>
              <w:right w:val="nil"/>
            </w:tcBorders>
            <w:shd w:val="clear" w:color="000000" w:fill="FFFFFF"/>
            <w:vAlign w:val="bottom"/>
            <w:hideMark/>
          </w:tcPr>
          <w:p w14:paraId="70217A95" w14:textId="2AB499D7"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0.03</w:t>
            </w:r>
          </w:p>
        </w:tc>
        <w:tc>
          <w:tcPr>
            <w:tcW w:w="1336" w:type="dxa"/>
            <w:tcBorders>
              <w:top w:val="nil"/>
              <w:left w:val="nil"/>
              <w:bottom w:val="nil"/>
              <w:right w:val="nil"/>
            </w:tcBorders>
            <w:shd w:val="clear" w:color="000000" w:fill="FFFFFF"/>
            <w:vAlign w:val="bottom"/>
            <w:hideMark/>
          </w:tcPr>
          <w:p w14:paraId="4F68ABE0" w14:textId="2CA3FCEF"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87.85</w:t>
            </w:r>
          </w:p>
        </w:tc>
        <w:tc>
          <w:tcPr>
            <w:tcW w:w="222" w:type="dxa"/>
            <w:vAlign w:val="center"/>
            <w:hideMark/>
          </w:tcPr>
          <w:p w14:paraId="7D96930D"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1FAA31EC" w14:textId="77777777" w:rsidTr="00D4484B">
        <w:trPr>
          <w:trHeight w:val="288"/>
        </w:trPr>
        <w:tc>
          <w:tcPr>
            <w:tcW w:w="1440" w:type="dxa"/>
            <w:tcBorders>
              <w:top w:val="nil"/>
              <w:left w:val="nil"/>
              <w:bottom w:val="nil"/>
              <w:right w:val="nil"/>
            </w:tcBorders>
            <w:shd w:val="clear" w:color="000000" w:fill="FFFFFF"/>
            <w:vAlign w:val="center"/>
            <w:hideMark/>
          </w:tcPr>
          <w:p w14:paraId="1B8F7C29"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dim13</w:t>
            </w:r>
          </w:p>
        </w:tc>
        <w:tc>
          <w:tcPr>
            <w:tcW w:w="936" w:type="dxa"/>
            <w:tcBorders>
              <w:top w:val="nil"/>
              <w:left w:val="nil"/>
              <w:bottom w:val="nil"/>
              <w:right w:val="nil"/>
            </w:tcBorders>
            <w:shd w:val="clear" w:color="000000" w:fill="FFFFFF"/>
            <w:vAlign w:val="bottom"/>
            <w:hideMark/>
          </w:tcPr>
          <w:p w14:paraId="525A8C24" w14:textId="40FFA1CA"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0.01</w:t>
            </w:r>
          </w:p>
        </w:tc>
        <w:tc>
          <w:tcPr>
            <w:tcW w:w="1336" w:type="dxa"/>
            <w:tcBorders>
              <w:top w:val="nil"/>
              <w:left w:val="nil"/>
              <w:bottom w:val="nil"/>
              <w:right w:val="nil"/>
            </w:tcBorders>
            <w:shd w:val="clear" w:color="000000" w:fill="FFFFFF"/>
            <w:vAlign w:val="bottom"/>
            <w:hideMark/>
          </w:tcPr>
          <w:p w14:paraId="76BF24E1" w14:textId="3EA4AE24"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87.86</w:t>
            </w:r>
          </w:p>
        </w:tc>
        <w:tc>
          <w:tcPr>
            <w:tcW w:w="222" w:type="dxa"/>
            <w:vAlign w:val="center"/>
            <w:hideMark/>
          </w:tcPr>
          <w:p w14:paraId="1DF6C9D8"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4EFC1D7B" w14:textId="77777777" w:rsidTr="00D4484B">
        <w:trPr>
          <w:trHeight w:val="288"/>
        </w:trPr>
        <w:tc>
          <w:tcPr>
            <w:tcW w:w="1440" w:type="dxa"/>
            <w:tcBorders>
              <w:top w:val="nil"/>
              <w:left w:val="nil"/>
              <w:right w:val="nil"/>
            </w:tcBorders>
            <w:shd w:val="clear" w:color="000000" w:fill="FFFFFF"/>
            <w:vAlign w:val="center"/>
            <w:hideMark/>
          </w:tcPr>
          <w:p w14:paraId="5F49E507"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dim14</w:t>
            </w:r>
          </w:p>
        </w:tc>
        <w:tc>
          <w:tcPr>
            <w:tcW w:w="936" w:type="dxa"/>
            <w:tcBorders>
              <w:top w:val="nil"/>
              <w:left w:val="nil"/>
              <w:right w:val="nil"/>
            </w:tcBorders>
            <w:shd w:val="clear" w:color="000000" w:fill="FFFFFF"/>
            <w:vAlign w:val="bottom"/>
            <w:hideMark/>
          </w:tcPr>
          <w:p w14:paraId="3B338753" w14:textId="7D162117"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0.01</w:t>
            </w:r>
          </w:p>
        </w:tc>
        <w:tc>
          <w:tcPr>
            <w:tcW w:w="1336" w:type="dxa"/>
            <w:tcBorders>
              <w:top w:val="nil"/>
              <w:left w:val="nil"/>
              <w:right w:val="nil"/>
            </w:tcBorders>
            <w:shd w:val="clear" w:color="000000" w:fill="FFFFFF"/>
            <w:vAlign w:val="bottom"/>
            <w:hideMark/>
          </w:tcPr>
          <w:p w14:paraId="42DB451B" w14:textId="0C57579D"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87.86</w:t>
            </w:r>
          </w:p>
        </w:tc>
        <w:tc>
          <w:tcPr>
            <w:tcW w:w="222" w:type="dxa"/>
            <w:vAlign w:val="center"/>
            <w:hideMark/>
          </w:tcPr>
          <w:p w14:paraId="70F7015C" w14:textId="77777777" w:rsidR="00D4484B" w:rsidRPr="00D014C7" w:rsidRDefault="00D4484B" w:rsidP="000064B4">
            <w:pPr>
              <w:spacing w:line="240" w:lineRule="auto"/>
              <w:rPr>
                <w:rFonts w:ascii="Times New Roman" w:hAnsi="Times New Roman" w:cs="Times New Roman"/>
                <w:sz w:val="24"/>
                <w:szCs w:val="24"/>
              </w:rPr>
            </w:pPr>
          </w:p>
        </w:tc>
      </w:tr>
      <w:tr w:rsidR="00D4484B" w:rsidRPr="00D014C7" w14:paraId="73777DEE" w14:textId="77777777" w:rsidTr="00D4484B">
        <w:trPr>
          <w:trHeight w:val="288"/>
        </w:trPr>
        <w:tc>
          <w:tcPr>
            <w:tcW w:w="1440" w:type="dxa"/>
            <w:tcBorders>
              <w:top w:val="nil"/>
              <w:left w:val="nil"/>
              <w:bottom w:val="single" w:sz="4" w:space="0" w:color="auto"/>
              <w:right w:val="nil"/>
            </w:tcBorders>
            <w:shd w:val="clear" w:color="000000" w:fill="FFFFFF"/>
            <w:vAlign w:val="center"/>
            <w:hideMark/>
          </w:tcPr>
          <w:p w14:paraId="3903E9A6" w14:textId="77777777" w:rsidR="00D4484B" w:rsidRPr="000064B4" w:rsidRDefault="00D4484B" w:rsidP="000064B4">
            <w:pPr>
              <w:spacing w:line="240" w:lineRule="auto"/>
              <w:jc w:val="both"/>
              <w:rPr>
                <w:rFonts w:ascii="Times New Roman" w:hAnsi="Times New Roman" w:cs="Times New Roman"/>
                <w:i/>
                <w:iCs/>
                <w:color w:val="000000"/>
                <w:sz w:val="24"/>
                <w:szCs w:val="24"/>
              </w:rPr>
            </w:pPr>
            <w:r w:rsidRPr="000064B4">
              <w:rPr>
                <w:rFonts w:ascii="Times New Roman" w:hAnsi="Times New Roman" w:cs="Times New Roman"/>
                <w:i/>
                <w:iCs/>
                <w:color w:val="000000"/>
                <w:sz w:val="24"/>
                <w:szCs w:val="24"/>
              </w:rPr>
              <w:t>dim15</w:t>
            </w:r>
          </w:p>
        </w:tc>
        <w:tc>
          <w:tcPr>
            <w:tcW w:w="936" w:type="dxa"/>
            <w:tcBorders>
              <w:top w:val="nil"/>
              <w:left w:val="nil"/>
              <w:bottom w:val="single" w:sz="4" w:space="0" w:color="auto"/>
              <w:right w:val="nil"/>
            </w:tcBorders>
            <w:shd w:val="clear" w:color="000000" w:fill="FFFFFF"/>
            <w:vAlign w:val="bottom"/>
            <w:hideMark/>
          </w:tcPr>
          <w:p w14:paraId="110F2DE2" w14:textId="4F8CB3AB"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0</w:t>
            </w:r>
          </w:p>
        </w:tc>
        <w:tc>
          <w:tcPr>
            <w:tcW w:w="1336" w:type="dxa"/>
            <w:tcBorders>
              <w:top w:val="nil"/>
              <w:left w:val="nil"/>
              <w:bottom w:val="single" w:sz="4" w:space="0" w:color="auto"/>
              <w:right w:val="nil"/>
            </w:tcBorders>
            <w:shd w:val="clear" w:color="000000" w:fill="FFFFFF"/>
            <w:vAlign w:val="bottom"/>
            <w:hideMark/>
          </w:tcPr>
          <w:p w14:paraId="0E5FE483" w14:textId="0EDE44C5" w:rsidR="00D4484B" w:rsidRPr="000064B4" w:rsidRDefault="00D4484B" w:rsidP="000064B4">
            <w:pPr>
              <w:spacing w:line="240" w:lineRule="auto"/>
              <w:jc w:val="both"/>
              <w:rPr>
                <w:rFonts w:ascii="Times New Roman" w:hAnsi="Times New Roman" w:cs="Times New Roman"/>
                <w:color w:val="000000"/>
                <w:sz w:val="24"/>
                <w:szCs w:val="24"/>
              </w:rPr>
            </w:pPr>
            <w:r w:rsidRPr="000064B4">
              <w:rPr>
                <w:rFonts w:ascii="Times New Roman" w:hAnsi="Times New Roman" w:cs="Times New Roman"/>
                <w:color w:val="000000"/>
                <w:sz w:val="24"/>
                <w:szCs w:val="24"/>
              </w:rPr>
              <w:t>87.86</w:t>
            </w:r>
          </w:p>
        </w:tc>
        <w:tc>
          <w:tcPr>
            <w:tcW w:w="222" w:type="dxa"/>
            <w:vAlign w:val="center"/>
            <w:hideMark/>
          </w:tcPr>
          <w:p w14:paraId="0FCE2BEB" w14:textId="77777777" w:rsidR="00D4484B" w:rsidRPr="00D014C7" w:rsidRDefault="00D4484B" w:rsidP="000064B4">
            <w:pPr>
              <w:spacing w:line="240" w:lineRule="auto"/>
              <w:rPr>
                <w:rFonts w:ascii="Times New Roman" w:hAnsi="Times New Roman" w:cs="Times New Roman"/>
                <w:sz w:val="24"/>
                <w:szCs w:val="24"/>
              </w:rPr>
            </w:pPr>
          </w:p>
        </w:tc>
      </w:tr>
    </w:tbl>
    <w:p w14:paraId="0790C2CE" w14:textId="77777777" w:rsidR="0015413B" w:rsidRPr="00D014C7" w:rsidRDefault="0015413B" w:rsidP="00D67DD5">
      <w:pPr>
        <w:spacing w:line="240" w:lineRule="auto"/>
        <w:jc w:val="both"/>
        <w:rPr>
          <w:rFonts w:ascii="Times New Roman" w:hAnsi="Times New Roman" w:cs="Times New Roman"/>
          <w:sz w:val="24"/>
          <w:szCs w:val="24"/>
        </w:rPr>
      </w:pPr>
    </w:p>
    <w:p w14:paraId="431516D7" w14:textId="49BAA371" w:rsidR="0015413B" w:rsidRPr="00D014C7" w:rsidRDefault="0015413B" w:rsidP="00D668CE">
      <w:pPr>
        <w:spacing w:line="240" w:lineRule="auto"/>
        <w:ind w:firstLine="851"/>
        <w:jc w:val="both"/>
        <w:rPr>
          <w:rFonts w:ascii="Times New Roman" w:hAnsi="Times New Roman" w:cs="Times New Roman"/>
          <w:sz w:val="24"/>
          <w:szCs w:val="24"/>
        </w:rPr>
      </w:pPr>
      <w:r w:rsidRPr="00D014C7">
        <w:rPr>
          <w:rFonts w:ascii="Times New Roman" w:hAnsi="Times New Roman" w:cs="Times New Roman"/>
          <w:sz w:val="24"/>
          <w:szCs w:val="24"/>
        </w:rPr>
        <w:t>The coordinates and the contribution to total inertia is given below in Table 4.</w:t>
      </w:r>
    </w:p>
    <w:p w14:paraId="4726C836" w14:textId="006DF6FA" w:rsidR="003B1D26" w:rsidRPr="00D014C7" w:rsidRDefault="003B1D26" w:rsidP="003B1D26">
      <w:pPr>
        <w:keepNext/>
        <w:jc w:val="center"/>
        <w:rPr>
          <w:rFonts w:ascii="Times New Roman" w:hAnsi="Times New Roman" w:cs="Times New Roman"/>
          <w:sz w:val="24"/>
          <w:szCs w:val="24"/>
        </w:rPr>
      </w:pPr>
      <w:r w:rsidRPr="0046268B">
        <w:rPr>
          <w:rFonts w:ascii="Times New Roman" w:hAnsi="Times New Roman" w:cs="Times New Roman"/>
          <w:b/>
          <w:bCs/>
          <w:sz w:val="24"/>
          <w:szCs w:val="24"/>
        </w:rPr>
        <w:t xml:space="preserve">Table </w:t>
      </w:r>
      <w:r w:rsidRPr="0046268B">
        <w:rPr>
          <w:rFonts w:ascii="Times New Roman" w:hAnsi="Times New Roman" w:cs="Times New Roman"/>
          <w:b/>
          <w:bCs/>
          <w:sz w:val="24"/>
          <w:szCs w:val="24"/>
        </w:rPr>
        <w:fldChar w:fldCharType="begin"/>
      </w:r>
      <w:r w:rsidRPr="0046268B">
        <w:rPr>
          <w:rFonts w:ascii="Times New Roman" w:hAnsi="Times New Roman" w:cs="Times New Roman"/>
          <w:b/>
          <w:bCs/>
          <w:sz w:val="24"/>
          <w:szCs w:val="24"/>
        </w:rPr>
        <w:instrText xml:space="preserve"> SEQ Table \* ARABIC </w:instrText>
      </w:r>
      <w:r w:rsidRPr="0046268B">
        <w:rPr>
          <w:rFonts w:ascii="Times New Roman" w:hAnsi="Times New Roman" w:cs="Times New Roman"/>
          <w:b/>
          <w:bCs/>
          <w:sz w:val="24"/>
          <w:szCs w:val="24"/>
        </w:rPr>
        <w:fldChar w:fldCharType="separate"/>
      </w:r>
      <w:r w:rsidR="0056758C">
        <w:rPr>
          <w:rFonts w:ascii="Times New Roman" w:hAnsi="Times New Roman" w:cs="Times New Roman"/>
          <w:b/>
          <w:bCs/>
          <w:noProof/>
          <w:sz w:val="24"/>
          <w:szCs w:val="24"/>
        </w:rPr>
        <w:t>4</w:t>
      </w:r>
      <w:r w:rsidRPr="0046268B">
        <w:rPr>
          <w:rFonts w:ascii="Times New Roman" w:hAnsi="Times New Roman" w:cs="Times New Roman"/>
          <w:b/>
          <w:bCs/>
          <w:sz w:val="24"/>
          <w:szCs w:val="24"/>
        </w:rPr>
        <w:fldChar w:fldCharType="end"/>
      </w:r>
      <w:r w:rsidRPr="0046268B">
        <w:rPr>
          <w:rFonts w:ascii="Times New Roman" w:hAnsi="Times New Roman" w:cs="Times New Roman"/>
          <w:b/>
          <w:bCs/>
          <w:sz w:val="24"/>
          <w:szCs w:val="24"/>
        </w:rPr>
        <w:t xml:space="preserve">. Contribution and coordinates of categories </w:t>
      </w:r>
    </w:p>
    <w:tbl>
      <w:tblPr>
        <w:tblW w:w="8850" w:type="dxa"/>
        <w:tblLook w:val="04A0" w:firstRow="1" w:lastRow="0" w:firstColumn="1" w:lastColumn="0" w:noHBand="0" w:noVBand="1"/>
      </w:tblPr>
      <w:tblGrid>
        <w:gridCol w:w="1464"/>
        <w:gridCol w:w="733"/>
        <w:gridCol w:w="883"/>
        <w:gridCol w:w="850"/>
        <w:gridCol w:w="790"/>
        <w:gridCol w:w="785"/>
        <w:gridCol w:w="891"/>
        <w:gridCol w:w="790"/>
        <w:gridCol w:w="785"/>
        <w:gridCol w:w="894"/>
      </w:tblGrid>
      <w:tr w:rsidR="00423B79" w:rsidRPr="00357EE1" w14:paraId="206F86E9" w14:textId="77777777" w:rsidTr="00423B79">
        <w:trPr>
          <w:trHeight w:val="254"/>
        </w:trPr>
        <w:tc>
          <w:tcPr>
            <w:tcW w:w="1449" w:type="dxa"/>
            <w:shd w:val="clear" w:color="auto" w:fill="auto"/>
            <w:noWrap/>
            <w:vAlign w:val="bottom"/>
            <w:hideMark/>
          </w:tcPr>
          <w:p w14:paraId="6706742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2466" w:type="dxa"/>
            <w:gridSpan w:val="3"/>
            <w:tcBorders>
              <w:bottom w:val="single" w:sz="4" w:space="0" w:color="auto"/>
            </w:tcBorders>
            <w:shd w:val="clear" w:color="auto" w:fill="auto"/>
            <w:noWrap/>
            <w:vAlign w:val="bottom"/>
            <w:hideMark/>
          </w:tcPr>
          <w:p w14:paraId="7DA1DCB8" w14:textId="77777777" w:rsidR="0056758C" w:rsidRPr="00357EE1" w:rsidRDefault="0056758C" w:rsidP="009A4AEC">
            <w:pPr>
              <w:spacing w:after="0" w:line="240" w:lineRule="auto"/>
              <w:jc w:val="center"/>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Overall</w:t>
            </w:r>
          </w:p>
        </w:tc>
        <w:tc>
          <w:tcPr>
            <w:tcW w:w="2466" w:type="dxa"/>
            <w:gridSpan w:val="3"/>
            <w:tcBorders>
              <w:bottom w:val="single" w:sz="4" w:space="0" w:color="auto"/>
            </w:tcBorders>
            <w:shd w:val="clear" w:color="auto" w:fill="auto"/>
            <w:noWrap/>
            <w:vAlign w:val="bottom"/>
            <w:hideMark/>
          </w:tcPr>
          <w:p w14:paraId="459D6AAA" w14:textId="77777777" w:rsidR="0056758C" w:rsidRPr="00357EE1" w:rsidRDefault="0056758C" w:rsidP="009A4AEC">
            <w:pPr>
              <w:spacing w:after="0" w:line="240" w:lineRule="auto"/>
              <w:jc w:val="center"/>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Dimension 1</w:t>
            </w:r>
          </w:p>
        </w:tc>
        <w:tc>
          <w:tcPr>
            <w:tcW w:w="2469" w:type="dxa"/>
            <w:gridSpan w:val="3"/>
            <w:tcBorders>
              <w:bottom w:val="single" w:sz="4" w:space="0" w:color="auto"/>
            </w:tcBorders>
            <w:shd w:val="clear" w:color="auto" w:fill="auto"/>
            <w:noWrap/>
            <w:vAlign w:val="bottom"/>
            <w:hideMark/>
          </w:tcPr>
          <w:p w14:paraId="4311E448" w14:textId="77777777" w:rsidR="0056758C" w:rsidRPr="00357EE1" w:rsidRDefault="0056758C" w:rsidP="009A4AEC">
            <w:pPr>
              <w:spacing w:after="0" w:line="240" w:lineRule="auto"/>
              <w:jc w:val="center"/>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Dimension 2</w:t>
            </w:r>
          </w:p>
        </w:tc>
      </w:tr>
      <w:tr w:rsidR="00423B79" w:rsidRPr="00357EE1" w14:paraId="0EDE2EB3" w14:textId="77777777" w:rsidTr="00423B79">
        <w:trPr>
          <w:trHeight w:val="254"/>
        </w:trPr>
        <w:tc>
          <w:tcPr>
            <w:tcW w:w="1449" w:type="dxa"/>
            <w:tcBorders>
              <w:bottom w:val="single" w:sz="4" w:space="0" w:color="auto"/>
            </w:tcBorders>
            <w:shd w:val="clear" w:color="auto" w:fill="auto"/>
            <w:noWrap/>
            <w:vAlign w:val="bottom"/>
            <w:hideMark/>
          </w:tcPr>
          <w:p w14:paraId="7197499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Categories</w:t>
            </w:r>
          </w:p>
        </w:tc>
        <w:tc>
          <w:tcPr>
            <w:tcW w:w="733" w:type="dxa"/>
            <w:tcBorders>
              <w:top w:val="single" w:sz="4" w:space="0" w:color="auto"/>
              <w:bottom w:val="single" w:sz="4" w:space="0" w:color="auto"/>
            </w:tcBorders>
            <w:shd w:val="clear" w:color="auto" w:fill="auto"/>
            <w:noWrap/>
            <w:vAlign w:val="bottom"/>
            <w:hideMark/>
          </w:tcPr>
          <w:p w14:paraId="53EE5754"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mass</w:t>
            </w:r>
          </w:p>
        </w:tc>
        <w:tc>
          <w:tcPr>
            <w:tcW w:w="883" w:type="dxa"/>
            <w:tcBorders>
              <w:top w:val="single" w:sz="4" w:space="0" w:color="auto"/>
              <w:bottom w:val="single" w:sz="4" w:space="0" w:color="auto"/>
            </w:tcBorders>
            <w:shd w:val="clear" w:color="auto" w:fill="auto"/>
            <w:noWrap/>
            <w:vAlign w:val="bottom"/>
            <w:hideMark/>
          </w:tcPr>
          <w:p w14:paraId="799923EE"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quality</w:t>
            </w:r>
          </w:p>
        </w:tc>
        <w:tc>
          <w:tcPr>
            <w:tcW w:w="849" w:type="dxa"/>
            <w:tcBorders>
              <w:top w:val="single" w:sz="4" w:space="0" w:color="auto"/>
              <w:bottom w:val="single" w:sz="4" w:space="0" w:color="auto"/>
            </w:tcBorders>
            <w:shd w:val="clear" w:color="auto" w:fill="auto"/>
            <w:noWrap/>
            <w:vAlign w:val="bottom"/>
            <w:hideMark/>
          </w:tcPr>
          <w:p w14:paraId="0304495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%inert</w:t>
            </w:r>
          </w:p>
        </w:tc>
        <w:tc>
          <w:tcPr>
            <w:tcW w:w="790" w:type="dxa"/>
            <w:tcBorders>
              <w:top w:val="single" w:sz="4" w:space="0" w:color="auto"/>
              <w:bottom w:val="single" w:sz="4" w:space="0" w:color="auto"/>
            </w:tcBorders>
            <w:shd w:val="clear" w:color="auto" w:fill="auto"/>
            <w:noWrap/>
            <w:vAlign w:val="bottom"/>
            <w:hideMark/>
          </w:tcPr>
          <w:p w14:paraId="567D529C"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coord</w:t>
            </w:r>
          </w:p>
        </w:tc>
        <w:tc>
          <w:tcPr>
            <w:tcW w:w="785" w:type="dxa"/>
            <w:tcBorders>
              <w:top w:val="single" w:sz="4" w:space="0" w:color="auto"/>
              <w:bottom w:val="single" w:sz="4" w:space="0" w:color="auto"/>
            </w:tcBorders>
            <w:shd w:val="clear" w:color="auto" w:fill="auto"/>
            <w:noWrap/>
            <w:vAlign w:val="bottom"/>
            <w:hideMark/>
          </w:tcPr>
          <w:p w14:paraId="20D70EA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sqcorr</w:t>
            </w:r>
          </w:p>
        </w:tc>
        <w:tc>
          <w:tcPr>
            <w:tcW w:w="890" w:type="dxa"/>
            <w:tcBorders>
              <w:top w:val="single" w:sz="4" w:space="0" w:color="auto"/>
              <w:bottom w:val="single" w:sz="4" w:space="0" w:color="auto"/>
            </w:tcBorders>
            <w:shd w:val="clear" w:color="auto" w:fill="auto"/>
            <w:noWrap/>
            <w:vAlign w:val="bottom"/>
            <w:hideMark/>
          </w:tcPr>
          <w:p w14:paraId="75590CCE"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contrib</w:t>
            </w:r>
          </w:p>
        </w:tc>
        <w:tc>
          <w:tcPr>
            <w:tcW w:w="790" w:type="dxa"/>
            <w:tcBorders>
              <w:top w:val="single" w:sz="4" w:space="0" w:color="auto"/>
              <w:bottom w:val="single" w:sz="4" w:space="0" w:color="auto"/>
            </w:tcBorders>
            <w:shd w:val="clear" w:color="auto" w:fill="auto"/>
            <w:noWrap/>
            <w:vAlign w:val="bottom"/>
            <w:hideMark/>
          </w:tcPr>
          <w:p w14:paraId="744D1E4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coord</w:t>
            </w:r>
          </w:p>
        </w:tc>
        <w:tc>
          <w:tcPr>
            <w:tcW w:w="785" w:type="dxa"/>
            <w:tcBorders>
              <w:top w:val="single" w:sz="4" w:space="0" w:color="auto"/>
              <w:bottom w:val="single" w:sz="4" w:space="0" w:color="auto"/>
            </w:tcBorders>
            <w:shd w:val="clear" w:color="auto" w:fill="auto"/>
            <w:noWrap/>
            <w:vAlign w:val="bottom"/>
            <w:hideMark/>
          </w:tcPr>
          <w:p w14:paraId="4D8EF20A"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sqcorr</w:t>
            </w:r>
          </w:p>
        </w:tc>
        <w:tc>
          <w:tcPr>
            <w:tcW w:w="893" w:type="dxa"/>
            <w:tcBorders>
              <w:top w:val="single" w:sz="4" w:space="0" w:color="auto"/>
              <w:bottom w:val="single" w:sz="4" w:space="0" w:color="auto"/>
            </w:tcBorders>
            <w:shd w:val="clear" w:color="auto" w:fill="auto"/>
            <w:noWrap/>
            <w:vAlign w:val="bottom"/>
            <w:hideMark/>
          </w:tcPr>
          <w:p w14:paraId="7FE853A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contrib</w:t>
            </w:r>
          </w:p>
        </w:tc>
      </w:tr>
      <w:tr w:rsidR="00423B79" w:rsidRPr="00357EE1" w14:paraId="72012DDB" w14:textId="77777777" w:rsidTr="00423B79">
        <w:trPr>
          <w:trHeight w:val="254"/>
        </w:trPr>
        <w:tc>
          <w:tcPr>
            <w:tcW w:w="1449" w:type="dxa"/>
            <w:tcBorders>
              <w:top w:val="single" w:sz="4" w:space="0" w:color="auto"/>
            </w:tcBorders>
            <w:shd w:val="clear" w:color="auto" w:fill="auto"/>
            <w:noWrap/>
            <w:vAlign w:val="bottom"/>
            <w:hideMark/>
          </w:tcPr>
          <w:p w14:paraId="7CB23468"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hdi1</w:t>
            </w:r>
          </w:p>
        </w:tc>
        <w:tc>
          <w:tcPr>
            <w:tcW w:w="733" w:type="dxa"/>
            <w:tcBorders>
              <w:top w:val="single" w:sz="4" w:space="0" w:color="auto"/>
            </w:tcBorders>
            <w:shd w:val="clear" w:color="auto" w:fill="auto"/>
            <w:noWrap/>
            <w:vAlign w:val="bottom"/>
            <w:hideMark/>
          </w:tcPr>
          <w:p w14:paraId="5B91808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tcBorders>
              <w:top w:val="single" w:sz="4" w:space="0" w:color="auto"/>
            </w:tcBorders>
            <w:shd w:val="clear" w:color="auto" w:fill="auto"/>
            <w:noWrap/>
            <w:vAlign w:val="bottom"/>
            <w:hideMark/>
          </w:tcPr>
          <w:p w14:paraId="77FB9F1D"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tcBorders>
              <w:top w:val="single" w:sz="4" w:space="0" w:color="auto"/>
            </w:tcBorders>
            <w:shd w:val="clear" w:color="auto" w:fill="auto"/>
            <w:noWrap/>
            <w:vAlign w:val="bottom"/>
            <w:hideMark/>
          </w:tcPr>
          <w:p w14:paraId="0B141BF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tcBorders>
              <w:top w:val="single" w:sz="4" w:space="0" w:color="auto"/>
            </w:tcBorders>
            <w:shd w:val="clear" w:color="auto" w:fill="auto"/>
            <w:noWrap/>
            <w:vAlign w:val="bottom"/>
            <w:hideMark/>
          </w:tcPr>
          <w:p w14:paraId="1D81931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tcBorders>
              <w:top w:val="single" w:sz="4" w:space="0" w:color="auto"/>
            </w:tcBorders>
            <w:shd w:val="clear" w:color="auto" w:fill="auto"/>
            <w:noWrap/>
            <w:vAlign w:val="bottom"/>
            <w:hideMark/>
          </w:tcPr>
          <w:p w14:paraId="0EF4DAA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tcBorders>
              <w:top w:val="single" w:sz="4" w:space="0" w:color="auto"/>
            </w:tcBorders>
            <w:shd w:val="clear" w:color="auto" w:fill="auto"/>
            <w:noWrap/>
            <w:vAlign w:val="bottom"/>
            <w:hideMark/>
          </w:tcPr>
          <w:p w14:paraId="627632A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tcBorders>
              <w:top w:val="single" w:sz="4" w:space="0" w:color="auto"/>
            </w:tcBorders>
            <w:shd w:val="clear" w:color="auto" w:fill="auto"/>
            <w:noWrap/>
            <w:vAlign w:val="bottom"/>
            <w:hideMark/>
          </w:tcPr>
          <w:p w14:paraId="6B832582"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tcBorders>
              <w:top w:val="single" w:sz="4" w:space="0" w:color="auto"/>
            </w:tcBorders>
            <w:shd w:val="clear" w:color="auto" w:fill="auto"/>
            <w:noWrap/>
            <w:vAlign w:val="bottom"/>
            <w:hideMark/>
          </w:tcPr>
          <w:p w14:paraId="2142E67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tcBorders>
              <w:top w:val="single" w:sz="4" w:space="0" w:color="auto"/>
            </w:tcBorders>
            <w:shd w:val="clear" w:color="auto" w:fill="auto"/>
            <w:noWrap/>
            <w:vAlign w:val="bottom"/>
            <w:hideMark/>
          </w:tcPr>
          <w:p w14:paraId="1E8F140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5B38A7B0" w14:textId="77777777" w:rsidTr="00423B79">
        <w:trPr>
          <w:trHeight w:val="254"/>
        </w:trPr>
        <w:tc>
          <w:tcPr>
            <w:tcW w:w="1449" w:type="dxa"/>
            <w:shd w:val="clear" w:color="auto" w:fill="auto"/>
            <w:noWrap/>
            <w:vAlign w:val="bottom"/>
            <w:hideMark/>
          </w:tcPr>
          <w:p w14:paraId="3249236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3AE0994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0.013</w:t>
            </w:r>
          </w:p>
        </w:tc>
        <w:tc>
          <w:tcPr>
            <w:tcW w:w="883" w:type="dxa"/>
            <w:shd w:val="clear" w:color="auto" w:fill="auto"/>
            <w:noWrap/>
            <w:vAlign w:val="bottom"/>
            <w:hideMark/>
          </w:tcPr>
          <w:p w14:paraId="55646D9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0.118</w:t>
            </w:r>
          </w:p>
        </w:tc>
        <w:tc>
          <w:tcPr>
            <w:tcW w:w="849" w:type="dxa"/>
            <w:shd w:val="clear" w:color="auto" w:fill="auto"/>
            <w:noWrap/>
            <w:vAlign w:val="bottom"/>
            <w:hideMark/>
          </w:tcPr>
          <w:p w14:paraId="08CC1F6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0.007</w:t>
            </w:r>
          </w:p>
        </w:tc>
        <w:tc>
          <w:tcPr>
            <w:tcW w:w="790" w:type="dxa"/>
            <w:shd w:val="clear" w:color="auto" w:fill="auto"/>
            <w:noWrap/>
            <w:vAlign w:val="bottom"/>
            <w:hideMark/>
          </w:tcPr>
          <w:p w14:paraId="19DE8AF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0.258</w:t>
            </w:r>
          </w:p>
        </w:tc>
        <w:tc>
          <w:tcPr>
            <w:tcW w:w="785" w:type="dxa"/>
            <w:shd w:val="clear" w:color="auto" w:fill="auto"/>
            <w:noWrap/>
            <w:vAlign w:val="bottom"/>
            <w:hideMark/>
          </w:tcPr>
          <w:p w14:paraId="0984FA1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0.068</w:t>
            </w:r>
          </w:p>
        </w:tc>
        <w:tc>
          <w:tcPr>
            <w:tcW w:w="890" w:type="dxa"/>
            <w:shd w:val="clear" w:color="auto" w:fill="auto"/>
            <w:noWrap/>
            <w:vAlign w:val="bottom"/>
            <w:hideMark/>
          </w:tcPr>
          <w:p w14:paraId="4D7A590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c>
          <w:tcPr>
            <w:tcW w:w="790" w:type="dxa"/>
            <w:shd w:val="clear" w:color="auto" w:fill="auto"/>
            <w:noWrap/>
            <w:vAlign w:val="bottom"/>
            <w:hideMark/>
          </w:tcPr>
          <w:p w14:paraId="69B76A1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0.329</w:t>
            </w:r>
          </w:p>
        </w:tc>
        <w:tc>
          <w:tcPr>
            <w:tcW w:w="785" w:type="dxa"/>
            <w:shd w:val="clear" w:color="auto" w:fill="auto"/>
            <w:noWrap/>
            <w:vAlign w:val="bottom"/>
            <w:hideMark/>
          </w:tcPr>
          <w:p w14:paraId="3C6DE5C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w:t>
            </w:r>
          </w:p>
        </w:tc>
        <w:tc>
          <w:tcPr>
            <w:tcW w:w="893" w:type="dxa"/>
            <w:shd w:val="clear" w:color="auto" w:fill="auto"/>
            <w:noWrap/>
            <w:vAlign w:val="bottom"/>
            <w:hideMark/>
          </w:tcPr>
          <w:p w14:paraId="5F159D1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654CB3E3" w14:textId="77777777" w:rsidTr="00423B79">
        <w:trPr>
          <w:trHeight w:val="254"/>
        </w:trPr>
        <w:tc>
          <w:tcPr>
            <w:tcW w:w="1449" w:type="dxa"/>
            <w:shd w:val="clear" w:color="auto" w:fill="auto"/>
            <w:noWrap/>
            <w:vAlign w:val="bottom"/>
            <w:hideMark/>
          </w:tcPr>
          <w:p w14:paraId="2786027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5B18C4C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0.008</w:t>
            </w:r>
          </w:p>
        </w:tc>
        <w:tc>
          <w:tcPr>
            <w:tcW w:w="883" w:type="dxa"/>
            <w:shd w:val="clear" w:color="auto" w:fill="auto"/>
            <w:noWrap/>
            <w:vAlign w:val="bottom"/>
            <w:hideMark/>
          </w:tcPr>
          <w:p w14:paraId="6040E4D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0.654</w:t>
            </w:r>
          </w:p>
        </w:tc>
        <w:tc>
          <w:tcPr>
            <w:tcW w:w="849" w:type="dxa"/>
            <w:shd w:val="clear" w:color="auto" w:fill="auto"/>
            <w:noWrap/>
            <w:vAlign w:val="bottom"/>
            <w:hideMark/>
          </w:tcPr>
          <w:p w14:paraId="34973BC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0.023</w:t>
            </w:r>
          </w:p>
        </w:tc>
        <w:tc>
          <w:tcPr>
            <w:tcW w:w="790" w:type="dxa"/>
            <w:shd w:val="clear" w:color="auto" w:fill="auto"/>
            <w:noWrap/>
            <w:vAlign w:val="bottom"/>
            <w:hideMark/>
          </w:tcPr>
          <w:p w14:paraId="28DD4C4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1.825</w:t>
            </w:r>
          </w:p>
        </w:tc>
        <w:tc>
          <w:tcPr>
            <w:tcW w:w="785" w:type="dxa"/>
            <w:shd w:val="clear" w:color="auto" w:fill="auto"/>
            <w:noWrap/>
            <w:vAlign w:val="bottom"/>
            <w:hideMark/>
          </w:tcPr>
          <w:p w14:paraId="4CC4642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0.622</w:t>
            </w:r>
          </w:p>
        </w:tc>
        <w:tc>
          <w:tcPr>
            <w:tcW w:w="890" w:type="dxa"/>
            <w:shd w:val="clear" w:color="auto" w:fill="auto"/>
            <w:noWrap/>
            <w:vAlign w:val="bottom"/>
            <w:hideMark/>
          </w:tcPr>
          <w:p w14:paraId="25444CD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0.026</w:t>
            </w:r>
          </w:p>
        </w:tc>
        <w:tc>
          <w:tcPr>
            <w:tcW w:w="790" w:type="dxa"/>
            <w:shd w:val="clear" w:color="auto" w:fill="auto"/>
            <w:noWrap/>
            <w:vAlign w:val="bottom"/>
            <w:hideMark/>
          </w:tcPr>
          <w:p w14:paraId="4844D84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0.617</w:t>
            </w:r>
          </w:p>
        </w:tc>
        <w:tc>
          <w:tcPr>
            <w:tcW w:w="785" w:type="dxa"/>
            <w:shd w:val="clear" w:color="auto" w:fill="auto"/>
            <w:noWrap/>
            <w:vAlign w:val="bottom"/>
            <w:hideMark/>
          </w:tcPr>
          <w:p w14:paraId="142A058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0.032</w:t>
            </w:r>
          </w:p>
        </w:tc>
        <w:tc>
          <w:tcPr>
            <w:tcW w:w="893" w:type="dxa"/>
            <w:shd w:val="clear" w:color="auto" w:fill="auto"/>
            <w:noWrap/>
            <w:vAlign w:val="bottom"/>
            <w:hideMark/>
          </w:tcPr>
          <w:p w14:paraId="2B227E1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r>
      <w:tr w:rsidR="00423B79" w:rsidRPr="00357EE1" w14:paraId="5C796F22" w14:textId="77777777" w:rsidTr="00423B79">
        <w:trPr>
          <w:trHeight w:val="254"/>
        </w:trPr>
        <w:tc>
          <w:tcPr>
            <w:tcW w:w="1449" w:type="dxa"/>
            <w:shd w:val="clear" w:color="auto" w:fill="auto"/>
            <w:noWrap/>
            <w:vAlign w:val="bottom"/>
            <w:hideMark/>
          </w:tcPr>
          <w:p w14:paraId="4A9E02C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2ADC602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883" w:type="dxa"/>
            <w:shd w:val="clear" w:color="auto" w:fill="auto"/>
            <w:noWrap/>
            <w:vAlign w:val="bottom"/>
            <w:hideMark/>
          </w:tcPr>
          <w:p w14:paraId="6362BC2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0.741</w:t>
            </w:r>
          </w:p>
        </w:tc>
        <w:tc>
          <w:tcPr>
            <w:tcW w:w="849" w:type="dxa"/>
            <w:shd w:val="clear" w:color="auto" w:fill="auto"/>
            <w:noWrap/>
            <w:vAlign w:val="bottom"/>
            <w:hideMark/>
          </w:tcPr>
          <w:p w14:paraId="5DD8C5C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0.014</w:t>
            </w:r>
          </w:p>
        </w:tc>
        <w:tc>
          <w:tcPr>
            <w:tcW w:w="790" w:type="dxa"/>
            <w:shd w:val="clear" w:color="auto" w:fill="auto"/>
            <w:noWrap/>
            <w:vAlign w:val="bottom"/>
            <w:hideMark/>
          </w:tcPr>
          <w:p w14:paraId="6029856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1.335</w:t>
            </w:r>
          </w:p>
        </w:tc>
        <w:tc>
          <w:tcPr>
            <w:tcW w:w="785" w:type="dxa"/>
            <w:shd w:val="clear" w:color="auto" w:fill="auto"/>
            <w:noWrap/>
            <w:vAlign w:val="bottom"/>
            <w:hideMark/>
          </w:tcPr>
          <w:p w14:paraId="33EF3C7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0.593</w:t>
            </w:r>
          </w:p>
        </w:tc>
        <w:tc>
          <w:tcPr>
            <w:tcW w:w="890" w:type="dxa"/>
            <w:shd w:val="clear" w:color="auto" w:fill="auto"/>
            <w:noWrap/>
            <w:vAlign w:val="bottom"/>
            <w:hideMark/>
          </w:tcPr>
          <w:p w14:paraId="7BEEC99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790" w:type="dxa"/>
            <w:shd w:val="clear" w:color="auto" w:fill="auto"/>
            <w:noWrap/>
            <w:vAlign w:val="bottom"/>
            <w:hideMark/>
          </w:tcPr>
          <w:p w14:paraId="12B7859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0.992</w:t>
            </w:r>
          </w:p>
        </w:tc>
        <w:tc>
          <w:tcPr>
            <w:tcW w:w="785" w:type="dxa"/>
            <w:shd w:val="clear" w:color="auto" w:fill="auto"/>
            <w:noWrap/>
            <w:vAlign w:val="bottom"/>
            <w:hideMark/>
          </w:tcPr>
          <w:p w14:paraId="258C911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0.147</w:t>
            </w:r>
          </w:p>
        </w:tc>
        <w:tc>
          <w:tcPr>
            <w:tcW w:w="893" w:type="dxa"/>
            <w:shd w:val="clear" w:color="auto" w:fill="auto"/>
            <w:noWrap/>
            <w:vAlign w:val="bottom"/>
            <w:hideMark/>
          </w:tcPr>
          <w:p w14:paraId="1CA7627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r>
      <w:tr w:rsidR="00423B79" w:rsidRPr="00357EE1" w14:paraId="2CB74CAE" w14:textId="77777777" w:rsidTr="00423B79">
        <w:trPr>
          <w:trHeight w:val="254"/>
        </w:trPr>
        <w:tc>
          <w:tcPr>
            <w:tcW w:w="1449" w:type="dxa"/>
            <w:shd w:val="clear" w:color="auto" w:fill="auto"/>
            <w:noWrap/>
            <w:vAlign w:val="bottom"/>
            <w:hideMark/>
          </w:tcPr>
          <w:p w14:paraId="39A94784"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VERY HIGH</w:t>
            </w:r>
          </w:p>
        </w:tc>
        <w:tc>
          <w:tcPr>
            <w:tcW w:w="733" w:type="dxa"/>
            <w:shd w:val="clear" w:color="auto" w:fill="auto"/>
            <w:noWrap/>
            <w:vAlign w:val="bottom"/>
            <w:hideMark/>
          </w:tcPr>
          <w:p w14:paraId="2E29567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883" w:type="dxa"/>
            <w:shd w:val="clear" w:color="auto" w:fill="auto"/>
            <w:noWrap/>
            <w:vAlign w:val="bottom"/>
            <w:hideMark/>
          </w:tcPr>
          <w:p w14:paraId="02E6DFF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0.893</w:t>
            </w:r>
          </w:p>
        </w:tc>
        <w:tc>
          <w:tcPr>
            <w:tcW w:w="849" w:type="dxa"/>
            <w:shd w:val="clear" w:color="auto" w:fill="auto"/>
            <w:noWrap/>
            <w:vAlign w:val="bottom"/>
            <w:hideMark/>
          </w:tcPr>
          <w:p w14:paraId="6E2A93D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0.039</w:t>
            </w:r>
          </w:p>
        </w:tc>
        <w:tc>
          <w:tcPr>
            <w:tcW w:w="790" w:type="dxa"/>
            <w:shd w:val="clear" w:color="auto" w:fill="auto"/>
            <w:noWrap/>
            <w:vAlign w:val="bottom"/>
            <w:hideMark/>
          </w:tcPr>
          <w:p w14:paraId="7276972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-1.868</w:t>
            </w:r>
          </w:p>
        </w:tc>
        <w:tc>
          <w:tcPr>
            <w:tcW w:w="785" w:type="dxa"/>
            <w:shd w:val="clear" w:color="auto" w:fill="auto"/>
            <w:noWrap/>
            <w:vAlign w:val="bottom"/>
            <w:hideMark/>
          </w:tcPr>
          <w:p w14:paraId="4A91308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0.767</w:t>
            </w:r>
          </w:p>
        </w:tc>
        <w:tc>
          <w:tcPr>
            <w:tcW w:w="890" w:type="dxa"/>
            <w:shd w:val="clear" w:color="auto" w:fill="auto"/>
            <w:noWrap/>
            <w:vAlign w:val="bottom"/>
            <w:hideMark/>
          </w:tcPr>
          <w:p w14:paraId="3F00371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0.055</w:t>
            </w:r>
          </w:p>
        </w:tc>
        <w:tc>
          <w:tcPr>
            <w:tcW w:w="790" w:type="dxa"/>
            <w:shd w:val="clear" w:color="auto" w:fill="auto"/>
            <w:noWrap/>
            <w:vAlign w:val="bottom"/>
            <w:hideMark/>
          </w:tcPr>
          <w:p w14:paraId="064D303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-1.128</w:t>
            </w:r>
          </w:p>
        </w:tc>
        <w:tc>
          <w:tcPr>
            <w:tcW w:w="785" w:type="dxa"/>
            <w:shd w:val="clear" w:color="auto" w:fill="auto"/>
            <w:noWrap/>
            <w:vAlign w:val="bottom"/>
            <w:hideMark/>
          </w:tcPr>
          <w:p w14:paraId="5A405C5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0.126</w:t>
            </w:r>
          </w:p>
        </w:tc>
        <w:tc>
          <w:tcPr>
            <w:tcW w:w="893" w:type="dxa"/>
            <w:shd w:val="clear" w:color="auto" w:fill="auto"/>
            <w:noWrap/>
            <w:vAlign w:val="bottom"/>
            <w:hideMark/>
          </w:tcPr>
          <w:p w14:paraId="7222663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w:t>
            </w:r>
          </w:p>
        </w:tc>
      </w:tr>
      <w:tr w:rsidR="00423B79" w:rsidRPr="00357EE1" w14:paraId="798A1BBA" w14:textId="77777777" w:rsidTr="00423B79">
        <w:trPr>
          <w:trHeight w:val="254"/>
        </w:trPr>
        <w:tc>
          <w:tcPr>
            <w:tcW w:w="1449" w:type="dxa"/>
            <w:shd w:val="clear" w:color="auto" w:fill="auto"/>
            <w:noWrap/>
            <w:vAlign w:val="bottom"/>
            <w:hideMark/>
          </w:tcPr>
          <w:p w14:paraId="0F0571D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mmr</w:t>
            </w:r>
          </w:p>
        </w:tc>
        <w:tc>
          <w:tcPr>
            <w:tcW w:w="733" w:type="dxa"/>
            <w:shd w:val="clear" w:color="auto" w:fill="auto"/>
            <w:noWrap/>
            <w:vAlign w:val="bottom"/>
            <w:hideMark/>
          </w:tcPr>
          <w:p w14:paraId="5EEC717C"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2FCA86F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07A8F20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7758A0E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1E225D0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27584AA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0134085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442FA84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73575CA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1875F4D6" w14:textId="77777777" w:rsidTr="00423B79">
        <w:trPr>
          <w:trHeight w:val="254"/>
        </w:trPr>
        <w:tc>
          <w:tcPr>
            <w:tcW w:w="1449" w:type="dxa"/>
            <w:shd w:val="clear" w:color="auto" w:fill="auto"/>
            <w:noWrap/>
            <w:vAlign w:val="bottom"/>
            <w:hideMark/>
          </w:tcPr>
          <w:p w14:paraId="42569D1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0FD5523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05BF360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w:t>
            </w:r>
          </w:p>
        </w:tc>
        <w:tc>
          <w:tcPr>
            <w:tcW w:w="849" w:type="dxa"/>
            <w:shd w:val="clear" w:color="auto" w:fill="auto"/>
            <w:noWrap/>
            <w:vAlign w:val="bottom"/>
            <w:hideMark/>
          </w:tcPr>
          <w:p w14:paraId="1387CF8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w:t>
            </w:r>
          </w:p>
        </w:tc>
        <w:tc>
          <w:tcPr>
            <w:tcW w:w="790" w:type="dxa"/>
            <w:shd w:val="clear" w:color="auto" w:fill="auto"/>
            <w:noWrap/>
            <w:vAlign w:val="bottom"/>
            <w:hideMark/>
          </w:tcPr>
          <w:p w14:paraId="5C306D7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0.925</w:t>
            </w:r>
          </w:p>
        </w:tc>
        <w:tc>
          <w:tcPr>
            <w:tcW w:w="785" w:type="dxa"/>
            <w:shd w:val="clear" w:color="auto" w:fill="auto"/>
            <w:noWrap/>
            <w:vAlign w:val="bottom"/>
            <w:hideMark/>
          </w:tcPr>
          <w:p w14:paraId="48E453C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0.672</w:t>
            </w:r>
          </w:p>
        </w:tc>
        <w:tc>
          <w:tcPr>
            <w:tcW w:w="890" w:type="dxa"/>
            <w:shd w:val="clear" w:color="auto" w:fill="auto"/>
            <w:noWrap/>
            <w:vAlign w:val="bottom"/>
            <w:hideMark/>
          </w:tcPr>
          <w:p w14:paraId="7A6E180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0.025</w:t>
            </w:r>
          </w:p>
        </w:tc>
        <w:tc>
          <w:tcPr>
            <w:tcW w:w="790" w:type="dxa"/>
            <w:shd w:val="clear" w:color="auto" w:fill="auto"/>
            <w:noWrap/>
            <w:vAlign w:val="bottom"/>
            <w:hideMark/>
          </w:tcPr>
          <w:p w14:paraId="6C9CF3F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0.805</w:t>
            </w:r>
          </w:p>
        </w:tc>
        <w:tc>
          <w:tcPr>
            <w:tcW w:w="785" w:type="dxa"/>
            <w:shd w:val="clear" w:color="auto" w:fill="auto"/>
            <w:noWrap/>
            <w:vAlign w:val="bottom"/>
            <w:hideMark/>
          </w:tcPr>
          <w:p w14:paraId="5C4793A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0.228</w:t>
            </w:r>
          </w:p>
        </w:tc>
        <w:tc>
          <w:tcPr>
            <w:tcW w:w="893" w:type="dxa"/>
            <w:shd w:val="clear" w:color="auto" w:fill="auto"/>
            <w:noWrap/>
            <w:vAlign w:val="bottom"/>
            <w:hideMark/>
          </w:tcPr>
          <w:p w14:paraId="40F880E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0.019</w:t>
            </w:r>
          </w:p>
        </w:tc>
      </w:tr>
      <w:tr w:rsidR="00423B79" w:rsidRPr="00357EE1" w14:paraId="6C63233F" w14:textId="77777777" w:rsidTr="00423B79">
        <w:trPr>
          <w:trHeight w:val="254"/>
        </w:trPr>
        <w:tc>
          <w:tcPr>
            <w:tcW w:w="1449" w:type="dxa"/>
            <w:shd w:val="clear" w:color="auto" w:fill="auto"/>
            <w:noWrap/>
            <w:vAlign w:val="bottom"/>
            <w:hideMark/>
          </w:tcPr>
          <w:p w14:paraId="003E843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79622C7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883" w:type="dxa"/>
            <w:shd w:val="clear" w:color="auto" w:fill="auto"/>
            <w:noWrap/>
            <w:vAlign w:val="bottom"/>
            <w:hideMark/>
          </w:tcPr>
          <w:p w14:paraId="46506A7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0.862</w:t>
            </w:r>
          </w:p>
        </w:tc>
        <w:tc>
          <w:tcPr>
            <w:tcW w:w="849" w:type="dxa"/>
            <w:shd w:val="clear" w:color="auto" w:fill="auto"/>
            <w:noWrap/>
            <w:vAlign w:val="bottom"/>
            <w:hideMark/>
          </w:tcPr>
          <w:p w14:paraId="1611E12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790" w:type="dxa"/>
            <w:shd w:val="clear" w:color="auto" w:fill="auto"/>
            <w:noWrap/>
            <w:vAlign w:val="bottom"/>
            <w:hideMark/>
          </w:tcPr>
          <w:p w14:paraId="46F7614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-1.127</w:t>
            </w:r>
          </w:p>
        </w:tc>
        <w:tc>
          <w:tcPr>
            <w:tcW w:w="785" w:type="dxa"/>
            <w:shd w:val="clear" w:color="auto" w:fill="auto"/>
            <w:noWrap/>
            <w:vAlign w:val="bottom"/>
            <w:hideMark/>
          </w:tcPr>
          <w:p w14:paraId="1B5C691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0.263</w:t>
            </w:r>
          </w:p>
        </w:tc>
        <w:tc>
          <w:tcPr>
            <w:tcW w:w="890" w:type="dxa"/>
            <w:shd w:val="clear" w:color="auto" w:fill="auto"/>
            <w:noWrap/>
            <w:vAlign w:val="bottom"/>
            <w:hideMark/>
          </w:tcPr>
          <w:p w14:paraId="43377D7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0.008</w:t>
            </w:r>
          </w:p>
        </w:tc>
        <w:tc>
          <w:tcPr>
            <w:tcW w:w="790" w:type="dxa"/>
            <w:shd w:val="clear" w:color="auto" w:fill="auto"/>
            <w:noWrap/>
            <w:vAlign w:val="bottom"/>
            <w:hideMark/>
          </w:tcPr>
          <w:p w14:paraId="42D4A18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-2.533</w:t>
            </w:r>
          </w:p>
        </w:tc>
        <w:tc>
          <w:tcPr>
            <w:tcW w:w="785" w:type="dxa"/>
            <w:shd w:val="clear" w:color="auto" w:fill="auto"/>
            <w:noWrap/>
            <w:vAlign w:val="bottom"/>
            <w:hideMark/>
          </w:tcPr>
          <w:p w14:paraId="7245C8C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0.599</w:t>
            </w:r>
          </w:p>
        </w:tc>
        <w:tc>
          <w:tcPr>
            <w:tcW w:w="893" w:type="dxa"/>
            <w:shd w:val="clear" w:color="auto" w:fill="auto"/>
            <w:noWrap/>
            <w:vAlign w:val="bottom"/>
            <w:hideMark/>
          </w:tcPr>
          <w:p w14:paraId="7A355DF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w:t>
            </w:r>
          </w:p>
        </w:tc>
      </w:tr>
      <w:tr w:rsidR="00423B79" w:rsidRPr="00357EE1" w14:paraId="3A7451DE" w14:textId="77777777" w:rsidTr="00423B79">
        <w:trPr>
          <w:trHeight w:val="254"/>
        </w:trPr>
        <w:tc>
          <w:tcPr>
            <w:tcW w:w="1449" w:type="dxa"/>
            <w:shd w:val="clear" w:color="auto" w:fill="auto"/>
            <w:noWrap/>
            <w:vAlign w:val="bottom"/>
            <w:hideMark/>
          </w:tcPr>
          <w:p w14:paraId="324C299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2EE4498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883" w:type="dxa"/>
            <w:shd w:val="clear" w:color="auto" w:fill="auto"/>
            <w:noWrap/>
            <w:vAlign w:val="bottom"/>
            <w:hideMark/>
          </w:tcPr>
          <w:p w14:paraId="06E5279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0.897</w:t>
            </w:r>
          </w:p>
        </w:tc>
        <w:tc>
          <w:tcPr>
            <w:tcW w:w="849" w:type="dxa"/>
            <w:shd w:val="clear" w:color="auto" w:fill="auto"/>
            <w:noWrap/>
            <w:vAlign w:val="bottom"/>
            <w:hideMark/>
          </w:tcPr>
          <w:p w14:paraId="202DA9F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0.025</w:t>
            </w:r>
          </w:p>
        </w:tc>
        <w:tc>
          <w:tcPr>
            <w:tcW w:w="790" w:type="dxa"/>
            <w:shd w:val="clear" w:color="auto" w:fill="auto"/>
            <w:noWrap/>
            <w:vAlign w:val="bottom"/>
            <w:hideMark/>
          </w:tcPr>
          <w:p w14:paraId="12DF6E1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-1.968</w:t>
            </w:r>
          </w:p>
        </w:tc>
        <w:tc>
          <w:tcPr>
            <w:tcW w:w="785" w:type="dxa"/>
            <w:shd w:val="clear" w:color="auto" w:fill="auto"/>
            <w:noWrap/>
            <w:vAlign w:val="bottom"/>
            <w:hideMark/>
          </w:tcPr>
          <w:p w14:paraId="208E07C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0.842</w:t>
            </w:r>
          </w:p>
        </w:tc>
        <w:tc>
          <w:tcPr>
            <w:tcW w:w="890" w:type="dxa"/>
            <w:shd w:val="clear" w:color="auto" w:fill="auto"/>
            <w:noWrap/>
            <w:vAlign w:val="bottom"/>
            <w:hideMark/>
          </w:tcPr>
          <w:p w14:paraId="03CDE87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0.039</w:t>
            </w:r>
          </w:p>
        </w:tc>
        <w:tc>
          <w:tcPr>
            <w:tcW w:w="790" w:type="dxa"/>
            <w:shd w:val="clear" w:color="auto" w:fill="auto"/>
            <w:noWrap/>
            <w:vAlign w:val="bottom"/>
            <w:hideMark/>
          </w:tcPr>
          <w:p w14:paraId="0D5CD2E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-0.75</w:t>
            </w:r>
          </w:p>
        </w:tc>
        <w:tc>
          <w:tcPr>
            <w:tcW w:w="785" w:type="dxa"/>
            <w:shd w:val="clear" w:color="auto" w:fill="auto"/>
            <w:noWrap/>
            <w:vAlign w:val="bottom"/>
            <w:hideMark/>
          </w:tcPr>
          <w:p w14:paraId="3D1403C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0.055</w:t>
            </w:r>
          </w:p>
        </w:tc>
        <w:tc>
          <w:tcPr>
            <w:tcW w:w="893" w:type="dxa"/>
            <w:shd w:val="clear" w:color="auto" w:fill="auto"/>
            <w:noWrap/>
            <w:vAlign w:val="bottom"/>
            <w:hideMark/>
          </w:tcPr>
          <w:p w14:paraId="43E16F3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r>
      <w:tr w:rsidR="00423B79" w:rsidRPr="00357EE1" w14:paraId="51E986D5" w14:textId="77777777" w:rsidTr="00423B79">
        <w:trPr>
          <w:trHeight w:val="254"/>
        </w:trPr>
        <w:tc>
          <w:tcPr>
            <w:tcW w:w="1449" w:type="dxa"/>
            <w:shd w:val="clear" w:color="auto" w:fill="auto"/>
            <w:noWrap/>
            <w:vAlign w:val="bottom"/>
            <w:hideMark/>
          </w:tcPr>
          <w:p w14:paraId="1B75970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adolescent~h</w:t>
            </w:r>
          </w:p>
        </w:tc>
        <w:tc>
          <w:tcPr>
            <w:tcW w:w="733" w:type="dxa"/>
            <w:shd w:val="clear" w:color="auto" w:fill="auto"/>
            <w:noWrap/>
            <w:vAlign w:val="bottom"/>
            <w:hideMark/>
          </w:tcPr>
          <w:p w14:paraId="092FB82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06B90E2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0461DC4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394C099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35182352"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7A0FCF3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4B8E37D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2A00330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64B369A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4F76E6BF" w14:textId="77777777" w:rsidTr="00423B79">
        <w:trPr>
          <w:trHeight w:val="254"/>
        </w:trPr>
        <w:tc>
          <w:tcPr>
            <w:tcW w:w="1449" w:type="dxa"/>
            <w:shd w:val="clear" w:color="auto" w:fill="auto"/>
            <w:noWrap/>
            <w:vAlign w:val="bottom"/>
            <w:hideMark/>
          </w:tcPr>
          <w:p w14:paraId="06E67EB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5396C93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5AB2A51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0.88</w:t>
            </w:r>
          </w:p>
        </w:tc>
        <w:tc>
          <w:tcPr>
            <w:tcW w:w="849" w:type="dxa"/>
            <w:shd w:val="clear" w:color="auto" w:fill="auto"/>
            <w:noWrap/>
            <w:vAlign w:val="bottom"/>
            <w:hideMark/>
          </w:tcPr>
          <w:p w14:paraId="12752AB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790" w:type="dxa"/>
            <w:shd w:val="clear" w:color="auto" w:fill="auto"/>
            <w:noWrap/>
            <w:vAlign w:val="bottom"/>
            <w:hideMark/>
          </w:tcPr>
          <w:p w14:paraId="33F49EE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0.739</w:t>
            </w:r>
          </w:p>
        </w:tc>
        <w:tc>
          <w:tcPr>
            <w:tcW w:w="785" w:type="dxa"/>
            <w:shd w:val="clear" w:color="auto" w:fill="auto"/>
            <w:noWrap/>
            <w:vAlign w:val="bottom"/>
            <w:hideMark/>
          </w:tcPr>
          <w:p w14:paraId="4A7FBC8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0.54</w:t>
            </w:r>
          </w:p>
        </w:tc>
        <w:tc>
          <w:tcPr>
            <w:tcW w:w="890" w:type="dxa"/>
            <w:shd w:val="clear" w:color="auto" w:fill="auto"/>
            <w:noWrap/>
            <w:vAlign w:val="bottom"/>
            <w:hideMark/>
          </w:tcPr>
          <w:p w14:paraId="2170A05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790" w:type="dxa"/>
            <w:shd w:val="clear" w:color="auto" w:fill="auto"/>
            <w:noWrap/>
            <w:vAlign w:val="bottom"/>
            <w:hideMark/>
          </w:tcPr>
          <w:p w14:paraId="78C4423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0.875</w:t>
            </w:r>
          </w:p>
        </w:tc>
        <w:tc>
          <w:tcPr>
            <w:tcW w:w="785" w:type="dxa"/>
            <w:shd w:val="clear" w:color="auto" w:fill="auto"/>
            <w:noWrap/>
            <w:vAlign w:val="bottom"/>
            <w:hideMark/>
          </w:tcPr>
          <w:p w14:paraId="1C2DD1B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0.34</w:t>
            </w:r>
          </w:p>
        </w:tc>
        <w:tc>
          <w:tcPr>
            <w:tcW w:w="893" w:type="dxa"/>
            <w:shd w:val="clear" w:color="auto" w:fill="auto"/>
            <w:noWrap/>
            <w:vAlign w:val="bottom"/>
            <w:hideMark/>
          </w:tcPr>
          <w:p w14:paraId="24D30BC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0.022</w:t>
            </w:r>
          </w:p>
        </w:tc>
      </w:tr>
      <w:tr w:rsidR="00423B79" w:rsidRPr="00357EE1" w14:paraId="6C5F2B5A" w14:textId="77777777" w:rsidTr="00423B79">
        <w:trPr>
          <w:trHeight w:val="254"/>
        </w:trPr>
        <w:tc>
          <w:tcPr>
            <w:tcW w:w="1449" w:type="dxa"/>
            <w:shd w:val="clear" w:color="auto" w:fill="auto"/>
            <w:noWrap/>
            <w:vAlign w:val="bottom"/>
            <w:hideMark/>
          </w:tcPr>
          <w:p w14:paraId="1F7EFBFD"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595E12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0.004</w:t>
            </w:r>
          </w:p>
        </w:tc>
        <w:tc>
          <w:tcPr>
            <w:tcW w:w="883" w:type="dxa"/>
            <w:shd w:val="clear" w:color="auto" w:fill="auto"/>
            <w:noWrap/>
            <w:vAlign w:val="bottom"/>
            <w:hideMark/>
          </w:tcPr>
          <w:p w14:paraId="41EAFFD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0.84</w:t>
            </w:r>
          </w:p>
        </w:tc>
        <w:tc>
          <w:tcPr>
            <w:tcW w:w="849" w:type="dxa"/>
            <w:shd w:val="clear" w:color="auto" w:fill="auto"/>
            <w:noWrap/>
            <w:vAlign w:val="bottom"/>
            <w:hideMark/>
          </w:tcPr>
          <w:p w14:paraId="6F64B15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0.022</w:t>
            </w:r>
          </w:p>
        </w:tc>
        <w:tc>
          <w:tcPr>
            <w:tcW w:w="790" w:type="dxa"/>
            <w:shd w:val="clear" w:color="auto" w:fill="auto"/>
            <w:noWrap/>
            <w:vAlign w:val="bottom"/>
            <w:hideMark/>
          </w:tcPr>
          <w:p w14:paraId="04F359B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-0.728</w:t>
            </w:r>
          </w:p>
        </w:tc>
        <w:tc>
          <w:tcPr>
            <w:tcW w:w="785" w:type="dxa"/>
            <w:shd w:val="clear" w:color="auto" w:fill="auto"/>
            <w:noWrap/>
            <w:vAlign w:val="bottom"/>
            <w:hideMark/>
          </w:tcPr>
          <w:p w14:paraId="06C509D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0.058</w:t>
            </w:r>
          </w:p>
        </w:tc>
        <w:tc>
          <w:tcPr>
            <w:tcW w:w="890" w:type="dxa"/>
            <w:shd w:val="clear" w:color="auto" w:fill="auto"/>
            <w:noWrap/>
            <w:vAlign w:val="bottom"/>
            <w:hideMark/>
          </w:tcPr>
          <w:p w14:paraId="5016259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c>
          <w:tcPr>
            <w:tcW w:w="790" w:type="dxa"/>
            <w:shd w:val="clear" w:color="auto" w:fill="auto"/>
            <w:noWrap/>
            <w:vAlign w:val="bottom"/>
            <w:hideMark/>
          </w:tcPr>
          <w:p w14:paraId="7CADC29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-3.998</w:t>
            </w:r>
          </w:p>
        </w:tc>
        <w:tc>
          <w:tcPr>
            <w:tcW w:w="785" w:type="dxa"/>
            <w:shd w:val="clear" w:color="auto" w:fill="auto"/>
            <w:noWrap/>
            <w:vAlign w:val="bottom"/>
            <w:hideMark/>
          </w:tcPr>
          <w:p w14:paraId="310EEA6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0.783</w:t>
            </w:r>
          </w:p>
        </w:tc>
        <w:tc>
          <w:tcPr>
            <w:tcW w:w="893" w:type="dxa"/>
            <w:shd w:val="clear" w:color="auto" w:fill="auto"/>
            <w:noWrap/>
            <w:vAlign w:val="bottom"/>
            <w:hideMark/>
          </w:tcPr>
          <w:p w14:paraId="2444543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0.069</w:t>
            </w:r>
          </w:p>
        </w:tc>
      </w:tr>
      <w:tr w:rsidR="00423B79" w:rsidRPr="00357EE1" w14:paraId="5F2BDBB8" w14:textId="77777777" w:rsidTr="00423B79">
        <w:trPr>
          <w:trHeight w:val="254"/>
        </w:trPr>
        <w:tc>
          <w:tcPr>
            <w:tcW w:w="1449" w:type="dxa"/>
            <w:shd w:val="clear" w:color="auto" w:fill="auto"/>
            <w:noWrap/>
            <w:vAlign w:val="bottom"/>
            <w:hideMark/>
          </w:tcPr>
          <w:p w14:paraId="1A0EFB15"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4BC310F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156DF63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0.86</w:t>
            </w:r>
          </w:p>
        </w:tc>
        <w:tc>
          <w:tcPr>
            <w:tcW w:w="849" w:type="dxa"/>
            <w:shd w:val="clear" w:color="auto" w:fill="auto"/>
            <w:noWrap/>
            <w:vAlign w:val="bottom"/>
            <w:hideMark/>
          </w:tcPr>
          <w:p w14:paraId="368BA82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w:t>
            </w:r>
          </w:p>
        </w:tc>
        <w:tc>
          <w:tcPr>
            <w:tcW w:w="790" w:type="dxa"/>
            <w:shd w:val="clear" w:color="auto" w:fill="auto"/>
            <w:noWrap/>
            <w:vAlign w:val="bottom"/>
            <w:hideMark/>
          </w:tcPr>
          <w:p w14:paraId="26BF740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-1.574</w:t>
            </w:r>
          </w:p>
        </w:tc>
        <w:tc>
          <w:tcPr>
            <w:tcW w:w="785" w:type="dxa"/>
            <w:shd w:val="clear" w:color="auto" w:fill="auto"/>
            <w:noWrap/>
            <w:vAlign w:val="bottom"/>
            <w:hideMark/>
          </w:tcPr>
          <w:p w14:paraId="19D40F4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0.788</w:t>
            </w:r>
          </w:p>
        </w:tc>
        <w:tc>
          <w:tcPr>
            <w:tcW w:w="890" w:type="dxa"/>
            <w:shd w:val="clear" w:color="auto" w:fill="auto"/>
            <w:noWrap/>
            <w:vAlign w:val="bottom"/>
            <w:hideMark/>
          </w:tcPr>
          <w:p w14:paraId="775B20F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790" w:type="dxa"/>
            <w:shd w:val="clear" w:color="auto" w:fill="auto"/>
            <w:noWrap/>
            <w:vAlign w:val="bottom"/>
            <w:hideMark/>
          </w:tcPr>
          <w:p w14:paraId="7E0C551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-0.709</w:t>
            </w:r>
          </w:p>
        </w:tc>
        <w:tc>
          <w:tcPr>
            <w:tcW w:w="785" w:type="dxa"/>
            <w:shd w:val="clear" w:color="auto" w:fill="auto"/>
            <w:noWrap/>
            <w:vAlign w:val="bottom"/>
            <w:hideMark/>
          </w:tcPr>
          <w:p w14:paraId="3A29E19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0.072</w:t>
            </w:r>
          </w:p>
        </w:tc>
        <w:tc>
          <w:tcPr>
            <w:tcW w:w="893" w:type="dxa"/>
            <w:shd w:val="clear" w:color="auto" w:fill="auto"/>
            <w:noWrap/>
            <w:vAlign w:val="bottom"/>
            <w:hideMark/>
          </w:tcPr>
          <w:p w14:paraId="73C1717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r>
      <w:tr w:rsidR="00423B79" w:rsidRPr="00357EE1" w14:paraId="614D4655" w14:textId="77777777" w:rsidTr="00423B79">
        <w:trPr>
          <w:trHeight w:val="254"/>
        </w:trPr>
        <w:tc>
          <w:tcPr>
            <w:tcW w:w="1449" w:type="dxa"/>
            <w:shd w:val="clear" w:color="auto" w:fill="auto"/>
            <w:noWrap/>
            <w:vAlign w:val="bottom"/>
            <w:hideMark/>
          </w:tcPr>
          <w:p w14:paraId="3098FFE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womeninpar~t</w:t>
            </w:r>
          </w:p>
        </w:tc>
        <w:tc>
          <w:tcPr>
            <w:tcW w:w="733" w:type="dxa"/>
            <w:shd w:val="clear" w:color="auto" w:fill="auto"/>
            <w:noWrap/>
            <w:vAlign w:val="bottom"/>
            <w:hideMark/>
          </w:tcPr>
          <w:p w14:paraId="789D330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41BA862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2BB9697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030F2E1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786886A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5D03253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5CB695E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63A1953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48E7023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66F7F9FA" w14:textId="77777777" w:rsidTr="00423B79">
        <w:trPr>
          <w:trHeight w:val="254"/>
        </w:trPr>
        <w:tc>
          <w:tcPr>
            <w:tcW w:w="1449" w:type="dxa"/>
            <w:shd w:val="clear" w:color="auto" w:fill="auto"/>
            <w:noWrap/>
            <w:vAlign w:val="bottom"/>
            <w:hideMark/>
          </w:tcPr>
          <w:p w14:paraId="6C900DD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6D7088B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w:t>
            </w:r>
          </w:p>
        </w:tc>
        <w:tc>
          <w:tcPr>
            <w:tcW w:w="883" w:type="dxa"/>
            <w:shd w:val="clear" w:color="auto" w:fill="auto"/>
            <w:noWrap/>
            <w:vAlign w:val="bottom"/>
            <w:hideMark/>
          </w:tcPr>
          <w:p w14:paraId="113A900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0.834</w:t>
            </w:r>
          </w:p>
        </w:tc>
        <w:tc>
          <w:tcPr>
            <w:tcW w:w="849" w:type="dxa"/>
            <w:shd w:val="clear" w:color="auto" w:fill="auto"/>
            <w:noWrap/>
            <w:vAlign w:val="bottom"/>
            <w:hideMark/>
          </w:tcPr>
          <w:p w14:paraId="0EB34C0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c>
          <w:tcPr>
            <w:tcW w:w="790" w:type="dxa"/>
            <w:shd w:val="clear" w:color="auto" w:fill="auto"/>
            <w:noWrap/>
            <w:vAlign w:val="bottom"/>
            <w:hideMark/>
          </w:tcPr>
          <w:p w14:paraId="0F77B3C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-0.405</w:t>
            </w:r>
          </w:p>
        </w:tc>
        <w:tc>
          <w:tcPr>
            <w:tcW w:w="785" w:type="dxa"/>
            <w:shd w:val="clear" w:color="auto" w:fill="auto"/>
            <w:noWrap/>
            <w:vAlign w:val="bottom"/>
            <w:hideMark/>
          </w:tcPr>
          <w:p w14:paraId="7E39BFD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0.828</w:t>
            </w:r>
          </w:p>
        </w:tc>
        <w:tc>
          <w:tcPr>
            <w:tcW w:w="890" w:type="dxa"/>
            <w:shd w:val="clear" w:color="auto" w:fill="auto"/>
            <w:noWrap/>
            <w:vAlign w:val="bottom"/>
            <w:hideMark/>
          </w:tcPr>
          <w:p w14:paraId="0880E14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534E987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w:t>
            </w:r>
          </w:p>
        </w:tc>
        <w:tc>
          <w:tcPr>
            <w:tcW w:w="785" w:type="dxa"/>
            <w:shd w:val="clear" w:color="auto" w:fill="auto"/>
            <w:noWrap/>
            <w:vAlign w:val="bottom"/>
            <w:hideMark/>
          </w:tcPr>
          <w:p w14:paraId="093CC26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893" w:type="dxa"/>
            <w:shd w:val="clear" w:color="auto" w:fill="auto"/>
            <w:noWrap/>
            <w:vAlign w:val="bottom"/>
            <w:hideMark/>
          </w:tcPr>
          <w:p w14:paraId="7AFA14A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72D2D909" w14:textId="77777777" w:rsidTr="00423B79">
        <w:trPr>
          <w:trHeight w:val="254"/>
        </w:trPr>
        <w:tc>
          <w:tcPr>
            <w:tcW w:w="1449" w:type="dxa"/>
            <w:shd w:val="clear" w:color="auto" w:fill="auto"/>
            <w:noWrap/>
            <w:vAlign w:val="bottom"/>
            <w:hideMark/>
          </w:tcPr>
          <w:p w14:paraId="523DD07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2872A37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c>
          <w:tcPr>
            <w:tcW w:w="883" w:type="dxa"/>
            <w:shd w:val="clear" w:color="auto" w:fill="auto"/>
            <w:noWrap/>
            <w:vAlign w:val="bottom"/>
            <w:hideMark/>
          </w:tcPr>
          <w:p w14:paraId="50F513D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0.26</w:t>
            </w:r>
          </w:p>
        </w:tc>
        <w:tc>
          <w:tcPr>
            <w:tcW w:w="849" w:type="dxa"/>
            <w:shd w:val="clear" w:color="auto" w:fill="auto"/>
            <w:noWrap/>
            <w:vAlign w:val="bottom"/>
            <w:hideMark/>
          </w:tcPr>
          <w:p w14:paraId="65063D1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0.004</w:t>
            </w:r>
          </w:p>
        </w:tc>
        <w:tc>
          <w:tcPr>
            <w:tcW w:w="790" w:type="dxa"/>
            <w:shd w:val="clear" w:color="auto" w:fill="auto"/>
            <w:noWrap/>
            <w:vAlign w:val="bottom"/>
            <w:hideMark/>
          </w:tcPr>
          <w:p w14:paraId="3B62D1C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0.709</w:t>
            </w:r>
          </w:p>
        </w:tc>
        <w:tc>
          <w:tcPr>
            <w:tcW w:w="785" w:type="dxa"/>
            <w:shd w:val="clear" w:color="auto" w:fill="auto"/>
            <w:noWrap/>
            <w:vAlign w:val="bottom"/>
            <w:hideMark/>
          </w:tcPr>
          <w:p w14:paraId="5917B0F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0.26</w:t>
            </w:r>
          </w:p>
        </w:tc>
        <w:tc>
          <w:tcPr>
            <w:tcW w:w="890" w:type="dxa"/>
            <w:shd w:val="clear" w:color="auto" w:fill="auto"/>
            <w:noWrap/>
            <w:vAlign w:val="bottom"/>
            <w:hideMark/>
          </w:tcPr>
          <w:p w14:paraId="7CEDBBF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c>
          <w:tcPr>
            <w:tcW w:w="790" w:type="dxa"/>
            <w:shd w:val="clear" w:color="auto" w:fill="auto"/>
            <w:noWrap/>
            <w:vAlign w:val="bottom"/>
            <w:hideMark/>
          </w:tcPr>
          <w:p w14:paraId="4751D03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0.027</w:t>
            </w:r>
          </w:p>
        </w:tc>
        <w:tc>
          <w:tcPr>
            <w:tcW w:w="785" w:type="dxa"/>
            <w:shd w:val="clear" w:color="auto" w:fill="auto"/>
            <w:noWrap/>
            <w:vAlign w:val="bottom"/>
            <w:hideMark/>
          </w:tcPr>
          <w:p w14:paraId="28ACEE9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893" w:type="dxa"/>
            <w:shd w:val="clear" w:color="auto" w:fill="auto"/>
            <w:noWrap/>
            <w:vAlign w:val="bottom"/>
            <w:hideMark/>
          </w:tcPr>
          <w:p w14:paraId="0D4A34A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584C7752" w14:textId="77777777" w:rsidTr="00423B79">
        <w:trPr>
          <w:trHeight w:val="254"/>
        </w:trPr>
        <w:tc>
          <w:tcPr>
            <w:tcW w:w="1449" w:type="dxa"/>
            <w:shd w:val="clear" w:color="auto" w:fill="auto"/>
            <w:noWrap/>
            <w:vAlign w:val="bottom"/>
            <w:hideMark/>
          </w:tcPr>
          <w:p w14:paraId="1DDD1D7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46C026F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54A479B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0.815</w:t>
            </w:r>
          </w:p>
        </w:tc>
        <w:tc>
          <w:tcPr>
            <w:tcW w:w="849" w:type="dxa"/>
            <w:shd w:val="clear" w:color="auto" w:fill="auto"/>
            <w:noWrap/>
            <w:vAlign w:val="bottom"/>
            <w:hideMark/>
          </w:tcPr>
          <w:p w14:paraId="44DD8DE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029AF5B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0.814</w:t>
            </w:r>
          </w:p>
        </w:tc>
        <w:tc>
          <w:tcPr>
            <w:tcW w:w="785" w:type="dxa"/>
            <w:shd w:val="clear" w:color="auto" w:fill="auto"/>
            <w:noWrap/>
            <w:vAlign w:val="bottom"/>
            <w:hideMark/>
          </w:tcPr>
          <w:p w14:paraId="0DD1834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0.805</w:t>
            </w:r>
          </w:p>
        </w:tc>
        <w:tc>
          <w:tcPr>
            <w:tcW w:w="890" w:type="dxa"/>
            <w:shd w:val="clear" w:color="auto" w:fill="auto"/>
            <w:noWrap/>
            <w:vAlign w:val="bottom"/>
            <w:hideMark/>
          </w:tcPr>
          <w:p w14:paraId="39A57F0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0.008</w:t>
            </w:r>
          </w:p>
        </w:tc>
        <w:tc>
          <w:tcPr>
            <w:tcW w:w="790" w:type="dxa"/>
            <w:shd w:val="clear" w:color="auto" w:fill="auto"/>
            <w:noWrap/>
            <w:vAlign w:val="bottom"/>
            <w:hideMark/>
          </w:tcPr>
          <w:p w14:paraId="1D0615C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-0.133</w:t>
            </w:r>
          </w:p>
        </w:tc>
        <w:tc>
          <w:tcPr>
            <w:tcW w:w="785" w:type="dxa"/>
            <w:shd w:val="clear" w:color="auto" w:fill="auto"/>
            <w:noWrap/>
            <w:vAlign w:val="bottom"/>
            <w:hideMark/>
          </w:tcPr>
          <w:p w14:paraId="0D7ECAB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893" w:type="dxa"/>
            <w:shd w:val="clear" w:color="auto" w:fill="auto"/>
            <w:noWrap/>
            <w:vAlign w:val="bottom"/>
            <w:hideMark/>
          </w:tcPr>
          <w:p w14:paraId="54338A4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096D6714" w14:textId="77777777" w:rsidTr="00423B79">
        <w:trPr>
          <w:trHeight w:val="254"/>
        </w:trPr>
        <w:tc>
          <w:tcPr>
            <w:tcW w:w="1449" w:type="dxa"/>
            <w:shd w:val="clear" w:color="auto" w:fill="auto"/>
            <w:noWrap/>
            <w:vAlign w:val="bottom"/>
            <w:hideMark/>
          </w:tcPr>
          <w:p w14:paraId="088A611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female_lfpr</w:t>
            </w:r>
          </w:p>
        </w:tc>
        <w:tc>
          <w:tcPr>
            <w:tcW w:w="733" w:type="dxa"/>
            <w:shd w:val="clear" w:color="auto" w:fill="auto"/>
            <w:noWrap/>
            <w:vAlign w:val="bottom"/>
            <w:hideMark/>
          </w:tcPr>
          <w:p w14:paraId="3FBBF3E5"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28885CAD"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1258337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5CBA1A5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6A906BF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418ADB1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0702EA1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15DABF02"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03DE7CF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542F19E0" w14:textId="77777777" w:rsidTr="00423B79">
        <w:trPr>
          <w:trHeight w:val="254"/>
        </w:trPr>
        <w:tc>
          <w:tcPr>
            <w:tcW w:w="1449" w:type="dxa"/>
            <w:shd w:val="clear" w:color="auto" w:fill="auto"/>
            <w:noWrap/>
            <w:vAlign w:val="bottom"/>
            <w:hideMark/>
          </w:tcPr>
          <w:p w14:paraId="45181F1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496D915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0B6E9F1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0.195</w:t>
            </w:r>
          </w:p>
        </w:tc>
        <w:tc>
          <w:tcPr>
            <w:tcW w:w="849" w:type="dxa"/>
            <w:shd w:val="clear" w:color="auto" w:fill="auto"/>
            <w:noWrap/>
            <w:vAlign w:val="bottom"/>
            <w:hideMark/>
          </w:tcPr>
          <w:p w14:paraId="2DD9E3F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1B0B2D7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-0.23</w:t>
            </w:r>
          </w:p>
        </w:tc>
        <w:tc>
          <w:tcPr>
            <w:tcW w:w="785" w:type="dxa"/>
            <w:shd w:val="clear" w:color="auto" w:fill="auto"/>
            <w:noWrap/>
            <w:vAlign w:val="bottom"/>
            <w:hideMark/>
          </w:tcPr>
          <w:p w14:paraId="16DBBA3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0.168</w:t>
            </w:r>
          </w:p>
        </w:tc>
        <w:tc>
          <w:tcPr>
            <w:tcW w:w="890" w:type="dxa"/>
            <w:shd w:val="clear" w:color="auto" w:fill="auto"/>
            <w:noWrap/>
            <w:vAlign w:val="bottom"/>
            <w:hideMark/>
          </w:tcPr>
          <w:p w14:paraId="0683D29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c>
          <w:tcPr>
            <w:tcW w:w="790" w:type="dxa"/>
            <w:shd w:val="clear" w:color="auto" w:fill="auto"/>
            <w:noWrap/>
            <w:vAlign w:val="bottom"/>
            <w:hideMark/>
          </w:tcPr>
          <w:p w14:paraId="0A32689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0.137</w:t>
            </w:r>
          </w:p>
        </w:tc>
        <w:tc>
          <w:tcPr>
            <w:tcW w:w="785" w:type="dxa"/>
            <w:shd w:val="clear" w:color="auto" w:fill="auto"/>
            <w:noWrap/>
            <w:vAlign w:val="bottom"/>
            <w:hideMark/>
          </w:tcPr>
          <w:p w14:paraId="4AE3F14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0.027</w:t>
            </w:r>
          </w:p>
        </w:tc>
        <w:tc>
          <w:tcPr>
            <w:tcW w:w="893" w:type="dxa"/>
            <w:shd w:val="clear" w:color="auto" w:fill="auto"/>
            <w:noWrap/>
            <w:vAlign w:val="bottom"/>
            <w:hideMark/>
          </w:tcPr>
          <w:p w14:paraId="25AC0B0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058F268F" w14:textId="77777777" w:rsidTr="00423B79">
        <w:trPr>
          <w:trHeight w:val="254"/>
        </w:trPr>
        <w:tc>
          <w:tcPr>
            <w:tcW w:w="1449" w:type="dxa"/>
            <w:shd w:val="clear" w:color="auto" w:fill="auto"/>
            <w:noWrap/>
            <w:vAlign w:val="bottom"/>
            <w:hideMark/>
          </w:tcPr>
          <w:p w14:paraId="2E009186"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6DB91C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883" w:type="dxa"/>
            <w:shd w:val="clear" w:color="auto" w:fill="auto"/>
            <w:noWrap/>
            <w:vAlign w:val="bottom"/>
            <w:hideMark/>
          </w:tcPr>
          <w:p w14:paraId="10745FC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0.77</w:t>
            </w:r>
          </w:p>
        </w:tc>
        <w:tc>
          <w:tcPr>
            <w:tcW w:w="849" w:type="dxa"/>
            <w:shd w:val="clear" w:color="auto" w:fill="auto"/>
            <w:noWrap/>
            <w:vAlign w:val="bottom"/>
            <w:hideMark/>
          </w:tcPr>
          <w:p w14:paraId="5B8C138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0.023</w:t>
            </w:r>
          </w:p>
        </w:tc>
        <w:tc>
          <w:tcPr>
            <w:tcW w:w="790" w:type="dxa"/>
            <w:shd w:val="clear" w:color="auto" w:fill="auto"/>
            <w:noWrap/>
            <w:vAlign w:val="bottom"/>
            <w:hideMark/>
          </w:tcPr>
          <w:p w14:paraId="27D572D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1.728</w:t>
            </w:r>
          </w:p>
        </w:tc>
        <w:tc>
          <w:tcPr>
            <w:tcW w:w="785" w:type="dxa"/>
            <w:shd w:val="clear" w:color="auto" w:fill="auto"/>
            <w:noWrap/>
            <w:vAlign w:val="bottom"/>
            <w:hideMark/>
          </w:tcPr>
          <w:p w14:paraId="42A36B5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0.365</w:t>
            </w:r>
          </w:p>
        </w:tc>
        <w:tc>
          <w:tcPr>
            <w:tcW w:w="890" w:type="dxa"/>
            <w:shd w:val="clear" w:color="auto" w:fill="auto"/>
            <w:noWrap/>
            <w:vAlign w:val="bottom"/>
            <w:hideMark/>
          </w:tcPr>
          <w:p w14:paraId="1258A14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790" w:type="dxa"/>
            <w:shd w:val="clear" w:color="auto" w:fill="auto"/>
            <w:noWrap/>
            <w:vAlign w:val="bottom"/>
            <w:hideMark/>
          </w:tcPr>
          <w:p w14:paraId="6D30B42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-2.715</w:t>
            </w:r>
          </w:p>
        </w:tc>
        <w:tc>
          <w:tcPr>
            <w:tcW w:w="785" w:type="dxa"/>
            <w:shd w:val="clear" w:color="auto" w:fill="auto"/>
            <w:noWrap/>
            <w:vAlign w:val="bottom"/>
            <w:hideMark/>
          </w:tcPr>
          <w:p w14:paraId="007C2A5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0.405</w:t>
            </w:r>
          </w:p>
        </w:tc>
        <w:tc>
          <w:tcPr>
            <w:tcW w:w="893" w:type="dxa"/>
            <w:shd w:val="clear" w:color="auto" w:fill="auto"/>
            <w:noWrap/>
            <w:vAlign w:val="bottom"/>
            <w:hideMark/>
          </w:tcPr>
          <w:p w14:paraId="3670198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0.039</w:t>
            </w:r>
          </w:p>
        </w:tc>
      </w:tr>
      <w:tr w:rsidR="00423B79" w:rsidRPr="00357EE1" w14:paraId="5F8F66C6" w14:textId="77777777" w:rsidTr="00423B79">
        <w:trPr>
          <w:trHeight w:val="254"/>
        </w:trPr>
        <w:tc>
          <w:tcPr>
            <w:tcW w:w="1449" w:type="dxa"/>
            <w:shd w:val="clear" w:color="auto" w:fill="auto"/>
            <w:noWrap/>
            <w:vAlign w:val="bottom"/>
            <w:hideMark/>
          </w:tcPr>
          <w:p w14:paraId="5FC6FFD5"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70517DF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0159988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0.368</w:t>
            </w:r>
          </w:p>
        </w:tc>
        <w:tc>
          <w:tcPr>
            <w:tcW w:w="849" w:type="dxa"/>
            <w:shd w:val="clear" w:color="auto" w:fill="auto"/>
            <w:noWrap/>
            <w:vAlign w:val="bottom"/>
            <w:hideMark/>
          </w:tcPr>
          <w:p w14:paraId="653CAD2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0.007</w:t>
            </w:r>
          </w:p>
        </w:tc>
        <w:tc>
          <w:tcPr>
            <w:tcW w:w="790" w:type="dxa"/>
            <w:shd w:val="clear" w:color="auto" w:fill="auto"/>
            <w:noWrap/>
            <w:vAlign w:val="bottom"/>
            <w:hideMark/>
          </w:tcPr>
          <w:p w14:paraId="63CADF7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-0.223</w:t>
            </w:r>
          </w:p>
        </w:tc>
        <w:tc>
          <w:tcPr>
            <w:tcW w:w="785" w:type="dxa"/>
            <w:shd w:val="clear" w:color="auto" w:fill="auto"/>
            <w:noWrap/>
            <w:vAlign w:val="bottom"/>
            <w:hideMark/>
          </w:tcPr>
          <w:p w14:paraId="78ECF0E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0.044</w:t>
            </w:r>
          </w:p>
        </w:tc>
        <w:tc>
          <w:tcPr>
            <w:tcW w:w="890" w:type="dxa"/>
            <w:shd w:val="clear" w:color="auto" w:fill="auto"/>
            <w:noWrap/>
            <w:vAlign w:val="bottom"/>
            <w:hideMark/>
          </w:tcPr>
          <w:p w14:paraId="34E227E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c>
          <w:tcPr>
            <w:tcW w:w="790" w:type="dxa"/>
            <w:shd w:val="clear" w:color="auto" w:fill="auto"/>
            <w:noWrap/>
            <w:vAlign w:val="bottom"/>
            <w:hideMark/>
          </w:tcPr>
          <w:p w14:paraId="6322ABD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0.904</w:t>
            </w:r>
          </w:p>
        </w:tc>
        <w:tc>
          <w:tcPr>
            <w:tcW w:w="785" w:type="dxa"/>
            <w:shd w:val="clear" w:color="auto" w:fill="auto"/>
            <w:noWrap/>
            <w:vAlign w:val="bottom"/>
            <w:hideMark/>
          </w:tcPr>
          <w:p w14:paraId="4427B49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0.324</w:t>
            </w:r>
          </w:p>
        </w:tc>
        <w:tc>
          <w:tcPr>
            <w:tcW w:w="893" w:type="dxa"/>
            <w:shd w:val="clear" w:color="auto" w:fill="auto"/>
            <w:noWrap/>
            <w:vAlign w:val="bottom"/>
            <w:hideMark/>
          </w:tcPr>
          <w:p w14:paraId="4248025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r>
      <w:tr w:rsidR="00423B79" w:rsidRPr="00357EE1" w14:paraId="19CC2E54" w14:textId="77777777" w:rsidTr="00423B79">
        <w:trPr>
          <w:trHeight w:val="254"/>
        </w:trPr>
        <w:tc>
          <w:tcPr>
            <w:tcW w:w="1449" w:type="dxa"/>
            <w:shd w:val="clear" w:color="auto" w:fill="auto"/>
            <w:noWrap/>
            <w:vAlign w:val="bottom"/>
            <w:hideMark/>
          </w:tcPr>
          <w:p w14:paraId="1B66B49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male_lfpr</w:t>
            </w:r>
          </w:p>
        </w:tc>
        <w:tc>
          <w:tcPr>
            <w:tcW w:w="733" w:type="dxa"/>
            <w:shd w:val="clear" w:color="auto" w:fill="auto"/>
            <w:noWrap/>
            <w:vAlign w:val="bottom"/>
            <w:hideMark/>
          </w:tcPr>
          <w:p w14:paraId="4E2AC598"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59EB2FA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2E903F4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6ED7B12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63B3E76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07C14A2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1D45F3E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1FAA16C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5B384C18"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01A009B3" w14:textId="77777777" w:rsidTr="00423B79">
        <w:trPr>
          <w:trHeight w:val="254"/>
        </w:trPr>
        <w:tc>
          <w:tcPr>
            <w:tcW w:w="1449" w:type="dxa"/>
            <w:shd w:val="clear" w:color="auto" w:fill="auto"/>
            <w:noWrap/>
            <w:vAlign w:val="bottom"/>
            <w:hideMark/>
          </w:tcPr>
          <w:p w14:paraId="491A1EC9"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0A1BEFC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6CCB125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0.731</w:t>
            </w:r>
          </w:p>
        </w:tc>
        <w:tc>
          <w:tcPr>
            <w:tcW w:w="849" w:type="dxa"/>
            <w:shd w:val="clear" w:color="auto" w:fill="auto"/>
            <w:noWrap/>
            <w:vAlign w:val="bottom"/>
            <w:hideMark/>
          </w:tcPr>
          <w:p w14:paraId="458C6EE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378743C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0.225</w:t>
            </w:r>
          </w:p>
        </w:tc>
        <w:tc>
          <w:tcPr>
            <w:tcW w:w="785" w:type="dxa"/>
            <w:shd w:val="clear" w:color="auto" w:fill="auto"/>
            <w:noWrap/>
            <w:vAlign w:val="bottom"/>
            <w:hideMark/>
          </w:tcPr>
          <w:p w14:paraId="5B40C59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0.156</w:t>
            </w:r>
          </w:p>
        </w:tc>
        <w:tc>
          <w:tcPr>
            <w:tcW w:w="890" w:type="dxa"/>
            <w:shd w:val="clear" w:color="auto" w:fill="auto"/>
            <w:noWrap/>
            <w:vAlign w:val="bottom"/>
            <w:hideMark/>
          </w:tcPr>
          <w:p w14:paraId="5EE8516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c>
          <w:tcPr>
            <w:tcW w:w="790" w:type="dxa"/>
            <w:shd w:val="clear" w:color="auto" w:fill="auto"/>
            <w:noWrap/>
            <w:vAlign w:val="bottom"/>
            <w:hideMark/>
          </w:tcPr>
          <w:p w14:paraId="11887ED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0.645</w:t>
            </w:r>
          </w:p>
        </w:tc>
        <w:tc>
          <w:tcPr>
            <w:tcW w:w="785" w:type="dxa"/>
            <w:shd w:val="clear" w:color="auto" w:fill="auto"/>
            <w:noWrap/>
            <w:vAlign w:val="bottom"/>
            <w:hideMark/>
          </w:tcPr>
          <w:p w14:paraId="3C76D97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0.575</w:t>
            </w:r>
          </w:p>
        </w:tc>
        <w:tc>
          <w:tcPr>
            <w:tcW w:w="893" w:type="dxa"/>
            <w:shd w:val="clear" w:color="auto" w:fill="auto"/>
            <w:noWrap/>
            <w:vAlign w:val="bottom"/>
            <w:hideMark/>
          </w:tcPr>
          <w:p w14:paraId="3680AE0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r>
      <w:tr w:rsidR="00423B79" w:rsidRPr="00357EE1" w14:paraId="1401F65B" w14:textId="77777777" w:rsidTr="00423B79">
        <w:trPr>
          <w:trHeight w:val="254"/>
        </w:trPr>
        <w:tc>
          <w:tcPr>
            <w:tcW w:w="1449" w:type="dxa"/>
            <w:shd w:val="clear" w:color="auto" w:fill="auto"/>
            <w:noWrap/>
            <w:vAlign w:val="bottom"/>
            <w:hideMark/>
          </w:tcPr>
          <w:p w14:paraId="73A0C76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7A0DCCA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883" w:type="dxa"/>
            <w:shd w:val="clear" w:color="auto" w:fill="auto"/>
            <w:noWrap/>
            <w:vAlign w:val="bottom"/>
            <w:hideMark/>
          </w:tcPr>
          <w:p w14:paraId="7E70DDC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0.836</w:t>
            </w:r>
          </w:p>
        </w:tc>
        <w:tc>
          <w:tcPr>
            <w:tcW w:w="849" w:type="dxa"/>
            <w:shd w:val="clear" w:color="auto" w:fill="auto"/>
            <w:noWrap/>
            <w:vAlign w:val="bottom"/>
            <w:hideMark/>
          </w:tcPr>
          <w:p w14:paraId="4AF94DF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0.024</w:t>
            </w:r>
          </w:p>
        </w:tc>
        <w:tc>
          <w:tcPr>
            <w:tcW w:w="790" w:type="dxa"/>
            <w:shd w:val="clear" w:color="auto" w:fill="auto"/>
            <w:noWrap/>
            <w:vAlign w:val="bottom"/>
            <w:hideMark/>
          </w:tcPr>
          <w:p w14:paraId="593211B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1.718</w:t>
            </w:r>
          </w:p>
        </w:tc>
        <w:tc>
          <w:tcPr>
            <w:tcW w:w="785" w:type="dxa"/>
            <w:shd w:val="clear" w:color="auto" w:fill="auto"/>
            <w:noWrap/>
            <w:vAlign w:val="bottom"/>
            <w:hideMark/>
          </w:tcPr>
          <w:p w14:paraId="70DE90C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0.348</w:t>
            </w:r>
          </w:p>
        </w:tc>
        <w:tc>
          <w:tcPr>
            <w:tcW w:w="890" w:type="dxa"/>
            <w:shd w:val="clear" w:color="auto" w:fill="auto"/>
            <w:noWrap/>
            <w:vAlign w:val="bottom"/>
            <w:hideMark/>
          </w:tcPr>
          <w:p w14:paraId="25648FA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790" w:type="dxa"/>
            <w:shd w:val="clear" w:color="auto" w:fill="auto"/>
            <w:noWrap/>
            <w:vAlign w:val="bottom"/>
            <w:hideMark/>
          </w:tcPr>
          <w:p w14:paraId="1DE7315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-3.034</w:t>
            </w:r>
          </w:p>
        </w:tc>
        <w:tc>
          <w:tcPr>
            <w:tcW w:w="785" w:type="dxa"/>
            <w:shd w:val="clear" w:color="auto" w:fill="auto"/>
            <w:noWrap/>
            <w:vAlign w:val="bottom"/>
            <w:hideMark/>
          </w:tcPr>
          <w:p w14:paraId="495D8BC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0.488</w:t>
            </w:r>
          </w:p>
        </w:tc>
        <w:tc>
          <w:tcPr>
            <w:tcW w:w="893" w:type="dxa"/>
            <w:shd w:val="clear" w:color="auto" w:fill="auto"/>
            <w:noWrap/>
            <w:vAlign w:val="bottom"/>
            <w:hideMark/>
          </w:tcPr>
          <w:p w14:paraId="24C77C8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0.049</w:t>
            </w:r>
          </w:p>
        </w:tc>
      </w:tr>
      <w:tr w:rsidR="00423B79" w:rsidRPr="00357EE1" w14:paraId="209BAF31" w14:textId="77777777" w:rsidTr="00423B79">
        <w:trPr>
          <w:trHeight w:val="254"/>
        </w:trPr>
        <w:tc>
          <w:tcPr>
            <w:tcW w:w="1449" w:type="dxa"/>
            <w:shd w:val="clear" w:color="auto" w:fill="auto"/>
            <w:noWrap/>
            <w:vAlign w:val="bottom"/>
            <w:hideMark/>
          </w:tcPr>
          <w:p w14:paraId="2A54BF5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103CAAD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027201B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0.864</w:t>
            </w:r>
          </w:p>
        </w:tc>
        <w:tc>
          <w:tcPr>
            <w:tcW w:w="849" w:type="dxa"/>
            <w:shd w:val="clear" w:color="auto" w:fill="auto"/>
            <w:noWrap/>
            <w:vAlign w:val="bottom"/>
            <w:hideMark/>
          </w:tcPr>
          <w:p w14:paraId="6AB7E77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0.013</w:t>
            </w:r>
          </w:p>
        </w:tc>
        <w:tc>
          <w:tcPr>
            <w:tcW w:w="790" w:type="dxa"/>
            <w:shd w:val="clear" w:color="auto" w:fill="auto"/>
            <w:noWrap/>
            <w:vAlign w:val="bottom"/>
            <w:hideMark/>
          </w:tcPr>
          <w:p w14:paraId="2C37F6A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-1.345</w:t>
            </w:r>
          </w:p>
        </w:tc>
        <w:tc>
          <w:tcPr>
            <w:tcW w:w="785" w:type="dxa"/>
            <w:shd w:val="clear" w:color="auto" w:fill="auto"/>
            <w:noWrap/>
            <w:vAlign w:val="bottom"/>
            <w:hideMark/>
          </w:tcPr>
          <w:p w14:paraId="79FF6D5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0.854</w:t>
            </w:r>
          </w:p>
        </w:tc>
        <w:tc>
          <w:tcPr>
            <w:tcW w:w="890" w:type="dxa"/>
            <w:shd w:val="clear" w:color="auto" w:fill="auto"/>
            <w:noWrap/>
            <w:vAlign w:val="bottom"/>
            <w:hideMark/>
          </w:tcPr>
          <w:p w14:paraId="5713882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0.021</w:t>
            </w:r>
          </w:p>
        </w:tc>
        <w:tc>
          <w:tcPr>
            <w:tcW w:w="790" w:type="dxa"/>
            <w:shd w:val="clear" w:color="auto" w:fill="auto"/>
            <w:noWrap/>
            <w:vAlign w:val="bottom"/>
            <w:hideMark/>
          </w:tcPr>
          <w:p w14:paraId="235B850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-0.21</w:t>
            </w:r>
          </w:p>
        </w:tc>
        <w:tc>
          <w:tcPr>
            <w:tcW w:w="785" w:type="dxa"/>
            <w:shd w:val="clear" w:color="auto" w:fill="auto"/>
            <w:noWrap/>
            <w:vAlign w:val="bottom"/>
            <w:hideMark/>
          </w:tcPr>
          <w:p w14:paraId="090A57B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893" w:type="dxa"/>
            <w:shd w:val="clear" w:color="auto" w:fill="auto"/>
            <w:noWrap/>
            <w:vAlign w:val="bottom"/>
            <w:hideMark/>
          </w:tcPr>
          <w:p w14:paraId="6CD41E4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096EF4AE" w14:textId="77777777" w:rsidTr="00423B79">
        <w:trPr>
          <w:trHeight w:val="254"/>
        </w:trPr>
        <w:tc>
          <w:tcPr>
            <w:tcW w:w="1449" w:type="dxa"/>
            <w:shd w:val="clear" w:color="auto" w:fill="auto"/>
            <w:noWrap/>
            <w:vAlign w:val="bottom"/>
            <w:hideMark/>
          </w:tcPr>
          <w:p w14:paraId="0F9CB34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imr</w:t>
            </w:r>
          </w:p>
        </w:tc>
        <w:tc>
          <w:tcPr>
            <w:tcW w:w="733" w:type="dxa"/>
            <w:shd w:val="clear" w:color="auto" w:fill="auto"/>
            <w:noWrap/>
            <w:vAlign w:val="bottom"/>
            <w:hideMark/>
          </w:tcPr>
          <w:p w14:paraId="0995B74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4FA40F0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63E083C2"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372BA6F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20B1CE8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604D586D"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124634B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2A608E78"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55466A7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00C674C6" w14:textId="77777777" w:rsidTr="00423B79">
        <w:trPr>
          <w:trHeight w:val="254"/>
        </w:trPr>
        <w:tc>
          <w:tcPr>
            <w:tcW w:w="1449" w:type="dxa"/>
            <w:shd w:val="clear" w:color="auto" w:fill="auto"/>
            <w:noWrap/>
            <w:vAlign w:val="bottom"/>
            <w:hideMark/>
          </w:tcPr>
          <w:p w14:paraId="00AD7974"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1A18FA2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w:t>
            </w:r>
          </w:p>
        </w:tc>
        <w:tc>
          <w:tcPr>
            <w:tcW w:w="883" w:type="dxa"/>
            <w:shd w:val="clear" w:color="auto" w:fill="auto"/>
            <w:noWrap/>
            <w:vAlign w:val="bottom"/>
            <w:hideMark/>
          </w:tcPr>
          <w:p w14:paraId="4B40BD8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0.901</w:t>
            </w:r>
          </w:p>
        </w:tc>
        <w:tc>
          <w:tcPr>
            <w:tcW w:w="849" w:type="dxa"/>
            <w:shd w:val="clear" w:color="auto" w:fill="auto"/>
            <w:noWrap/>
            <w:vAlign w:val="bottom"/>
            <w:hideMark/>
          </w:tcPr>
          <w:p w14:paraId="0DB3947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0.019</w:t>
            </w:r>
          </w:p>
        </w:tc>
        <w:tc>
          <w:tcPr>
            <w:tcW w:w="790" w:type="dxa"/>
            <w:shd w:val="clear" w:color="auto" w:fill="auto"/>
            <w:noWrap/>
            <w:vAlign w:val="bottom"/>
            <w:hideMark/>
          </w:tcPr>
          <w:p w14:paraId="3D54304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0.959</w:t>
            </w:r>
          </w:p>
        </w:tc>
        <w:tc>
          <w:tcPr>
            <w:tcW w:w="785" w:type="dxa"/>
            <w:shd w:val="clear" w:color="auto" w:fill="auto"/>
            <w:noWrap/>
            <w:vAlign w:val="bottom"/>
            <w:hideMark/>
          </w:tcPr>
          <w:p w14:paraId="61CC64A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0.769</w:t>
            </w:r>
          </w:p>
        </w:tc>
        <w:tc>
          <w:tcPr>
            <w:tcW w:w="890" w:type="dxa"/>
            <w:shd w:val="clear" w:color="auto" w:fill="auto"/>
            <w:noWrap/>
            <w:vAlign w:val="bottom"/>
            <w:hideMark/>
          </w:tcPr>
          <w:p w14:paraId="793E9DE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0.028</w:t>
            </w:r>
          </w:p>
        </w:tc>
        <w:tc>
          <w:tcPr>
            <w:tcW w:w="790" w:type="dxa"/>
            <w:shd w:val="clear" w:color="auto" w:fill="auto"/>
            <w:noWrap/>
            <w:vAlign w:val="bottom"/>
            <w:hideMark/>
          </w:tcPr>
          <w:p w14:paraId="723D9AE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0.593</w:t>
            </w:r>
          </w:p>
        </w:tc>
        <w:tc>
          <w:tcPr>
            <w:tcW w:w="785" w:type="dxa"/>
            <w:shd w:val="clear" w:color="auto" w:fill="auto"/>
            <w:noWrap/>
            <w:vAlign w:val="bottom"/>
            <w:hideMark/>
          </w:tcPr>
          <w:p w14:paraId="406DBD2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0.132</w:t>
            </w:r>
          </w:p>
        </w:tc>
        <w:tc>
          <w:tcPr>
            <w:tcW w:w="893" w:type="dxa"/>
            <w:shd w:val="clear" w:color="auto" w:fill="auto"/>
            <w:noWrap/>
            <w:vAlign w:val="bottom"/>
            <w:hideMark/>
          </w:tcPr>
          <w:p w14:paraId="4CFF7F6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r>
      <w:tr w:rsidR="00423B79" w:rsidRPr="00357EE1" w14:paraId="7671C105" w14:textId="77777777" w:rsidTr="00423B79">
        <w:trPr>
          <w:trHeight w:val="254"/>
        </w:trPr>
        <w:tc>
          <w:tcPr>
            <w:tcW w:w="1449" w:type="dxa"/>
            <w:shd w:val="clear" w:color="auto" w:fill="auto"/>
            <w:noWrap/>
            <w:vAlign w:val="bottom"/>
            <w:hideMark/>
          </w:tcPr>
          <w:p w14:paraId="587A7CD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E1309D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c>
          <w:tcPr>
            <w:tcW w:w="883" w:type="dxa"/>
            <w:shd w:val="clear" w:color="auto" w:fill="auto"/>
            <w:noWrap/>
            <w:vAlign w:val="bottom"/>
            <w:hideMark/>
          </w:tcPr>
          <w:p w14:paraId="6B6D269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0.734</w:t>
            </w:r>
          </w:p>
        </w:tc>
        <w:tc>
          <w:tcPr>
            <w:tcW w:w="849" w:type="dxa"/>
            <w:shd w:val="clear" w:color="auto" w:fill="auto"/>
            <w:noWrap/>
            <w:vAlign w:val="bottom"/>
            <w:hideMark/>
          </w:tcPr>
          <w:p w14:paraId="556F472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0.017</w:t>
            </w:r>
          </w:p>
        </w:tc>
        <w:tc>
          <w:tcPr>
            <w:tcW w:w="790" w:type="dxa"/>
            <w:shd w:val="clear" w:color="auto" w:fill="auto"/>
            <w:noWrap/>
            <w:vAlign w:val="bottom"/>
            <w:hideMark/>
          </w:tcPr>
          <w:p w14:paraId="29096F3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-1.996</w:t>
            </w:r>
          </w:p>
        </w:tc>
        <w:tc>
          <w:tcPr>
            <w:tcW w:w="785" w:type="dxa"/>
            <w:shd w:val="clear" w:color="auto" w:fill="auto"/>
            <w:noWrap/>
            <w:vAlign w:val="bottom"/>
            <w:hideMark/>
          </w:tcPr>
          <w:p w14:paraId="69FC9F3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0.43</w:t>
            </w:r>
          </w:p>
        </w:tc>
        <w:tc>
          <w:tcPr>
            <w:tcW w:w="890" w:type="dxa"/>
            <w:shd w:val="clear" w:color="auto" w:fill="auto"/>
            <w:noWrap/>
            <w:vAlign w:val="bottom"/>
            <w:hideMark/>
          </w:tcPr>
          <w:p w14:paraId="1B74119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0.013</w:t>
            </w:r>
          </w:p>
        </w:tc>
        <w:tc>
          <w:tcPr>
            <w:tcW w:w="790" w:type="dxa"/>
            <w:shd w:val="clear" w:color="auto" w:fill="auto"/>
            <w:noWrap/>
            <w:vAlign w:val="bottom"/>
            <w:hideMark/>
          </w:tcPr>
          <w:p w14:paraId="4ED2975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-2.502</w:t>
            </w:r>
          </w:p>
        </w:tc>
        <w:tc>
          <w:tcPr>
            <w:tcW w:w="785" w:type="dxa"/>
            <w:shd w:val="clear" w:color="auto" w:fill="auto"/>
            <w:noWrap/>
            <w:vAlign w:val="bottom"/>
            <w:hideMark/>
          </w:tcPr>
          <w:p w14:paraId="00045F7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0.304</w:t>
            </w:r>
          </w:p>
        </w:tc>
        <w:tc>
          <w:tcPr>
            <w:tcW w:w="893" w:type="dxa"/>
            <w:shd w:val="clear" w:color="auto" w:fill="auto"/>
            <w:noWrap/>
            <w:vAlign w:val="bottom"/>
            <w:hideMark/>
          </w:tcPr>
          <w:p w14:paraId="42CE111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0.021</w:t>
            </w:r>
          </w:p>
        </w:tc>
      </w:tr>
      <w:tr w:rsidR="00423B79" w:rsidRPr="00357EE1" w14:paraId="07944C29" w14:textId="77777777" w:rsidTr="00423B79">
        <w:trPr>
          <w:trHeight w:val="254"/>
        </w:trPr>
        <w:tc>
          <w:tcPr>
            <w:tcW w:w="1449" w:type="dxa"/>
            <w:shd w:val="clear" w:color="auto" w:fill="auto"/>
            <w:noWrap/>
            <w:vAlign w:val="bottom"/>
            <w:hideMark/>
          </w:tcPr>
          <w:p w14:paraId="0506D096"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717CB00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5779FCD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0.885</w:t>
            </w:r>
          </w:p>
        </w:tc>
        <w:tc>
          <w:tcPr>
            <w:tcW w:w="849" w:type="dxa"/>
            <w:shd w:val="clear" w:color="auto" w:fill="auto"/>
            <w:noWrap/>
            <w:vAlign w:val="bottom"/>
            <w:hideMark/>
          </w:tcPr>
          <w:p w14:paraId="7DE4DCE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0.027</w:t>
            </w:r>
          </w:p>
        </w:tc>
        <w:tc>
          <w:tcPr>
            <w:tcW w:w="790" w:type="dxa"/>
            <w:shd w:val="clear" w:color="auto" w:fill="auto"/>
            <w:noWrap/>
            <w:vAlign w:val="bottom"/>
            <w:hideMark/>
          </w:tcPr>
          <w:p w14:paraId="4FFC6BB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-1.838</w:t>
            </w:r>
          </w:p>
        </w:tc>
        <w:tc>
          <w:tcPr>
            <w:tcW w:w="785" w:type="dxa"/>
            <w:shd w:val="clear" w:color="auto" w:fill="auto"/>
            <w:noWrap/>
            <w:vAlign w:val="bottom"/>
            <w:hideMark/>
          </w:tcPr>
          <w:p w14:paraId="21BDB3A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0.818</w:t>
            </w:r>
          </w:p>
        </w:tc>
        <w:tc>
          <w:tcPr>
            <w:tcW w:w="890" w:type="dxa"/>
            <w:shd w:val="clear" w:color="auto" w:fill="auto"/>
            <w:noWrap/>
            <w:vAlign w:val="bottom"/>
            <w:hideMark/>
          </w:tcPr>
          <w:p w14:paraId="05A316B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0.041</w:t>
            </w:r>
          </w:p>
        </w:tc>
        <w:tc>
          <w:tcPr>
            <w:tcW w:w="790" w:type="dxa"/>
            <w:shd w:val="clear" w:color="auto" w:fill="auto"/>
            <w:noWrap/>
            <w:vAlign w:val="bottom"/>
            <w:hideMark/>
          </w:tcPr>
          <w:p w14:paraId="5CAC4C8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-0.782</w:t>
            </w:r>
          </w:p>
        </w:tc>
        <w:tc>
          <w:tcPr>
            <w:tcW w:w="785" w:type="dxa"/>
            <w:shd w:val="clear" w:color="auto" w:fill="auto"/>
            <w:noWrap/>
            <w:vAlign w:val="bottom"/>
            <w:hideMark/>
          </w:tcPr>
          <w:p w14:paraId="5900477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0.067</w:t>
            </w:r>
          </w:p>
        </w:tc>
        <w:tc>
          <w:tcPr>
            <w:tcW w:w="893" w:type="dxa"/>
            <w:shd w:val="clear" w:color="auto" w:fill="auto"/>
            <w:noWrap/>
            <w:vAlign w:val="bottom"/>
            <w:hideMark/>
          </w:tcPr>
          <w:p w14:paraId="7AC235B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0.007</w:t>
            </w:r>
          </w:p>
        </w:tc>
      </w:tr>
      <w:tr w:rsidR="00423B79" w:rsidRPr="00357EE1" w14:paraId="496BFA17" w14:textId="77777777" w:rsidTr="00423B79">
        <w:trPr>
          <w:trHeight w:val="254"/>
        </w:trPr>
        <w:tc>
          <w:tcPr>
            <w:tcW w:w="1449" w:type="dxa"/>
            <w:shd w:val="clear" w:color="auto" w:fill="auto"/>
            <w:noWrap/>
            <w:vAlign w:val="bottom"/>
            <w:hideMark/>
          </w:tcPr>
          <w:p w14:paraId="5F3A72D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healthexp</w:t>
            </w:r>
          </w:p>
        </w:tc>
        <w:tc>
          <w:tcPr>
            <w:tcW w:w="733" w:type="dxa"/>
            <w:shd w:val="clear" w:color="auto" w:fill="auto"/>
            <w:noWrap/>
            <w:vAlign w:val="bottom"/>
            <w:hideMark/>
          </w:tcPr>
          <w:p w14:paraId="6055B4C5"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5304C8A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7992756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02AEB5E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03843AE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02D4725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2B32089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398194B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3B33B322"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7F8DDA43" w14:textId="77777777" w:rsidTr="00423B79">
        <w:trPr>
          <w:trHeight w:val="254"/>
        </w:trPr>
        <w:tc>
          <w:tcPr>
            <w:tcW w:w="1449" w:type="dxa"/>
            <w:shd w:val="clear" w:color="auto" w:fill="auto"/>
            <w:noWrap/>
            <w:vAlign w:val="bottom"/>
            <w:hideMark/>
          </w:tcPr>
          <w:p w14:paraId="4E661CEC"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3E70580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76EE23F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0.865</w:t>
            </w:r>
          </w:p>
        </w:tc>
        <w:tc>
          <w:tcPr>
            <w:tcW w:w="849" w:type="dxa"/>
            <w:shd w:val="clear" w:color="auto" w:fill="auto"/>
            <w:noWrap/>
            <w:vAlign w:val="bottom"/>
            <w:hideMark/>
          </w:tcPr>
          <w:p w14:paraId="28E78F2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790" w:type="dxa"/>
            <w:shd w:val="clear" w:color="auto" w:fill="auto"/>
            <w:noWrap/>
            <w:vAlign w:val="bottom"/>
            <w:hideMark/>
          </w:tcPr>
          <w:p w14:paraId="566AC65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-0.543</w:t>
            </w:r>
          </w:p>
        </w:tc>
        <w:tc>
          <w:tcPr>
            <w:tcW w:w="785" w:type="dxa"/>
            <w:shd w:val="clear" w:color="auto" w:fill="auto"/>
            <w:noWrap/>
            <w:vAlign w:val="bottom"/>
            <w:hideMark/>
          </w:tcPr>
          <w:p w14:paraId="59470FC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0.827</w:t>
            </w:r>
          </w:p>
        </w:tc>
        <w:tc>
          <w:tcPr>
            <w:tcW w:w="890" w:type="dxa"/>
            <w:shd w:val="clear" w:color="auto" w:fill="auto"/>
            <w:noWrap/>
            <w:vAlign w:val="bottom"/>
            <w:hideMark/>
          </w:tcPr>
          <w:p w14:paraId="1634426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790" w:type="dxa"/>
            <w:shd w:val="clear" w:color="auto" w:fill="auto"/>
            <w:noWrap/>
            <w:vAlign w:val="bottom"/>
            <w:hideMark/>
          </w:tcPr>
          <w:p w14:paraId="6DE3EA0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-0.174</w:t>
            </w:r>
          </w:p>
        </w:tc>
        <w:tc>
          <w:tcPr>
            <w:tcW w:w="785" w:type="dxa"/>
            <w:shd w:val="clear" w:color="auto" w:fill="auto"/>
            <w:noWrap/>
            <w:vAlign w:val="bottom"/>
            <w:hideMark/>
          </w:tcPr>
          <w:p w14:paraId="5B9586A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0.038</w:t>
            </w:r>
          </w:p>
        </w:tc>
        <w:tc>
          <w:tcPr>
            <w:tcW w:w="893" w:type="dxa"/>
            <w:shd w:val="clear" w:color="auto" w:fill="auto"/>
            <w:noWrap/>
            <w:vAlign w:val="bottom"/>
            <w:hideMark/>
          </w:tcPr>
          <w:p w14:paraId="125C71F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7EF80EB0" w14:textId="77777777" w:rsidTr="00423B79">
        <w:trPr>
          <w:trHeight w:val="254"/>
        </w:trPr>
        <w:tc>
          <w:tcPr>
            <w:tcW w:w="1449" w:type="dxa"/>
            <w:shd w:val="clear" w:color="auto" w:fill="auto"/>
            <w:noWrap/>
            <w:vAlign w:val="bottom"/>
            <w:hideMark/>
          </w:tcPr>
          <w:p w14:paraId="7FFB36FE"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379BBD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0.004</w:t>
            </w:r>
          </w:p>
        </w:tc>
        <w:tc>
          <w:tcPr>
            <w:tcW w:w="883" w:type="dxa"/>
            <w:shd w:val="clear" w:color="auto" w:fill="auto"/>
            <w:noWrap/>
            <w:vAlign w:val="bottom"/>
            <w:hideMark/>
          </w:tcPr>
          <w:p w14:paraId="5026F90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0.164</w:t>
            </w:r>
          </w:p>
        </w:tc>
        <w:tc>
          <w:tcPr>
            <w:tcW w:w="849" w:type="dxa"/>
            <w:shd w:val="clear" w:color="auto" w:fill="auto"/>
            <w:noWrap/>
            <w:vAlign w:val="bottom"/>
            <w:hideMark/>
          </w:tcPr>
          <w:p w14:paraId="022D1D1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790" w:type="dxa"/>
            <w:shd w:val="clear" w:color="auto" w:fill="auto"/>
            <w:noWrap/>
            <w:vAlign w:val="bottom"/>
            <w:hideMark/>
          </w:tcPr>
          <w:p w14:paraId="17C121F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0.629</w:t>
            </w:r>
          </w:p>
        </w:tc>
        <w:tc>
          <w:tcPr>
            <w:tcW w:w="785" w:type="dxa"/>
            <w:shd w:val="clear" w:color="auto" w:fill="auto"/>
            <w:noWrap/>
            <w:vAlign w:val="bottom"/>
            <w:hideMark/>
          </w:tcPr>
          <w:p w14:paraId="6740E62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0.164</w:t>
            </w:r>
          </w:p>
        </w:tc>
        <w:tc>
          <w:tcPr>
            <w:tcW w:w="890" w:type="dxa"/>
            <w:shd w:val="clear" w:color="auto" w:fill="auto"/>
            <w:noWrap/>
            <w:vAlign w:val="bottom"/>
            <w:hideMark/>
          </w:tcPr>
          <w:p w14:paraId="3FCB87A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c>
          <w:tcPr>
            <w:tcW w:w="790" w:type="dxa"/>
            <w:shd w:val="clear" w:color="auto" w:fill="auto"/>
            <w:noWrap/>
            <w:vAlign w:val="bottom"/>
            <w:hideMark/>
          </w:tcPr>
          <w:p w14:paraId="7E2088D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785" w:type="dxa"/>
            <w:shd w:val="clear" w:color="auto" w:fill="auto"/>
            <w:noWrap/>
            <w:vAlign w:val="bottom"/>
            <w:hideMark/>
          </w:tcPr>
          <w:p w14:paraId="412F1C5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893" w:type="dxa"/>
            <w:shd w:val="clear" w:color="auto" w:fill="auto"/>
            <w:noWrap/>
            <w:vAlign w:val="bottom"/>
            <w:hideMark/>
          </w:tcPr>
          <w:p w14:paraId="475E127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74CA70F5" w14:textId="77777777" w:rsidTr="00423B79">
        <w:trPr>
          <w:trHeight w:val="254"/>
        </w:trPr>
        <w:tc>
          <w:tcPr>
            <w:tcW w:w="1449" w:type="dxa"/>
            <w:shd w:val="clear" w:color="auto" w:fill="auto"/>
            <w:noWrap/>
            <w:vAlign w:val="bottom"/>
            <w:hideMark/>
          </w:tcPr>
          <w:p w14:paraId="0D58688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13ADEC5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12517AE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0.872</w:t>
            </w:r>
          </w:p>
        </w:tc>
        <w:tc>
          <w:tcPr>
            <w:tcW w:w="849" w:type="dxa"/>
            <w:shd w:val="clear" w:color="auto" w:fill="auto"/>
            <w:noWrap/>
            <w:vAlign w:val="bottom"/>
            <w:hideMark/>
          </w:tcPr>
          <w:p w14:paraId="5AE50F4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790" w:type="dxa"/>
            <w:shd w:val="clear" w:color="auto" w:fill="auto"/>
            <w:noWrap/>
            <w:vAlign w:val="bottom"/>
            <w:hideMark/>
          </w:tcPr>
          <w:p w14:paraId="2088712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1.12</w:t>
            </w:r>
          </w:p>
        </w:tc>
        <w:tc>
          <w:tcPr>
            <w:tcW w:w="785" w:type="dxa"/>
            <w:shd w:val="clear" w:color="auto" w:fill="auto"/>
            <w:noWrap/>
            <w:vAlign w:val="bottom"/>
            <w:hideMark/>
          </w:tcPr>
          <w:p w14:paraId="2D690AB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0.817</w:t>
            </w:r>
          </w:p>
        </w:tc>
        <w:tc>
          <w:tcPr>
            <w:tcW w:w="890" w:type="dxa"/>
            <w:shd w:val="clear" w:color="auto" w:fill="auto"/>
            <w:noWrap/>
            <w:vAlign w:val="bottom"/>
            <w:hideMark/>
          </w:tcPr>
          <w:p w14:paraId="31CD788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0.015</w:t>
            </w:r>
          </w:p>
        </w:tc>
        <w:tc>
          <w:tcPr>
            <w:tcW w:w="790" w:type="dxa"/>
            <w:shd w:val="clear" w:color="auto" w:fill="auto"/>
            <w:noWrap/>
            <w:vAlign w:val="bottom"/>
            <w:hideMark/>
          </w:tcPr>
          <w:p w14:paraId="3296CA8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0.43</w:t>
            </w:r>
          </w:p>
        </w:tc>
        <w:tc>
          <w:tcPr>
            <w:tcW w:w="785" w:type="dxa"/>
            <w:shd w:val="clear" w:color="auto" w:fill="auto"/>
            <w:noWrap/>
            <w:vAlign w:val="bottom"/>
            <w:hideMark/>
          </w:tcPr>
          <w:p w14:paraId="5DE3BEC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0.054</w:t>
            </w:r>
          </w:p>
        </w:tc>
        <w:tc>
          <w:tcPr>
            <w:tcW w:w="893" w:type="dxa"/>
            <w:shd w:val="clear" w:color="auto" w:fill="auto"/>
            <w:noWrap/>
            <w:vAlign w:val="bottom"/>
            <w:hideMark/>
          </w:tcPr>
          <w:p w14:paraId="051AEB8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r>
      <w:tr w:rsidR="00423B79" w:rsidRPr="00357EE1" w14:paraId="5D57E231" w14:textId="77777777" w:rsidTr="00423B79">
        <w:trPr>
          <w:trHeight w:val="254"/>
        </w:trPr>
        <w:tc>
          <w:tcPr>
            <w:tcW w:w="1449" w:type="dxa"/>
            <w:shd w:val="clear" w:color="auto" w:fill="auto"/>
            <w:noWrap/>
            <w:vAlign w:val="bottom"/>
            <w:hideMark/>
          </w:tcPr>
          <w:p w14:paraId="155C5BD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eduexp</w:t>
            </w:r>
          </w:p>
        </w:tc>
        <w:tc>
          <w:tcPr>
            <w:tcW w:w="733" w:type="dxa"/>
            <w:shd w:val="clear" w:color="auto" w:fill="auto"/>
            <w:noWrap/>
            <w:vAlign w:val="bottom"/>
            <w:hideMark/>
          </w:tcPr>
          <w:p w14:paraId="133B41A9"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6352B6F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774272B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4B37541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24A18AA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645157D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1FA4139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7490A068"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6B66AF1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08A9E65A" w14:textId="77777777" w:rsidTr="00423B79">
        <w:trPr>
          <w:trHeight w:val="254"/>
        </w:trPr>
        <w:tc>
          <w:tcPr>
            <w:tcW w:w="1449" w:type="dxa"/>
            <w:shd w:val="clear" w:color="auto" w:fill="auto"/>
            <w:noWrap/>
            <w:vAlign w:val="bottom"/>
            <w:hideMark/>
          </w:tcPr>
          <w:p w14:paraId="0F8D4DBE"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3AEC20A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0.024</w:t>
            </w:r>
          </w:p>
        </w:tc>
        <w:tc>
          <w:tcPr>
            <w:tcW w:w="883" w:type="dxa"/>
            <w:shd w:val="clear" w:color="auto" w:fill="auto"/>
            <w:noWrap/>
            <w:vAlign w:val="bottom"/>
            <w:hideMark/>
          </w:tcPr>
          <w:p w14:paraId="0FAC999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0.633</w:t>
            </w:r>
          </w:p>
        </w:tc>
        <w:tc>
          <w:tcPr>
            <w:tcW w:w="849" w:type="dxa"/>
            <w:shd w:val="clear" w:color="auto" w:fill="auto"/>
            <w:noWrap/>
            <w:vAlign w:val="bottom"/>
            <w:hideMark/>
          </w:tcPr>
          <w:p w14:paraId="6B8C9B7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0.007</w:t>
            </w:r>
          </w:p>
        </w:tc>
        <w:tc>
          <w:tcPr>
            <w:tcW w:w="790" w:type="dxa"/>
            <w:shd w:val="clear" w:color="auto" w:fill="auto"/>
            <w:noWrap/>
            <w:vAlign w:val="bottom"/>
            <w:hideMark/>
          </w:tcPr>
          <w:p w14:paraId="0C3599E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-0.583</w:t>
            </w:r>
          </w:p>
        </w:tc>
        <w:tc>
          <w:tcPr>
            <w:tcW w:w="785" w:type="dxa"/>
            <w:shd w:val="clear" w:color="auto" w:fill="auto"/>
            <w:noWrap/>
            <w:vAlign w:val="bottom"/>
            <w:hideMark/>
          </w:tcPr>
          <w:p w14:paraId="7F5EBD4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0.622</w:t>
            </w:r>
          </w:p>
        </w:tc>
        <w:tc>
          <w:tcPr>
            <w:tcW w:w="890" w:type="dxa"/>
            <w:shd w:val="clear" w:color="auto" w:fill="auto"/>
            <w:noWrap/>
            <w:vAlign w:val="bottom"/>
            <w:hideMark/>
          </w:tcPr>
          <w:p w14:paraId="70908F7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0.008</w:t>
            </w:r>
          </w:p>
        </w:tc>
        <w:tc>
          <w:tcPr>
            <w:tcW w:w="790" w:type="dxa"/>
            <w:shd w:val="clear" w:color="auto" w:fill="auto"/>
            <w:noWrap/>
            <w:vAlign w:val="bottom"/>
            <w:hideMark/>
          </w:tcPr>
          <w:p w14:paraId="74DC51B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0.115</w:t>
            </w:r>
          </w:p>
        </w:tc>
        <w:tc>
          <w:tcPr>
            <w:tcW w:w="785" w:type="dxa"/>
            <w:shd w:val="clear" w:color="auto" w:fill="auto"/>
            <w:noWrap/>
            <w:vAlign w:val="bottom"/>
            <w:hideMark/>
          </w:tcPr>
          <w:p w14:paraId="4338E8E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893" w:type="dxa"/>
            <w:shd w:val="clear" w:color="auto" w:fill="auto"/>
            <w:noWrap/>
            <w:vAlign w:val="bottom"/>
            <w:hideMark/>
          </w:tcPr>
          <w:p w14:paraId="794C8C2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75971E4E" w14:textId="77777777" w:rsidTr="00423B79">
        <w:trPr>
          <w:trHeight w:val="254"/>
        </w:trPr>
        <w:tc>
          <w:tcPr>
            <w:tcW w:w="1449" w:type="dxa"/>
            <w:shd w:val="clear" w:color="auto" w:fill="auto"/>
            <w:noWrap/>
            <w:vAlign w:val="bottom"/>
            <w:hideMark/>
          </w:tcPr>
          <w:p w14:paraId="78F6BC1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2C99F34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2916C4A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0.392</w:t>
            </w:r>
          </w:p>
        </w:tc>
        <w:tc>
          <w:tcPr>
            <w:tcW w:w="849" w:type="dxa"/>
            <w:shd w:val="clear" w:color="auto" w:fill="auto"/>
            <w:noWrap/>
            <w:vAlign w:val="bottom"/>
            <w:hideMark/>
          </w:tcPr>
          <w:p w14:paraId="69824C8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46BE8A1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0.519</w:t>
            </w:r>
          </w:p>
        </w:tc>
        <w:tc>
          <w:tcPr>
            <w:tcW w:w="785" w:type="dxa"/>
            <w:shd w:val="clear" w:color="auto" w:fill="auto"/>
            <w:noWrap/>
            <w:vAlign w:val="bottom"/>
            <w:hideMark/>
          </w:tcPr>
          <w:p w14:paraId="16C3A2C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0.392</w:t>
            </w:r>
          </w:p>
        </w:tc>
        <w:tc>
          <w:tcPr>
            <w:tcW w:w="890" w:type="dxa"/>
            <w:shd w:val="clear" w:color="auto" w:fill="auto"/>
            <w:noWrap/>
            <w:vAlign w:val="bottom"/>
            <w:hideMark/>
          </w:tcPr>
          <w:p w14:paraId="6A4804F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c>
          <w:tcPr>
            <w:tcW w:w="790" w:type="dxa"/>
            <w:shd w:val="clear" w:color="auto" w:fill="auto"/>
            <w:noWrap/>
            <w:vAlign w:val="bottom"/>
            <w:hideMark/>
          </w:tcPr>
          <w:p w14:paraId="67F2F6F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0.028</w:t>
            </w:r>
          </w:p>
        </w:tc>
        <w:tc>
          <w:tcPr>
            <w:tcW w:w="785" w:type="dxa"/>
            <w:shd w:val="clear" w:color="auto" w:fill="auto"/>
            <w:noWrap/>
            <w:vAlign w:val="bottom"/>
            <w:hideMark/>
          </w:tcPr>
          <w:p w14:paraId="6EF9DC1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893" w:type="dxa"/>
            <w:shd w:val="clear" w:color="auto" w:fill="auto"/>
            <w:noWrap/>
            <w:vAlign w:val="bottom"/>
            <w:hideMark/>
          </w:tcPr>
          <w:p w14:paraId="027C4CB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767B4BCE" w14:textId="77777777" w:rsidTr="00423B79">
        <w:trPr>
          <w:trHeight w:val="254"/>
        </w:trPr>
        <w:tc>
          <w:tcPr>
            <w:tcW w:w="1449" w:type="dxa"/>
            <w:shd w:val="clear" w:color="auto" w:fill="auto"/>
            <w:noWrap/>
            <w:vAlign w:val="bottom"/>
            <w:hideMark/>
          </w:tcPr>
          <w:p w14:paraId="417287C8"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61CFCE5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883" w:type="dxa"/>
            <w:shd w:val="clear" w:color="auto" w:fill="auto"/>
            <w:noWrap/>
            <w:vAlign w:val="bottom"/>
            <w:hideMark/>
          </w:tcPr>
          <w:p w14:paraId="7C2C7CE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0.667</w:t>
            </w:r>
          </w:p>
        </w:tc>
        <w:tc>
          <w:tcPr>
            <w:tcW w:w="849" w:type="dxa"/>
            <w:shd w:val="clear" w:color="auto" w:fill="auto"/>
            <w:noWrap/>
            <w:vAlign w:val="bottom"/>
            <w:hideMark/>
          </w:tcPr>
          <w:p w14:paraId="51C1AAA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0DBD7E3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0.766</w:t>
            </w:r>
          </w:p>
        </w:tc>
        <w:tc>
          <w:tcPr>
            <w:tcW w:w="785" w:type="dxa"/>
            <w:shd w:val="clear" w:color="auto" w:fill="auto"/>
            <w:noWrap/>
            <w:vAlign w:val="bottom"/>
            <w:hideMark/>
          </w:tcPr>
          <w:p w14:paraId="399F2BB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0.62</w:t>
            </w:r>
          </w:p>
        </w:tc>
        <w:tc>
          <w:tcPr>
            <w:tcW w:w="890" w:type="dxa"/>
            <w:shd w:val="clear" w:color="auto" w:fill="auto"/>
            <w:noWrap/>
            <w:vAlign w:val="bottom"/>
            <w:hideMark/>
          </w:tcPr>
          <w:p w14:paraId="2A5CE65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790" w:type="dxa"/>
            <w:shd w:val="clear" w:color="auto" w:fill="auto"/>
            <w:noWrap/>
            <w:vAlign w:val="bottom"/>
            <w:hideMark/>
          </w:tcPr>
          <w:p w14:paraId="48FE8AA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-0.316</w:t>
            </w:r>
          </w:p>
        </w:tc>
        <w:tc>
          <w:tcPr>
            <w:tcW w:w="785" w:type="dxa"/>
            <w:shd w:val="clear" w:color="auto" w:fill="auto"/>
            <w:noWrap/>
            <w:vAlign w:val="bottom"/>
            <w:hideMark/>
          </w:tcPr>
          <w:p w14:paraId="6819EEB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0.047</w:t>
            </w:r>
          </w:p>
        </w:tc>
        <w:tc>
          <w:tcPr>
            <w:tcW w:w="893" w:type="dxa"/>
            <w:shd w:val="clear" w:color="auto" w:fill="auto"/>
            <w:noWrap/>
            <w:vAlign w:val="bottom"/>
            <w:hideMark/>
          </w:tcPr>
          <w:p w14:paraId="45E8290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2BB6D2BD" w14:textId="77777777" w:rsidTr="00423B79">
        <w:trPr>
          <w:trHeight w:val="254"/>
        </w:trPr>
        <w:tc>
          <w:tcPr>
            <w:tcW w:w="1449" w:type="dxa"/>
            <w:shd w:val="clear" w:color="auto" w:fill="auto"/>
            <w:noWrap/>
            <w:vAlign w:val="bottom"/>
            <w:hideMark/>
          </w:tcPr>
          <w:p w14:paraId="7318229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agri_emp</w:t>
            </w:r>
          </w:p>
        </w:tc>
        <w:tc>
          <w:tcPr>
            <w:tcW w:w="733" w:type="dxa"/>
            <w:shd w:val="clear" w:color="auto" w:fill="auto"/>
            <w:noWrap/>
            <w:vAlign w:val="bottom"/>
            <w:hideMark/>
          </w:tcPr>
          <w:p w14:paraId="7FF48F6A"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642EC02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708D9E1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03F7762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477BC7C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72ACC7F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697FDC9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693E7DE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1D71A43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6B0216B5" w14:textId="77777777" w:rsidTr="00423B79">
        <w:trPr>
          <w:trHeight w:val="254"/>
        </w:trPr>
        <w:tc>
          <w:tcPr>
            <w:tcW w:w="1449" w:type="dxa"/>
            <w:shd w:val="clear" w:color="auto" w:fill="auto"/>
            <w:noWrap/>
            <w:vAlign w:val="bottom"/>
            <w:hideMark/>
          </w:tcPr>
          <w:p w14:paraId="1FBF6BF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0D9C906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4A5CC4C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w:t>
            </w:r>
          </w:p>
        </w:tc>
        <w:tc>
          <w:tcPr>
            <w:tcW w:w="849" w:type="dxa"/>
            <w:shd w:val="clear" w:color="auto" w:fill="auto"/>
            <w:noWrap/>
            <w:vAlign w:val="bottom"/>
            <w:hideMark/>
          </w:tcPr>
          <w:p w14:paraId="63F65F8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0.017</w:t>
            </w:r>
          </w:p>
        </w:tc>
        <w:tc>
          <w:tcPr>
            <w:tcW w:w="790" w:type="dxa"/>
            <w:shd w:val="clear" w:color="auto" w:fill="auto"/>
            <w:noWrap/>
            <w:vAlign w:val="bottom"/>
            <w:hideMark/>
          </w:tcPr>
          <w:p w14:paraId="7DBAEE2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0.709</w:t>
            </w:r>
          </w:p>
        </w:tc>
        <w:tc>
          <w:tcPr>
            <w:tcW w:w="785" w:type="dxa"/>
            <w:shd w:val="clear" w:color="auto" w:fill="auto"/>
            <w:noWrap/>
            <w:vAlign w:val="bottom"/>
            <w:hideMark/>
          </w:tcPr>
          <w:p w14:paraId="074FCFB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0.463</w:t>
            </w:r>
          </w:p>
        </w:tc>
        <w:tc>
          <w:tcPr>
            <w:tcW w:w="890" w:type="dxa"/>
            <w:shd w:val="clear" w:color="auto" w:fill="auto"/>
            <w:noWrap/>
            <w:vAlign w:val="bottom"/>
            <w:hideMark/>
          </w:tcPr>
          <w:p w14:paraId="1BDFC50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0.014</w:t>
            </w:r>
          </w:p>
        </w:tc>
        <w:tc>
          <w:tcPr>
            <w:tcW w:w="790" w:type="dxa"/>
            <w:shd w:val="clear" w:color="auto" w:fill="auto"/>
            <w:noWrap/>
            <w:vAlign w:val="bottom"/>
            <w:hideMark/>
          </w:tcPr>
          <w:p w14:paraId="7297079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1.028</w:t>
            </w:r>
          </w:p>
        </w:tc>
        <w:tc>
          <w:tcPr>
            <w:tcW w:w="785" w:type="dxa"/>
            <w:shd w:val="clear" w:color="auto" w:fill="auto"/>
            <w:noWrap/>
            <w:vAlign w:val="bottom"/>
            <w:hideMark/>
          </w:tcPr>
          <w:p w14:paraId="270C235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0.437</w:t>
            </w:r>
          </w:p>
        </w:tc>
        <w:tc>
          <w:tcPr>
            <w:tcW w:w="893" w:type="dxa"/>
            <w:shd w:val="clear" w:color="auto" w:fill="auto"/>
            <w:noWrap/>
            <w:vAlign w:val="bottom"/>
            <w:hideMark/>
          </w:tcPr>
          <w:p w14:paraId="17B3E26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w:t>
            </w:r>
          </w:p>
        </w:tc>
      </w:tr>
      <w:tr w:rsidR="00423B79" w:rsidRPr="00357EE1" w14:paraId="3B76414C" w14:textId="77777777" w:rsidTr="00423B79">
        <w:trPr>
          <w:trHeight w:val="254"/>
        </w:trPr>
        <w:tc>
          <w:tcPr>
            <w:tcW w:w="1449" w:type="dxa"/>
            <w:shd w:val="clear" w:color="auto" w:fill="auto"/>
            <w:noWrap/>
            <w:vAlign w:val="bottom"/>
            <w:hideMark/>
          </w:tcPr>
          <w:p w14:paraId="4A2E16EA"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531DDE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883" w:type="dxa"/>
            <w:shd w:val="clear" w:color="auto" w:fill="auto"/>
            <w:noWrap/>
            <w:vAlign w:val="bottom"/>
            <w:hideMark/>
          </w:tcPr>
          <w:p w14:paraId="451AF16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0.858</w:t>
            </w:r>
          </w:p>
        </w:tc>
        <w:tc>
          <w:tcPr>
            <w:tcW w:w="849" w:type="dxa"/>
            <w:shd w:val="clear" w:color="auto" w:fill="auto"/>
            <w:noWrap/>
            <w:vAlign w:val="bottom"/>
            <w:hideMark/>
          </w:tcPr>
          <w:p w14:paraId="35AB303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790" w:type="dxa"/>
            <w:shd w:val="clear" w:color="auto" w:fill="auto"/>
            <w:noWrap/>
            <w:vAlign w:val="bottom"/>
            <w:hideMark/>
          </w:tcPr>
          <w:p w14:paraId="0365923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0.502</w:t>
            </w:r>
          </w:p>
        </w:tc>
        <w:tc>
          <w:tcPr>
            <w:tcW w:w="785" w:type="dxa"/>
            <w:shd w:val="clear" w:color="auto" w:fill="auto"/>
            <w:noWrap/>
            <w:vAlign w:val="bottom"/>
            <w:hideMark/>
          </w:tcPr>
          <w:p w14:paraId="6AA7E2F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0.025</w:t>
            </w:r>
          </w:p>
        </w:tc>
        <w:tc>
          <w:tcPr>
            <w:tcW w:w="890" w:type="dxa"/>
            <w:shd w:val="clear" w:color="auto" w:fill="auto"/>
            <w:noWrap/>
            <w:vAlign w:val="bottom"/>
            <w:hideMark/>
          </w:tcPr>
          <w:p w14:paraId="45BBB98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c>
          <w:tcPr>
            <w:tcW w:w="790" w:type="dxa"/>
            <w:shd w:val="clear" w:color="auto" w:fill="auto"/>
            <w:noWrap/>
            <w:vAlign w:val="bottom"/>
            <w:hideMark/>
          </w:tcPr>
          <w:p w14:paraId="4DCA7EE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-4.36</w:t>
            </w:r>
          </w:p>
        </w:tc>
        <w:tc>
          <w:tcPr>
            <w:tcW w:w="785" w:type="dxa"/>
            <w:shd w:val="clear" w:color="auto" w:fill="auto"/>
            <w:noWrap/>
            <w:vAlign w:val="bottom"/>
            <w:hideMark/>
          </w:tcPr>
          <w:p w14:paraId="6C729F6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0.833</w:t>
            </w:r>
          </w:p>
        </w:tc>
        <w:tc>
          <w:tcPr>
            <w:tcW w:w="893" w:type="dxa"/>
            <w:shd w:val="clear" w:color="auto" w:fill="auto"/>
            <w:noWrap/>
            <w:vAlign w:val="bottom"/>
            <w:hideMark/>
          </w:tcPr>
          <w:p w14:paraId="045B3E6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0.101</w:t>
            </w:r>
          </w:p>
        </w:tc>
      </w:tr>
      <w:tr w:rsidR="00423B79" w:rsidRPr="00357EE1" w14:paraId="04BE5A25" w14:textId="77777777" w:rsidTr="00423B79">
        <w:trPr>
          <w:trHeight w:val="254"/>
        </w:trPr>
        <w:tc>
          <w:tcPr>
            <w:tcW w:w="1449" w:type="dxa"/>
            <w:shd w:val="clear" w:color="auto" w:fill="auto"/>
            <w:noWrap/>
            <w:vAlign w:val="bottom"/>
            <w:hideMark/>
          </w:tcPr>
          <w:p w14:paraId="42B3E3D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lastRenderedPageBreak/>
              <w:t>MID</w:t>
            </w:r>
          </w:p>
        </w:tc>
        <w:tc>
          <w:tcPr>
            <w:tcW w:w="733" w:type="dxa"/>
            <w:shd w:val="clear" w:color="auto" w:fill="auto"/>
            <w:noWrap/>
            <w:vAlign w:val="bottom"/>
            <w:hideMark/>
          </w:tcPr>
          <w:p w14:paraId="0A378F4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1080AC8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0.916</w:t>
            </w:r>
          </w:p>
        </w:tc>
        <w:tc>
          <w:tcPr>
            <w:tcW w:w="849" w:type="dxa"/>
            <w:shd w:val="clear" w:color="auto" w:fill="auto"/>
            <w:noWrap/>
            <w:vAlign w:val="bottom"/>
            <w:hideMark/>
          </w:tcPr>
          <w:p w14:paraId="3366813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0.028</w:t>
            </w:r>
          </w:p>
        </w:tc>
        <w:tc>
          <w:tcPr>
            <w:tcW w:w="790" w:type="dxa"/>
            <w:shd w:val="clear" w:color="auto" w:fill="auto"/>
            <w:noWrap/>
            <w:vAlign w:val="bottom"/>
            <w:hideMark/>
          </w:tcPr>
          <w:p w14:paraId="7E7714B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-1.989</w:t>
            </w:r>
          </w:p>
        </w:tc>
        <w:tc>
          <w:tcPr>
            <w:tcW w:w="785" w:type="dxa"/>
            <w:shd w:val="clear" w:color="auto" w:fill="auto"/>
            <w:noWrap/>
            <w:vAlign w:val="bottom"/>
            <w:hideMark/>
          </w:tcPr>
          <w:p w14:paraId="396250C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0.886</w:t>
            </w:r>
          </w:p>
        </w:tc>
        <w:tc>
          <w:tcPr>
            <w:tcW w:w="890" w:type="dxa"/>
            <w:shd w:val="clear" w:color="auto" w:fill="auto"/>
            <w:noWrap/>
            <w:vAlign w:val="bottom"/>
            <w:hideMark/>
          </w:tcPr>
          <w:p w14:paraId="0BC1A0D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0.046</w:t>
            </w:r>
          </w:p>
        </w:tc>
        <w:tc>
          <w:tcPr>
            <w:tcW w:w="790" w:type="dxa"/>
            <w:shd w:val="clear" w:color="auto" w:fill="auto"/>
            <w:noWrap/>
            <w:vAlign w:val="bottom"/>
            <w:hideMark/>
          </w:tcPr>
          <w:p w14:paraId="1E44E51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-0.55</w:t>
            </w:r>
          </w:p>
        </w:tc>
        <w:tc>
          <w:tcPr>
            <w:tcW w:w="785" w:type="dxa"/>
            <w:shd w:val="clear" w:color="auto" w:fill="auto"/>
            <w:noWrap/>
            <w:vAlign w:val="bottom"/>
            <w:hideMark/>
          </w:tcPr>
          <w:p w14:paraId="5415CD5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w:t>
            </w:r>
          </w:p>
        </w:tc>
        <w:tc>
          <w:tcPr>
            <w:tcW w:w="893" w:type="dxa"/>
            <w:shd w:val="clear" w:color="auto" w:fill="auto"/>
            <w:noWrap/>
            <w:vAlign w:val="bottom"/>
            <w:hideMark/>
          </w:tcPr>
          <w:p w14:paraId="63746E7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r>
      <w:tr w:rsidR="00423B79" w:rsidRPr="00357EE1" w14:paraId="1BFC3FB0" w14:textId="77777777" w:rsidTr="00423B79">
        <w:trPr>
          <w:trHeight w:val="254"/>
        </w:trPr>
        <w:tc>
          <w:tcPr>
            <w:tcW w:w="1449" w:type="dxa"/>
            <w:shd w:val="clear" w:color="auto" w:fill="auto"/>
            <w:noWrap/>
            <w:vAlign w:val="bottom"/>
            <w:hideMark/>
          </w:tcPr>
          <w:p w14:paraId="1594F68A"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serv_emp</w:t>
            </w:r>
          </w:p>
        </w:tc>
        <w:tc>
          <w:tcPr>
            <w:tcW w:w="733" w:type="dxa"/>
            <w:shd w:val="clear" w:color="auto" w:fill="auto"/>
            <w:noWrap/>
            <w:vAlign w:val="bottom"/>
            <w:hideMark/>
          </w:tcPr>
          <w:p w14:paraId="0EC2CF59"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62993A2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2B5A076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37DAA43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59DB2C8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4848CAC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2B981EE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05E6E30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05A1671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072302D5" w14:textId="77777777" w:rsidTr="00423B79">
        <w:trPr>
          <w:trHeight w:val="254"/>
        </w:trPr>
        <w:tc>
          <w:tcPr>
            <w:tcW w:w="1449" w:type="dxa"/>
            <w:shd w:val="clear" w:color="auto" w:fill="auto"/>
            <w:noWrap/>
            <w:vAlign w:val="bottom"/>
            <w:hideMark/>
          </w:tcPr>
          <w:p w14:paraId="3723F91D"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7A188D8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1AFA2C2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0.898</w:t>
            </w:r>
          </w:p>
        </w:tc>
        <w:tc>
          <w:tcPr>
            <w:tcW w:w="849" w:type="dxa"/>
            <w:shd w:val="clear" w:color="auto" w:fill="auto"/>
            <w:noWrap/>
            <w:vAlign w:val="bottom"/>
            <w:hideMark/>
          </w:tcPr>
          <w:p w14:paraId="0A7D230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790" w:type="dxa"/>
            <w:shd w:val="clear" w:color="auto" w:fill="auto"/>
            <w:noWrap/>
            <w:vAlign w:val="bottom"/>
            <w:hideMark/>
          </w:tcPr>
          <w:p w14:paraId="7DB64A6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-0.951</w:t>
            </w:r>
          </w:p>
        </w:tc>
        <w:tc>
          <w:tcPr>
            <w:tcW w:w="785" w:type="dxa"/>
            <w:shd w:val="clear" w:color="auto" w:fill="auto"/>
            <w:noWrap/>
            <w:vAlign w:val="bottom"/>
            <w:hideMark/>
          </w:tcPr>
          <w:p w14:paraId="5550BFA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0.871</w:t>
            </w:r>
          </w:p>
        </w:tc>
        <w:tc>
          <w:tcPr>
            <w:tcW w:w="890" w:type="dxa"/>
            <w:shd w:val="clear" w:color="auto" w:fill="auto"/>
            <w:noWrap/>
            <w:vAlign w:val="bottom"/>
            <w:hideMark/>
          </w:tcPr>
          <w:p w14:paraId="15D58E7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0.026</w:t>
            </w:r>
          </w:p>
        </w:tc>
        <w:tc>
          <w:tcPr>
            <w:tcW w:w="790" w:type="dxa"/>
            <w:shd w:val="clear" w:color="auto" w:fill="auto"/>
            <w:noWrap/>
            <w:vAlign w:val="bottom"/>
            <w:hideMark/>
          </w:tcPr>
          <w:p w14:paraId="3CC6229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0.248</w:t>
            </w:r>
          </w:p>
        </w:tc>
        <w:tc>
          <w:tcPr>
            <w:tcW w:w="785" w:type="dxa"/>
            <w:shd w:val="clear" w:color="auto" w:fill="auto"/>
            <w:noWrap/>
            <w:vAlign w:val="bottom"/>
            <w:hideMark/>
          </w:tcPr>
          <w:p w14:paraId="18292A9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0.027</w:t>
            </w:r>
          </w:p>
        </w:tc>
        <w:tc>
          <w:tcPr>
            <w:tcW w:w="893" w:type="dxa"/>
            <w:shd w:val="clear" w:color="auto" w:fill="auto"/>
            <w:noWrap/>
            <w:vAlign w:val="bottom"/>
            <w:hideMark/>
          </w:tcPr>
          <w:p w14:paraId="7E5467E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r>
      <w:tr w:rsidR="00423B79" w:rsidRPr="00357EE1" w14:paraId="191A6F2C" w14:textId="77777777" w:rsidTr="00423B79">
        <w:trPr>
          <w:trHeight w:val="254"/>
        </w:trPr>
        <w:tc>
          <w:tcPr>
            <w:tcW w:w="1449" w:type="dxa"/>
            <w:shd w:val="clear" w:color="auto" w:fill="auto"/>
            <w:noWrap/>
            <w:vAlign w:val="bottom"/>
            <w:hideMark/>
          </w:tcPr>
          <w:p w14:paraId="653046D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081BBA4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883" w:type="dxa"/>
            <w:shd w:val="clear" w:color="auto" w:fill="auto"/>
            <w:noWrap/>
            <w:vAlign w:val="bottom"/>
            <w:hideMark/>
          </w:tcPr>
          <w:p w14:paraId="2AC5BA1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0.89</w:t>
            </w:r>
          </w:p>
        </w:tc>
        <w:tc>
          <w:tcPr>
            <w:tcW w:w="849" w:type="dxa"/>
            <w:shd w:val="clear" w:color="auto" w:fill="auto"/>
            <w:noWrap/>
            <w:vAlign w:val="bottom"/>
            <w:hideMark/>
          </w:tcPr>
          <w:p w14:paraId="7E7FDF3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0.039</w:t>
            </w:r>
          </w:p>
        </w:tc>
        <w:tc>
          <w:tcPr>
            <w:tcW w:w="790" w:type="dxa"/>
            <w:shd w:val="clear" w:color="auto" w:fill="auto"/>
            <w:noWrap/>
            <w:vAlign w:val="bottom"/>
            <w:hideMark/>
          </w:tcPr>
          <w:p w14:paraId="0AA30DE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2.491</w:t>
            </w:r>
          </w:p>
        </w:tc>
        <w:tc>
          <w:tcPr>
            <w:tcW w:w="785" w:type="dxa"/>
            <w:shd w:val="clear" w:color="auto" w:fill="auto"/>
            <w:noWrap/>
            <w:vAlign w:val="bottom"/>
            <w:hideMark/>
          </w:tcPr>
          <w:p w14:paraId="2C5A524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0.46</w:t>
            </w:r>
          </w:p>
        </w:tc>
        <w:tc>
          <w:tcPr>
            <w:tcW w:w="890" w:type="dxa"/>
            <w:shd w:val="clear" w:color="auto" w:fill="auto"/>
            <w:noWrap/>
            <w:vAlign w:val="bottom"/>
            <w:hideMark/>
          </w:tcPr>
          <w:p w14:paraId="2013606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0.033</w:t>
            </w:r>
          </w:p>
        </w:tc>
        <w:tc>
          <w:tcPr>
            <w:tcW w:w="790" w:type="dxa"/>
            <w:shd w:val="clear" w:color="auto" w:fill="auto"/>
            <w:noWrap/>
            <w:vAlign w:val="bottom"/>
            <w:hideMark/>
          </w:tcPr>
          <w:p w14:paraId="226758B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-3.595</w:t>
            </w:r>
          </w:p>
        </w:tc>
        <w:tc>
          <w:tcPr>
            <w:tcW w:w="785" w:type="dxa"/>
            <w:shd w:val="clear" w:color="auto" w:fill="auto"/>
            <w:noWrap/>
            <w:vAlign w:val="bottom"/>
            <w:hideMark/>
          </w:tcPr>
          <w:p w14:paraId="71C34EE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0.43</w:t>
            </w:r>
          </w:p>
        </w:tc>
        <w:tc>
          <w:tcPr>
            <w:tcW w:w="893" w:type="dxa"/>
            <w:shd w:val="clear" w:color="auto" w:fill="auto"/>
            <w:noWrap/>
            <w:vAlign w:val="bottom"/>
            <w:hideMark/>
          </w:tcPr>
          <w:p w14:paraId="6CB5E4E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0.068</w:t>
            </w:r>
          </w:p>
        </w:tc>
      </w:tr>
      <w:tr w:rsidR="00423B79" w:rsidRPr="00357EE1" w14:paraId="66C68243" w14:textId="77777777" w:rsidTr="00423B79">
        <w:trPr>
          <w:trHeight w:val="254"/>
        </w:trPr>
        <w:tc>
          <w:tcPr>
            <w:tcW w:w="1449" w:type="dxa"/>
            <w:shd w:val="clear" w:color="auto" w:fill="auto"/>
            <w:noWrap/>
            <w:vAlign w:val="bottom"/>
            <w:hideMark/>
          </w:tcPr>
          <w:p w14:paraId="26279FF6"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593063F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30775B5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0.834</w:t>
            </w:r>
          </w:p>
        </w:tc>
        <w:tc>
          <w:tcPr>
            <w:tcW w:w="849" w:type="dxa"/>
            <w:shd w:val="clear" w:color="auto" w:fill="auto"/>
            <w:noWrap/>
            <w:vAlign w:val="bottom"/>
            <w:hideMark/>
          </w:tcPr>
          <w:p w14:paraId="6DF7C7F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0.015</w:t>
            </w:r>
          </w:p>
        </w:tc>
        <w:tc>
          <w:tcPr>
            <w:tcW w:w="790" w:type="dxa"/>
            <w:shd w:val="clear" w:color="auto" w:fill="auto"/>
            <w:noWrap/>
            <w:vAlign w:val="bottom"/>
            <w:hideMark/>
          </w:tcPr>
          <w:p w14:paraId="55BEFA6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1.216</w:t>
            </w:r>
          </w:p>
        </w:tc>
        <w:tc>
          <w:tcPr>
            <w:tcW w:w="785" w:type="dxa"/>
            <w:shd w:val="clear" w:color="auto" w:fill="auto"/>
            <w:noWrap/>
            <w:vAlign w:val="bottom"/>
            <w:hideMark/>
          </w:tcPr>
          <w:p w14:paraId="1A998A7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0.63</w:t>
            </w:r>
          </w:p>
        </w:tc>
        <w:tc>
          <w:tcPr>
            <w:tcW w:w="890" w:type="dxa"/>
            <w:shd w:val="clear" w:color="auto" w:fill="auto"/>
            <w:noWrap/>
            <w:vAlign w:val="bottom"/>
            <w:hideMark/>
          </w:tcPr>
          <w:p w14:paraId="0F6144B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0.017</w:t>
            </w:r>
          </w:p>
        </w:tc>
        <w:tc>
          <w:tcPr>
            <w:tcW w:w="790" w:type="dxa"/>
            <w:shd w:val="clear" w:color="auto" w:fill="auto"/>
            <w:noWrap/>
            <w:vAlign w:val="bottom"/>
            <w:hideMark/>
          </w:tcPr>
          <w:p w14:paraId="2196837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1.032</w:t>
            </w:r>
          </w:p>
        </w:tc>
        <w:tc>
          <w:tcPr>
            <w:tcW w:w="785" w:type="dxa"/>
            <w:shd w:val="clear" w:color="auto" w:fill="auto"/>
            <w:noWrap/>
            <w:vAlign w:val="bottom"/>
            <w:hideMark/>
          </w:tcPr>
          <w:p w14:paraId="263D40C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0.204</w:t>
            </w:r>
          </w:p>
        </w:tc>
        <w:tc>
          <w:tcPr>
            <w:tcW w:w="893" w:type="dxa"/>
            <w:shd w:val="clear" w:color="auto" w:fill="auto"/>
            <w:noWrap/>
            <w:vAlign w:val="bottom"/>
            <w:hideMark/>
          </w:tcPr>
          <w:p w14:paraId="16EB952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r>
      <w:tr w:rsidR="00423B79" w:rsidRPr="00357EE1" w14:paraId="07E2E584" w14:textId="77777777" w:rsidTr="00423B79">
        <w:trPr>
          <w:trHeight w:val="254"/>
        </w:trPr>
        <w:tc>
          <w:tcPr>
            <w:tcW w:w="1449" w:type="dxa"/>
            <w:shd w:val="clear" w:color="auto" w:fill="auto"/>
            <w:noWrap/>
            <w:vAlign w:val="bottom"/>
            <w:hideMark/>
          </w:tcPr>
          <w:p w14:paraId="688036E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unemployment</w:t>
            </w:r>
          </w:p>
        </w:tc>
        <w:tc>
          <w:tcPr>
            <w:tcW w:w="733" w:type="dxa"/>
            <w:shd w:val="clear" w:color="auto" w:fill="auto"/>
            <w:noWrap/>
            <w:vAlign w:val="bottom"/>
            <w:hideMark/>
          </w:tcPr>
          <w:p w14:paraId="19C731B5"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09CAB4E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408B256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3527140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3737ECB8"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77810DB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2CF7C1C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37D2C8C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2C6DB5C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12FDF8E7" w14:textId="77777777" w:rsidTr="00423B79">
        <w:trPr>
          <w:trHeight w:val="254"/>
        </w:trPr>
        <w:tc>
          <w:tcPr>
            <w:tcW w:w="1449" w:type="dxa"/>
            <w:shd w:val="clear" w:color="auto" w:fill="auto"/>
            <w:noWrap/>
            <w:vAlign w:val="bottom"/>
            <w:hideMark/>
          </w:tcPr>
          <w:p w14:paraId="268BAD1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577CA87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6457DE4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0.613</w:t>
            </w:r>
          </w:p>
        </w:tc>
        <w:tc>
          <w:tcPr>
            <w:tcW w:w="849" w:type="dxa"/>
            <w:shd w:val="clear" w:color="auto" w:fill="auto"/>
            <w:noWrap/>
            <w:vAlign w:val="bottom"/>
            <w:hideMark/>
          </w:tcPr>
          <w:p w14:paraId="19F65B9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0.008</w:t>
            </w:r>
          </w:p>
        </w:tc>
        <w:tc>
          <w:tcPr>
            <w:tcW w:w="790" w:type="dxa"/>
            <w:shd w:val="clear" w:color="auto" w:fill="auto"/>
            <w:noWrap/>
            <w:vAlign w:val="bottom"/>
            <w:hideMark/>
          </w:tcPr>
          <w:p w14:paraId="1B23E8D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-0.337</w:t>
            </w:r>
          </w:p>
        </w:tc>
        <w:tc>
          <w:tcPr>
            <w:tcW w:w="785" w:type="dxa"/>
            <w:shd w:val="clear" w:color="auto" w:fill="auto"/>
            <w:noWrap/>
            <w:vAlign w:val="bottom"/>
            <w:hideMark/>
          </w:tcPr>
          <w:p w14:paraId="4BA7B90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0.214</w:t>
            </w:r>
          </w:p>
        </w:tc>
        <w:tc>
          <w:tcPr>
            <w:tcW w:w="890" w:type="dxa"/>
            <w:shd w:val="clear" w:color="auto" w:fill="auto"/>
            <w:noWrap/>
            <w:vAlign w:val="bottom"/>
            <w:hideMark/>
          </w:tcPr>
          <w:p w14:paraId="7C71006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c>
          <w:tcPr>
            <w:tcW w:w="790" w:type="dxa"/>
            <w:shd w:val="clear" w:color="auto" w:fill="auto"/>
            <w:noWrap/>
            <w:vAlign w:val="bottom"/>
            <w:hideMark/>
          </w:tcPr>
          <w:p w14:paraId="162858B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0.685</w:t>
            </w:r>
          </w:p>
        </w:tc>
        <w:tc>
          <w:tcPr>
            <w:tcW w:w="785" w:type="dxa"/>
            <w:shd w:val="clear" w:color="auto" w:fill="auto"/>
            <w:noWrap/>
            <w:vAlign w:val="bottom"/>
            <w:hideMark/>
          </w:tcPr>
          <w:p w14:paraId="24E119D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0.399</w:t>
            </w:r>
          </w:p>
        </w:tc>
        <w:tc>
          <w:tcPr>
            <w:tcW w:w="893" w:type="dxa"/>
            <w:shd w:val="clear" w:color="auto" w:fill="auto"/>
            <w:noWrap/>
            <w:vAlign w:val="bottom"/>
            <w:hideMark/>
          </w:tcPr>
          <w:p w14:paraId="6AA9E68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0.013</w:t>
            </w:r>
          </w:p>
        </w:tc>
      </w:tr>
      <w:tr w:rsidR="00423B79" w:rsidRPr="00357EE1" w14:paraId="7E1E1B21" w14:textId="77777777" w:rsidTr="00423B79">
        <w:trPr>
          <w:trHeight w:val="254"/>
        </w:trPr>
        <w:tc>
          <w:tcPr>
            <w:tcW w:w="1449" w:type="dxa"/>
            <w:shd w:val="clear" w:color="auto" w:fill="auto"/>
            <w:noWrap/>
            <w:vAlign w:val="bottom"/>
            <w:hideMark/>
          </w:tcPr>
          <w:p w14:paraId="3442754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749B24C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883" w:type="dxa"/>
            <w:shd w:val="clear" w:color="auto" w:fill="auto"/>
            <w:noWrap/>
            <w:vAlign w:val="bottom"/>
            <w:hideMark/>
          </w:tcPr>
          <w:p w14:paraId="7EDFA2C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0.851</w:t>
            </w:r>
          </w:p>
        </w:tc>
        <w:tc>
          <w:tcPr>
            <w:tcW w:w="849" w:type="dxa"/>
            <w:shd w:val="clear" w:color="auto" w:fill="auto"/>
            <w:noWrap/>
            <w:vAlign w:val="bottom"/>
            <w:hideMark/>
          </w:tcPr>
          <w:p w14:paraId="647502D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0.039</w:t>
            </w:r>
          </w:p>
        </w:tc>
        <w:tc>
          <w:tcPr>
            <w:tcW w:w="790" w:type="dxa"/>
            <w:shd w:val="clear" w:color="auto" w:fill="auto"/>
            <w:noWrap/>
            <w:vAlign w:val="bottom"/>
            <w:hideMark/>
          </w:tcPr>
          <w:p w14:paraId="77F9C0E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2.092</w:t>
            </w:r>
          </w:p>
        </w:tc>
        <w:tc>
          <w:tcPr>
            <w:tcW w:w="785" w:type="dxa"/>
            <w:shd w:val="clear" w:color="auto" w:fill="auto"/>
            <w:noWrap/>
            <w:vAlign w:val="bottom"/>
            <w:hideMark/>
          </w:tcPr>
          <w:p w14:paraId="436A218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0.325</w:t>
            </w:r>
          </w:p>
        </w:tc>
        <w:tc>
          <w:tcPr>
            <w:tcW w:w="890" w:type="dxa"/>
            <w:shd w:val="clear" w:color="auto" w:fill="auto"/>
            <w:noWrap/>
            <w:vAlign w:val="bottom"/>
            <w:hideMark/>
          </w:tcPr>
          <w:p w14:paraId="599425B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0.023</w:t>
            </w:r>
          </w:p>
        </w:tc>
        <w:tc>
          <w:tcPr>
            <w:tcW w:w="790" w:type="dxa"/>
            <w:shd w:val="clear" w:color="auto" w:fill="auto"/>
            <w:noWrap/>
            <w:vAlign w:val="bottom"/>
            <w:hideMark/>
          </w:tcPr>
          <w:p w14:paraId="2377746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-3.974</w:t>
            </w:r>
          </w:p>
        </w:tc>
        <w:tc>
          <w:tcPr>
            <w:tcW w:w="785" w:type="dxa"/>
            <w:shd w:val="clear" w:color="auto" w:fill="auto"/>
            <w:noWrap/>
            <w:vAlign w:val="bottom"/>
            <w:hideMark/>
          </w:tcPr>
          <w:p w14:paraId="38B9A9F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0.526</w:t>
            </w:r>
          </w:p>
        </w:tc>
        <w:tc>
          <w:tcPr>
            <w:tcW w:w="893" w:type="dxa"/>
            <w:shd w:val="clear" w:color="auto" w:fill="auto"/>
            <w:noWrap/>
            <w:vAlign w:val="bottom"/>
            <w:hideMark/>
          </w:tcPr>
          <w:p w14:paraId="45B9A5E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0.084</w:t>
            </w:r>
          </w:p>
        </w:tc>
      </w:tr>
      <w:tr w:rsidR="00423B79" w:rsidRPr="00357EE1" w14:paraId="4BCDF2DE" w14:textId="77777777" w:rsidTr="00423B79">
        <w:trPr>
          <w:trHeight w:val="254"/>
        </w:trPr>
        <w:tc>
          <w:tcPr>
            <w:tcW w:w="1449" w:type="dxa"/>
            <w:shd w:val="clear" w:color="auto" w:fill="auto"/>
            <w:noWrap/>
            <w:vAlign w:val="bottom"/>
            <w:hideMark/>
          </w:tcPr>
          <w:p w14:paraId="6403B22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7CD5809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25B4051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0.021</w:t>
            </w:r>
          </w:p>
        </w:tc>
        <w:tc>
          <w:tcPr>
            <w:tcW w:w="849" w:type="dxa"/>
            <w:shd w:val="clear" w:color="auto" w:fill="auto"/>
            <w:noWrap/>
            <w:vAlign w:val="bottom"/>
            <w:hideMark/>
          </w:tcPr>
          <w:p w14:paraId="063324B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0.007</w:t>
            </w:r>
          </w:p>
        </w:tc>
        <w:tc>
          <w:tcPr>
            <w:tcW w:w="790" w:type="dxa"/>
            <w:shd w:val="clear" w:color="auto" w:fill="auto"/>
            <w:noWrap/>
            <w:vAlign w:val="bottom"/>
            <w:hideMark/>
          </w:tcPr>
          <w:p w14:paraId="731505A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-0.124</w:t>
            </w:r>
          </w:p>
        </w:tc>
        <w:tc>
          <w:tcPr>
            <w:tcW w:w="785" w:type="dxa"/>
            <w:shd w:val="clear" w:color="auto" w:fill="auto"/>
            <w:noWrap/>
            <w:vAlign w:val="bottom"/>
            <w:hideMark/>
          </w:tcPr>
          <w:p w14:paraId="0887C5B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0.014</w:t>
            </w:r>
          </w:p>
        </w:tc>
        <w:tc>
          <w:tcPr>
            <w:tcW w:w="890" w:type="dxa"/>
            <w:shd w:val="clear" w:color="auto" w:fill="auto"/>
            <w:noWrap/>
            <w:vAlign w:val="bottom"/>
            <w:hideMark/>
          </w:tcPr>
          <w:p w14:paraId="5BB7FD4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790" w:type="dxa"/>
            <w:shd w:val="clear" w:color="auto" w:fill="auto"/>
            <w:noWrap/>
            <w:vAlign w:val="bottom"/>
            <w:hideMark/>
          </w:tcPr>
          <w:p w14:paraId="3C7C6EC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0.122</w:t>
            </w:r>
          </w:p>
        </w:tc>
        <w:tc>
          <w:tcPr>
            <w:tcW w:w="785" w:type="dxa"/>
            <w:shd w:val="clear" w:color="auto" w:fill="auto"/>
            <w:noWrap/>
            <w:vAlign w:val="bottom"/>
            <w:hideMark/>
          </w:tcPr>
          <w:p w14:paraId="0CB3786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893" w:type="dxa"/>
            <w:shd w:val="clear" w:color="auto" w:fill="auto"/>
            <w:noWrap/>
            <w:vAlign w:val="bottom"/>
            <w:hideMark/>
          </w:tcPr>
          <w:p w14:paraId="5C1FD22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7B9B61D6" w14:textId="77777777" w:rsidTr="00423B79">
        <w:trPr>
          <w:trHeight w:val="254"/>
        </w:trPr>
        <w:tc>
          <w:tcPr>
            <w:tcW w:w="1449" w:type="dxa"/>
            <w:shd w:val="clear" w:color="auto" w:fill="auto"/>
            <w:noWrap/>
            <w:vAlign w:val="bottom"/>
            <w:hideMark/>
          </w:tcPr>
          <w:p w14:paraId="36EAFA2D"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youth_unemp</w:t>
            </w:r>
          </w:p>
        </w:tc>
        <w:tc>
          <w:tcPr>
            <w:tcW w:w="733" w:type="dxa"/>
            <w:shd w:val="clear" w:color="auto" w:fill="auto"/>
            <w:noWrap/>
            <w:vAlign w:val="bottom"/>
            <w:hideMark/>
          </w:tcPr>
          <w:p w14:paraId="6F8C6DC8"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795C7EE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6C7D377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1AC5981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2968655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2503F91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2478D72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4AE3CD0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203DBD7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6532C0EE" w14:textId="77777777" w:rsidTr="00423B79">
        <w:trPr>
          <w:trHeight w:val="254"/>
        </w:trPr>
        <w:tc>
          <w:tcPr>
            <w:tcW w:w="1449" w:type="dxa"/>
            <w:shd w:val="clear" w:color="auto" w:fill="auto"/>
            <w:noWrap/>
            <w:vAlign w:val="bottom"/>
            <w:hideMark/>
          </w:tcPr>
          <w:p w14:paraId="1305517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4E14274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7633230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0.699</w:t>
            </w:r>
          </w:p>
        </w:tc>
        <w:tc>
          <w:tcPr>
            <w:tcW w:w="849" w:type="dxa"/>
            <w:shd w:val="clear" w:color="auto" w:fill="auto"/>
            <w:noWrap/>
            <w:vAlign w:val="bottom"/>
            <w:hideMark/>
          </w:tcPr>
          <w:p w14:paraId="22D3E71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790" w:type="dxa"/>
            <w:shd w:val="clear" w:color="auto" w:fill="auto"/>
            <w:noWrap/>
            <w:vAlign w:val="bottom"/>
            <w:hideMark/>
          </w:tcPr>
          <w:p w14:paraId="36560B1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-0.594</w:t>
            </w:r>
          </w:p>
        </w:tc>
        <w:tc>
          <w:tcPr>
            <w:tcW w:w="785" w:type="dxa"/>
            <w:shd w:val="clear" w:color="auto" w:fill="auto"/>
            <w:noWrap/>
            <w:vAlign w:val="bottom"/>
            <w:hideMark/>
          </w:tcPr>
          <w:p w14:paraId="1DF45D1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0.504</w:t>
            </w:r>
          </w:p>
        </w:tc>
        <w:tc>
          <w:tcPr>
            <w:tcW w:w="890" w:type="dxa"/>
            <w:shd w:val="clear" w:color="auto" w:fill="auto"/>
            <w:noWrap/>
            <w:vAlign w:val="bottom"/>
            <w:hideMark/>
          </w:tcPr>
          <w:p w14:paraId="42A48FE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790" w:type="dxa"/>
            <w:shd w:val="clear" w:color="auto" w:fill="auto"/>
            <w:noWrap/>
            <w:vAlign w:val="bottom"/>
            <w:hideMark/>
          </w:tcPr>
          <w:p w14:paraId="3E325D0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0.553</w:t>
            </w:r>
          </w:p>
        </w:tc>
        <w:tc>
          <w:tcPr>
            <w:tcW w:w="785" w:type="dxa"/>
            <w:shd w:val="clear" w:color="auto" w:fill="auto"/>
            <w:noWrap/>
            <w:vAlign w:val="bottom"/>
            <w:hideMark/>
          </w:tcPr>
          <w:p w14:paraId="2D26A40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0.196</w:t>
            </w:r>
          </w:p>
        </w:tc>
        <w:tc>
          <w:tcPr>
            <w:tcW w:w="893" w:type="dxa"/>
            <w:shd w:val="clear" w:color="auto" w:fill="auto"/>
            <w:noWrap/>
            <w:vAlign w:val="bottom"/>
            <w:hideMark/>
          </w:tcPr>
          <w:p w14:paraId="3E6FE1B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r>
      <w:tr w:rsidR="00423B79" w:rsidRPr="00357EE1" w14:paraId="4D13551A" w14:textId="77777777" w:rsidTr="00423B79">
        <w:trPr>
          <w:trHeight w:val="254"/>
        </w:trPr>
        <w:tc>
          <w:tcPr>
            <w:tcW w:w="1449" w:type="dxa"/>
            <w:shd w:val="clear" w:color="auto" w:fill="auto"/>
            <w:noWrap/>
            <w:vAlign w:val="bottom"/>
            <w:hideMark/>
          </w:tcPr>
          <w:p w14:paraId="6720650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0D1372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883" w:type="dxa"/>
            <w:shd w:val="clear" w:color="auto" w:fill="auto"/>
            <w:noWrap/>
            <w:vAlign w:val="bottom"/>
            <w:hideMark/>
          </w:tcPr>
          <w:p w14:paraId="553CC88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0.859</w:t>
            </w:r>
          </w:p>
        </w:tc>
        <w:tc>
          <w:tcPr>
            <w:tcW w:w="849" w:type="dxa"/>
            <w:shd w:val="clear" w:color="auto" w:fill="auto"/>
            <w:noWrap/>
            <w:vAlign w:val="bottom"/>
            <w:hideMark/>
          </w:tcPr>
          <w:p w14:paraId="17E6A1B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0.043</w:t>
            </w:r>
          </w:p>
        </w:tc>
        <w:tc>
          <w:tcPr>
            <w:tcW w:w="790" w:type="dxa"/>
            <w:shd w:val="clear" w:color="auto" w:fill="auto"/>
            <w:noWrap/>
            <w:vAlign w:val="bottom"/>
            <w:hideMark/>
          </w:tcPr>
          <w:p w14:paraId="05D6B0D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2.414</w:t>
            </w:r>
          </w:p>
        </w:tc>
        <w:tc>
          <w:tcPr>
            <w:tcW w:w="785" w:type="dxa"/>
            <w:shd w:val="clear" w:color="auto" w:fill="auto"/>
            <w:noWrap/>
            <w:vAlign w:val="bottom"/>
            <w:hideMark/>
          </w:tcPr>
          <w:p w14:paraId="1849F26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0.391</w:t>
            </w:r>
          </w:p>
        </w:tc>
        <w:tc>
          <w:tcPr>
            <w:tcW w:w="890" w:type="dxa"/>
            <w:shd w:val="clear" w:color="auto" w:fill="auto"/>
            <w:noWrap/>
            <w:vAlign w:val="bottom"/>
            <w:hideMark/>
          </w:tcPr>
          <w:p w14:paraId="67E5474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0.031</w:t>
            </w:r>
          </w:p>
        </w:tc>
        <w:tc>
          <w:tcPr>
            <w:tcW w:w="790" w:type="dxa"/>
            <w:shd w:val="clear" w:color="auto" w:fill="auto"/>
            <w:noWrap/>
            <w:vAlign w:val="bottom"/>
            <w:hideMark/>
          </w:tcPr>
          <w:p w14:paraId="61EBBA1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-3.936</w:t>
            </w:r>
          </w:p>
        </w:tc>
        <w:tc>
          <w:tcPr>
            <w:tcW w:w="785" w:type="dxa"/>
            <w:shd w:val="clear" w:color="auto" w:fill="auto"/>
            <w:noWrap/>
            <w:vAlign w:val="bottom"/>
            <w:hideMark/>
          </w:tcPr>
          <w:p w14:paraId="2B4FF68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0.468</w:t>
            </w:r>
          </w:p>
        </w:tc>
        <w:tc>
          <w:tcPr>
            <w:tcW w:w="893" w:type="dxa"/>
            <w:shd w:val="clear" w:color="auto" w:fill="auto"/>
            <w:noWrap/>
            <w:vAlign w:val="bottom"/>
            <w:hideMark/>
          </w:tcPr>
          <w:p w14:paraId="35B0720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0.082</w:t>
            </w:r>
          </w:p>
        </w:tc>
      </w:tr>
      <w:tr w:rsidR="00423B79" w:rsidRPr="00357EE1" w14:paraId="046E454A" w14:textId="77777777" w:rsidTr="00423B79">
        <w:trPr>
          <w:trHeight w:val="254"/>
        </w:trPr>
        <w:tc>
          <w:tcPr>
            <w:tcW w:w="1449" w:type="dxa"/>
            <w:shd w:val="clear" w:color="auto" w:fill="auto"/>
            <w:noWrap/>
            <w:vAlign w:val="bottom"/>
            <w:hideMark/>
          </w:tcPr>
          <w:p w14:paraId="79B4A91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22C912E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16E81A4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0.174</w:t>
            </w:r>
          </w:p>
        </w:tc>
        <w:tc>
          <w:tcPr>
            <w:tcW w:w="849" w:type="dxa"/>
            <w:shd w:val="clear" w:color="auto" w:fill="auto"/>
            <w:noWrap/>
            <w:vAlign w:val="bottom"/>
            <w:hideMark/>
          </w:tcPr>
          <w:p w14:paraId="61455CF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0.008</w:t>
            </w:r>
          </w:p>
        </w:tc>
        <w:tc>
          <w:tcPr>
            <w:tcW w:w="790" w:type="dxa"/>
            <w:shd w:val="clear" w:color="auto" w:fill="auto"/>
            <w:noWrap/>
            <w:vAlign w:val="bottom"/>
            <w:hideMark/>
          </w:tcPr>
          <w:p w14:paraId="3D0BCED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0.366</w:t>
            </w:r>
          </w:p>
        </w:tc>
        <w:tc>
          <w:tcPr>
            <w:tcW w:w="785" w:type="dxa"/>
            <w:shd w:val="clear" w:color="auto" w:fill="auto"/>
            <w:noWrap/>
            <w:vAlign w:val="bottom"/>
            <w:hideMark/>
          </w:tcPr>
          <w:p w14:paraId="090ACB8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0.107</w:t>
            </w:r>
          </w:p>
        </w:tc>
        <w:tc>
          <w:tcPr>
            <w:tcW w:w="890" w:type="dxa"/>
            <w:shd w:val="clear" w:color="auto" w:fill="auto"/>
            <w:noWrap/>
            <w:vAlign w:val="bottom"/>
            <w:hideMark/>
          </w:tcPr>
          <w:p w14:paraId="7E2F919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c>
          <w:tcPr>
            <w:tcW w:w="790" w:type="dxa"/>
            <w:shd w:val="clear" w:color="auto" w:fill="auto"/>
            <w:noWrap/>
            <w:vAlign w:val="bottom"/>
            <w:hideMark/>
          </w:tcPr>
          <w:p w14:paraId="01F18F5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0.434</w:t>
            </w:r>
          </w:p>
        </w:tc>
        <w:tc>
          <w:tcPr>
            <w:tcW w:w="785" w:type="dxa"/>
            <w:shd w:val="clear" w:color="auto" w:fill="auto"/>
            <w:noWrap/>
            <w:vAlign w:val="bottom"/>
            <w:hideMark/>
          </w:tcPr>
          <w:p w14:paraId="2B1416A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0.067</w:t>
            </w:r>
          </w:p>
        </w:tc>
        <w:tc>
          <w:tcPr>
            <w:tcW w:w="893" w:type="dxa"/>
            <w:shd w:val="clear" w:color="auto" w:fill="auto"/>
            <w:noWrap/>
            <w:vAlign w:val="bottom"/>
            <w:hideMark/>
          </w:tcPr>
          <w:p w14:paraId="3CB4F02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r>
      <w:tr w:rsidR="00423B79" w:rsidRPr="00357EE1" w14:paraId="67FA3D28" w14:textId="77777777" w:rsidTr="00423B79">
        <w:trPr>
          <w:trHeight w:val="254"/>
        </w:trPr>
        <w:tc>
          <w:tcPr>
            <w:tcW w:w="1449" w:type="dxa"/>
            <w:shd w:val="clear" w:color="auto" w:fill="auto"/>
            <w:noWrap/>
            <w:vAlign w:val="bottom"/>
            <w:hideMark/>
          </w:tcPr>
          <w:p w14:paraId="1564ED0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youth_noti~l</w:t>
            </w:r>
          </w:p>
        </w:tc>
        <w:tc>
          <w:tcPr>
            <w:tcW w:w="733" w:type="dxa"/>
            <w:shd w:val="clear" w:color="auto" w:fill="auto"/>
            <w:noWrap/>
            <w:vAlign w:val="bottom"/>
            <w:hideMark/>
          </w:tcPr>
          <w:p w14:paraId="5BE68B9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3685524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33B3544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01B3F3E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6FA04718"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72D458A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575B10C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5BA0A9F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3DA46D1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1839B435" w14:textId="77777777" w:rsidTr="00423B79">
        <w:trPr>
          <w:trHeight w:val="254"/>
        </w:trPr>
        <w:tc>
          <w:tcPr>
            <w:tcW w:w="1449" w:type="dxa"/>
            <w:shd w:val="clear" w:color="auto" w:fill="auto"/>
            <w:noWrap/>
            <w:vAlign w:val="bottom"/>
            <w:hideMark/>
          </w:tcPr>
          <w:p w14:paraId="0609290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287706C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83" w:type="dxa"/>
            <w:shd w:val="clear" w:color="auto" w:fill="auto"/>
            <w:noWrap/>
            <w:vAlign w:val="bottom"/>
            <w:hideMark/>
          </w:tcPr>
          <w:p w14:paraId="794B939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0.794</w:t>
            </w:r>
          </w:p>
        </w:tc>
        <w:tc>
          <w:tcPr>
            <w:tcW w:w="849" w:type="dxa"/>
            <w:shd w:val="clear" w:color="auto" w:fill="auto"/>
            <w:noWrap/>
            <w:vAlign w:val="bottom"/>
            <w:hideMark/>
          </w:tcPr>
          <w:p w14:paraId="636B35B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0.013</w:t>
            </w:r>
          </w:p>
        </w:tc>
        <w:tc>
          <w:tcPr>
            <w:tcW w:w="790" w:type="dxa"/>
            <w:shd w:val="clear" w:color="auto" w:fill="auto"/>
            <w:noWrap/>
            <w:vAlign w:val="bottom"/>
            <w:hideMark/>
          </w:tcPr>
          <w:p w14:paraId="22F8B08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0.404</w:t>
            </w:r>
          </w:p>
        </w:tc>
        <w:tc>
          <w:tcPr>
            <w:tcW w:w="785" w:type="dxa"/>
            <w:shd w:val="clear" w:color="auto" w:fill="auto"/>
            <w:noWrap/>
            <w:vAlign w:val="bottom"/>
            <w:hideMark/>
          </w:tcPr>
          <w:p w14:paraId="39991F5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0.193</w:t>
            </w:r>
          </w:p>
        </w:tc>
        <w:tc>
          <w:tcPr>
            <w:tcW w:w="890" w:type="dxa"/>
            <w:shd w:val="clear" w:color="auto" w:fill="auto"/>
            <w:noWrap/>
            <w:vAlign w:val="bottom"/>
            <w:hideMark/>
          </w:tcPr>
          <w:p w14:paraId="4253D61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254A3FB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1.065</w:t>
            </w:r>
          </w:p>
        </w:tc>
        <w:tc>
          <w:tcPr>
            <w:tcW w:w="785" w:type="dxa"/>
            <w:shd w:val="clear" w:color="auto" w:fill="auto"/>
            <w:noWrap/>
            <w:vAlign w:val="bottom"/>
            <w:hideMark/>
          </w:tcPr>
          <w:p w14:paraId="2C7B7B9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0.601</w:t>
            </w:r>
          </w:p>
        </w:tc>
        <w:tc>
          <w:tcPr>
            <w:tcW w:w="893" w:type="dxa"/>
            <w:shd w:val="clear" w:color="auto" w:fill="auto"/>
            <w:noWrap/>
            <w:vAlign w:val="bottom"/>
            <w:hideMark/>
          </w:tcPr>
          <w:p w14:paraId="1841327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0.032</w:t>
            </w:r>
          </w:p>
        </w:tc>
      </w:tr>
      <w:tr w:rsidR="00423B79" w:rsidRPr="00357EE1" w14:paraId="2C9473BC" w14:textId="77777777" w:rsidTr="00423B79">
        <w:trPr>
          <w:trHeight w:val="254"/>
        </w:trPr>
        <w:tc>
          <w:tcPr>
            <w:tcW w:w="1449" w:type="dxa"/>
            <w:shd w:val="clear" w:color="auto" w:fill="auto"/>
            <w:noWrap/>
            <w:vAlign w:val="bottom"/>
            <w:hideMark/>
          </w:tcPr>
          <w:p w14:paraId="78C318D6"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F9CC3C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883" w:type="dxa"/>
            <w:shd w:val="clear" w:color="auto" w:fill="auto"/>
            <w:noWrap/>
            <w:vAlign w:val="bottom"/>
            <w:hideMark/>
          </w:tcPr>
          <w:p w14:paraId="6C10654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0.881</w:t>
            </w:r>
          </w:p>
        </w:tc>
        <w:tc>
          <w:tcPr>
            <w:tcW w:w="849" w:type="dxa"/>
            <w:shd w:val="clear" w:color="auto" w:fill="auto"/>
            <w:noWrap/>
            <w:vAlign w:val="bottom"/>
            <w:hideMark/>
          </w:tcPr>
          <w:p w14:paraId="4C09BAC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0.034</w:t>
            </w:r>
          </w:p>
        </w:tc>
        <w:tc>
          <w:tcPr>
            <w:tcW w:w="790" w:type="dxa"/>
            <w:shd w:val="clear" w:color="auto" w:fill="auto"/>
            <w:noWrap/>
            <w:vAlign w:val="bottom"/>
            <w:hideMark/>
          </w:tcPr>
          <w:p w14:paraId="2C4FD68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1.195</w:t>
            </w:r>
          </w:p>
        </w:tc>
        <w:tc>
          <w:tcPr>
            <w:tcW w:w="785" w:type="dxa"/>
            <w:shd w:val="clear" w:color="auto" w:fill="auto"/>
            <w:noWrap/>
            <w:vAlign w:val="bottom"/>
            <w:hideMark/>
          </w:tcPr>
          <w:p w14:paraId="0DE628F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0.12</w:t>
            </w:r>
          </w:p>
        </w:tc>
        <w:tc>
          <w:tcPr>
            <w:tcW w:w="890" w:type="dxa"/>
            <w:shd w:val="clear" w:color="auto" w:fill="auto"/>
            <w:noWrap/>
            <w:vAlign w:val="bottom"/>
            <w:hideMark/>
          </w:tcPr>
          <w:p w14:paraId="51BEC52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0.008</w:t>
            </w:r>
          </w:p>
        </w:tc>
        <w:tc>
          <w:tcPr>
            <w:tcW w:w="790" w:type="dxa"/>
            <w:shd w:val="clear" w:color="auto" w:fill="auto"/>
            <w:noWrap/>
            <w:vAlign w:val="bottom"/>
            <w:hideMark/>
          </w:tcPr>
          <w:p w14:paraId="1E9F3EB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-4.494</w:t>
            </w:r>
          </w:p>
        </w:tc>
        <w:tc>
          <w:tcPr>
            <w:tcW w:w="785" w:type="dxa"/>
            <w:shd w:val="clear" w:color="auto" w:fill="auto"/>
            <w:noWrap/>
            <w:vAlign w:val="bottom"/>
            <w:hideMark/>
          </w:tcPr>
          <w:p w14:paraId="5E34E2F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0.761</w:t>
            </w:r>
          </w:p>
        </w:tc>
        <w:tc>
          <w:tcPr>
            <w:tcW w:w="893" w:type="dxa"/>
            <w:shd w:val="clear" w:color="auto" w:fill="auto"/>
            <w:noWrap/>
            <w:vAlign w:val="bottom"/>
            <w:hideMark/>
          </w:tcPr>
          <w:p w14:paraId="2DF50A2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0.107</w:t>
            </w:r>
          </w:p>
        </w:tc>
      </w:tr>
      <w:tr w:rsidR="00423B79" w:rsidRPr="00357EE1" w14:paraId="624A9751" w14:textId="77777777" w:rsidTr="00423B79">
        <w:trPr>
          <w:trHeight w:val="254"/>
        </w:trPr>
        <w:tc>
          <w:tcPr>
            <w:tcW w:w="1449" w:type="dxa"/>
            <w:shd w:val="clear" w:color="auto" w:fill="auto"/>
            <w:noWrap/>
            <w:vAlign w:val="bottom"/>
            <w:hideMark/>
          </w:tcPr>
          <w:p w14:paraId="5628B1C9"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7239589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1D087A4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0.783</w:t>
            </w:r>
          </w:p>
        </w:tc>
        <w:tc>
          <w:tcPr>
            <w:tcW w:w="849" w:type="dxa"/>
            <w:shd w:val="clear" w:color="auto" w:fill="auto"/>
            <w:noWrap/>
            <w:vAlign w:val="bottom"/>
            <w:hideMark/>
          </w:tcPr>
          <w:p w14:paraId="69473B4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w:t>
            </w:r>
          </w:p>
        </w:tc>
        <w:tc>
          <w:tcPr>
            <w:tcW w:w="790" w:type="dxa"/>
            <w:shd w:val="clear" w:color="auto" w:fill="auto"/>
            <w:noWrap/>
            <w:vAlign w:val="bottom"/>
            <w:hideMark/>
          </w:tcPr>
          <w:p w14:paraId="6CB9CB9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-1.55</w:t>
            </w:r>
          </w:p>
        </w:tc>
        <w:tc>
          <w:tcPr>
            <w:tcW w:w="785" w:type="dxa"/>
            <w:shd w:val="clear" w:color="auto" w:fill="auto"/>
            <w:noWrap/>
            <w:vAlign w:val="bottom"/>
            <w:hideMark/>
          </w:tcPr>
          <w:p w14:paraId="2EC42D8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0.736</w:t>
            </w:r>
          </w:p>
        </w:tc>
        <w:tc>
          <w:tcPr>
            <w:tcW w:w="890" w:type="dxa"/>
            <w:shd w:val="clear" w:color="auto" w:fill="auto"/>
            <w:noWrap/>
            <w:vAlign w:val="bottom"/>
            <w:hideMark/>
          </w:tcPr>
          <w:p w14:paraId="3714885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0.028</w:t>
            </w:r>
          </w:p>
        </w:tc>
        <w:tc>
          <w:tcPr>
            <w:tcW w:w="790" w:type="dxa"/>
            <w:shd w:val="clear" w:color="auto" w:fill="auto"/>
            <w:noWrap/>
            <w:vAlign w:val="bottom"/>
            <w:hideMark/>
          </w:tcPr>
          <w:p w14:paraId="29C0213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-0.58</w:t>
            </w:r>
          </w:p>
        </w:tc>
        <w:tc>
          <w:tcPr>
            <w:tcW w:w="785" w:type="dxa"/>
            <w:shd w:val="clear" w:color="auto" w:fill="auto"/>
            <w:noWrap/>
            <w:vAlign w:val="bottom"/>
            <w:hideMark/>
          </w:tcPr>
          <w:p w14:paraId="4AC7151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0.046</w:t>
            </w:r>
          </w:p>
        </w:tc>
        <w:tc>
          <w:tcPr>
            <w:tcW w:w="893" w:type="dxa"/>
            <w:shd w:val="clear" w:color="auto" w:fill="auto"/>
            <w:noWrap/>
            <w:vAlign w:val="bottom"/>
            <w:hideMark/>
          </w:tcPr>
          <w:p w14:paraId="52820D7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0.004</w:t>
            </w:r>
          </w:p>
        </w:tc>
      </w:tr>
      <w:tr w:rsidR="00423B79" w:rsidRPr="00357EE1" w14:paraId="026E3E74" w14:textId="77777777" w:rsidTr="00423B79">
        <w:trPr>
          <w:trHeight w:val="254"/>
        </w:trPr>
        <w:tc>
          <w:tcPr>
            <w:tcW w:w="1449" w:type="dxa"/>
            <w:shd w:val="clear" w:color="auto" w:fill="auto"/>
            <w:noWrap/>
            <w:vAlign w:val="bottom"/>
            <w:hideMark/>
          </w:tcPr>
          <w:p w14:paraId="629BF48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skill_worker</w:t>
            </w:r>
          </w:p>
        </w:tc>
        <w:tc>
          <w:tcPr>
            <w:tcW w:w="733" w:type="dxa"/>
            <w:shd w:val="clear" w:color="auto" w:fill="auto"/>
            <w:noWrap/>
            <w:vAlign w:val="bottom"/>
            <w:hideMark/>
          </w:tcPr>
          <w:p w14:paraId="1400299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65497F0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4F9BB15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22F0645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7B45A3A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39A5611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188B8F2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3CFF50B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29C840E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2A9D6DA0" w14:textId="77777777" w:rsidTr="00423B79">
        <w:trPr>
          <w:trHeight w:val="254"/>
        </w:trPr>
        <w:tc>
          <w:tcPr>
            <w:tcW w:w="1449" w:type="dxa"/>
            <w:shd w:val="clear" w:color="auto" w:fill="auto"/>
            <w:noWrap/>
            <w:vAlign w:val="bottom"/>
            <w:hideMark/>
          </w:tcPr>
          <w:p w14:paraId="5A5E908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78DB613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0.025</w:t>
            </w:r>
          </w:p>
        </w:tc>
        <w:tc>
          <w:tcPr>
            <w:tcW w:w="883" w:type="dxa"/>
            <w:shd w:val="clear" w:color="auto" w:fill="auto"/>
            <w:noWrap/>
            <w:vAlign w:val="bottom"/>
            <w:hideMark/>
          </w:tcPr>
          <w:p w14:paraId="132D411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0.93</w:t>
            </w:r>
          </w:p>
        </w:tc>
        <w:tc>
          <w:tcPr>
            <w:tcW w:w="849" w:type="dxa"/>
            <w:shd w:val="clear" w:color="auto" w:fill="auto"/>
            <w:noWrap/>
            <w:vAlign w:val="bottom"/>
            <w:hideMark/>
          </w:tcPr>
          <w:p w14:paraId="4A27CFF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790" w:type="dxa"/>
            <w:shd w:val="clear" w:color="auto" w:fill="auto"/>
            <w:noWrap/>
            <w:vAlign w:val="bottom"/>
            <w:hideMark/>
          </w:tcPr>
          <w:p w14:paraId="7462668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-0.834</w:t>
            </w:r>
          </w:p>
        </w:tc>
        <w:tc>
          <w:tcPr>
            <w:tcW w:w="785" w:type="dxa"/>
            <w:shd w:val="clear" w:color="auto" w:fill="auto"/>
            <w:noWrap/>
            <w:vAlign w:val="bottom"/>
            <w:hideMark/>
          </w:tcPr>
          <w:p w14:paraId="7E038E5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0.88</w:t>
            </w:r>
          </w:p>
        </w:tc>
        <w:tc>
          <w:tcPr>
            <w:tcW w:w="890" w:type="dxa"/>
            <w:shd w:val="clear" w:color="auto" w:fill="auto"/>
            <w:noWrap/>
            <w:vAlign w:val="bottom"/>
            <w:hideMark/>
          </w:tcPr>
          <w:p w14:paraId="6979CA2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0.018</w:t>
            </w:r>
          </w:p>
        </w:tc>
        <w:tc>
          <w:tcPr>
            <w:tcW w:w="790" w:type="dxa"/>
            <w:shd w:val="clear" w:color="auto" w:fill="auto"/>
            <w:noWrap/>
            <w:vAlign w:val="bottom"/>
            <w:hideMark/>
          </w:tcPr>
          <w:p w14:paraId="004DD6F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-0.298</w:t>
            </w:r>
          </w:p>
        </w:tc>
        <w:tc>
          <w:tcPr>
            <w:tcW w:w="785" w:type="dxa"/>
            <w:shd w:val="clear" w:color="auto" w:fill="auto"/>
            <w:noWrap/>
            <w:vAlign w:val="bottom"/>
            <w:hideMark/>
          </w:tcPr>
          <w:p w14:paraId="453CD1E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0.051</w:t>
            </w:r>
          </w:p>
        </w:tc>
        <w:tc>
          <w:tcPr>
            <w:tcW w:w="893" w:type="dxa"/>
            <w:shd w:val="clear" w:color="auto" w:fill="auto"/>
            <w:noWrap/>
            <w:vAlign w:val="bottom"/>
            <w:hideMark/>
          </w:tcPr>
          <w:p w14:paraId="494D03F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r>
      <w:tr w:rsidR="00423B79" w:rsidRPr="00357EE1" w14:paraId="33FD3AFA" w14:textId="77777777" w:rsidTr="00423B79">
        <w:trPr>
          <w:trHeight w:val="254"/>
        </w:trPr>
        <w:tc>
          <w:tcPr>
            <w:tcW w:w="1449" w:type="dxa"/>
            <w:shd w:val="clear" w:color="auto" w:fill="auto"/>
            <w:noWrap/>
            <w:vAlign w:val="bottom"/>
            <w:hideMark/>
          </w:tcPr>
          <w:p w14:paraId="74835FA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EF8686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883" w:type="dxa"/>
            <w:shd w:val="clear" w:color="auto" w:fill="auto"/>
            <w:noWrap/>
            <w:vAlign w:val="bottom"/>
            <w:hideMark/>
          </w:tcPr>
          <w:p w14:paraId="4ACAD54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0.816</w:t>
            </w:r>
          </w:p>
        </w:tc>
        <w:tc>
          <w:tcPr>
            <w:tcW w:w="849" w:type="dxa"/>
            <w:shd w:val="clear" w:color="auto" w:fill="auto"/>
            <w:noWrap/>
            <w:vAlign w:val="bottom"/>
            <w:hideMark/>
          </w:tcPr>
          <w:p w14:paraId="6264906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0.014</w:t>
            </w:r>
          </w:p>
        </w:tc>
        <w:tc>
          <w:tcPr>
            <w:tcW w:w="790" w:type="dxa"/>
            <w:shd w:val="clear" w:color="auto" w:fill="auto"/>
            <w:noWrap/>
            <w:vAlign w:val="bottom"/>
            <w:hideMark/>
          </w:tcPr>
          <w:p w14:paraId="4704C58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1.402</w:t>
            </w:r>
          </w:p>
        </w:tc>
        <w:tc>
          <w:tcPr>
            <w:tcW w:w="785" w:type="dxa"/>
            <w:shd w:val="clear" w:color="auto" w:fill="auto"/>
            <w:noWrap/>
            <w:vAlign w:val="bottom"/>
            <w:hideMark/>
          </w:tcPr>
          <w:p w14:paraId="1D1B1E3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0.768</w:t>
            </w:r>
          </w:p>
        </w:tc>
        <w:tc>
          <w:tcPr>
            <w:tcW w:w="890" w:type="dxa"/>
            <w:shd w:val="clear" w:color="auto" w:fill="auto"/>
            <w:noWrap/>
            <w:vAlign w:val="bottom"/>
            <w:hideMark/>
          </w:tcPr>
          <w:p w14:paraId="3463111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0.019</w:t>
            </w:r>
          </w:p>
        </w:tc>
        <w:tc>
          <w:tcPr>
            <w:tcW w:w="790" w:type="dxa"/>
            <w:shd w:val="clear" w:color="auto" w:fill="auto"/>
            <w:noWrap/>
            <w:vAlign w:val="bottom"/>
            <w:hideMark/>
          </w:tcPr>
          <w:p w14:paraId="5792F1B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-0.52</w:t>
            </w:r>
          </w:p>
        </w:tc>
        <w:tc>
          <w:tcPr>
            <w:tcW w:w="785" w:type="dxa"/>
            <w:shd w:val="clear" w:color="auto" w:fill="auto"/>
            <w:noWrap/>
            <w:vAlign w:val="bottom"/>
            <w:hideMark/>
          </w:tcPr>
          <w:p w14:paraId="3B502EA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0.048</w:t>
            </w:r>
          </w:p>
        </w:tc>
        <w:tc>
          <w:tcPr>
            <w:tcW w:w="893" w:type="dxa"/>
            <w:shd w:val="clear" w:color="auto" w:fill="auto"/>
            <w:noWrap/>
            <w:vAlign w:val="bottom"/>
            <w:hideMark/>
          </w:tcPr>
          <w:p w14:paraId="0E1AC4D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r>
      <w:tr w:rsidR="00423B79" w:rsidRPr="00357EE1" w14:paraId="5E338D3A" w14:textId="77777777" w:rsidTr="00423B79">
        <w:trPr>
          <w:trHeight w:val="254"/>
        </w:trPr>
        <w:tc>
          <w:tcPr>
            <w:tcW w:w="1449" w:type="dxa"/>
            <w:shd w:val="clear" w:color="auto" w:fill="auto"/>
            <w:noWrap/>
            <w:vAlign w:val="bottom"/>
            <w:hideMark/>
          </w:tcPr>
          <w:p w14:paraId="14CC536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7DA7597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883" w:type="dxa"/>
            <w:shd w:val="clear" w:color="auto" w:fill="auto"/>
            <w:noWrap/>
            <w:vAlign w:val="bottom"/>
            <w:hideMark/>
          </w:tcPr>
          <w:p w14:paraId="181F66D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0.736</w:t>
            </w:r>
          </w:p>
        </w:tc>
        <w:tc>
          <w:tcPr>
            <w:tcW w:w="849" w:type="dxa"/>
            <w:shd w:val="clear" w:color="auto" w:fill="auto"/>
            <w:noWrap/>
            <w:vAlign w:val="bottom"/>
            <w:hideMark/>
          </w:tcPr>
          <w:p w14:paraId="07BA479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790" w:type="dxa"/>
            <w:shd w:val="clear" w:color="auto" w:fill="auto"/>
            <w:noWrap/>
            <w:vAlign w:val="bottom"/>
            <w:hideMark/>
          </w:tcPr>
          <w:p w14:paraId="105A1A4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0.736</w:t>
            </w:r>
          </w:p>
        </w:tc>
        <w:tc>
          <w:tcPr>
            <w:tcW w:w="785" w:type="dxa"/>
            <w:shd w:val="clear" w:color="auto" w:fill="auto"/>
            <w:noWrap/>
            <w:vAlign w:val="bottom"/>
            <w:hideMark/>
          </w:tcPr>
          <w:p w14:paraId="6BAE807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0.318</w:t>
            </w:r>
          </w:p>
        </w:tc>
        <w:tc>
          <w:tcPr>
            <w:tcW w:w="890" w:type="dxa"/>
            <w:shd w:val="clear" w:color="auto" w:fill="auto"/>
            <w:noWrap/>
            <w:vAlign w:val="bottom"/>
            <w:hideMark/>
          </w:tcPr>
          <w:p w14:paraId="20822B7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3CC9777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1.26</w:t>
            </w:r>
          </w:p>
        </w:tc>
        <w:tc>
          <w:tcPr>
            <w:tcW w:w="785" w:type="dxa"/>
            <w:shd w:val="clear" w:color="auto" w:fill="auto"/>
            <w:noWrap/>
            <w:vAlign w:val="bottom"/>
            <w:hideMark/>
          </w:tcPr>
          <w:p w14:paraId="17F94C9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0.419</w:t>
            </w:r>
          </w:p>
        </w:tc>
        <w:tc>
          <w:tcPr>
            <w:tcW w:w="893" w:type="dxa"/>
            <w:shd w:val="clear" w:color="auto" w:fill="auto"/>
            <w:noWrap/>
            <w:vAlign w:val="bottom"/>
            <w:hideMark/>
          </w:tcPr>
          <w:p w14:paraId="51FC7C2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r>
      <w:tr w:rsidR="00423B79" w:rsidRPr="00357EE1" w14:paraId="79E3ABF7" w14:textId="77777777" w:rsidTr="00423B79">
        <w:trPr>
          <w:trHeight w:val="254"/>
        </w:trPr>
        <w:tc>
          <w:tcPr>
            <w:tcW w:w="1449" w:type="dxa"/>
            <w:shd w:val="clear" w:color="auto" w:fill="auto"/>
            <w:noWrap/>
            <w:vAlign w:val="bottom"/>
            <w:hideMark/>
          </w:tcPr>
          <w:p w14:paraId="7ABDD896"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pension</w:t>
            </w:r>
          </w:p>
        </w:tc>
        <w:tc>
          <w:tcPr>
            <w:tcW w:w="733" w:type="dxa"/>
            <w:shd w:val="clear" w:color="auto" w:fill="auto"/>
            <w:noWrap/>
            <w:vAlign w:val="bottom"/>
            <w:hideMark/>
          </w:tcPr>
          <w:p w14:paraId="602AEF9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6A378DC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70474ED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7AA9048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4120325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0B39335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2C7264D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3B948C9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4CE14A1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53447D6C" w14:textId="77777777" w:rsidTr="00423B79">
        <w:trPr>
          <w:trHeight w:val="254"/>
        </w:trPr>
        <w:tc>
          <w:tcPr>
            <w:tcW w:w="1449" w:type="dxa"/>
            <w:shd w:val="clear" w:color="auto" w:fill="auto"/>
            <w:noWrap/>
            <w:vAlign w:val="bottom"/>
            <w:hideMark/>
          </w:tcPr>
          <w:p w14:paraId="2E49269B"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475AD62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0.022</w:t>
            </w:r>
          </w:p>
        </w:tc>
        <w:tc>
          <w:tcPr>
            <w:tcW w:w="883" w:type="dxa"/>
            <w:shd w:val="clear" w:color="auto" w:fill="auto"/>
            <w:noWrap/>
            <w:vAlign w:val="bottom"/>
            <w:hideMark/>
          </w:tcPr>
          <w:p w14:paraId="02D6B22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w:t>
            </w:r>
          </w:p>
        </w:tc>
        <w:tc>
          <w:tcPr>
            <w:tcW w:w="849" w:type="dxa"/>
            <w:shd w:val="clear" w:color="auto" w:fill="auto"/>
            <w:noWrap/>
            <w:vAlign w:val="bottom"/>
            <w:hideMark/>
          </w:tcPr>
          <w:p w14:paraId="017DFC3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0.019</w:t>
            </w:r>
          </w:p>
        </w:tc>
        <w:tc>
          <w:tcPr>
            <w:tcW w:w="790" w:type="dxa"/>
            <w:shd w:val="clear" w:color="auto" w:fill="auto"/>
            <w:noWrap/>
            <w:vAlign w:val="bottom"/>
            <w:hideMark/>
          </w:tcPr>
          <w:p w14:paraId="594135E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-1.19</w:t>
            </w:r>
          </w:p>
        </w:tc>
        <w:tc>
          <w:tcPr>
            <w:tcW w:w="785" w:type="dxa"/>
            <w:shd w:val="clear" w:color="auto" w:fill="auto"/>
            <w:noWrap/>
            <w:vAlign w:val="bottom"/>
            <w:hideMark/>
          </w:tcPr>
          <w:p w14:paraId="35BDB5A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0.872</w:t>
            </w:r>
          </w:p>
        </w:tc>
        <w:tc>
          <w:tcPr>
            <w:tcW w:w="890" w:type="dxa"/>
            <w:shd w:val="clear" w:color="auto" w:fill="auto"/>
            <w:noWrap/>
            <w:vAlign w:val="bottom"/>
            <w:hideMark/>
          </w:tcPr>
          <w:p w14:paraId="49EFA7F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0.031</w:t>
            </w:r>
          </w:p>
        </w:tc>
        <w:tc>
          <w:tcPr>
            <w:tcW w:w="790" w:type="dxa"/>
            <w:shd w:val="clear" w:color="auto" w:fill="auto"/>
            <w:noWrap/>
            <w:vAlign w:val="bottom"/>
            <w:hideMark/>
          </w:tcPr>
          <w:p w14:paraId="0A0C24E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-0.322</w:t>
            </w:r>
          </w:p>
        </w:tc>
        <w:tc>
          <w:tcPr>
            <w:tcW w:w="785" w:type="dxa"/>
            <w:shd w:val="clear" w:color="auto" w:fill="auto"/>
            <w:noWrap/>
            <w:vAlign w:val="bottom"/>
            <w:hideMark/>
          </w:tcPr>
          <w:p w14:paraId="0EEF4CF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0.029</w:t>
            </w:r>
          </w:p>
        </w:tc>
        <w:tc>
          <w:tcPr>
            <w:tcW w:w="893" w:type="dxa"/>
            <w:shd w:val="clear" w:color="auto" w:fill="auto"/>
            <w:noWrap/>
            <w:vAlign w:val="bottom"/>
            <w:hideMark/>
          </w:tcPr>
          <w:p w14:paraId="0D67696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r>
      <w:tr w:rsidR="00423B79" w:rsidRPr="00357EE1" w14:paraId="63BB44BF" w14:textId="77777777" w:rsidTr="00423B79">
        <w:trPr>
          <w:trHeight w:val="254"/>
        </w:trPr>
        <w:tc>
          <w:tcPr>
            <w:tcW w:w="1449" w:type="dxa"/>
            <w:shd w:val="clear" w:color="auto" w:fill="auto"/>
            <w:noWrap/>
            <w:vAlign w:val="bottom"/>
            <w:hideMark/>
          </w:tcPr>
          <w:p w14:paraId="058C779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78D5CB0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0.015</w:t>
            </w:r>
          </w:p>
        </w:tc>
        <w:tc>
          <w:tcPr>
            <w:tcW w:w="883" w:type="dxa"/>
            <w:shd w:val="clear" w:color="auto" w:fill="auto"/>
            <w:noWrap/>
            <w:vAlign w:val="bottom"/>
            <w:hideMark/>
          </w:tcPr>
          <w:p w14:paraId="3CD9C0B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0.74</w:t>
            </w:r>
          </w:p>
        </w:tc>
        <w:tc>
          <w:tcPr>
            <w:tcW w:w="849" w:type="dxa"/>
            <w:shd w:val="clear" w:color="auto" w:fill="auto"/>
            <w:noWrap/>
            <w:vAlign w:val="bottom"/>
            <w:hideMark/>
          </w:tcPr>
          <w:p w14:paraId="08C27D0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790" w:type="dxa"/>
            <w:shd w:val="clear" w:color="auto" w:fill="auto"/>
            <w:noWrap/>
            <w:vAlign w:val="bottom"/>
            <w:hideMark/>
          </w:tcPr>
          <w:p w14:paraId="2844366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1.03</w:t>
            </w:r>
          </w:p>
        </w:tc>
        <w:tc>
          <w:tcPr>
            <w:tcW w:w="785" w:type="dxa"/>
            <w:shd w:val="clear" w:color="auto" w:fill="auto"/>
            <w:noWrap/>
            <w:vAlign w:val="bottom"/>
            <w:hideMark/>
          </w:tcPr>
          <w:p w14:paraId="5BE7458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0.74</w:t>
            </w:r>
          </w:p>
        </w:tc>
        <w:tc>
          <w:tcPr>
            <w:tcW w:w="890" w:type="dxa"/>
            <w:shd w:val="clear" w:color="auto" w:fill="auto"/>
            <w:noWrap/>
            <w:vAlign w:val="bottom"/>
            <w:hideMark/>
          </w:tcPr>
          <w:p w14:paraId="526477B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0.016</w:t>
            </w:r>
          </w:p>
        </w:tc>
        <w:tc>
          <w:tcPr>
            <w:tcW w:w="790" w:type="dxa"/>
            <w:shd w:val="clear" w:color="auto" w:fill="auto"/>
            <w:noWrap/>
            <w:vAlign w:val="bottom"/>
            <w:hideMark/>
          </w:tcPr>
          <w:p w14:paraId="735239A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c>
          <w:tcPr>
            <w:tcW w:w="785" w:type="dxa"/>
            <w:shd w:val="clear" w:color="auto" w:fill="auto"/>
            <w:noWrap/>
            <w:vAlign w:val="bottom"/>
            <w:hideMark/>
          </w:tcPr>
          <w:p w14:paraId="347A3A5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893" w:type="dxa"/>
            <w:shd w:val="clear" w:color="auto" w:fill="auto"/>
            <w:noWrap/>
            <w:vAlign w:val="bottom"/>
            <w:hideMark/>
          </w:tcPr>
          <w:p w14:paraId="501C2B7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5489B695" w14:textId="77777777" w:rsidTr="00423B79">
        <w:trPr>
          <w:trHeight w:val="254"/>
        </w:trPr>
        <w:tc>
          <w:tcPr>
            <w:tcW w:w="1449" w:type="dxa"/>
            <w:shd w:val="clear" w:color="auto" w:fill="auto"/>
            <w:noWrap/>
            <w:vAlign w:val="bottom"/>
            <w:hideMark/>
          </w:tcPr>
          <w:p w14:paraId="22494428"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6FC8742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883" w:type="dxa"/>
            <w:shd w:val="clear" w:color="auto" w:fill="auto"/>
            <w:noWrap/>
            <w:vAlign w:val="bottom"/>
            <w:hideMark/>
          </w:tcPr>
          <w:p w14:paraId="781D73F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0.692</w:t>
            </w:r>
          </w:p>
        </w:tc>
        <w:tc>
          <w:tcPr>
            <w:tcW w:w="849" w:type="dxa"/>
            <w:shd w:val="clear" w:color="auto" w:fill="auto"/>
            <w:noWrap/>
            <w:vAlign w:val="bottom"/>
            <w:hideMark/>
          </w:tcPr>
          <w:p w14:paraId="1CF64BD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790" w:type="dxa"/>
            <w:shd w:val="clear" w:color="auto" w:fill="auto"/>
            <w:noWrap/>
            <w:vAlign w:val="bottom"/>
            <w:hideMark/>
          </w:tcPr>
          <w:p w14:paraId="2FC8DFE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1.173</w:t>
            </w:r>
          </w:p>
        </w:tc>
        <w:tc>
          <w:tcPr>
            <w:tcW w:w="785" w:type="dxa"/>
            <w:shd w:val="clear" w:color="auto" w:fill="auto"/>
            <w:noWrap/>
            <w:vAlign w:val="bottom"/>
            <w:hideMark/>
          </w:tcPr>
          <w:p w14:paraId="4842AED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0.57</w:t>
            </w:r>
          </w:p>
        </w:tc>
        <w:tc>
          <w:tcPr>
            <w:tcW w:w="890" w:type="dxa"/>
            <w:shd w:val="clear" w:color="auto" w:fill="auto"/>
            <w:noWrap/>
            <w:vAlign w:val="bottom"/>
            <w:hideMark/>
          </w:tcPr>
          <w:p w14:paraId="4139FC4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790" w:type="dxa"/>
            <w:shd w:val="clear" w:color="auto" w:fill="auto"/>
            <w:noWrap/>
            <w:vAlign w:val="bottom"/>
            <w:hideMark/>
          </w:tcPr>
          <w:p w14:paraId="688FA33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0.807</w:t>
            </w:r>
          </w:p>
        </w:tc>
        <w:tc>
          <w:tcPr>
            <w:tcW w:w="785" w:type="dxa"/>
            <w:shd w:val="clear" w:color="auto" w:fill="auto"/>
            <w:noWrap/>
            <w:vAlign w:val="bottom"/>
            <w:hideMark/>
          </w:tcPr>
          <w:p w14:paraId="6974EE4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0.121</w:t>
            </w:r>
          </w:p>
        </w:tc>
        <w:tc>
          <w:tcPr>
            <w:tcW w:w="893" w:type="dxa"/>
            <w:shd w:val="clear" w:color="auto" w:fill="auto"/>
            <w:noWrap/>
            <w:vAlign w:val="bottom"/>
            <w:hideMark/>
          </w:tcPr>
          <w:p w14:paraId="45E7468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r>
      <w:tr w:rsidR="00423B79" w:rsidRPr="00357EE1" w14:paraId="34D1B156" w14:textId="77777777" w:rsidTr="00423B79">
        <w:trPr>
          <w:trHeight w:val="254"/>
        </w:trPr>
        <w:tc>
          <w:tcPr>
            <w:tcW w:w="1449" w:type="dxa"/>
            <w:shd w:val="clear" w:color="auto" w:fill="auto"/>
            <w:noWrap/>
            <w:vAlign w:val="bottom"/>
            <w:hideMark/>
          </w:tcPr>
          <w:p w14:paraId="422E508A"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prison</w:t>
            </w:r>
          </w:p>
        </w:tc>
        <w:tc>
          <w:tcPr>
            <w:tcW w:w="733" w:type="dxa"/>
            <w:shd w:val="clear" w:color="auto" w:fill="auto"/>
            <w:noWrap/>
            <w:vAlign w:val="bottom"/>
            <w:hideMark/>
          </w:tcPr>
          <w:p w14:paraId="05D492E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471385E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530593D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18046DA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7CF05AE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2BDBBCE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27EA253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5CA24CCD"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5969398D"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3D69E7A7" w14:textId="77777777" w:rsidTr="00423B79">
        <w:trPr>
          <w:trHeight w:val="254"/>
        </w:trPr>
        <w:tc>
          <w:tcPr>
            <w:tcW w:w="1449" w:type="dxa"/>
            <w:shd w:val="clear" w:color="auto" w:fill="auto"/>
            <w:noWrap/>
            <w:vAlign w:val="bottom"/>
            <w:hideMark/>
          </w:tcPr>
          <w:p w14:paraId="6B8D0549"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1C10A19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w:t>
            </w:r>
          </w:p>
        </w:tc>
        <w:tc>
          <w:tcPr>
            <w:tcW w:w="883" w:type="dxa"/>
            <w:shd w:val="clear" w:color="auto" w:fill="auto"/>
            <w:noWrap/>
            <w:vAlign w:val="bottom"/>
            <w:hideMark/>
          </w:tcPr>
          <w:p w14:paraId="45137F8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0.324</w:t>
            </w:r>
          </w:p>
        </w:tc>
        <w:tc>
          <w:tcPr>
            <w:tcW w:w="849" w:type="dxa"/>
            <w:shd w:val="clear" w:color="auto" w:fill="auto"/>
            <w:noWrap/>
            <w:vAlign w:val="bottom"/>
            <w:hideMark/>
          </w:tcPr>
          <w:p w14:paraId="180F88C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26FEF90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-0.302</w:t>
            </w:r>
          </w:p>
        </w:tc>
        <w:tc>
          <w:tcPr>
            <w:tcW w:w="785" w:type="dxa"/>
            <w:shd w:val="clear" w:color="auto" w:fill="auto"/>
            <w:noWrap/>
            <w:vAlign w:val="bottom"/>
            <w:hideMark/>
          </w:tcPr>
          <w:p w14:paraId="1EA39CD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0.323</w:t>
            </w:r>
          </w:p>
        </w:tc>
        <w:tc>
          <w:tcPr>
            <w:tcW w:w="890" w:type="dxa"/>
            <w:shd w:val="clear" w:color="auto" w:fill="auto"/>
            <w:noWrap/>
            <w:vAlign w:val="bottom"/>
            <w:hideMark/>
          </w:tcPr>
          <w:p w14:paraId="05C4B92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c>
          <w:tcPr>
            <w:tcW w:w="790" w:type="dxa"/>
            <w:shd w:val="clear" w:color="auto" w:fill="auto"/>
            <w:noWrap/>
            <w:vAlign w:val="bottom"/>
            <w:hideMark/>
          </w:tcPr>
          <w:p w14:paraId="66FFC6D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-0.014</w:t>
            </w:r>
          </w:p>
        </w:tc>
        <w:tc>
          <w:tcPr>
            <w:tcW w:w="785" w:type="dxa"/>
            <w:shd w:val="clear" w:color="auto" w:fill="auto"/>
            <w:noWrap/>
            <w:vAlign w:val="bottom"/>
            <w:hideMark/>
          </w:tcPr>
          <w:p w14:paraId="7D7CE0E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893" w:type="dxa"/>
            <w:shd w:val="clear" w:color="auto" w:fill="auto"/>
            <w:noWrap/>
            <w:vAlign w:val="bottom"/>
            <w:hideMark/>
          </w:tcPr>
          <w:p w14:paraId="3ACBF45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33934EFB" w14:textId="77777777" w:rsidTr="00423B79">
        <w:trPr>
          <w:trHeight w:val="254"/>
        </w:trPr>
        <w:tc>
          <w:tcPr>
            <w:tcW w:w="1449" w:type="dxa"/>
            <w:shd w:val="clear" w:color="auto" w:fill="auto"/>
            <w:noWrap/>
            <w:vAlign w:val="bottom"/>
            <w:hideMark/>
          </w:tcPr>
          <w:p w14:paraId="22E8CC09"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57E82AF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0.004</w:t>
            </w:r>
          </w:p>
        </w:tc>
        <w:tc>
          <w:tcPr>
            <w:tcW w:w="883" w:type="dxa"/>
            <w:shd w:val="clear" w:color="auto" w:fill="auto"/>
            <w:noWrap/>
            <w:vAlign w:val="bottom"/>
            <w:hideMark/>
          </w:tcPr>
          <w:p w14:paraId="00C6352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0.634</w:t>
            </w:r>
          </w:p>
        </w:tc>
        <w:tc>
          <w:tcPr>
            <w:tcW w:w="849" w:type="dxa"/>
            <w:shd w:val="clear" w:color="auto" w:fill="auto"/>
            <w:noWrap/>
            <w:vAlign w:val="bottom"/>
            <w:hideMark/>
          </w:tcPr>
          <w:p w14:paraId="4EF2F68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c>
          <w:tcPr>
            <w:tcW w:w="790" w:type="dxa"/>
            <w:shd w:val="clear" w:color="auto" w:fill="auto"/>
            <w:noWrap/>
            <w:vAlign w:val="bottom"/>
            <w:hideMark/>
          </w:tcPr>
          <w:p w14:paraId="59E9A56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1.547</w:t>
            </w:r>
          </w:p>
        </w:tc>
        <w:tc>
          <w:tcPr>
            <w:tcW w:w="785" w:type="dxa"/>
            <w:shd w:val="clear" w:color="auto" w:fill="auto"/>
            <w:noWrap/>
            <w:vAlign w:val="bottom"/>
            <w:hideMark/>
          </w:tcPr>
          <w:p w14:paraId="737BB42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0.515</w:t>
            </w:r>
          </w:p>
        </w:tc>
        <w:tc>
          <w:tcPr>
            <w:tcW w:w="890" w:type="dxa"/>
            <w:shd w:val="clear" w:color="auto" w:fill="auto"/>
            <w:noWrap/>
            <w:vAlign w:val="bottom"/>
            <w:hideMark/>
          </w:tcPr>
          <w:p w14:paraId="6BBB953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790" w:type="dxa"/>
            <w:shd w:val="clear" w:color="auto" w:fill="auto"/>
            <w:noWrap/>
            <w:vAlign w:val="bottom"/>
            <w:hideMark/>
          </w:tcPr>
          <w:p w14:paraId="165900E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1.109</w:t>
            </w:r>
          </w:p>
        </w:tc>
        <w:tc>
          <w:tcPr>
            <w:tcW w:w="785" w:type="dxa"/>
            <w:shd w:val="clear" w:color="auto" w:fill="auto"/>
            <w:noWrap/>
            <w:vAlign w:val="bottom"/>
            <w:hideMark/>
          </w:tcPr>
          <w:p w14:paraId="6F8388B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0.119</w:t>
            </w:r>
          </w:p>
        </w:tc>
        <w:tc>
          <w:tcPr>
            <w:tcW w:w="893" w:type="dxa"/>
            <w:shd w:val="clear" w:color="auto" w:fill="auto"/>
            <w:noWrap/>
            <w:vAlign w:val="bottom"/>
            <w:hideMark/>
          </w:tcPr>
          <w:p w14:paraId="24217BB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r>
      <w:tr w:rsidR="00423B79" w:rsidRPr="00357EE1" w14:paraId="23F9E963" w14:textId="77777777" w:rsidTr="00423B79">
        <w:trPr>
          <w:trHeight w:val="254"/>
        </w:trPr>
        <w:tc>
          <w:tcPr>
            <w:tcW w:w="1449" w:type="dxa"/>
            <w:shd w:val="clear" w:color="auto" w:fill="auto"/>
            <w:noWrap/>
            <w:vAlign w:val="bottom"/>
            <w:hideMark/>
          </w:tcPr>
          <w:p w14:paraId="3549BB9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68AD6EF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6087940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0.116</w:t>
            </w:r>
          </w:p>
        </w:tc>
        <w:tc>
          <w:tcPr>
            <w:tcW w:w="849" w:type="dxa"/>
            <w:shd w:val="clear" w:color="auto" w:fill="auto"/>
            <w:noWrap/>
            <w:vAlign w:val="bottom"/>
            <w:hideMark/>
          </w:tcPr>
          <w:p w14:paraId="4C47ED7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790" w:type="dxa"/>
            <w:shd w:val="clear" w:color="auto" w:fill="auto"/>
            <w:noWrap/>
            <w:vAlign w:val="bottom"/>
            <w:hideMark/>
          </w:tcPr>
          <w:p w14:paraId="7E6E159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0.247</w:t>
            </w:r>
          </w:p>
        </w:tc>
        <w:tc>
          <w:tcPr>
            <w:tcW w:w="785" w:type="dxa"/>
            <w:shd w:val="clear" w:color="auto" w:fill="auto"/>
            <w:noWrap/>
            <w:vAlign w:val="bottom"/>
            <w:hideMark/>
          </w:tcPr>
          <w:p w14:paraId="6040465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0.066</w:t>
            </w:r>
          </w:p>
        </w:tc>
        <w:tc>
          <w:tcPr>
            <w:tcW w:w="890" w:type="dxa"/>
            <w:shd w:val="clear" w:color="auto" w:fill="auto"/>
            <w:noWrap/>
            <w:vAlign w:val="bottom"/>
            <w:hideMark/>
          </w:tcPr>
          <w:p w14:paraId="1CD809E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c>
          <w:tcPr>
            <w:tcW w:w="790" w:type="dxa"/>
            <w:shd w:val="clear" w:color="auto" w:fill="auto"/>
            <w:noWrap/>
            <w:vAlign w:val="bottom"/>
            <w:hideMark/>
          </w:tcPr>
          <w:p w14:paraId="270155B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-0.32</w:t>
            </w:r>
          </w:p>
        </w:tc>
        <w:tc>
          <w:tcPr>
            <w:tcW w:w="785" w:type="dxa"/>
            <w:shd w:val="clear" w:color="auto" w:fill="auto"/>
            <w:noWrap/>
            <w:vAlign w:val="bottom"/>
            <w:hideMark/>
          </w:tcPr>
          <w:p w14:paraId="7941083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w:t>
            </w:r>
          </w:p>
        </w:tc>
        <w:tc>
          <w:tcPr>
            <w:tcW w:w="893" w:type="dxa"/>
            <w:shd w:val="clear" w:color="auto" w:fill="auto"/>
            <w:noWrap/>
            <w:vAlign w:val="bottom"/>
            <w:hideMark/>
          </w:tcPr>
          <w:p w14:paraId="4EE4360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3C8E22B6" w14:textId="77777777" w:rsidTr="00423B79">
        <w:trPr>
          <w:trHeight w:val="254"/>
        </w:trPr>
        <w:tc>
          <w:tcPr>
            <w:tcW w:w="1449" w:type="dxa"/>
            <w:shd w:val="clear" w:color="auto" w:fill="auto"/>
            <w:noWrap/>
            <w:vAlign w:val="bottom"/>
            <w:hideMark/>
          </w:tcPr>
          <w:p w14:paraId="457B46F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homicide</w:t>
            </w:r>
          </w:p>
        </w:tc>
        <w:tc>
          <w:tcPr>
            <w:tcW w:w="733" w:type="dxa"/>
            <w:shd w:val="clear" w:color="auto" w:fill="auto"/>
            <w:noWrap/>
            <w:vAlign w:val="bottom"/>
            <w:hideMark/>
          </w:tcPr>
          <w:p w14:paraId="255D6C6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0C15B2D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377ADE1D"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7FA7C99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62EE660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6ECCD3D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42E89D6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70EB434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0C809984"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2DDEFEAA" w14:textId="77777777" w:rsidTr="00423B79">
        <w:trPr>
          <w:trHeight w:val="254"/>
        </w:trPr>
        <w:tc>
          <w:tcPr>
            <w:tcW w:w="1449" w:type="dxa"/>
            <w:shd w:val="clear" w:color="auto" w:fill="auto"/>
            <w:noWrap/>
            <w:vAlign w:val="bottom"/>
            <w:hideMark/>
          </w:tcPr>
          <w:p w14:paraId="33D67E14"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46AF969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0.023</w:t>
            </w:r>
          </w:p>
        </w:tc>
        <w:tc>
          <w:tcPr>
            <w:tcW w:w="883" w:type="dxa"/>
            <w:shd w:val="clear" w:color="auto" w:fill="auto"/>
            <w:noWrap/>
            <w:vAlign w:val="bottom"/>
            <w:hideMark/>
          </w:tcPr>
          <w:p w14:paraId="592FEF3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0.255</w:t>
            </w:r>
          </w:p>
        </w:tc>
        <w:tc>
          <w:tcPr>
            <w:tcW w:w="849" w:type="dxa"/>
            <w:shd w:val="clear" w:color="auto" w:fill="auto"/>
            <w:noWrap/>
            <w:vAlign w:val="bottom"/>
            <w:hideMark/>
          </w:tcPr>
          <w:p w14:paraId="1EF9408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5B2DB80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85" w:type="dxa"/>
            <w:shd w:val="clear" w:color="auto" w:fill="auto"/>
            <w:noWrap/>
            <w:vAlign w:val="bottom"/>
            <w:hideMark/>
          </w:tcPr>
          <w:p w14:paraId="03F928A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890" w:type="dxa"/>
            <w:shd w:val="clear" w:color="auto" w:fill="auto"/>
            <w:noWrap/>
            <w:vAlign w:val="bottom"/>
            <w:hideMark/>
          </w:tcPr>
          <w:p w14:paraId="089A49A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790" w:type="dxa"/>
            <w:shd w:val="clear" w:color="auto" w:fill="auto"/>
            <w:noWrap/>
            <w:vAlign w:val="bottom"/>
            <w:hideMark/>
          </w:tcPr>
          <w:p w14:paraId="2208F04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0.465</w:t>
            </w:r>
          </w:p>
        </w:tc>
        <w:tc>
          <w:tcPr>
            <w:tcW w:w="785" w:type="dxa"/>
            <w:shd w:val="clear" w:color="auto" w:fill="auto"/>
            <w:noWrap/>
            <w:vAlign w:val="bottom"/>
            <w:hideMark/>
          </w:tcPr>
          <w:p w14:paraId="4BF68E6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0.255</w:t>
            </w:r>
          </w:p>
        </w:tc>
        <w:tc>
          <w:tcPr>
            <w:tcW w:w="893" w:type="dxa"/>
            <w:shd w:val="clear" w:color="auto" w:fill="auto"/>
            <w:noWrap/>
            <w:vAlign w:val="bottom"/>
            <w:hideMark/>
          </w:tcPr>
          <w:p w14:paraId="4CC1477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r>
      <w:tr w:rsidR="00423B79" w:rsidRPr="00357EE1" w14:paraId="563FC469" w14:textId="77777777" w:rsidTr="00423B79">
        <w:trPr>
          <w:trHeight w:val="254"/>
        </w:trPr>
        <w:tc>
          <w:tcPr>
            <w:tcW w:w="1449" w:type="dxa"/>
            <w:shd w:val="clear" w:color="auto" w:fill="auto"/>
            <w:noWrap/>
            <w:vAlign w:val="bottom"/>
            <w:hideMark/>
          </w:tcPr>
          <w:p w14:paraId="5EDC8B36"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4DD56D1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0.013</w:t>
            </w:r>
          </w:p>
        </w:tc>
        <w:tc>
          <w:tcPr>
            <w:tcW w:w="883" w:type="dxa"/>
            <w:shd w:val="clear" w:color="auto" w:fill="auto"/>
            <w:noWrap/>
            <w:vAlign w:val="bottom"/>
            <w:hideMark/>
          </w:tcPr>
          <w:p w14:paraId="0FC6B00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w:t>
            </w:r>
          </w:p>
        </w:tc>
        <w:tc>
          <w:tcPr>
            <w:tcW w:w="849" w:type="dxa"/>
            <w:shd w:val="clear" w:color="auto" w:fill="auto"/>
            <w:noWrap/>
            <w:vAlign w:val="bottom"/>
            <w:hideMark/>
          </w:tcPr>
          <w:p w14:paraId="545A9CA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0.015</w:t>
            </w:r>
          </w:p>
        </w:tc>
        <w:tc>
          <w:tcPr>
            <w:tcW w:w="790" w:type="dxa"/>
            <w:shd w:val="clear" w:color="auto" w:fill="auto"/>
            <w:noWrap/>
            <w:vAlign w:val="bottom"/>
            <w:hideMark/>
          </w:tcPr>
          <w:p w14:paraId="3338BCC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1.302</w:t>
            </w:r>
          </w:p>
        </w:tc>
        <w:tc>
          <w:tcPr>
            <w:tcW w:w="785" w:type="dxa"/>
            <w:shd w:val="clear" w:color="auto" w:fill="auto"/>
            <w:noWrap/>
            <w:vAlign w:val="bottom"/>
            <w:hideMark/>
          </w:tcPr>
          <w:p w14:paraId="22AE559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0.783</w:t>
            </w:r>
          </w:p>
        </w:tc>
        <w:tc>
          <w:tcPr>
            <w:tcW w:w="890" w:type="dxa"/>
            <w:shd w:val="clear" w:color="auto" w:fill="auto"/>
            <w:noWrap/>
            <w:vAlign w:val="bottom"/>
            <w:hideMark/>
          </w:tcPr>
          <w:p w14:paraId="15173A8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0.022</w:t>
            </w:r>
          </w:p>
        </w:tc>
        <w:tc>
          <w:tcPr>
            <w:tcW w:w="790" w:type="dxa"/>
            <w:shd w:val="clear" w:color="auto" w:fill="auto"/>
            <w:noWrap/>
            <w:vAlign w:val="bottom"/>
            <w:hideMark/>
          </w:tcPr>
          <w:p w14:paraId="372D4CB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-0.288</w:t>
            </w:r>
          </w:p>
        </w:tc>
        <w:tc>
          <w:tcPr>
            <w:tcW w:w="785" w:type="dxa"/>
            <w:shd w:val="clear" w:color="auto" w:fill="auto"/>
            <w:noWrap/>
            <w:vAlign w:val="bottom"/>
            <w:hideMark/>
          </w:tcPr>
          <w:p w14:paraId="5FE51C7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0.017</w:t>
            </w:r>
          </w:p>
        </w:tc>
        <w:tc>
          <w:tcPr>
            <w:tcW w:w="893" w:type="dxa"/>
            <w:shd w:val="clear" w:color="auto" w:fill="auto"/>
            <w:noWrap/>
            <w:vAlign w:val="bottom"/>
            <w:hideMark/>
          </w:tcPr>
          <w:p w14:paraId="7381D11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0C59B612" w14:textId="77777777" w:rsidTr="00423B79">
        <w:trPr>
          <w:trHeight w:val="254"/>
        </w:trPr>
        <w:tc>
          <w:tcPr>
            <w:tcW w:w="1449" w:type="dxa"/>
            <w:shd w:val="clear" w:color="auto" w:fill="auto"/>
            <w:noWrap/>
            <w:vAlign w:val="bottom"/>
            <w:hideMark/>
          </w:tcPr>
          <w:p w14:paraId="675ED49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3C0FC7D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883" w:type="dxa"/>
            <w:shd w:val="clear" w:color="auto" w:fill="auto"/>
            <w:noWrap/>
            <w:vAlign w:val="bottom"/>
            <w:hideMark/>
          </w:tcPr>
          <w:p w14:paraId="4472EC3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0.886</w:t>
            </w:r>
          </w:p>
        </w:tc>
        <w:tc>
          <w:tcPr>
            <w:tcW w:w="849" w:type="dxa"/>
            <w:shd w:val="clear" w:color="auto" w:fill="auto"/>
            <w:noWrap/>
            <w:vAlign w:val="bottom"/>
            <w:hideMark/>
          </w:tcPr>
          <w:p w14:paraId="07DC8A5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w:t>
            </w:r>
          </w:p>
        </w:tc>
        <w:tc>
          <w:tcPr>
            <w:tcW w:w="790" w:type="dxa"/>
            <w:shd w:val="clear" w:color="auto" w:fill="auto"/>
            <w:noWrap/>
            <w:vAlign w:val="bottom"/>
            <w:hideMark/>
          </w:tcPr>
          <w:p w14:paraId="32B30FD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-1.791</w:t>
            </w:r>
          </w:p>
        </w:tc>
        <w:tc>
          <w:tcPr>
            <w:tcW w:w="785" w:type="dxa"/>
            <w:shd w:val="clear" w:color="auto" w:fill="auto"/>
            <w:noWrap/>
            <w:vAlign w:val="bottom"/>
            <w:hideMark/>
          </w:tcPr>
          <w:p w14:paraId="1A73200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0.822</w:t>
            </w:r>
          </w:p>
        </w:tc>
        <w:tc>
          <w:tcPr>
            <w:tcW w:w="890" w:type="dxa"/>
            <w:shd w:val="clear" w:color="auto" w:fill="auto"/>
            <w:noWrap/>
            <w:vAlign w:val="bottom"/>
            <w:hideMark/>
          </w:tcPr>
          <w:p w14:paraId="4DA017C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w:t>
            </w:r>
          </w:p>
        </w:tc>
        <w:tc>
          <w:tcPr>
            <w:tcW w:w="790" w:type="dxa"/>
            <w:shd w:val="clear" w:color="auto" w:fill="auto"/>
            <w:noWrap/>
            <w:vAlign w:val="bottom"/>
            <w:hideMark/>
          </w:tcPr>
          <w:p w14:paraId="11BD6E2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-0.747</w:t>
            </w:r>
          </w:p>
        </w:tc>
        <w:tc>
          <w:tcPr>
            <w:tcW w:w="785" w:type="dxa"/>
            <w:shd w:val="clear" w:color="auto" w:fill="auto"/>
            <w:noWrap/>
            <w:vAlign w:val="bottom"/>
            <w:hideMark/>
          </w:tcPr>
          <w:p w14:paraId="2B37E33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0.064</w:t>
            </w:r>
          </w:p>
        </w:tc>
        <w:tc>
          <w:tcPr>
            <w:tcW w:w="893" w:type="dxa"/>
            <w:shd w:val="clear" w:color="auto" w:fill="auto"/>
            <w:noWrap/>
            <w:vAlign w:val="bottom"/>
            <w:hideMark/>
          </w:tcPr>
          <w:p w14:paraId="1A14003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r>
      <w:tr w:rsidR="00423B79" w:rsidRPr="00357EE1" w14:paraId="339598C6" w14:textId="77777777" w:rsidTr="00423B79">
        <w:trPr>
          <w:trHeight w:val="254"/>
        </w:trPr>
        <w:tc>
          <w:tcPr>
            <w:tcW w:w="1449" w:type="dxa"/>
            <w:shd w:val="clear" w:color="auto" w:fill="auto"/>
            <w:noWrap/>
            <w:vAlign w:val="bottom"/>
            <w:hideMark/>
          </w:tcPr>
          <w:p w14:paraId="68AA93D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diet</w:t>
            </w:r>
          </w:p>
        </w:tc>
        <w:tc>
          <w:tcPr>
            <w:tcW w:w="733" w:type="dxa"/>
            <w:shd w:val="clear" w:color="auto" w:fill="auto"/>
            <w:noWrap/>
            <w:vAlign w:val="bottom"/>
            <w:hideMark/>
          </w:tcPr>
          <w:p w14:paraId="72F5E3D6"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5E326EF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4FD70A76"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07B934D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672C41F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27EB8D3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1295C48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16A0924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2918B2F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0CFF0B52" w14:textId="77777777" w:rsidTr="00423B79">
        <w:trPr>
          <w:trHeight w:val="254"/>
        </w:trPr>
        <w:tc>
          <w:tcPr>
            <w:tcW w:w="1449" w:type="dxa"/>
            <w:shd w:val="clear" w:color="auto" w:fill="auto"/>
            <w:noWrap/>
            <w:vAlign w:val="bottom"/>
            <w:hideMark/>
          </w:tcPr>
          <w:p w14:paraId="0D12B9E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227186F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0.027</w:t>
            </w:r>
          </w:p>
        </w:tc>
        <w:tc>
          <w:tcPr>
            <w:tcW w:w="883" w:type="dxa"/>
            <w:shd w:val="clear" w:color="auto" w:fill="auto"/>
            <w:noWrap/>
            <w:vAlign w:val="bottom"/>
            <w:hideMark/>
          </w:tcPr>
          <w:p w14:paraId="78537B3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0.935</w:t>
            </w:r>
          </w:p>
        </w:tc>
        <w:tc>
          <w:tcPr>
            <w:tcW w:w="849" w:type="dxa"/>
            <w:shd w:val="clear" w:color="auto" w:fill="auto"/>
            <w:noWrap/>
            <w:vAlign w:val="bottom"/>
            <w:hideMark/>
          </w:tcPr>
          <w:p w14:paraId="35AB8DE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790" w:type="dxa"/>
            <w:shd w:val="clear" w:color="auto" w:fill="auto"/>
            <w:noWrap/>
            <w:vAlign w:val="bottom"/>
            <w:hideMark/>
          </w:tcPr>
          <w:p w14:paraId="116FC05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-0.817</w:t>
            </w:r>
          </w:p>
        </w:tc>
        <w:tc>
          <w:tcPr>
            <w:tcW w:w="785" w:type="dxa"/>
            <w:shd w:val="clear" w:color="auto" w:fill="auto"/>
            <w:noWrap/>
            <w:vAlign w:val="bottom"/>
            <w:hideMark/>
          </w:tcPr>
          <w:p w14:paraId="0732B94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0.901</w:t>
            </w:r>
          </w:p>
        </w:tc>
        <w:tc>
          <w:tcPr>
            <w:tcW w:w="890" w:type="dxa"/>
            <w:shd w:val="clear" w:color="auto" w:fill="auto"/>
            <w:noWrap/>
            <w:vAlign w:val="bottom"/>
            <w:hideMark/>
          </w:tcPr>
          <w:p w14:paraId="3FF9987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0.018</w:t>
            </w:r>
          </w:p>
        </w:tc>
        <w:tc>
          <w:tcPr>
            <w:tcW w:w="790" w:type="dxa"/>
            <w:shd w:val="clear" w:color="auto" w:fill="auto"/>
            <w:noWrap/>
            <w:vAlign w:val="bottom"/>
            <w:hideMark/>
          </w:tcPr>
          <w:p w14:paraId="655A699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0.235</w:t>
            </w:r>
          </w:p>
        </w:tc>
        <w:tc>
          <w:tcPr>
            <w:tcW w:w="785" w:type="dxa"/>
            <w:shd w:val="clear" w:color="auto" w:fill="auto"/>
            <w:noWrap/>
            <w:vAlign w:val="bottom"/>
            <w:hideMark/>
          </w:tcPr>
          <w:p w14:paraId="5890A7D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0.033</w:t>
            </w:r>
          </w:p>
        </w:tc>
        <w:tc>
          <w:tcPr>
            <w:tcW w:w="893" w:type="dxa"/>
            <w:shd w:val="clear" w:color="auto" w:fill="auto"/>
            <w:noWrap/>
            <w:vAlign w:val="bottom"/>
            <w:hideMark/>
          </w:tcPr>
          <w:p w14:paraId="40836D2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r>
      <w:tr w:rsidR="00423B79" w:rsidRPr="00357EE1" w14:paraId="73B87480" w14:textId="77777777" w:rsidTr="00423B79">
        <w:trPr>
          <w:trHeight w:val="254"/>
        </w:trPr>
        <w:tc>
          <w:tcPr>
            <w:tcW w:w="1449" w:type="dxa"/>
            <w:shd w:val="clear" w:color="auto" w:fill="auto"/>
            <w:noWrap/>
            <w:vAlign w:val="bottom"/>
            <w:hideMark/>
          </w:tcPr>
          <w:p w14:paraId="2F620B54"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5F59546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0.007</w:t>
            </w:r>
          </w:p>
        </w:tc>
        <w:tc>
          <w:tcPr>
            <w:tcW w:w="883" w:type="dxa"/>
            <w:shd w:val="clear" w:color="auto" w:fill="auto"/>
            <w:noWrap/>
            <w:vAlign w:val="bottom"/>
            <w:hideMark/>
          </w:tcPr>
          <w:p w14:paraId="0106F64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0.861</w:t>
            </w:r>
          </w:p>
        </w:tc>
        <w:tc>
          <w:tcPr>
            <w:tcW w:w="849" w:type="dxa"/>
            <w:shd w:val="clear" w:color="auto" w:fill="auto"/>
            <w:noWrap/>
            <w:vAlign w:val="bottom"/>
            <w:hideMark/>
          </w:tcPr>
          <w:p w14:paraId="032341B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790" w:type="dxa"/>
            <w:shd w:val="clear" w:color="auto" w:fill="auto"/>
            <w:noWrap/>
            <w:vAlign w:val="bottom"/>
            <w:hideMark/>
          </w:tcPr>
          <w:p w14:paraId="7A9BB76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1.248</w:t>
            </w:r>
          </w:p>
        </w:tc>
        <w:tc>
          <w:tcPr>
            <w:tcW w:w="785" w:type="dxa"/>
            <w:shd w:val="clear" w:color="auto" w:fill="auto"/>
            <w:noWrap/>
            <w:vAlign w:val="bottom"/>
            <w:hideMark/>
          </w:tcPr>
          <w:p w14:paraId="42D703A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0.56</w:t>
            </w:r>
          </w:p>
        </w:tc>
        <w:tc>
          <w:tcPr>
            <w:tcW w:w="890" w:type="dxa"/>
            <w:shd w:val="clear" w:color="auto" w:fill="auto"/>
            <w:noWrap/>
            <w:vAlign w:val="bottom"/>
            <w:hideMark/>
          </w:tcPr>
          <w:p w14:paraId="4DB3EF1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790" w:type="dxa"/>
            <w:shd w:val="clear" w:color="auto" w:fill="auto"/>
            <w:noWrap/>
            <w:vAlign w:val="bottom"/>
            <w:hideMark/>
          </w:tcPr>
          <w:p w14:paraId="0AE9166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-1.364</w:t>
            </w:r>
          </w:p>
        </w:tc>
        <w:tc>
          <w:tcPr>
            <w:tcW w:w="785" w:type="dxa"/>
            <w:shd w:val="clear" w:color="auto" w:fill="auto"/>
            <w:noWrap/>
            <w:vAlign w:val="bottom"/>
            <w:hideMark/>
          </w:tcPr>
          <w:p w14:paraId="2B0C883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0.301</w:t>
            </w:r>
          </w:p>
        </w:tc>
        <w:tc>
          <w:tcPr>
            <w:tcW w:w="893" w:type="dxa"/>
            <w:shd w:val="clear" w:color="auto" w:fill="auto"/>
            <w:noWrap/>
            <w:vAlign w:val="bottom"/>
            <w:hideMark/>
          </w:tcPr>
          <w:p w14:paraId="1AD18A6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0.013</w:t>
            </w:r>
          </w:p>
        </w:tc>
      </w:tr>
      <w:tr w:rsidR="00423B79" w:rsidRPr="00357EE1" w14:paraId="29CCEA20" w14:textId="77777777" w:rsidTr="00423B79">
        <w:trPr>
          <w:trHeight w:val="254"/>
        </w:trPr>
        <w:tc>
          <w:tcPr>
            <w:tcW w:w="1449" w:type="dxa"/>
            <w:shd w:val="clear" w:color="auto" w:fill="auto"/>
            <w:noWrap/>
            <w:vAlign w:val="bottom"/>
            <w:hideMark/>
          </w:tcPr>
          <w:p w14:paraId="065A4AD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50F5C2C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883" w:type="dxa"/>
            <w:shd w:val="clear" w:color="auto" w:fill="auto"/>
            <w:noWrap/>
            <w:vAlign w:val="bottom"/>
            <w:hideMark/>
          </w:tcPr>
          <w:p w14:paraId="7F3EB16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0.838</w:t>
            </w:r>
          </w:p>
        </w:tc>
        <w:tc>
          <w:tcPr>
            <w:tcW w:w="849" w:type="dxa"/>
            <w:shd w:val="clear" w:color="auto" w:fill="auto"/>
            <w:noWrap/>
            <w:vAlign w:val="bottom"/>
            <w:hideMark/>
          </w:tcPr>
          <w:p w14:paraId="2329679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790" w:type="dxa"/>
            <w:shd w:val="clear" w:color="auto" w:fill="auto"/>
            <w:noWrap/>
            <w:vAlign w:val="bottom"/>
            <w:hideMark/>
          </w:tcPr>
          <w:p w14:paraId="06788A6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1.237</w:t>
            </w:r>
          </w:p>
        </w:tc>
        <w:tc>
          <w:tcPr>
            <w:tcW w:w="785" w:type="dxa"/>
            <w:shd w:val="clear" w:color="auto" w:fill="auto"/>
            <w:noWrap/>
            <w:vAlign w:val="bottom"/>
            <w:hideMark/>
          </w:tcPr>
          <w:p w14:paraId="5961D31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0.814</w:t>
            </w:r>
          </w:p>
        </w:tc>
        <w:tc>
          <w:tcPr>
            <w:tcW w:w="890" w:type="dxa"/>
            <w:shd w:val="clear" w:color="auto" w:fill="auto"/>
            <w:noWrap/>
            <w:vAlign w:val="bottom"/>
            <w:hideMark/>
          </w:tcPr>
          <w:p w14:paraId="18EB7B5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0.017</w:t>
            </w:r>
          </w:p>
        </w:tc>
        <w:tc>
          <w:tcPr>
            <w:tcW w:w="790" w:type="dxa"/>
            <w:shd w:val="clear" w:color="auto" w:fill="auto"/>
            <w:noWrap/>
            <w:vAlign w:val="bottom"/>
            <w:hideMark/>
          </w:tcPr>
          <w:p w14:paraId="1CE665C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0.315</w:t>
            </w:r>
          </w:p>
        </w:tc>
        <w:tc>
          <w:tcPr>
            <w:tcW w:w="785" w:type="dxa"/>
            <w:shd w:val="clear" w:color="auto" w:fill="auto"/>
            <w:noWrap/>
            <w:vAlign w:val="bottom"/>
            <w:hideMark/>
          </w:tcPr>
          <w:p w14:paraId="4DDA981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0.024</w:t>
            </w:r>
          </w:p>
        </w:tc>
        <w:tc>
          <w:tcPr>
            <w:tcW w:w="893" w:type="dxa"/>
            <w:shd w:val="clear" w:color="auto" w:fill="auto"/>
            <w:noWrap/>
            <w:vAlign w:val="bottom"/>
            <w:hideMark/>
          </w:tcPr>
          <w:p w14:paraId="5608C72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2CA1C895" w14:textId="77777777" w:rsidTr="00423B79">
        <w:trPr>
          <w:trHeight w:val="254"/>
        </w:trPr>
        <w:tc>
          <w:tcPr>
            <w:tcW w:w="1449" w:type="dxa"/>
            <w:shd w:val="clear" w:color="auto" w:fill="auto"/>
            <w:noWrap/>
            <w:vAlign w:val="bottom"/>
            <w:hideMark/>
          </w:tcPr>
          <w:p w14:paraId="353EA7FD"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fossilfuel</w:t>
            </w:r>
          </w:p>
        </w:tc>
        <w:tc>
          <w:tcPr>
            <w:tcW w:w="733" w:type="dxa"/>
            <w:shd w:val="clear" w:color="auto" w:fill="auto"/>
            <w:noWrap/>
            <w:vAlign w:val="bottom"/>
            <w:hideMark/>
          </w:tcPr>
          <w:p w14:paraId="3FBF70FF"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2E5EC98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0566AA5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4EA1CB6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3006368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796653F2"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65AF5DA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13A7C6ED"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268738FB"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7A691049" w14:textId="77777777" w:rsidTr="00423B79">
        <w:trPr>
          <w:trHeight w:val="254"/>
        </w:trPr>
        <w:tc>
          <w:tcPr>
            <w:tcW w:w="1449" w:type="dxa"/>
            <w:shd w:val="clear" w:color="auto" w:fill="auto"/>
            <w:noWrap/>
            <w:vAlign w:val="bottom"/>
            <w:hideMark/>
          </w:tcPr>
          <w:p w14:paraId="5598B5F9"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5E89F3F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0.022</w:t>
            </w:r>
          </w:p>
        </w:tc>
        <w:tc>
          <w:tcPr>
            <w:tcW w:w="883" w:type="dxa"/>
            <w:shd w:val="clear" w:color="auto" w:fill="auto"/>
            <w:noWrap/>
            <w:vAlign w:val="bottom"/>
            <w:hideMark/>
          </w:tcPr>
          <w:p w14:paraId="6D62054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0.793</w:t>
            </w:r>
          </w:p>
        </w:tc>
        <w:tc>
          <w:tcPr>
            <w:tcW w:w="849" w:type="dxa"/>
            <w:shd w:val="clear" w:color="auto" w:fill="auto"/>
            <w:noWrap/>
            <w:vAlign w:val="bottom"/>
            <w:hideMark/>
          </w:tcPr>
          <w:p w14:paraId="647162D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0.019</w:t>
            </w:r>
          </w:p>
        </w:tc>
        <w:tc>
          <w:tcPr>
            <w:tcW w:w="790" w:type="dxa"/>
            <w:shd w:val="clear" w:color="auto" w:fill="auto"/>
            <w:noWrap/>
            <w:vAlign w:val="bottom"/>
            <w:hideMark/>
          </w:tcPr>
          <w:p w14:paraId="6CEA8BA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-1.127</w:t>
            </w:r>
          </w:p>
        </w:tc>
        <w:tc>
          <w:tcPr>
            <w:tcW w:w="785" w:type="dxa"/>
            <w:shd w:val="clear" w:color="auto" w:fill="auto"/>
            <w:noWrap/>
            <w:vAlign w:val="bottom"/>
            <w:hideMark/>
          </w:tcPr>
          <w:p w14:paraId="7CFD726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0.782</w:t>
            </w:r>
          </w:p>
        </w:tc>
        <w:tc>
          <w:tcPr>
            <w:tcW w:w="890" w:type="dxa"/>
            <w:shd w:val="clear" w:color="auto" w:fill="auto"/>
            <w:noWrap/>
            <w:vAlign w:val="bottom"/>
            <w:hideMark/>
          </w:tcPr>
          <w:p w14:paraId="221B556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0.028</w:t>
            </w:r>
          </w:p>
        </w:tc>
        <w:tc>
          <w:tcPr>
            <w:tcW w:w="790" w:type="dxa"/>
            <w:shd w:val="clear" w:color="auto" w:fill="auto"/>
            <w:noWrap/>
            <w:vAlign w:val="bottom"/>
            <w:hideMark/>
          </w:tcPr>
          <w:p w14:paraId="0DA824D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w:t>
            </w:r>
          </w:p>
        </w:tc>
        <w:tc>
          <w:tcPr>
            <w:tcW w:w="785" w:type="dxa"/>
            <w:shd w:val="clear" w:color="auto" w:fill="auto"/>
            <w:noWrap/>
            <w:vAlign w:val="bottom"/>
            <w:hideMark/>
          </w:tcPr>
          <w:p w14:paraId="069B00F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0.011</w:t>
            </w:r>
          </w:p>
        </w:tc>
        <w:tc>
          <w:tcPr>
            <w:tcW w:w="893" w:type="dxa"/>
            <w:shd w:val="clear" w:color="auto" w:fill="auto"/>
            <w:noWrap/>
            <w:vAlign w:val="bottom"/>
            <w:hideMark/>
          </w:tcPr>
          <w:p w14:paraId="0380AC9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0CE6DAF5" w14:textId="77777777" w:rsidTr="00423B79">
        <w:trPr>
          <w:trHeight w:val="254"/>
        </w:trPr>
        <w:tc>
          <w:tcPr>
            <w:tcW w:w="1449" w:type="dxa"/>
            <w:shd w:val="clear" w:color="auto" w:fill="auto"/>
            <w:noWrap/>
            <w:vAlign w:val="bottom"/>
            <w:hideMark/>
          </w:tcPr>
          <w:p w14:paraId="2BA2CA04"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1F2CBAE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0.015</w:t>
            </w:r>
          </w:p>
        </w:tc>
        <w:tc>
          <w:tcPr>
            <w:tcW w:w="883" w:type="dxa"/>
            <w:shd w:val="clear" w:color="auto" w:fill="auto"/>
            <w:noWrap/>
            <w:vAlign w:val="bottom"/>
            <w:hideMark/>
          </w:tcPr>
          <w:p w14:paraId="120B9D7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0.851</w:t>
            </w:r>
          </w:p>
        </w:tc>
        <w:tc>
          <w:tcPr>
            <w:tcW w:w="849" w:type="dxa"/>
            <w:shd w:val="clear" w:color="auto" w:fill="auto"/>
            <w:noWrap/>
            <w:vAlign w:val="bottom"/>
            <w:hideMark/>
          </w:tcPr>
          <w:p w14:paraId="62A3CA3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w:t>
            </w:r>
          </w:p>
        </w:tc>
        <w:tc>
          <w:tcPr>
            <w:tcW w:w="790" w:type="dxa"/>
            <w:shd w:val="clear" w:color="auto" w:fill="auto"/>
            <w:noWrap/>
            <w:vAlign w:val="bottom"/>
            <w:hideMark/>
          </w:tcPr>
          <w:p w14:paraId="4092B6B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1.689</w:t>
            </w:r>
          </w:p>
        </w:tc>
        <w:tc>
          <w:tcPr>
            <w:tcW w:w="785" w:type="dxa"/>
            <w:shd w:val="clear" w:color="auto" w:fill="auto"/>
            <w:noWrap/>
            <w:vAlign w:val="bottom"/>
            <w:hideMark/>
          </w:tcPr>
          <w:p w14:paraId="57777C0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0.765</w:t>
            </w:r>
          </w:p>
        </w:tc>
        <w:tc>
          <w:tcPr>
            <w:tcW w:w="890" w:type="dxa"/>
            <w:shd w:val="clear" w:color="auto" w:fill="auto"/>
            <w:noWrap/>
            <w:vAlign w:val="bottom"/>
            <w:hideMark/>
          </w:tcPr>
          <w:p w14:paraId="1DDE806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0.042</w:t>
            </w:r>
          </w:p>
        </w:tc>
        <w:tc>
          <w:tcPr>
            <w:tcW w:w="790" w:type="dxa"/>
            <w:shd w:val="clear" w:color="auto" w:fill="auto"/>
            <w:noWrap/>
            <w:vAlign w:val="bottom"/>
            <w:hideMark/>
          </w:tcPr>
          <w:p w14:paraId="7BEF963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-0.846</w:t>
            </w:r>
          </w:p>
        </w:tc>
        <w:tc>
          <w:tcPr>
            <w:tcW w:w="785" w:type="dxa"/>
            <w:shd w:val="clear" w:color="auto" w:fill="auto"/>
            <w:noWrap/>
            <w:vAlign w:val="bottom"/>
            <w:hideMark/>
          </w:tcPr>
          <w:p w14:paraId="31620CA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0.086</w:t>
            </w:r>
          </w:p>
        </w:tc>
        <w:tc>
          <w:tcPr>
            <w:tcW w:w="893" w:type="dxa"/>
            <w:shd w:val="clear" w:color="auto" w:fill="auto"/>
            <w:noWrap/>
            <w:vAlign w:val="bottom"/>
            <w:hideMark/>
          </w:tcPr>
          <w:p w14:paraId="198B37C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r>
      <w:tr w:rsidR="00423B79" w:rsidRPr="00357EE1" w14:paraId="17620DEB" w14:textId="77777777" w:rsidTr="00423B79">
        <w:trPr>
          <w:trHeight w:val="254"/>
        </w:trPr>
        <w:tc>
          <w:tcPr>
            <w:tcW w:w="1449" w:type="dxa"/>
            <w:shd w:val="clear" w:color="auto" w:fill="auto"/>
            <w:noWrap/>
            <w:vAlign w:val="bottom"/>
            <w:hideMark/>
          </w:tcPr>
          <w:p w14:paraId="0F6A9571"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06F3B88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883" w:type="dxa"/>
            <w:shd w:val="clear" w:color="auto" w:fill="auto"/>
            <w:noWrap/>
            <w:vAlign w:val="bottom"/>
            <w:hideMark/>
          </w:tcPr>
          <w:p w14:paraId="4EFA56B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0.308</w:t>
            </w:r>
          </w:p>
        </w:tc>
        <w:tc>
          <w:tcPr>
            <w:tcW w:w="849" w:type="dxa"/>
            <w:shd w:val="clear" w:color="auto" w:fill="auto"/>
            <w:noWrap/>
            <w:vAlign w:val="bottom"/>
            <w:hideMark/>
          </w:tcPr>
          <w:p w14:paraId="74DDEEF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790" w:type="dxa"/>
            <w:shd w:val="clear" w:color="auto" w:fill="auto"/>
            <w:noWrap/>
            <w:vAlign w:val="bottom"/>
            <w:hideMark/>
          </w:tcPr>
          <w:p w14:paraId="0124776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0.017</w:t>
            </w:r>
          </w:p>
        </w:tc>
        <w:tc>
          <w:tcPr>
            <w:tcW w:w="785" w:type="dxa"/>
            <w:shd w:val="clear" w:color="auto" w:fill="auto"/>
            <w:noWrap/>
            <w:vAlign w:val="bottom"/>
            <w:hideMark/>
          </w:tcPr>
          <w:p w14:paraId="6F0695B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890" w:type="dxa"/>
            <w:shd w:val="clear" w:color="auto" w:fill="auto"/>
            <w:noWrap/>
            <w:vAlign w:val="bottom"/>
            <w:hideMark/>
          </w:tcPr>
          <w:p w14:paraId="6AAB919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790" w:type="dxa"/>
            <w:shd w:val="clear" w:color="auto" w:fill="auto"/>
            <w:noWrap/>
            <w:vAlign w:val="bottom"/>
            <w:hideMark/>
          </w:tcPr>
          <w:p w14:paraId="52FDEF2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0.923</w:t>
            </w:r>
          </w:p>
        </w:tc>
        <w:tc>
          <w:tcPr>
            <w:tcW w:w="785" w:type="dxa"/>
            <w:shd w:val="clear" w:color="auto" w:fill="auto"/>
            <w:noWrap/>
            <w:vAlign w:val="bottom"/>
            <w:hideMark/>
          </w:tcPr>
          <w:p w14:paraId="72CC911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0.308</w:t>
            </w:r>
          </w:p>
        </w:tc>
        <w:tc>
          <w:tcPr>
            <w:tcW w:w="893" w:type="dxa"/>
            <w:shd w:val="clear" w:color="auto" w:fill="auto"/>
            <w:noWrap/>
            <w:vAlign w:val="bottom"/>
            <w:hideMark/>
          </w:tcPr>
          <w:p w14:paraId="2CE63A9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0.007</w:t>
            </w:r>
          </w:p>
        </w:tc>
      </w:tr>
      <w:tr w:rsidR="00423B79" w:rsidRPr="00357EE1" w14:paraId="6DFD3426" w14:textId="77777777" w:rsidTr="00423B79">
        <w:trPr>
          <w:trHeight w:val="254"/>
        </w:trPr>
        <w:tc>
          <w:tcPr>
            <w:tcW w:w="1449" w:type="dxa"/>
            <w:shd w:val="clear" w:color="auto" w:fill="auto"/>
            <w:noWrap/>
            <w:vAlign w:val="bottom"/>
            <w:hideMark/>
          </w:tcPr>
          <w:p w14:paraId="27BCB528"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co_emission</w:t>
            </w:r>
          </w:p>
        </w:tc>
        <w:tc>
          <w:tcPr>
            <w:tcW w:w="733" w:type="dxa"/>
            <w:shd w:val="clear" w:color="auto" w:fill="auto"/>
            <w:noWrap/>
            <w:vAlign w:val="bottom"/>
            <w:hideMark/>
          </w:tcPr>
          <w:p w14:paraId="0D7E8FA2"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4B58F3FF"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2E9555AE"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3204B81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7A17604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6DD5BC1D"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3B9E9E72"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4F31434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2FEE8F53"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265B62C8" w14:textId="77777777" w:rsidTr="00423B79">
        <w:trPr>
          <w:trHeight w:val="254"/>
        </w:trPr>
        <w:tc>
          <w:tcPr>
            <w:tcW w:w="1449" w:type="dxa"/>
            <w:shd w:val="clear" w:color="auto" w:fill="auto"/>
            <w:noWrap/>
            <w:vAlign w:val="bottom"/>
            <w:hideMark/>
          </w:tcPr>
          <w:p w14:paraId="25C67D35"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4ABE273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0.022</w:t>
            </w:r>
          </w:p>
        </w:tc>
        <w:tc>
          <w:tcPr>
            <w:tcW w:w="883" w:type="dxa"/>
            <w:shd w:val="clear" w:color="auto" w:fill="auto"/>
            <w:noWrap/>
            <w:vAlign w:val="bottom"/>
            <w:hideMark/>
          </w:tcPr>
          <w:p w14:paraId="7BF2E4A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0.804</w:t>
            </w:r>
          </w:p>
        </w:tc>
        <w:tc>
          <w:tcPr>
            <w:tcW w:w="849" w:type="dxa"/>
            <w:shd w:val="clear" w:color="auto" w:fill="auto"/>
            <w:noWrap/>
            <w:vAlign w:val="bottom"/>
            <w:hideMark/>
          </w:tcPr>
          <w:p w14:paraId="303A068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0.013</w:t>
            </w:r>
          </w:p>
        </w:tc>
        <w:tc>
          <w:tcPr>
            <w:tcW w:w="790" w:type="dxa"/>
            <w:shd w:val="clear" w:color="auto" w:fill="auto"/>
            <w:noWrap/>
            <w:vAlign w:val="bottom"/>
            <w:hideMark/>
          </w:tcPr>
          <w:p w14:paraId="3D191D4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-0.923</w:t>
            </w:r>
          </w:p>
        </w:tc>
        <w:tc>
          <w:tcPr>
            <w:tcW w:w="785" w:type="dxa"/>
            <w:shd w:val="clear" w:color="auto" w:fill="auto"/>
            <w:noWrap/>
            <w:vAlign w:val="bottom"/>
            <w:hideMark/>
          </w:tcPr>
          <w:p w14:paraId="0784AAB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0.76</w:t>
            </w:r>
          </w:p>
        </w:tc>
        <w:tc>
          <w:tcPr>
            <w:tcW w:w="890" w:type="dxa"/>
            <w:shd w:val="clear" w:color="auto" w:fill="auto"/>
            <w:noWrap/>
            <w:vAlign w:val="bottom"/>
            <w:hideMark/>
          </w:tcPr>
          <w:p w14:paraId="0795453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0.019</w:t>
            </w:r>
          </w:p>
        </w:tc>
        <w:tc>
          <w:tcPr>
            <w:tcW w:w="790" w:type="dxa"/>
            <w:shd w:val="clear" w:color="auto" w:fill="auto"/>
            <w:noWrap/>
            <w:vAlign w:val="bottom"/>
            <w:hideMark/>
          </w:tcPr>
          <w:p w14:paraId="048CD43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0.331</w:t>
            </w:r>
          </w:p>
        </w:tc>
        <w:tc>
          <w:tcPr>
            <w:tcW w:w="785" w:type="dxa"/>
            <w:shd w:val="clear" w:color="auto" w:fill="auto"/>
            <w:noWrap/>
            <w:vAlign w:val="bottom"/>
            <w:hideMark/>
          </w:tcPr>
          <w:p w14:paraId="29B683F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0.044</w:t>
            </w:r>
          </w:p>
        </w:tc>
        <w:tc>
          <w:tcPr>
            <w:tcW w:w="893" w:type="dxa"/>
            <w:shd w:val="clear" w:color="auto" w:fill="auto"/>
            <w:noWrap/>
            <w:vAlign w:val="bottom"/>
            <w:hideMark/>
          </w:tcPr>
          <w:p w14:paraId="59F1A53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r>
      <w:tr w:rsidR="00423B79" w:rsidRPr="00357EE1" w14:paraId="0EF4A8A4" w14:textId="77777777" w:rsidTr="00423B79">
        <w:trPr>
          <w:trHeight w:val="254"/>
        </w:trPr>
        <w:tc>
          <w:tcPr>
            <w:tcW w:w="1449" w:type="dxa"/>
            <w:shd w:val="clear" w:color="auto" w:fill="auto"/>
            <w:noWrap/>
            <w:vAlign w:val="bottom"/>
            <w:hideMark/>
          </w:tcPr>
          <w:p w14:paraId="1AE9508D"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03C3E60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0.014</w:t>
            </w:r>
          </w:p>
        </w:tc>
        <w:tc>
          <w:tcPr>
            <w:tcW w:w="883" w:type="dxa"/>
            <w:shd w:val="clear" w:color="auto" w:fill="auto"/>
            <w:noWrap/>
            <w:vAlign w:val="bottom"/>
            <w:hideMark/>
          </w:tcPr>
          <w:p w14:paraId="0D5D366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0.849</w:t>
            </w:r>
          </w:p>
        </w:tc>
        <w:tc>
          <w:tcPr>
            <w:tcW w:w="849" w:type="dxa"/>
            <w:shd w:val="clear" w:color="auto" w:fill="auto"/>
            <w:noWrap/>
            <w:vAlign w:val="bottom"/>
            <w:hideMark/>
          </w:tcPr>
          <w:p w14:paraId="4BFBB67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0.028</w:t>
            </w:r>
          </w:p>
        </w:tc>
        <w:tc>
          <w:tcPr>
            <w:tcW w:w="790" w:type="dxa"/>
            <w:shd w:val="clear" w:color="auto" w:fill="auto"/>
            <w:noWrap/>
            <w:vAlign w:val="bottom"/>
            <w:hideMark/>
          </w:tcPr>
          <w:p w14:paraId="12932EC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1.649</w:t>
            </w:r>
          </w:p>
        </w:tc>
        <w:tc>
          <w:tcPr>
            <w:tcW w:w="785" w:type="dxa"/>
            <w:shd w:val="clear" w:color="auto" w:fill="auto"/>
            <w:noWrap/>
            <w:vAlign w:val="bottom"/>
            <w:hideMark/>
          </w:tcPr>
          <w:p w14:paraId="33752E7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0.761</w:t>
            </w:r>
          </w:p>
        </w:tc>
        <w:tc>
          <w:tcPr>
            <w:tcW w:w="890" w:type="dxa"/>
            <w:shd w:val="clear" w:color="auto" w:fill="auto"/>
            <w:noWrap/>
            <w:vAlign w:val="bottom"/>
            <w:hideMark/>
          </w:tcPr>
          <w:p w14:paraId="3184D70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0.039</w:t>
            </w:r>
          </w:p>
        </w:tc>
        <w:tc>
          <w:tcPr>
            <w:tcW w:w="790" w:type="dxa"/>
            <w:shd w:val="clear" w:color="auto" w:fill="auto"/>
            <w:noWrap/>
            <w:vAlign w:val="bottom"/>
            <w:hideMark/>
          </w:tcPr>
          <w:p w14:paraId="503A508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-0.837</w:t>
            </w:r>
          </w:p>
        </w:tc>
        <w:tc>
          <w:tcPr>
            <w:tcW w:w="785" w:type="dxa"/>
            <w:shd w:val="clear" w:color="auto" w:fill="auto"/>
            <w:noWrap/>
            <w:vAlign w:val="bottom"/>
            <w:hideMark/>
          </w:tcPr>
          <w:p w14:paraId="682F55B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0.088</w:t>
            </w:r>
          </w:p>
        </w:tc>
        <w:tc>
          <w:tcPr>
            <w:tcW w:w="893" w:type="dxa"/>
            <w:shd w:val="clear" w:color="auto" w:fill="auto"/>
            <w:noWrap/>
            <w:vAlign w:val="bottom"/>
            <w:hideMark/>
          </w:tcPr>
          <w:p w14:paraId="7AF7C95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w:t>
            </w:r>
          </w:p>
        </w:tc>
      </w:tr>
      <w:tr w:rsidR="00423B79" w:rsidRPr="00357EE1" w14:paraId="07B9C4A0" w14:textId="77777777" w:rsidTr="00423B79">
        <w:trPr>
          <w:trHeight w:val="254"/>
        </w:trPr>
        <w:tc>
          <w:tcPr>
            <w:tcW w:w="1449" w:type="dxa"/>
            <w:shd w:val="clear" w:color="auto" w:fill="auto"/>
            <w:noWrap/>
            <w:vAlign w:val="bottom"/>
            <w:hideMark/>
          </w:tcPr>
          <w:p w14:paraId="5AF6435D"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348331E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0.009</w:t>
            </w:r>
          </w:p>
        </w:tc>
        <w:tc>
          <w:tcPr>
            <w:tcW w:w="883" w:type="dxa"/>
            <w:shd w:val="clear" w:color="auto" w:fill="auto"/>
            <w:noWrap/>
            <w:vAlign w:val="bottom"/>
            <w:hideMark/>
          </w:tcPr>
          <w:p w14:paraId="281F6DE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0.276</w:t>
            </w:r>
          </w:p>
        </w:tc>
        <w:tc>
          <w:tcPr>
            <w:tcW w:w="849" w:type="dxa"/>
            <w:shd w:val="clear" w:color="auto" w:fill="auto"/>
            <w:noWrap/>
            <w:vAlign w:val="bottom"/>
            <w:hideMark/>
          </w:tcPr>
          <w:p w14:paraId="58C8D73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0.005</w:t>
            </w:r>
          </w:p>
        </w:tc>
        <w:tc>
          <w:tcPr>
            <w:tcW w:w="790" w:type="dxa"/>
            <w:shd w:val="clear" w:color="auto" w:fill="auto"/>
            <w:noWrap/>
            <w:vAlign w:val="bottom"/>
            <w:hideMark/>
          </w:tcPr>
          <w:p w14:paraId="2BF63D9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-0.379</w:t>
            </w:r>
          </w:p>
        </w:tc>
        <w:tc>
          <w:tcPr>
            <w:tcW w:w="785" w:type="dxa"/>
            <w:shd w:val="clear" w:color="auto" w:fill="auto"/>
            <w:noWrap/>
            <w:vAlign w:val="bottom"/>
            <w:hideMark/>
          </w:tcPr>
          <w:p w14:paraId="20A4A79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0.146</w:t>
            </w:r>
          </w:p>
        </w:tc>
        <w:tc>
          <w:tcPr>
            <w:tcW w:w="890" w:type="dxa"/>
            <w:shd w:val="clear" w:color="auto" w:fill="auto"/>
            <w:noWrap/>
            <w:vAlign w:val="bottom"/>
            <w:hideMark/>
          </w:tcPr>
          <w:p w14:paraId="67BD088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c>
          <w:tcPr>
            <w:tcW w:w="790" w:type="dxa"/>
            <w:shd w:val="clear" w:color="auto" w:fill="auto"/>
            <w:noWrap/>
            <w:vAlign w:val="bottom"/>
            <w:hideMark/>
          </w:tcPr>
          <w:p w14:paraId="59FC9B8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0.534</w:t>
            </w:r>
          </w:p>
        </w:tc>
        <w:tc>
          <w:tcPr>
            <w:tcW w:w="785" w:type="dxa"/>
            <w:shd w:val="clear" w:color="auto" w:fill="auto"/>
            <w:noWrap/>
            <w:vAlign w:val="bottom"/>
            <w:hideMark/>
          </w:tcPr>
          <w:p w14:paraId="4AE843C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0.13</w:t>
            </w:r>
          </w:p>
        </w:tc>
        <w:tc>
          <w:tcPr>
            <w:tcW w:w="893" w:type="dxa"/>
            <w:shd w:val="clear" w:color="auto" w:fill="auto"/>
            <w:noWrap/>
            <w:vAlign w:val="bottom"/>
            <w:hideMark/>
          </w:tcPr>
          <w:p w14:paraId="4B7CA459"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r>
      <w:tr w:rsidR="00423B79" w:rsidRPr="00357EE1" w14:paraId="74F35FAA" w14:textId="77777777" w:rsidTr="00423B79">
        <w:trPr>
          <w:trHeight w:val="254"/>
        </w:trPr>
        <w:tc>
          <w:tcPr>
            <w:tcW w:w="1449" w:type="dxa"/>
            <w:shd w:val="clear" w:color="auto" w:fill="auto"/>
            <w:noWrap/>
            <w:vAlign w:val="bottom"/>
            <w:hideMark/>
          </w:tcPr>
          <w:p w14:paraId="7CB8DCE0"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forest</w:t>
            </w:r>
          </w:p>
        </w:tc>
        <w:tc>
          <w:tcPr>
            <w:tcW w:w="733" w:type="dxa"/>
            <w:shd w:val="clear" w:color="auto" w:fill="auto"/>
            <w:noWrap/>
            <w:vAlign w:val="bottom"/>
            <w:hideMark/>
          </w:tcPr>
          <w:p w14:paraId="5AFE8AC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p>
        </w:tc>
        <w:tc>
          <w:tcPr>
            <w:tcW w:w="883" w:type="dxa"/>
            <w:shd w:val="clear" w:color="auto" w:fill="auto"/>
            <w:noWrap/>
            <w:vAlign w:val="bottom"/>
            <w:hideMark/>
          </w:tcPr>
          <w:p w14:paraId="721E51C0"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49" w:type="dxa"/>
            <w:shd w:val="clear" w:color="auto" w:fill="auto"/>
            <w:noWrap/>
            <w:vAlign w:val="bottom"/>
            <w:hideMark/>
          </w:tcPr>
          <w:p w14:paraId="103316B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12FADD39"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3D05816A"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0" w:type="dxa"/>
            <w:shd w:val="clear" w:color="auto" w:fill="auto"/>
            <w:noWrap/>
            <w:vAlign w:val="bottom"/>
            <w:hideMark/>
          </w:tcPr>
          <w:p w14:paraId="174291B5"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90" w:type="dxa"/>
            <w:shd w:val="clear" w:color="auto" w:fill="auto"/>
            <w:noWrap/>
            <w:vAlign w:val="bottom"/>
            <w:hideMark/>
          </w:tcPr>
          <w:p w14:paraId="6FDC8A31"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785" w:type="dxa"/>
            <w:shd w:val="clear" w:color="auto" w:fill="auto"/>
            <w:noWrap/>
            <w:vAlign w:val="bottom"/>
            <w:hideMark/>
          </w:tcPr>
          <w:p w14:paraId="7AAE77E7"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c>
          <w:tcPr>
            <w:tcW w:w="893" w:type="dxa"/>
            <w:shd w:val="clear" w:color="auto" w:fill="auto"/>
            <w:noWrap/>
            <w:vAlign w:val="bottom"/>
            <w:hideMark/>
          </w:tcPr>
          <w:p w14:paraId="123ACDBC" w14:textId="77777777" w:rsidR="0056758C" w:rsidRPr="00357EE1" w:rsidRDefault="0056758C" w:rsidP="009A4AEC">
            <w:pPr>
              <w:spacing w:after="0" w:line="240" w:lineRule="auto"/>
              <w:rPr>
                <w:rFonts w:ascii="Times New Roman" w:eastAsia="Times New Roman" w:hAnsi="Times New Roman" w:cs="Times New Roman"/>
                <w:sz w:val="20"/>
                <w:szCs w:val="20"/>
                <w:lang w:eastAsia="en-GB"/>
              </w:rPr>
            </w:pPr>
          </w:p>
        </w:tc>
      </w:tr>
      <w:tr w:rsidR="00423B79" w:rsidRPr="00357EE1" w14:paraId="0FA1F3AF" w14:textId="77777777" w:rsidTr="00423B79">
        <w:trPr>
          <w:trHeight w:val="254"/>
        </w:trPr>
        <w:tc>
          <w:tcPr>
            <w:tcW w:w="1449" w:type="dxa"/>
            <w:shd w:val="clear" w:color="auto" w:fill="auto"/>
            <w:noWrap/>
            <w:vAlign w:val="bottom"/>
            <w:hideMark/>
          </w:tcPr>
          <w:p w14:paraId="37A9E9B4"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HIGH</w:t>
            </w:r>
          </w:p>
        </w:tc>
        <w:tc>
          <w:tcPr>
            <w:tcW w:w="733" w:type="dxa"/>
            <w:shd w:val="clear" w:color="auto" w:fill="auto"/>
            <w:noWrap/>
            <w:vAlign w:val="bottom"/>
            <w:hideMark/>
          </w:tcPr>
          <w:p w14:paraId="0C777C6E"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w:t>
            </w:r>
          </w:p>
        </w:tc>
        <w:tc>
          <w:tcPr>
            <w:tcW w:w="883" w:type="dxa"/>
            <w:shd w:val="clear" w:color="auto" w:fill="auto"/>
            <w:noWrap/>
            <w:vAlign w:val="bottom"/>
            <w:hideMark/>
          </w:tcPr>
          <w:p w14:paraId="5EED39D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0.182</w:t>
            </w:r>
          </w:p>
        </w:tc>
        <w:tc>
          <w:tcPr>
            <w:tcW w:w="849" w:type="dxa"/>
            <w:shd w:val="clear" w:color="auto" w:fill="auto"/>
            <w:noWrap/>
            <w:vAlign w:val="bottom"/>
            <w:hideMark/>
          </w:tcPr>
          <w:p w14:paraId="4DD1AC1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0.002</w:t>
            </w:r>
          </w:p>
        </w:tc>
        <w:tc>
          <w:tcPr>
            <w:tcW w:w="790" w:type="dxa"/>
            <w:shd w:val="clear" w:color="auto" w:fill="auto"/>
            <w:noWrap/>
            <w:vAlign w:val="bottom"/>
            <w:hideMark/>
          </w:tcPr>
          <w:p w14:paraId="7FC3381B"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-0.039</w:t>
            </w:r>
          </w:p>
        </w:tc>
        <w:tc>
          <w:tcPr>
            <w:tcW w:w="785" w:type="dxa"/>
            <w:shd w:val="clear" w:color="auto" w:fill="auto"/>
            <w:noWrap/>
            <w:vAlign w:val="bottom"/>
            <w:hideMark/>
          </w:tcPr>
          <w:p w14:paraId="7F4C508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0.015</w:t>
            </w:r>
          </w:p>
        </w:tc>
        <w:tc>
          <w:tcPr>
            <w:tcW w:w="890" w:type="dxa"/>
            <w:shd w:val="clear" w:color="auto" w:fill="auto"/>
            <w:noWrap/>
            <w:vAlign w:val="bottom"/>
            <w:hideMark/>
          </w:tcPr>
          <w:p w14:paraId="2DBA3A7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790" w:type="dxa"/>
            <w:shd w:val="clear" w:color="auto" w:fill="auto"/>
            <w:noWrap/>
            <w:vAlign w:val="bottom"/>
            <w:hideMark/>
          </w:tcPr>
          <w:p w14:paraId="5C619E9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-0.194</w:t>
            </w:r>
          </w:p>
        </w:tc>
        <w:tc>
          <w:tcPr>
            <w:tcW w:w="785" w:type="dxa"/>
            <w:shd w:val="clear" w:color="auto" w:fill="auto"/>
            <w:noWrap/>
            <w:vAlign w:val="bottom"/>
            <w:hideMark/>
          </w:tcPr>
          <w:p w14:paraId="280E5CB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0.167</w:t>
            </w:r>
          </w:p>
        </w:tc>
        <w:tc>
          <w:tcPr>
            <w:tcW w:w="893" w:type="dxa"/>
            <w:shd w:val="clear" w:color="auto" w:fill="auto"/>
            <w:noWrap/>
            <w:vAlign w:val="bottom"/>
            <w:hideMark/>
          </w:tcPr>
          <w:p w14:paraId="4A07284D"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r>
      <w:tr w:rsidR="00423B79" w:rsidRPr="00357EE1" w14:paraId="345E70FB" w14:textId="77777777" w:rsidTr="00423B79">
        <w:trPr>
          <w:trHeight w:val="254"/>
        </w:trPr>
        <w:tc>
          <w:tcPr>
            <w:tcW w:w="1449" w:type="dxa"/>
            <w:shd w:val="clear" w:color="auto" w:fill="auto"/>
            <w:noWrap/>
            <w:vAlign w:val="bottom"/>
            <w:hideMark/>
          </w:tcPr>
          <w:p w14:paraId="530E2EA7"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LOW</w:t>
            </w:r>
          </w:p>
        </w:tc>
        <w:tc>
          <w:tcPr>
            <w:tcW w:w="733" w:type="dxa"/>
            <w:shd w:val="clear" w:color="auto" w:fill="auto"/>
            <w:noWrap/>
            <w:vAlign w:val="bottom"/>
            <w:hideMark/>
          </w:tcPr>
          <w:p w14:paraId="6220B1B4"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0.004</w:t>
            </w:r>
          </w:p>
        </w:tc>
        <w:tc>
          <w:tcPr>
            <w:tcW w:w="883" w:type="dxa"/>
            <w:shd w:val="clear" w:color="auto" w:fill="auto"/>
            <w:noWrap/>
            <w:vAlign w:val="bottom"/>
            <w:hideMark/>
          </w:tcPr>
          <w:p w14:paraId="1B4E3BF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0.007</w:t>
            </w:r>
          </w:p>
        </w:tc>
        <w:tc>
          <w:tcPr>
            <w:tcW w:w="849" w:type="dxa"/>
            <w:shd w:val="clear" w:color="auto" w:fill="auto"/>
            <w:noWrap/>
            <w:vAlign w:val="bottom"/>
            <w:hideMark/>
          </w:tcPr>
          <w:p w14:paraId="235ED94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790" w:type="dxa"/>
            <w:shd w:val="clear" w:color="auto" w:fill="auto"/>
            <w:noWrap/>
            <w:vAlign w:val="bottom"/>
            <w:hideMark/>
          </w:tcPr>
          <w:p w14:paraId="08C175BF"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-0.051</w:t>
            </w:r>
          </w:p>
        </w:tc>
        <w:tc>
          <w:tcPr>
            <w:tcW w:w="785" w:type="dxa"/>
            <w:shd w:val="clear" w:color="auto" w:fill="auto"/>
            <w:noWrap/>
            <w:vAlign w:val="bottom"/>
            <w:hideMark/>
          </w:tcPr>
          <w:p w14:paraId="00CEDFC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0.001</w:t>
            </w:r>
          </w:p>
        </w:tc>
        <w:tc>
          <w:tcPr>
            <w:tcW w:w="890" w:type="dxa"/>
            <w:shd w:val="clear" w:color="auto" w:fill="auto"/>
            <w:noWrap/>
            <w:vAlign w:val="bottom"/>
            <w:hideMark/>
          </w:tcPr>
          <w:p w14:paraId="1B6BA266"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790" w:type="dxa"/>
            <w:shd w:val="clear" w:color="auto" w:fill="auto"/>
            <w:noWrap/>
            <w:vAlign w:val="bottom"/>
            <w:hideMark/>
          </w:tcPr>
          <w:p w14:paraId="0B41D30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-0.198</w:t>
            </w:r>
          </w:p>
        </w:tc>
        <w:tc>
          <w:tcPr>
            <w:tcW w:w="785" w:type="dxa"/>
            <w:shd w:val="clear" w:color="auto" w:fill="auto"/>
            <w:noWrap/>
            <w:vAlign w:val="bottom"/>
            <w:hideMark/>
          </w:tcPr>
          <w:p w14:paraId="7748E2A8"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0.006</w:t>
            </w:r>
          </w:p>
        </w:tc>
        <w:tc>
          <w:tcPr>
            <w:tcW w:w="893" w:type="dxa"/>
            <w:shd w:val="clear" w:color="auto" w:fill="auto"/>
            <w:noWrap/>
            <w:vAlign w:val="bottom"/>
            <w:hideMark/>
          </w:tcPr>
          <w:p w14:paraId="422C30F1"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r>
      <w:tr w:rsidR="00423B79" w:rsidRPr="00357EE1" w14:paraId="56A6997D" w14:textId="77777777" w:rsidTr="00423B79">
        <w:trPr>
          <w:trHeight w:val="254"/>
        </w:trPr>
        <w:tc>
          <w:tcPr>
            <w:tcW w:w="1449" w:type="dxa"/>
            <w:shd w:val="clear" w:color="auto" w:fill="auto"/>
            <w:noWrap/>
            <w:vAlign w:val="bottom"/>
            <w:hideMark/>
          </w:tcPr>
          <w:p w14:paraId="26212873" w14:textId="77777777" w:rsidR="0056758C" w:rsidRPr="00357EE1" w:rsidRDefault="0056758C" w:rsidP="009A4AEC">
            <w:pPr>
              <w:spacing w:after="0" w:line="240" w:lineRule="auto"/>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MID</w:t>
            </w:r>
          </w:p>
        </w:tc>
        <w:tc>
          <w:tcPr>
            <w:tcW w:w="733" w:type="dxa"/>
            <w:shd w:val="clear" w:color="auto" w:fill="auto"/>
            <w:noWrap/>
            <w:vAlign w:val="bottom"/>
            <w:hideMark/>
          </w:tcPr>
          <w:p w14:paraId="6119806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0.012</w:t>
            </w:r>
          </w:p>
        </w:tc>
        <w:tc>
          <w:tcPr>
            <w:tcW w:w="883" w:type="dxa"/>
            <w:shd w:val="clear" w:color="auto" w:fill="auto"/>
            <w:noWrap/>
            <w:vAlign w:val="bottom"/>
            <w:hideMark/>
          </w:tcPr>
          <w:p w14:paraId="2A5F7A8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0.314</w:t>
            </w:r>
          </w:p>
        </w:tc>
        <w:tc>
          <w:tcPr>
            <w:tcW w:w="849" w:type="dxa"/>
            <w:shd w:val="clear" w:color="auto" w:fill="auto"/>
            <w:noWrap/>
            <w:vAlign w:val="bottom"/>
            <w:hideMark/>
          </w:tcPr>
          <w:p w14:paraId="2BEBA292"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0.003</w:t>
            </w:r>
          </w:p>
        </w:tc>
        <w:tc>
          <w:tcPr>
            <w:tcW w:w="790" w:type="dxa"/>
            <w:shd w:val="clear" w:color="auto" w:fill="auto"/>
            <w:noWrap/>
            <w:vAlign w:val="bottom"/>
            <w:hideMark/>
          </w:tcPr>
          <w:p w14:paraId="09C8909C"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0.112</w:t>
            </w:r>
          </w:p>
        </w:tc>
        <w:tc>
          <w:tcPr>
            <w:tcW w:w="785" w:type="dxa"/>
            <w:shd w:val="clear" w:color="auto" w:fill="auto"/>
            <w:noWrap/>
            <w:vAlign w:val="bottom"/>
            <w:hideMark/>
          </w:tcPr>
          <w:p w14:paraId="6E6074C7"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0.027</w:t>
            </w:r>
          </w:p>
        </w:tc>
        <w:tc>
          <w:tcPr>
            <w:tcW w:w="890" w:type="dxa"/>
            <w:shd w:val="clear" w:color="auto" w:fill="auto"/>
            <w:noWrap/>
            <w:vAlign w:val="bottom"/>
            <w:hideMark/>
          </w:tcPr>
          <w:p w14:paraId="056CFAC5"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w:t>
            </w:r>
          </w:p>
        </w:tc>
        <w:tc>
          <w:tcPr>
            <w:tcW w:w="790" w:type="dxa"/>
            <w:shd w:val="clear" w:color="auto" w:fill="auto"/>
            <w:noWrap/>
            <w:vAlign w:val="bottom"/>
            <w:hideMark/>
          </w:tcPr>
          <w:p w14:paraId="40DD1070"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0.541</w:t>
            </w:r>
          </w:p>
        </w:tc>
        <w:tc>
          <w:tcPr>
            <w:tcW w:w="785" w:type="dxa"/>
            <w:shd w:val="clear" w:color="auto" w:fill="auto"/>
            <w:noWrap/>
            <w:vAlign w:val="bottom"/>
            <w:hideMark/>
          </w:tcPr>
          <w:p w14:paraId="7BCC6D5A"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0.287</w:t>
            </w:r>
          </w:p>
        </w:tc>
        <w:tc>
          <w:tcPr>
            <w:tcW w:w="893" w:type="dxa"/>
            <w:shd w:val="clear" w:color="auto" w:fill="auto"/>
            <w:noWrap/>
            <w:vAlign w:val="bottom"/>
            <w:hideMark/>
          </w:tcPr>
          <w:p w14:paraId="6C8C1FA3" w14:textId="77777777" w:rsidR="0056758C" w:rsidRPr="00357EE1" w:rsidRDefault="0056758C" w:rsidP="009A4AEC">
            <w:pPr>
              <w:spacing w:after="0" w:line="240" w:lineRule="auto"/>
              <w:jc w:val="right"/>
              <w:rPr>
                <w:rFonts w:ascii="Calibri" w:eastAsia="Times New Roman" w:hAnsi="Calibri" w:cs="Calibri"/>
                <w:color w:val="000000"/>
                <w:sz w:val="20"/>
                <w:szCs w:val="20"/>
                <w:lang w:eastAsia="en-GB"/>
              </w:rPr>
            </w:pPr>
            <w:r w:rsidRPr="00357EE1">
              <w:rPr>
                <w:rFonts w:ascii="Calibri" w:eastAsia="Times New Roman" w:hAnsi="Calibri" w:cs="Calibri"/>
                <w:color w:val="000000"/>
                <w:sz w:val="20"/>
                <w:szCs w:val="20"/>
                <w:lang w:eastAsia="en-GB"/>
              </w:rPr>
              <w:t>0.004</w:t>
            </w:r>
          </w:p>
        </w:tc>
      </w:tr>
    </w:tbl>
    <w:p w14:paraId="2A1B0899" w14:textId="77777777" w:rsidR="0015413B" w:rsidRPr="00D014C7" w:rsidRDefault="0015413B" w:rsidP="00D67DD5">
      <w:pPr>
        <w:spacing w:line="240" w:lineRule="auto"/>
        <w:jc w:val="both"/>
        <w:rPr>
          <w:rFonts w:ascii="Times New Roman" w:hAnsi="Times New Roman" w:cs="Times New Roman"/>
          <w:sz w:val="24"/>
          <w:szCs w:val="24"/>
        </w:rPr>
      </w:pPr>
    </w:p>
    <w:p w14:paraId="1140A82C" w14:textId="5C3614F7" w:rsidR="0015413B" w:rsidRDefault="005407FA" w:rsidP="00766385">
      <w:pPr>
        <w:spacing w:line="240" w:lineRule="auto"/>
        <w:ind w:firstLine="851"/>
        <w:jc w:val="both"/>
        <w:rPr>
          <w:rFonts w:ascii="Times New Roman" w:hAnsi="Times New Roman" w:cs="Times New Roman"/>
          <w:sz w:val="24"/>
          <w:szCs w:val="24"/>
        </w:rPr>
      </w:pPr>
      <w:r w:rsidRPr="005407FA">
        <w:rPr>
          <w:rFonts w:ascii="Times New Roman" w:hAnsi="Times New Roman" w:cs="Times New Roman"/>
          <w:sz w:val="24"/>
          <w:szCs w:val="24"/>
        </w:rPr>
        <w:t>D</w:t>
      </w:r>
      <w:r w:rsidR="0015413B" w:rsidRPr="005407FA">
        <w:rPr>
          <w:rFonts w:ascii="Times New Roman" w:hAnsi="Times New Roman" w:cs="Times New Roman"/>
          <w:sz w:val="24"/>
          <w:szCs w:val="24"/>
        </w:rPr>
        <w:t xml:space="preserve">ifferent categories of HDI contribute to </w:t>
      </w:r>
      <w:r w:rsidRPr="005407FA">
        <w:rPr>
          <w:rFonts w:ascii="Times New Roman" w:hAnsi="Times New Roman" w:cs="Times New Roman"/>
          <w:sz w:val="24"/>
          <w:szCs w:val="24"/>
        </w:rPr>
        <w:t>more than</w:t>
      </w:r>
      <w:r w:rsidR="0015413B" w:rsidRPr="005407FA">
        <w:rPr>
          <w:rFonts w:ascii="Times New Roman" w:hAnsi="Times New Roman" w:cs="Times New Roman"/>
          <w:sz w:val="24"/>
          <w:szCs w:val="24"/>
        </w:rPr>
        <w:t xml:space="preserve"> 8 percent of all inertia by themselves</w:t>
      </w:r>
      <w:r w:rsidRPr="005407FA">
        <w:rPr>
          <w:rFonts w:ascii="Times New Roman" w:hAnsi="Times New Roman" w:cs="Times New Roman"/>
          <w:sz w:val="24"/>
          <w:szCs w:val="24"/>
        </w:rPr>
        <w:t>.</w:t>
      </w:r>
      <w:r w:rsidR="0015413B" w:rsidRPr="005407FA">
        <w:rPr>
          <w:rFonts w:ascii="Times New Roman" w:hAnsi="Times New Roman" w:cs="Times New Roman"/>
          <w:sz w:val="24"/>
          <w:szCs w:val="24"/>
        </w:rPr>
        <w:t xml:space="preserve"> </w:t>
      </w:r>
      <w:r w:rsidRPr="005407FA">
        <w:rPr>
          <w:rFonts w:ascii="Times New Roman" w:hAnsi="Times New Roman" w:cs="Times New Roman"/>
          <w:sz w:val="24"/>
          <w:szCs w:val="24"/>
        </w:rPr>
        <w:t>Apart from the HDI levels, Maternal Mortality Ratio</w:t>
      </w:r>
      <w:r>
        <w:rPr>
          <w:rFonts w:ascii="Times New Roman" w:hAnsi="Times New Roman" w:cs="Times New Roman"/>
          <w:sz w:val="24"/>
          <w:szCs w:val="24"/>
        </w:rPr>
        <w:t xml:space="preserve">, </w:t>
      </w:r>
      <w:r w:rsidRPr="005407FA">
        <w:rPr>
          <w:rFonts w:ascii="Times New Roman" w:hAnsi="Times New Roman" w:cs="Times New Roman"/>
          <w:sz w:val="24"/>
          <w:szCs w:val="24"/>
        </w:rPr>
        <w:t>Adolescent Birth Rate</w:t>
      </w:r>
      <w:r>
        <w:rPr>
          <w:rFonts w:ascii="Times New Roman" w:hAnsi="Times New Roman" w:cs="Times New Roman"/>
          <w:sz w:val="24"/>
          <w:szCs w:val="24"/>
        </w:rPr>
        <w:t xml:space="preserve">, </w:t>
      </w:r>
      <w:r w:rsidRPr="005407FA">
        <w:rPr>
          <w:rFonts w:ascii="Times New Roman" w:hAnsi="Times New Roman" w:cs="Times New Roman"/>
          <w:sz w:val="24"/>
          <w:szCs w:val="24"/>
        </w:rPr>
        <w:t>Infant Mortality Rate</w:t>
      </w:r>
      <w:r>
        <w:rPr>
          <w:rFonts w:ascii="Times New Roman" w:hAnsi="Times New Roman" w:cs="Times New Roman"/>
          <w:sz w:val="24"/>
          <w:szCs w:val="24"/>
        </w:rPr>
        <w:t>, e</w:t>
      </w:r>
      <w:r w:rsidRPr="005407FA">
        <w:rPr>
          <w:rFonts w:ascii="Times New Roman" w:hAnsi="Times New Roman" w:cs="Times New Roman"/>
          <w:sz w:val="24"/>
          <w:szCs w:val="24"/>
        </w:rPr>
        <w:t>mployment in agriculture</w:t>
      </w:r>
      <w:r>
        <w:rPr>
          <w:rFonts w:ascii="Times New Roman" w:hAnsi="Times New Roman" w:cs="Times New Roman"/>
          <w:sz w:val="24"/>
          <w:szCs w:val="24"/>
        </w:rPr>
        <w:t>, e</w:t>
      </w:r>
      <w:r w:rsidRPr="005407FA">
        <w:rPr>
          <w:rFonts w:ascii="Times New Roman" w:hAnsi="Times New Roman" w:cs="Times New Roman"/>
          <w:sz w:val="24"/>
          <w:szCs w:val="24"/>
        </w:rPr>
        <w:t xml:space="preserve">mployment in </w:t>
      </w:r>
      <w:r>
        <w:rPr>
          <w:rFonts w:ascii="Times New Roman" w:hAnsi="Times New Roman" w:cs="Times New Roman"/>
          <w:sz w:val="24"/>
          <w:szCs w:val="24"/>
        </w:rPr>
        <w:t>services, y</w:t>
      </w:r>
      <w:r w:rsidRPr="005407FA">
        <w:rPr>
          <w:rFonts w:ascii="Times New Roman" w:hAnsi="Times New Roman" w:cs="Times New Roman"/>
          <w:sz w:val="24"/>
          <w:szCs w:val="24"/>
        </w:rPr>
        <w:t>outh unemployment</w:t>
      </w:r>
      <w:r>
        <w:rPr>
          <w:rFonts w:ascii="Times New Roman" w:hAnsi="Times New Roman" w:cs="Times New Roman"/>
          <w:sz w:val="24"/>
          <w:szCs w:val="24"/>
        </w:rPr>
        <w:t xml:space="preserve">, </w:t>
      </w:r>
      <w:r>
        <w:rPr>
          <w:rFonts w:ascii="Times New Roman" w:hAnsi="Times New Roman" w:cs="Times New Roman"/>
          <w:sz w:val="24"/>
          <w:szCs w:val="24"/>
        </w:rPr>
        <w:lastRenderedPageBreak/>
        <w:t>y</w:t>
      </w:r>
      <w:r w:rsidRPr="005407FA">
        <w:rPr>
          <w:rFonts w:ascii="Times New Roman" w:hAnsi="Times New Roman" w:cs="Times New Roman"/>
          <w:sz w:val="24"/>
          <w:szCs w:val="24"/>
        </w:rPr>
        <w:t>outh not in school or employment</w:t>
      </w:r>
      <w:r w:rsidR="00F90EF3">
        <w:rPr>
          <w:rFonts w:ascii="Times New Roman" w:hAnsi="Times New Roman" w:cs="Times New Roman"/>
          <w:sz w:val="24"/>
          <w:szCs w:val="24"/>
        </w:rPr>
        <w:t xml:space="preserve"> and f</w:t>
      </w:r>
      <w:r w:rsidRPr="005407FA">
        <w:rPr>
          <w:rFonts w:ascii="Times New Roman" w:hAnsi="Times New Roman" w:cs="Times New Roman"/>
          <w:sz w:val="24"/>
          <w:szCs w:val="24"/>
        </w:rPr>
        <w:t xml:space="preserve">ossil fuel energy consumption </w:t>
      </w:r>
      <w:r w:rsidR="00F90EF3">
        <w:rPr>
          <w:rFonts w:ascii="Times New Roman" w:hAnsi="Times New Roman" w:cs="Times New Roman"/>
          <w:sz w:val="24"/>
          <w:szCs w:val="24"/>
        </w:rPr>
        <w:t xml:space="preserve">as percentage of total energy consumption </w:t>
      </w:r>
      <w:r>
        <w:rPr>
          <w:rFonts w:ascii="Times New Roman" w:hAnsi="Times New Roman" w:cs="Times New Roman"/>
          <w:sz w:val="24"/>
          <w:szCs w:val="24"/>
        </w:rPr>
        <w:t xml:space="preserve">are also very prominent in terms of their contribution. </w:t>
      </w:r>
    </w:p>
    <w:p w14:paraId="0D37ADDB" w14:textId="6C623626" w:rsidR="00357EE1" w:rsidRPr="0046268B" w:rsidRDefault="00357EE1" w:rsidP="00357EE1">
      <w:pPr>
        <w:keepNext/>
        <w:jc w:val="center"/>
        <w:rPr>
          <w:rFonts w:ascii="Times New Roman" w:hAnsi="Times New Roman" w:cs="Times New Roman"/>
          <w:b/>
          <w:bCs/>
          <w:sz w:val="24"/>
          <w:szCs w:val="24"/>
        </w:rPr>
      </w:pPr>
      <w:r w:rsidRPr="0046268B">
        <w:rPr>
          <w:rFonts w:ascii="Times New Roman" w:hAnsi="Times New Roman" w:cs="Times New Roman"/>
          <w:b/>
          <w:bCs/>
          <w:sz w:val="24"/>
          <w:szCs w:val="24"/>
        </w:rPr>
        <w:t>Figure 1. Graphical illustration of categories</w:t>
      </w:r>
    </w:p>
    <w:p w14:paraId="3EA7F5E6" w14:textId="4C1CFD0E" w:rsidR="0015413B" w:rsidRPr="00D014C7" w:rsidRDefault="00423B79" w:rsidP="00357EE1">
      <w:pPr>
        <w:keepNext/>
        <w:spacing w:line="240" w:lineRule="auto"/>
        <w:jc w:val="center"/>
        <w:rPr>
          <w:rFonts w:ascii="Times New Roman" w:hAnsi="Times New Roman" w:cs="Times New Roman"/>
          <w:sz w:val="24"/>
          <w:szCs w:val="24"/>
        </w:rPr>
      </w:pPr>
      <w:r>
        <w:rPr>
          <w:noProof/>
        </w:rPr>
        <w:drawing>
          <wp:inline distT="0" distB="0" distL="0" distR="0" wp14:anchorId="0F24E658" wp14:editId="04C4B90F">
            <wp:extent cx="3185160" cy="5796597"/>
            <wp:effectExtent l="0" t="0" r="0" b="0"/>
            <wp:docPr id="4" name="Picture 1" descr="Graphical user interface, application&#10;&#10;Description automatically generated">
              <a:extLst xmlns:a="http://schemas.openxmlformats.org/drawingml/2006/main">
                <a:ext uri="{FF2B5EF4-FFF2-40B4-BE49-F238E27FC236}">
                  <a16:creationId xmlns:a16="http://schemas.microsoft.com/office/drawing/2014/main" id="{D4D37E2D-7B64-48B5-B926-D871F61901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Graphical user interface, application&#10;&#10;Description automatically generated">
                      <a:extLst>
                        <a:ext uri="{FF2B5EF4-FFF2-40B4-BE49-F238E27FC236}">
                          <a16:creationId xmlns:a16="http://schemas.microsoft.com/office/drawing/2014/main" id="{D4D37E2D-7B64-48B5-B926-D871F619014A}"/>
                        </a:ext>
                      </a:extLst>
                    </pic:cNvPr>
                    <pic:cNvPicPr>
                      <a:picLocks noChangeAspect="1"/>
                    </pic:cNvPicPr>
                  </pic:nvPicPr>
                  <pic:blipFill>
                    <a:blip r:embed="rId10"/>
                    <a:stretch>
                      <a:fillRect/>
                    </a:stretch>
                  </pic:blipFill>
                  <pic:spPr>
                    <a:xfrm>
                      <a:off x="0" y="0"/>
                      <a:ext cx="3186273" cy="5798622"/>
                    </a:xfrm>
                    <a:prstGeom prst="rect">
                      <a:avLst/>
                    </a:prstGeom>
                  </pic:spPr>
                </pic:pic>
              </a:graphicData>
            </a:graphic>
          </wp:inline>
        </w:drawing>
      </w:r>
    </w:p>
    <w:p w14:paraId="37B95F6E" w14:textId="7BE03269" w:rsidR="0015413B" w:rsidRPr="005407FA" w:rsidRDefault="0015413B" w:rsidP="00766385">
      <w:pPr>
        <w:spacing w:line="240" w:lineRule="auto"/>
        <w:ind w:firstLine="851"/>
        <w:rPr>
          <w:rFonts w:ascii="Times New Roman" w:hAnsi="Times New Roman" w:cs="Times New Roman"/>
          <w:sz w:val="24"/>
          <w:szCs w:val="24"/>
          <w:highlight w:val="yellow"/>
        </w:rPr>
      </w:pPr>
      <w:r w:rsidRPr="008D7DFB">
        <w:rPr>
          <w:rFonts w:ascii="Times New Roman" w:hAnsi="Times New Roman" w:cs="Times New Roman"/>
          <w:sz w:val="24"/>
          <w:szCs w:val="24"/>
        </w:rPr>
        <w:t>The graphical interpretation of the multiple correspondence analysis plot is made by the proximity of levels of different categories. The Figure</w:t>
      </w:r>
      <w:r w:rsidR="00D82FA3" w:rsidRPr="008D7DFB">
        <w:rPr>
          <w:rFonts w:ascii="Times New Roman" w:hAnsi="Times New Roman" w:cs="Times New Roman"/>
          <w:sz w:val="24"/>
          <w:szCs w:val="24"/>
        </w:rPr>
        <w:t xml:space="preserve"> 1</w:t>
      </w:r>
      <w:r w:rsidRPr="008D7DFB">
        <w:rPr>
          <w:rFonts w:ascii="Times New Roman" w:hAnsi="Times New Roman" w:cs="Times New Roman"/>
          <w:sz w:val="24"/>
          <w:szCs w:val="24"/>
        </w:rPr>
        <w:t xml:space="preserve"> above shows that medium and high values of most categories are clustered around each other. </w:t>
      </w:r>
      <w:r w:rsidR="00B56612" w:rsidRPr="008D7DFB">
        <w:rPr>
          <w:rFonts w:ascii="Times New Roman" w:hAnsi="Times New Roman" w:cs="Times New Roman"/>
          <w:sz w:val="24"/>
          <w:szCs w:val="24"/>
        </w:rPr>
        <w:t>High and medium values of variables are generally clustered around the centre while low values are far from centre which indicates</w:t>
      </w:r>
      <w:r w:rsidR="008D7DFB" w:rsidRPr="008D7DFB">
        <w:rPr>
          <w:rFonts w:ascii="Times New Roman" w:hAnsi="Times New Roman" w:cs="Times New Roman"/>
          <w:sz w:val="24"/>
          <w:szCs w:val="24"/>
        </w:rPr>
        <w:t>,</w:t>
      </w:r>
      <w:r w:rsidR="00B56612" w:rsidRPr="008D7DFB">
        <w:rPr>
          <w:rFonts w:ascii="Times New Roman" w:hAnsi="Times New Roman" w:cs="Times New Roman"/>
          <w:sz w:val="24"/>
          <w:szCs w:val="24"/>
        </w:rPr>
        <w:t xml:space="preserve"> relatively</w:t>
      </w:r>
      <w:r w:rsidR="008D7DFB" w:rsidRPr="008D7DFB">
        <w:rPr>
          <w:rFonts w:ascii="Times New Roman" w:hAnsi="Times New Roman" w:cs="Times New Roman"/>
          <w:sz w:val="24"/>
          <w:szCs w:val="24"/>
        </w:rPr>
        <w:t xml:space="preserve">, </w:t>
      </w:r>
      <w:r w:rsidR="00B56612" w:rsidRPr="008D7DFB">
        <w:rPr>
          <w:rFonts w:ascii="Times New Roman" w:hAnsi="Times New Roman" w:cs="Times New Roman"/>
          <w:sz w:val="24"/>
          <w:szCs w:val="24"/>
        </w:rPr>
        <w:t>being on the low level of categories</w:t>
      </w:r>
      <w:r w:rsidR="0065207C">
        <w:rPr>
          <w:rFonts w:ascii="Times New Roman" w:hAnsi="Times New Roman" w:cs="Times New Roman"/>
          <w:sz w:val="24"/>
          <w:szCs w:val="24"/>
        </w:rPr>
        <w:t xml:space="preserve"> </w:t>
      </w:r>
      <w:r w:rsidR="00B56612" w:rsidRPr="008D7DFB">
        <w:rPr>
          <w:rFonts w:ascii="Times New Roman" w:hAnsi="Times New Roman" w:cs="Times New Roman"/>
          <w:sz w:val="24"/>
          <w:szCs w:val="24"/>
        </w:rPr>
        <w:t>has more distinct effect</w:t>
      </w:r>
      <w:r w:rsidR="008D7DFB" w:rsidRPr="008D7DFB">
        <w:rPr>
          <w:rFonts w:ascii="Times New Roman" w:hAnsi="Times New Roman" w:cs="Times New Roman"/>
          <w:sz w:val="24"/>
          <w:szCs w:val="24"/>
        </w:rPr>
        <w:t xml:space="preserve"> for a country</w:t>
      </w:r>
      <w:r w:rsidR="00B56612" w:rsidRPr="008D7DFB">
        <w:rPr>
          <w:rFonts w:ascii="Times New Roman" w:hAnsi="Times New Roman" w:cs="Times New Roman"/>
          <w:sz w:val="24"/>
          <w:szCs w:val="24"/>
        </w:rPr>
        <w:t xml:space="preserve"> </w:t>
      </w:r>
      <w:r w:rsidR="008D7DFB" w:rsidRPr="008D7DFB">
        <w:rPr>
          <w:rFonts w:ascii="Times New Roman" w:hAnsi="Times New Roman" w:cs="Times New Roman"/>
          <w:sz w:val="24"/>
          <w:szCs w:val="24"/>
        </w:rPr>
        <w:t>than being on medium or high level.</w:t>
      </w:r>
      <w:r w:rsidR="008D7DFB">
        <w:rPr>
          <w:rFonts w:ascii="Times New Roman" w:hAnsi="Times New Roman" w:cs="Times New Roman"/>
          <w:sz w:val="24"/>
          <w:szCs w:val="24"/>
        </w:rPr>
        <w:t xml:space="preserve"> </w:t>
      </w:r>
      <w:r w:rsidR="0065207C">
        <w:rPr>
          <w:rFonts w:ascii="Times New Roman" w:hAnsi="Times New Roman" w:cs="Times New Roman"/>
          <w:sz w:val="24"/>
          <w:szCs w:val="24"/>
        </w:rPr>
        <w:t xml:space="preserve">This is </w:t>
      </w:r>
      <w:r w:rsidR="0065207C" w:rsidRPr="008D7DFB">
        <w:rPr>
          <w:rFonts w:ascii="Times New Roman" w:hAnsi="Times New Roman" w:cs="Times New Roman"/>
          <w:sz w:val="24"/>
          <w:szCs w:val="24"/>
        </w:rPr>
        <w:t>especially</w:t>
      </w:r>
      <w:r w:rsidR="0065207C">
        <w:rPr>
          <w:rFonts w:ascii="Times New Roman" w:hAnsi="Times New Roman" w:cs="Times New Roman"/>
          <w:sz w:val="24"/>
          <w:szCs w:val="24"/>
        </w:rPr>
        <w:t xml:space="preserve"> more relevant for</w:t>
      </w:r>
      <w:r w:rsidR="0065207C" w:rsidRPr="008D7DFB">
        <w:rPr>
          <w:rFonts w:ascii="Times New Roman" w:hAnsi="Times New Roman" w:cs="Times New Roman"/>
          <w:sz w:val="24"/>
          <w:szCs w:val="24"/>
        </w:rPr>
        <w:t xml:space="preserve"> the categories of youth not in school or employment, employment in agriculture, unemployment, Infant Mortality Rate and employment in services</w:t>
      </w:r>
      <w:r w:rsidR="0065207C">
        <w:rPr>
          <w:rFonts w:ascii="Times New Roman" w:hAnsi="Times New Roman" w:cs="Times New Roman"/>
          <w:sz w:val="24"/>
          <w:szCs w:val="24"/>
        </w:rPr>
        <w:t xml:space="preserve">. </w:t>
      </w:r>
      <w:r w:rsidR="008D7DFB">
        <w:rPr>
          <w:rFonts w:ascii="Times New Roman" w:hAnsi="Times New Roman" w:cs="Times New Roman"/>
          <w:sz w:val="24"/>
          <w:szCs w:val="24"/>
        </w:rPr>
        <w:t>However some low categories such as f</w:t>
      </w:r>
      <w:r w:rsidR="008D7DFB" w:rsidRPr="008D7DFB">
        <w:rPr>
          <w:rFonts w:ascii="Times New Roman" w:hAnsi="Times New Roman" w:cs="Times New Roman"/>
          <w:sz w:val="24"/>
          <w:szCs w:val="24"/>
        </w:rPr>
        <w:t xml:space="preserve">emale </w:t>
      </w:r>
      <w:r w:rsidR="008D7DFB">
        <w:rPr>
          <w:rFonts w:ascii="Times New Roman" w:hAnsi="Times New Roman" w:cs="Times New Roman"/>
          <w:sz w:val="24"/>
          <w:szCs w:val="24"/>
        </w:rPr>
        <w:t>l</w:t>
      </w:r>
      <w:r w:rsidR="008D7DFB" w:rsidRPr="008D7DFB">
        <w:rPr>
          <w:rFonts w:ascii="Times New Roman" w:hAnsi="Times New Roman" w:cs="Times New Roman"/>
          <w:sz w:val="24"/>
          <w:szCs w:val="24"/>
        </w:rPr>
        <w:t>abor force participation rate</w:t>
      </w:r>
      <w:r w:rsidR="008D7DFB">
        <w:rPr>
          <w:rFonts w:ascii="Times New Roman" w:hAnsi="Times New Roman" w:cs="Times New Roman"/>
          <w:sz w:val="24"/>
          <w:szCs w:val="24"/>
        </w:rPr>
        <w:t xml:space="preserve"> or</w:t>
      </w:r>
      <w:r w:rsidR="00B56612">
        <w:rPr>
          <w:rFonts w:ascii="Times New Roman" w:hAnsi="Times New Roman" w:cs="Times New Roman"/>
          <w:sz w:val="24"/>
          <w:szCs w:val="24"/>
        </w:rPr>
        <w:t xml:space="preserve"> </w:t>
      </w:r>
      <w:r w:rsidR="008D7DFB">
        <w:rPr>
          <w:rFonts w:ascii="Times New Roman" w:hAnsi="Times New Roman" w:cs="Times New Roman"/>
          <w:sz w:val="24"/>
          <w:szCs w:val="24"/>
        </w:rPr>
        <w:t>h</w:t>
      </w:r>
      <w:r w:rsidR="008D7DFB" w:rsidRPr="008D7DFB">
        <w:rPr>
          <w:rFonts w:ascii="Times New Roman" w:hAnsi="Times New Roman" w:cs="Times New Roman"/>
          <w:sz w:val="24"/>
          <w:szCs w:val="24"/>
        </w:rPr>
        <w:t>igh-skill to low-skill employment ratio</w:t>
      </w:r>
      <w:r w:rsidR="008D7DFB">
        <w:rPr>
          <w:rFonts w:ascii="Times New Roman" w:hAnsi="Times New Roman" w:cs="Times New Roman"/>
          <w:sz w:val="24"/>
          <w:szCs w:val="24"/>
        </w:rPr>
        <w:t xml:space="preserve"> are closer to the big cluster around the centre. While some of these categories are much less distinct and have little contribution to overall inertia, it is notable that low HDI is also around this cluster. While this does not mean low HDI is necessarily belong to this cluster of medium and high values, it can </w:t>
      </w:r>
      <w:r w:rsidR="008D7DFB">
        <w:rPr>
          <w:rFonts w:ascii="Times New Roman" w:hAnsi="Times New Roman" w:cs="Times New Roman"/>
          <w:sz w:val="24"/>
          <w:szCs w:val="24"/>
        </w:rPr>
        <w:lastRenderedPageBreak/>
        <w:t xml:space="preserve">be argued </w:t>
      </w:r>
      <w:r w:rsidR="0065207C">
        <w:rPr>
          <w:rFonts w:ascii="Times New Roman" w:hAnsi="Times New Roman" w:cs="Times New Roman"/>
          <w:sz w:val="24"/>
          <w:szCs w:val="24"/>
        </w:rPr>
        <w:t xml:space="preserve">that having </w:t>
      </w:r>
      <w:r w:rsidR="008D7DFB">
        <w:rPr>
          <w:rFonts w:ascii="Times New Roman" w:hAnsi="Times New Roman" w:cs="Times New Roman"/>
          <w:sz w:val="24"/>
          <w:szCs w:val="24"/>
        </w:rPr>
        <w:t xml:space="preserve">low HDI has relatively less distinct effect </w:t>
      </w:r>
      <w:r w:rsidR="008541E0">
        <w:rPr>
          <w:rFonts w:ascii="Times New Roman" w:hAnsi="Times New Roman" w:cs="Times New Roman"/>
          <w:sz w:val="24"/>
          <w:szCs w:val="24"/>
        </w:rPr>
        <w:t xml:space="preserve">than </w:t>
      </w:r>
      <w:r w:rsidR="0065207C">
        <w:rPr>
          <w:rFonts w:ascii="Times New Roman" w:hAnsi="Times New Roman" w:cs="Times New Roman"/>
          <w:sz w:val="24"/>
          <w:szCs w:val="24"/>
        </w:rPr>
        <w:t xml:space="preserve">having lower values on some </w:t>
      </w:r>
      <w:r w:rsidR="008541E0">
        <w:rPr>
          <w:rFonts w:ascii="Times New Roman" w:hAnsi="Times New Roman" w:cs="Times New Roman"/>
          <w:sz w:val="24"/>
          <w:szCs w:val="24"/>
        </w:rPr>
        <w:t xml:space="preserve">employment statistics. </w:t>
      </w:r>
    </w:p>
    <w:p w14:paraId="0DC090F0" w14:textId="64311B0D" w:rsidR="007A36AB" w:rsidRPr="00D014C7" w:rsidRDefault="007A36AB" w:rsidP="007A36AB">
      <w:pPr>
        <w:spacing w:line="240" w:lineRule="auto"/>
        <w:ind w:firstLine="851"/>
        <w:jc w:val="both"/>
        <w:rPr>
          <w:rFonts w:ascii="Times New Roman" w:hAnsi="Times New Roman" w:cs="Times New Roman"/>
          <w:sz w:val="24"/>
          <w:szCs w:val="24"/>
        </w:rPr>
      </w:pPr>
      <w:r w:rsidRPr="00F90EF3">
        <w:rPr>
          <w:rFonts w:ascii="Times New Roman" w:hAnsi="Times New Roman" w:cs="Times New Roman"/>
          <w:sz w:val="24"/>
          <w:szCs w:val="24"/>
        </w:rPr>
        <w:t>For the second analysis</w:t>
      </w:r>
      <w:r w:rsidR="008541E0">
        <w:rPr>
          <w:rFonts w:ascii="Times New Roman" w:hAnsi="Times New Roman" w:cs="Times New Roman"/>
          <w:sz w:val="24"/>
          <w:szCs w:val="24"/>
        </w:rPr>
        <w:t xml:space="preserve">, </w:t>
      </w:r>
      <w:r w:rsidRPr="00F90EF3">
        <w:rPr>
          <w:rFonts w:ascii="Times New Roman" w:hAnsi="Times New Roman" w:cs="Times New Roman"/>
          <w:sz w:val="24"/>
          <w:szCs w:val="24"/>
        </w:rPr>
        <w:t>HDI indicators</w:t>
      </w:r>
      <w:r w:rsidR="008541E0">
        <w:rPr>
          <w:rFonts w:ascii="Times New Roman" w:hAnsi="Times New Roman" w:cs="Times New Roman"/>
          <w:sz w:val="24"/>
          <w:szCs w:val="24"/>
        </w:rPr>
        <w:t xml:space="preserve"> are separately used instead of a composite index. T</w:t>
      </w:r>
      <w:r w:rsidRPr="00F90EF3">
        <w:rPr>
          <w:rFonts w:ascii="Times New Roman" w:hAnsi="Times New Roman" w:cs="Times New Roman"/>
          <w:sz w:val="24"/>
          <w:szCs w:val="24"/>
        </w:rPr>
        <w:t>he first dimension accounts for 64,64 percent of all inertia. The second dimension accounts for 17,88 percent of all inertia, while the rest of dimensions explain below 5 percent of total inertia. The results show that the first two dimensions, as well as the whole set, explain more variance in data when HDI indicators are used separately without being reduced to a single index.</w:t>
      </w:r>
    </w:p>
    <w:p w14:paraId="6066F3A7" w14:textId="7E73E2F9" w:rsidR="0056758C" w:rsidRPr="0056758C" w:rsidRDefault="0056758C" w:rsidP="0056758C">
      <w:pPr>
        <w:pStyle w:val="Caption"/>
        <w:keepNext/>
        <w:jc w:val="center"/>
        <w:rPr>
          <w:sz w:val="24"/>
          <w:szCs w:val="24"/>
        </w:rPr>
      </w:pPr>
      <w:r w:rsidRPr="0056758C">
        <w:rPr>
          <w:sz w:val="24"/>
          <w:szCs w:val="24"/>
        </w:rPr>
        <w:t xml:space="preserve">Table </w:t>
      </w:r>
      <w:r w:rsidRPr="0056758C">
        <w:rPr>
          <w:sz w:val="24"/>
          <w:szCs w:val="24"/>
        </w:rPr>
        <w:fldChar w:fldCharType="begin"/>
      </w:r>
      <w:r w:rsidRPr="0056758C">
        <w:rPr>
          <w:sz w:val="24"/>
          <w:szCs w:val="24"/>
        </w:rPr>
        <w:instrText xml:space="preserve"> SEQ Table \* ARABIC </w:instrText>
      </w:r>
      <w:r w:rsidRPr="0056758C">
        <w:rPr>
          <w:sz w:val="24"/>
          <w:szCs w:val="24"/>
        </w:rPr>
        <w:fldChar w:fldCharType="separate"/>
      </w:r>
      <w:r w:rsidRPr="0056758C">
        <w:rPr>
          <w:noProof/>
          <w:sz w:val="24"/>
          <w:szCs w:val="24"/>
        </w:rPr>
        <w:t>5</w:t>
      </w:r>
      <w:r w:rsidRPr="0056758C">
        <w:rPr>
          <w:sz w:val="24"/>
          <w:szCs w:val="24"/>
        </w:rPr>
        <w:fldChar w:fldCharType="end"/>
      </w:r>
      <w:r w:rsidRPr="0056758C">
        <w:rPr>
          <w:sz w:val="24"/>
          <w:szCs w:val="24"/>
        </w:rPr>
        <w:t>. Inertia values for dimensions from multiple correspondence analysis results</w:t>
      </w:r>
    </w:p>
    <w:tbl>
      <w:tblPr>
        <w:tblW w:w="3788" w:type="dxa"/>
        <w:tblLook w:val="04A0" w:firstRow="1" w:lastRow="0" w:firstColumn="1" w:lastColumn="0" w:noHBand="0" w:noVBand="1"/>
      </w:tblPr>
      <w:tblGrid>
        <w:gridCol w:w="1270"/>
        <w:gridCol w:w="960"/>
        <w:gridCol w:w="1336"/>
        <w:gridCol w:w="222"/>
      </w:tblGrid>
      <w:tr w:rsidR="00D4484B" w:rsidRPr="0056758C" w14:paraId="4D56F920" w14:textId="77777777" w:rsidTr="00D4484B">
        <w:trPr>
          <w:gridAfter w:val="1"/>
          <w:wAfter w:w="222" w:type="dxa"/>
          <w:trHeight w:val="636"/>
        </w:trPr>
        <w:tc>
          <w:tcPr>
            <w:tcW w:w="1270" w:type="dxa"/>
            <w:vMerge w:val="restart"/>
            <w:tcBorders>
              <w:top w:val="double" w:sz="6" w:space="0" w:color="auto"/>
              <w:left w:val="nil"/>
              <w:bottom w:val="single" w:sz="8" w:space="0" w:color="000000"/>
              <w:right w:val="nil"/>
            </w:tcBorders>
            <w:shd w:val="clear" w:color="000000" w:fill="FFFFFF"/>
            <w:noWrap/>
            <w:vAlign w:val="center"/>
            <w:hideMark/>
          </w:tcPr>
          <w:p w14:paraId="52A937FB" w14:textId="77777777" w:rsidR="00D4484B" w:rsidRPr="0056758C" w:rsidRDefault="00D4484B" w:rsidP="0056758C">
            <w:pPr>
              <w:spacing w:after="0" w:line="240" w:lineRule="auto"/>
              <w:jc w:val="center"/>
              <w:rPr>
                <w:rFonts w:ascii="Times New Roman" w:eastAsia="Times New Roman" w:hAnsi="Times New Roman" w:cs="Times New Roman"/>
                <w:color w:val="000000"/>
                <w:sz w:val="24"/>
                <w:szCs w:val="24"/>
                <w:lang w:eastAsia="en-GB"/>
              </w:rPr>
            </w:pPr>
            <w:r w:rsidRPr="0056758C">
              <w:rPr>
                <w:rFonts w:ascii="Times New Roman" w:eastAsia="Times New Roman" w:hAnsi="Times New Roman" w:cs="Times New Roman"/>
                <w:color w:val="000000"/>
                <w:sz w:val="24"/>
                <w:szCs w:val="24"/>
                <w:lang w:eastAsia="en-GB"/>
              </w:rPr>
              <w:t>Dimension</w:t>
            </w:r>
          </w:p>
        </w:tc>
        <w:tc>
          <w:tcPr>
            <w:tcW w:w="960" w:type="dxa"/>
            <w:vMerge w:val="restart"/>
            <w:tcBorders>
              <w:top w:val="double" w:sz="6" w:space="0" w:color="auto"/>
              <w:left w:val="nil"/>
              <w:bottom w:val="single" w:sz="8" w:space="0" w:color="000000"/>
              <w:right w:val="nil"/>
            </w:tcBorders>
            <w:shd w:val="clear" w:color="000000" w:fill="FFFFFF"/>
            <w:noWrap/>
            <w:vAlign w:val="center"/>
            <w:hideMark/>
          </w:tcPr>
          <w:p w14:paraId="55EED416" w14:textId="77777777" w:rsidR="00D4484B" w:rsidRPr="0056758C" w:rsidRDefault="00D4484B" w:rsidP="0056758C">
            <w:pPr>
              <w:spacing w:after="0" w:line="240" w:lineRule="auto"/>
              <w:jc w:val="center"/>
              <w:rPr>
                <w:rFonts w:ascii="Times New Roman" w:eastAsia="Times New Roman" w:hAnsi="Times New Roman" w:cs="Times New Roman"/>
                <w:color w:val="000000"/>
                <w:sz w:val="24"/>
                <w:szCs w:val="24"/>
                <w:lang w:eastAsia="en-GB"/>
              </w:rPr>
            </w:pPr>
            <w:r w:rsidRPr="0056758C">
              <w:rPr>
                <w:rFonts w:ascii="Times New Roman" w:eastAsia="Times New Roman" w:hAnsi="Times New Roman" w:cs="Times New Roman"/>
                <w:color w:val="000000"/>
                <w:sz w:val="24"/>
                <w:szCs w:val="24"/>
                <w:lang w:eastAsia="en-GB"/>
              </w:rPr>
              <w:t>Percent</w:t>
            </w:r>
          </w:p>
        </w:tc>
        <w:tc>
          <w:tcPr>
            <w:tcW w:w="1336" w:type="dxa"/>
            <w:vMerge w:val="restart"/>
            <w:tcBorders>
              <w:top w:val="double" w:sz="6" w:space="0" w:color="auto"/>
              <w:left w:val="nil"/>
              <w:bottom w:val="single" w:sz="8" w:space="0" w:color="000000"/>
              <w:right w:val="nil"/>
            </w:tcBorders>
            <w:shd w:val="clear" w:color="000000" w:fill="FFFFFF"/>
            <w:vAlign w:val="center"/>
            <w:hideMark/>
          </w:tcPr>
          <w:p w14:paraId="464B2F00" w14:textId="77777777" w:rsidR="00D4484B" w:rsidRPr="0056758C" w:rsidRDefault="00D4484B" w:rsidP="0056758C">
            <w:pPr>
              <w:spacing w:after="0" w:line="240" w:lineRule="auto"/>
              <w:jc w:val="center"/>
              <w:rPr>
                <w:rFonts w:ascii="Times New Roman" w:eastAsia="Times New Roman" w:hAnsi="Times New Roman" w:cs="Times New Roman"/>
                <w:color w:val="000000"/>
                <w:sz w:val="24"/>
                <w:szCs w:val="24"/>
                <w:lang w:eastAsia="en-GB"/>
              </w:rPr>
            </w:pPr>
            <w:r w:rsidRPr="0056758C">
              <w:rPr>
                <w:rFonts w:ascii="Times New Roman" w:eastAsia="Times New Roman" w:hAnsi="Times New Roman" w:cs="Times New Roman"/>
                <w:color w:val="000000"/>
                <w:sz w:val="24"/>
                <w:szCs w:val="24"/>
                <w:lang w:eastAsia="en-GB"/>
              </w:rPr>
              <w:t>Cumulative Percent</w:t>
            </w:r>
          </w:p>
        </w:tc>
      </w:tr>
      <w:tr w:rsidR="00D4484B" w:rsidRPr="0056758C" w14:paraId="12BCF293" w14:textId="77777777" w:rsidTr="00D4484B">
        <w:trPr>
          <w:trHeight w:val="300"/>
        </w:trPr>
        <w:tc>
          <w:tcPr>
            <w:tcW w:w="1270" w:type="dxa"/>
            <w:vMerge/>
            <w:tcBorders>
              <w:top w:val="double" w:sz="6" w:space="0" w:color="auto"/>
              <w:left w:val="nil"/>
              <w:bottom w:val="single" w:sz="8" w:space="0" w:color="000000"/>
              <w:right w:val="nil"/>
            </w:tcBorders>
            <w:vAlign w:val="center"/>
            <w:hideMark/>
          </w:tcPr>
          <w:p w14:paraId="1CA03092" w14:textId="77777777" w:rsidR="00D4484B" w:rsidRPr="0056758C" w:rsidRDefault="00D4484B" w:rsidP="0056758C">
            <w:pPr>
              <w:spacing w:after="0" w:line="240" w:lineRule="auto"/>
              <w:rPr>
                <w:rFonts w:ascii="Times New Roman" w:eastAsia="Times New Roman" w:hAnsi="Times New Roman" w:cs="Times New Roman"/>
                <w:color w:val="000000"/>
                <w:sz w:val="24"/>
                <w:szCs w:val="24"/>
                <w:lang w:eastAsia="en-GB"/>
              </w:rPr>
            </w:pPr>
          </w:p>
        </w:tc>
        <w:tc>
          <w:tcPr>
            <w:tcW w:w="960" w:type="dxa"/>
            <w:vMerge/>
            <w:tcBorders>
              <w:top w:val="double" w:sz="6" w:space="0" w:color="auto"/>
              <w:left w:val="nil"/>
              <w:bottom w:val="single" w:sz="8" w:space="0" w:color="000000"/>
              <w:right w:val="nil"/>
            </w:tcBorders>
            <w:vAlign w:val="center"/>
            <w:hideMark/>
          </w:tcPr>
          <w:p w14:paraId="2800350E" w14:textId="77777777" w:rsidR="00D4484B" w:rsidRPr="0056758C" w:rsidRDefault="00D4484B" w:rsidP="0056758C">
            <w:pPr>
              <w:spacing w:after="0" w:line="240" w:lineRule="auto"/>
              <w:rPr>
                <w:rFonts w:ascii="Times New Roman" w:eastAsia="Times New Roman" w:hAnsi="Times New Roman" w:cs="Times New Roman"/>
                <w:color w:val="000000"/>
                <w:sz w:val="24"/>
                <w:szCs w:val="24"/>
                <w:lang w:eastAsia="en-GB"/>
              </w:rPr>
            </w:pPr>
          </w:p>
        </w:tc>
        <w:tc>
          <w:tcPr>
            <w:tcW w:w="1336" w:type="dxa"/>
            <w:vMerge/>
            <w:tcBorders>
              <w:top w:val="double" w:sz="6" w:space="0" w:color="auto"/>
              <w:left w:val="nil"/>
              <w:bottom w:val="single" w:sz="8" w:space="0" w:color="000000"/>
              <w:right w:val="nil"/>
            </w:tcBorders>
            <w:vAlign w:val="center"/>
            <w:hideMark/>
          </w:tcPr>
          <w:p w14:paraId="2B0023BE" w14:textId="77777777" w:rsidR="00D4484B" w:rsidRPr="0056758C" w:rsidRDefault="00D4484B" w:rsidP="0056758C">
            <w:pPr>
              <w:spacing w:after="0" w:line="240" w:lineRule="auto"/>
              <w:rPr>
                <w:rFonts w:ascii="Times New Roman" w:eastAsia="Times New Roman" w:hAnsi="Times New Roman" w:cs="Times New Roman"/>
                <w:color w:val="000000"/>
                <w:sz w:val="24"/>
                <w:szCs w:val="24"/>
                <w:lang w:eastAsia="en-GB"/>
              </w:rPr>
            </w:pPr>
          </w:p>
        </w:tc>
        <w:tc>
          <w:tcPr>
            <w:tcW w:w="222" w:type="dxa"/>
            <w:tcBorders>
              <w:top w:val="nil"/>
              <w:left w:val="nil"/>
              <w:bottom w:val="nil"/>
              <w:right w:val="nil"/>
            </w:tcBorders>
            <w:shd w:val="clear" w:color="auto" w:fill="auto"/>
            <w:noWrap/>
            <w:vAlign w:val="bottom"/>
            <w:hideMark/>
          </w:tcPr>
          <w:p w14:paraId="3F67F8B4" w14:textId="77777777" w:rsidR="00D4484B" w:rsidRPr="0056758C" w:rsidRDefault="00D4484B" w:rsidP="0056758C">
            <w:pPr>
              <w:spacing w:after="0" w:line="240" w:lineRule="auto"/>
              <w:jc w:val="center"/>
              <w:rPr>
                <w:rFonts w:ascii="Times New Roman" w:eastAsia="Times New Roman" w:hAnsi="Times New Roman" w:cs="Times New Roman"/>
                <w:color w:val="000000"/>
                <w:sz w:val="24"/>
                <w:szCs w:val="24"/>
                <w:lang w:eastAsia="en-GB"/>
              </w:rPr>
            </w:pPr>
          </w:p>
        </w:tc>
      </w:tr>
      <w:tr w:rsidR="00D4484B" w:rsidRPr="0056758C" w14:paraId="5A4AD058" w14:textId="77777777" w:rsidTr="00D4484B">
        <w:trPr>
          <w:trHeight w:val="312"/>
        </w:trPr>
        <w:tc>
          <w:tcPr>
            <w:tcW w:w="1270" w:type="dxa"/>
            <w:tcBorders>
              <w:top w:val="nil"/>
              <w:left w:val="nil"/>
              <w:bottom w:val="nil"/>
              <w:right w:val="nil"/>
            </w:tcBorders>
            <w:shd w:val="clear" w:color="000000" w:fill="FFFFFF"/>
            <w:vAlign w:val="center"/>
            <w:hideMark/>
          </w:tcPr>
          <w:p w14:paraId="75B2BB6E"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w:t>
            </w:r>
          </w:p>
        </w:tc>
        <w:tc>
          <w:tcPr>
            <w:tcW w:w="960" w:type="dxa"/>
            <w:tcBorders>
              <w:top w:val="nil"/>
              <w:left w:val="nil"/>
              <w:bottom w:val="nil"/>
              <w:right w:val="nil"/>
            </w:tcBorders>
            <w:shd w:val="clear" w:color="000000" w:fill="FFFFFF"/>
            <w:vAlign w:val="center"/>
            <w:hideMark/>
          </w:tcPr>
          <w:p w14:paraId="347B9FB3"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64.64</w:t>
            </w:r>
          </w:p>
        </w:tc>
        <w:tc>
          <w:tcPr>
            <w:tcW w:w="1336" w:type="dxa"/>
            <w:tcBorders>
              <w:top w:val="nil"/>
              <w:left w:val="nil"/>
              <w:bottom w:val="nil"/>
              <w:right w:val="nil"/>
            </w:tcBorders>
            <w:shd w:val="clear" w:color="000000" w:fill="FFFFFF"/>
            <w:vAlign w:val="center"/>
            <w:hideMark/>
          </w:tcPr>
          <w:p w14:paraId="05AA68E7"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64.64</w:t>
            </w:r>
          </w:p>
        </w:tc>
        <w:tc>
          <w:tcPr>
            <w:tcW w:w="222" w:type="dxa"/>
            <w:vAlign w:val="center"/>
            <w:hideMark/>
          </w:tcPr>
          <w:p w14:paraId="75871558"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777DF046" w14:textId="77777777" w:rsidTr="00D4484B">
        <w:trPr>
          <w:trHeight w:val="312"/>
        </w:trPr>
        <w:tc>
          <w:tcPr>
            <w:tcW w:w="1270" w:type="dxa"/>
            <w:tcBorders>
              <w:top w:val="nil"/>
              <w:left w:val="nil"/>
              <w:bottom w:val="nil"/>
              <w:right w:val="nil"/>
            </w:tcBorders>
            <w:shd w:val="clear" w:color="000000" w:fill="FFFFFF"/>
            <w:vAlign w:val="center"/>
            <w:hideMark/>
          </w:tcPr>
          <w:p w14:paraId="0327B815"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dim2</w:t>
            </w:r>
          </w:p>
        </w:tc>
        <w:tc>
          <w:tcPr>
            <w:tcW w:w="960" w:type="dxa"/>
            <w:tcBorders>
              <w:top w:val="nil"/>
              <w:left w:val="nil"/>
              <w:bottom w:val="nil"/>
              <w:right w:val="nil"/>
            </w:tcBorders>
            <w:shd w:val="clear" w:color="000000" w:fill="FFFFFF"/>
            <w:vAlign w:val="center"/>
            <w:hideMark/>
          </w:tcPr>
          <w:p w14:paraId="600A3F3B"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17.88</w:t>
            </w:r>
          </w:p>
        </w:tc>
        <w:tc>
          <w:tcPr>
            <w:tcW w:w="1336" w:type="dxa"/>
            <w:tcBorders>
              <w:top w:val="nil"/>
              <w:left w:val="nil"/>
              <w:bottom w:val="nil"/>
              <w:right w:val="nil"/>
            </w:tcBorders>
            <w:shd w:val="clear" w:color="000000" w:fill="FFFFFF"/>
            <w:vAlign w:val="center"/>
            <w:hideMark/>
          </w:tcPr>
          <w:p w14:paraId="04289D91"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82.52</w:t>
            </w:r>
          </w:p>
        </w:tc>
        <w:tc>
          <w:tcPr>
            <w:tcW w:w="222" w:type="dxa"/>
            <w:vAlign w:val="center"/>
            <w:hideMark/>
          </w:tcPr>
          <w:p w14:paraId="25318311"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1C006362" w14:textId="77777777" w:rsidTr="00D4484B">
        <w:trPr>
          <w:trHeight w:val="312"/>
        </w:trPr>
        <w:tc>
          <w:tcPr>
            <w:tcW w:w="1270" w:type="dxa"/>
            <w:tcBorders>
              <w:top w:val="nil"/>
              <w:left w:val="nil"/>
              <w:bottom w:val="nil"/>
              <w:right w:val="nil"/>
            </w:tcBorders>
            <w:shd w:val="clear" w:color="000000" w:fill="FFFFFF"/>
            <w:vAlign w:val="center"/>
            <w:hideMark/>
          </w:tcPr>
          <w:p w14:paraId="3577AA1D"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dim3</w:t>
            </w:r>
          </w:p>
        </w:tc>
        <w:tc>
          <w:tcPr>
            <w:tcW w:w="960" w:type="dxa"/>
            <w:tcBorders>
              <w:top w:val="nil"/>
              <w:left w:val="nil"/>
              <w:bottom w:val="nil"/>
              <w:right w:val="nil"/>
            </w:tcBorders>
            <w:shd w:val="clear" w:color="000000" w:fill="FFFFFF"/>
            <w:vAlign w:val="center"/>
            <w:hideMark/>
          </w:tcPr>
          <w:p w14:paraId="22ED0A36"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3.69</w:t>
            </w:r>
          </w:p>
        </w:tc>
        <w:tc>
          <w:tcPr>
            <w:tcW w:w="1336" w:type="dxa"/>
            <w:tcBorders>
              <w:top w:val="nil"/>
              <w:left w:val="nil"/>
              <w:bottom w:val="nil"/>
              <w:right w:val="nil"/>
            </w:tcBorders>
            <w:shd w:val="clear" w:color="000000" w:fill="FFFFFF"/>
            <w:vAlign w:val="center"/>
            <w:hideMark/>
          </w:tcPr>
          <w:p w14:paraId="7AAD763B"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86.21</w:t>
            </w:r>
          </w:p>
        </w:tc>
        <w:tc>
          <w:tcPr>
            <w:tcW w:w="222" w:type="dxa"/>
            <w:vAlign w:val="center"/>
            <w:hideMark/>
          </w:tcPr>
          <w:p w14:paraId="6B9DB39C"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232C66C3" w14:textId="77777777" w:rsidTr="00D4484B">
        <w:trPr>
          <w:trHeight w:val="312"/>
        </w:trPr>
        <w:tc>
          <w:tcPr>
            <w:tcW w:w="1270" w:type="dxa"/>
            <w:tcBorders>
              <w:top w:val="nil"/>
              <w:left w:val="nil"/>
              <w:bottom w:val="nil"/>
              <w:right w:val="nil"/>
            </w:tcBorders>
            <w:shd w:val="clear" w:color="000000" w:fill="FFFFFF"/>
            <w:vAlign w:val="center"/>
            <w:hideMark/>
          </w:tcPr>
          <w:p w14:paraId="55F155E1"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dim4</w:t>
            </w:r>
          </w:p>
        </w:tc>
        <w:tc>
          <w:tcPr>
            <w:tcW w:w="960" w:type="dxa"/>
            <w:tcBorders>
              <w:top w:val="nil"/>
              <w:left w:val="nil"/>
              <w:bottom w:val="nil"/>
              <w:right w:val="nil"/>
            </w:tcBorders>
            <w:shd w:val="clear" w:color="000000" w:fill="FFFFFF"/>
            <w:vAlign w:val="center"/>
            <w:hideMark/>
          </w:tcPr>
          <w:p w14:paraId="7959E0B2"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1.46</w:t>
            </w:r>
          </w:p>
        </w:tc>
        <w:tc>
          <w:tcPr>
            <w:tcW w:w="1336" w:type="dxa"/>
            <w:tcBorders>
              <w:top w:val="nil"/>
              <w:left w:val="nil"/>
              <w:bottom w:val="nil"/>
              <w:right w:val="nil"/>
            </w:tcBorders>
            <w:shd w:val="clear" w:color="000000" w:fill="FFFFFF"/>
            <w:vAlign w:val="center"/>
            <w:hideMark/>
          </w:tcPr>
          <w:p w14:paraId="080E12A4"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87.67</w:t>
            </w:r>
          </w:p>
        </w:tc>
        <w:tc>
          <w:tcPr>
            <w:tcW w:w="222" w:type="dxa"/>
            <w:vAlign w:val="center"/>
            <w:hideMark/>
          </w:tcPr>
          <w:p w14:paraId="1EEDC85D"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08DB4A8E" w14:textId="77777777" w:rsidTr="00D4484B">
        <w:trPr>
          <w:trHeight w:val="312"/>
        </w:trPr>
        <w:tc>
          <w:tcPr>
            <w:tcW w:w="1270" w:type="dxa"/>
            <w:tcBorders>
              <w:top w:val="nil"/>
              <w:left w:val="nil"/>
              <w:bottom w:val="nil"/>
              <w:right w:val="nil"/>
            </w:tcBorders>
            <w:shd w:val="clear" w:color="000000" w:fill="FFFFFF"/>
            <w:vAlign w:val="center"/>
            <w:hideMark/>
          </w:tcPr>
          <w:p w14:paraId="796F0B8C"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dim5</w:t>
            </w:r>
          </w:p>
        </w:tc>
        <w:tc>
          <w:tcPr>
            <w:tcW w:w="960" w:type="dxa"/>
            <w:tcBorders>
              <w:top w:val="nil"/>
              <w:left w:val="nil"/>
              <w:bottom w:val="nil"/>
              <w:right w:val="nil"/>
            </w:tcBorders>
            <w:shd w:val="clear" w:color="000000" w:fill="FFFFFF"/>
            <w:vAlign w:val="center"/>
            <w:hideMark/>
          </w:tcPr>
          <w:p w14:paraId="07770654"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1.17</w:t>
            </w:r>
          </w:p>
        </w:tc>
        <w:tc>
          <w:tcPr>
            <w:tcW w:w="1336" w:type="dxa"/>
            <w:tcBorders>
              <w:top w:val="nil"/>
              <w:left w:val="nil"/>
              <w:bottom w:val="nil"/>
              <w:right w:val="nil"/>
            </w:tcBorders>
            <w:shd w:val="clear" w:color="000000" w:fill="FFFFFF"/>
            <w:vAlign w:val="center"/>
            <w:hideMark/>
          </w:tcPr>
          <w:p w14:paraId="7C3A75D1"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88.84</w:t>
            </w:r>
          </w:p>
        </w:tc>
        <w:tc>
          <w:tcPr>
            <w:tcW w:w="222" w:type="dxa"/>
            <w:vAlign w:val="center"/>
            <w:hideMark/>
          </w:tcPr>
          <w:p w14:paraId="69C6C0B2"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15EB4330" w14:textId="77777777" w:rsidTr="00D4484B">
        <w:trPr>
          <w:trHeight w:val="312"/>
        </w:trPr>
        <w:tc>
          <w:tcPr>
            <w:tcW w:w="1270" w:type="dxa"/>
            <w:tcBorders>
              <w:top w:val="nil"/>
              <w:left w:val="nil"/>
              <w:bottom w:val="nil"/>
              <w:right w:val="nil"/>
            </w:tcBorders>
            <w:shd w:val="clear" w:color="000000" w:fill="FFFFFF"/>
            <w:vAlign w:val="center"/>
            <w:hideMark/>
          </w:tcPr>
          <w:p w14:paraId="5FC7CD8D"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dim6</w:t>
            </w:r>
          </w:p>
        </w:tc>
        <w:tc>
          <w:tcPr>
            <w:tcW w:w="960" w:type="dxa"/>
            <w:tcBorders>
              <w:top w:val="nil"/>
              <w:left w:val="nil"/>
              <w:bottom w:val="nil"/>
              <w:right w:val="nil"/>
            </w:tcBorders>
            <w:shd w:val="clear" w:color="000000" w:fill="FFFFFF"/>
            <w:vAlign w:val="center"/>
            <w:hideMark/>
          </w:tcPr>
          <w:p w14:paraId="2BF64F12"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0.59</w:t>
            </w:r>
          </w:p>
        </w:tc>
        <w:tc>
          <w:tcPr>
            <w:tcW w:w="1336" w:type="dxa"/>
            <w:tcBorders>
              <w:top w:val="nil"/>
              <w:left w:val="nil"/>
              <w:bottom w:val="nil"/>
              <w:right w:val="nil"/>
            </w:tcBorders>
            <w:shd w:val="clear" w:color="000000" w:fill="FFFFFF"/>
            <w:vAlign w:val="center"/>
            <w:hideMark/>
          </w:tcPr>
          <w:p w14:paraId="234432F1"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89.42</w:t>
            </w:r>
          </w:p>
        </w:tc>
        <w:tc>
          <w:tcPr>
            <w:tcW w:w="222" w:type="dxa"/>
            <w:vAlign w:val="center"/>
            <w:hideMark/>
          </w:tcPr>
          <w:p w14:paraId="0A631362"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3038C645" w14:textId="77777777" w:rsidTr="00D4484B">
        <w:trPr>
          <w:trHeight w:val="312"/>
        </w:trPr>
        <w:tc>
          <w:tcPr>
            <w:tcW w:w="1270" w:type="dxa"/>
            <w:tcBorders>
              <w:top w:val="nil"/>
              <w:left w:val="nil"/>
              <w:bottom w:val="nil"/>
              <w:right w:val="nil"/>
            </w:tcBorders>
            <w:shd w:val="clear" w:color="000000" w:fill="FFFFFF"/>
            <w:vAlign w:val="center"/>
            <w:hideMark/>
          </w:tcPr>
          <w:p w14:paraId="7D7D3ED5"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dim7</w:t>
            </w:r>
          </w:p>
        </w:tc>
        <w:tc>
          <w:tcPr>
            <w:tcW w:w="960" w:type="dxa"/>
            <w:tcBorders>
              <w:top w:val="nil"/>
              <w:left w:val="nil"/>
              <w:bottom w:val="nil"/>
              <w:right w:val="nil"/>
            </w:tcBorders>
            <w:shd w:val="clear" w:color="000000" w:fill="FFFFFF"/>
            <w:vAlign w:val="center"/>
            <w:hideMark/>
          </w:tcPr>
          <w:p w14:paraId="64B47B69"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0.34</w:t>
            </w:r>
          </w:p>
        </w:tc>
        <w:tc>
          <w:tcPr>
            <w:tcW w:w="1336" w:type="dxa"/>
            <w:tcBorders>
              <w:top w:val="nil"/>
              <w:left w:val="nil"/>
              <w:bottom w:val="nil"/>
              <w:right w:val="nil"/>
            </w:tcBorders>
            <w:shd w:val="clear" w:color="000000" w:fill="FFFFFF"/>
            <w:vAlign w:val="center"/>
            <w:hideMark/>
          </w:tcPr>
          <w:p w14:paraId="7AEF4EF2"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89.76</w:t>
            </w:r>
          </w:p>
        </w:tc>
        <w:tc>
          <w:tcPr>
            <w:tcW w:w="222" w:type="dxa"/>
            <w:vAlign w:val="center"/>
            <w:hideMark/>
          </w:tcPr>
          <w:p w14:paraId="49B49805"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43ADEA2D" w14:textId="77777777" w:rsidTr="00D4484B">
        <w:trPr>
          <w:trHeight w:val="312"/>
        </w:trPr>
        <w:tc>
          <w:tcPr>
            <w:tcW w:w="1270" w:type="dxa"/>
            <w:tcBorders>
              <w:top w:val="nil"/>
              <w:left w:val="nil"/>
              <w:bottom w:val="nil"/>
              <w:right w:val="nil"/>
            </w:tcBorders>
            <w:shd w:val="clear" w:color="000000" w:fill="FFFFFF"/>
            <w:vAlign w:val="center"/>
            <w:hideMark/>
          </w:tcPr>
          <w:p w14:paraId="0D1AFF5D"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dim8</w:t>
            </w:r>
          </w:p>
        </w:tc>
        <w:tc>
          <w:tcPr>
            <w:tcW w:w="960" w:type="dxa"/>
            <w:tcBorders>
              <w:top w:val="nil"/>
              <w:left w:val="nil"/>
              <w:bottom w:val="nil"/>
              <w:right w:val="nil"/>
            </w:tcBorders>
            <w:shd w:val="clear" w:color="000000" w:fill="FFFFFF"/>
            <w:vAlign w:val="center"/>
            <w:hideMark/>
          </w:tcPr>
          <w:p w14:paraId="633CF50F"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0.26</w:t>
            </w:r>
          </w:p>
        </w:tc>
        <w:tc>
          <w:tcPr>
            <w:tcW w:w="1336" w:type="dxa"/>
            <w:tcBorders>
              <w:top w:val="nil"/>
              <w:left w:val="nil"/>
              <w:bottom w:val="nil"/>
              <w:right w:val="nil"/>
            </w:tcBorders>
            <w:shd w:val="clear" w:color="000000" w:fill="FFFFFF"/>
            <w:vAlign w:val="center"/>
            <w:hideMark/>
          </w:tcPr>
          <w:p w14:paraId="349230C5"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90.02</w:t>
            </w:r>
          </w:p>
        </w:tc>
        <w:tc>
          <w:tcPr>
            <w:tcW w:w="222" w:type="dxa"/>
            <w:vAlign w:val="center"/>
            <w:hideMark/>
          </w:tcPr>
          <w:p w14:paraId="6765B3C1"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176A6EA4" w14:textId="77777777" w:rsidTr="00D4484B">
        <w:trPr>
          <w:trHeight w:val="312"/>
        </w:trPr>
        <w:tc>
          <w:tcPr>
            <w:tcW w:w="1270" w:type="dxa"/>
            <w:tcBorders>
              <w:top w:val="nil"/>
              <w:left w:val="nil"/>
              <w:bottom w:val="nil"/>
              <w:right w:val="nil"/>
            </w:tcBorders>
            <w:shd w:val="clear" w:color="000000" w:fill="FFFFFF"/>
            <w:vAlign w:val="center"/>
            <w:hideMark/>
          </w:tcPr>
          <w:p w14:paraId="01FD8BE1"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dim9</w:t>
            </w:r>
          </w:p>
        </w:tc>
        <w:tc>
          <w:tcPr>
            <w:tcW w:w="960" w:type="dxa"/>
            <w:tcBorders>
              <w:top w:val="nil"/>
              <w:left w:val="nil"/>
              <w:bottom w:val="nil"/>
              <w:right w:val="nil"/>
            </w:tcBorders>
            <w:shd w:val="clear" w:color="000000" w:fill="FFFFFF"/>
            <w:vAlign w:val="center"/>
            <w:hideMark/>
          </w:tcPr>
          <w:p w14:paraId="540F0B72"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0.2</w:t>
            </w:r>
          </w:p>
        </w:tc>
        <w:tc>
          <w:tcPr>
            <w:tcW w:w="1336" w:type="dxa"/>
            <w:tcBorders>
              <w:top w:val="nil"/>
              <w:left w:val="nil"/>
              <w:bottom w:val="nil"/>
              <w:right w:val="nil"/>
            </w:tcBorders>
            <w:shd w:val="clear" w:color="000000" w:fill="FFFFFF"/>
            <w:vAlign w:val="center"/>
            <w:hideMark/>
          </w:tcPr>
          <w:p w14:paraId="6036FEE3"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90.22</w:t>
            </w:r>
          </w:p>
        </w:tc>
        <w:tc>
          <w:tcPr>
            <w:tcW w:w="222" w:type="dxa"/>
            <w:vAlign w:val="center"/>
            <w:hideMark/>
          </w:tcPr>
          <w:p w14:paraId="38DD2893"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1DC5C5EC" w14:textId="77777777" w:rsidTr="00D4484B">
        <w:trPr>
          <w:trHeight w:val="312"/>
        </w:trPr>
        <w:tc>
          <w:tcPr>
            <w:tcW w:w="1270" w:type="dxa"/>
            <w:tcBorders>
              <w:top w:val="nil"/>
              <w:left w:val="nil"/>
              <w:bottom w:val="nil"/>
              <w:right w:val="nil"/>
            </w:tcBorders>
            <w:shd w:val="clear" w:color="000000" w:fill="FFFFFF"/>
            <w:vAlign w:val="center"/>
            <w:hideMark/>
          </w:tcPr>
          <w:p w14:paraId="692337E2"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dim10</w:t>
            </w:r>
          </w:p>
        </w:tc>
        <w:tc>
          <w:tcPr>
            <w:tcW w:w="960" w:type="dxa"/>
            <w:tcBorders>
              <w:top w:val="nil"/>
              <w:left w:val="nil"/>
              <w:bottom w:val="nil"/>
              <w:right w:val="nil"/>
            </w:tcBorders>
            <w:shd w:val="clear" w:color="000000" w:fill="FFFFFF"/>
            <w:vAlign w:val="center"/>
            <w:hideMark/>
          </w:tcPr>
          <w:p w14:paraId="010A486A"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0.11</w:t>
            </w:r>
          </w:p>
        </w:tc>
        <w:tc>
          <w:tcPr>
            <w:tcW w:w="1336" w:type="dxa"/>
            <w:tcBorders>
              <w:top w:val="nil"/>
              <w:left w:val="nil"/>
              <w:bottom w:val="nil"/>
              <w:right w:val="nil"/>
            </w:tcBorders>
            <w:shd w:val="clear" w:color="000000" w:fill="FFFFFF"/>
            <w:vAlign w:val="center"/>
            <w:hideMark/>
          </w:tcPr>
          <w:p w14:paraId="0288BEE3"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90.33</w:t>
            </w:r>
          </w:p>
        </w:tc>
        <w:tc>
          <w:tcPr>
            <w:tcW w:w="222" w:type="dxa"/>
            <w:vAlign w:val="center"/>
            <w:hideMark/>
          </w:tcPr>
          <w:p w14:paraId="530FBCAB"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28162C43" w14:textId="77777777" w:rsidTr="00D4484B">
        <w:trPr>
          <w:trHeight w:val="312"/>
        </w:trPr>
        <w:tc>
          <w:tcPr>
            <w:tcW w:w="1270" w:type="dxa"/>
            <w:tcBorders>
              <w:top w:val="nil"/>
              <w:left w:val="nil"/>
              <w:bottom w:val="nil"/>
              <w:right w:val="nil"/>
            </w:tcBorders>
            <w:shd w:val="clear" w:color="000000" w:fill="FFFFFF"/>
            <w:vAlign w:val="center"/>
            <w:hideMark/>
          </w:tcPr>
          <w:p w14:paraId="4746B923"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dim11</w:t>
            </w:r>
          </w:p>
        </w:tc>
        <w:tc>
          <w:tcPr>
            <w:tcW w:w="960" w:type="dxa"/>
            <w:tcBorders>
              <w:top w:val="nil"/>
              <w:left w:val="nil"/>
              <w:bottom w:val="nil"/>
              <w:right w:val="nil"/>
            </w:tcBorders>
            <w:shd w:val="clear" w:color="000000" w:fill="FFFFFF"/>
            <w:vAlign w:val="center"/>
            <w:hideMark/>
          </w:tcPr>
          <w:p w14:paraId="568059D0"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0.08</w:t>
            </w:r>
          </w:p>
        </w:tc>
        <w:tc>
          <w:tcPr>
            <w:tcW w:w="1336" w:type="dxa"/>
            <w:tcBorders>
              <w:top w:val="nil"/>
              <w:left w:val="nil"/>
              <w:bottom w:val="nil"/>
              <w:right w:val="nil"/>
            </w:tcBorders>
            <w:shd w:val="clear" w:color="000000" w:fill="FFFFFF"/>
            <w:vAlign w:val="center"/>
            <w:hideMark/>
          </w:tcPr>
          <w:p w14:paraId="150274C7"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90.41</w:t>
            </w:r>
          </w:p>
        </w:tc>
        <w:tc>
          <w:tcPr>
            <w:tcW w:w="222" w:type="dxa"/>
            <w:vAlign w:val="center"/>
            <w:hideMark/>
          </w:tcPr>
          <w:p w14:paraId="1A46C592"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78EA3A21" w14:textId="77777777" w:rsidTr="00D4484B">
        <w:trPr>
          <w:trHeight w:val="312"/>
        </w:trPr>
        <w:tc>
          <w:tcPr>
            <w:tcW w:w="1270" w:type="dxa"/>
            <w:tcBorders>
              <w:top w:val="nil"/>
              <w:left w:val="nil"/>
              <w:bottom w:val="nil"/>
              <w:right w:val="nil"/>
            </w:tcBorders>
            <w:shd w:val="clear" w:color="000000" w:fill="FFFFFF"/>
            <w:vAlign w:val="center"/>
            <w:hideMark/>
          </w:tcPr>
          <w:p w14:paraId="75ACBEFC"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dim12</w:t>
            </w:r>
          </w:p>
        </w:tc>
        <w:tc>
          <w:tcPr>
            <w:tcW w:w="960" w:type="dxa"/>
            <w:tcBorders>
              <w:top w:val="nil"/>
              <w:left w:val="nil"/>
              <w:bottom w:val="nil"/>
              <w:right w:val="nil"/>
            </w:tcBorders>
            <w:shd w:val="clear" w:color="000000" w:fill="FFFFFF"/>
            <w:vAlign w:val="center"/>
            <w:hideMark/>
          </w:tcPr>
          <w:p w14:paraId="308B4981"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0.05</w:t>
            </w:r>
          </w:p>
        </w:tc>
        <w:tc>
          <w:tcPr>
            <w:tcW w:w="1336" w:type="dxa"/>
            <w:tcBorders>
              <w:top w:val="nil"/>
              <w:left w:val="nil"/>
              <w:bottom w:val="nil"/>
              <w:right w:val="nil"/>
            </w:tcBorders>
            <w:shd w:val="clear" w:color="000000" w:fill="FFFFFF"/>
            <w:vAlign w:val="center"/>
            <w:hideMark/>
          </w:tcPr>
          <w:p w14:paraId="6A8FA29E"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90.46</w:t>
            </w:r>
          </w:p>
        </w:tc>
        <w:tc>
          <w:tcPr>
            <w:tcW w:w="222" w:type="dxa"/>
            <w:vAlign w:val="center"/>
            <w:hideMark/>
          </w:tcPr>
          <w:p w14:paraId="235E6F8D"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44E1FEB9" w14:textId="77777777" w:rsidTr="00D4484B">
        <w:trPr>
          <w:trHeight w:val="312"/>
        </w:trPr>
        <w:tc>
          <w:tcPr>
            <w:tcW w:w="1270" w:type="dxa"/>
            <w:tcBorders>
              <w:top w:val="nil"/>
              <w:left w:val="nil"/>
              <w:bottom w:val="nil"/>
              <w:right w:val="nil"/>
            </w:tcBorders>
            <w:shd w:val="clear" w:color="000000" w:fill="FFFFFF"/>
            <w:vAlign w:val="center"/>
            <w:hideMark/>
          </w:tcPr>
          <w:p w14:paraId="4CC4EFE2"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dim13</w:t>
            </w:r>
          </w:p>
        </w:tc>
        <w:tc>
          <w:tcPr>
            <w:tcW w:w="960" w:type="dxa"/>
            <w:tcBorders>
              <w:top w:val="nil"/>
              <w:left w:val="nil"/>
              <w:bottom w:val="nil"/>
              <w:right w:val="nil"/>
            </w:tcBorders>
            <w:shd w:val="clear" w:color="000000" w:fill="FFFFFF"/>
            <w:vAlign w:val="center"/>
            <w:hideMark/>
          </w:tcPr>
          <w:p w14:paraId="69A1EBF9"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0.03</w:t>
            </w:r>
          </w:p>
        </w:tc>
        <w:tc>
          <w:tcPr>
            <w:tcW w:w="1336" w:type="dxa"/>
            <w:tcBorders>
              <w:top w:val="nil"/>
              <w:left w:val="nil"/>
              <w:bottom w:val="nil"/>
              <w:right w:val="nil"/>
            </w:tcBorders>
            <w:shd w:val="clear" w:color="000000" w:fill="FFFFFF"/>
            <w:vAlign w:val="center"/>
            <w:hideMark/>
          </w:tcPr>
          <w:p w14:paraId="03E6B19D"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90.49</w:t>
            </w:r>
          </w:p>
        </w:tc>
        <w:tc>
          <w:tcPr>
            <w:tcW w:w="222" w:type="dxa"/>
            <w:vAlign w:val="center"/>
            <w:hideMark/>
          </w:tcPr>
          <w:p w14:paraId="443874B4"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08862C9B" w14:textId="77777777" w:rsidTr="00D4484B">
        <w:trPr>
          <w:trHeight w:val="312"/>
        </w:trPr>
        <w:tc>
          <w:tcPr>
            <w:tcW w:w="1270" w:type="dxa"/>
            <w:tcBorders>
              <w:top w:val="nil"/>
              <w:left w:val="nil"/>
              <w:bottom w:val="nil"/>
              <w:right w:val="nil"/>
            </w:tcBorders>
            <w:shd w:val="clear" w:color="000000" w:fill="FFFFFF"/>
            <w:vAlign w:val="center"/>
            <w:hideMark/>
          </w:tcPr>
          <w:p w14:paraId="2CF5D72D"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dim14</w:t>
            </w:r>
          </w:p>
        </w:tc>
        <w:tc>
          <w:tcPr>
            <w:tcW w:w="960" w:type="dxa"/>
            <w:tcBorders>
              <w:top w:val="nil"/>
              <w:left w:val="nil"/>
              <w:bottom w:val="nil"/>
              <w:right w:val="nil"/>
            </w:tcBorders>
            <w:shd w:val="clear" w:color="000000" w:fill="FFFFFF"/>
            <w:vAlign w:val="center"/>
            <w:hideMark/>
          </w:tcPr>
          <w:p w14:paraId="0B2D7C08"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0.02</w:t>
            </w:r>
          </w:p>
        </w:tc>
        <w:tc>
          <w:tcPr>
            <w:tcW w:w="1336" w:type="dxa"/>
            <w:tcBorders>
              <w:top w:val="nil"/>
              <w:left w:val="nil"/>
              <w:bottom w:val="nil"/>
              <w:right w:val="nil"/>
            </w:tcBorders>
            <w:shd w:val="clear" w:color="000000" w:fill="FFFFFF"/>
            <w:vAlign w:val="center"/>
            <w:hideMark/>
          </w:tcPr>
          <w:p w14:paraId="6AFC03C3"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90.51</w:t>
            </w:r>
          </w:p>
        </w:tc>
        <w:tc>
          <w:tcPr>
            <w:tcW w:w="222" w:type="dxa"/>
            <w:vAlign w:val="center"/>
            <w:hideMark/>
          </w:tcPr>
          <w:p w14:paraId="61294D45"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776CA59C" w14:textId="77777777" w:rsidTr="00D4484B">
        <w:trPr>
          <w:trHeight w:val="312"/>
        </w:trPr>
        <w:tc>
          <w:tcPr>
            <w:tcW w:w="1270" w:type="dxa"/>
            <w:tcBorders>
              <w:top w:val="nil"/>
              <w:left w:val="nil"/>
              <w:bottom w:val="nil"/>
              <w:right w:val="nil"/>
            </w:tcBorders>
            <w:shd w:val="clear" w:color="000000" w:fill="FFFFFF"/>
            <w:vAlign w:val="center"/>
            <w:hideMark/>
          </w:tcPr>
          <w:p w14:paraId="1E69F64D"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dim15</w:t>
            </w:r>
          </w:p>
        </w:tc>
        <w:tc>
          <w:tcPr>
            <w:tcW w:w="960" w:type="dxa"/>
            <w:tcBorders>
              <w:top w:val="nil"/>
              <w:left w:val="nil"/>
              <w:bottom w:val="nil"/>
              <w:right w:val="nil"/>
            </w:tcBorders>
            <w:shd w:val="clear" w:color="000000" w:fill="FFFFFF"/>
            <w:vAlign w:val="center"/>
            <w:hideMark/>
          </w:tcPr>
          <w:p w14:paraId="327C946F"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0.01</w:t>
            </w:r>
          </w:p>
        </w:tc>
        <w:tc>
          <w:tcPr>
            <w:tcW w:w="1336" w:type="dxa"/>
            <w:tcBorders>
              <w:top w:val="nil"/>
              <w:left w:val="nil"/>
              <w:bottom w:val="nil"/>
              <w:right w:val="nil"/>
            </w:tcBorders>
            <w:shd w:val="clear" w:color="000000" w:fill="FFFFFF"/>
            <w:vAlign w:val="center"/>
            <w:hideMark/>
          </w:tcPr>
          <w:p w14:paraId="70572663"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lang w:eastAsia="en-GB"/>
              </w:rPr>
              <w:t>90.53</w:t>
            </w:r>
          </w:p>
        </w:tc>
        <w:tc>
          <w:tcPr>
            <w:tcW w:w="222" w:type="dxa"/>
            <w:vAlign w:val="center"/>
            <w:hideMark/>
          </w:tcPr>
          <w:p w14:paraId="5A68896B"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3ACDA716" w14:textId="77777777" w:rsidTr="00D4484B">
        <w:trPr>
          <w:trHeight w:val="312"/>
        </w:trPr>
        <w:tc>
          <w:tcPr>
            <w:tcW w:w="1270" w:type="dxa"/>
            <w:tcBorders>
              <w:top w:val="nil"/>
              <w:left w:val="nil"/>
              <w:bottom w:val="nil"/>
              <w:right w:val="nil"/>
            </w:tcBorders>
            <w:shd w:val="clear" w:color="000000" w:fill="FFFFFF"/>
            <w:vAlign w:val="center"/>
            <w:hideMark/>
          </w:tcPr>
          <w:p w14:paraId="1E1A466A"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dim16</w:t>
            </w:r>
          </w:p>
        </w:tc>
        <w:tc>
          <w:tcPr>
            <w:tcW w:w="960" w:type="dxa"/>
            <w:tcBorders>
              <w:top w:val="nil"/>
              <w:left w:val="nil"/>
              <w:bottom w:val="nil"/>
              <w:right w:val="nil"/>
            </w:tcBorders>
            <w:shd w:val="clear" w:color="000000" w:fill="FFFFFF"/>
            <w:vAlign w:val="center"/>
            <w:hideMark/>
          </w:tcPr>
          <w:p w14:paraId="7501AC37"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color w:val="000000"/>
                <w:lang w:eastAsia="en-GB"/>
              </w:rPr>
              <w:t>0</w:t>
            </w:r>
          </w:p>
        </w:tc>
        <w:tc>
          <w:tcPr>
            <w:tcW w:w="1336" w:type="dxa"/>
            <w:tcBorders>
              <w:top w:val="nil"/>
              <w:left w:val="nil"/>
              <w:bottom w:val="nil"/>
              <w:right w:val="nil"/>
            </w:tcBorders>
            <w:shd w:val="clear" w:color="000000" w:fill="FFFFFF"/>
            <w:vAlign w:val="center"/>
            <w:hideMark/>
          </w:tcPr>
          <w:p w14:paraId="5C38B9E2"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color w:val="000000"/>
                <w:lang w:eastAsia="en-GB"/>
              </w:rPr>
              <w:t>90.53</w:t>
            </w:r>
          </w:p>
        </w:tc>
        <w:tc>
          <w:tcPr>
            <w:tcW w:w="222" w:type="dxa"/>
            <w:vAlign w:val="center"/>
            <w:hideMark/>
          </w:tcPr>
          <w:p w14:paraId="073FEF58"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0E09039C" w14:textId="77777777" w:rsidTr="00D4484B">
        <w:trPr>
          <w:trHeight w:val="312"/>
        </w:trPr>
        <w:tc>
          <w:tcPr>
            <w:tcW w:w="1270" w:type="dxa"/>
            <w:tcBorders>
              <w:top w:val="nil"/>
              <w:left w:val="nil"/>
              <w:bottom w:val="nil"/>
              <w:right w:val="nil"/>
            </w:tcBorders>
            <w:shd w:val="clear" w:color="000000" w:fill="FFFFFF"/>
            <w:vAlign w:val="center"/>
            <w:hideMark/>
          </w:tcPr>
          <w:p w14:paraId="7E8FBF98"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dim17</w:t>
            </w:r>
          </w:p>
        </w:tc>
        <w:tc>
          <w:tcPr>
            <w:tcW w:w="960" w:type="dxa"/>
            <w:tcBorders>
              <w:top w:val="nil"/>
              <w:left w:val="nil"/>
              <w:bottom w:val="nil"/>
              <w:right w:val="nil"/>
            </w:tcBorders>
            <w:shd w:val="clear" w:color="000000" w:fill="FFFFFF"/>
            <w:vAlign w:val="center"/>
            <w:hideMark/>
          </w:tcPr>
          <w:p w14:paraId="4694A242"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color w:val="000000"/>
                <w:lang w:eastAsia="en-GB"/>
              </w:rPr>
              <w:t>0</w:t>
            </w:r>
          </w:p>
        </w:tc>
        <w:tc>
          <w:tcPr>
            <w:tcW w:w="1336" w:type="dxa"/>
            <w:tcBorders>
              <w:top w:val="nil"/>
              <w:left w:val="nil"/>
              <w:bottom w:val="nil"/>
              <w:right w:val="nil"/>
            </w:tcBorders>
            <w:shd w:val="clear" w:color="000000" w:fill="FFFFFF"/>
            <w:vAlign w:val="center"/>
            <w:hideMark/>
          </w:tcPr>
          <w:p w14:paraId="4F21A933" w14:textId="77777777" w:rsidR="00D4484B" w:rsidRPr="0056758C" w:rsidRDefault="00D4484B" w:rsidP="0056758C">
            <w:pPr>
              <w:spacing w:after="0" w:line="240" w:lineRule="auto"/>
              <w:jc w:val="both"/>
              <w:rPr>
                <w:rFonts w:ascii="Calibri" w:eastAsia="Times New Roman" w:hAnsi="Calibri" w:cs="Calibri"/>
                <w:color w:val="000000"/>
                <w:lang w:eastAsia="en-GB"/>
              </w:rPr>
            </w:pPr>
            <w:r w:rsidRPr="0056758C">
              <w:rPr>
                <w:rFonts w:ascii="Calibri" w:eastAsia="Times New Roman" w:hAnsi="Calibri" w:cs="Calibri"/>
                <w:color w:val="000000"/>
                <w:lang w:eastAsia="en-GB"/>
              </w:rPr>
              <w:t>90.53</w:t>
            </w:r>
          </w:p>
        </w:tc>
        <w:tc>
          <w:tcPr>
            <w:tcW w:w="222" w:type="dxa"/>
            <w:vAlign w:val="center"/>
            <w:hideMark/>
          </w:tcPr>
          <w:p w14:paraId="5964E098"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r w:rsidR="00D4484B" w:rsidRPr="0056758C" w14:paraId="351CD7F7" w14:textId="77777777" w:rsidTr="00D4484B">
        <w:trPr>
          <w:trHeight w:val="324"/>
        </w:trPr>
        <w:tc>
          <w:tcPr>
            <w:tcW w:w="1270" w:type="dxa"/>
            <w:tcBorders>
              <w:top w:val="nil"/>
              <w:left w:val="nil"/>
              <w:bottom w:val="double" w:sz="6" w:space="0" w:color="auto"/>
              <w:right w:val="nil"/>
            </w:tcBorders>
            <w:shd w:val="clear" w:color="000000" w:fill="FFFFFF"/>
            <w:vAlign w:val="center"/>
            <w:hideMark/>
          </w:tcPr>
          <w:p w14:paraId="0ADC29BA" w14:textId="77777777" w:rsidR="00D4484B" w:rsidRPr="0056758C" w:rsidRDefault="00D4484B" w:rsidP="0056758C">
            <w:pPr>
              <w:spacing w:after="0" w:line="240" w:lineRule="auto"/>
              <w:jc w:val="both"/>
              <w:rPr>
                <w:rFonts w:ascii="Times New Roman" w:eastAsia="Times New Roman" w:hAnsi="Times New Roman" w:cs="Times New Roman"/>
                <w:i/>
                <w:iCs/>
                <w:color w:val="000000"/>
                <w:sz w:val="24"/>
                <w:szCs w:val="24"/>
                <w:lang w:eastAsia="en-GB"/>
              </w:rPr>
            </w:pPr>
            <w:r w:rsidRPr="0056758C">
              <w:rPr>
                <w:rFonts w:ascii="Times New Roman" w:eastAsia="Times New Roman" w:hAnsi="Times New Roman" w:cs="Times New Roman"/>
                <w:i/>
                <w:iCs/>
                <w:color w:val="000000"/>
                <w:sz w:val="24"/>
                <w:szCs w:val="24"/>
                <w:lang w:eastAsia="en-GB"/>
              </w:rPr>
              <w:t> </w:t>
            </w:r>
          </w:p>
        </w:tc>
        <w:tc>
          <w:tcPr>
            <w:tcW w:w="960" w:type="dxa"/>
            <w:tcBorders>
              <w:top w:val="nil"/>
              <w:left w:val="nil"/>
              <w:bottom w:val="double" w:sz="6" w:space="0" w:color="auto"/>
              <w:right w:val="nil"/>
            </w:tcBorders>
            <w:shd w:val="clear" w:color="000000" w:fill="FFFFFF"/>
            <w:vAlign w:val="center"/>
            <w:hideMark/>
          </w:tcPr>
          <w:p w14:paraId="28AD9FCA" w14:textId="77777777" w:rsidR="00D4484B" w:rsidRPr="0056758C" w:rsidRDefault="00D4484B" w:rsidP="0056758C">
            <w:pPr>
              <w:spacing w:after="0" w:line="240" w:lineRule="auto"/>
              <w:jc w:val="both"/>
              <w:rPr>
                <w:rFonts w:ascii="Times New Roman" w:eastAsia="Times New Roman" w:hAnsi="Times New Roman" w:cs="Times New Roman"/>
                <w:color w:val="000000"/>
                <w:sz w:val="24"/>
                <w:szCs w:val="24"/>
                <w:lang w:eastAsia="en-GB"/>
              </w:rPr>
            </w:pPr>
            <w:r w:rsidRPr="0056758C">
              <w:rPr>
                <w:rFonts w:ascii="Times New Roman" w:eastAsia="Times New Roman" w:hAnsi="Times New Roman" w:cs="Times New Roman"/>
                <w:color w:val="000000"/>
                <w:sz w:val="24"/>
                <w:szCs w:val="24"/>
                <w:lang w:eastAsia="en-GB"/>
              </w:rPr>
              <w:t> </w:t>
            </w:r>
          </w:p>
        </w:tc>
        <w:tc>
          <w:tcPr>
            <w:tcW w:w="1336" w:type="dxa"/>
            <w:tcBorders>
              <w:top w:val="nil"/>
              <w:left w:val="nil"/>
              <w:bottom w:val="double" w:sz="6" w:space="0" w:color="auto"/>
              <w:right w:val="nil"/>
            </w:tcBorders>
            <w:shd w:val="clear" w:color="000000" w:fill="FFFFFF"/>
            <w:vAlign w:val="center"/>
            <w:hideMark/>
          </w:tcPr>
          <w:p w14:paraId="27D7CF7E" w14:textId="77777777" w:rsidR="00D4484B" w:rsidRPr="0056758C" w:rsidRDefault="00D4484B" w:rsidP="0056758C">
            <w:pPr>
              <w:spacing w:after="0" w:line="240" w:lineRule="auto"/>
              <w:jc w:val="both"/>
              <w:rPr>
                <w:rFonts w:ascii="Times New Roman" w:eastAsia="Times New Roman" w:hAnsi="Times New Roman" w:cs="Times New Roman"/>
                <w:color w:val="000000"/>
                <w:sz w:val="24"/>
                <w:szCs w:val="24"/>
                <w:lang w:eastAsia="en-GB"/>
              </w:rPr>
            </w:pPr>
            <w:r w:rsidRPr="0056758C">
              <w:rPr>
                <w:rFonts w:ascii="Times New Roman" w:eastAsia="Times New Roman" w:hAnsi="Times New Roman" w:cs="Times New Roman"/>
                <w:color w:val="000000"/>
                <w:sz w:val="24"/>
                <w:szCs w:val="24"/>
                <w:lang w:eastAsia="en-GB"/>
              </w:rPr>
              <w:t> </w:t>
            </w:r>
          </w:p>
        </w:tc>
        <w:tc>
          <w:tcPr>
            <w:tcW w:w="222" w:type="dxa"/>
            <w:vAlign w:val="center"/>
            <w:hideMark/>
          </w:tcPr>
          <w:p w14:paraId="1D3FD6B6" w14:textId="77777777" w:rsidR="00D4484B" w:rsidRPr="0056758C" w:rsidRDefault="00D4484B" w:rsidP="0056758C">
            <w:pPr>
              <w:spacing w:after="0" w:line="240" w:lineRule="auto"/>
              <w:rPr>
                <w:rFonts w:ascii="Times New Roman" w:eastAsia="Times New Roman" w:hAnsi="Times New Roman" w:cs="Times New Roman"/>
                <w:sz w:val="20"/>
                <w:szCs w:val="20"/>
                <w:lang w:eastAsia="en-GB"/>
              </w:rPr>
            </w:pPr>
          </w:p>
        </w:tc>
      </w:tr>
    </w:tbl>
    <w:p w14:paraId="701C0247" w14:textId="77777777" w:rsidR="0056758C" w:rsidRDefault="0056758C" w:rsidP="0046268B">
      <w:pPr>
        <w:spacing w:line="240" w:lineRule="auto"/>
        <w:ind w:firstLine="851"/>
        <w:jc w:val="both"/>
        <w:rPr>
          <w:rFonts w:ascii="Times New Roman" w:hAnsi="Times New Roman" w:cs="Times New Roman"/>
          <w:sz w:val="24"/>
          <w:szCs w:val="24"/>
        </w:rPr>
      </w:pPr>
    </w:p>
    <w:p w14:paraId="7A77753F" w14:textId="63DCB03B" w:rsidR="00357EE1" w:rsidRPr="0046268B" w:rsidRDefault="00357EE1" w:rsidP="00357EE1">
      <w:pPr>
        <w:keepNext/>
        <w:jc w:val="center"/>
        <w:rPr>
          <w:rFonts w:ascii="Times New Roman" w:hAnsi="Times New Roman" w:cs="Times New Roman"/>
          <w:b/>
          <w:bCs/>
          <w:sz w:val="24"/>
          <w:szCs w:val="24"/>
        </w:rPr>
      </w:pPr>
      <w:r w:rsidRPr="0046268B">
        <w:rPr>
          <w:rFonts w:ascii="Times New Roman" w:hAnsi="Times New Roman" w:cs="Times New Roman"/>
          <w:b/>
          <w:bCs/>
          <w:sz w:val="24"/>
          <w:szCs w:val="24"/>
        </w:rPr>
        <w:t xml:space="preserve">Table </w:t>
      </w:r>
      <w:r w:rsidRPr="0046268B">
        <w:rPr>
          <w:rFonts w:ascii="Times New Roman" w:hAnsi="Times New Roman" w:cs="Times New Roman"/>
          <w:b/>
          <w:bCs/>
          <w:sz w:val="24"/>
          <w:szCs w:val="24"/>
        </w:rPr>
        <w:fldChar w:fldCharType="begin"/>
      </w:r>
      <w:r w:rsidRPr="0046268B">
        <w:rPr>
          <w:rFonts w:ascii="Times New Roman" w:hAnsi="Times New Roman" w:cs="Times New Roman"/>
          <w:b/>
          <w:bCs/>
          <w:sz w:val="24"/>
          <w:szCs w:val="24"/>
        </w:rPr>
        <w:instrText xml:space="preserve"> SEQ Table \* ARABIC </w:instrText>
      </w:r>
      <w:r w:rsidRPr="0046268B">
        <w:rPr>
          <w:rFonts w:ascii="Times New Roman" w:hAnsi="Times New Roman" w:cs="Times New Roman"/>
          <w:b/>
          <w:bCs/>
          <w:sz w:val="24"/>
          <w:szCs w:val="24"/>
        </w:rPr>
        <w:fldChar w:fldCharType="separate"/>
      </w:r>
      <w:r w:rsidR="0056758C">
        <w:rPr>
          <w:rFonts w:ascii="Times New Roman" w:hAnsi="Times New Roman" w:cs="Times New Roman"/>
          <w:b/>
          <w:bCs/>
          <w:noProof/>
          <w:sz w:val="24"/>
          <w:szCs w:val="24"/>
        </w:rPr>
        <w:t>6</w:t>
      </w:r>
      <w:r w:rsidRPr="0046268B">
        <w:rPr>
          <w:rFonts w:ascii="Times New Roman" w:hAnsi="Times New Roman" w:cs="Times New Roman"/>
          <w:b/>
          <w:bCs/>
          <w:sz w:val="24"/>
          <w:szCs w:val="24"/>
        </w:rPr>
        <w:fldChar w:fldCharType="end"/>
      </w:r>
      <w:r w:rsidRPr="0046268B">
        <w:rPr>
          <w:rFonts w:ascii="Times New Roman" w:hAnsi="Times New Roman" w:cs="Times New Roman"/>
          <w:b/>
          <w:bCs/>
          <w:sz w:val="24"/>
          <w:szCs w:val="24"/>
        </w:rPr>
        <w:t>. Multiple Correspondence Analysis Results</w:t>
      </w:r>
    </w:p>
    <w:tbl>
      <w:tblPr>
        <w:tblW w:w="8207" w:type="dxa"/>
        <w:tblLook w:val="04A0" w:firstRow="1" w:lastRow="0" w:firstColumn="1" w:lastColumn="0" w:noHBand="0" w:noVBand="1"/>
      </w:tblPr>
      <w:tblGrid>
        <w:gridCol w:w="1005"/>
        <w:gridCol w:w="859"/>
        <w:gridCol w:w="822"/>
        <w:gridCol w:w="734"/>
        <w:gridCol w:w="794"/>
        <w:gridCol w:w="891"/>
        <w:gridCol w:w="730"/>
        <w:gridCol w:w="794"/>
        <w:gridCol w:w="891"/>
        <w:gridCol w:w="730"/>
      </w:tblGrid>
      <w:tr w:rsidR="00423B79" w:rsidRPr="00423B79" w14:paraId="0027C2A4" w14:textId="77777777" w:rsidTr="00423B79">
        <w:trPr>
          <w:trHeight w:val="237"/>
        </w:trPr>
        <w:tc>
          <w:tcPr>
            <w:tcW w:w="962" w:type="dxa"/>
            <w:shd w:val="clear" w:color="auto" w:fill="auto"/>
            <w:noWrap/>
            <w:vAlign w:val="bottom"/>
            <w:hideMark/>
          </w:tcPr>
          <w:p w14:paraId="51E4023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2415" w:type="dxa"/>
            <w:gridSpan w:val="3"/>
            <w:shd w:val="clear" w:color="auto" w:fill="auto"/>
            <w:noWrap/>
            <w:vAlign w:val="bottom"/>
            <w:hideMark/>
          </w:tcPr>
          <w:p w14:paraId="3335C53C" w14:textId="77777777" w:rsidR="00423B79" w:rsidRPr="00423B79" w:rsidRDefault="00423B79" w:rsidP="00423B79">
            <w:pPr>
              <w:spacing w:after="0" w:line="240" w:lineRule="auto"/>
              <w:jc w:val="center"/>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Overall</w:t>
            </w:r>
          </w:p>
        </w:tc>
        <w:tc>
          <w:tcPr>
            <w:tcW w:w="2415" w:type="dxa"/>
            <w:gridSpan w:val="3"/>
            <w:shd w:val="clear" w:color="auto" w:fill="auto"/>
            <w:noWrap/>
            <w:vAlign w:val="bottom"/>
            <w:hideMark/>
          </w:tcPr>
          <w:p w14:paraId="30DC4CB0" w14:textId="77777777" w:rsidR="00423B79" w:rsidRPr="00423B79" w:rsidRDefault="00423B79" w:rsidP="00423B79">
            <w:pPr>
              <w:spacing w:after="0" w:line="240" w:lineRule="auto"/>
              <w:jc w:val="center"/>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Dimension 1</w:t>
            </w:r>
          </w:p>
        </w:tc>
        <w:tc>
          <w:tcPr>
            <w:tcW w:w="2415" w:type="dxa"/>
            <w:gridSpan w:val="3"/>
            <w:shd w:val="clear" w:color="auto" w:fill="auto"/>
            <w:noWrap/>
            <w:vAlign w:val="bottom"/>
            <w:hideMark/>
          </w:tcPr>
          <w:p w14:paraId="0E76D721" w14:textId="77777777" w:rsidR="00423B79" w:rsidRPr="00423B79" w:rsidRDefault="00423B79" w:rsidP="00423B79">
            <w:pPr>
              <w:spacing w:after="0" w:line="240" w:lineRule="auto"/>
              <w:jc w:val="center"/>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Dimension 2</w:t>
            </w:r>
          </w:p>
        </w:tc>
      </w:tr>
      <w:tr w:rsidR="00423B79" w:rsidRPr="00423B79" w14:paraId="74268DC6" w14:textId="77777777" w:rsidTr="00423B79">
        <w:trPr>
          <w:trHeight w:val="237"/>
        </w:trPr>
        <w:tc>
          <w:tcPr>
            <w:tcW w:w="962" w:type="dxa"/>
            <w:shd w:val="clear" w:color="auto" w:fill="auto"/>
            <w:noWrap/>
            <w:vAlign w:val="bottom"/>
            <w:hideMark/>
          </w:tcPr>
          <w:p w14:paraId="1062C328"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mass</w:t>
            </w:r>
          </w:p>
        </w:tc>
        <w:tc>
          <w:tcPr>
            <w:tcW w:w="859" w:type="dxa"/>
            <w:shd w:val="clear" w:color="auto" w:fill="auto"/>
            <w:noWrap/>
            <w:vAlign w:val="bottom"/>
            <w:hideMark/>
          </w:tcPr>
          <w:p w14:paraId="37E58424"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quality</w:t>
            </w:r>
          </w:p>
        </w:tc>
        <w:tc>
          <w:tcPr>
            <w:tcW w:w="822" w:type="dxa"/>
            <w:shd w:val="clear" w:color="auto" w:fill="auto"/>
            <w:noWrap/>
            <w:vAlign w:val="bottom"/>
            <w:hideMark/>
          </w:tcPr>
          <w:p w14:paraId="7B0B1A2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%inert</w:t>
            </w:r>
          </w:p>
        </w:tc>
        <w:tc>
          <w:tcPr>
            <w:tcW w:w="733" w:type="dxa"/>
            <w:shd w:val="clear" w:color="auto" w:fill="auto"/>
            <w:noWrap/>
            <w:vAlign w:val="bottom"/>
            <w:hideMark/>
          </w:tcPr>
          <w:p w14:paraId="73F7E5C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coord</w:t>
            </w:r>
          </w:p>
        </w:tc>
        <w:tc>
          <w:tcPr>
            <w:tcW w:w="794" w:type="dxa"/>
            <w:shd w:val="clear" w:color="auto" w:fill="auto"/>
            <w:noWrap/>
            <w:vAlign w:val="bottom"/>
            <w:hideMark/>
          </w:tcPr>
          <w:p w14:paraId="0836A40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sqcorr</w:t>
            </w:r>
          </w:p>
        </w:tc>
        <w:tc>
          <w:tcPr>
            <w:tcW w:w="891" w:type="dxa"/>
            <w:shd w:val="clear" w:color="auto" w:fill="auto"/>
            <w:noWrap/>
            <w:vAlign w:val="bottom"/>
            <w:hideMark/>
          </w:tcPr>
          <w:p w14:paraId="333FD5A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contrib</w:t>
            </w:r>
          </w:p>
        </w:tc>
        <w:tc>
          <w:tcPr>
            <w:tcW w:w="728" w:type="dxa"/>
            <w:shd w:val="clear" w:color="auto" w:fill="auto"/>
            <w:noWrap/>
            <w:vAlign w:val="bottom"/>
            <w:hideMark/>
          </w:tcPr>
          <w:p w14:paraId="32F3F5C1"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coord</w:t>
            </w:r>
          </w:p>
        </w:tc>
        <w:tc>
          <w:tcPr>
            <w:tcW w:w="794" w:type="dxa"/>
            <w:shd w:val="clear" w:color="auto" w:fill="auto"/>
            <w:noWrap/>
            <w:vAlign w:val="bottom"/>
            <w:hideMark/>
          </w:tcPr>
          <w:p w14:paraId="5427CCA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sqcorr</w:t>
            </w:r>
          </w:p>
        </w:tc>
        <w:tc>
          <w:tcPr>
            <w:tcW w:w="891" w:type="dxa"/>
            <w:shd w:val="clear" w:color="auto" w:fill="auto"/>
            <w:noWrap/>
            <w:vAlign w:val="bottom"/>
            <w:hideMark/>
          </w:tcPr>
          <w:p w14:paraId="15E2C67D"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contrib</w:t>
            </w:r>
          </w:p>
        </w:tc>
        <w:tc>
          <w:tcPr>
            <w:tcW w:w="728" w:type="dxa"/>
            <w:shd w:val="clear" w:color="auto" w:fill="auto"/>
            <w:noWrap/>
            <w:vAlign w:val="bottom"/>
            <w:hideMark/>
          </w:tcPr>
          <w:p w14:paraId="37E5562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coord</w:t>
            </w:r>
          </w:p>
        </w:tc>
      </w:tr>
      <w:tr w:rsidR="00423B79" w:rsidRPr="00423B79" w14:paraId="7C80273F" w14:textId="77777777" w:rsidTr="00423B79">
        <w:trPr>
          <w:trHeight w:val="237"/>
        </w:trPr>
        <w:tc>
          <w:tcPr>
            <w:tcW w:w="962" w:type="dxa"/>
            <w:shd w:val="clear" w:color="auto" w:fill="auto"/>
            <w:noWrap/>
            <w:vAlign w:val="bottom"/>
            <w:hideMark/>
          </w:tcPr>
          <w:p w14:paraId="0619D7F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gnipercap</w:t>
            </w:r>
          </w:p>
        </w:tc>
        <w:tc>
          <w:tcPr>
            <w:tcW w:w="859" w:type="dxa"/>
            <w:shd w:val="clear" w:color="auto" w:fill="auto"/>
            <w:noWrap/>
            <w:vAlign w:val="bottom"/>
            <w:hideMark/>
          </w:tcPr>
          <w:p w14:paraId="287E31DD"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0C4BA1B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4C868B7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60A14CB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708E55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1B52304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3B1354E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6FAC3F4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E05B86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373C6A39" w14:textId="77777777" w:rsidTr="00423B79">
        <w:trPr>
          <w:trHeight w:val="237"/>
        </w:trPr>
        <w:tc>
          <w:tcPr>
            <w:tcW w:w="962" w:type="dxa"/>
            <w:shd w:val="clear" w:color="auto" w:fill="auto"/>
            <w:noWrap/>
            <w:vAlign w:val="bottom"/>
            <w:hideMark/>
          </w:tcPr>
          <w:p w14:paraId="5B6EA84D"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3F3B7B1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0.025</w:t>
            </w:r>
          </w:p>
        </w:tc>
        <w:tc>
          <w:tcPr>
            <w:tcW w:w="822" w:type="dxa"/>
            <w:shd w:val="clear" w:color="auto" w:fill="auto"/>
            <w:noWrap/>
            <w:vAlign w:val="bottom"/>
            <w:hideMark/>
          </w:tcPr>
          <w:p w14:paraId="67EE41D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0.924</w:t>
            </w:r>
          </w:p>
        </w:tc>
        <w:tc>
          <w:tcPr>
            <w:tcW w:w="733" w:type="dxa"/>
            <w:shd w:val="clear" w:color="auto" w:fill="auto"/>
            <w:noWrap/>
            <w:vAlign w:val="bottom"/>
            <w:hideMark/>
          </w:tcPr>
          <w:p w14:paraId="3A6124E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0.015</w:t>
            </w:r>
          </w:p>
        </w:tc>
        <w:tc>
          <w:tcPr>
            <w:tcW w:w="794" w:type="dxa"/>
            <w:shd w:val="clear" w:color="auto" w:fill="auto"/>
            <w:noWrap/>
            <w:vAlign w:val="bottom"/>
            <w:hideMark/>
          </w:tcPr>
          <w:p w14:paraId="3BD0C00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0.922</w:t>
            </w:r>
          </w:p>
        </w:tc>
        <w:tc>
          <w:tcPr>
            <w:tcW w:w="891" w:type="dxa"/>
            <w:shd w:val="clear" w:color="auto" w:fill="auto"/>
            <w:noWrap/>
            <w:vAlign w:val="bottom"/>
            <w:hideMark/>
          </w:tcPr>
          <w:p w14:paraId="5263A2C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0.904</w:t>
            </w:r>
          </w:p>
        </w:tc>
        <w:tc>
          <w:tcPr>
            <w:tcW w:w="728" w:type="dxa"/>
            <w:shd w:val="clear" w:color="auto" w:fill="auto"/>
            <w:noWrap/>
            <w:vAlign w:val="bottom"/>
            <w:hideMark/>
          </w:tcPr>
          <w:p w14:paraId="5368D57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0.021</w:t>
            </w:r>
          </w:p>
        </w:tc>
        <w:tc>
          <w:tcPr>
            <w:tcW w:w="794" w:type="dxa"/>
            <w:shd w:val="clear" w:color="auto" w:fill="auto"/>
            <w:noWrap/>
            <w:vAlign w:val="bottom"/>
            <w:hideMark/>
          </w:tcPr>
          <w:p w14:paraId="77D2AF1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0.262</w:t>
            </w:r>
          </w:p>
        </w:tc>
        <w:tc>
          <w:tcPr>
            <w:tcW w:w="891" w:type="dxa"/>
            <w:shd w:val="clear" w:color="auto" w:fill="auto"/>
            <w:noWrap/>
            <w:vAlign w:val="bottom"/>
            <w:hideMark/>
          </w:tcPr>
          <w:p w14:paraId="689301C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c>
          <w:tcPr>
            <w:tcW w:w="728" w:type="dxa"/>
            <w:shd w:val="clear" w:color="auto" w:fill="auto"/>
            <w:noWrap/>
            <w:vAlign w:val="bottom"/>
            <w:hideMark/>
          </w:tcPr>
          <w:p w14:paraId="6AB830F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5AAABC10" w14:textId="77777777" w:rsidTr="00423B79">
        <w:trPr>
          <w:trHeight w:val="237"/>
        </w:trPr>
        <w:tc>
          <w:tcPr>
            <w:tcW w:w="962" w:type="dxa"/>
            <w:shd w:val="clear" w:color="auto" w:fill="auto"/>
            <w:noWrap/>
            <w:vAlign w:val="bottom"/>
            <w:hideMark/>
          </w:tcPr>
          <w:p w14:paraId="23C3E06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2C84A52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822" w:type="dxa"/>
            <w:shd w:val="clear" w:color="auto" w:fill="auto"/>
            <w:noWrap/>
            <w:vAlign w:val="bottom"/>
            <w:hideMark/>
          </w:tcPr>
          <w:p w14:paraId="77C001C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0.691</w:t>
            </w:r>
          </w:p>
        </w:tc>
        <w:tc>
          <w:tcPr>
            <w:tcW w:w="733" w:type="dxa"/>
            <w:shd w:val="clear" w:color="auto" w:fill="auto"/>
            <w:noWrap/>
            <w:vAlign w:val="bottom"/>
            <w:hideMark/>
          </w:tcPr>
          <w:p w14:paraId="1C106BB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3D00DEE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-2.403</w:t>
            </w:r>
          </w:p>
        </w:tc>
        <w:tc>
          <w:tcPr>
            <w:tcW w:w="891" w:type="dxa"/>
            <w:shd w:val="clear" w:color="auto" w:fill="auto"/>
            <w:noWrap/>
            <w:vAlign w:val="bottom"/>
            <w:hideMark/>
          </w:tcPr>
          <w:p w14:paraId="6573860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0.69</w:t>
            </w:r>
          </w:p>
        </w:tc>
        <w:tc>
          <w:tcPr>
            <w:tcW w:w="728" w:type="dxa"/>
            <w:shd w:val="clear" w:color="auto" w:fill="auto"/>
            <w:noWrap/>
            <w:vAlign w:val="bottom"/>
            <w:hideMark/>
          </w:tcPr>
          <w:p w14:paraId="1BE9930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6ABA879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0.131</w:t>
            </w:r>
          </w:p>
        </w:tc>
        <w:tc>
          <w:tcPr>
            <w:tcW w:w="891" w:type="dxa"/>
            <w:shd w:val="clear" w:color="auto" w:fill="auto"/>
            <w:noWrap/>
            <w:vAlign w:val="bottom"/>
            <w:hideMark/>
          </w:tcPr>
          <w:p w14:paraId="10F0F5C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28" w:type="dxa"/>
            <w:shd w:val="clear" w:color="auto" w:fill="auto"/>
            <w:noWrap/>
            <w:vAlign w:val="bottom"/>
            <w:hideMark/>
          </w:tcPr>
          <w:p w14:paraId="07120DD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710A3EC2" w14:textId="77777777" w:rsidTr="00423B79">
        <w:trPr>
          <w:trHeight w:val="237"/>
        </w:trPr>
        <w:tc>
          <w:tcPr>
            <w:tcW w:w="962" w:type="dxa"/>
            <w:shd w:val="clear" w:color="auto" w:fill="auto"/>
            <w:noWrap/>
            <w:vAlign w:val="bottom"/>
            <w:hideMark/>
          </w:tcPr>
          <w:p w14:paraId="62FD976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35A6A30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54C96ED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0.909</w:t>
            </w:r>
          </w:p>
        </w:tc>
        <w:tc>
          <w:tcPr>
            <w:tcW w:w="733" w:type="dxa"/>
            <w:shd w:val="clear" w:color="auto" w:fill="auto"/>
            <w:noWrap/>
            <w:vAlign w:val="bottom"/>
            <w:hideMark/>
          </w:tcPr>
          <w:p w14:paraId="4EAD9DB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94" w:type="dxa"/>
            <w:shd w:val="clear" w:color="auto" w:fill="auto"/>
            <w:noWrap/>
            <w:vAlign w:val="bottom"/>
            <w:hideMark/>
          </w:tcPr>
          <w:p w14:paraId="758797F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-1.713</w:t>
            </w:r>
          </w:p>
        </w:tc>
        <w:tc>
          <w:tcPr>
            <w:tcW w:w="891" w:type="dxa"/>
            <w:shd w:val="clear" w:color="auto" w:fill="auto"/>
            <w:noWrap/>
            <w:vAlign w:val="bottom"/>
            <w:hideMark/>
          </w:tcPr>
          <w:p w14:paraId="6DDDEAE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0.872</w:t>
            </w:r>
          </w:p>
        </w:tc>
        <w:tc>
          <w:tcPr>
            <w:tcW w:w="728" w:type="dxa"/>
            <w:shd w:val="clear" w:color="auto" w:fill="auto"/>
            <w:noWrap/>
            <w:vAlign w:val="bottom"/>
            <w:hideMark/>
          </w:tcPr>
          <w:p w14:paraId="758A33E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0.029</w:t>
            </w:r>
          </w:p>
        </w:tc>
        <w:tc>
          <w:tcPr>
            <w:tcW w:w="794" w:type="dxa"/>
            <w:shd w:val="clear" w:color="auto" w:fill="auto"/>
            <w:noWrap/>
            <w:vAlign w:val="bottom"/>
            <w:hideMark/>
          </w:tcPr>
          <w:p w14:paraId="51F517F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-0.678</w:t>
            </w:r>
          </w:p>
        </w:tc>
        <w:tc>
          <w:tcPr>
            <w:tcW w:w="891" w:type="dxa"/>
            <w:shd w:val="clear" w:color="auto" w:fill="auto"/>
            <w:noWrap/>
            <w:vAlign w:val="bottom"/>
            <w:hideMark/>
          </w:tcPr>
          <w:p w14:paraId="42A5B88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0.038</w:t>
            </w:r>
          </w:p>
        </w:tc>
        <w:tc>
          <w:tcPr>
            <w:tcW w:w="728" w:type="dxa"/>
            <w:shd w:val="clear" w:color="auto" w:fill="auto"/>
            <w:noWrap/>
            <w:vAlign w:val="bottom"/>
            <w:hideMark/>
          </w:tcPr>
          <w:p w14:paraId="6AA5ADD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r>
      <w:tr w:rsidR="00423B79" w:rsidRPr="00423B79" w14:paraId="1D3DEB67" w14:textId="77777777" w:rsidTr="00423B79">
        <w:trPr>
          <w:trHeight w:val="237"/>
        </w:trPr>
        <w:tc>
          <w:tcPr>
            <w:tcW w:w="962" w:type="dxa"/>
            <w:shd w:val="clear" w:color="auto" w:fill="auto"/>
            <w:noWrap/>
            <w:vAlign w:val="bottom"/>
            <w:hideMark/>
          </w:tcPr>
          <w:p w14:paraId="311680C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lifeexp</w:t>
            </w:r>
          </w:p>
        </w:tc>
        <w:tc>
          <w:tcPr>
            <w:tcW w:w="859" w:type="dxa"/>
            <w:shd w:val="clear" w:color="auto" w:fill="auto"/>
            <w:noWrap/>
            <w:vAlign w:val="bottom"/>
            <w:hideMark/>
          </w:tcPr>
          <w:p w14:paraId="4757262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755EF05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5638365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588981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44096C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CE649D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9AC3B6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F7017B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7A4AA8E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62D07198" w14:textId="77777777" w:rsidTr="00423B79">
        <w:trPr>
          <w:trHeight w:val="237"/>
        </w:trPr>
        <w:tc>
          <w:tcPr>
            <w:tcW w:w="962" w:type="dxa"/>
            <w:shd w:val="clear" w:color="auto" w:fill="auto"/>
            <w:noWrap/>
            <w:vAlign w:val="bottom"/>
            <w:hideMark/>
          </w:tcPr>
          <w:p w14:paraId="6B7C8749"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235EF68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822" w:type="dxa"/>
            <w:shd w:val="clear" w:color="auto" w:fill="auto"/>
            <w:noWrap/>
            <w:vAlign w:val="bottom"/>
            <w:hideMark/>
          </w:tcPr>
          <w:p w14:paraId="0D2562F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0.885</w:t>
            </w:r>
          </w:p>
        </w:tc>
        <w:tc>
          <w:tcPr>
            <w:tcW w:w="733" w:type="dxa"/>
            <w:shd w:val="clear" w:color="auto" w:fill="auto"/>
            <w:noWrap/>
            <w:vAlign w:val="bottom"/>
            <w:hideMark/>
          </w:tcPr>
          <w:p w14:paraId="6E51FB6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794" w:type="dxa"/>
            <w:shd w:val="clear" w:color="auto" w:fill="auto"/>
            <w:noWrap/>
            <w:vAlign w:val="bottom"/>
            <w:hideMark/>
          </w:tcPr>
          <w:p w14:paraId="5A26E40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1.507</w:t>
            </w:r>
          </w:p>
        </w:tc>
        <w:tc>
          <w:tcPr>
            <w:tcW w:w="891" w:type="dxa"/>
            <w:shd w:val="clear" w:color="auto" w:fill="auto"/>
            <w:noWrap/>
            <w:vAlign w:val="bottom"/>
            <w:hideMark/>
          </w:tcPr>
          <w:p w14:paraId="2105D3C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0.81</w:t>
            </w:r>
          </w:p>
        </w:tc>
        <w:tc>
          <w:tcPr>
            <w:tcW w:w="728" w:type="dxa"/>
            <w:shd w:val="clear" w:color="auto" w:fill="auto"/>
            <w:noWrap/>
            <w:vAlign w:val="bottom"/>
            <w:hideMark/>
          </w:tcPr>
          <w:p w14:paraId="7799615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0.028</w:t>
            </w:r>
          </w:p>
        </w:tc>
        <w:tc>
          <w:tcPr>
            <w:tcW w:w="794" w:type="dxa"/>
            <w:shd w:val="clear" w:color="auto" w:fill="auto"/>
            <w:noWrap/>
            <w:vAlign w:val="bottom"/>
            <w:hideMark/>
          </w:tcPr>
          <w:p w14:paraId="5238125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0.871</w:t>
            </w:r>
          </w:p>
        </w:tc>
        <w:tc>
          <w:tcPr>
            <w:tcW w:w="891" w:type="dxa"/>
            <w:shd w:val="clear" w:color="auto" w:fill="auto"/>
            <w:noWrap/>
            <w:vAlign w:val="bottom"/>
            <w:hideMark/>
          </w:tcPr>
          <w:p w14:paraId="4C251F7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0.075</w:t>
            </w:r>
          </w:p>
        </w:tc>
        <w:tc>
          <w:tcPr>
            <w:tcW w:w="728" w:type="dxa"/>
            <w:shd w:val="clear" w:color="auto" w:fill="auto"/>
            <w:noWrap/>
            <w:vAlign w:val="bottom"/>
            <w:hideMark/>
          </w:tcPr>
          <w:p w14:paraId="47354CC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r>
      <w:tr w:rsidR="00423B79" w:rsidRPr="00423B79" w14:paraId="01DDED67" w14:textId="77777777" w:rsidTr="00423B79">
        <w:trPr>
          <w:trHeight w:val="237"/>
        </w:trPr>
        <w:tc>
          <w:tcPr>
            <w:tcW w:w="962" w:type="dxa"/>
            <w:shd w:val="clear" w:color="auto" w:fill="auto"/>
            <w:noWrap/>
            <w:vAlign w:val="bottom"/>
            <w:hideMark/>
          </w:tcPr>
          <w:p w14:paraId="71A2D099"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0E296B8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822" w:type="dxa"/>
            <w:shd w:val="clear" w:color="auto" w:fill="auto"/>
            <w:noWrap/>
            <w:vAlign w:val="bottom"/>
            <w:hideMark/>
          </w:tcPr>
          <w:p w14:paraId="660DF95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0.918</w:t>
            </w:r>
          </w:p>
        </w:tc>
        <w:tc>
          <w:tcPr>
            <w:tcW w:w="733" w:type="dxa"/>
            <w:shd w:val="clear" w:color="auto" w:fill="auto"/>
            <w:noWrap/>
            <w:vAlign w:val="bottom"/>
            <w:hideMark/>
          </w:tcPr>
          <w:p w14:paraId="4122A73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w:t>
            </w:r>
          </w:p>
        </w:tc>
        <w:tc>
          <w:tcPr>
            <w:tcW w:w="794" w:type="dxa"/>
            <w:shd w:val="clear" w:color="auto" w:fill="auto"/>
            <w:noWrap/>
            <w:vAlign w:val="bottom"/>
            <w:hideMark/>
          </w:tcPr>
          <w:p w14:paraId="6976B0F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-1.827</w:t>
            </w:r>
          </w:p>
        </w:tc>
        <w:tc>
          <w:tcPr>
            <w:tcW w:w="891" w:type="dxa"/>
            <w:shd w:val="clear" w:color="auto" w:fill="auto"/>
            <w:noWrap/>
            <w:vAlign w:val="bottom"/>
            <w:hideMark/>
          </w:tcPr>
          <w:p w14:paraId="096EE8F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0.886</w:t>
            </w:r>
          </w:p>
        </w:tc>
        <w:tc>
          <w:tcPr>
            <w:tcW w:w="728" w:type="dxa"/>
            <w:shd w:val="clear" w:color="auto" w:fill="auto"/>
            <w:noWrap/>
            <w:vAlign w:val="bottom"/>
            <w:hideMark/>
          </w:tcPr>
          <w:p w14:paraId="7EEC164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0.041</w:t>
            </w:r>
          </w:p>
        </w:tc>
        <w:tc>
          <w:tcPr>
            <w:tcW w:w="794" w:type="dxa"/>
            <w:shd w:val="clear" w:color="auto" w:fill="auto"/>
            <w:noWrap/>
            <w:vAlign w:val="bottom"/>
            <w:hideMark/>
          </w:tcPr>
          <w:p w14:paraId="421FBE1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-0.66</w:t>
            </w:r>
          </w:p>
        </w:tc>
        <w:tc>
          <w:tcPr>
            <w:tcW w:w="891" w:type="dxa"/>
            <w:shd w:val="clear" w:color="auto" w:fill="auto"/>
            <w:noWrap/>
            <w:vAlign w:val="bottom"/>
            <w:hideMark/>
          </w:tcPr>
          <w:p w14:paraId="56CC74F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0.032</w:t>
            </w:r>
          </w:p>
        </w:tc>
        <w:tc>
          <w:tcPr>
            <w:tcW w:w="728" w:type="dxa"/>
            <w:shd w:val="clear" w:color="auto" w:fill="auto"/>
            <w:noWrap/>
            <w:vAlign w:val="bottom"/>
            <w:hideMark/>
          </w:tcPr>
          <w:p w14:paraId="7CAFDDD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r>
      <w:tr w:rsidR="00423B79" w:rsidRPr="00423B79" w14:paraId="0B92E5C8" w14:textId="77777777" w:rsidTr="00423B79">
        <w:trPr>
          <w:trHeight w:val="237"/>
        </w:trPr>
        <w:tc>
          <w:tcPr>
            <w:tcW w:w="962" w:type="dxa"/>
            <w:shd w:val="clear" w:color="auto" w:fill="auto"/>
            <w:noWrap/>
            <w:vAlign w:val="bottom"/>
            <w:hideMark/>
          </w:tcPr>
          <w:p w14:paraId="39E944BC"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44FEC29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822" w:type="dxa"/>
            <w:shd w:val="clear" w:color="auto" w:fill="auto"/>
            <w:noWrap/>
            <w:vAlign w:val="bottom"/>
            <w:hideMark/>
          </w:tcPr>
          <w:p w14:paraId="7C7C8AC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0.155</w:t>
            </w:r>
          </w:p>
        </w:tc>
        <w:tc>
          <w:tcPr>
            <w:tcW w:w="733" w:type="dxa"/>
            <w:shd w:val="clear" w:color="auto" w:fill="auto"/>
            <w:noWrap/>
            <w:vAlign w:val="bottom"/>
            <w:hideMark/>
          </w:tcPr>
          <w:p w14:paraId="50E4BF4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794" w:type="dxa"/>
            <w:shd w:val="clear" w:color="auto" w:fill="auto"/>
            <w:noWrap/>
            <w:vAlign w:val="bottom"/>
            <w:hideMark/>
          </w:tcPr>
          <w:p w14:paraId="728B99B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0.301</w:t>
            </w:r>
          </w:p>
        </w:tc>
        <w:tc>
          <w:tcPr>
            <w:tcW w:w="891" w:type="dxa"/>
            <w:shd w:val="clear" w:color="auto" w:fill="auto"/>
            <w:noWrap/>
            <w:vAlign w:val="bottom"/>
            <w:hideMark/>
          </w:tcPr>
          <w:p w14:paraId="7094791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0.134</w:t>
            </w:r>
          </w:p>
        </w:tc>
        <w:tc>
          <w:tcPr>
            <w:tcW w:w="728" w:type="dxa"/>
            <w:shd w:val="clear" w:color="auto" w:fill="auto"/>
            <w:noWrap/>
            <w:vAlign w:val="bottom"/>
            <w:hideMark/>
          </w:tcPr>
          <w:p w14:paraId="0AF6340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223603A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-0.228</w:t>
            </w:r>
          </w:p>
        </w:tc>
        <w:tc>
          <w:tcPr>
            <w:tcW w:w="891" w:type="dxa"/>
            <w:shd w:val="clear" w:color="auto" w:fill="auto"/>
            <w:noWrap/>
            <w:vAlign w:val="bottom"/>
            <w:hideMark/>
          </w:tcPr>
          <w:p w14:paraId="0D37BA4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0.021</w:t>
            </w:r>
          </w:p>
        </w:tc>
        <w:tc>
          <w:tcPr>
            <w:tcW w:w="728" w:type="dxa"/>
            <w:shd w:val="clear" w:color="auto" w:fill="auto"/>
            <w:noWrap/>
            <w:vAlign w:val="bottom"/>
            <w:hideMark/>
          </w:tcPr>
          <w:p w14:paraId="2DF0D7C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1A15714C" w14:textId="77777777" w:rsidTr="00423B79">
        <w:trPr>
          <w:trHeight w:val="237"/>
        </w:trPr>
        <w:tc>
          <w:tcPr>
            <w:tcW w:w="1821" w:type="dxa"/>
            <w:gridSpan w:val="2"/>
            <w:shd w:val="clear" w:color="auto" w:fill="auto"/>
            <w:noWrap/>
            <w:vAlign w:val="bottom"/>
            <w:hideMark/>
          </w:tcPr>
          <w:p w14:paraId="1D85E022"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expecyears~l</w:t>
            </w:r>
          </w:p>
        </w:tc>
        <w:tc>
          <w:tcPr>
            <w:tcW w:w="822" w:type="dxa"/>
            <w:shd w:val="clear" w:color="auto" w:fill="auto"/>
            <w:noWrap/>
            <w:vAlign w:val="bottom"/>
            <w:hideMark/>
          </w:tcPr>
          <w:p w14:paraId="33F42DD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398FD23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D7FA56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04F82C3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FC519B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77946B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529BD41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F256EB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1930B462" w14:textId="77777777" w:rsidTr="00423B79">
        <w:trPr>
          <w:trHeight w:val="237"/>
        </w:trPr>
        <w:tc>
          <w:tcPr>
            <w:tcW w:w="962" w:type="dxa"/>
            <w:shd w:val="clear" w:color="auto" w:fill="auto"/>
            <w:noWrap/>
            <w:vAlign w:val="bottom"/>
            <w:hideMark/>
          </w:tcPr>
          <w:p w14:paraId="43A82C0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25ADE3F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0.025</w:t>
            </w:r>
          </w:p>
        </w:tc>
        <w:tc>
          <w:tcPr>
            <w:tcW w:w="822" w:type="dxa"/>
            <w:shd w:val="clear" w:color="auto" w:fill="auto"/>
            <w:noWrap/>
            <w:vAlign w:val="bottom"/>
            <w:hideMark/>
          </w:tcPr>
          <w:p w14:paraId="1B0EF88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0.929</w:t>
            </w:r>
          </w:p>
        </w:tc>
        <w:tc>
          <w:tcPr>
            <w:tcW w:w="733" w:type="dxa"/>
            <w:shd w:val="clear" w:color="auto" w:fill="auto"/>
            <w:noWrap/>
            <w:vAlign w:val="bottom"/>
            <w:hideMark/>
          </w:tcPr>
          <w:p w14:paraId="2862558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5F77CBC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0.897</w:t>
            </w:r>
          </w:p>
        </w:tc>
        <w:tc>
          <w:tcPr>
            <w:tcW w:w="891" w:type="dxa"/>
            <w:shd w:val="clear" w:color="auto" w:fill="auto"/>
            <w:noWrap/>
            <w:vAlign w:val="bottom"/>
            <w:hideMark/>
          </w:tcPr>
          <w:p w14:paraId="11D1397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0.906</w:t>
            </w:r>
          </w:p>
        </w:tc>
        <w:tc>
          <w:tcPr>
            <w:tcW w:w="728" w:type="dxa"/>
            <w:shd w:val="clear" w:color="auto" w:fill="auto"/>
            <w:noWrap/>
            <w:vAlign w:val="bottom"/>
            <w:hideMark/>
          </w:tcPr>
          <w:p w14:paraId="2295FEC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c>
          <w:tcPr>
            <w:tcW w:w="794" w:type="dxa"/>
            <w:shd w:val="clear" w:color="auto" w:fill="auto"/>
            <w:noWrap/>
            <w:vAlign w:val="bottom"/>
            <w:hideMark/>
          </w:tcPr>
          <w:p w14:paraId="6F5B870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0.268</w:t>
            </w:r>
          </w:p>
        </w:tc>
        <w:tc>
          <w:tcPr>
            <w:tcW w:w="891" w:type="dxa"/>
            <w:shd w:val="clear" w:color="auto" w:fill="auto"/>
            <w:noWrap/>
            <w:vAlign w:val="bottom"/>
            <w:hideMark/>
          </w:tcPr>
          <w:p w14:paraId="25592CD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28" w:type="dxa"/>
            <w:shd w:val="clear" w:color="auto" w:fill="auto"/>
            <w:noWrap/>
            <w:vAlign w:val="bottom"/>
            <w:hideMark/>
          </w:tcPr>
          <w:p w14:paraId="6919ADE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48DFE3D9" w14:textId="77777777" w:rsidTr="00423B79">
        <w:trPr>
          <w:trHeight w:val="237"/>
        </w:trPr>
        <w:tc>
          <w:tcPr>
            <w:tcW w:w="962" w:type="dxa"/>
            <w:shd w:val="clear" w:color="auto" w:fill="auto"/>
            <w:noWrap/>
            <w:vAlign w:val="bottom"/>
            <w:hideMark/>
          </w:tcPr>
          <w:p w14:paraId="7C84E20C"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10E0ED6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822" w:type="dxa"/>
            <w:shd w:val="clear" w:color="auto" w:fill="auto"/>
            <w:noWrap/>
            <w:vAlign w:val="bottom"/>
            <w:hideMark/>
          </w:tcPr>
          <w:p w14:paraId="1FFF885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0.709</w:t>
            </w:r>
          </w:p>
        </w:tc>
        <w:tc>
          <w:tcPr>
            <w:tcW w:w="733" w:type="dxa"/>
            <w:shd w:val="clear" w:color="auto" w:fill="auto"/>
            <w:noWrap/>
            <w:vAlign w:val="bottom"/>
            <w:hideMark/>
          </w:tcPr>
          <w:p w14:paraId="291F47B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794" w:type="dxa"/>
            <w:shd w:val="clear" w:color="auto" w:fill="auto"/>
            <w:noWrap/>
            <w:vAlign w:val="bottom"/>
            <w:hideMark/>
          </w:tcPr>
          <w:p w14:paraId="300F92A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-2.379</w:t>
            </w:r>
          </w:p>
        </w:tc>
        <w:tc>
          <w:tcPr>
            <w:tcW w:w="891" w:type="dxa"/>
            <w:shd w:val="clear" w:color="auto" w:fill="auto"/>
            <w:noWrap/>
            <w:vAlign w:val="bottom"/>
            <w:hideMark/>
          </w:tcPr>
          <w:p w14:paraId="6079A93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0.69</w:t>
            </w:r>
          </w:p>
        </w:tc>
        <w:tc>
          <w:tcPr>
            <w:tcW w:w="728" w:type="dxa"/>
            <w:shd w:val="clear" w:color="auto" w:fill="auto"/>
            <w:noWrap/>
            <w:vAlign w:val="bottom"/>
            <w:hideMark/>
          </w:tcPr>
          <w:p w14:paraId="365E9F8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671B602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-0.738</w:t>
            </w:r>
          </w:p>
        </w:tc>
        <w:tc>
          <w:tcPr>
            <w:tcW w:w="891" w:type="dxa"/>
            <w:shd w:val="clear" w:color="auto" w:fill="auto"/>
            <w:noWrap/>
            <w:vAlign w:val="bottom"/>
            <w:hideMark/>
          </w:tcPr>
          <w:p w14:paraId="20457F8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728" w:type="dxa"/>
            <w:shd w:val="clear" w:color="auto" w:fill="auto"/>
            <w:noWrap/>
            <w:vAlign w:val="bottom"/>
            <w:hideMark/>
          </w:tcPr>
          <w:p w14:paraId="253A4E7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27617FAB" w14:textId="77777777" w:rsidTr="00423B79">
        <w:trPr>
          <w:trHeight w:val="237"/>
        </w:trPr>
        <w:tc>
          <w:tcPr>
            <w:tcW w:w="962" w:type="dxa"/>
            <w:shd w:val="clear" w:color="auto" w:fill="auto"/>
            <w:noWrap/>
            <w:vAlign w:val="bottom"/>
            <w:hideMark/>
          </w:tcPr>
          <w:p w14:paraId="5034C868"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13F9300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59B5164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0.925</w:t>
            </w:r>
          </w:p>
        </w:tc>
        <w:tc>
          <w:tcPr>
            <w:tcW w:w="733" w:type="dxa"/>
            <w:shd w:val="clear" w:color="auto" w:fill="auto"/>
            <w:noWrap/>
            <w:vAlign w:val="bottom"/>
            <w:hideMark/>
          </w:tcPr>
          <w:p w14:paraId="1324541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c>
          <w:tcPr>
            <w:tcW w:w="794" w:type="dxa"/>
            <w:shd w:val="clear" w:color="auto" w:fill="auto"/>
            <w:noWrap/>
            <w:vAlign w:val="bottom"/>
            <w:hideMark/>
          </w:tcPr>
          <w:p w14:paraId="73BA0BC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-1.655</w:t>
            </w:r>
          </w:p>
        </w:tc>
        <w:tc>
          <w:tcPr>
            <w:tcW w:w="891" w:type="dxa"/>
            <w:shd w:val="clear" w:color="auto" w:fill="auto"/>
            <w:noWrap/>
            <w:vAlign w:val="bottom"/>
            <w:hideMark/>
          </w:tcPr>
          <w:p w14:paraId="4363D2C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0.903</w:t>
            </w:r>
          </w:p>
        </w:tc>
        <w:tc>
          <w:tcPr>
            <w:tcW w:w="728" w:type="dxa"/>
            <w:shd w:val="clear" w:color="auto" w:fill="auto"/>
            <w:noWrap/>
            <w:vAlign w:val="bottom"/>
            <w:hideMark/>
          </w:tcPr>
          <w:p w14:paraId="679ACAC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0.027</w:t>
            </w:r>
          </w:p>
        </w:tc>
        <w:tc>
          <w:tcPr>
            <w:tcW w:w="794" w:type="dxa"/>
            <w:shd w:val="clear" w:color="auto" w:fill="auto"/>
            <w:noWrap/>
            <w:vAlign w:val="bottom"/>
            <w:hideMark/>
          </w:tcPr>
          <w:p w14:paraId="386218F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-0.489</w:t>
            </w:r>
          </w:p>
        </w:tc>
        <w:tc>
          <w:tcPr>
            <w:tcW w:w="891" w:type="dxa"/>
            <w:shd w:val="clear" w:color="auto" w:fill="auto"/>
            <w:noWrap/>
            <w:vAlign w:val="bottom"/>
            <w:hideMark/>
          </w:tcPr>
          <w:p w14:paraId="2665CD4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28" w:type="dxa"/>
            <w:shd w:val="clear" w:color="auto" w:fill="auto"/>
            <w:noWrap/>
            <w:vAlign w:val="bottom"/>
            <w:hideMark/>
          </w:tcPr>
          <w:p w14:paraId="2A80B9B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0C6622BC" w14:textId="77777777" w:rsidTr="00423B79">
        <w:trPr>
          <w:trHeight w:val="237"/>
        </w:trPr>
        <w:tc>
          <w:tcPr>
            <w:tcW w:w="1821" w:type="dxa"/>
            <w:gridSpan w:val="2"/>
            <w:shd w:val="clear" w:color="auto" w:fill="auto"/>
            <w:noWrap/>
            <w:vAlign w:val="bottom"/>
            <w:hideMark/>
          </w:tcPr>
          <w:p w14:paraId="626B82F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meanyearso~l</w:t>
            </w:r>
          </w:p>
        </w:tc>
        <w:tc>
          <w:tcPr>
            <w:tcW w:w="822" w:type="dxa"/>
            <w:shd w:val="clear" w:color="auto" w:fill="auto"/>
            <w:noWrap/>
            <w:vAlign w:val="bottom"/>
            <w:hideMark/>
          </w:tcPr>
          <w:p w14:paraId="518BE7E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7F4CDFF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338C60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7412809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04DB1C1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64D1309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4840E37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7C6366A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02E82705" w14:textId="77777777" w:rsidTr="00423B79">
        <w:trPr>
          <w:trHeight w:val="237"/>
        </w:trPr>
        <w:tc>
          <w:tcPr>
            <w:tcW w:w="962" w:type="dxa"/>
            <w:shd w:val="clear" w:color="auto" w:fill="auto"/>
            <w:noWrap/>
            <w:vAlign w:val="bottom"/>
            <w:hideMark/>
          </w:tcPr>
          <w:p w14:paraId="454F48C2"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lastRenderedPageBreak/>
              <w:t>HIGH</w:t>
            </w:r>
          </w:p>
        </w:tc>
        <w:tc>
          <w:tcPr>
            <w:tcW w:w="859" w:type="dxa"/>
            <w:shd w:val="clear" w:color="auto" w:fill="auto"/>
            <w:noWrap/>
            <w:vAlign w:val="bottom"/>
            <w:hideMark/>
          </w:tcPr>
          <w:p w14:paraId="0DA718B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0.025</w:t>
            </w:r>
          </w:p>
        </w:tc>
        <w:tc>
          <w:tcPr>
            <w:tcW w:w="822" w:type="dxa"/>
            <w:shd w:val="clear" w:color="auto" w:fill="auto"/>
            <w:noWrap/>
            <w:vAlign w:val="bottom"/>
            <w:hideMark/>
          </w:tcPr>
          <w:p w14:paraId="5E6CD17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0.904</w:t>
            </w:r>
          </w:p>
        </w:tc>
        <w:tc>
          <w:tcPr>
            <w:tcW w:w="733" w:type="dxa"/>
            <w:shd w:val="clear" w:color="auto" w:fill="auto"/>
            <w:noWrap/>
            <w:vAlign w:val="bottom"/>
            <w:hideMark/>
          </w:tcPr>
          <w:p w14:paraId="0FACB50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0.017</w:t>
            </w:r>
          </w:p>
        </w:tc>
        <w:tc>
          <w:tcPr>
            <w:tcW w:w="794" w:type="dxa"/>
            <w:shd w:val="clear" w:color="auto" w:fill="auto"/>
            <w:noWrap/>
            <w:vAlign w:val="bottom"/>
            <w:hideMark/>
          </w:tcPr>
          <w:p w14:paraId="6FA9652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0.948</w:t>
            </w:r>
          </w:p>
        </w:tc>
        <w:tc>
          <w:tcPr>
            <w:tcW w:w="891" w:type="dxa"/>
            <w:shd w:val="clear" w:color="auto" w:fill="auto"/>
            <w:noWrap/>
            <w:vAlign w:val="bottom"/>
            <w:hideMark/>
          </w:tcPr>
          <w:p w14:paraId="509A1E9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0.844</w:t>
            </w:r>
          </w:p>
        </w:tc>
        <w:tc>
          <w:tcPr>
            <w:tcW w:w="728" w:type="dxa"/>
            <w:shd w:val="clear" w:color="auto" w:fill="auto"/>
            <w:noWrap/>
            <w:vAlign w:val="bottom"/>
            <w:hideMark/>
          </w:tcPr>
          <w:p w14:paraId="4394AB9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94" w:type="dxa"/>
            <w:shd w:val="clear" w:color="auto" w:fill="auto"/>
            <w:noWrap/>
            <w:vAlign w:val="bottom"/>
            <w:hideMark/>
          </w:tcPr>
          <w:p w14:paraId="3988DD0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0.477</w:t>
            </w:r>
          </w:p>
        </w:tc>
        <w:tc>
          <w:tcPr>
            <w:tcW w:w="891" w:type="dxa"/>
            <w:shd w:val="clear" w:color="auto" w:fill="auto"/>
            <w:noWrap/>
            <w:vAlign w:val="bottom"/>
            <w:hideMark/>
          </w:tcPr>
          <w:p w14:paraId="5293854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0.059</w:t>
            </w:r>
          </w:p>
        </w:tc>
        <w:tc>
          <w:tcPr>
            <w:tcW w:w="728" w:type="dxa"/>
            <w:shd w:val="clear" w:color="auto" w:fill="auto"/>
            <w:noWrap/>
            <w:vAlign w:val="bottom"/>
            <w:hideMark/>
          </w:tcPr>
          <w:p w14:paraId="006D79D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r>
      <w:tr w:rsidR="00423B79" w:rsidRPr="00423B79" w14:paraId="7124C515" w14:textId="77777777" w:rsidTr="00423B79">
        <w:trPr>
          <w:trHeight w:val="237"/>
        </w:trPr>
        <w:tc>
          <w:tcPr>
            <w:tcW w:w="962" w:type="dxa"/>
            <w:shd w:val="clear" w:color="auto" w:fill="auto"/>
            <w:noWrap/>
            <w:vAlign w:val="bottom"/>
            <w:hideMark/>
          </w:tcPr>
          <w:p w14:paraId="1F2D8C3D"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3169BF9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822" w:type="dxa"/>
            <w:shd w:val="clear" w:color="auto" w:fill="auto"/>
            <w:noWrap/>
            <w:vAlign w:val="bottom"/>
            <w:hideMark/>
          </w:tcPr>
          <w:p w14:paraId="40E7AA4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0.684</w:t>
            </w:r>
          </w:p>
        </w:tc>
        <w:tc>
          <w:tcPr>
            <w:tcW w:w="733" w:type="dxa"/>
            <w:shd w:val="clear" w:color="auto" w:fill="auto"/>
            <w:noWrap/>
            <w:vAlign w:val="bottom"/>
            <w:hideMark/>
          </w:tcPr>
          <w:p w14:paraId="127B701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248911A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-2.432</w:t>
            </w:r>
          </w:p>
        </w:tc>
        <w:tc>
          <w:tcPr>
            <w:tcW w:w="891" w:type="dxa"/>
            <w:shd w:val="clear" w:color="auto" w:fill="auto"/>
            <w:noWrap/>
            <w:vAlign w:val="bottom"/>
            <w:hideMark/>
          </w:tcPr>
          <w:p w14:paraId="39771CF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0.681</w:t>
            </w:r>
          </w:p>
        </w:tc>
        <w:tc>
          <w:tcPr>
            <w:tcW w:w="728" w:type="dxa"/>
            <w:shd w:val="clear" w:color="auto" w:fill="auto"/>
            <w:noWrap/>
            <w:vAlign w:val="bottom"/>
            <w:hideMark/>
          </w:tcPr>
          <w:p w14:paraId="299E2B4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33EE576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0.295</w:t>
            </w:r>
          </w:p>
        </w:tc>
        <w:tc>
          <w:tcPr>
            <w:tcW w:w="891" w:type="dxa"/>
            <w:shd w:val="clear" w:color="auto" w:fill="auto"/>
            <w:noWrap/>
            <w:vAlign w:val="bottom"/>
            <w:hideMark/>
          </w:tcPr>
          <w:p w14:paraId="599C98E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28" w:type="dxa"/>
            <w:shd w:val="clear" w:color="auto" w:fill="auto"/>
            <w:noWrap/>
            <w:vAlign w:val="bottom"/>
            <w:hideMark/>
          </w:tcPr>
          <w:p w14:paraId="67A2F1D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06F01489" w14:textId="77777777" w:rsidTr="00423B79">
        <w:trPr>
          <w:trHeight w:val="237"/>
        </w:trPr>
        <w:tc>
          <w:tcPr>
            <w:tcW w:w="962" w:type="dxa"/>
            <w:shd w:val="clear" w:color="auto" w:fill="auto"/>
            <w:noWrap/>
            <w:vAlign w:val="bottom"/>
            <w:hideMark/>
          </w:tcPr>
          <w:p w14:paraId="2AA999C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477C8D4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1045BD6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0.879</w:t>
            </w:r>
          </w:p>
        </w:tc>
        <w:tc>
          <w:tcPr>
            <w:tcW w:w="733" w:type="dxa"/>
            <w:shd w:val="clear" w:color="auto" w:fill="auto"/>
            <w:noWrap/>
            <w:vAlign w:val="bottom"/>
            <w:hideMark/>
          </w:tcPr>
          <w:p w14:paraId="5E8010F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0.026</w:t>
            </w:r>
          </w:p>
        </w:tc>
        <w:tc>
          <w:tcPr>
            <w:tcW w:w="794" w:type="dxa"/>
            <w:shd w:val="clear" w:color="auto" w:fill="auto"/>
            <w:noWrap/>
            <w:vAlign w:val="bottom"/>
            <w:hideMark/>
          </w:tcPr>
          <w:p w14:paraId="72182A9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-1.77</w:t>
            </w:r>
          </w:p>
        </w:tc>
        <w:tc>
          <w:tcPr>
            <w:tcW w:w="891" w:type="dxa"/>
            <w:shd w:val="clear" w:color="auto" w:fill="auto"/>
            <w:noWrap/>
            <w:vAlign w:val="bottom"/>
            <w:hideMark/>
          </w:tcPr>
          <w:p w14:paraId="242813D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0.773</w:t>
            </w:r>
          </w:p>
        </w:tc>
        <w:tc>
          <w:tcPr>
            <w:tcW w:w="728" w:type="dxa"/>
            <w:shd w:val="clear" w:color="auto" w:fill="auto"/>
            <w:noWrap/>
            <w:vAlign w:val="bottom"/>
            <w:hideMark/>
          </w:tcPr>
          <w:p w14:paraId="308EFA1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0.031</w:t>
            </w:r>
          </w:p>
        </w:tc>
        <w:tc>
          <w:tcPr>
            <w:tcW w:w="794" w:type="dxa"/>
            <w:shd w:val="clear" w:color="auto" w:fill="auto"/>
            <w:noWrap/>
            <w:vAlign w:val="bottom"/>
            <w:hideMark/>
          </w:tcPr>
          <w:p w14:paraId="781D71B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-1.248</w:t>
            </w:r>
          </w:p>
        </w:tc>
        <w:tc>
          <w:tcPr>
            <w:tcW w:w="891" w:type="dxa"/>
            <w:shd w:val="clear" w:color="auto" w:fill="auto"/>
            <w:noWrap/>
            <w:vAlign w:val="bottom"/>
            <w:hideMark/>
          </w:tcPr>
          <w:p w14:paraId="1CA145A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0.106</w:t>
            </w:r>
          </w:p>
        </w:tc>
        <w:tc>
          <w:tcPr>
            <w:tcW w:w="728" w:type="dxa"/>
            <w:shd w:val="clear" w:color="auto" w:fill="auto"/>
            <w:noWrap/>
            <w:vAlign w:val="bottom"/>
            <w:hideMark/>
          </w:tcPr>
          <w:p w14:paraId="71F9604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0.016</w:t>
            </w:r>
          </w:p>
        </w:tc>
      </w:tr>
      <w:tr w:rsidR="00423B79" w:rsidRPr="00423B79" w14:paraId="26617BAD" w14:textId="77777777" w:rsidTr="00423B79">
        <w:trPr>
          <w:trHeight w:val="237"/>
        </w:trPr>
        <w:tc>
          <w:tcPr>
            <w:tcW w:w="1821" w:type="dxa"/>
            <w:gridSpan w:val="2"/>
            <w:shd w:val="clear" w:color="auto" w:fill="auto"/>
            <w:noWrap/>
            <w:vAlign w:val="bottom"/>
            <w:hideMark/>
          </w:tcPr>
          <w:p w14:paraId="435085D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femaleedu</w:t>
            </w:r>
          </w:p>
        </w:tc>
        <w:tc>
          <w:tcPr>
            <w:tcW w:w="822" w:type="dxa"/>
            <w:shd w:val="clear" w:color="auto" w:fill="auto"/>
            <w:noWrap/>
            <w:vAlign w:val="bottom"/>
            <w:hideMark/>
          </w:tcPr>
          <w:p w14:paraId="032B5A2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312F5EB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15181A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EE8A99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2EBF7E6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360BAE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30EFEA3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7EF8B5C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205B4807" w14:textId="77777777" w:rsidTr="00423B79">
        <w:trPr>
          <w:trHeight w:val="237"/>
        </w:trPr>
        <w:tc>
          <w:tcPr>
            <w:tcW w:w="962" w:type="dxa"/>
            <w:shd w:val="clear" w:color="auto" w:fill="auto"/>
            <w:noWrap/>
            <w:vAlign w:val="bottom"/>
            <w:hideMark/>
          </w:tcPr>
          <w:p w14:paraId="04D273E4"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18B4B5B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822" w:type="dxa"/>
            <w:shd w:val="clear" w:color="auto" w:fill="auto"/>
            <w:noWrap/>
            <w:vAlign w:val="bottom"/>
            <w:hideMark/>
          </w:tcPr>
          <w:p w14:paraId="67ABF6A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0.925</w:t>
            </w:r>
          </w:p>
        </w:tc>
        <w:tc>
          <w:tcPr>
            <w:tcW w:w="733" w:type="dxa"/>
            <w:shd w:val="clear" w:color="auto" w:fill="auto"/>
            <w:noWrap/>
            <w:vAlign w:val="bottom"/>
            <w:hideMark/>
          </w:tcPr>
          <w:p w14:paraId="4B23832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94" w:type="dxa"/>
            <w:shd w:val="clear" w:color="auto" w:fill="auto"/>
            <w:noWrap/>
            <w:vAlign w:val="bottom"/>
            <w:hideMark/>
          </w:tcPr>
          <w:p w14:paraId="2C6C028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1.187</w:t>
            </w:r>
          </w:p>
        </w:tc>
        <w:tc>
          <w:tcPr>
            <w:tcW w:w="891" w:type="dxa"/>
            <w:shd w:val="clear" w:color="auto" w:fill="auto"/>
            <w:noWrap/>
            <w:vAlign w:val="bottom"/>
            <w:hideMark/>
          </w:tcPr>
          <w:p w14:paraId="46A9E33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0.925</w:t>
            </w:r>
          </w:p>
        </w:tc>
        <w:tc>
          <w:tcPr>
            <w:tcW w:w="728" w:type="dxa"/>
            <w:shd w:val="clear" w:color="auto" w:fill="auto"/>
            <w:noWrap/>
            <w:vAlign w:val="bottom"/>
            <w:hideMark/>
          </w:tcPr>
          <w:p w14:paraId="7E7D82B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0.031</w:t>
            </w:r>
          </w:p>
        </w:tc>
        <w:tc>
          <w:tcPr>
            <w:tcW w:w="794" w:type="dxa"/>
            <w:shd w:val="clear" w:color="auto" w:fill="auto"/>
            <w:noWrap/>
            <w:vAlign w:val="bottom"/>
            <w:hideMark/>
          </w:tcPr>
          <w:p w14:paraId="300CEEB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0.029</w:t>
            </w:r>
          </w:p>
        </w:tc>
        <w:tc>
          <w:tcPr>
            <w:tcW w:w="891" w:type="dxa"/>
            <w:shd w:val="clear" w:color="auto" w:fill="auto"/>
            <w:noWrap/>
            <w:vAlign w:val="bottom"/>
            <w:hideMark/>
          </w:tcPr>
          <w:p w14:paraId="7B2DBCF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28" w:type="dxa"/>
            <w:shd w:val="clear" w:color="auto" w:fill="auto"/>
            <w:noWrap/>
            <w:vAlign w:val="bottom"/>
            <w:hideMark/>
          </w:tcPr>
          <w:p w14:paraId="24B7203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1A7A3CB4" w14:textId="77777777" w:rsidTr="00423B79">
        <w:trPr>
          <w:trHeight w:val="237"/>
        </w:trPr>
        <w:tc>
          <w:tcPr>
            <w:tcW w:w="962" w:type="dxa"/>
            <w:shd w:val="clear" w:color="auto" w:fill="auto"/>
            <w:noWrap/>
            <w:vAlign w:val="bottom"/>
            <w:hideMark/>
          </w:tcPr>
          <w:p w14:paraId="68E705E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01DAC5E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c>
          <w:tcPr>
            <w:tcW w:w="822" w:type="dxa"/>
            <w:shd w:val="clear" w:color="auto" w:fill="auto"/>
            <w:noWrap/>
            <w:vAlign w:val="bottom"/>
            <w:hideMark/>
          </w:tcPr>
          <w:p w14:paraId="40E6742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0.853</w:t>
            </w:r>
          </w:p>
        </w:tc>
        <w:tc>
          <w:tcPr>
            <w:tcW w:w="733" w:type="dxa"/>
            <w:shd w:val="clear" w:color="auto" w:fill="auto"/>
            <w:noWrap/>
            <w:vAlign w:val="bottom"/>
            <w:hideMark/>
          </w:tcPr>
          <w:p w14:paraId="6403AC9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0.028</w:t>
            </w:r>
          </w:p>
        </w:tc>
        <w:tc>
          <w:tcPr>
            <w:tcW w:w="794" w:type="dxa"/>
            <w:shd w:val="clear" w:color="auto" w:fill="auto"/>
            <w:noWrap/>
            <w:vAlign w:val="bottom"/>
            <w:hideMark/>
          </w:tcPr>
          <w:p w14:paraId="7C01810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-2.174</w:t>
            </w:r>
          </w:p>
        </w:tc>
        <w:tc>
          <w:tcPr>
            <w:tcW w:w="891" w:type="dxa"/>
            <w:shd w:val="clear" w:color="auto" w:fill="auto"/>
            <w:noWrap/>
            <w:vAlign w:val="bottom"/>
            <w:hideMark/>
          </w:tcPr>
          <w:p w14:paraId="60BF2D9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0.676</w:t>
            </w:r>
          </w:p>
        </w:tc>
        <w:tc>
          <w:tcPr>
            <w:tcW w:w="728" w:type="dxa"/>
            <w:shd w:val="clear" w:color="auto" w:fill="auto"/>
            <w:noWrap/>
            <w:vAlign w:val="bottom"/>
            <w:hideMark/>
          </w:tcPr>
          <w:p w14:paraId="21453AC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w:t>
            </w:r>
          </w:p>
        </w:tc>
        <w:tc>
          <w:tcPr>
            <w:tcW w:w="794" w:type="dxa"/>
            <w:shd w:val="clear" w:color="auto" w:fill="auto"/>
            <w:noWrap/>
            <w:vAlign w:val="bottom"/>
            <w:hideMark/>
          </w:tcPr>
          <w:p w14:paraId="77ED736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2.116</w:t>
            </w:r>
          </w:p>
        </w:tc>
        <w:tc>
          <w:tcPr>
            <w:tcW w:w="891" w:type="dxa"/>
            <w:shd w:val="clear" w:color="auto" w:fill="auto"/>
            <w:noWrap/>
            <w:vAlign w:val="bottom"/>
            <w:hideMark/>
          </w:tcPr>
          <w:p w14:paraId="6B70572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0.177</w:t>
            </w:r>
          </w:p>
        </w:tc>
        <w:tc>
          <w:tcPr>
            <w:tcW w:w="728" w:type="dxa"/>
            <w:shd w:val="clear" w:color="auto" w:fill="auto"/>
            <w:noWrap/>
            <w:vAlign w:val="bottom"/>
            <w:hideMark/>
          </w:tcPr>
          <w:p w14:paraId="4FCD852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0.028</w:t>
            </w:r>
          </w:p>
        </w:tc>
      </w:tr>
      <w:tr w:rsidR="00423B79" w:rsidRPr="00423B79" w14:paraId="76F95EEF" w14:textId="77777777" w:rsidTr="00423B79">
        <w:trPr>
          <w:trHeight w:val="237"/>
        </w:trPr>
        <w:tc>
          <w:tcPr>
            <w:tcW w:w="962" w:type="dxa"/>
            <w:shd w:val="clear" w:color="auto" w:fill="auto"/>
            <w:noWrap/>
            <w:vAlign w:val="bottom"/>
            <w:hideMark/>
          </w:tcPr>
          <w:p w14:paraId="5E7791D1"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2C21E34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2B1816C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0.791</w:t>
            </w:r>
          </w:p>
        </w:tc>
        <w:tc>
          <w:tcPr>
            <w:tcW w:w="733" w:type="dxa"/>
            <w:shd w:val="clear" w:color="auto" w:fill="auto"/>
            <w:noWrap/>
            <w:vAlign w:val="bottom"/>
            <w:hideMark/>
          </w:tcPr>
          <w:p w14:paraId="562E5B7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0.019</w:t>
            </w:r>
          </w:p>
        </w:tc>
        <w:tc>
          <w:tcPr>
            <w:tcW w:w="794" w:type="dxa"/>
            <w:shd w:val="clear" w:color="auto" w:fill="auto"/>
            <w:noWrap/>
            <w:vAlign w:val="bottom"/>
            <w:hideMark/>
          </w:tcPr>
          <w:p w14:paraId="4B7773D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-1.409</w:t>
            </w:r>
          </w:p>
        </w:tc>
        <w:tc>
          <w:tcPr>
            <w:tcW w:w="891" w:type="dxa"/>
            <w:shd w:val="clear" w:color="auto" w:fill="auto"/>
            <w:noWrap/>
            <w:vAlign w:val="bottom"/>
            <w:hideMark/>
          </w:tcPr>
          <w:p w14:paraId="40A2EA6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0.588</w:t>
            </w:r>
          </w:p>
        </w:tc>
        <w:tc>
          <w:tcPr>
            <w:tcW w:w="728" w:type="dxa"/>
            <w:shd w:val="clear" w:color="auto" w:fill="auto"/>
            <w:noWrap/>
            <w:vAlign w:val="bottom"/>
            <w:hideMark/>
          </w:tcPr>
          <w:p w14:paraId="4506295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794" w:type="dxa"/>
            <w:shd w:val="clear" w:color="auto" w:fill="auto"/>
            <w:noWrap/>
            <w:vAlign w:val="bottom"/>
            <w:hideMark/>
          </w:tcPr>
          <w:p w14:paraId="186D890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-1.577</w:t>
            </w:r>
          </w:p>
        </w:tc>
        <w:tc>
          <w:tcPr>
            <w:tcW w:w="891" w:type="dxa"/>
            <w:shd w:val="clear" w:color="auto" w:fill="auto"/>
            <w:noWrap/>
            <w:vAlign w:val="bottom"/>
            <w:hideMark/>
          </w:tcPr>
          <w:p w14:paraId="3D2E02B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0.203</w:t>
            </w:r>
          </w:p>
        </w:tc>
        <w:tc>
          <w:tcPr>
            <w:tcW w:w="728" w:type="dxa"/>
            <w:shd w:val="clear" w:color="auto" w:fill="auto"/>
            <w:noWrap/>
            <w:vAlign w:val="bottom"/>
            <w:hideMark/>
          </w:tcPr>
          <w:p w14:paraId="292B236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r>
      <w:tr w:rsidR="00423B79" w:rsidRPr="00423B79" w14:paraId="3624435A" w14:textId="77777777" w:rsidTr="00423B79">
        <w:trPr>
          <w:trHeight w:val="237"/>
        </w:trPr>
        <w:tc>
          <w:tcPr>
            <w:tcW w:w="1821" w:type="dxa"/>
            <w:gridSpan w:val="2"/>
            <w:shd w:val="clear" w:color="auto" w:fill="auto"/>
            <w:noWrap/>
            <w:vAlign w:val="bottom"/>
            <w:hideMark/>
          </w:tcPr>
          <w:p w14:paraId="57BBEC1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secondaryedu</w:t>
            </w:r>
          </w:p>
        </w:tc>
        <w:tc>
          <w:tcPr>
            <w:tcW w:w="822" w:type="dxa"/>
            <w:shd w:val="clear" w:color="auto" w:fill="auto"/>
            <w:noWrap/>
            <w:vAlign w:val="bottom"/>
            <w:hideMark/>
          </w:tcPr>
          <w:p w14:paraId="5F5CEC2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0ADD283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615C330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91E48B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09D9798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7717844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5C3ABB5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432A65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3F68F9A8" w14:textId="77777777" w:rsidTr="00423B79">
        <w:trPr>
          <w:trHeight w:val="237"/>
        </w:trPr>
        <w:tc>
          <w:tcPr>
            <w:tcW w:w="962" w:type="dxa"/>
            <w:shd w:val="clear" w:color="auto" w:fill="auto"/>
            <w:noWrap/>
            <w:vAlign w:val="bottom"/>
            <w:hideMark/>
          </w:tcPr>
          <w:p w14:paraId="2838B52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228B654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22" w:type="dxa"/>
            <w:shd w:val="clear" w:color="auto" w:fill="auto"/>
            <w:noWrap/>
            <w:vAlign w:val="bottom"/>
            <w:hideMark/>
          </w:tcPr>
          <w:p w14:paraId="58B8234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0.925</w:t>
            </w:r>
          </w:p>
        </w:tc>
        <w:tc>
          <w:tcPr>
            <w:tcW w:w="733" w:type="dxa"/>
            <w:shd w:val="clear" w:color="auto" w:fill="auto"/>
            <w:noWrap/>
            <w:vAlign w:val="bottom"/>
            <w:hideMark/>
          </w:tcPr>
          <w:p w14:paraId="2B2E9BF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c>
          <w:tcPr>
            <w:tcW w:w="794" w:type="dxa"/>
            <w:shd w:val="clear" w:color="auto" w:fill="auto"/>
            <w:noWrap/>
            <w:vAlign w:val="bottom"/>
            <w:hideMark/>
          </w:tcPr>
          <w:p w14:paraId="3621EA2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1.112</w:t>
            </w:r>
          </w:p>
        </w:tc>
        <w:tc>
          <w:tcPr>
            <w:tcW w:w="891" w:type="dxa"/>
            <w:shd w:val="clear" w:color="auto" w:fill="auto"/>
            <w:noWrap/>
            <w:vAlign w:val="bottom"/>
            <w:hideMark/>
          </w:tcPr>
          <w:p w14:paraId="4E21E14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0.925</w:t>
            </w:r>
          </w:p>
        </w:tc>
        <w:tc>
          <w:tcPr>
            <w:tcW w:w="728" w:type="dxa"/>
            <w:shd w:val="clear" w:color="auto" w:fill="auto"/>
            <w:noWrap/>
            <w:vAlign w:val="bottom"/>
            <w:hideMark/>
          </w:tcPr>
          <w:p w14:paraId="04CCDA6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0.028</w:t>
            </w:r>
          </w:p>
        </w:tc>
        <w:tc>
          <w:tcPr>
            <w:tcW w:w="794" w:type="dxa"/>
            <w:shd w:val="clear" w:color="auto" w:fill="auto"/>
            <w:noWrap/>
            <w:vAlign w:val="bottom"/>
            <w:hideMark/>
          </w:tcPr>
          <w:p w14:paraId="41E296C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891" w:type="dxa"/>
            <w:shd w:val="clear" w:color="auto" w:fill="auto"/>
            <w:noWrap/>
            <w:vAlign w:val="bottom"/>
            <w:hideMark/>
          </w:tcPr>
          <w:p w14:paraId="2CC00EF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28" w:type="dxa"/>
            <w:shd w:val="clear" w:color="auto" w:fill="auto"/>
            <w:noWrap/>
            <w:vAlign w:val="bottom"/>
            <w:hideMark/>
          </w:tcPr>
          <w:p w14:paraId="5F0AE11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1EBD6F2B" w14:textId="77777777" w:rsidTr="00423B79">
        <w:trPr>
          <w:trHeight w:val="237"/>
        </w:trPr>
        <w:tc>
          <w:tcPr>
            <w:tcW w:w="962" w:type="dxa"/>
            <w:shd w:val="clear" w:color="auto" w:fill="auto"/>
            <w:noWrap/>
            <w:vAlign w:val="bottom"/>
            <w:hideMark/>
          </w:tcPr>
          <w:p w14:paraId="393E698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2A62AB5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822" w:type="dxa"/>
            <w:shd w:val="clear" w:color="auto" w:fill="auto"/>
            <w:noWrap/>
            <w:vAlign w:val="bottom"/>
            <w:hideMark/>
          </w:tcPr>
          <w:p w14:paraId="26551AC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w:t>
            </w:r>
          </w:p>
        </w:tc>
        <w:tc>
          <w:tcPr>
            <w:tcW w:w="733" w:type="dxa"/>
            <w:shd w:val="clear" w:color="auto" w:fill="auto"/>
            <w:noWrap/>
            <w:vAlign w:val="bottom"/>
            <w:hideMark/>
          </w:tcPr>
          <w:p w14:paraId="29F01D4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794" w:type="dxa"/>
            <w:shd w:val="clear" w:color="auto" w:fill="auto"/>
            <w:noWrap/>
            <w:vAlign w:val="bottom"/>
            <w:hideMark/>
          </w:tcPr>
          <w:p w14:paraId="7BA00B5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-2.089</w:t>
            </w:r>
          </w:p>
        </w:tc>
        <w:tc>
          <w:tcPr>
            <w:tcW w:w="891" w:type="dxa"/>
            <w:shd w:val="clear" w:color="auto" w:fill="auto"/>
            <w:noWrap/>
            <w:vAlign w:val="bottom"/>
            <w:hideMark/>
          </w:tcPr>
          <w:p w14:paraId="45E05E6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0.57</w:t>
            </w:r>
          </w:p>
        </w:tc>
        <w:tc>
          <w:tcPr>
            <w:tcW w:w="728" w:type="dxa"/>
            <w:shd w:val="clear" w:color="auto" w:fill="auto"/>
            <w:noWrap/>
            <w:vAlign w:val="bottom"/>
            <w:hideMark/>
          </w:tcPr>
          <w:p w14:paraId="4B916B4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0.021</w:t>
            </w:r>
          </w:p>
        </w:tc>
        <w:tc>
          <w:tcPr>
            <w:tcW w:w="794" w:type="dxa"/>
            <w:shd w:val="clear" w:color="auto" w:fill="auto"/>
            <w:noWrap/>
            <w:vAlign w:val="bottom"/>
            <w:hideMark/>
          </w:tcPr>
          <w:p w14:paraId="24CC896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2.836</w:t>
            </w:r>
          </w:p>
        </w:tc>
        <w:tc>
          <w:tcPr>
            <w:tcW w:w="891" w:type="dxa"/>
            <w:shd w:val="clear" w:color="auto" w:fill="auto"/>
            <w:noWrap/>
            <w:vAlign w:val="bottom"/>
            <w:hideMark/>
          </w:tcPr>
          <w:p w14:paraId="55C0511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0.29</w:t>
            </w:r>
          </w:p>
        </w:tc>
        <w:tc>
          <w:tcPr>
            <w:tcW w:w="728" w:type="dxa"/>
            <w:shd w:val="clear" w:color="auto" w:fill="auto"/>
            <w:noWrap/>
            <w:vAlign w:val="bottom"/>
            <w:hideMark/>
          </w:tcPr>
          <w:p w14:paraId="4DF3D84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0.039</w:t>
            </w:r>
          </w:p>
        </w:tc>
      </w:tr>
      <w:tr w:rsidR="00423B79" w:rsidRPr="00423B79" w14:paraId="7D2E718E" w14:textId="77777777" w:rsidTr="00423B79">
        <w:trPr>
          <w:trHeight w:val="237"/>
        </w:trPr>
        <w:tc>
          <w:tcPr>
            <w:tcW w:w="962" w:type="dxa"/>
            <w:shd w:val="clear" w:color="auto" w:fill="auto"/>
            <w:noWrap/>
            <w:vAlign w:val="bottom"/>
            <w:hideMark/>
          </w:tcPr>
          <w:p w14:paraId="645E87C1"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198AEDB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01CEC0A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0.84</w:t>
            </w:r>
          </w:p>
        </w:tc>
        <w:tc>
          <w:tcPr>
            <w:tcW w:w="733" w:type="dxa"/>
            <w:shd w:val="clear" w:color="auto" w:fill="auto"/>
            <w:noWrap/>
            <w:vAlign w:val="bottom"/>
            <w:hideMark/>
          </w:tcPr>
          <w:p w14:paraId="73C1967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794" w:type="dxa"/>
            <w:shd w:val="clear" w:color="auto" w:fill="auto"/>
            <w:noWrap/>
            <w:vAlign w:val="bottom"/>
            <w:hideMark/>
          </w:tcPr>
          <w:p w14:paraId="64B63E3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-1.657</w:t>
            </w:r>
          </w:p>
        </w:tc>
        <w:tc>
          <w:tcPr>
            <w:tcW w:w="891" w:type="dxa"/>
            <w:shd w:val="clear" w:color="auto" w:fill="auto"/>
            <w:noWrap/>
            <w:vAlign w:val="bottom"/>
            <w:hideMark/>
          </w:tcPr>
          <w:p w14:paraId="3E7E36A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0.688</w:t>
            </w:r>
          </w:p>
        </w:tc>
        <w:tc>
          <w:tcPr>
            <w:tcW w:w="728" w:type="dxa"/>
            <w:shd w:val="clear" w:color="auto" w:fill="auto"/>
            <w:noWrap/>
            <w:vAlign w:val="bottom"/>
            <w:hideMark/>
          </w:tcPr>
          <w:p w14:paraId="0B044B2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0.025</w:t>
            </w:r>
          </w:p>
        </w:tc>
        <w:tc>
          <w:tcPr>
            <w:tcW w:w="794" w:type="dxa"/>
            <w:shd w:val="clear" w:color="auto" w:fill="auto"/>
            <w:noWrap/>
            <w:vAlign w:val="bottom"/>
            <w:hideMark/>
          </w:tcPr>
          <w:p w14:paraId="3EC351B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-1.481</w:t>
            </w:r>
          </w:p>
        </w:tc>
        <w:tc>
          <w:tcPr>
            <w:tcW w:w="891" w:type="dxa"/>
            <w:shd w:val="clear" w:color="auto" w:fill="auto"/>
            <w:noWrap/>
            <w:vAlign w:val="bottom"/>
            <w:hideMark/>
          </w:tcPr>
          <w:p w14:paraId="66227E5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0.152</w:t>
            </w:r>
          </w:p>
        </w:tc>
        <w:tc>
          <w:tcPr>
            <w:tcW w:w="728" w:type="dxa"/>
            <w:shd w:val="clear" w:color="auto" w:fill="auto"/>
            <w:noWrap/>
            <w:vAlign w:val="bottom"/>
            <w:hideMark/>
          </w:tcPr>
          <w:p w14:paraId="5455DDE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r>
      <w:tr w:rsidR="00423B79" w:rsidRPr="00423B79" w14:paraId="0ED6543D" w14:textId="77777777" w:rsidTr="00423B79">
        <w:trPr>
          <w:trHeight w:val="237"/>
        </w:trPr>
        <w:tc>
          <w:tcPr>
            <w:tcW w:w="962" w:type="dxa"/>
            <w:shd w:val="clear" w:color="auto" w:fill="auto"/>
            <w:noWrap/>
            <w:vAlign w:val="bottom"/>
            <w:hideMark/>
          </w:tcPr>
          <w:p w14:paraId="79C74CD8"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mmr</w:t>
            </w:r>
          </w:p>
        </w:tc>
        <w:tc>
          <w:tcPr>
            <w:tcW w:w="859" w:type="dxa"/>
            <w:shd w:val="clear" w:color="auto" w:fill="auto"/>
            <w:noWrap/>
            <w:vAlign w:val="bottom"/>
            <w:hideMark/>
          </w:tcPr>
          <w:p w14:paraId="6DDBE8D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2880490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5C7DC7E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606A3A7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6651A96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65DC4A1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F12B88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1C3F10E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A7753C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7CEA4B39" w14:textId="77777777" w:rsidTr="00423B79">
        <w:trPr>
          <w:trHeight w:val="237"/>
        </w:trPr>
        <w:tc>
          <w:tcPr>
            <w:tcW w:w="962" w:type="dxa"/>
            <w:shd w:val="clear" w:color="auto" w:fill="auto"/>
            <w:noWrap/>
            <w:vAlign w:val="bottom"/>
            <w:hideMark/>
          </w:tcPr>
          <w:p w14:paraId="4F6A5232"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3CE01E2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822" w:type="dxa"/>
            <w:shd w:val="clear" w:color="auto" w:fill="auto"/>
            <w:noWrap/>
            <w:vAlign w:val="bottom"/>
            <w:hideMark/>
          </w:tcPr>
          <w:p w14:paraId="7CF2B8A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0.909</w:t>
            </w:r>
          </w:p>
        </w:tc>
        <w:tc>
          <w:tcPr>
            <w:tcW w:w="733" w:type="dxa"/>
            <w:shd w:val="clear" w:color="auto" w:fill="auto"/>
            <w:noWrap/>
            <w:vAlign w:val="bottom"/>
            <w:hideMark/>
          </w:tcPr>
          <w:p w14:paraId="06A1E43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0BBDB36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-0.863</w:t>
            </w:r>
          </w:p>
        </w:tc>
        <w:tc>
          <w:tcPr>
            <w:tcW w:w="891" w:type="dxa"/>
            <w:shd w:val="clear" w:color="auto" w:fill="auto"/>
            <w:noWrap/>
            <w:vAlign w:val="bottom"/>
            <w:hideMark/>
          </w:tcPr>
          <w:p w14:paraId="0799507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0.79</w:t>
            </w:r>
          </w:p>
        </w:tc>
        <w:tc>
          <w:tcPr>
            <w:tcW w:w="728" w:type="dxa"/>
            <w:shd w:val="clear" w:color="auto" w:fill="auto"/>
            <w:noWrap/>
            <w:vAlign w:val="bottom"/>
            <w:hideMark/>
          </w:tcPr>
          <w:p w14:paraId="1FAFAB7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794" w:type="dxa"/>
            <w:shd w:val="clear" w:color="auto" w:fill="auto"/>
            <w:noWrap/>
            <w:vAlign w:val="bottom"/>
            <w:hideMark/>
          </w:tcPr>
          <w:p w14:paraId="315282D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-0.637</w:t>
            </w:r>
          </w:p>
        </w:tc>
        <w:tc>
          <w:tcPr>
            <w:tcW w:w="891" w:type="dxa"/>
            <w:shd w:val="clear" w:color="auto" w:fill="auto"/>
            <w:noWrap/>
            <w:vAlign w:val="bottom"/>
            <w:hideMark/>
          </w:tcPr>
          <w:p w14:paraId="4573822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0.119</w:t>
            </w:r>
          </w:p>
        </w:tc>
        <w:tc>
          <w:tcPr>
            <w:tcW w:w="728" w:type="dxa"/>
            <w:shd w:val="clear" w:color="auto" w:fill="auto"/>
            <w:noWrap/>
            <w:vAlign w:val="bottom"/>
            <w:hideMark/>
          </w:tcPr>
          <w:p w14:paraId="7B54BD2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r>
      <w:tr w:rsidR="00423B79" w:rsidRPr="00423B79" w14:paraId="2ED9742D" w14:textId="77777777" w:rsidTr="00423B79">
        <w:trPr>
          <w:trHeight w:val="237"/>
        </w:trPr>
        <w:tc>
          <w:tcPr>
            <w:tcW w:w="962" w:type="dxa"/>
            <w:shd w:val="clear" w:color="auto" w:fill="auto"/>
            <w:noWrap/>
            <w:vAlign w:val="bottom"/>
            <w:hideMark/>
          </w:tcPr>
          <w:p w14:paraId="4354CED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279078D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822" w:type="dxa"/>
            <w:shd w:val="clear" w:color="auto" w:fill="auto"/>
            <w:noWrap/>
            <w:vAlign w:val="bottom"/>
            <w:hideMark/>
          </w:tcPr>
          <w:p w14:paraId="6C79467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0.872</w:t>
            </w:r>
          </w:p>
        </w:tc>
        <w:tc>
          <w:tcPr>
            <w:tcW w:w="733" w:type="dxa"/>
            <w:shd w:val="clear" w:color="auto" w:fill="auto"/>
            <w:noWrap/>
            <w:vAlign w:val="bottom"/>
            <w:hideMark/>
          </w:tcPr>
          <w:p w14:paraId="03914C6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794" w:type="dxa"/>
            <w:shd w:val="clear" w:color="auto" w:fill="auto"/>
            <w:noWrap/>
            <w:vAlign w:val="bottom"/>
            <w:hideMark/>
          </w:tcPr>
          <w:p w14:paraId="782DBB8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1.234</w:t>
            </w:r>
          </w:p>
        </w:tc>
        <w:tc>
          <w:tcPr>
            <w:tcW w:w="891" w:type="dxa"/>
            <w:shd w:val="clear" w:color="auto" w:fill="auto"/>
            <w:noWrap/>
            <w:vAlign w:val="bottom"/>
            <w:hideMark/>
          </w:tcPr>
          <w:p w14:paraId="0D80F4C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0.447</w:t>
            </w:r>
          </w:p>
        </w:tc>
        <w:tc>
          <w:tcPr>
            <w:tcW w:w="728" w:type="dxa"/>
            <w:shd w:val="clear" w:color="auto" w:fill="auto"/>
            <w:noWrap/>
            <w:vAlign w:val="bottom"/>
            <w:hideMark/>
          </w:tcPr>
          <w:p w14:paraId="273B472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794" w:type="dxa"/>
            <w:shd w:val="clear" w:color="auto" w:fill="auto"/>
            <w:noWrap/>
            <w:vAlign w:val="bottom"/>
            <w:hideMark/>
          </w:tcPr>
          <w:p w14:paraId="2825098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2.286</w:t>
            </w:r>
          </w:p>
        </w:tc>
        <w:tc>
          <w:tcPr>
            <w:tcW w:w="891" w:type="dxa"/>
            <w:shd w:val="clear" w:color="auto" w:fill="auto"/>
            <w:noWrap/>
            <w:vAlign w:val="bottom"/>
            <w:hideMark/>
          </w:tcPr>
          <w:p w14:paraId="2FEBEEB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0.425</w:t>
            </w:r>
          </w:p>
        </w:tc>
        <w:tc>
          <w:tcPr>
            <w:tcW w:w="728" w:type="dxa"/>
            <w:shd w:val="clear" w:color="auto" w:fill="auto"/>
            <w:noWrap/>
            <w:vAlign w:val="bottom"/>
            <w:hideMark/>
          </w:tcPr>
          <w:p w14:paraId="0930C3F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0.027</w:t>
            </w:r>
          </w:p>
        </w:tc>
      </w:tr>
      <w:tr w:rsidR="00423B79" w:rsidRPr="00423B79" w14:paraId="69DF218D" w14:textId="77777777" w:rsidTr="00423B79">
        <w:trPr>
          <w:trHeight w:val="237"/>
        </w:trPr>
        <w:tc>
          <w:tcPr>
            <w:tcW w:w="962" w:type="dxa"/>
            <w:shd w:val="clear" w:color="auto" w:fill="auto"/>
            <w:noWrap/>
            <w:vAlign w:val="bottom"/>
            <w:hideMark/>
          </w:tcPr>
          <w:p w14:paraId="674ABFB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39A9690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822" w:type="dxa"/>
            <w:shd w:val="clear" w:color="auto" w:fill="auto"/>
            <w:noWrap/>
            <w:vAlign w:val="bottom"/>
            <w:hideMark/>
          </w:tcPr>
          <w:p w14:paraId="332F2F6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0.901</w:t>
            </w:r>
          </w:p>
        </w:tc>
        <w:tc>
          <w:tcPr>
            <w:tcW w:w="733" w:type="dxa"/>
            <w:shd w:val="clear" w:color="auto" w:fill="auto"/>
            <w:noWrap/>
            <w:vAlign w:val="bottom"/>
            <w:hideMark/>
          </w:tcPr>
          <w:p w14:paraId="343B221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794" w:type="dxa"/>
            <w:shd w:val="clear" w:color="auto" w:fill="auto"/>
            <w:noWrap/>
            <w:vAlign w:val="bottom"/>
            <w:hideMark/>
          </w:tcPr>
          <w:p w14:paraId="5B96CC3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1.723</w:t>
            </w:r>
          </w:p>
        </w:tc>
        <w:tc>
          <w:tcPr>
            <w:tcW w:w="891" w:type="dxa"/>
            <w:shd w:val="clear" w:color="auto" w:fill="auto"/>
            <w:noWrap/>
            <w:vAlign w:val="bottom"/>
            <w:hideMark/>
          </w:tcPr>
          <w:p w14:paraId="4325B60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0.887</w:t>
            </w:r>
          </w:p>
        </w:tc>
        <w:tc>
          <w:tcPr>
            <w:tcW w:w="728" w:type="dxa"/>
            <w:shd w:val="clear" w:color="auto" w:fill="auto"/>
            <w:noWrap/>
            <w:vAlign w:val="bottom"/>
            <w:hideMark/>
          </w:tcPr>
          <w:p w14:paraId="18C5B03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794" w:type="dxa"/>
            <w:shd w:val="clear" w:color="auto" w:fill="auto"/>
            <w:noWrap/>
            <w:vAlign w:val="bottom"/>
            <w:hideMark/>
          </w:tcPr>
          <w:p w14:paraId="73052CB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0.42</w:t>
            </w:r>
          </w:p>
        </w:tc>
        <w:tc>
          <w:tcPr>
            <w:tcW w:w="891" w:type="dxa"/>
            <w:shd w:val="clear" w:color="auto" w:fill="auto"/>
            <w:noWrap/>
            <w:vAlign w:val="bottom"/>
            <w:hideMark/>
          </w:tcPr>
          <w:p w14:paraId="2891CF1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0.015</w:t>
            </w:r>
          </w:p>
        </w:tc>
        <w:tc>
          <w:tcPr>
            <w:tcW w:w="728" w:type="dxa"/>
            <w:shd w:val="clear" w:color="auto" w:fill="auto"/>
            <w:noWrap/>
            <w:vAlign w:val="bottom"/>
            <w:hideMark/>
          </w:tcPr>
          <w:p w14:paraId="7CC3429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2673A095" w14:textId="77777777" w:rsidTr="00423B79">
        <w:trPr>
          <w:trHeight w:val="237"/>
        </w:trPr>
        <w:tc>
          <w:tcPr>
            <w:tcW w:w="1821" w:type="dxa"/>
            <w:gridSpan w:val="2"/>
            <w:shd w:val="clear" w:color="auto" w:fill="auto"/>
            <w:noWrap/>
            <w:vAlign w:val="bottom"/>
            <w:hideMark/>
          </w:tcPr>
          <w:p w14:paraId="30171822"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adolescent~h</w:t>
            </w:r>
          </w:p>
        </w:tc>
        <w:tc>
          <w:tcPr>
            <w:tcW w:w="822" w:type="dxa"/>
            <w:shd w:val="clear" w:color="auto" w:fill="auto"/>
            <w:noWrap/>
            <w:vAlign w:val="bottom"/>
            <w:hideMark/>
          </w:tcPr>
          <w:p w14:paraId="0105982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4EAA2AA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7132AAB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3FCB612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785B03F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6B4CD3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713080F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6CD0EF2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55D45066" w14:textId="77777777" w:rsidTr="00423B79">
        <w:trPr>
          <w:trHeight w:val="237"/>
        </w:trPr>
        <w:tc>
          <w:tcPr>
            <w:tcW w:w="962" w:type="dxa"/>
            <w:shd w:val="clear" w:color="auto" w:fill="auto"/>
            <w:noWrap/>
            <w:vAlign w:val="bottom"/>
            <w:hideMark/>
          </w:tcPr>
          <w:p w14:paraId="3CE43FE2"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1B738D1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822" w:type="dxa"/>
            <w:shd w:val="clear" w:color="auto" w:fill="auto"/>
            <w:noWrap/>
            <w:vAlign w:val="bottom"/>
            <w:hideMark/>
          </w:tcPr>
          <w:p w14:paraId="3AF8192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0.869</w:t>
            </w:r>
          </w:p>
        </w:tc>
        <w:tc>
          <w:tcPr>
            <w:tcW w:w="733" w:type="dxa"/>
            <w:shd w:val="clear" w:color="auto" w:fill="auto"/>
            <w:noWrap/>
            <w:vAlign w:val="bottom"/>
            <w:hideMark/>
          </w:tcPr>
          <w:p w14:paraId="5AE99B5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794" w:type="dxa"/>
            <w:shd w:val="clear" w:color="auto" w:fill="auto"/>
            <w:noWrap/>
            <w:vAlign w:val="bottom"/>
            <w:hideMark/>
          </w:tcPr>
          <w:p w14:paraId="4EF894C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-0.706</w:t>
            </w:r>
          </w:p>
        </w:tc>
        <w:tc>
          <w:tcPr>
            <w:tcW w:w="891" w:type="dxa"/>
            <w:shd w:val="clear" w:color="auto" w:fill="auto"/>
            <w:noWrap/>
            <w:vAlign w:val="bottom"/>
            <w:hideMark/>
          </w:tcPr>
          <w:p w14:paraId="3171213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0.67</w:t>
            </w:r>
          </w:p>
        </w:tc>
        <w:tc>
          <w:tcPr>
            <w:tcW w:w="728" w:type="dxa"/>
            <w:shd w:val="clear" w:color="auto" w:fill="auto"/>
            <w:noWrap/>
            <w:vAlign w:val="bottom"/>
            <w:hideMark/>
          </w:tcPr>
          <w:p w14:paraId="5C13086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794" w:type="dxa"/>
            <w:shd w:val="clear" w:color="auto" w:fill="auto"/>
            <w:noWrap/>
            <w:vAlign w:val="bottom"/>
            <w:hideMark/>
          </w:tcPr>
          <w:p w14:paraId="61371D3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-0.733</w:t>
            </w:r>
          </w:p>
        </w:tc>
        <w:tc>
          <w:tcPr>
            <w:tcW w:w="891" w:type="dxa"/>
            <w:shd w:val="clear" w:color="auto" w:fill="auto"/>
            <w:noWrap/>
            <w:vAlign w:val="bottom"/>
            <w:hideMark/>
          </w:tcPr>
          <w:p w14:paraId="1A684B6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w:t>
            </w:r>
          </w:p>
        </w:tc>
        <w:tc>
          <w:tcPr>
            <w:tcW w:w="728" w:type="dxa"/>
            <w:shd w:val="clear" w:color="auto" w:fill="auto"/>
            <w:noWrap/>
            <w:vAlign w:val="bottom"/>
            <w:hideMark/>
          </w:tcPr>
          <w:p w14:paraId="2E217D6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r>
      <w:tr w:rsidR="00423B79" w:rsidRPr="00423B79" w14:paraId="76FB5E61" w14:textId="77777777" w:rsidTr="00423B79">
        <w:trPr>
          <w:trHeight w:val="237"/>
        </w:trPr>
        <w:tc>
          <w:tcPr>
            <w:tcW w:w="962" w:type="dxa"/>
            <w:shd w:val="clear" w:color="auto" w:fill="auto"/>
            <w:noWrap/>
            <w:vAlign w:val="bottom"/>
            <w:hideMark/>
          </w:tcPr>
          <w:p w14:paraId="4D1D488C"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7775077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5FAD1E1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0.808</w:t>
            </w:r>
          </w:p>
        </w:tc>
        <w:tc>
          <w:tcPr>
            <w:tcW w:w="733" w:type="dxa"/>
            <w:shd w:val="clear" w:color="auto" w:fill="auto"/>
            <w:noWrap/>
            <w:vAlign w:val="bottom"/>
            <w:hideMark/>
          </w:tcPr>
          <w:p w14:paraId="0F67ACD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175DE00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1.016</w:t>
            </w:r>
          </w:p>
        </w:tc>
        <w:tc>
          <w:tcPr>
            <w:tcW w:w="891" w:type="dxa"/>
            <w:shd w:val="clear" w:color="auto" w:fill="auto"/>
            <w:noWrap/>
            <w:vAlign w:val="bottom"/>
            <w:hideMark/>
          </w:tcPr>
          <w:p w14:paraId="07689AC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0.172</w:t>
            </w:r>
          </w:p>
        </w:tc>
        <w:tc>
          <w:tcPr>
            <w:tcW w:w="728" w:type="dxa"/>
            <w:shd w:val="clear" w:color="auto" w:fill="auto"/>
            <w:noWrap/>
            <w:vAlign w:val="bottom"/>
            <w:hideMark/>
          </w:tcPr>
          <w:p w14:paraId="53059DA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197DEAB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3.72</w:t>
            </w:r>
          </w:p>
        </w:tc>
        <w:tc>
          <w:tcPr>
            <w:tcW w:w="891" w:type="dxa"/>
            <w:shd w:val="clear" w:color="auto" w:fill="auto"/>
            <w:noWrap/>
            <w:vAlign w:val="bottom"/>
            <w:hideMark/>
          </w:tcPr>
          <w:p w14:paraId="0EA1EFD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0.637</w:t>
            </w:r>
          </w:p>
        </w:tc>
        <w:tc>
          <w:tcPr>
            <w:tcW w:w="728" w:type="dxa"/>
            <w:shd w:val="clear" w:color="auto" w:fill="auto"/>
            <w:noWrap/>
            <w:vAlign w:val="bottom"/>
            <w:hideMark/>
          </w:tcPr>
          <w:p w14:paraId="757A7C3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0.049</w:t>
            </w:r>
          </w:p>
        </w:tc>
      </w:tr>
      <w:tr w:rsidR="00423B79" w:rsidRPr="00423B79" w14:paraId="01A0842E" w14:textId="77777777" w:rsidTr="00423B79">
        <w:trPr>
          <w:trHeight w:val="237"/>
        </w:trPr>
        <w:tc>
          <w:tcPr>
            <w:tcW w:w="962" w:type="dxa"/>
            <w:shd w:val="clear" w:color="auto" w:fill="auto"/>
            <w:noWrap/>
            <w:vAlign w:val="bottom"/>
            <w:hideMark/>
          </w:tcPr>
          <w:p w14:paraId="2460B5BD"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2D28C8F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10B1584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w:t>
            </w:r>
          </w:p>
        </w:tc>
        <w:tc>
          <w:tcPr>
            <w:tcW w:w="733" w:type="dxa"/>
            <w:shd w:val="clear" w:color="auto" w:fill="auto"/>
            <w:noWrap/>
            <w:vAlign w:val="bottom"/>
            <w:hideMark/>
          </w:tcPr>
          <w:p w14:paraId="7E94ABB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288CFC2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1.385</w:t>
            </w:r>
          </w:p>
        </w:tc>
        <w:tc>
          <w:tcPr>
            <w:tcW w:w="891" w:type="dxa"/>
            <w:shd w:val="clear" w:color="auto" w:fill="auto"/>
            <w:noWrap/>
            <w:vAlign w:val="bottom"/>
            <w:hideMark/>
          </w:tcPr>
          <w:p w14:paraId="43B2282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0.834</w:t>
            </w:r>
          </w:p>
        </w:tc>
        <w:tc>
          <w:tcPr>
            <w:tcW w:w="728" w:type="dxa"/>
            <w:shd w:val="clear" w:color="auto" w:fill="auto"/>
            <w:noWrap/>
            <w:vAlign w:val="bottom"/>
            <w:hideMark/>
          </w:tcPr>
          <w:p w14:paraId="24BA4A2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794" w:type="dxa"/>
            <w:shd w:val="clear" w:color="auto" w:fill="auto"/>
            <w:noWrap/>
            <w:vAlign w:val="bottom"/>
            <w:hideMark/>
          </w:tcPr>
          <w:p w14:paraId="19BBEE6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0.459</w:t>
            </w:r>
          </w:p>
        </w:tc>
        <w:tc>
          <w:tcPr>
            <w:tcW w:w="891" w:type="dxa"/>
            <w:shd w:val="clear" w:color="auto" w:fill="auto"/>
            <w:noWrap/>
            <w:vAlign w:val="bottom"/>
            <w:hideMark/>
          </w:tcPr>
          <w:p w14:paraId="59B4866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0.025</w:t>
            </w:r>
          </w:p>
        </w:tc>
        <w:tc>
          <w:tcPr>
            <w:tcW w:w="728" w:type="dxa"/>
            <w:shd w:val="clear" w:color="auto" w:fill="auto"/>
            <w:noWrap/>
            <w:vAlign w:val="bottom"/>
            <w:hideMark/>
          </w:tcPr>
          <w:p w14:paraId="7D96149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319006AF" w14:textId="77777777" w:rsidTr="00423B79">
        <w:trPr>
          <w:trHeight w:val="237"/>
        </w:trPr>
        <w:tc>
          <w:tcPr>
            <w:tcW w:w="1821" w:type="dxa"/>
            <w:gridSpan w:val="2"/>
            <w:shd w:val="clear" w:color="auto" w:fill="auto"/>
            <w:noWrap/>
            <w:vAlign w:val="bottom"/>
            <w:hideMark/>
          </w:tcPr>
          <w:p w14:paraId="05FB897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womeninpar~t</w:t>
            </w:r>
          </w:p>
        </w:tc>
        <w:tc>
          <w:tcPr>
            <w:tcW w:w="822" w:type="dxa"/>
            <w:shd w:val="clear" w:color="auto" w:fill="auto"/>
            <w:noWrap/>
            <w:vAlign w:val="bottom"/>
            <w:hideMark/>
          </w:tcPr>
          <w:p w14:paraId="1DD663C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44BE35F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02A3F6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7FCE562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29CD432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295452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738A757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21C8DB4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51260C35" w14:textId="77777777" w:rsidTr="00423B79">
        <w:trPr>
          <w:trHeight w:val="237"/>
        </w:trPr>
        <w:tc>
          <w:tcPr>
            <w:tcW w:w="962" w:type="dxa"/>
            <w:shd w:val="clear" w:color="auto" w:fill="auto"/>
            <w:noWrap/>
            <w:vAlign w:val="bottom"/>
            <w:hideMark/>
          </w:tcPr>
          <w:p w14:paraId="7D5D38A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7C53004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822" w:type="dxa"/>
            <w:shd w:val="clear" w:color="auto" w:fill="auto"/>
            <w:noWrap/>
            <w:vAlign w:val="bottom"/>
            <w:hideMark/>
          </w:tcPr>
          <w:p w14:paraId="173FC5F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0.832</w:t>
            </w:r>
          </w:p>
        </w:tc>
        <w:tc>
          <w:tcPr>
            <w:tcW w:w="733" w:type="dxa"/>
            <w:shd w:val="clear" w:color="auto" w:fill="auto"/>
            <w:noWrap/>
            <w:vAlign w:val="bottom"/>
            <w:hideMark/>
          </w:tcPr>
          <w:p w14:paraId="049A8AE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794" w:type="dxa"/>
            <w:shd w:val="clear" w:color="auto" w:fill="auto"/>
            <w:noWrap/>
            <w:vAlign w:val="bottom"/>
            <w:hideMark/>
          </w:tcPr>
          <w:p w14:paraId="37CF37D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0.354</w:t>
            </w:r>
          </w:p>
        </w:tc>
        <w:tc>
          <w:tcPr>
            <w:tcW w:w="891" w:type="dxa"/>
            <w:shd w:val="clear" w:color="auto" w:fill="auto"/>
            <w:noWrap/>
            <w:vAlign w:val="bottom"/>
            <w:hideMark/>
          </w:tcPr>
          <w:p w14:paraId="239D822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0.81</w:t>
            </w:r>
          </w:p>
        </w:tc>
        <w:tc>
          <w:tcPr>
            <w:tcW w:w="728" w:type="dxa"/>
            <w:shd w:val="clear" w:color="auto" w:fill="auto"/>
            <w:noWrap/>
            <w:vAlign w:val="bottom"/>
            <w:hideMark/>
          </w:tcPr>
          <w:p w14:paraId="6C97E11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19A3536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-0.112</w:t>
            </w:r>
          </w:p>
        </w:tc>
        <w:tc>
          <w:tcPr>
            <w:tcW w:w="891" w:type="dxa"/>
            <w:shd w:val="clear" w:color="auto" w:fill="auto"/>
            <w:noWrap/>
            <w:vAlign w:val="bottom"/>
            <w:hideMark/>
          </w:tcPr>
          <w:p w14:paraId="29C254E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28" w:type="dxa"/>
            <w:shd w:val="clear" w:color="auto" w:fill="auto"/>
            <w:noWrap/>
            <w:vAlign w:val="bottom"/>
            <w:hideMark/>
          </w:tcPr>
          <w:p w14:paraId="1F3F0EC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709109EF" w14:textId="77777777" w:rsidTr="00423B79">
        <w:trPr>
          <w:trHeight w:val="237"/>
        </w:trPr>
        <w:tc>
          <w:tcPr>
            <w:tcW w:w="962" w:type="dxa"/>
            <w:shd w:val="clear" w:color="auto" w:fill="auto"/>
            <w:noWrap/>
            <w:vAlign w:val="bottom"/>
            <w:hideMark/>
          </w:tcPr>
          <w:p w14:paraId="3BAF1E0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481FC50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822" w:type="dxa"/>
            <w:shd w:val="clear" w:color="auto" w:fill="auto"/>
            <w:noWrap/>
            <w:vAlign w:val="bottom"/>
            <w:hideMark/>
          </w:tcPr>
          <w:p w14:paraId="05D6E9F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0.331</w:t>
            </w:r>
          </w:p>
        </w:tc>
        <w:tc>
          <w:tcPr>
            <w:tcW w:w="733" w:type="dxa"/>
            <w:shd w:val="clear" w:color="auto" w:fill="auto"/>
            <w:noWrap/>
            <w:vAlign w:val="bottom"/>
            <w:hideMark/>
          </w:tcPr>
          <w:p w14:paraId="20D9D68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600815A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-0.707</w:t>
            </w:r>
          </w:p>
        </w:tc>
        <w:tc>
          <w:tcPr>
            <w:tcW w:w="891" w:type="dxa"/>
            <w:shd w:val="clear" w:color="auto" w:fill="auto"/>
            <w:noWrap/>
            <w:vAlign w:val="bottom"/>
            <w:hideMark/>
          </w:tcPr>
          <w:p w14:paraId="3133268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0.322</w:t>
            </w:r>
          </w:p>
        </w:tc>
        <w:tc>
          <w:tcPr>
            <w:tcW w:w="728" w:type="dxa"/>
            <w:shd w:val="clear" w:color="auto" w:fill="auto"/>
            <w:noWrap/>
            <w:vAlign w:val="bottom"/>
            <w:hideMark/>
          </w:tcPr>
          <w:p w14:paraId="125A86E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35F60EA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0.231</w:t>
            </w:r>
          </w:p>
        </w:tc>
        <w:tc>
          <w:tcPr>
            <w:tcW w:w="891" w:type="dxa"/>
            <w:shd w:val="clear" w:color="auto" w:fill="auto"/>
            <w:noWrap/>
            <w:vAlign w:val="bottom"/>
            <w:hideMark/>
          </w:tcPr>
          <w:p w14:paraId="3B9DFCF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728" w:type="dxa"/>
            <w:shd w:val="clear" w:color="auto" w:fill="auto"/>
            <w:noWrap/>
            <w:vAlign w:val="bottom"/>
            <w:hideMark/>
          </w:tcPr>
          <w:p w14:paraId="36FF05D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7B8714E3" w14:textId="77777777" w:rsidTr="00423B79">
        <w:trPr>
          <w:trHeight w:val="237"/>
        </w:trPr>
        <w:tc>
          <w:tcPr>
            <w:tcW w:w="962" w:type="dxa"/>
            <w:shd w:val="clear" w:color="auto" w:fill="auto"/>
            <w:noWrap/>
            <w:vAlign w:val="bottom"/>
            <w:hideMark/>
          </w:tcPr>
          <w:p w14:paraId="0737126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66CAE27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1060087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0.791</w:t>
            </w:r>
          </w:p>
        </w:tc>
        <w:tc>
          <w:tcPr>
            <w:tcW w:w="733" w:type="dxa"/>
            <w:shd w:val="clear" w:color="auto" w:fill="auto"/>
            <w:noWrap/>
            <w:vAlign w:val="bottom"/>
            <w:hideMark/>
          </w:tcPr>
          <w:p w14:paraId="4F3281E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5FAE09E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-0.688</w:t>
            </w:r>
          </w:p>
        </w:tc>
        <w:tc>
          <w:tcPr>
            <w:tcW w:w="891" w:type="dxa"/>
            <w:shd w:val="clear" w:color="auto" w:fill="auto"/>
            <w:noWrap/>
            <w:vAlign w:val="bottom"/>
            <w:hideMark/>
          </w:tcPr>
          <w:p w14:paraId="32BEC95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0.77</w:t>
            </w:r>
          </w:p>
        </w:tc>
        <w:tc>
          <w:tcPr>
            <w:tcW w:w="728" w:type="dxa"/>
            <w:shd w:val="clear" w:color="auto" w:fill="auto"/>
            <w:noWrap/>
            <w:vAlign w:val="bottom"/>
            <w:hideMark/>
          </w:tcPr>
          <w:p w14:paraId="5C3F1A6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794" w:type="dxa"/>
            <w:shd w:val="clear" w:color="auto" w:fill="auto"/>
            <w:noWrap/>
            <w:vAlign w:val="bottom"/>
            <w:hideMark/>
          </w:tcPr>
          <w:p w14:paraId="7BE578D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0.215</w:t>
            </w:r>
          </w:p>
        </w:tc>
        <w:tc>
          <w:tcPr>
            <w:tcW w:w="891" w:type="dxa"/>
            <w:shd w:val="clear" w:color="auto" w:fill="auto"/>
            <w:noWrap/>
            <w:vAlign w:val="bottom"/>
            <w:hideMark/>
          </w:tcPr>
          <w:p w14:paraId="2D591D7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0.021</w:t>
            </w:r>
          </w:p>
        </w:tc>
        <w:tc>
          <w:tcPr>
            <w:tcW w:w="728" w:type="dxa"/>
            <w:shd w:val="clear" w:color="auto" w:fill="auto"/>
            <w:noWrap/>
            <w:vAlign w:val="bottom"/>
            <w:hideMark/>
          </w:tcPr>
          <w:p w14:paraId="4ECBCD1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049970B2" w14:textId="77777777" w:rsidTr="00423B79">
        <w:trPr>
          <w:trHeight w:val="237"/>
        </w:trPr>
        <w:tc>
          <w:tcPr>
            <w:tcW w:w="1821" w:type="dxa"/>
            <w:gridSpan w:val="2"/>
            <w:shd w:val="clear" w:color="auto" w:fill="auto"/>
            <w:noWrap/>
            <w:vAlign w:val="bottom"/>
            <w:hideMark/>
          </w:tcPr>
          <w:p w14:paraId="0839312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female_lfpr</w:t>
            </w:r>
          </w:p>
        </w:tc>
        <w:tc>
          <w:tcPr>
            <w:tcW w:w="822" w:type="dxa"/>
            <w:shd w:val="clear" w:color="auto" w:fill="auto"/>
            <w:noWrap/>
            <w:vAlign w:val="bottom"/>
            <w:hideMark/>
          </w:tcPr>
          <w:p w14:paraId="151F027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61AED85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BAE492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383995A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142E961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A3FA35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566A8EB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0F2905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1276A28D" w14:textId="77777777" w:rsidTr="00423B79">
        <w:trPr>
          <w:trHeight w:val="237"/>
        </w:trPr>
        <w:tc>
          <w:tcPr>
            <w:tcW w:w="962" w:type="dxa"/>
            <w:shd w:val="clear" w:color="auto" w:fill="auto"/>
            <w:noWrap/>
            <w:vAlign w:val="bottom"/>
            <w:hideMark/>
          </w:tcPr>
          <w:p w14:paraId="0D850A8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43F1707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22" w:type="dxa"/>
            <w:shd w:val="clear" w:color="auto" w:fill="auto"/>
            <w:noWrap/>
            <w:vAlign w:val="bottom"/>
            <w:hideMark/>
          </w:tcPr>
          <w:p w14:paraId="2073C75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0.115</w:t>
            </w:r>
          </w:p>
        </w:tc>
        <w:tc>
          <w:tcPr>
            <w:tcW w:w="733" w:type="dxa"/>
            <w:shd w:val="clear" w:color="auto" w:fill="auto"/>
            <w:noWrap/>
            <w:vAlign w:val="bottom"/>
            <w:hideMark/>
          </w:tcPr>
          <w:p w14:paraId="14B32D1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38D5DF6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0.074</w:t>
            </w:r>
          </w:p>
        </w:tc>
        <w:tc>
          <w:tcPr>
            <w:tcW w:w="891" w:type="dxa"/>
            <w:shd w:val="clear" w:color="auto" w:fill="auto"/>
            <w:noWrap/>
            <w:vAlign w:val="bottom"/>
            <w:hideMark/>
          </w:tcPr>
          <w:p w14:paraId="7FE8BC5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0.032</w:t>
            </w:r>
          </w:p>
        </w:tc>
        <w:tc>
          <w:tcPr>
            <w:tcW w:w="728" w:type="dxa"/>
            <w:shd w:val="clear" w:color="auto" w:fill="auto"/>
            <w:noWrap/>
            <w:vAlign w:val="bottom"/>
            <w:hideMark/>
          </w:tcPr>
          <w:p w14:paraId="1E8E902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94" w:type="dxa"/>
            <w:shd w:val="clear" w:color="auto" w:fill="auto"/>
            <w:noWrap/>
            <w:vAlign w:val="bottom"/>
            <w:hideMark/>
          </w:tcPr>
          <w:p w14:paraId="5E3DF34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-0.228</w:t>
            </w:r>
          </w:p>
        </w:tc>
        <w:tc>
          <w:tcPr>
            <w:tcW w:w="891" w:type="dxa"/>
            <w:shd w:val="clear" w:color="auto" w:fill="auto"/>
            <w:noWrap/>
            <w:vAlign w:val="bottom"/>
            <w:hideMark/>
          </w:tcPr>
          <w:p w14:paraId="09AAB7F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0.083</w:t>
            </w:r>
          </w:p>
        </w:tc>
        <w:tc>
          <w:tcPr>
            <w:tcW w:w="728" w:type="dxa"/>
            <w:shd w:val="clear" w:color="auto" w:fill="auto"/>
            <w:noWrap/>
            <w:vAlign w:val="bottom"/>
            <w:hideMark/>
          </w:tcPr>
          <w:p w14:paraId="7560826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3556ABEC" w14:textId="77777777" w:rsidTr="00423B79">
        <w:trPr>
          <w:trHeight w:val="237"/>
        </w:trPr>
        <w:tc>
          <w:tcPr>
            <w:tcW w:w="962" w:type="dxa"/>
            <w:shd w:val="clear" w:color="auto" w:fill="auto"/>
            <w:noWrap/>
            <w:vAlign w:val="bottom"/>
            <w:hideMark/>
          </w:tcPr>
          <w:p w14:paraId="6C46B07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6EEDD79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3574CBF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0.745</w:t>
            </w:r>
          </w:p>
        </w:tc>
        <w:tc>
          <w:tcPr>
            <w:tcW w:w="733" w:type="dxa"/>
            <w:shd w:val="clear" w:color="auto" w:fill="auto"/>
            <w:noWrap/>
            <w:vAlign w:val="bottom"/>
            <w:hideMark/>
          </w:tcPr>
          <w:p w14:paraId="5CC0C1C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69D6D85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-1.079</w:t>
            </w:r>
          </w:p>
        </w:tc>
        <w:tc>
          <w:tcPr>
            <w:tcW w:w="891" w:type="dxa"/>
            <w:shd w:val="clear" w:color="auto" w:fill="auto"/>
            <w:noWrap/>
            <w:vAlign w:val="bottom"/>
            <w:hideMark/>
          </w:tcPr>
          <w:p w14:paraId="723674C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0.234</w:t>
            </w:r>
          </w:p>
        </w:tc>
        <w:tc>
          <w:tcPr>
            <w:tcW w:w="728" w:type="dxa"/>
            <w:shd w:val="clear" w:color="auto" w:fill="auto"/>
            <w:noWrap/>
            <w:vAlign w:val="bottom"/>
            <w:hideMark/>
          </w:tcPr>
          <w:p w14:paraId="2E2A8A6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794" w:type="dxa"/>
            <w:shd w:val="clear" w:color="auto" w:fill="auto"/>
            <w:noWrap/>
            <w:vAlign w:val="bottom"/>
            <w:hideMark/>
          </w:tcPr>
          <w:p w14:paraId="310B526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3.034</w:t>
            </w:r>
          </w:p>
        </w:tc>
        <w:tc>
          <w:tcPr>
            <w:tcW w:w="891" w:type="dxa"/>
            <w:shd w:val="clear" w:color="auto" w:fill="auto"/>
            <w:noWrap/>
            <w:vAlign w:val="bottom"/>
            <w:hideMark/>
          </w:tcPr>
          <w:p w14:paraId="1A65F95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0.511</w:t>
            </w:r>
          </w:p>
        </w:tc>
        <w:tc>
          <w:tcPr>
            <w:tcW w:w="728" w:type="dxa"/>
            <w:shd w:val="clear" w:color="auto" w:fill="auto"/>
            <w:noWrap/>
            <w:vAlign w:val="bottom"/>
            <w:hideMark/>
          </w:tcPr>
          <w:p w14:paraId="551C2F7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0.04</w:t>
            </w:r>
          </w:p>
        </w:tc>
      </w:tr>
      <w:tr w:rsidR="00423B79" w:rsidRPr="00423B79" w14:paraId="4448F80E" w14:textId="77777777" w:rsidTr="00423B79">
        <w:trPr>
          <w:trHeight w:val="237"/>
        </w:trPr>
        <w:tc>
          <w:tcPr>
            <w:tcW w:w="962" w:type="dxa"/>
            <w:shd w:val="clear" w:color="auto" w:fill="auto"/>
            <w:noWrap/>
            <w:vAlign w:val="bottom"/>
            <w:hideMark/>
          </w:tcPr>
          <w:p w14:paraId="590E4A9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14502BC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62ABDEC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0.394</w:t>
            </w:r>
          </w:p>
        </w:tc>
        <w:tc>
          <w:tcPr>
            <w:tcW w:w="733" w:type="dxa"/>
            <w:shd w:val="clear" w:color="auto" w:fill="auto"/>
            <w:noWrap/>
            <w:vAlign w:val="bottom"/>
            <w:hideMark/>
          </w:tcPr>
          <w:p w14:paraId="768EA40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593786A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0.311</w:t>
            </w:r>
          </w:p>
        </w:tc>
        <w:tc>
          <w:tcPr>
            <w:tcW w:w="891" w:type="dxa"/>
            <w:shd w:val="clear" w:color="auto" w:fill="auto"/>
            <w:noWrap/>
            <w:vAlign w:val="bottom"/>
            <w:hideMark/>
          </w:tcPr>
          <w:p w14:paraId="42363E2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0.134</w:t>
            </w:r>
          </w:p>
        </w:tc>
        <w:tc>
          <w:tcPr>
            <w:tcW w:w="728" w:type="dxa"/>
            <w:shd w:val="clear" w:color="auto" w:fill="auto"/>
            <w:noWrap/>
            <w:vAlign w:val="bottom"/>
            <w:hideMark/>
          </w:tcPr>
          <w:p w14:paraId="35FAB3C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6DCEFAA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-0.825</w:t>
            </w:r>
          </w:p>
        </w:tc>
        <w:tc>
          <w:tcPr>
            <w:tcW w:w="891" w:type="dxa"/>
            <w:shd w:val="clear" w:color="auto" w:fill="auto"/>
            <w:noWrap/>
            <w:vAlign w:val="bottom"/>
            <w:hideMark/>
          </w:tcPr>
          <w:p w14:paraId="3872EF6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0.26</w:t>
            </w:r>
          </w:p>
        </w:tc>
        <w:tc>
          <w:tcPr>
            <w:tcW w:w="728" w:type="dxa"/>
            <w:shd w:val="clear" w:color="auto" w:fill="auto"/>
            <w:noWrap/>
            <w:vAlign w:val="bottom"/>
            <w:hideMark/>
          </w:tcPr>
          <w:p w14:paraId="2C57EDC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r>
      <w:tr w:rsidR="00423B79" w:rsidRPr="00423B79" w14:paraId="7C3911E6" w14:textId="77777777" w:rsidTr="00423B79">
        <w:trPr>
          <w:trHeight w:val="237"/>
        </w:trPr>
        <w:tc>
          <w:tcPr>
            <w:tcW w:w="962" w:type="dxa"/>
            <w:shd w:val="clear" w:color="auto" w:fill="auto"/>
            <w:noWrap/>
            <w:vAlign w:val="bottom"/>
            <w:hideMark/>
          </w:tcPr>
          <w:p w14:paraId="3E60FCFD"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male_lfpr</w:t>
            </w:r>
          </w:p>
        </w:tc>
        <w:tc>
          <w:tcPr>
            <w:tcW w:w="859" w:type="dxa"/>
            <w:shd w:val="clear" w:color="auto" w:fill="auto"/>
            <w:noWrap/>
            <w:vAlign w:val="bottom"/>
            <w:hideMark/>
          </w:tcPr>
          <w:p w14:paraId="29D64FD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1DC12A4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1680548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4371A8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610281D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83B0CA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C61922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5630A51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2339D1F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31863956" w14:textId="77777777" w:rsidTr="00423B79">
        <w:trPr>
          <w:trHeight w:val="237"/>
        </w:trPr>
        <w:tc>
          <w:tcPr>
            <w:tcW w:w="962" w:type="dxa"/>
            <w:shd w:val="clear" w:color="auto" w:fill="auto"/>
            <w:noWrap/>
            <w:vAlign w:val="bottom"/>
            <w:hideMark/>
          </w:tcPr>
          <w:p w14:paraId="34709998"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5EC12B9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22" w:type="dxa"/>
            <w:shd w:val="clear" w:color="auto" w:fill="auto"/>
            <w:noWrap/>
            <w:vAlign w:val="bottom"/>
            <w:hideMark/>
          </w:tcPr>
          <w:p w14:paraId="33B1413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0.748</w:t>
            </w:r>
          </w:p>
        </w:tc>
        <w:tc>
          <w:tcPr>
            <w:tcW w:w="733" w:type="dxa"/>
            <w:shd w:val="clear" w:color="auto" w:fill="auto"/>
            <w:noWrap/>
            <w:vAlign w:val="bottom"/>
            <w:hideMark/>
          </w:tcPr>
          <w:p w14:paraId="322028F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16D0258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-0.236</w:t>
            </w:r>
          </w:p>
        </w:tc>
        <w:tc>
          <w:tcPr>
            <w:tcW w:w="891" w:type="dxa"/>
            <w:shd w:val="clear" w:color="auto" w:fill="auto"/>
            <w:noWrap/>
            <w:vAlign w:val="bottom"/>
            <w:hideMark/>
          </w:tcPr>
          <w:p w14:paraId="4A3BB24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0.257</w:t>
            </w:r>
          </w:p>
        </w:tc>
        <w:tc>
          <w:tcPr>
            <w:tcW w:w="728" w:type="dxa"/>
            <w:shd w:val="clear" w:color="auto" w:fill="auto"/>
            <w:noWrap/>
            <w:vAlign w:val="bottom"/>
            <w:hideMark/>
          </w:tcPr>
          <w:p w14:paraId="6F336DF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230F6A1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-0.619</w:t>
            </w:r>
          </w:p>
        </w:tc>
        <w:tc>
          <w:tcPr>
            <w:tcW w:w="891" w:type="dxa"/>
            <w:shd w:val="clear" w:color="auto" w:fill="auto"/>
            <w:noWrap/>
            <w:vAlign w:val="bottom"/>
            <w:hideMark/>
          </w:tcPr>
          <w:p w14:paraId="2165AC7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0.49</w:t>
            </w:r>
          </w:p>
        </w:tc>
        <w:tc>
          <w:tcPr>
            <w:tcW w:w="728" w:type="dxa"/>
            <w:shd w:val="clear" w:color="auto" w:fill="auto"/>
            <w:noWrap/>
            <w:vAlign w:val="bottom"/>
            <w:hideMark/>
          </w:tcPr>
          <w:p w14:paraId="5496A00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r>
      <w:tr w:rsidR="00423B79" w:rsidRPr="00423B79" w14:paraId="62A0A4FF" w14:textId="77777777" w:rsidTr="00423B79">
        <w:trPr>
          <w:trHeight w:val="237"/>
        </w:trPr>
        <w:tc>
          <w:tcPr>
            <w:tcW w:w="962" w:type="dxa"/>
            <w:shd w:val="clear" w:color="auto" w:fill="auto"/>
            <w:noWrap/>
            <w:vAlign w:val="bottom"/>
            <w:hideMark/>
          </w:tcPr>
          <w:p w14:paraId="0552575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42ED2F7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2042F56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0.848</w:t>
            </w:r>
          </w:p>
        </w:tc>
        <w:tc>
          <w:tcPr>
            <w:tcW w:w="733" w:type="dxa"/>
            <w:shd w:val="clear" w:color="auto" w:fill="auto"/>
            <w:noWrap/>
            <w:vAlign w:val="bottom"/>
            <w:hideMark/>
          </w:tcPr>
          <w:p w14:paraId="43CD059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0.016</w:t>
            </w:r>
          </w:p>
        </w:tc>
        <w:tc>
          <w:tcPr>
            <w:tcW w:w="794" w:type="dxa"/>
            <w:shd w:val="clear" w:color="auto" w:fill="auto"/>
            <w:noWrap/>
            <w:vAlign w:val="bottom"/>
            <w:hideMark/>
          </w:tcPr>
          <w:p w14:paraId="2B5D8E1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-1.132</w:t>
            </w:r>
          </w:p>
        </w:tc>
        <w:tc>
          <w:tcPr>
            <w:tcW w:w="891" w:type="dxa"/>
            <w:shd w:val="clear" w:color="auto" w:fill="auto"/>
            <w:noWrap/>
            <w:vAlign w:val="bottom"/>
            <w:hideMark/>
          </w:tcPr>
          <w:p w14:paraId="3F21B0D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0.229</w:t>
            </w:r>
          </w:p>
        </w:tc>
        <w:tc>
          <w:tcPr>
            <w:tcW w:w="728" w:type="dxa"/>
            <w:shd w:val="clear" w:color="auto" w:fill="auto"/>
            <w:noWrap/>
            <w:vAlign w:val="bottom"/>
            <w:hideMark/>
          </w:tcPr>
          <w:p w14:paraId="0A8A452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c>
          <w:tcPr>
            <w:tcW w:w="794" w:type="dxa"/>
            <w:shd w:val="clear" w:color="auto" w:fill="auto"/>
            <w:noWrap/>
            <w:vAlign w:val="bottom"/>
            <w:hideMark/>
          </w:tcPr>
          <w:p w14:paraId="758BDE9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3.535</w:t>
            </w:r>
          </w:p>
        </w:tc>
        <w:tc>
          <w:tcPr>
            <w:tcW w:w="891" w:type="dxa"/>
            <w:shd w:val="clear" w:color="auto" w:fill="auto"/>
            <w:noWrap/>
            <w:vAlign w:val="bottom"/>
            <w:hideMark/>
          </w:tcPr>
          <w:p w14:paraId="11E6C5C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0.618</w:t>
            </w:r>
          </w:p>
        </w:tc>
        <w:tc>
          <w:tcPr>
            <w:tcW w:w="728" w:type="dxa"/>
            <w:shd w:val="clear" w:color="auto" w:fill="auto"/>
            <w:noWrap/>
            <w:vAlign w:val="bottom"/>
            <w:hideMark/>
          </w:tcPr>
          <w:p w14:paraId="5D3F5B5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0.054</w:t>
            </w:r>
          </w:p>
        </w:tc>
      </w:tr>
      <w:tr w:rsidR="00423B79" w:rsidRPr="00423B79" w14:paraId="60B20C19" w14:textId="77777777" w:rsidTr="00423B79">
        <w:trPr>
          <w:trHeight w:val="237"/>
        </w:trPr>
        <w:tc>
          <w:tcPr>
            <w:tcW w:w="962" w:type="dxa"/>
            <w:shd w:val="clear" w:color="auto" w:fill="auto"/>
            <w:noWrap/>
            <w:vAlign w:val="bottom"/>
            <w:hideMark/>
          </w:tcPr>
          <w:p w14:paraId="47E6BCE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79E9C3D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180A9B0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0.831</w:t>
            </w:r>
          </w:p>
        </w:tc>
        <w:tc>
          <w:tcPr>
            <w:tcW w:w="733" w:type="dxa"/>
            <w:shd w:val="clear" w:color="auto" w:fill="auto"/>
            <w:noWrap/>
            <w:vAlign w:val="bottom"/>
            <w:hideMark/>
          </w:tcPr>
          <w:p w14:paraId="69E9E42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794" w:type="dxa"/>
            <w:shd w:val="clear" w:color="auto" w:fill="auto"/>
            <w:noWrap/>
            <w:vAlign w:val="bottom"/>
            <w:hideMark/>
          </w:tcPr>
          <w:p w14:paraId="4CE2CE7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1.103</w:t>
            </w:r>
          </w:p>
        </w:tc>
        <w:tc>
          <w:tcPr>
            <w:tcW w:w="891" w:type="dxa"/>
            <w:shd w:val="clear" w:color="auto" w:fill="auto"/>
            <w:noWrap/>
            <w:vAlign w:val="bottom"/>
            <w:hideMark/>
          </w:tcPr>
          <w:p w14:paraId="34176F5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0.829</w:t>
            </w:r>
          </w:p>
        </w:tc>
        <w:tc>
          <w:tcPr>
            <w:tcW w:w="728" w:type="dxa"/>
            <w:shd w:val="clear" w:color="auto" w:fill="auto"/>
            <w:noWrap/>
            <w:vAlign w:val="bottom"/>
            <w:hideMark/>
          </w:tcPr>
          <w:p w14:paraId="02173AB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794" w:type="dxa"/>
            <w:shd w:val="clear" w:color="auto" w:fill="auto"/>
            <w:noWrap/>
            <w:vAlign w:val="bottom"/>
            <w:hideMark/>
          </w:tcPr>
          <w:p w14:paraId="50345DB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-0.087</w:t>
            </w:r>
          </w:p>
        </w:tc>
        <w:tc>
          <w:tcPr>
            <w:tcW w:w="891" w:type="dxa"/>
            <w:shd w:val="clear" w:color="auto" w:fill="auto"/>
            <w:noWrap/>
            <w:vAlign w:val="bottom"/>
            <w:hideMark/>
          </w:tcPr>
          <w:p w14:paraId="03FC0A2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28" w:type="dxa"/>
            <w:shd w:val="clear" w:color="auto" w:fill="auto"/>
            <w:noWrap/>
            <w:vAlign w:val="bottom"/>
            <w:hideMark/>
          </w:tcPr>
          <w:p w14:paraId="771E4E6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4C6A1BEE" w14:textId="77777777" w:rsidTr="00423B79">
        <w:trPr>
          <w:trHeight w:val="237"/>
        </w:trPr>
        <w:tc>
          <w:tcPr>
            <w:tcW w:w="962" w:type="dxa"/>
            <w:shd w:val="clear" w:color="auto" w:fill="auto"/>
            <w:noWrap/>
            <w:vAlign w:val="bottom"/>
            <w:hideMark/>
          </w:tcPr>
          <w:p w14:paraId="2986F6B9"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imr</w:t>
            </w:r>
          </w:p>
        </w:tc>
        <w:tc>
          <w:tcPr>
            <w:tcW w:w="859" w:type="dxa"/>
            <w:shd w:val="clear" w:color="auto" w:fill="auto"/>
            <w:noWrap/>
            <w:vAlign w:val="bottom"/>
            <w:hideMark/>
          </w:tcPr>
          <w:p w14:paraId="39B3D04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424B038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52D3E91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26A1683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1928493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98EB70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330F4EE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6D5377F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62F375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1ED8FA7C" w14:textId="77777777" w:rsidTr="00423B79">
        <w:trPr>
          <w:trHeight w:val="237"/>
        </w:trPr>
        <w:tc>
          <w:tcPr>
            <w:tcW w:w="962" w:type="dxa"/>
            <w:shd w:val="clear" w:color="auto" w:fill="auto"/>
            <w:noWrap/>
            <w:vAlign w:val="bottom"/>
            <w:hideMark/>
          </w:tcPr>
          <w:p w14:paraId="1DBE5CD1"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2AFB923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822" w:type="dxa"/>
            <w:shd w:val="clear" w:color="auto" w:fill="auto"/>
            <w:noWrap/>
            <w:vAlign w:val="bottom"/>
            <w:hideMark/>
          </w:tcPr>
          <w:p w14:paraId="1025557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0.887</w:t>
            </w:r>
          </w:p>
        </w:tc>
        <w:tc>
          <w:tcPr>
            <w:tcW w:w="733" w:type="dxa"/>
            <w:shd w:val="clear" w:color="auto" w:fill="auto"/>
            <w:noWrap/>
            <w:vAlign w:val="bottom"/>
            <w:hideMark/>
          </w:tcPr>
          <w:p w14:paraId="034BCDD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0E25236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-0.867</w:t>
            </w:r>
          </w:p>
        </w:tc>
        <w:tc>
          <w:tcPr>
            <w:tcW w:w="891" w:type="dxa"/>
            <w:shd w:val="clear" w:color="auto" w:fill="auto"/>
            <w:noWrap/>
            <w:vAlign w:val="bottom"/>
            <w:hideMark/>
          </w:tcPr>
          <w:p w14:paraId="41CCD06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0.832</w:t>
            </w:r>
          </w:p>
        </w:tc>
        <w:tc>
          <w:tcPr>
            <w:tcW w:w="728" w:type="dxa"/>
            <w:shd w:val="clear" w:color="auto" w:fill="auto"/>
            <w:noWrap/>
            <w:vAlign w:val="bottom"/>
            <w:hideMark/>
          </w:tcPr>
          <w:p w14:paraId="6964256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794" w:type="dxa"/>
            <w:shd w:val="clear" w:color="auto" w:fill="auto"/>
            <w:noWrap/>
            <w:vAlign w:val="bottom"/>
            <w:hideMark/>
          </w:tcPr>
          <w:p w14:paraId="41FB074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-0.421</w:t>
            </w:r>
          </w:p>
        </w:tc>
        <w:tc>
          <w:tcPr>
            <w:tcW w:w="891" w:type="dxa"/>
            <w:shd w:val="clear" w:color="auto" w:fill="auto"/>
            <w:noWrap/>
            <w:vAlign w:val="bottom"/>
            <w:hideMark/>
          </w:tcPr>
          <w:p w14:paraId="56521C9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0.054</w:t>
            </w:r>
          </w:p>
        </w:tc>
        <w:tc>
          <w:tcPr>
            <w:tcW w:w="728" w:type="dxa"/>
            <w:shd w:val="clear" w:color="auto" w:fill="auto"/>
            <w:noWrap/>
            <w:vAlign w:val="bottom"/>
            <w:hideMark/>
          </w:tcPr>
          <w:p w14:paraId="272057E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r>
      <w:tr w:rsidR="00423B79" w:rsidRPr="00423B79" w14:paraId="4E8AE498" w14:textId="77777777" w:rsidTr="00423B79">
        <w:trPr>
          <w:trHeight w:val="237"/>
        </w:trPr>
        <w:tc>
          <w:tcPr>
            <w:tcW w:w="962" w:type="dxa"/>
            <w:shd w:val="clear" w:color="auto" w:fill="auto"/>
            <w:noWrap/>
            <w:vAlign w:val="bottom"/>
            <w:hideMark/>
          </w:tcPr>
          <w:p w14:paraId="050E180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08BD7C9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822" w:type="dxa"/>
            <w:shd w:val="clear" w:color="auto" w:fill="auto"/>
            <w:noWrap/>
            <w:vAlign w:val="bottom"/>
            <w:hideMark/>
          </w:tcPr>
          <w:p w14:paraId="6862A7B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0.689</w:t>
            </w:r>
          </w:p>
        </w:tc>
        <w:tc>
          <w:tcPr>
            <w:tcW w:w="733" w:type="dxa"/>
            <w:shd w:val="clear" w:color="auto" w:fill="auto"/>
            <w:noWrap/>
            <w:vAlign w:val="bottom"/>
            <w:hideMark/>
          </w:tcPr>
          <w:p w14:paraId="2BC8198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794" w:type="dxa"/>
            <w:shd w:val="clear" w:color="auto" w:fill="auto"/>
            <w:noWrap/>
            <w:vAlign w:val="bottom"/>
            <w:hideMark/>
          </w:tcPr>
          <w:p w14:paraId="36881CE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1.783</w:t>
            </w:r>
          </w:p>
        </w:tc>
        <w:tc>
          <w:tcPr>
            <w:tcW w:w="891" w:type="dxa"/>
            <w:shd w:val="clear" w:color="auto" w:fill="auto"/>
            <w:noWrap/>
            <w:vAlign w:val="bottom"/>
            <w:hideMark/>
          </w:tcPr>
          <w:p w14:paraId="1ECA4B2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0.511</w:t>
            </w:r>
          </w:p>
        </w:tc>
        <w:tc>
          <w:tcPr>
            <w:tcW w:w="728" w:type="dxa"/>
            <w:shd w:val="clear" w:color="auto" w:fill="auto"/>
            <w:noWrap/>
            <w:vAlign w:val="bottom"/>
            <w:hideMark/>
          </w:tcPr>
          <w:p w14:paraId="51B1BA3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794" w:type="dxa"/>
            <w:shd w:val="clear" w:color="auto" w:fill="auto"/>
            <w:noWrap/>
            <w:vAlign w:val="bottom"/>
            <w:hideMark/>
          </w:tcPr>
          <w:p w14:paraId="2A4269F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1.996</w:t>
            </w:r>
          </w:p>
        </w:tc>
        <w:tc>
          <w:tcPr>
            <w:tcW w:w="891" w:type="dxa"/>
            <w:shd w:val="clear" w:color="auto" w:fill="auto"/>
            <w:noWrap/>
            <w:vAlign w:val="bottom"/>
            <w:hideMark/>
          </w:tcPr>
          <w:p w14:paraId="50E6E35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0.177</w:t>
            </w:r>
          </w:p>
        </w:tc>
        <w:tc>
          <w:tcPr>
            <w:tcW w:w="728" w:type="dxa"/>
            <w:shd w:val="clear" w:color="auto" w:fill="auto"/>
            <w:noWrap/>
            <w:vAlign w:val="bottom"/>
            <w:hideMark/>
          </w:tcPr>
          <w:p w14:paraId="44AD7C6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r>
      <w:tr w:rsidR="00423B79" w:rsidRPr="00423B79" w14:paraId="000FD3FA" w14:textId="77777777" w:rsidTr="00423B79">
        <w:trPr>
          <w:trHeight w:val="237"/>
        </w:trPr>
        <w:tc>
          <w:tcPr>
            <w:tcW w:w="962" w:type="dxa"/>
            <w:shd w:val="clear" w:color="auto" w:fill="auto"/>
            <w:noWrap/>
            <w:vAlign w:val="bottom"/>
            <w:hideMark/>
          </w:tcPr>
          <w:p w14:paraId="41707F40"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13CE808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7425C9C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0.895</w:t>
            </w:r>
          </w:p>
        </w:tc>
        <w:tc>
          <w:tcPr>
            <w:tcW w:w="733" w:type="dxa"/>
            <w:shd w:val="clear" w:color="auto" w:fill="auto"/>
            <w:noWrap/>
            <w:vAlign w:val="bottom"/>
            <w:hideMark/>
          </w:tcPr>
          <w:p w14:paraId="68BAD87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c>
          <w:tcPr>
            <w:tcW w:w="794" w:type="dxa"/>
            <w:shd w:val="clear" w:color="auto" w:fill="auto"/>
            <w:noWrap/>
            <w:vAlign w:val="bottom"/>
            <w:hideMark/>
          </w:tcPr>
          <w:p w14:paraId="630F532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1.668</w:t>
            </w:r>
          </w:p>
        </w:tc>
        <w:tc>
          <w:tcPr>
            <w:tcW w:w="891" w:type="dxa"/>
            <w:shd w:val="clear" w:color="auto" w:fill="auto"/>
            <w:noWrap/>
            <w:vAlign w:val="bottom"/>
            <w:hideMark/>
          </w:tcPr>
          <w:p w14:paraId="5DF4E32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0.874</w:t>
            </w:r>
          </w:p>
        </w:tc>
        <w:tc>
          <w:tcPr>
            <w:tcW w:w="728" w:type="dxa"/>
            <w:shd w:val="clear" w:color="auto" w:fill="auto"/>
            <w:noWrap/>
            <w:vAlign w:val="bottom"/>
            <w:hideMark/>
          </w:tcPr>
          <w:p w14:paraId="16BBBBB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0.027</w:t>
            </w:r>
          </w:p>
        </w:tc>
        <w:tc>
          <w:tcPr>
            <w:tcW w:w="794" w:type="dxa"/>
            <w:shd w:val="clear" w:color="auto" w:fill="auto"/>
            <w:noWrap/>
            <w:vAlign w:val="bottom"/>
            <w:hideMark/>
          </w:tcPr>
          <w:p w14:paraId="3B1D462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0.495</w:t>
            </w:r>
          </w:p>
        </w:tc>
        <w:tc>
          <w:tcPr>
            <w:tcW w:w="891" w:type="dxa"/>
            <w:shd w:val="clear" w:color="auto" w:fill="auto"/>
            <w:noWrap/>
            <w:vAlign w:val="bottom"/>
            <w:hideMark/>
          </w:tcPr>
          <w:p w14:paraId="6D1A1F5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0.021</w:t>
            </w:r>
          </w:p>
        </w:tc>
        <w:tc>
          <w:tcPr>
            <w:tcW w:w="728" w:type="dxa"/>
            <w:shd w:val="clear" w:color="auto" w:fill="auto"/>
            <w:noWrap/>
            <w:vAlign w:val="bottom"/>
            <w:hideMark/>
          </w:tcPr>
          <w:p w14:paraId="1E3205A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27EAE466" w14:textId="77777777" w:rsidTr="00423B79">
        <w:trPr>
          <w:trHeight w:val="237"/>
        </w:trPr>
        <w:tc>
          <w:tcPr>
            <w:tcW w:w="962" w:type="dxa"/>
            <w:shd w:val="clear" w:color="auto" w:fill="auto"/>
            <w:noWrap/>
            <w:vAlign w:val="bottom"/>
            <w:hideMark/>
          </w:tcPr>
          <w:p w14:paraId="7A43DE68"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healthexp</w:t>
            </w:r>
          </w:p>
        </w:tc>
        <w:tc>
          <w:tcPr>
            <w:tcW w:w="859" w:type="dxa"/>
            <w:shd w:val="clear" w:color="auto" w:fill="auto"/>
            <w:noWrap/>
            <w:vAlign w:val="bottom"/>
            <w:hideMark/>
          </w:tcPr>
          <w:p w14:paraId="18B82BA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6C6F6E1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09E08DE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6B0AD7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42FB59D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FB25C0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3880767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334DA6D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450690B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166F9285" w14:textId="77777777" w:rsidTr="00423B79">
        <w:trPr>
          <w:trHeight w:val="237"/>
        </w:trPr>
        <w:tc>
          <w:tcPr>
            <w:tcW w:w="962" w:type="dxa"/>
            <w:shd w:val="clear" w:color="auto" w:fill="auto"/>
            <w:noWrap/>
            <w:vAlign w:val="bottom"/>
            <w:hideMark/>
          </w:tcPr>
          <w:p w14:paraId="7948D2B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79C81F5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822" w:type="dxa"/>
            <w:shd w:val="clear" w:color="auto" w:fill="auto"/>
            <w:noWrap/>
            <w:vAlign w:val="bottom"/>
            <w:hideMark/>
          </w:tcPr>
          <w:p w14:paraId="0D66AE9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0.886</w:t>
            </w:r>
          </w:p>
        </w:tc>
        <w:tc>
          <w:tcPr>
            <w:tcW w:w="733" w:type="dxa"/>
            <w:shd w:val="clear" w:color="auto" w:fill="auto"/>
            <w:noWrap/>
            <w:vAlign w:val="bottom"/>
            <w:hideMark/>
          </w:tcPr>
          <w:p w14:paraId="3743841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342EF53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0.495</w:t>
            </w:r>
          </w:p>
        </w:tc>
        <w:tc>
          <w:tcPr>
            <w:tcW w:w="891" w:type="dxa"/>
            <w:shd w:val="clear" w:color="auto" w:fill="auto"/>
            <w:noWrap/>
            <w:vAlign w:val="bottom"/>
            <w:hideMark/>
          </w:tcPr>
          <w:p w14:paraId="0881314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0.883</w:t>
            </w:r>
          </w:p>
        </w:tc>
        <w:tc>
          <w:tcPr>
            <w:tcW w:w="728" w:type="dxa"/>
            <w:shd w:val="clear" w:color="auto" w:fill="auto"/>
            <w:noWrap/>
            <w:vAlign w:val="bottom"/>
            <w:hideMark/>
          </w:tcPr>
          <w:p w14:paraId="5F4CD19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c>
          <w:tcPr>
            <w:tcW w:w="794" w:type="dxa"/>
            <w:shd w:val="clear" w:color="auto" w:fill="auto"/>
            <w:noWrap/>
            <w:vAlign w:val="bottom"/>
            <w:hideMark/>
          </w:tcPr>
          <w:p w14:paraId="2110F19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0.057</w:t>
            </w:r>
          </w:p>
        </w:tc>
        <w:tc>
          <w:tcPr>
            <w:tcW w:w="891" w:type="dxa"/>
            <w:shd w:val="clear" w:color="auto" w:fill="auto"/>
            <w:noWrap/>
            <w:vAlign w:val="bottom"/>
            <w:hideMark/>
          </w:tcPr>
          <w:p w14:paraId="2211B52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28" w:type="dxa"/>
            <w:shd w:val="clear" w:color="auto" w:fill="auto"/>
            <w:noWrap/>
            <w:vAlign w:val="bottom"/>
            <w:hideMark/>
          </w:tcPr>
          <w:p w14:paraId="1C5F7DF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1841AF0F" w14:textId="77777777" w:rsidTr="00423B79">
        <w:trPr>
          <w:trHeight w:val="237"/>
        </w:trPr>
        <w:tc>
          <w:tcPr>
            <w:tcW w:w="962" w:type="dxa"/>
            <w:shd w:val="clear" w:color="auto" w:fill="auto"/>
            <w:noWrap/>
            <w:vAlign w:val="bottom"/>
            <w:hideMark/>
          </w:tcPr>
          <w:p w14:paraId="5154B77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3A0FC83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0A81D53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w:t>
            </w:r>
          </w:p>
        </w:tc>
        <w:tc>
          <w:tcPr>
            <w:tcW w:w="733" w:type="dxa"/>
            <w:shd w:val="clear" w:color="auto" w:fill="auto"/>
            <w:noWrap/>
            <w:vAlign w:val="bottom"/>
            <w:hideMark/>
          </w:tcPr>
          <w:p w14:paraId="31DD0E3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087679F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-0.549</w:t>
            </w:r>
          </w:p>
        </w:tc>
        <w:tc>
          <w:tcPr>
            <w:tcW w:w="891" w:type="dxa"/>
            <w:shd w:val="clear" w:color="auto" w:fill="auto"/>
            <w:noWrap/>
            <w:vAlign w:val="bottom"/>
            <w:hideMark/>
          </w:tcPr>
          <w:p w14:paraId="4432D95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w:t>
            </w:r>
          </w:p>
        </w:tc>
        <w:tc>
          <w:tcPr>
            <w:tcW w:w="728" w:type="dxa"/>
            <w:shd w:val="clear" w:color="auto" w:fill="auto"/>
            <w:noWrap/>
            <w:vAlign w:val="bottom"/>
            <w:hideMark/>
          </w:tcPr>
          <w:p w14:paraId="6DC8D72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4CF34A1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-0.068</w:t>
            </w:r>
          </w:p>
        </w:tc>
        <w:tc>
          <w:tcPr>
            <w:tcW w:w="891" w:type="dxa"/>
            <w:shd w:val="clear" w:color="auto" w:fill="auto"/>
            <w:noWrap/>
            <w:vAlign w:val="bottom"/>
            <w:hideMark/>
          </w:tcPr>
          <w:p w14:paraId="2C6D1F8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28" w:type="dxa"/>
            <w:shd w:val="clear" w:color="auto" w:fill="auto"/>
            <w:noWrap/>
            <w:vAlign w:val="bottom"/>
            <w:hideMark/>
          </w:tcPr>
          <w:p w14:paraId="716058F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0C1535CA" w14:textId="77777777" w:rsidTr="00423B79">
        <w:trPr>
          <w:trHeight w:val="237"/>
        </w:trPr>
        <w:tc>
          <w:tcPr>
            <w:tcW w:w="962" w:type="dxa"/>
            <w:shd w:val="clear" w:color="auto" w:fill="auto"/>
            <w:noWrap/>
            <w:vAlign w:val="bottom"/>
            <w:hideMark/>
          </w:tcPr>
          <w:p w14:paraId="2AE5964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44C24A9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6CB3D91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0.871</w:t>
            </w:r>
          </w:p>
        </w:tc>
        <w:tc>
          <w:tcPr>
            <w:tcW w:w="733" w:type="dxa"/>
            <w:shd w:val="clear" w:color="auto" w:fill="auto"/>
            <w:noWrap/>
            <w:vAlign w:val="bottom"/>
            <w:hideMark/>
          </w:tcPr>
          <w:p w14:paraId="4A9D4D6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794" w:type="dxa"/>
            <w:shd w:val="clear" w:color="auto" w:fill="auto"/>
            <w:noWrap/>
            <w:vAlign w:val="bottom"/>
            <w:hideMark/>
          </w:tcPr>
          <w:p w14:paraId="0FB066C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-1.032</w:t>
            </w:r>
          </w:p>
        </w:tc>
        <w:tc>
          <w:tcPr>
            <w:tcW w:w="891" w:type="dxa"/>
            <w:shd w:val="clear" w:color="auto" w:fill="auto"/>
            <w:noWrap/>
            <w:vAlign w:val="bottom"/>
            <w:hideMark/>
          </w:tcPr>
          <w:p w14:paraId="7D63B6C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0.868</w:t>
            </w:r>
          </w:p>
        </w:tc>
        <w:tc>
          <w:tcPr>
            <w:tcW w:w="728" w:type="dxa"/>
            <w:shd w:val="clear" w:color="auto" w:fill="auto"/>
            <w:noWrap/>
            <w:vAlign w:val="bottom"/>
            <w:hideMark/>
          </w:tcPr>
          <w:p w14:paraId="756721D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794" w:type="dxa"/>
            <w:shd w:val="clear" w:color="auto" w:fill="auto"/>
            <w:noWrap/>
            <w:vAlign w:val="bottom"/>
            <w:hideMark/>
          </w:tcPr>
          <w:p w14:paraId="108A2E9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-0.118</w:t>
            </w:r>
          </w:p>
        </w:tc>
        <w:tc>
          <w:tcPr>
            <w:tcW w:w="891" w:type="dxa"/>
            <w:shd w:val="clear" w:color="auto" w:fill="auto"/>
            <w:noWrap/>
            <w:vAlign w:val="bottom"/>
            <w:hideMark/>
          </w:tcPr>
          <w:p w14:paraId="2029351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28" w:type="dxa"/>
            <w:shd w:val="clear" w:color="auto" w:fill="auto"/>
            <w:noWrap/>
            <w:vAlign w:val="bottom"/>
            <w:hideMark/>
          </w:tcPr>
          <w:p w14:paraId="67E6609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29F7D0C6" w14:textId="77777777" w:rsidTr="00423B79">
        <w:trPr>
          <w:trHeight w:val="237"/>
        </w:trPr>
        <w:tc>
          <w:tcPr>
            <w:tcW w:w="962" w:type="dxa"/>
            <w:shd w:val="clear" w:color="auto" w:fill="auto"/>
            <w:noWrap/>
            <w:vAlign w:val="bottom"/>
            <w:hideMark/>
          </w:tcPr>
          <w:p w14:paraId="24BD3630"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eduexp</w:t>
            </w:r>
          </w:p>
        </w:tc>
        <w:tc>
          <w:tcPr>
            <w:tcW w:w="859" w:type="dxa"/>
            <w:shd w:val="clear" w:color="auto" w:fill="auto"/>
            <w:noWrap/>
            <w:vAlign w:val="bottom"/>
            <w:hideMark/>
          </w:tcPr>
          <w:p w14:paraId="09D4A4E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3DC821F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41CBE2F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5CED63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AFD474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1A3A72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E50B73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4991CBB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794011C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62D0ACFC" w14:textId="77777777" w:rsidTr="00423B79">
        <w:trPr>
          <w:trHeight w:val="237"/>
        </w:trPr>
        <w:tc>
          <w:tcPr>
            <w:tcW w:w="962" w:type="dxa"/>
            <w:shd w:val="clear" w:color="auto" w:fill="auto"/>
            <w:noWrap/>
            <w:vAlign w:val="bottom"/>
            <w:hideMark/>
          </w:tcPr>
          <w:p w14:paraId="2310F39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5C5E333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0.019</w:t>
            </w:r>
          </w:p>
        </w:tc>
        <w:tc>
          <w:tcPr>
            <w:tcW w:w="822" w:type="dxa"/>
            <w:shd w:val="clear" w:color="auto" w:fill="auto"/>
            <w:noWrap/>
            <w:vAlign w:val="bottom"/>
            <w:hideMark/>
          </w:tcPr>
          <w:p w14:paraId="24DF776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0.582</w:t>
            </w:r>
          </w:p>
        </w:tc>
        <w:tc>
          <w:tcPr>
            <w:tcW w:w="733" w:type="dxa"/>
            <w:shd w:val="clear" w:color="auto" w:fill="auto"/>
            <w:noWrap/>
            <w:vAlign w:val="bottom"/>
            <w:hideMark/>
          </w:tcPr>
          <w:p w14:paraId="2BF4B3F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65A9B74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0.427</w:t>
            </w:r>
          </w:p>
        </w:tc>
        <w:tc>
          <w:tcPr>
            <w:tcW w:w="891" w:type="dxa"/>
            <w:shd w:val="clear" w:color="auto" w:fill="auto"/>
            <w:noWrap/>
            <w:vAlign w:val="bottom"/>
            <w:hideMark/>
          </w:tcPr>
          <w:p w14:paraId="3AE89B0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0.537</w:t>
            </w:r>
          </w:p>
        </w:tc>
        <w:tc>
          <w:tcPr>
            <w:tcW w:w="728" w:type="dxa"/>
            <w:shd w:val="clear" w:color="auto" w:fill="auto"/>
            <w:noWrap/>
            <w:vAlign w:val="bottom"/>
            <w:hideMark/>
          </w:tcPr>
          <w:p w14:paraId="0890F20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3BA2BCA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-0.233</w:t>
            </w:r>
          </w:p>
        </w:tc>
        <w:tc>
          <w:tcPr>
            <w:tcW w:w="891" w:type="dxa"/>
            <w:shd w:val="clear" w:color="auto" w:fill="auto"/>
            <w:noWrap/>
            <w:vAlign w:val="bottom"/>
            <w:hideMark/>
          </w:tcPr>
          <w:p w14:paraId="6D2B598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0.044</w:t>
            </w:r>
          </w:p>
        </w:tc>
        <w:tc>
          <w:tcPr>
            <w:tcW w:w="728" w:type="dxa"/>
            <w:shd w:val="clear" w:color="auto" w:fill="auto"/>
            <w:noWrap/>
            <w:vAlign w:val="bottom"/>
            <w:hideMark/>
          </w:tcPr>
          <w:p w14:paraId="3315B51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7655A954" w14:textId="77777777" w:rsidTr="00423B79">
        <w:trPr>
          <w:trHeight w:val="237"/>
        </w:trPr>
        <w:tc>
          <w:tcPr>
            <w:tcW w:w="962" w:type="dxa"/>
            <w:shd w:val="clear" w:color="auto" w:fill="auto"/>
            <w:noWrap/>
            <w:vAlign w:val="bottom"/>
            <w:hideMark/>
          </w:tcPr>
          <w:p w14:paraId="7A892EE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7BD8B78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4405494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0.36</w:t>
            </w:r>
          </w:p>
        </w:tc>
        <w:tc>
          <w:tcPr>
            <w:tcW w:w="733" w:type="dxa"/>
            <w:shd w:val="clear" w:color="auto" w:fill="auto"/>
            <w:noWrap/>
            <w:vAlign w:val="bottom"/>
            <w:hideMark/>
          </w:tcPr>
          <w:p w14:paraId="19D9DCA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55F39A2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-0.376</w:t>
            </w:r>
          </w:p>
        </w:tc>
        <w:tc>
          <w:tcPr>
            <w:tcW w:w="891" w:type="dxa"/>
            <w:shd w:val="clear" w:color="auto" w:fill="auto"/>
            <w:noWrap/>
            <w:vAlign w:val="bottom"/>
            <w:hideMark/>
          </w:tcPr>
          <w:p w14:paraId="7D6EE5E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0.34</w:t>
            </w:r>
          </w:p>
        </w:tc>
        <w:tc>
          <w:tcPr>
            <w:tcW w:w="728" w:type="dxa"/>
            <w:shd w:val="clear" w:color="auto" w:fill="auto"/>
            <w:noWrap/>
            <w:vAlign w:val="bottom"/>
            <w:hideMark/>
          </w:tcPr>
          <w:p w14:paraId="227686D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381EC6E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0.172</w:t>
            </w:r>
          </w:p>
        </w:tc>
        <w:tc>
          <w:tcPr>
            <w:tcW w:w="891" w:type="dxa"/>
            <w:shd w:val="clear" w:color="auto" w:fill="auto"/>
            <w:noWrap/>
            <w:vAlign w:val="bottom"/>
            <w:hideMark/>
          </w:tcPr>
          <w:p w14:paraId="0FC0A67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c>
          <w:tcPr>
            <w:tcW w:w="728" w:type="dxa"/>
            <w:shd w:val="clear" w:color="auto" w:fill="auto"/>
            <w:noWrap/>
            <w:vAlign w:val="bottom"/>
            <w:hideMark/>
          </w:tcPr>
          <w:p w14:paraId="6CBEFF5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40B89EE4" w14:textId="77777777" w:rsidTr="00423B79">
        <w:trPr>
          <w:trHeight w:val="237"/>
        </w:trPr>
        <w:tc>
          <w:tcPr>
            <w:tcW w:w="962" w:type="dxa"/>
            <w:shd w:val="clear" w:color="auto" w:fill="auto"/>
            <w:noWrap/>
            <w:vAlign w:val="bottom"/>
            <w:hideMark/>
          </w:tcPr>
          <w:p w14:paraId="4F4DF2B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7C65A31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822" w:type="dxa"/>
            <w:shd w:val="clear" w:color="auto" w:fill="auto"/>
            <w:noWrap/>
            <w:vAlign w:val="bottom"/>
            <w:hideMark/>
          </w:tcPr>
          <w:p w14:paraId="622F455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0.572</w:t>
            </w:r>
          </w:p>
        </w:tc>
        <w:tc>
          <w:tcPr>
            <w:tcW w:w="733" w:type="dxa"/>
            <w:shd w:val="clear" w:color="auto" w:fill="auto"/>
            <w:noWrap/>
            <w:vAlign w:val="bottom"/>
            <w:hideMark/>
          </w:tcPr>
          <w:p w14:paraId="4A83B7E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3A32F39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-0.567</w:t>
            </w:r>
          </w:p>
        </w:tc>
        <w:tc>
          <w:tcPr>
            <w:tcW w:w="891" w:type="dxa"/>
            <w:shd w:val="clear" w:color="auto" w:fill="auto"/>
            <w:noWrap/>
            <w:vAlign w:val="bottom"/>
            <w:hideMark/>
          </w:tcPr>
          <w:p w14:paraId="4FB76CB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0.517</w:t>
            </w:r>
          </w:p>
        </w:tc>
        <w:tc>
          <w:tcPr>
            <w:tcW w:w="728" w:type="dxa"/>
            <w:shd w:val="clear" w:color="auto" w:fill="auto"/>
            <w:noWrap/>
            <w:vAlign w:val="bottom"/>
            <w:hideMark/>
          </w:tcPr>
          <w:p w14:paraId="4AD2EDF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1900FB9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0.351</w:t>
            </w:r>
          </w:p>
        </w:tc>
        <w:tc>
          <w:tcPr>
            <w:tcW w:w="891" w:type="dxa"/>
            <w:shd w:val="clear" w:color="auto" w:fill="auto"/>
            <w:noWrap/>
            <w:vAlign w:val="bottom"/>
            <w:hideMark/>
          </w:tcPr>
          <w:p w14:paraId="55C1CE2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0.055</w:t>
            </w:r>
          </w:p>
        </w:tc>
        <w:tc>
          <w:tcPr>
            <w:tcW w:w="728" w:type="dxa"/>
            <w:shd w:val="clear" w:color="auto" w:fill="auto"/>
            <w:noWrap/>
            <w:vAlign w:val="bottom"/>
            <w:hideMark/>
          </w:tcPr>
          <w:p w14:paraId="070E0A9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1F39A84F" w14:textId="77777777" w:rsidTr="00423B79">
        <w:trPr>
          <w:trHeight w:val="237"/>
        </w:trPr>
        <w:tc>
          <w:tcPr>
            <w:tcW w:w="962" w:type="dxa"/>
            <w:shd w:val="clear" w:color="auto" w:fill="auto"/>
            <w:noWrap/>
            <w:vAlign w:val="bottom"/>
            <w:hideMark/>
          </w:tcPr>
          <w:p w14:paraId="05B4637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agri_emp</w:t>
            </w:r>
          </w:p>
        </w:tc>
        <w:tc>
          <w:tcPr>
            <w:tcW w:w="859" w:type="dxa"/>
            <w:shd w:val="clear" w:color="auto" w:fill="auto"/>
            <w:noWrap/>
            <w:vAlign w:val="bottom"/>
            <w:hideMark/>
          </w:tcPr>
          <w:p w14:paraId="7459003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1569D6A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185BD58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161C4DC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56DF9C2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B77A45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17E7B13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E85384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47CD04B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75B3A2CD" w14:textId="77777777" w:rsidTr="00423B79">
        <w:trPr>
          <w:trHeight w:val="237"/>
        </w:trPr>
        <w:tc>
          <w:tcPr>
            <w:tcW w:w="962" w:type="dxa"/>
            <w:shd w:val="clear" w:color="auto" w:fill="auto"/>
            <w:noWrap/>
            <w:vAlign w:val="bottom"/>
            <w:hideMark/>
          </w:tcPr>
          <w:p w14:paraId="01FAA669"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07CEB71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22" w:type="dxa"/>
            <w:shd w:val="clear" w:color="auto" w:fill="auto"/>
            <w:noWrap/>
            <w:vAlign w:val="bottom"/>
            <w:hideMark/>
          </w:tcPr>
          <w:p w14:paraId="205339B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0.917</w:t>
            </w:r>
          </w:p>
        </w:tc>
        <w:tc>
          <w:tcPr>
            <w:tcW w:w="733" w:type="dxa"/>
            <w:shd w:val="clear" w:color="auto" w:fill="auto"/>
            <w:noWrap/>
            <w:vAlign w:val="bottom"/>
            <w:hideMark/>
          </w:tcPr>
          <w:p w14:paraId="33D8EC3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794" w:type="dxa"/>
            <w:shd w:val="clear" w:color="auto" w:fill="auto"/>
            <w:noWrap/>
            <w:vAlign w:val="bottom"/>
            <w:hideMark/>
          </w:tcPr>
          <w:p w14:paraId="23EB026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-0.71</w:t>
            </w:r>
          </w:p>
        </w:tc>
        <w:tc>
          <w:tcPr>
            <w:tcW w:w="891" w:type="dxa"/>
            <w:shd w:val="clear" w:color="auto" w:fill="auto"/>
            <w:noWrap/>
            <w:vAlign w:val="bottom"/>
            <w:hideMark/>
          </w:tcPr>
          <w:p w14:paraId="09C7709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0.632</w:t>
            </w:r>
          </w:p>
        </w:tc>
        <w:tc>
          <w:tcPr>
            <w:tcW w:w="728" w:type="dxa"/>
            <w:shd w:val="clear" w:color="auto" w:fill="auto"/>
            <w:noWrap/>
            <w:vAlign w:val="bottom"/>
            <w:hideMark/>
          </w:tcPr>
          <w:p w14:paraId="4336F9C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794" w:type="dxa"/>
            <w:shd w:val="clear" w:color="auto" w:fill="auto"/>
            <w:noWrap/>
            <w:vAlign w:val="bottom"/>
            <w:hideMark/>
          </w:tcPr>
          <w:p w14:paraId="2F1A24B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-0.908</w:t>
            </w:r>
          </w:p>
        </w:tc>
        <w:tc>
          <w:tcPr>
            <w:tcW w:w="891" w:type="dxa"/>
            <w:shd w:val="clear" w:color="auto" w:fill="auto"/>
            <w:noWrap/>
            <w:vAlign w:val="bottom"/>
            <w:hideMark/>
          </w:tcPr>
          <w:p w14:paraId="18FF96F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0.286</w:t>
            </w:r>
          </w:p>
        </w:tc>
        <w:tc>
          <w:tcPr>
            <w:tcW w:w="728" w:type="dxa"/>
            <w:shd w:val="clear" w:color="auto" w:fill="auto"/>
            <w:noWrap/>
            <w:vAlign w:val="bottom"/>
            <w:hideMark/>
          </w:tcPr>
          <w:p w14:paraId="204E44D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0.019</w:t>
            </w:r>
          </w:p>
        </w:tc>
      </w:tr>
      <w:tr w:rsidR="00423B79" w:rsidRPr="00423B79" w14:paraId="1C4341E6" w14:textId="77777777" w:rsidTr="00423B79">
        <w:trPr>
          <w:trHeight w:val="237"/>
        </w:trPr>
        <w:tc>
          <w:tcPr>
            <w:tcW w:w="962" w:type="dxa"/>
            <w:shd w:val="clear" w:color="auto" w:fill="auto"/>
            <w:noWrap/>
            <w:vAlign w:val="bottom"/>
            <w:hideMark/>
          </w:tcPr>
          <w:p w14:paraId="0779833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5BACA33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08FF1A1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0.864</w:t>
            </w:r>
          </w:p>
        </w:tc>
        <w:tc>
          <w:tcPr>
            <w:tcW w:w="733" w:type="dxa"/>
            <w:shd w:val="clear" w:color="auto" w:fill="auto"/>
            <w:noWrap/>
            <w:vAlign w:val="bottom"/>
            <w:hideMark/>
          </w:tcPr>
          <w:p w14:paraId="3D99211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794" w:type="dxa"/>
            <w:shd w:val="clear" w:color="auto" w:fill="auto"/>
            <w:noWrap/>
            <w:vAlign w:val="bottom"/>
            <w:hideMark/>
          </w:tcPr>
          <w:p w14:paraId="3697AB2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0.117</w:t>
            </w:r>
          </w:p>
        </w:tc>
        <w:tc>
          <w:tcPr>
            <w:tcW w:w="891" w:type="dxa"/>
            <w:shd w:val="clear" w:color="auto" w:fill="auto"/>
            <w:noWrap/>
            <w:vAlign w:val="bottom"/>
            <w:hideMark/>
          </w:tcPr>
          <w:p w14:paraId="738CCBC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728" w:type="dxa"/>
            <w:shd w:val="clear" w:color="auto" w:fill="auto"/>
            <w:noWrap/>
            <w:vAlign w:val="bottom"/>
            <w:hideMark/>
          </w:tcPr>
          <w:p w14:paraId="7B738E3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94" w:type="dxa"/>
            <w:shd w:val="clear" w:color="auto" w:fill="auto"/>
            <w:noWrap/>
            <w:vAlign w:val="bottom"/>
            <w:hideMark/>
          </w:tcPr>
          <w:p w14:paraId="1B24329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4.534</w:t>
            </w:r>
          </w:p>
        </w:tc>
        <w:tc>
          <w:tcPr>
            <w:tcW w:w="891" w:type="dxa"/>
            <w:shd w:val="clear" w:color="auto" w:fill="auto"/>
            <w:noWrap/>
            <w:vAlign w:val="bottom"/>
            <w:hideMark/>
          </w:tcPr>
          <w:p w14:paraId="56B5BDD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0.862</w:t>
            </w:r>
          </w:p>
        </w:tc>
        <w:tc>
          <w:tcPr>
            <w:tcW w:w="728" w:type="dxa"/>
            <w:shd w:val="clear" w:color="auto" w:fill="auto"/>
            <w:noWrap/>
            <w:vAlign w:val="bottom"/>
            <w:hideMark/>
          </w:tcPr>
          <w:p w14:paraId="1541E6E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0.089</w:t>
            </w:r>
          </w:p>
        </w:tc>
      </w:tr>
      <w:tr w:rsidR="00423B79" w:rsidRPr="00423B79" w14:paraId="2E4C17A3" w14:textId="77777777" w:rsidTr="00423B79">
        <w:trPr>
          <w:trHeight w:val="237"/>
        </w:trPr>
        <w:tc>
          <w:tcPr>
            <w:tcW w:w="962" w:type="dxa"/>
            <w:shd w:val="clear" w:color="auto" w:fill="auto"/>
            <w:noWrap/>
            <w:vAlign w:val="bottom"/>
            <w:hideMark/>
          </w:tcPr>
          <w:p w14:paraId="5B43C734"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523E0E0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31ABF65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0.912</w:t>
            </w:r>
          </w:p>
        </w:tc>
        <w:tc>
          <w:tcPr>
            <w:tcW w:w="733" w:type="dxa"/>
            <w:shd w:val="clear" w:color="auto" w:fill="auto"/>
            <w:noWrap/>
            <w:vAlign w:val="bottom"/>
            <w:hideMark/>
          </w:tcPr>
          <w:p w14:paraId="2D16F18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0.019</w:t>
            </w:r>
          </w:p>
        </w:tc>
        <w:tc>
          <w:tcPr>
            <w:tcW w:w="794" w:type="dxa"/>
            <w:shd w:val="clear" w:color="auto" w:fill="auto"/>
            <w:noWrap/>
            <w:vAlign w:val="bottom"/>
            <w:hideMark/>
          </w:tcPr>
          <w:p w14:paraId="643C942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1.707</w:t>
            </w:r>
          </w:p>
        </w:tc>
        <w:tc>
          <w:tcPr>
            <w:tcW w:w="891" w:type="dxa"/>
            <w:shd w:val="clear" w:color="auto" w:fill="auto"/>
            <w:noWrap/>
            <w:vAlign w:val="bottom"/>
            <w:hideMark/>
          </w:tcPr>
          <w:p w14:paraId="030D247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0.909</w:t>
            </w:r>
          </w:p>
        </w:tc>
        <w:tc>
          <w:tcPr>
            <w:tcW w:w="728" w:type="dxa"/>
            <w:shd w:val="clear" w:color="auto" w:fill="auto"/>
            <w:noWrap/>
            <w:vAlign w:val="bottom"/>
            <w:hideMark/>
          </w:tcPr>
          <w:p w14:paraId="2A3BCF5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0.027</w:t>
            </w:r>
          </w:p>
        </w:tc>
        <w:tc>
          <w:tcPr>
            <w:tcW w:w="794" w:type="dxa"/>
            <w:shd w:val="clear" w:color="auto" w:fill="auto"/>
            <w:noWrap/>
            <w:vAlign w:val="bottom"/>
            <w:hideMark/>
          </w:tcPr>
          <w:p w14:paraId="538D9FE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0.173</w:t>
            </w:r>
          </w:p>
        </w:tc>
        <w:tc>
          <w:tcPr>
            <w:tcW w:w="891" w:type="dxa"/>
            <w:shd w:val="clear" w:color="auto" w:fill="auto"/>
            <w:noWrap/>
            <w:vAlign w:val="bottom"/>
            <w:hideMark/>
          </w:tcPr>
          <w:p w14:paraId="7B3C88A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28" w:type="dxa"/>
            <w:shd w:val="clear" w:color="auto" w:fill="auto"/>
            <w:noWrap/>
            <w:vAlign w:val="bottom"/>
            <w:hideMark/>
          </w:tcPr>
          <w:p w14:paraId="5C546FA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4626787C" w14:textId="77777777" w:rsidTr="00423B79">
        <w:trPr>
          <w:trHeight w:val="237"/>
        </w:trPr>
        <w:tc>
          <w:tcPr>
            <w:tcW w:w="962" w:type="dxa"/>
            <w:shd w:val="clear" w:color="auto" w:fill="auto"/>
            <w:noWrap/>
            <w:vAlign w:val="bottom"/>
            <w:hideMark/>
          </w:tcPr>
          <w:p w14:paraId="38338402"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serv_emp</w:t>
            </w:r>
          </w:p>
        </w:tc>
        <w:tc>
          <w:tcPr>
            <w:tcW w:w="859" w:type="dxa"/>
            <w:shd w:val="clear" w:color="auto" w:fill="auto"/>
            <w:noWrap/>
            <w:vAlign w:val="bottom"/>
            <w:hideMark/>
          </w:tcPr>
          <w:p w14:paraId="2B5C189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072941B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54CAB49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7F7DE32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1B80767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2A4E3DC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16A3CC4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4DFF43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EA7CB1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065F945F" w14:textId="77777777" w:rsidTr="00423B79">
        <w:trPr>
          <w:trHeight w:val="237"/>
        </w:trPr>
        <w:tc>
          <w:tcPr>
            <w:tcW w:w="962" w:type="dxa"/>
            <w:shd w:val="clear" w:color="auto" w:fill="auto"/>
            <w:noWrap/>
            <w:vAlign w:val="bottom"/>
            <w:hideMark/>
          </w:tcPr>
          <w:p w14:paraId="4CE90C0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23805B3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22" w:type="dxa"/>
            <w:shd w:val="clear" w:color="auto" w:fill="auto"/>
            <w:noWrap/>
            <w:vAlign w:val="bottom"/>
            <w:hideMark/>
          </w:tcPr>
          <w:p w14:paraId="0E38169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0.943</w:t>
            </w:r>
          </w:p>
        </w:tc>
        <w:tc>
          <w:tcPr>
            <w:tcW w:w="733" w:type="dxa"/>
            <w:shd w:val="clear" w:color="auto" w:fill="auto"/>
            <w:noWrap/>
            <w:vAlign w:val="bottom"/>
            <w:hideMark/>
          </w:tcPr>
          <w:p w14:paraId="18C6540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0B924F7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0.902</w:t>
            </w:r>
          </w:p>
        </w:tc>
        <w:tc>
          <w:tcPr>
            <w:tcW w:w="891" w:type="dxa"/>
            <w:shd w:val="clear" w:color="auto" w:fill="auto"/>
            <w:noWrap/>
            <w:vAlign w:val="bottom"/>
            <w:hideMark/>
          </w:tcPr>
          <w:p w14:paraId="070011B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0.902</w:t>
            </w:r>
          </w:p>
        </w:tc>
        <w:tc>
          <w:tcPr>
            <w:tcW w:w="728" w:type="dxa"/>
            <w:shd w:val="clear" w:color="auto" w:fill="auto"/>
            <w:noWrap/>
            <w:vAlign w:val="bottom"/>
            <w:hideMark/>
          </w:tcPr>
          <w:p w14:paraId="28B3EF1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0.019</w:t>
            </w:r>
          </w:p>
        </w:tc>
        <w:tc>
          <w:tcPr>
            <w:tcW w:w="794" w:type="dxa"/>
            <w:shd w:val="clear" w:color="auto" w:fill="auto"/>
            <w:noWrap/>
            <w:vAlign w:val="bottom"/>
            <w:hideMark/>
          </w:tcPr>
          <w:p w14:paraId="19E766B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-0.363</w:t>
            </w:r>
          </w:p>
        </w:tc>
        <w:tc>
          <w:tcPr>
            <w:tcW w:w="891" w:type="dxa"/>
            <w:shd w:val="clear" w:color="auto" w:fill="auto"/>
            <w:noWrap/>
            <w:vAlign w:val="bottom"/>
            <w:hideMark/>
          </w:tcPr>
          <w:p w14:paraId="5D5C913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0.04</w:t>
            </w:r>
          </w:p>
        </w:tc>
        <w:tc>
          <w:tcPr>
            <w:tcW w:w="728" w:type="dxa"/>
            <w:shd w:val="clear" w:color="auto" w:fill="auto"/>
            <w:noWrap/>
            <w:vAlign w:val="bottom"/>
            <w:hideMark/>
          </w:tcPr>
          <w:p w14:paraId="433C965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r>
      <w:tr w:rsidR="00423B79" w:rsidRPr="00423B79" w14:paraId="28080621" w14:textId="77777777" w:rsidTr="00423B79">
        <w:trPr>
          <w:trHeight w:val="237"/>
        </w:trPr>
        <w:tc>
          <w:tcPr>
            <w:tcW w:w="962" w:type="dxa"/>
            <w:shd w:val="clear" w:color="auto" w:fill="auto"/>
            <w:noWrap/>
            <w:vAlign w:val="bottom"/>
            <w:hideMark/>
          </w:tcPr>
          <w:p w14:paraId="1BCBA60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6EAE1AA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2840B7D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0.887</w:t>
            </w:r>
          </w:p>
        </w:tc>
        <w:tc>
          <w:tcPr>
            <w:tcW w:w="733" w:type="dxa"/>
            <w:shd w:val="clear" w:color="auto" w:fill="auto"/>
            <w:noWrap/>
            <w:vAlign w:val="bottom"/>
            <w:hideMark/>
          </w:tcPr>
          <w:p w14:paraId="55DA21E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0.026</w:t>
            </w:r>
          </w:p>
        </w:tc>
        <w:tc>
          <w:tcPr>
            <w:tcW w:w="794" w:type="dxa"/>
            <w:shd w:val="clear" w:color="auto" w:fill="auto"/>
            <w:noWrap/>
            <w:vAlign w:val="bottom"/>
            <w:hideMark/>
          </w:tcPr>
          <w:p w14:paraId="2C53707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-1.917</w:t>
            </w:r>
          </w:p>
        </w:tc>
        <w:tc>
          <w:tcPr>
            <w:tcW w:w="891" w:type="dxa"/>
            <w:shd w:val="clear" w:color="auto" w:fill="auto"/>
            <w:noWrap/>
            <w:vAlign w:val="bottom"/>
            <w:hideMark/>
          </w:tcPr>
          <w:p w14:paraId="180F2F8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0.391</w:t>
            </w:r>
          </w:p>
        </w:tc>
        <w:tc>
          <w:tcPr>
            <w:tcW w:w="728" w:type="dxa"/>
            <w:shd w:val="clear" w:color="auto" w:fill="auto"/>
            <w:noWrap/>
            <w:vAlign w:val="bottom"/>
            <w:hideMark/>
          </w:tcPr>
          <w:p w14:paraId="199EDF6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0.016</w:t>
            </w:r>
          </w:p>
        </w:tc>
        <w:tc>
          <w:tcPr>
            <w:tcW w:w="794" w:type="dxa"/>
            <w:shd w:val="clear" w:color="auto" w:fill="auto"/>
            <w:noWrap/>
            <w:vAlign w:val="bottom"/>
            <w:hideMark/>
          </w:tcPr>
          <w:p w14:paraId="7EEE37D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4.104</w:t>
            </w:r>
          </w:p>
        </w:tc>
        <w:tc>
          <w:tcPr>
            <w:tcW w:w="891" w:type="dxa"/>
            <w:shd w:val="clear" w:color="auto" w:fill="auto"/>
            <w:noWrap/>
            <w:vAlign w:val="bottom"/>
            <w:hideMark/>
          </w:tcPr>
          <w:p w14:paraId="13E0BB0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0.496</w:t>
            </w:r>
          </w:p>
        </w:tc>
        <w:tc>
          <w:tcPr>
            <w:tcW w:w="728" w:type="dxa"/>
            <w:shd w:val="clear" w:color="auto" w:fill="auto"/>
            <w:noWrap/>
            <w:vAlign w:val="bottom"/>
            <w:hideMark/>
          </w:tcPr>
          <w:p w14:paraId="2F749F1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0.073</w:t>
            </w:r>
          </w:p>
        </w:tc>
      </w:tr>
      <w:tr w:rsidR="00423B79" w:rsidRPr="00423B79" w14:paraId="78DCEC2F" w14:textId="77777777" w:rsidTr="00423B79">
        <w:trPr>
          <w:trHeight w:val="237"/>
        </w:trPr>
        <w:tc>
          <w:tcPr>
            <w:tcW w:w="962" w:type="dxa"/>
            <w:shd w:val="clear" w:color="auto" w:fill="auto"/>
            <w:noWrap/>
            <w:vAlign w:val="bottom"/>
            <w:hideMark/>
          </w:tcPr>
          <w:p w14:paraId="56DFF27C"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6866585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3958AF0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0.912</w:t>
            </w:r>
          </w:p>
        </w:tc>
        <w:tc>
          <w:tcPr>
            <w:tcW w:w="733" w:type="dxa"/>
            <w:shd w:val="clear" w:color="auto" w:fill="auto"/>
            <w:noWrap/>
            <w:vAlign w:val="bottom"/>
            <w:hideMark/>
          </w:tcPr>
          <w:p w14:paraId="1A4008D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25A11E9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-1.356</w:t>
            </w:r>
          </w:p>
        </w:tc>
        <w:tc>
          <w:tcPr>
            <w:tcW w:w="891" w:type="dxa"/>
            <w:shd w:val="clear" w:color="auto" w:fill="auto"/>
            <w:noWrap/>
            <w:vAlign w:val="bottom"/>
            <w:hideMark/>
          </w:tcPr>
          <w:p w14:paraId="3120517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0.797</w:t>
            </w:r>
          </w:p>
        </w:tc>
        <w:tc>
          <w:tcPr>
            <w:tcW w:w="728" w:type="dxa"/>
            <w:shd w:val="clear" w:color="auto" w:fill="auto"/>
            <w:noWrap/>
            <w:vAlign w:val="bottom"/>
            <w:hideMark/>
          </w:tcPr>
          <w:p w14:paraId="3FE11ED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0.017</w:t>
            </w:r>
          </w:p>
        </w:tc>
        <w:tc>
          <w:tcPr>
            <w:tcW w:w="794" w:type="dxa"/>
            <w:shd w:val="clear" w:color="auto" w:fill="auto"/>
            <w:noWrap/>
            <w:vAlign w:val="bottom"/>
            <w:hideMark/>
          </w:tcPr>
          <w:p w14:paraId="3A67E55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-0.981</w:t>
            </w:r>
          </w:p>
        </w:tc>
        <w:tc>
          <w:tcPr>
            <w:tcW w:w="891" w:type="dxa"/>
            <w:shd w:val="clear" w:color="auto" w:fill="auto"/>
            <w:noWrap/>
            <w:vAlign w:val="bottom"/>
            <w:hideMark/>
          </w:tcPr>
          <w:p w14:paraId="3ED5CA9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0.115</w:t>
            </w:r>
          </w:p>
        </w:tc>
        <w:tc>
          <w:tcPr>
            <w:tcW w:w="728" w:type="dxa"/>
            <w:shd w:val="clear" w:color="auto" w:fill="auto"/>
            <w:noWrap/>
            <w:vAlign w:val="bottom"/>
            <w:hideMark/>
          </w:tcPr>
          <w:p w14:paraId="2AC8EA9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r>
      <w:tr w:rsidR="00423B79" w:rsidRPr="00423B79" w14:paraId="05C45B18" w14:textId="77777777" w:rsidTr="00423B79">
        <w:trPr>
          <w:trHeight w:val="237"/>
        </w:trPr>
        <w:tc>
          <w:tcPr>
            <w:tcW w:w="1821" w:type="dxa"/>
            <w:gridSpan w:val="2"/>
            <w:shd w:val="clear" w:color="auto" w:fill="auto"/>
            <w:noWrap/>
            <w:vAlign w:val="bottom"/>
            <w:hideMark/>
          </w:tcPr>
          <w:p w14:paraId="4E5DC9E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unemployment</w:t>
            </w:r>
          </w:p>
        </w:tc>
        <w:tc>
          <w:tcPr>
            <w:tcW w:w="822" w:type="dxa"/>
            <w:shd w:val="clear" w:color="auto" w:fill="auto"/>
            <w:noWrap/>
            <w:vAlign w:val="bottom"/>
            <w:hideMark/>
          </w:tcPr>
          <w:p w14:paraId="7F175C1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3E34A88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532630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790D62B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11913DF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C0399E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0133227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21BDB48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56561677" w14:textId="77777777" w:rsidTr="00423B79">
        <w:trPr>
          <w:trHeight w:val="237"/>
        </w:trPr>
        <w:tc>
          <w:tcPr>
            <w:tcW w:w="962" w:type="dxa"/>
            <w:shd w:val="clear" w:color="auto" w:fill="auto"/>
            <w:noWrap/>
            <w:vAlign w:val="bottom"/>
            <w:hideMark/>
          </w:tcPr>
          <w:p w14:paraId="58E76CD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4147506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22" w:type="dxa"/>
            <w:shd w:val="clear" w:color="auto" w:fill="auto"/>
            <w:noWrap/>
            <w:vAlign w:val="bottom"/>
            <w:hideMark/>
          </w:tcPr>
          <w:p w14:paraId="67E37A5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0.622</w:t>
            </w:r>
          </w:p>
        </w:tc>
        <w:tc>
          <w:tcPr>
            <w:tcW w:w="733" w:type="dxa"/>
            <w:shd w:val="clear" w:color="auto" w:fill="auto"/>
            <w:noWrap/>
            <w:vAlign w:val="bottom"/>
            <w:hideMark/>
          </w:tcPr>
          <w:p w14:paraId="1CD96B6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794" w:type="dxa"/>
            <w:shd w:val="clear" w:color="auto" w:fill="auto"/>
            <w:noWrap/>
            <w:vAlign w:val="bottom"/>
            <w:hideMark/>
          </w:tcPr>
          <w:p w14:paraId="5BF9CAF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0.246</w:t>
            </w:r>
          </w:p>
        </w:tc>
        <w:tc>
          <w:tcPr>
            <w:tcW w:w="891" w:type="dxa"/>
            <w:shd w:val="clear" w:color="auto" w:fill="auto"/>
            <w:noWrap/>
            <w:vAlign w:val="bottom"/>
            <w:hideMark/>
          </w:tcPr>
          <w:p w14:paraId="18EC7EA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0.184</w:t>
            </w:r>
          </w:p>
        </w:tc>
        <w:tc>
          <w:tcPr>
            <w:tcW w:w="728" w:type="dxa"/>
            <w:shd w:val="clear" w:color="auto" w:fill="auto"/>
            <w:noWrap/>
            <w:vAlign w:val="bottom"/>
            <w:hideMark/>
          </w:tcPr>
          <w:p w14:paraId="43C3E8D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4DC7887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-0.724</w:t>
            </w:r>
          </w:p>
        </w:tc>
        <w:tc>
          <w:tcPr>
            <w:tcW w:w="891" w:type="dxa"/>
            <w:shd w:val="clear" w:color="auto" w:fill="auto"/>
            <w:noWrap/>
            <w:vAlign w:val="bottom"/>
            <w:hideMark/>
          </w:tcPr>
          <w:p w14:paraId="7ACA542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0.439</w:t>
            </w:r>
          </w:p>
        </w:tc>
        <w:tc>
          <w:tcPr>
            <w:tcW w:w="728" w:type="dxa"/>
            <w:shd w:val="clear" w:color="auto" w:fill="auto"/>
            <w:noWrap/>
            <w:vAlign w:val="bottom"/>
            <w:hideMark/>
          </w:tcPr>
          <w:p w14:paraId="3F0C4F9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r>
      <w:tr w:rsidR="00423B79" w:rsidRPr="00423B79" w14:paraId="58C94DB3" w14:textId="77777777" w:rsidTr="00423B79">
        <w:trPr>
          <w:trHeight w:val="237"/>
        </w:trPr>
        <w:tc>
          <w:tcPr>
            <w:tcW w:w="962" w:type="dxa"/>
            <w:shd w:val="clear" w:color="auto" w:fill="auto"/>
            <w:noWrap/>
            <w:vAlign w:val="bottom"/>
            <w:hideMark/>
          </w:tcPr>
          <w:p w14:paraId="3FA8BF6D"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47C49D8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5CDC113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0.851</w:t>
            </w:r>
          </w:p>
        </w:tc>
        <w:tc>
          <w:tcPr>
            <w:tcW w:w="733" w:type="dxa"/>
            <w:shd w:val="clear" w:color="auto" w:fill="auto"/>
            <w:noWrap/>
            <w:vAlign w:val="bottom"/>
            <w:hideMark/>
          </w:tcPr>
          <w:p w14:paraId="018D6EA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794" w:type="dxa"/>
            <w:shd w:val="clear" w:color="auto" w:fill="auto"/>
            <w:noWrap/>
            <w:vAlign w:val="bottom"/>
            <w:hideMark/>
          </w:tcPr>
          <w:p w14:paraId="29D9F5C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-1.382</w:t>
            </w:r>
          </w:p>
        </w:tc>
        <w:tc>
          <w:tcPr>
            <w:tcW w:w="891" w:type="dxa"/>
            <w:shd w:val="clear" w:color="auto" w:fill="auto"/>
            <w:noWrap/>
            <w:vAlign w:val="bottom"/>
            <w:hideMark/>
          </w:tcPr>
          <w:p w14:paraId="29B76EC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0.223</w:t>
            </w:r>
          </w:p>
        </w:tc>
        <w:tc>
          <w:tcPr>
            <w:tcW w:w="728" w:type="dxa"/>
            <w:shd w:val="clear" w:color="auto" w:fill="auto"/>
            <w:noWrap/>
            <w:vAlign w:val="bottom"/>
            <w:hideMark/>
          </w:tcPr>
          <w:p w14:paraId="7D20805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794" w:type="dxa"/>
            <w:shd w:val="clear" w:color="auto" w:fill="auto"/>
            <w:noWrap/>
            <w:vAlign w:val="bottom"/>
            <w:hideMark/>
          </w:tcPr>
          <w:p w14:paraId="62E8A83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4.407</w:t>
            </w:r>
          </w:p>
        </w:tc>
        <w:tc>
          <w:tcPr>
            <w:tcW w:w="891" w:type="dxa"/>
            <w:shd w:val="clear" w:color="auto" w:fill="auto"/>
            <w:noWrap/>
            <w:vAlign w:val="bottom"/>
            <w:hideMark/>
          </w:tcPr>
          <w:p w14:paraId="1289378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0.628</w:t>
            </w:r>
          </w:p>
        </w:tc>
        <w:tc>
          <w:tcPr>
            <w:tcW w:w="728" w:type="dxa"/>
            <w:shd w:val="clear" w:color="auto" w:fill="auto"/>
            <w:noWrap/>
            <w:vAlign w:val="bottom"/>
            <w:hideMark/>
          </w:tcPr>
          <w:p w14:paraId="35249DD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0.084</w:t>
            </w:r>
          </w:p>
        </w:tc>
      </w:tr>
      <w:tr w:rsidR="00423B79" w:rsidRPr="00423B79" w14:paraId="77C7F785" w14:textId="77777777" w:rsidTr="00423B79">
        <w:trPr>
          <w:trHeight w:val="237"/>
        </w:trPr>
        <w:tc>
          <w:tcPr>
            <w:tcW w:w="962" w:type="dxa"/>
            <w:shd w:val="clear" w:color="auto" w:fill="auto"/>
            <w:noWrap/>
            <w:vAlign w:val="bottom"/>
            <w:hideMark/>
          </w:tcPr>
          <w:p w14:paraId="3DB6B620"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2575CB4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3303707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33" w:type="dxa"/>
            <w:shd w:val="clear" w:color="auto" w:fill="auto"/>
            <w:noWrap/>
            <w:vAlign w:val="bottom"/>
            <w:hideMark/>
          </w:tcPr>
          <w:p w14:paraId="25FDE4F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18449A0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91" w:type="dxa"/>
            <w:shd w:val="clear" w:color="auto" w:fill="auto"/>
            <w:noWrap/>
            <w:vAlign w:val="bottom"/>
            <w:hideMark/>
          </w:tcPr>
          <w:p w14:paraId="1AD5423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28" w:type="dxa"/>
            <w:shd w:val="clear" w:color="auto" w:fill="auto"/>
            <w:noWrap/>
            <w:vAlign w:val="bottom"/>
            <w:hideMark/>
          </w:tcPr>
          <w:p w14:paraId="025A7C7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94" w:type="dxa"/>
            <w:shd w:val="clear" w:color="auto" w:fill="auto"/>
            <w:noWrap/>
            <w:vAlign w:val="bottom"/>
            <w:hideMark/>
          </w:tcPr>
          <w:p w14:paraId="6464DEE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-0.225</w:t>
            </w:r>
          </w:p>
        </w:tc>
        <w:tc>
          <w:tcPr>
            <w:tcW w:w="891" w:type="dxa"/>
            <w:shd w:val="clear" w:color="auto" w:fill="auto"/>
            <w:noWrap/>
            <w:vAlign w:val="bottom"/>
            <w:hideMark/>
          </w:tcPr>
          <w:p w14:paraId="0CC92F2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0.021</w:t>
            </w:r>
          </w:p>
        </w:tc>
        <w:tc>
          <w:tcPr>
            <w:tcW w:w="728" w:type="dxa"/>
            <w:shd w:val="clear" w:color="auto" w:fill="auto"/>
            <w:noWrap/>
            <w:vAlign w:val="bottom"/>
            <w:hideMark/>
          </w:tcPr>
          <w:p w14:paraId="1D238C3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531D8509" w14:textId="77777777" w:rsidTr="00423B79">
        <w:trPr>
          <w:trHeight w:val="237"/>
        </w:trPr>
        <w:tc>
          <w:tcPr>
            <w:tcW w:w="1821" w:type="dxa"/>
            <w:gridSpan w:val="2"/>
            <w:shd w:val="clear" w:color="auto" w:fill="auto"/>
            <w:noWrap/>
            <w:vAlign w:val="bottom"/>
            <w:hideMark/>
          </w:tcPr>
          <w:p w14:paraId="4D6F90B8"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youth_unemp</w:t>
            </w:r>
          </w:p>
        </w:tc>
        <w:tc>
          <w:tcPr>
            <w:tcW w:w="822" w:type="dxa"/>
            <w:shd w:val="clear" w:color="auto" w:fill="auto"/>
            <w:noWrap/>
            <w:vAlign w:val="bottom"/>
            <w:hideMark/>
          </w:tcPr>
          <w:p w14:paraId="4C0FAFC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10D7ED7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6BEC01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1EDBC02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6F670F1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FBB331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BA48AE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627239B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0A0311D3" w14:textId="77777777" w:rsidTr="00423B79">
        <w:trPr>
          <w:trHeight w:val="237"/>
        </w:trPr>
        <w:tc>
          <w:tcPr>
            <w:tcW w:w="962" w:type="dxa"/>
            <w:shd w:val="clear" w:color="auto" w:fill="auto"/>
            <w:noWrap/>
            <w:vAlign w:val="bottom"/>
            <w:hideMark/>
          </w:tcPr>
          <w:p w14:paraId="2E859CC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56DBAD4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22" w:type="dxa"/>
            <w:shd w:val="clear" w:color="auto" w:fill="auto"/>
            <w:noWrap/>
            <w:vAlign w:val="bottom"/>
            <w:hideMark/>
          </w:tcPr>
          <w:p w14:paraId="449408E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0.764</w:t>
            </w:r>
          </w:p>
        </w:tc>
        <w:tc>
          <w:tcPr>
            <w:tcW w:w="733" w:type="dxa"/>
            <w:shd w:val="clear" w:color="auto" w:fill="auto"/>
            <w:noWrap/>
            <w:vAlign w:val="bottom"/>
            <w:hideMark/>
          </w:tcPr>
          <w:p w14:paraId="7E25C2D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794" w:type="dxa"/>
            <w:shd w:val="clear" w:color="auto" w:fill="auto"/>
            <w:noWrap/>
            <w:vAlign w:val="bottom"/>
            <w:hideMark/>
          </w:tcPr>
          <w:p w14:paraId="09B135F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0.533</w:t>
            </w:r>
          </w:p>
        </w:tc>
        <w:tc>
          <w:tcPr>
            <w:tcW w:w="891" w:type="dxa"/>
            <w:shd w:val="clear" w:color="auto" w:fill="auto"/>
            <w:noWrap/>
            <w:vAlign w:val="bottom"/>
            <w:hideMark/>
          </w:tcPr>
          <w:p w14:paraId="6E6FCF2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0.547</w:t>
            </w:r>
          </w:p>
        </w:tc>
        <w:tc>
          <w:tcPr>
            <w:tcW w:w="728" w:type="dxa"/>
            <w:shd w:val="clear" w:color="auto" w:fill="auto"/>
            <w:noWrap/>
            <w:vAlign w:val="bottom"/>
            <w:hideMark/>
          </w:tcPr>
          <w:p w14:paraId="526AA1C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0.007</w:t>
            </w:r>
          </w:p>
        </w:tc>
        <w:tc>
          <w:tcPr>
            <w:tcW w:w="794" w:type="dxa"/>
            <w:shd w:val="clear" w:color="auto" w:fill="auto"/>
            <w:noWrap/>
            <w:vAlign w:val="bottom"/>
            <w:hideMark/>
          </w:tcPr>
          <w:p w14:paraId="5FCDE38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-0.639</w:t>
            </w:r>
          </w:p>
        </w:tc>
        <w:tc>
          <w:tcPr>
            <w:tcW w:w="891" w:type="dxa"/>
            <w:shd w:val="clear" w:color="auto" w:fill="auto"/>
            <w:noWrap/>
            <w:vAlign w:val="bottom"/>
            <w:hideMark/>
          </w:tcPr>
          <w:p w14:paraId="789F8D4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0.217</w:t>
            </w:r>
          </w:p>
        </w:tc>
        <w:tc>
          <w:tcPr>
            <w:tcW w:w="728" w:type="dxa"/>
            <w:shd w:val="clear" w:color="auto" w:fill="auto"/>
            <w:noWrap/>
            <w:vAlign w:val="bottom"/>
            <w:hideMark/>
          </w:tcPr>
          <w:p w14:paraId="1BFB128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r>
      <w:tr w:rsidR="00423B79" w:rsidRPr="00423B79" w14:paraId="7D21D51B" w14:textId="77777777" w:rsidTr="00423B79">
        <w:trPr>
          <w:trHeight w:val="237"/>
        </w:trPr>
        <w:tc>
          <w:tcPr>
            <w:tcW w:w="962" w:type="dxa"/>
            <w:shd w:val="clear" w:color="auto" w:fill="auto"/>
            <w:noWrap/>
            <w:vAlign w:val="bottom"/>
            <w:hideMark/>
          </w:tcPr>
          <w:p w14:paraId="32CF8F6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5FBCAA9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63E97D0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0.863</w:t>
            </w:r>
          </w:p>
        </w:tc>
        <w:tc>
          <w:tcPr>
            <w:tcW w:w="733" w:type="dxa"/>
            <w:shd w:val="clear" w:color="auto" w:fill="auto"/>
            <w:noWrap/>
            <w:vAlign w:val="bottom"/>
            <w:hideMark/>
          </w:tcPr>
          <w:p w14:paraId="0F6F7B4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0.027</w:t>
            </w:r>
          </w:p>
        </w:tc>
        <w:tc>
          <w:tcPr>
            <w:tcW w:w="794" w:type="dxa"/>
            <w:shd w:val="clear" w:color="auto" w:fill="auto"/>
            <w:noWrap/>
            <w:vAlign w:val="bottom"/>
            <w:hideMark/>
          </w:tcPr>
          <w:p w14:paraId="42D7EEB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-1.784</w:t>
            </w:r>
          </w:p>
        </w:tc>
        <w:tc>
          <w:tcPr>
            <w:tcW w:w="891" w:type="dxa"/>
            <w:shd w:val="clear" w:color="auto" w:fill="auto"/>
            <w:noWrap/>
            <w:vAlign w:val="bottom"/>
            <w:hideMark/>
          </w:tcPr>
          <w:p w14:paraId="70ED994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0.324</w:t>
            </w:r>
          </w:p>
        </w:tc>
        <w:tc>
          <w:tcPr>
            <w:tcW w:w="728" w:type="dxa"/>
            <w:shd w:val="clear" w:color="auto" w:fill="auto"/>
            <w:noWrap/>
            <w:vAlign w:val="bottom"/>
            <w:hideMark/>
          </w:tcPr>
          <w:p w14:paraId="661D23F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94" w:type="dxa"/>
            <w:shd w:val="clear" w:color="auto" w:fill="auto"/>
            <w:noWrap/>
            <w:vAlign w:val="bottom"/>
            <w:hideMark/>
          </w:tcPr>
          <w:p w14:paraId="06FA5E9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4.371</w:t>
            </w:r>
          </w:p>
        </w:tc>
        <w:tc>
          <w:tcPr>
            <w:tcW w:w="891" w:type="dxa"/>
            <w:shd w:val="clear" w:color="auto" w:fill="auto"/>
            <w:noWrap/>
            <w:vAlign w:val="bottom"/>
            <w:hideMark/>
          </w:tcPr>
          <w:p w14:paraId="4E0B1A0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0.539</w:t>
            </w:r>
          </w:p>
        </w:tc>
        <w:tc>
          <w:tcPr>
            <w:tcW w:w="728" w:type="dxa"/>
            <w:shd w:val="clear" w:color="auto" w:fill="auto"/>
            <w:noWrap/>
            <w:vAlign w:val="bottom"/>
            <w:hideMark/>
          </w:tcPr>
          <w:p w14:paraId="1AF326B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0.082</w:t>
            </w:r>
          </w:p>
        </w:tc>
      </w:tr>
      <w:tr w:rsidR="00423B79" w:rsidRPr="00423B79" w14:paraId="484D1315" w14:textId="77777777" w:rsidTr="00423B79">
        <w:trPr>
          <w:trHeight w:val="237"/>
        </w:trPr>
        <w:tc>
          <w:tcPr>
            <w:tcW w:w="962" w:type="dxa"/>
            <w:shd w:val="clear" w:color="auto" w:fill="auto"/>
            <w:noWrap/>
            <w:vAlign w:val="bottom"/>
            <w:hideMark/>
          </w:tcPr>
          <w:p w14:paraId="15F972B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1DB2540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5D4DAAC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0.333</w:t>
            </w:r>
          </w:p>
        </w:tc>
        <w:tc>
          <w:tcPr>
            <w:tcW w:w="733" w:type="dxa"/>
            <w:shd w:val="clear" w:color="auto" w:fill="auto"/>
            <w:noWrap/>
            <w:vAlign w:val="bottom"/>
            <w:hideMark/>
          </w:tcPr>
          <w:p w14:paraId="079DEDF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c>
          <w:tcPr>
            <w:tcW w:w="794" w:type="dxa"/>
            <w:shd w:val="clear" w:color="auto" w:fill="auto"/>
            <w:noWrap/>
            <w:vAlign w:val="bottom"/>
            <w:hideMark/>
          </w:tcPr>
          <w:p w14:paraId="50BEC36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-0.503</w:t>
            </w:r>
          </w:p>
        </w:tc>
        <w:tc>
          <w:tcPr>
            <w:tcW w:w="891" w:type="dxa"/>
            <w:shd w:val="clear" w:color="auto" w:fill="auto"/>
            <w:noWrap/>
            <w:vAlign w:val="bottom"/>
            <w:hideMark/>
          </w:tcPr>
          <w:p w14:paraId="415AC90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0.279</w:t>
            </w:r>
          </w:p>
        </w:tc>
        <w:tc>
          <w:tcPr>
            <w:tcW w:w="728" w:type="dxa"/>
            <w:shd w:val="clear" w:color="auto" w:fill="auto"/>
            <w:noWrap/>
            <w:vAlign w:val="bottom"/>
            <w:hideMark/>
          </w:tcPr>
          <w:p w14:paraId="52DF6C2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794" w:type="dxa"/>
            <w:shd w:val="clear" w:color="auto" w:fill="auto"/>
            <w:noWrap/>
            <w:vAlign w:val="bottom"/>
            <w:hideMark/>
          </w:tcPr>
          <w:p w14:paraId="604621F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-0.419</w:t>
            </w:r>
          </w:p>
        </w:tc>
        <w:tc>
          <w:tcPr>
            <w:tcW w:w="891" w:type="dxa"/>
            <w:shd w:val="clear" w:color="auto" w:fill="auto"/>
            <w:noWrap/>
            <w:vAlign w:val="bottom"/>
            <w:hideMark/>
          </w:tcPr>
          <w:p w14:paraId="7D91C0D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0.054</w:t>
            </w:r>
          </w:p>
        </w:tc>
        <w:tc>
          <w:tcPr>
            <w:tcW w:w="728" w:type="dxa"/>
            <w:shd w:val="clear" w:color="auto" w:fill="auto"/>
            <w:noWrap/>
            <w:vAlign w:val="bottom"/>
            <w:hideMark/>
          </w:tcPr>
          <w:p w14:paraId="5BA0F11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28E714A0" w14:textId="77777777" w:rsidTr="00423B79">
        <w:trPr>
          <w:trHeight w:val="237"/>
        </w:trPr>
        <w:tc>
          <w:tcPr>
            <w:tcW w:w="1821" w:type="dxa"/>
            <w:gridSpan w:val="2"/>
            <w:shd w:val="clear" w:color="auto" w:fill="auto"/>
            <w:noWrap/>
            <w:vAlign w:val="bottom"/>
            <w:hideMark/>
          </w:tcPr>
          <w:p w14:paraId="4FE1FAC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lastRenderedPageBreak/>
              <w:t>youth_noti~l</w:t>
            </w:r>
          </w:p>
        </w:tc>
        <w:tc>
          <w:tcPr>
            <w:tcW w:w="822" w:type="dxa"/>
            <w:shd w:val="clear" w:color="auto" w:fill="auto"/>
            <w:noWrap/>
            <w:vAlign w:val="bottom"/>
            <w:hideMark/>
          </w:tcPr>
          <w:p w14:paraId="2B5E5838"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5D6B317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745562E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0ABFBBA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788F45E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2B79339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63BBFF5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E3F994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63D7194C" w14:textId="77777777" w:rsidTr="00423B79">
        <w:trPr>
          <w:trHeight w:val="237"/>
        </w:trPr>
        <w:tc>
          <w:tcPr>
            <w:tcW w:w="962" w:type="dxa"/>
            <w:shd w:val="clear" w:color="auto" w:fill="auto"/>
            <w:noWrap/>
            <w:vAlign w:val="bottom"/>
            <w:hideMark/>
          </w:tcPr>
          <w:p w14:paraId="440F18F0"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123C8EB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822" w:type="dxa"/>
            <w:shd w:val="clear" w:color="auto" w:fill="auto"/>
            <w:noWrap/>
            <w:vAlign w:val="bottom"/>
            <w:hideMark/>
          </w:tcPr>
          <w:p w14:paraId="383C196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0.718</w:t>
            </w:r>
          </w:p>
        </w:tc>
        <w:tc>
          <w:tcPr>
            <w:tcW w:w="733" w:type="dxa"/>
            <w:shd w:val="clear" w:color="auto" w:fill="auto"/>
            <w:noWrap/>
            <w:vAlign w:val="bottom"/>
            <w:hideMark/>
          </w:tcPr>
          <w:p w14:paraId="74A6BE0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794" w:type="dxa"/>
            <w:shd w:val="clear" w:color="auto" w:fill="auto"/>
            <w:noWrap/>
            <w:vAlign w:val="bottom"/>
            <w:hideMark/>
          </w:tcPr>
          <w:p w14:paraId="3BD6302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-0.366</w:t>
            </w:r>
          </w:p>
        </w:tc>
        <w:tc>
          <w:tcPr>
            <w:tcW w:w="891" w:type="dxa"/>
            <w:shd w:val="clear" w:color="auto" w:fill="auto"/>
            <w:noWrap/>
            <w:vAlign w:val="bottom"/>
            <w:hideMark/>
          </w:tcPr>
          <w:p w14:paraId="2301EE7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0.256</w:t>
            </w:r>
          </w:p>
        </w:tc>
        <w:tc>
          <w:tcPr>
            <w:tcW w:w="728" w:type="dxa"/>
            <w:shd w:val="clear" w:color="auto" w:fill="auto"/>
            <w:noWrap/>
            <w:vAlign w:val="bottom"/>
            <w:hideMark/>
          </w:tcPr>
          <w:p w14:paraId="1C25D16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71DE25A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-0.936</w:t>
            </w:r>
          </w:p>
        </w:tc>
        <w:tc>
          <w:tcPr>
            <w:tcW w:w="891" w:type="dxa"/>
            <w:shd w:val="clear" w:color="auto" w:fill="auto"/>
            <w:noWrap/>
            <w:vAlign w:val="bottom"/>
            <w:hideMark/>
          </w:tcPr>
          <w:p w14:paraId="7257EA2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0.462</w:t>
            </w:r>
          </w:p>
        </w:tc>
        <w:tc>
          <w:tcPr>
            <w:tcW w:w="728" w:type="dxa"/>
            <w:shd w:val="clear" w:color="auto" w:fill="auto"/>
            <w:noWrap/>
            <w:vAlign w:val="bottom"/>
            <w:hideMark/>
          </w:tcPr>
          <w:p w14:paraId="31BE127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r>
      <w:tr w:rsidR="00423B79" w:rsidRPr="00423B79" w14:paraId="7ED25A2B" w14:textId="77777777" w:rsidTr="00423B79">
        <w:trPr>
          <w:trHeight w:val="237"/>
        </w:trPr>
        <w:tc>
          <w:tcPr>
            <w:tcW w:w="962" w:type="dxa"/>
            <w:shd w:val="clear" w:color="auto" w:fill="auto"/>
            <w:noWrap/>
            <w:vAlign w:val="bottom"/>
            <w:hideMark/>
          </w:tcPr>
          <w:p w14:paraId="4DF2700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68C1445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822" w:type="dxa"/>
            <w:shd w:val="clear" w:color="auto" w:fill="auto"/>
            <w:noWrap/>
            <w:vAlign w:val="bottom"/>
            <w:hideMark/>
          </w:tcPr>
          <w:p w14:paraId="596892F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0.881</w:t>
            </w:r>
          </w:p>
        </w:tc>
        <w:tc>
          <w:tcPr>
            <w:tcW w:w="733" w:type="dxa"/>
            <w:shd w:val="clear" w:color="auto" w:fill="auto"/>
            <w:noWrap/>
            <w:vAlign w:val="bottom"/>
            <w:hideMark/>
          </w:tcPr>
          <w:p w14:paraId="1BDB6FF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94" w:type="dxa"/>
            <w:shd w:val="clear" w:color="auto" w:fill="auto"/>
            <w:noWrap/>
            <w:vAlign w:val="bottom"/>
            <w:hideMark/>
          </w:tcPr>
          <w:p w14:paraId="4C62325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-0.602</w:t>
            </w:r>
          </w:p>
        </w:tc>
        <w:tc>
          <w:tcPr>
            <w:tcW w:w="891" w:type="dxa"/>
            <w:shd w:val="clear" w:color="auto" w:fill="auto"/>
            <w:noWrap/>
            <w:vAlign w:val="bottom"/>
            <w:hideMark/>
          </w:tcPr>
          <w:p w14:paraId="6E31F98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0.047</w:t>
            </w:r>
          </w:p>
        </w:tc>
        <w:tc>
          <w:tcPr>
            <w:tcW w:w="728" w:type="dxa"/>
            <w:shd w:val="clear" w:color="auto" w:fill="auto"/>
            <w:noWrap/>
            <w:vAlign w:val="bottom"/>
            <w:hideMark/>
          </w:tcPr>
          <w:p w14:paraId="0E3E027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794" w:type="dxa"/>
            <w:shd w:val="clear" w:color="auto" w:fill="auto"/>
            <w:noWrap/>
            <w:vAlign w:val="bottom"/>
            <w:hideMark/>
          </w:tcPr>
          <w:p w14:paraId="7BF23E7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4.843</w:t>
            </w:r>
          </w:p>
        </w:tc>
        <w:tc>
          <w:tcPr>
            <w:tcW w:w="891" w:type="dxa"/>
            <w:shd w:val="clear" w:color="auto" w:fill="auto"/>
            <w:noWrap/>
            <w:vAlign w:val="bottom"/>
            <w:hideMark/>
          </w:tcPr>
          <w:p w14:paraId="175338E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0.834</w:t>
            </w:r>
          </w:p>
        </w:tc>
        <w:tc>
          <w:tcPr>
            <w:tcW w:w="728" w:type="dxa"/>
            <w:shd w:val="clear" w:color="auto" w:fill="auto"/>
            <w:noWrap/>
            <w:vAlign w:val="bottom"/>
            <w:hideMark/>
          </w:tcPr>
          <w:p w14:paraId="6EBA5EC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0.101</w:t>
            </w:r>
          </w:p>
        </w:tc>
      </w:tr>
      <w:tr w:rsidR="00423B79" w:rsidRPr="00423B79" w14:paraId="16D4E05E" w14:textId="77777777" w:rsidTr="00423B79">
        <w:trPr>
          <w:trHeight w:val="237"/>
        </w:trPr>
        <w:tc>
          <w:tcPr>
            <w:tcW w:w="962" w:type="dxa"/>
            <w:shd w:val="clear" w:color="auto" w:fill="auto"/>
            <w:noWrap/>
            <w:vAlign w:val="bottom"/>
            <w:hideMark/>
          </w:tcPr>
          <w:p w14:paraId="66DA2339"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5986286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0ACA054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0.682</w:t>
            </w:r>
          </w:p>
        </w:tc>
        <w:tc>
          <w:tcPr>
            <w:tcW w:w="733" w:type="dxa"/>
            <w:shd w:val="clear" w:color="auto" w:fill="auto"/>
            <w:noWrap/>
            <w:vAlign w:val="bottom"/>
            <w:hideMark/>
          </w:tcPr>
          <w:p w14:paraId="0339AEF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56FB083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1.184</w:t>
            </w:r>
          </w:p>
        </w:tc>
        <w:tc>
          <w:tcPr>
            <w:tcW w:w="891" w:type="dxa"/>
            <w:shd w:val="clear" w:color="auto" w:fill="auto"/>
            <w:noWrap/>
            <w:vAlign w:val="bottom"/>
            <w:hideMark/>
          </w:tcPr>
          <w:p w14:paraId="7776D37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0.681</w:t>
            </w:r>
          </w:p>
        </w:tc>
        <w:tc>
          <w:tcPr>
            <w:tcW w:w="728" w:type="dxa"/>
            <w:shd w:val="clear" w:color="auto" w:fill="auto"/>
            <w:noWrap/>
            <w:vAlign w:val="bottom"/>
            <w:hideMark/>
          </w:tcPr>
          <w:p w14:paraId="249B508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756D0BD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0.101</w:t>
            </w:r>
          </w:p>
        </w:tc>
        <w:tc>
          <w:tcPr>
            <w:tcW w:w="891" w:type="dxa"/>
            <w:shd w:val="clear" w:color="auto" w:fill="auto"/>
            <w:noWrap/>
            <w:vAlign w:val="bottom"/>
            <w:hideMark/>
          </w:tcPr>
          <w:p w14:paraId="736CAEF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28" w:type="dxa"/>
            <w:shd w:val="clear" w:color="auto" w:fill="auto"/>
            <w:noWrap/>
            <w:vAlign w:val="bottom"/>
            <w:hideMark/>
          </w:tcPr>
          <w:p w14:paraId="2B8134D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0FD973E9" w14:textId="77777777" w:rsidTr="00423B79">
        <w:trPr>
          <w:trHeight w:val="237"/>
        </w:trPr>
        <w:tc>
          <w:tcPr>
            <w:tcW w:w="1821" w:type="dxa"/>
            <w:gridSpan w:val="2"/>
            <w:shd w:val="clear" w:color="auto" w:fill="auto"/>
            <w:noWrap/>
            <w:vAlign w:val="bottom"/>
            <w:hideMark/>
          </w:tcPr>
          <w:p w14:paraId="7FB03BD4"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skill_worker</w:t>
            </w:r>
          </w:p>
        </w:tc>
        <w:tc>
          <w:tcPr>
            <w:tcW w:w="822" w:type="dxa"/>
            <w:shd w:val="clear" w:color="auto" w:fill="auto"/>
            <w:noWrap/>
            <w:vAlign w:val="bottom"/>
            <w:hideMark/>
          </w:tcPr>
          <w:p w14:paraId="26F4315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0116DF0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65760CD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7CD882E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1921DC1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304221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109B87E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9B92BF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137A92E8" w14:textId="77777777" w:rsidTr="00423B79">
        <w:trPr>
          <w:trHeight w:val="237"/>
        </w:trPr>
        <w:tc>
          <w:tcPr>
            <w:tcW w:w="962" w:type="dxa"/>
            <w:shd w:val="clear" w:color="auto" w:fill="auto"/>
            <w:noWrap/>
            <w:vAlign w:val="bottom"/>
            <w:hideMark/>
          </w:tcPr>
          <w:p w14:paraId="244073C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57A78E9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0.021</w:t>
            </w:r>
          </w:p>
        </w:tc>
        <w:tc>
          <w:tcPr>
            <w:tcW w:w="822" w:type="dxa"/>
            <w:shd w:val="clear" w:color="auto" w:fill="auto"/>
            <w:noWrap/>
            <w:vAlign w:val="bottom"/>
            <w:hideMark/>
          </w:tcPr>
          <w:p w14:paraId="5215E7C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0.93</w:t>
            </w:r>
          </w:p>
        </w:tc>
        <w:tc>
          <w:tcPr>
            <w:tcW w:w="733" w:type="dxa"/>
            <w:shd w:val="clear" w:color="auto" w:fill="auto"/>
            <w:noWrap/>
            <w:vAlign w:val="bottom"/>
            <w:hideMark/>
          </w:tcPr>
          <w:p w14:paraId="2D69D4F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794" w:type="dxa"/>
            <w:shd w:val="clear" w:color="auto" w:fill="auto"/>
            <w:noWrap/>
            <w:vAlign w:val="bottom"/>
            <w:hideMark/>
          </w:tcPr>
          <w:p w14:paraId="501B3A5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0.754</w:t>
            </w:r>
          </w:p>
        </w:tc>
        <w:tc>
          <w:tcPr>
            <w:tcW w:w="891" w:type="dxa"/>
            <w:shd w:val="clear" w:color="auto" w:fill="auto"/>
            <w:noWrap/>
            <w:vAlign w:val="bottom"/>
            <w:hideMark/>
          </w:tcPr>
          <w:p w14:paraId="3F99905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0.915</w:t>
            </w:r>
          </w:p>
        </w:tc>
        <w:tc>
          <w:tcPr>
            <w:tcW w:w="728" w:type="dxa"/>
            <w:shd w:val="clear" w:color="auto" w:fill="auto"/>
            <w:noWrap/>
            <w:vAlign w:val="bottom"/>
            <w:hideMark/>
          </w:tcPr>
          <w:p w14:paraId="0144368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794" w:type="dxa"/>
            <w:shd w:val="clear" w:color="auto" w:fill="auto"/>
            <w:noWrap/>
            <w:vAlign w:val="bottom"/>
            <w:hideMark/>
          </w:tcPr>
          <w:p w14:paraId="30ED6EE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0.18</w:t>
            </w:r>
          </w:p>
        </w:tc>
        <w:tc>
          <w:tcPr>
            <w:tcW w:w="891" w:type="dxa"/>
            <w:shd w:val="clear" w:color="auto" w:fill="auto"/>
            <w:noWrap/>
            <w:vAlign w:val="bottom"/>
            <w:hideMark/>
          </w:tcPr>
          <w:p w14:paraId="1FC3754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28" w:type="dxa"/>
            <w:shd w:val="clear" w:color="auto" w:fill="auto"/>
            <w:noWrap/>
            <w:vAlign w:val="bottom"/>
            <w:hideMark/>
          </w:tcPr>
          <w:p w14:paraId="2877B57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2A797FD4" w14:textId="77777777" w:rsidTr="00423B79">
        <w:trPr>
          <w:trHeight w:val="237"/>
        </w:trPr>
        <w:tc>
          <w:tcPr>
            <w:tcW w:w="962" w:type="dxa"/>
            <w:shd w:val="clear" w:color="auto" w:fill="auto"/>
            <w:noWrap/>
            <w:vAlign w:val="bottom"/>
            <w:hideMark/>
          </w:tcPr>
          <w:p w14:paraId="60628E3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3FF75B9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822" w:type="dxa"/>
            <w:shd w:val="clear" w:color="auto" w:fill="auto"/>
            <w:noWrap/>
            <w:vAlign w:val="bottom"/>
            <w:hideMark/>
          </w:tcPr>
          <w:p w14:paraId="0F82870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0.881</w:t>
            </w:r>
          </w:p>
        </w:tc>
        <w:tc>
          <w:tcPr>
            <w:tcW w:w="733" w:type="dxa"/>
            <w:shd w:val="clear" w:color="auto" w:fill="auto"/>
            <w:noWrap/>
            <w:vAlign w:val="bottom"/>
            <w:hideMark/>
          </w:tcPr>
          <w:p w14:paraId="1D82EE1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794" w:type="dxa"/>
            <w:shd w:val="clear" w:color="auto" w:fill="auto"/>
            <w:noWrap/>
            <w:vAlign w:val="bottom"/>
            <w:hideMark/>
          </w:tcPr>
          <w:p w14:paraId="42F493F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-1.284</w:t>
            </w:r>
          </w:p>
        </w:tc>
        <w:tc>
          <w:tcPr>
            <w:tcW w:w="891" w:type="dxa"/>
            <w:shd w:val="clear" w:color="auto" w:fill="auto"/>
            <w:noWrap/>
            <w:vAlign w:val="bottom"/>
            <w:hideMark/>
          </w:tcPr>
          <w:p w14:paraId="3BDD39A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0.789</w:t>
            </w:r>
          </w:p>
        </w:tc>
        <w:tc>
          <w:tcPr>
            <w:tcW w:w="728" w:type="dxa"/>
            <w:shd w:val="clear" w:color="auto" w:fill="auto"/>
            <w:noWrap/>
            <w:vAlign w:val="bottom"/>
            <w:hideMark/>
          </w:tcPr>
          <w:p w14:paraId="30F8B99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50F4C97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0.837</w:t>
            </w:r>
          </w:p>
        </w:tc>
        <w:tc>
          <w:tcPr>
            <w:tcW w:w="891" w:type="dxa"/>
            <w:shd w:val="clear" w:color="auto" w:fill="auto"/>
            <w:noWrap/>
            <w:vAlign w:val="bottom"/>
            <w:hideMark/>
          </w:tcPr>
          <w:p w14:paraId="59E1E4D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0.093</w:t>
            </w:r>
          </w:p>
        </w:tc>
        <w:tc>
          <w:tcPr>
            <w:tcW w:w="728" w:type="dxa"/>
            <w:shd w:val="clear" w:color="auto" w:fill="auto"/>
            <w:noWrap/>
            <w:vAlign w:val="bottom"/>
            <w:hideMark/>
          </w:tcPr>
          <w:p w14:paraId="4A15340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r>
      <w:tr w:rsidR="00423B79" w:rsidRPr="00423B79" w14:paraId="636F4AB4" w14:textId="77777777" w:rsidTr="00423B79">
        <w:trPr>
          <w:trHeight w:val="237"/>
        </w:trPr>
        <w:tc>
          <w:tcPr>
            <w:tcW w:w="962" w:type="dxa"/>
            <w:shd w:val="clear" w:color="auto" w:fill="auto"/>
            <w:noWrap/>
            <w:vAlign w:val="bottom"/>
            <w:hideMark/>
          </w:tcPr>
          <w:p w14:paraId="1229C3F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674F3C9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822" w:type="dxa"/>
            <w:shd w:val="clear" w:color="auto" w:fill="auto"/>
            <w:noWrap/>
            <w:vAlign w:val="bottom"/>
            <w:hideMark/>
          </w:tcPr>
          <w:p w14:paraId="65D505C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0.722</w:t>
            </w:r>
          </w:p>
        </w:tc>
        <w:tc>
          <w:tcPr>
            <w:tcW w:w="733" w:type="dxa"/>
            <w:shd w:val="clear" w:color="auto" w:fill="auto"/>
            <w:noWrap/>
            <w:vAlign w:val="bottom"/>
            <w:hideMark/>
          </w:tcPr>
          <w:p w14:paraId="384AE28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c>
          <w:tcPr>
            <w:tcW w:w="794" w:type="dxa"/>
            <w:shd w:val="clear" w:color="auto" w:fill="auto"/>
            <w:noWrap/>
            <w:vAlign w:val="bottom"/>
            <w:hideMark/>
          </w:tcPr>
          <w:p w14:paraId="2BE23DD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-0.65</w:t>
            </w:r>
          </w:p>
        </w:tc>
        <w:tc>
          <w:tcPr>
            <w:tcW w:w="891" w:type="dxa"/>
            <w:shd w:val="clear" w:color="auto" w:fill="auto"/>
            <w:noWrap/>
            <w:vAlign w:val="bottom"/>
            <w:hideMark/>
          </w:tcPr>
          <w:p w14:paraId="216A922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0.351</w:t>
            </w:r>
          </w:p>
        </w:tc>
        <w:tc>
          <w:tcPr>
            <w:tcW w:w="728" w:type="dxa"/>
            <w:shd w:val="clear" w:color="auto" w:fill="auto"/>
            <w:noWrap/>
            <w:vAlign w:val="bottom"/>
            <w:hideMark/>
          </w:tcPr>
          <w:p w14:paraId="1074EAF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7066933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-1.27</w:t>
            </w:r>
          </w:p>
        </w:tc>
        <w:tc>
          <w:tcPr>
            <w:tcW w:w="891" w:type="dxa"/>
            <w:shd w:val="clear" w:color="auto" w:fill="auto"/>
            <w:noWrap/>
            <w:vAlign w:val="bottom"/>
            <w:hideMark/>
          </w:tcPr>
          <w:p w14:paraId="2A2A997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0.371</w:t>
            </w:r>
          </w:p>
        </w:tc>
        <w:tc>
          <w:tcPr>
            <w:tcW w:w="728" w:type="dxa"/>
            <w:shd w:val="clear" w:color="auto" w:fill="auto"/>
            <w:noWrap/>
            <w:vAlign w:val="bottom"/>
            <w:hideMark/>
          </w:tcPr>
          <w:p w14:paraId="3F4F61F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r>
      <w:tr w:rsidR="00423B79" w:rsidRPr="00423B79" w14:paraId="03B375E5" w14:textId="77777777" w:rsidTr="00423B79">
        <w:trPr>
          <w:trHeight w:val="237"/>
        </w:trPr>
        <w:tc>
          <w:tcPr>
            <w:tcW w:w="962" w:type="dxa"/>
            <w:shd w:val="clear" w:color="auto" w:fill="auto"/>
            <w:noWrap/>
            <w:vAlign w:val="bottom"/>
            <w:hideMark/>
          </w:tcPr>
          <w:p w14:paraId="3F91B7C7"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pension</w:t>
            </w:r>
          </w:p>
        </w:tc>
        <w:tc>
          <w:tcPr>
            <w:tcW w:w="859" w:type="dxa"/>
            <w:shd w:val="clear" w:color="auto" w:fill="auto"/>
            <w:noWrap/>
            <w:vAlign w:val="bottom"/>
            <w:hideMark/>
          </w:tcPr>
          <w:p w14:paraId="544425B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5567777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7D5F84A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4709B6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7F06F38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48B9102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7EACA18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3FBD5BD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E79DA2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3F88E23B" w14:textId="77777777" w:rsidTr="00423B79">
        <w:trPr>
          <w:trHeight w:val="237"/>
        </w:trPr>
        <w:tc>
          <w:tcPr>
            <w:tcW w:w="962" w:type="dxa"/>
            <w:shd w:val="clear" w:color="auto" w:fill="auto"/>
            <w:noWrap/>
            <w:vAlign w:val="bottom"/>
            <w:hideMark/>
          </w:tcPr>
          <w:p w14:paraId="16BE969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28A4659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822" w:type="dxa"/>
            <w:shd w:val="clear" w:color="auto" w:fill="auto"/>
            <w:noWrap/>
            <w:vAlign w:val="bottom"/>
            <w:hideMark/>
          </w:tcPr>
          <w:p w14:paraId="45D93A6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0.944</w:t>
            </w:r>
          </w:p>
        </w:tc>
        <w:tc>
          <w:tcPr>
            <w:tcW w:w="733" w:type="dxa"/>
            <w:shd w:val="clear" w:color="auto" w:fill="auto"/>
            <w:noWrap/>
            <w:vAlign w:val="bottom"/>
            <w:hideMark/>
          </w:tcPr>
          <w:p w14:paraId="39A33DC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0.016</w:t>
            </w:r>
          </w:p>
        </w:tc>
        <w:tc>
          <w:tcPr>
            <w:tcW w:w="794" w:type="dxa"/>
            <w:shd w:val="clear" w:color="auto" w:fill="auto"/>
            <w:noWrap/>
            <w:vAlign w:val="bottom"/>
            <w:hideMark/>
          </w:tcPr>
          <w:p w14:paraId="46855DB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1.147</w:t>
            </w:r>
          </w:p>
        </w:tc>
        <w:tc>
          <w:tcPr>
            <w:tcW w:w="891" w:type="dxa"/>
            <w:shd w:val="clear" w:color="auto" w:fill="auto"/>
            <w:noWrap/>
            <w:vAlign w:val="bottom"/>
            <w:hideMark/>
          </w:tcPr>
          <w:p w14:paraId="0568592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0.94</w:t>
            </w:r>
          </w:p>
        </w:tc>
        <w:tc>
          <w:tcPr>
            <w:tcW w:w="728" w:type="dxa"/>
            <w:shd w:val="clear" w:color="auto" w:fill="auto"/>
            <w:noWrap/>
            <w:vAlign w:val="bottom"/>
            <w:hideMark/>
          </w:tcPr>
          <w:p w14:paraId="0F31A8D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794" w:type="dxa"/>
            <w:shd w:val="clear" w:color="auto" w:fill="auto"/>
            <w:noWrap/>
            <w:vAlign w:val="bottom"/>
            <w:hideMark/>
          </w:tcPr>
          <w:p w14:paraId="7F27920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0.143</w:t>
            </w:r>
          </w:p>
        </w:tc>
        <w:tc>
          <w:tcPr>
            <w:tcW w:w="891" w:type="dxa"/>
            <w:shd w:val="clear" w:color="auto" w:fill="auto"/>
            <w:noWrap/>
            <w:vAlign w:val="bottom"/>
            <w:hideMark/>
          </w:tcPr>
          <w:p w14:paraId="2C1AFB4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28" w:type="dxa"/>
            <w:shd w:val="clear" w:color="auto" w:fill="auto"/>
            <w:noWrap/>
            <w:vAlign w:val="bottom"/>
            <w:hideMark/>
          </w:tcPr>
          <w:p w14:paraId="2226A4B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0BAE370A" w14:textId="77777777" w:rsidTr="00423B79">
        <w:trPr>
          <w:trHeight w:val="237"/>
        </w:trPr>
        <w:tc>
          <w:tcPr>
            <w:tcW w:w="962" w:type="dxa"/>
            <w:shd w:val="clear" w:color="auto" w:fill="auto"/>
            <w:noWrap/>
            <w:vAlign w:val="bottom"/>
            <w:hideMark/>
          </w:tcPr>
          <w:p w14:paraId="015BD9A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3BB9F54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822" w:type="dxa"/>
            <w:shd w:val="clear" w:color="auto" w:fill="auto"/>
            <w:noWrap/>
            <w:vAlign w:val="bottom"/>
            <w:hideMark/>
          </w:tcPr>
          <w:p w14:paraId="68033FD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0.772</w:t>
            </w:r>
          </w:p>
        </w:tc>
        <w:tc>
          <w:tcPr>
            <w:tcW w:w="733" w:type="dxa"/>
            <w:shd w:val="clear" w:color="auto" w:fill="auto"/>
            <w:noWrap/>
            <w:vAlign w:val="bottom"/>
            <w:hideMark/>
          </w:tcPr>
          <w:p w14:paraId="5FB5165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794" w:type="dxa"/>
            <w:shd w:val="clear" w:color="auto" w:fill="auto"/>
            <w:noWrap/>
            <w:vAlign w:val="bottom"/>
            <w:hideMark/>
          </w:tcPr>
          <w:p w14:paraId="4127BFE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-0.923</w:t>
            </w:r>
          </w:p>
        </w:tc>
        <w:tc>
          <w:tcPr>
            <w:tcW w:w="891" w:type="dxa"/>
            <w:shd w:val="clear" w:color="auto" w:fill="auto"/>
            <w:noWrap/>
            <w:vAlign w:val="bottom"/>
            <w:hideMark/>
          </w:tcPr>
          <w:p w14:paraId="2CFA041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0.752</w:t>
            </w:r>
          </w:p>
        </w:tc>
        <w:tc>
          <w:tcPr>
            <w:tcW w:w="728" w:type="dxa"/>
            <w:shd w:val="clear" w:color="auto" w:fill="auto"/>
            <w:noWrap/>
            <w:vAlign w:val="bottom"/>
            <w:hideMark/>
          </w:tcPr>
          <w:p w14:paraId="0E7CCEC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794" w:type="dxa"/>
            <w:shd w:val="clear" w:color="auto" w:fill="auto"/>
            <w:noWrap/>
            <w:vAlign w:val="bottom"/>
            <w:hideMark/>
          </w:tcPr>
          <w:p w14:paraId="6514DCD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0.284</w:t>
            </w:r>
          </w:p>
        </w:tc>
        <w:tc>
          <w:tcPr>
            <w:tcW w:w="891" w:type="dxa"/>
            <w:shd w:val="clear" w:color="auto" w:fill="auto"/>
            <w:noWrap/>
            <w:vAlign w:val="bottom"/>
            <w:hideMark/>
          </w:tcPr>
          <w:p w14:paraId="6C69015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w:t>
            </w:r>
          </w:p>
        </w:tc>
        <w:tc>
          <w:tcPr>
            <w:tcW w:w="728" w:type="dxa"/>
            <w:shd w:val="clear" w:color="auto" w:fill="auto"/>
            <w:noWrap/>
            <w:vAlign w:val="bottom"/>
            <w:hideMark/>
          </w:tcPr>
          <w:p w14:paraId="136458C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33BFFB2C" w14:textId="77777777" w:rsidTr="00423B79">
        <w:trPr>
          <w:trHeight w:val="237"/>
        </w:trPr>
        <w:tc>
          <w:tcPr>
            <w:tcW w:w="962" w:type="dxa"/>
            <w:shd w:val="clear" w:color="auto" w:fill="auto"/>
            <w:noWrap/>
            <w:vAlign w:val="bottom"/>
            <w:hideMark/>
          </w:tcPr>
          <w:p w14:paraId="35823A5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600444C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0.007</w:t>
            </w:r>
          </w:p>
        </w:tc>
        <w:tc>
          <w:tcPr>
            <w:tcW w:w="822" w:type="dxa"/>
            <w:shd w:val="clear" w:color="auto" w:fill="auto"/>
            <w:noWrap/>
            <w:vAlign w:val="bottom"/>
            <w:hideMark/>
          </w:tcPr>
          <w:p w14:paraId="1ECED90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0.809</w:t>
            </w:r>
          </w:p>
        </w:tc>
        <w:tc>
          <w:tcPr>
            <w:tcW w:w="733" w:type="dxa"/>
            <w:shd w:val="clear" w:color="auto" w:fill="auto"/>
            <w:noWrap/>
            <w:vAlign w:val="bottom"/>
            <w:hideMark/>
          </w:tcPr>
          <w:p w14:paraId="0069133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794" w:type="dxa"/>
            <w:shd w:val="clear" w:color="auto" w:fill="auto"/>
            <w:noWrap/>
            <w:vAlign w:val="bottom"/>
            <w:hideMark/>
          </w:tcPr>
          <w:p w14:paraId="5A1258B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-1.253</w:t>
            </w:r>
          </w:p>
        </w:tc>
        <w:tc>
          <w:tcPr>
            <w:tcW w:w="891" w:type="dxa"/>
            <w:shd w:val="clear" w:color="auto" w:fill="auto"/>
            <w:noWrap/>
            <w:vAlign w:val="bottom"/>
            <w:hideMark/>
          </w:tcPr>
          <w:p w14:paraId="0CE1CEA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0.717</w:t>
            </w:r>
          </w:p>
        </w:tc>
        <w:tc>
          <w:tcPr>
            <w:tcW w:w="728" w:type="dxa"/>
            <w:shd w:val="clear" w:color="auto" w:fill="auto"/>
            <w:noWrap/>
            <w:vAlign w:val="bottom"/>
            <w:hideMark/>
          </w:tcPr>
          <w:p w14:paraId="4DC2B08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794" w:type="dxa"/>
            <w:shd w:val="clear" w:color="auto" w:fill="auto"/>
            <w:noWrap/>
            <w:vAlign w:val="bottom"/>
            <w:hideMark/>
          </w:tcPr>
          <w:p w14:paraId="40FB9B5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-0.855</w:t>
            </w:r>
          </w:p>
        </w:tc>
        <w:tc>
          <w:tcPr>
            <w:tcW w:w="891" w:type="dxa"/>
            <w:shd w:val="clear" w:color="auto" w:fill="auto"/>
            <w:noWrap/>
            <w:vAlign w:val="bottom"/>
            <w:hideMark/>
          </w:tcPr>
          <w:p w14:paraId="0F83201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0.092</w:t>
            </w:r>
          </w:p>
        </w:tc>
        <w:tc>
          <w:tcPr>
            <w:tcW w:w="728" w:type="dxa"/>
            <w:shd w:val="clear" w:color="auto" w:fill="auto"/>
            <w:noWrap/>
            <w:vAlign w:val="bottom"/>
            <w:hideMark/>
          </w:tcPr>
          <w:p w14:paraId="3472D0C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r>
      <w:tr w:rsidR="00423B79" w:rsidRPr="00423B79" w14:paraId="5F48711D" w14:textId="77777777" w:rsidTr="00423B79">
        <w:trPr>
          <w:trHeight w:val="237"/>
        </w:trPr>
        <w:tc>
          <w:tcPr>
            <w:tcW w:w="962" w:type="dxa"/>
            <w:shd w:val="clear" w:color="auto" w:fill="auto"/>
            <w:noWrap/>
            <w:vAlign w:val="bottom"/>
            <w:hideMark/>
          </w:tcPr>
          <w:p w14:paraId="6713862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prison</w:t>
            </w:r>
          </w:p>
        </w:tc>
        <w:tc>
          <w:tcPr>
            <w:tcW w:w="859" w:type="dxa"/>
            <w:shd w:val="clear" w:color="auto" w:fill="auto"/>
            <w:noWrap/>
            <w:vAlign w:val="bottom"/>
            <w:hideMark/>
          </w:tcPr>
          <w:p w14:paraId="730E3E5D"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047B587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0AFDAF9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146E07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571E2B8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3B79461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3681DA7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EA6A40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49EE8A9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686B25BC" w14:textId="77777777" w:rsidTr="00423B79">
        <w:trPr>
          <w:trHeight w:val="237"/>
        </w:trPr>
        <w:tc>
          <w:tcPr>
            <w:tcW w:w="962" w:type="dxa"/>
            <w:shd w:val="clear" w:color="auto" w:fill="auto"/>
            <w:noWrap/>
            <w:vAlign w:val="bottom"/>
            <w:hideMark/>
          </w:tcPr>
          <w:p w14:paraId="79285BB2"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1C52A6A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822" w:type="dxa"/>
            <w:shd w:val="clear" w:color="auto" w:fill="auto"/>
            <w:noWrap/>
            <w:vAlign w:val="bottom"/>
            <w:hideMark/>
          </w:tcPr>
          <w:p w14:paraId="29D089E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0.608</w:t>
            </w:r>
          </w:p>
        </w:tc>
        <w:tc>
          <w:tcPr>
            <w:tcW w:w="733" w:type="dxa"/>
            <w:shd w:val="clear" w:color="auto" w:fill="auto"/>
            <w:noWrap/>
            <w:vAlign w:val="bottom"/>
            <w:hideMark/>
          </w:tcPr>
          <w:p w14:paraId="4047E51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794" w:type="dxa"/>
            <w:shd w:val="clear" w:color="auto" w:fill="auto"/>
            <w:noWrap/>
            <w:vAlign w:val="bottom"/>
            <w:hideMark/>
          </w:tcPr>
          <w:p w14:paraId="212DAD8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0.427</w:t>
            </w:r>
          </w:p>
        </w:tc>
        <w:tc>
          <w:tcPr>
            <w:tcW w:w="891" w:type="dxa"/>
            <w:shd w:val="clear" w:color="auto" w:fill="auto"/>
            <w:noWrap/>
            <w:vAlign w:val="bottom"/>
            <w:hideMark/>
          </w:tcPr>
          <w:p w14:paraId="7067EB8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0.606</w:t>
            </w:r>
          </w:p>
        </w:tc>
        <w:tc>
          <w:tcPr>
            <w:tcW w:w="728" w:type="dxa"/>
            <w:shd w:val="clear" w:color="auto" w:fill="auto"/>
            <w:noWrap/>
            <w:vAlign w:val="bottom"/>
            <w:hideMark/>
          </w:tcPr>
          <w:p w14:paraId="5DC2F30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1AF1554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0.051</w:t>
            </w:r>
          </w:p>
        </w:tc>
        <w:tc>
          <w:tcPr>
            <w:tcW w:w="891" w:type="dxa"/>
            <w:shd w:val="clear" w:color="auto" w:fill="auto"/>
            <w:noWrap/>
            <w:vAlign w:val="bottom"/>
            <w:hideMark/>
          </w:tcPr>
          <w:p w14:paraId="3761CF4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728" w:type="dxa"/>
            <w:shd w:val="clear" w:color="auto" w:fill="auto"/>
            <w:noWrap/>
            <w:vAlign w:val="bottom"/>
            <w:hideMark/>
          </w:tcPr>
          <w:p w14:paraId="3E589C2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48863E2B" w14:textId="77777777" w:rsidTr="00423B79">
        <w:trPr>
          <w:trHeight w:val="237"/>
        </w:trPr>
        <w:tc>
          <w:tcPr>
            <w:tcW w:w="962" w:type="dxa"/>
            <w:shd w:val="clear" w:color="auto" w:fill="auto"/>
            <w:noWrap/>
            <w:vAlign w:val="bottom"/>
            <w:hideMark/>
          </w:tcPr>
          <w:p w14:paraId="7193858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4376328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822" w:type="dxa"/>
            <w:shd w:val="clear" w:color="auto" w:fill="auto"/>
            <w:noWrap/>
            <w:vAlign w:val="bottom"/>
            <w:hideMark/>
          </w:tcPr>
          <w:p w14:paraId="287E598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0.715</w:t>
            </w:r>
          </w:p>
        </w:tc>
        <w:tc>
          <w:tcPr>
            <w:tcW w:w="733" w:type="dxa"/>
            <w:shd w:val="clear" w:color="auto" w:fill="auto"/>
            <w:noWrap/>
            <w:vAlign w:val="bottom"/>
            <w:hideMark/>
          </w:tcPr>
          <w:p w14:paraId="123CCDF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794" w:type="dxa"/>
            <w:shd w:val="clear" w:color="auto" w:fill="auto"/>
            <w:noWrap/>
            <w:vAlign w:val="bottom"/>
            <w:hideMark/>
          </w:tcPr>
          <w:p w14:paraId="41B601E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-1.628</w:t>
            </w:r>
          </w:p>
        </w:tc>
        <w:tc>
          <w:tcPr>
            <w:tcW w:w="891" w:type="dxa"/>
            <w:shd w:val="clear" w:color="auto" w:fill="auto"/>
            <w:noWrap/>
            <w:vAlign w:val="bottom"/>
            <w:hideMark/>
          </w:tcPr>
          <w:p w14:paraId="7E73C2D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0.674</w:t>
            </w:r>
          </w:p>
        </w:tc>
        <w:tc>
          <w:tcPr>
            <w:tcW w:w="728" w:type="dxa"/>
            <w:shd w:val="clear" w:color="auto" w:fill="auto"/>
            <w:noWrap/>
            <w:vAlign w:val="bottom"/>
            <w:hideMark/>
          </w:tcPr>
          <w:p w14:paraId="3A06E70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794" w:type="dxa"/>
            <w:shd w:val="clear" w:color="auto" w:fill="auto"/>
            <w:noWrap/>
            <w:vAlign w:val="bottom"/>
            <w:hideMark/>
          </w:tcPr>
          <w:p w14:paraId="35DAF76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-0.762</w:t>
            </w:r>
          </w:p>
        </w:tc>
        <w:tc>
          <w:tcPr>
            <w:tcW w:w="891" w:type="dxa"/>
            <w:shd w:val="clear" w:color="auto" w:fill="auto"/>
            <w:noWrap/>
            <w:vAlign w:val="bottom"/>
            <w:hideMark/>
          </w:tcPr>
          <w:p w14:paraId="2C51F2C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0.041</w:t>
            </w:r>
          </w:p>
        </w:tc>
        <w:tc>
          <w:tcPr>
            <w:tcW w:w="728" w:type="dxa"/>
            <w:shd w:val="clear" w:color="auto" w:fill="auto"/>
            <w:noWrap/>
            <w:vAlign w:val="bottom"/>
            <w:hideMark/>
          </w:tcPr>
          <w:p w14:paraId="5EDC67C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645EFC5B" w14:textId="77777777" w:rsidTr="00423B79">
        <w:trPr>
          <w:trHeight w:val="237"/>
        </w:trPr>
        <w:tc>
          <w:tcPr>
            <w:tcW w:w="962" w:type="dxa"/>
            <w:shd w:val="clear" w:color="auto" w:fill="auto"/>
            <w:noWrap/>
            <w:vAlign w:val="bottom"/>
            <w:hideMark/>
          </w:tcPr>
          <w:p w14:paraId="610BE1A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1FDC519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623378E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0.333</w:t>
            </w:r>
          </w:p>
        </w:tc>
        <w:tc>
          <w:tcPr>
            <w:tcW w:w="733" w:type="dxa"/>
            <w:shd w:val="clear" w:color="auto" w:fill="auto"/>
            <w:noWrap/>
            <w:vAlign w:val="bottom"/>
            <w:hideMark/>
          </w:tcPr>
          <w:p w14:paraId="6BB22EB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794" w:type="dxa"/>
            <w:shd w:val="clear" w:color="auto" w:fill="auto"/>
            <w:noWrap/>
            <w:vAlign w:val="bottom"/>
            <w:hideMark/>
          </w:tcPr>
          <w:p w14:paraId="2DB681B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-0.529</w:t>
            </w:r>
          </w:p>
        </w:tc>
        <w:tc>
          <w:tcPr>
            <w:tcW w:w="891" w:type="dxa"/>
            <w:shd w:val="clear" w:color="auto" w:fill="auto"/>
            <w:noWrap/>
            <w:vAlign w:val="bottom"/>
            <w:hideMark/>
          </w:tcPr>
          <w:p w14:paraId="4D9BFB1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0.329</w:t>
            </w:r>
          </w:p>
        </w:tc>
        <w:tc>
          <w:tcPr>
            <w:tcW w:w="728" w:type="dxa"/>
            <w:shd w:val="clear" w:color="auto" w:fill="auto"/>
            <w:noWrap/>
            <w:vAlign w:val="bottom"/>
            <w:hideMark/>
          </w:tcPr>
          <w:p w14:paraId="73FD5E0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5A0C175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0.119</w:t>
            </w:r>
          </w:p>
        </w:tc>
        <w:tc>
          <w:tcPr>
            <w:tcW w:w="891" w:type="dxa"/>
            <w:shd w:val="clear" w:color="auto" w:fill="auto"/>
            <w:noWrap/>
            <w:vAlign w:val="bottom"/>
            <w:hideMark/>
          </w:tcPr>
          <w:p w14:paraId="1CE9443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728" w:type="dxa"/>
            <w:shd w:val="clear" w:color="auto" w:fill="auto"/>
            <w:noWrap/>
            <w:vAlign w:val="bottom"/>
            <w:hideMark/>
          </w:tcPr>
          <w:p w14:paraId="3BEBE93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330FBCF6" w14:textId="77777777" w:rsidTr="00423B79">
        <w:trPr>
          <w:trHeight w:val="237"/>
        </w:trPr>
        <w:tc>
          <w:tcPr>
            <w:tcW w:w="962" w:type="dxa"/>
            <w:shd w:val="clear" w:color="auto" w:fill="auto"/>
            <w:noWrap/>
            <w:vAlign w:val="bottom"/>
            <w:hideMark/>
          </w:tcPr>
          <w:p w14:paraId="2B04284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homicide</w:t>
            </w:r>
          </w:p>
        </w:tc>
        <w:tc>
          <w:tcPr>
            <w:tcW w:w="859" w:type="dxa"/>
            <w:shd w:val="clear" w:color="auto" w:fill="auto"/>
            <w:noWrap/>
            <w:vAlign w:val="bottom"/>
            <w:hideMark/>
          </w:tcPr>
          <w:p w14:paraId="598A9B0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356AA7A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57AE5D0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7349C1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18549BBC"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00E7476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3ABE90E"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35188A5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0980F3A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174AC3C9" w14:textId="77777777" w:rsidTr="00423B79">
        <w:trPr>
          <w:trHeight w:val="237"/>
        </w:trPr>
        <w:tc>
          <w:tcPr>
            <w:tcW w:w="962" w:type="dxa"/>
            <w:shd w:val="clear" w:color="auto" w:fill="auto"/>
            <w:noWrap/>
            <w:vAlign w:val="bottom"/>
            <w:hideMark/>
          </w:tcPr>
          <w:p w14:paraId="7DD0EFCC"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538C5B6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0.019</w:t>
            </w:r>
          </w:p>
        </w:tc>
        <w:tc>
          <w:tcPr>
            <w:tcW w:w="822" w:type="dxa"/>
            <w:shd w:val="clear" w:color="auto" w:fill="auto"/>
            <w:noWrap/>
            <w:vAlign w:val="bottom"/>
            <w:hideMark/>
          </w:tcPr>
          <w:p w14:paraId="4A9C10E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0.225</w:t>
            </w:r>
          </w:p>
        </w:tc>
        <w:tc>
          <w:tcPr>
            <w:tcW w:w="733" w:type="dxa"/>
            <w:shd w:val="clear" w:color="auto" w:fill="auto"/>
            <w:noWrap/>
            <w:vAlign w:val="bottom"/>
            <w:hideMark/>
          </w:tcPr>
          <w:p w14:paraId="60406EF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22EEC54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0.12</w:t>
            </w:r>
          </w:p>
        </w:tc>
        <w:tc>
          <w:tcPr>
            <w:tcW w:w="891" w:type="dxa"/>
            <w:shd w:val="clear" w:color="auto" w:fill="auto"/>
            <w:noWrap/>
            <w:vAlign w:val="bottom"/>
            <w:hideMark/>
          </w:tcPr>
          <w:p w14:paraId="3D13788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0.052</w:t>
            </w:r>
          </w:p>
        </w:tc>
        <w:tc>
          <w:tcPr>
            <w:tcW w:w="728" w:type="dxa"/>
            <w:shd w:val="clear" w:color="auto" w:fill="auto"/>
            <w:noWrap/>
            <w:vAlign w:val="bottom"/>
            <w:hideMark/>
          </w:tcPr>
          <w:p w14:paraId="2F02D7C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94" w:type="dxa"/>
            <w:shd w:val="clear" w:color="auto" w:fill="auto"/>
            <w:noWrap/>
            <w:vAlign w:val="bottom"/>
            <w:hideMark/>
          </w:tcPr>
          <w:p w14:paraId="1B1D1B9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-0.418</w:t>
            </w:r>
          </w:p>
        </w:tc>
        <w:tc>
          <w:tcPr>
            <w:tcW w:w="891" w:type="dxa"/>
            <w:shd w:val="clear" w:color="auto" w:fill="auto"/>
            <w:noWrap/>
            <w:vAlign w:val="bottom"/>
            <w:hideMark/>
          </w:tcPr>
          <w:p w14:paraId="46B7C34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0.174</w:t>
            </w:r>
          </w:p>
        </w:tc>
        <w:tc>
          <w:tcPr>
            <w:tcW w:w="728" w:type="dxa"/>
            <w:shd w:val="clear" w:color="auto" w:fill="auto"/>
            <w:noWrap/>
            <w:vAlign w:val="bottom"/>
            <w:hideMark/>
          </w:tcPr>
          <w:p w14:paraId="12CB2B5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r>
      <w:tr w:rsidR="00423B79" w:rsidRPr="00423B79" w14:paraId="2EC2007D" w14:textId="77777777" w:rsidTr="00423B79">
        <w:trPr>
          <w:trHeight w:val="237"/>
        </w:trPr>
        <w:tc>
          <w:tcPr>
            <w:tcW w:w="962" w:type="dxa"/>
            <w:shd w:val="clear" w:color="auto" w:fill="auto"/>
            <w:noWrap/>
            <w:vAlign w:val="bottom"/>
            <w:hideMark/>
          </w:tcPr>
          <w:p w14:paraId="2A45B051"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4E89D30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822" w:type="dxa"/>
            <w:shd w:val="clear" w:color="auto" w:fill="auto"/>
            <w:noWrap/>
            <w:vAlign w:val="bottom"/>
            <w:hideMark/>
          </w:tcPr>
          <w:p w14:paraId="187208A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0.877</w:t>
            </w:r>
          </w:p>
        </w:tc>
        <w:tc>
          <w:tcPr>
            <w:tcW w:w="733" w:type="dxa"/>
            <w:shd w:val="clear" w:color="auto" w:fill="auto"/>
            <w:noWrap/>
            <w:vAlign w:val="bottom"/>
            <w:hideMark/>
          </w:tcPr>
          <w:p w14:paraId="69C2458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5CF256F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-1.263</w:t>
            </w:r>
          </w:p>
        </w:tc>
        <w:tc>
          <w:tcPr>
            <w:tcW w:w="891" w:type="dxa"/>
            <w:shd w:val="clear" w:color="auto" w:fill="auto"/>
            <w:noWrap/>
            <w:vAlign w:val="bottom"/>
            <w:hideMark/>
          </w:tcPr>
          <w:p w14:paraId="57FEEC1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0.844</w:t>
            </w:r>
          </w:p>
        </w:tc>
        <w:tc>
          <w:tcPr>
            <w:tcW w:w="728" w:type="dxa"/>
            <w:shd w:val="clear" w:color="auto" w:fill="auto"/>
            <w:noWrap/>
            <w:vAlign w:val="bottom"/>
            <w:hideMark/>
          </w:tcPr>
          <w:p w14:paraId="69B313B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0.017</w:t>
            </w:r>
          </w:p>
        </w:tc>
        <w:tc>
          <w:tcPr>
            <w:tcW w:w="794" w:type="dxa"/>
            <w:shd w:val="clear" w:color="auto" w:fill="auto"/>
            <w:noWrap/>
            <w:vAlign w:val="bottom"/>
            <w:hideMark/>
          </w:tcPr>
          <w:p w14:paraId="1607BDD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0.474</w:t>
            </w:r>
          </w:p>
        </w:tc>
        <w:tc>
          <w:tcPr>
            <w:tcW w:w="891" w:type="dxa"/>
            <w:shd w:val="clear" w:color="auto" w:fill="auto"/>
            <w:noWrap/>
            <w:vAlign w:val="bottom"/>
            <w:hideMark/>
          </w:tcPr>
          <w:p w14:paraId="420A34E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0.033</w:t>
            </w:r>
          </w:p>
        </w:tc>
        <w:tc>
          <w:tcPr>
            <w:tcW w:w="728" w:type="dxa"/>
            <w:shd w:val="clear" w:color="auto" w:fill="auto"/>
            <w:noWrap/>
            <w:vAlign w:val="bottom"/>
            <w:hideMark/>
          </w:tcPr>
          <w:p w14:paraId="1C9C2EF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39DF93A8" w14:textId="77777777" w:rsidTr="00423B79">
        <w:trPr>
          <w:trHeight w:val="237"/>
        </w:trPr>
        <w:tc>
          <w:tcPr>
            <w:tcW w:w="962" w:type="dxa"/>
            <w:shd w:val="clear" w:color="auto" w:fill="auto"/>
            <w:noWrap/>
            <w:vAlign w:val="bottom"/>
            <w:hideMark/>
          </w:tcPr>
          <w:p w14:paraId="6399779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118D3D2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0.008</w:t>
            </w:r>
          </w:p>
        </w:tc>
        <w:tc>
          <w:tcPr>
            <w:tcW w:w="822" w:type="dxa"/>
            <w:shd w:val="clear" w:color="auto" w:fill="auto"/>
            <w:noWrap/>
            <w:vAlign w:val="bottom"/>
            <w:hideMark/>
          </w:tcPr>
          <w:p w14:paraId="726F2F6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w:t>
            </w:r>
          </w:p>
        </w:tc>
        <w:tc>
          <w:tcPr>
            <w:tcW w:w="733" w:type="dxa"/>
            <w:shd w:val="clear" w:color="auto" w:fill="auto"/>
            <w:noWrap/>
            <w:vAlign w:val="bottom"/>
            <w:hideMark/>
          </w:tcPr>
          <w:p w14:paraId="2E7B158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42F6C1D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1.453</w:t>
            </w:r>
          </w:p>
        </w:tc>
        <w:tc>
          <w:tcPr>
            <w:tcW w:w="891" w:type="dxa"/>
            <w:shd w:val="clear" w:color="auto" w:fill="auto"/>
            <w:noWrap/>
            <w:vAlign w:val="bottom"/>
            <w:hideMark/>
          </w:tcPr>
          <w:p w14:paraId="0F76A24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0.785</w:t>
            </w:r>
          </w:p>
        </w:tc>
        <w:tc>
          <w:tcPr>
            <w:tcW w:w="728" w:type="dxa"/>
            <w:shd w:val="clear" w:color="auto" w:fill="auto"/>
            <w:noWrap/>
            <w:vAlign w:val="bottom"/>
            <w:hideMark/>
          </w:tcPr>
          <w:p w14:paraId="553D5E5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0.016</w:t>
            </w:r>
          </w:p>
        </w:tc>
        <w:tc>
          <w:tcPr>
            <w:tcW w:w="794" w:type="dxa"/>
            <w:shd w:val="clear" w:color="auto" w:fill="auto"/>
            <w:noWrap/>
            <w:vAlign w:val="bottom"/>
            <w:hideMark/>
          </w:tcPr>
          <w:p w14:paraId="2E58AE1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0.374</w:t>
            </w:r>
          </w:p>
        </w:tc>
        <w:tc>
          <w:tcPr>
            <w:tcW w:w="891" w:type="dxa"/>
            <w:shd w:val="clear" w:color="auto" w:fill="auto"/>
            <w:noWrap/>
            <w:vAlign w:val="bottom"/>
            <w:hideMark/>
          </w:tcPr>
          <w:p w14:paraId="1B1C29B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0.014</w:t>
            </w:r>
          </w:p>
        </w:tc>
        <w:tc>
          <w:tcPr>
            <w:tcW w:w="728" w:type="dxa"/>
            <w:shd w:val="clear" w:color="auto" w:fill="auto"/>
            <w:noWrap/>
            <w:vAlign w:val="bottom"/>
            <w:hideMark/>
          </w:tcPr>
          <w:p w14:paraId="2279E8A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2E42EFD6" w14:textId="77777777" w:rsidTr="00423B79">
        <w:trPr>
          <w:trHeight w:val="237"/>
        </w:trPr>
        <w:tc>
          <w:tcPr>
            <w:tcW w:w="962" w:type="dxa"/>
            <w:shd w:val="clear" w:color="auto" w:fill="auto"/>
            <w:noWrap/>
            <w:vAlign w:val="bottom"/>
            <w:hideMark/>
          </w:tcPr>
          <w:p w14:paraId="51305BF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diet</w:t>
            </w:r>
          </w:p>
        </w:tc>
        <w:tc>
          <w:tcPr>
            <w:tcW w:w="859" w:type="dxa"/>
            <w:shd w:val="clear" w:color="auto" w:fill="auto"/>
            <w:noWrap/>
            <w:vAlign w:val="bottom"/>
            <w:hideMark/>
          </w:tcPr>
          <w:p w14:paraId="4744D498"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369C981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3083B87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849A991"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4CFAF9D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34E8E1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07AE9115"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4F007BFD"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60A17CF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0149715C" w14:textId="77777777" w:rsidTr="00423B79">
        <w:trPr>
          <w:trHeight w:val="237"/>
        </w:trPr>
        <w:tc>
          <w:tcPr>
            <w:tcW w:w="962" w:type="dxa"/>
            <w:shd w:val="clear" w:color="auto" w:fill="auto"/>
            <w:noWrap/>
            <w:vAlign w:val="bottom"/>
            <w:hideMark/>
          </w:tcPr>
          <w:p w14:paraId="58F7A6C1"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2FC514E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822" w:type="dxa"/>
            <w:shd w:val="clear" w:color="auto" w:fill="auto"/>
            <w:noWrap/>
            <w:vAlign w:val="bottom"/>
            <w:hideMark/>
          </w:tcPr>
          <w:p w14:paraId="36C0A7A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0.952</w:t>
            </w:r>
          </w:p>
        </w:tc>
        <w:tc>
          <w:tcPr>
            <w:tcW w:w="733" w:type="dxa"/>
            <w:shd w:val="clear" w:color="auto" w:fill="auto"/>
            <w:noWrap/>
            <w:vAlign w:val="bottom"/>
            <w:hideMark/>
          </w:tcPr>
          <w:p w14:paraId="17EBBC0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794" w:type="dxa"/>
            <w:shd w:val="clear" w:color="auto" w:fill="auto"/>
            <w:noWrap/>
            <w:vAlign w:val="bottom"/>
            <w:hideMark/>
          </w:tcPr>
          <w:p w14:paraId="4999520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0.761</w:t>
            </w:r>
          </w:p>
        </w:tc>
        <w:tc>
          <w:tcPr>
            <w:tcW w:w="891" w:type="dxa"/>
            <w:shd w:val="clear" w:color="auto" w:fill="auto"/>
            <w:noWrap/>
            <w:vAlign w:val="bottom"/>
            <w:hideMark/>
          </w:tcPr>
          <w:p w14:paraId="19EBB4B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0.916</w:t>
            </w:r>
          </w:p>
        </w:tc>
        <w:tc>
          <w:tcPr>
            <w:tcW w:w="728" w:type="dxa"/>
            <w:shd w:val="clear" w:color="auto" w:fill="auto"/>
            <w:noWrap/>
            <w:vAlign w:val="bottom"/>
            <w:hideMark/>
          </w:tcPr>
          <w:p w14:paraId="028003A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0419FD1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-0.286</w:t>
            </w:r>
          </w:p>
        </w:tc>
        <w:tc>
          <w:tcPr>
            <w:tcW w:w="891" w:type="dxa"/>
            <w:shd w:val="clear" w:color="auto" w:fill="auto"/>
            <w:noWrap/>
            <w:vAlign w:val="bottom"/>
            <w:hideMark/>
          </w:tcPr>
          <w:p w14:paraId="740EE46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0.036</w:t>
            </w:r>
          </w:p>
        </w:tc>
        <w:tc>
          <w:tcPr>
            <w:tcW w:w="728" w:type="dxa"/>
            <w:shd w:val="clear" w:color="auto" w:fill="auto"/>
            <w:noWrap/>
            <w:vAlign w:val="bottom"/>
            <w:hideMark/>
          </w:tcPr>
          <w:p w14:paraId="7A5DF33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5F661AF8" w14:textId="77777777" w:rsidTr="00423B79">
        <w:trPr>
          <w:trHeight w:val="237"/>
        </w:trPr>
        <w:tc>
          <w:tcPr>
            <w:tcW w:w="962" w:type="dxa"/>
            <w:shd w:val="clear" w:color="auto" w:fill="auto"/>
            <w:noWrap/>
            <w:vAlign w:val="bottom"/>
            <w:hideMark/>
          </w:tcPr>
          <w:p w14:paraId="798E962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6E24790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0.006</w:t>
            </w:r>
          </w:p>
        </w:tc>
        <w:tc>
          <w:tcPr>
            <w:tcW w:w="822" w:type="dxa"/>
            <w:shd w:val="clear" w:color="auto" w:fill="auto"/>
            <w:noWrap/>
            <w:vAlign w:val="bottom"/>
            <w:hideMark/>
          </w:tcPr>
          <w:p w14:paraId="0843821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0.818</w:t>
            </w:r>
          </w:p>
        </w:tc>
        <w:tc>
          <w:tcPr>
            <w:tcW w:w="733" w:type="dxa"/>
            <w:shd w:val="clear" w:color="auto" w:fill="auto"/>
            <w:noWrap/>
            <w:vAlign w:val="bottom"/>
            <w:hideMark/>
          </w:tcPr>
          <w:p w14:paraId="20E1AA8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0.007</w:t>
            </w:r>
          </w:p>
        </w:tc>
        <w:tc>
          <w:tcPr>
            <w:tcW w:w="794" w:type="dxa"/>
            <w:shd w:val="clear" w:color="auto" w:fill="auto"/>
            <w:noWrap/>
            <w:vAlign w:val="bottom"/>
            <w:hideMark/>
          </w:tcPr>
          <w:p w14:paraId="0C56F90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-0.942</w:t>
            </w:r>
          </w:p>
        </w:tc>
        <w:tc>
          <w:tcPr>
            <w:tcW w:w="891" w:type="dxa"/>
            <w:shd w:val="clear" w:color="auto" w:fill="auto"/>
            <w:noWrap/>
            <w:vAlign w:val="bottom"/>
            <w:hideMark/>
          </w:tcPr>
          <w:p w14:paraId="7F9C0CB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0.489</w:t>
            </w:r>
          </w:p>
        </w:tc>
        <w:tc>
          <w:tcPr>
            <w:tcW w:w="728" w:type="dxa"/>
            <w:shd w:val="clear" w:color="auto" w:fill="auto"/>
            <w:noWrap/>
            <w:vAlign w:val="bottom"/>
            <w:hideMark/>
          </w:tcPr>
          <w:p w14:paraId="20A0581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0.005</w:t>
            </w:r>
          </w:p>
        </w:tc>
        <w:tc>
          <w:tcPr>
            <w:tcW w:w="794" w:type="dxa"/>
            <w:shd w:val="clear" w:color="auto" w:fill="auto"/>
            <w:noWrap/>
            <w:vAlign w:val="bottom"/>
            <w:hideMark/>
          </w:tcPr>
          <w:p w14:paraId="425F559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1.467</w:t>
            </w:r>
          </w:p>
        </w:tc>
        <w:tc>
          <w:tcPr>
            <w:tcW w:w="891" w:type="dxa"/>
            <w:shd w:val="clear" w:color="auto" w:fill="auto"/>
            <w:noWrap/>
            <w:vAlign w:val="bottom"/>
            <w:hideMark/>
          </w:tcPr>
          <w:p w14:paraId="5E649F9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0.329</w:t>
            </w:r>
          </w:p>
        </w:tc>
        <w:tc>
          <w:tcPr>
            <w:tcW w:w="728" w:type="dxa"/>
            <w:shd w:val="clear" w:color="auto" w:fill="auto"/>
            <w:noWrap/>
            <w:vAlign w:val="bottom"/>
            <w:hideMark/>
          </w:tcPr>
          <w:p w14:paraId="554BFE4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r>
      <w:tr w:rsidR="00423B79" w:rsidRPr="00423B79" w14:paraId="25453471" w14:textId="77777777" w:rsidTr="00423B79">
        <w:trPr>
          <w:trHeight w:val="237"/>
        </w:trPr>
        <w:tc>
          <w:tcPr>
            <w:tcW w:w="962" w:type="dxa"/>
            <w:shd w:val="clear" w:color="auto" w:fill="auto"/>
            <w:noWrap/>
            <w:vAlign w:val="bottom"/>
            <w:hideMark/>
          </w:tcPr>
          <w:p w14:paraId="6B2572A2"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16ABA93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822" w:type="dxa"/>
            <w:shd w:val="clear" w:color="auto" w:fill="auto"/>
            <w:noWrap/>
            <w:vAlign w:val="bottom"/>
            <w:hideMark/>
          </w:tcPr>
          <w:p w14:paraId="5286657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0.908</w:t>
            </w:r>
          </w:p>
        </w:tc>
        <w:tc>
          <w:tcPr>
            <w:tcW w:w="733" w:type="dxa"/>
            <w:shd w:val="clear" w:color="auto" w:fill="auto"/>
            <w:noWrap/>
            <w:vAlign w:val="bottom"/>
            <w:hideMark/>
          </w:tcPr>
          <w:p w14:paraId="08F0381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794" w:type="dxa"/>
            <w:shd w:val="clear" w:color="auto" w:fill="auto"/>
            <w:noWrap/>
            <w:vAlign w:val="bottom"/>
            <w:hideMark/>
          </w:tcPr>
          <w:p w14:paraId="02A48F5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-1.299</w:t>
            </w:r>
          </w:p>
        </w:tc>
        <w:tc>
          <w:tcPr>
            <w:tcW w:w="891" w:type="dxa"/>
            <w:shd w:val="clear" w:color="auto" w:fill="auto"/>
            <w:noWrap/>
            <w:vAlign w:val="bottom"/>
            <w:hideMark/>
          </w:tcPr>
          <w:p w14:paraId="7E1CC7C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0.898</w:t>
            </w:r>
          </w:p>
        </w:tc>
        <w:tc>
          <w:tcPr>
            <w:tcW w:w="728" w:type="dxa"/>
            <w:shd w:val="clear" w:color="auto" w:fill="auto"/>
            <w:noWrap/>
            <w:vAlign w:val="bottom"/>
            <w:hideMark/>
          </w:tcPr>
          <w:p w14:paraId="3129648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0.015</w:t>
            </w:r>
          </w:p>
        </w:tc>
        <w:tc>
          <w:tcPr>
            <w:tcW w:w="794" w:type="dxa"/>
            <w:shd w:val="clear" w:color="auto" w:fill="auto"/>
            <w:noWrap/>
            <w:vAlign w:val="bottom"/>
            <w:hideMark/>
          </w:tcPr>
          <w:p w14:paraId="1C027F3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-0.253</w:t>
            </w:r>
          </w:p>
        </w:tc>
        <w:tc>
          <w:tcPr>
            <w:tcW w:w="891" w:type="dxa"/>
            <w:shd w:val="clear" w:color="auto" w:fill="auto"/>
            <w:noWrap/>
            <w:vAlign w:val="bottom"/>
            <w:hideMark/>
          </w:tcPr>
          <w:p w14:paraId="26D7113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c>
          <w:tcPr>
            <w:tcW w:w="728" w:type="dxa"/>
            <w:shd w:val="clear" w:color="auto" w:fill="auto"/>
            <w:noWrap/>
            <w:vAlign w:val="bottom"/>
            <w:hideMark/>
          </w:tcPr>
          <w:p w14:paraId="23BD03B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51336B7F" w14:textId="77777777" w:rsidTr="00423B79">
        <w:trPr>
          <w:trHeight w:val="237"/>
        </w:trPr>
        <w:tc>
          <w:tcPr>
            <w:tcW w:w="962" w:type="dxa"/>
            <w:shd w:val="clear" w:color="auto" w:fill="auto"/>
            <w:noWrap/>
            <w:vAlign w:val="bottom"/>
            <w:hideMark/>
          </w:tcPr>
          <w:p w14:paraId="6AF9912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fossilfuel</w:t>
            </w:r>
          </w:p>
        </w:tc>
        <w:tc>
          <w:tcPr>
            <w:tcW w:w="859" w:type="dxa"/>
            <w:shd w:val="clear" w:color="auto" w:fill="auto"/>
            <w:noWrap/>
            <w:vAlign w:val="bottom"/>
            <w:hideMark/>
          </w:tcPr>
          <w:p w14:paraId="0342E85B"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38D8945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67BFD10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4C3015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0816390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7956DCB"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1AA1F8D0"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52D304E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046FD462"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297CB5DE" w14:textId="77777777" w:rsidTr="00423B79">
        <w:trPr>
          <w:trHeight w:val="237"/>
        </w:trPr>
        <w:tc>
          <w:tcPr>
            <w:tcW w:w="962" w:type="dxa"/>
            <w:shd w:val="clear" w:color="auto" w:fill="auto"/>
            <w:noWrap/>
            <w:vAlign w:val="bottom"/>
            <w:hideMark/>
          </w:tcPr>
          <w:p w14:paraId="3CAFD44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4070A72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822" w:type="dxa"/>
            <w:shd w:val="clear" w:color="auto" w:fill="auto"/>
            <w:noWrap/>
            <w:vAlign w:val="bottom"/>
            <w:hideMark/>
          </w:tcPr>
          <w:p w14:paraId="3CC85AF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0.885</w:t>
            </w:r>
          </w:p>
        </w:tc>
        <w:tc>
          <w:tcPr>
            <w:tcW w:w="733" w:type="dxa"/>
            <w:shd w:val="clear" w:color="auto" w:fill="auto"/>
            <w:noWrap/>
            <w:vAlign w:val="bottom"/>
            <w:hideMark/>
          </w:tcPr>
          <w:p w14:paraId="6D5624C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0.017</w:t>
            </w:r>
          </w:p>
        </w:tc>
        <w:tc>
          <w:tcPr>
            <w:tcW w:w="794" w:type="dxa"/>
            <w:shd w:val="clear" w:color="auto" w:fill="auto"/>
            <w:noWrap/>
            <w:vAlign w:val="bottom"/>
            <w:hideMark/>
          </w:tcPr>
          <w:p w14:paraId="1CCE7E0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1.114</w:t>
            </w:r>
          </w:p>
        </w:tc>
        <w:tc>
          <w:tcPr>
            <w:tcW w:w="891" w:type="dxa"/>
            <w:shd w:val="clear" w:color="auto" w:fill="auto"/>
            <w:noWrap/>
            <w:vAlign w:val="bottom"/>
            <w:hideMark/>
          </w:tcPr>
          <w:p w14:paraId="38C4A26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0.865</w:t>
            </w:r>
          </w:p>
        </w:tc>
        <w:tc>
          <w:tcPr>
            <w:tcW w:w="728" w:type="dxa"/>
            <w:shd w:val="clear" w:color="auto" w:fill="auto"/>
            <w:noWrap/>
            <w:vAlign w:val="bottom"/>
            <w:hideMark/>
          </w:tcPr>
          <w:p w14:paraId="6A96886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94" w:type="dxa"/>
            <w:shd w:val="clear" w:color="auto" w:fill="auto"/>
            <w:noWrap/>
            <w:vAlign w:val="bottom"/>
            <w:hideMark/>
          </w:tcPr>
          <w:p w14:paraId="2BFAD7F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-0.328</w:t>
            </w:r>
          </w:p>
        </w:tc>
        <w:tc>
          <w:tcPr>
            <w:tcW w:w="891" w:type="dxa"/>
            <w:shd w:val="clear" w:color="auto" w:fill="auto"/>
            <w:noWrap/>
            <w:vAlign w:val="bottom"/>
            <w:hideMark/>
          </w:tcPr>
          <w:p w14:paraId="513BF9B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0.021</w:t>
            </w:r>
          </w:p>
        </w:tc>
        <w:tc>
          <w:tcPr>
            <w:tcW w:w="728" w:type="dxa"/>
            <w:shd w:val="clear" w:color="auto" w:fill="auto"/>
            <w:noWrap/>
            <w:vAlign w:val="bottom"/>
            <w:hideMark/>
          </w:tcPr>
          <w:p w14:paraId="04E6E8C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r>
      <w:tr w:rsidR="00423B79" w:rsidRPr="00423B79" w14:paraId="67B23B08" w14:textId="77777777" w:rsidTr="00423B79">
        <w:trPr>
          <w:trHeight w:val="237"/>
        </w:trPr>
        <w:tc>
          <w:tcPr>
            <w:tcW w:w="962" w:type="dxa"/>
            <w:shd w:val="clear" w:color="auto" w:fill="auto"/>
            <w:noWrap/>
            <w:vAlign w:val="bottom"/>
            <w:hideMark/>
          </w:tcPr>
          <w:p w14:paraId="3059D97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01F99A6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822" w:type="dxa"/>
            <w:shd w:val="clear" w:color="auto" w:fill="auto"/>
            <w:noWrap/>
            <w:vAlign w:val="bottom"/>
            <w:hideMark/>
          </w:tcPr>
          <w:p w14:paraId="5FA637C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0.903</w:t>
            </w:r>
          </w:p>
        </w:tc>
        <w:tc>
          <w:tcPr>
            <w:tcW w:w="733" w:type="dxa"/>
            <w:shd w:val="clear" w:color="auto" w:fill="auto"/>
            <w:noWrap/>
            <w:vAlign w:val="bottom"/>
            <w:hideMark/>
          </w:tcPr>
          <w:p w14:paraId="06B630D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0.023</w:t>
            </w:r>
          </w:p>
        </w:tc>
        <w:tc>
          <w:tcPr>
            <w:tcW w:w="794" w:type="dxa"/>
            <w:shd w:val="clear" w:color="auto" w:fill="auto"/>
            <w:noWrap/>
            <w:vAlign w:val="bottom"/>
            <w:hideMark/>
          </w:tcPr>
          <w:p w14:paraId="167BD83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-1.53</w:t>
            </w:r>
          </w:p>
        </w:tc>
        <w:tc>
          <w:tcPr>
            <w:tcW w:w="891" w:type="dxa"/>
            <w:shd w:val="clear" w:color="auto" w:fill="auto"/>
            <w:noWrap/>
            <w:vAlign w:val="bottom"/>
            <w:hideMark/>
          </w:tcPr>
          <w:p w14:paraId="2823378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0.781</w:t>
            </w:r>
          </w:p>
        </w:tc>
        <w:tc>
          <w:tcPr>
            <w:tcW w:w="728" w:type="dxa"/>
            <w:shd w:val="clear" w:color="auto" w:fill="auto"/>
            <w:noWrap/>
            <w:vAlign w:val="bottom"/>
            <w:hideMark/>
          </w:tcPr>
          <w:p w14:paraId="6A155B8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0.028</w:t>
            </w:r>
          </w:p>
        </w:tc>
        <w:tc>
          <w:tcPr>
            <w:tcW w:w="794" w:type="dxa"/>
            <w:shd w:val="clear" w:color="auto" w:fill="auto"/>
            <w:noWrap/>
            <w:vAlign w:val="bottom"/>
            <w:hideMark/>
          </w:tcPr>
          <w:p w14:paraId="50653A0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1.148</w:t>
            </w:r>
          </w:p>
        </w:tc>
        <w:tc>
          <w:tcPr>
            <w:tcW w:w="891" w:type="dxa"/>
            <w:shd w:val="clear" w:color="auto" w:fill="auto"/>
            <w:noWrap/>
            <w:vAlign w:val="bottom"/>
            <w:hideMark/>
          </w:tcPr>
          <w:p w14:paraId="5671407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0.122</w:t>
            </w:r>
          </w:p>
        </w:tc>
        <w:tc>
          <w:tcPr>
            <w:tcW w:w="728" w:type="dxa"/>
            <w:shd w:val="clear" w:color="auto" w:fill="auto"/>
            <w:noWrap/>
            <w:vAlign w:val="bottom"/>
            <w:hideMark/>
          </w:tcPr>
          <w:p w14:paraId="51C402F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0.016</w:t>
            </w:r>
          </w:p>
        </w:tc>
      </w:tr>
      <w:tr w:rsidR="00423B79" w:rsidRPr="00423B79" w14:paraId="22B166A1" w14:textId="77777777" w:rsidTr="00423B79">
        <w:trPr>
          <w:trHeight w:val="237"/>
        </w:trPr>
        <w:tc>
          <w:tcPr>
            <w:tcW w:w="962" w:type="dxa"/>
            <w:shd w:val="clear" w:color="auto" w:fill="auto"/>
            <w:noWrap/>
            <w:vAlign w:val="bottom"/>
            <w:hideMark/>
          </w:tcPr>
          <w:p w14:paraId="3B8F8D6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0D31818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0.007</w:t>
            </w:r>
          </w:p>
        </w:tc>
        <w:tc>
          <w:tcPr>
            <w:tcW w:w="822" w:type="dxa"/>
            <w:shd w:val="clear" w:color="auto" w:fill="auto"/>
            <w:noWrap/>
            <w:vAlign w:val="bottom"/>
            <w:hideMark/>
          </w:tcPr>
          <w:p w14:paraId="3F43570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0.449</w:t>
            </w:r>
          </w:p>
        </w:tc>
        <w:tc>
          <w:tcPr>
            <w:tcW w:w="733" w:type="dxa"/>
            <w:shd w:val="clear" w:color="auto" w:fill="auto"/>
            <w:noWrap/>
            <w:vAlign w:val="bottom"/>
            <w:hideMark/>
          </w:tcPr>
          <w:p w14:paraId="156ECE3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56E8B9B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-0.253</w:t>
            </w:r>
          </w:p>
        </w:tc>
        <w:tc>
          <w:tcPr>
            <w:tcW w:w="891" w:type="dxa"/>
            <w:shd w:val="clear" w:color="auto" w:fill="auto"/>
            <w:noWrap/>
            <w:vAlign w:val="bottom"/>
            <w:hideMark/>
          </w:tcPr>
          <w:p w14:paraId="392976C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0.071</w:t>
            </w:r>
          </w:p>
        </w:tc>
        <w:tc>
          <w:tcPr>
            <w:tcW w:w="728" w:type="dxa"/>
            <w:shd w:val="clear" w:color="auto" w:fill="auto"/>
            <w:noWrap/>
            <w:vAlign w:val="bottom"/>
            <w:hideMark/>
          </w:tcPr>
          <w:p w14:paraId="06BD725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94" w:type="dxa"/>
            <w:shd w:val="clear" w:color="auto" w:fill="auto"/>
            <w:noWrap/>
            <w:vAlign w:val="bottom"/>
            <w:hideMark/>
          </w:tcPr>
          <w:p w14:paraId="2CD8AEE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-1.108</w:t>
            </w:r>
          </w:p>
        </w:tc>
        <w:tc>
          <w:tcPr>
            <w:tcW w:w="891" w:type="dxa"/>
            <w:shd w:val="clear" w:color="auto" w:fill="auto"/>
            <w:noWrap/>
            <w:vAlign w:val="bottom"/>
            <w:hideMark/>
          </w:tcPr>
          <w:p w14:paraId="0FBB97D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0.378</w:t>
            </w:r>
          </w:p>
        </w:tc>
        <w:tc>
          <w:tcPr>
            <w:tcW w:w="728" w:type="dxa"/>
            <w:shd w:val="clear" w:color="auto" w:fill="auto"/>
            <w:noWrap/>
            <w:vAlign w:val="bottom"/>
            <w:hideMark/>
          </w:tcPr>
          <w:p w14:paraId="2ABCA92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0.009</w:t>
            </w:r>
          </w:p>
        </w:tc>
      </w:tr>
      <w:tr w:rsidR="00423B79" w:rsidRPr="00423B79" w14:paraId="448D3033" w14:textId="77777777" w:rsidTr="00423B79">
        <w:trPr>
          <w:trHeight w:val="237"/>
        </w:trPr>
        <w:tc>
          <w:tcPr>
            <w:tcW w:w="1821" w:type="dxa"/>
            <w:gridSpan w:val="2"/>
            <w:shd w:val="clear" w:color="auto" w:fill="auto"/>
            <w:noWrap/>
            <w:vAlign w:val="bottom"/>
            <w:hideMark/>
          </w:tcPr>
          <w:p w14:paraId="0ABAE9D6"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co_emission</w:t>
            </w:r>
          </w:p>
        </w:tc>
        <w:tc>
          <w:tcPr>
            <w:tcW w:w="822" w:type="dxa"/>
            <w:shd w:val="clear" w:color="auto" w:fill="auto"/>
            <w:noWrap/>
            <w:vAlign w:val="bottom"/>
            <w:hideMark/>
          </w:tcPr>
          <w:p w14:paraId="3FA964D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733" w:type="dxa"/>
            <w:shd w:val="clear" w:color="auto" w:fill="auto"/>
            <w:noWrap/>
            <w:vAlign w:val="bottom"/>
            <w:hideMark/>
          </w:tcPr>
          <w:p w14:paraId="608DC153"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393E82B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2E29801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0923FBDA"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481999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3AEDDC9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5234898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694634C8" w14:textId="77777777" w:rsidTr="00423B79">
        <w:trPr>
          <w:trHeight w:val="237"/>
        </w:trPr>
        <w:tc>
          <w:tcPr>
            <w:tcW w:w="962" w:type="dxa"/>
            <w:shd w:val="clear" w:color="auto" w:fill="auto"/>
            <w:noWrap/>
            <w:vAlign w:val="bottom"/>
            <w:hideMark/>
          </w:tcPr>
          <w:p w14:paraId="777EEFC9"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5BC1FB5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0.018</w:t>
            </w:r>
          </w:p>
        </w:tc>
        <w:tc>
          <w:tcPr>
            <w:tcW w:w="822" w:type="dxa"/>
            <w:shd w:val="clear" w:color="auto" w:fill="auto"/>
            <w:noWrap/>
            <w:vAlign w:val="bottom"/>
            <w:hideMark/>
          </w:tcPr>
          <w:p w14:paraId="3BD4F6AD"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0.874</w:t>
            </w:r>
          </w:p>
        </w:tc>
        <w:tc>
          <w:tcPr>
            <w:tcW w:w="733" w:type="dxa"/>
            <w:shd w:val="clear" w:color="auto" w:fill="auto"/>
            <w:noWrap/>
            <w:vAlign w:val="bottom"/>
            <w:hideMark/>
          </w:tcPr>
          <w:p w14:paraId="7408272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0.011</w:t>
            </w:r>
          </w:p>
        </w:tc>
        <w:tc>
          <w:tcPr>
            <w:tcW w:w="794" w:type="dxa"/>
            <w:shd w:val="clear" w:color="auto" w:fill="auto"/>
            <w:noWrap/>
            <w:vAlign w:val="bottom"/>
            <w:hideMark/>
          </w:tcPr>
          <w:p w14:paraId="77D3215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0.861</w:t>
            </w:r>
          </w:p>
        </w:tc>
        <w:tc>
          <w:tcPr>
            <w:tcW w:w="891" w:type="dxa"/>
            <w:shd w:val="clear" w:color="auto" w:fill="auto"/>
            <w:noWrap/>
            <w:vAlign w:val="bottom"/>
            <w:hideMark/>
          </w:tcPr>
          <w:p w14:paraId="79B2F18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0.806</w:t>
            </w:r>
          </w:p>
        </w:tc>
        <w:tc>
          <w:tcPr>
            <w:tcW w:w="728" w:type="dxa"/>
            <w:shd w:val="clear" w:color="auto" w:fill="auto"/>
            <w:noWrap/>
            <w:vAlign w:val="bottom"/>
            <w:hideMark/>
          </w:tcPr>
          <w:p w14:paraId="60E8A9A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0.013</w:t>
            </w:r>
          </w:p>
        </w:tc>
        <w:tc>
          <w:tcPr>
            <w:tcW w:w="794" w:type="dxa"/>
            <w:shd w:val="clear" w:color="auto" w:fill="auto"/>
            <w:noWrap/>
            <w:vAlign w:val="bottom"/>
            <w:hideMark/>
          </w:tcPr>
          <w:p w14:paraId="58C21F6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-0.474</w:t>
            </w:r>
          </w:p>
        </w:tc>
        <w:tc>
          <w:tcPr>
            <w:tcW w:w="891" w:type="dxa"/>
            <w:shd w:val="clear" w:color="auto" w:fill="auto"/>
            <w:noWrap/>
            <w:vAlign w:val="bottom"/>
            <w:hideMark/>
          </w:tcPr>
          <w:p w14:paraId="2A3B65D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0.067</w:t>
            </w:r>
          </w:p>
        </w:tc>
        <w:tc>
          <w:tcPr>
            <w:tcW w:w="728" w:type="dxa"/>
            <w:shd w:val="clear" w:color="auto" w:fill="auto"/>
            <w:noWrap/>
            <w:vAlign w:val="bottom"/>
            <w:hideMark/>
          </w:tcPr>
          <w:p w14:paraId="43BDF3F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r>
      <w:tr w:rsidR="00423B79" w:rsidRPr="00423B79" w14:paraId="52CD2E5D" w14:textId="77777777" w:rsidTr="00423B79">
        <w:trPr>
          <w:trHeight w:val="237"/>
        </w:trPr>
        <w:tc>
          <w:tcPr>
            <w:tcW w:w="962" w:type="dxa"/>
            <w:shd w:val="clear" w:color="auto" w:fill="auto"/>
            <w:noWrap/>
            <w:vAlign w:val="bottom"/>
            <w:hideMark/>
          </w:tcPr>
          <w:p w14:paraId="4563D0DF"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2150CA4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0.012</w:t>
            </w:r>
          </w:p>
        </w:tc>
        <w:tc>
          <w:tcPr>
            <w:tcW w:w="822" w:type="dxa"/>
            <w:shd w:val="clear" w:color="auto" w:fill="auto"/>
            <w:noWrap/>
            <w:vAlign w:val="bottom"/>
            <w:hideMark/>
          </w:tcPr>
          <w:p w14:paraId="336D331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0.901</w:t>
            </w:r>
          </w:p>
        </w:tc>
        <w:tc>
          <w:tcPr>
            <w:tcW w:w="733" w:type="dxa"/>
            <w:shd w:val="clear" w:color="auto" w:fill="auto"/>
            <w:noWrap/>
            <w:vAlign w:val="bottom"/>
            <w:hideMark/>
          </w:tcPr>
          <w:p w14:paraId="7F4E4B7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0.022</w:t>
            </w:r>
          </w:p>
        </w:tc>
        <w:tc>
          <w:tcPr>
            <w:tcW w:w="794" w:type="dxa"/>
            <w:shd w:val="clear" w:color="auto" w:fill="auto"/>
            <w:noWrap/>
            <w:vAlign w:val="bottom"/>
            <w:hideMark/>
          </w:tcPr>
          <w:p w14:paraId="79B1874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-1.485</w:t>
            </w:r>
          </w:p>
        </w:tc>
        <w:tc>
          <w:tcPr>
            <w:tcW w:w="891" w:type="dxa"/>
            <w:shd w:val="clear" w:color="auto" w:fill="auto"/>
            <w:noWrap/>
            <w:vAlign w:val="bottom"/>
            <w:hideMark/>
          </w:tcPr>
          <w:p w14:paraId="2A9F2BB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0.767</w:t>
            </w:r>
          </w:p>
        </w:tc>
        <w:tc>
          <w:tcPr>
            <w:tcW w:w="728" w:type="dxa"/>
            <w:shd w:val="clear" w:color="auto" w:fill="auto"/>
            <w:noWrap/>
            <w:vAlign w:val="bottom"/>
            <w:hideMark/>
          </w:tcPr>
          <w:p w14:paraId="375D20F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0.026</w:t>
            </w:r>
          </w:p>
        </w:tc>
        <w:tc>
          <w:tcPr>
            <w:tcW w:w="794" w:type="dxa"/>
            <w:shd w:val="clear" w:color="auto" w:fill="auto"/>
            <w:noWrap/>
            <w:vAlign w:val="bottom"/>
            <w:hideMark/>
          </w:tcPr>
          <w:p w14:paraId="0AC66585"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1.179</w:t>
            </w:r>
          </w:p>
        </w:tc>
        <w:tc>
          <w:tcPr>
            <w:tcW w:w="891" w:type="dxa"/>
            <w:shd w:val="clear" w:color="auto" w:fill="auto"/>
            <w:noWrap/>
            <w:vAlign w:val="bottom"/>
            <w:hideMark/>
          </w:tcPr>
          <w:p w14:paraId="78316539"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0.134</w:t>
            </w:r>
          </w:p>
        </w:tc>
        <w:tc>
          <w:tcPr>
            <w:tcW w:w="728" w:type="dxa"/>
            <w:shd w:val="clear" w:color="auto" w:fill="auto"/>
            <w:noWrap/>
            <w:vAlign w:val="bottom"/>
            <w:hideMark/>
          </w:tcPr>
          <w:p w14:paraId="1A05279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0.016</w:t>
            </w:r>
          </w:p>
        </w:tc>
      </w:tr>
      <w:tr w:rsidR="00423B79" w:rsidRPr="00423B79" w14:paraId="3012F604" w14:textId="77777777" w:rsidTr="00423B79">
        <w:trPr>
          <w:trHeight w:val="237"/>
        </w:trPr>
        <w:tc>
          <w:tcPr>
            <w:tcW w:w="962" w:type="dxa"/>
            <w:shd w:val="clear" w:color="auto" w:fill="auto"/>
            <w:noWrap/>
            <w:vAlign w:val="bottom"/>
            <w:hideMark/>
          </w:tcPr>
          <w:p w14:paraId="24788373"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3E57883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0.007</w:t>
            </w:r>
          </w:p>
        </w:tc>
        <w:tc>
          <w:tcPr>
            <w:tcW w:w="822" w:type="dxa"/>
            <w:shd w:val="clear" w:color="auto" w:fill="auto"/>
            <w:noWrap/>
            <w:vAlign w:val="bottom"/>
            <w:hideMark/>
          </w:tcPr>
          <w:p w14:paraId="3F10F9E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0.333</w:t>
            </w:r>
          </w:p>
        </w:tc>
        <w:tc>
          <w:tcPr>
            <w:tcW w:w="733" w:type="dxa"/>
            <w:shd w:val="clear" w:color="auto" w:fill="auto"/>
            <w:noWrap/>
            <w:vAlign w:val="bottom"/>
            <w:hideMark/>
          </w:tcPr>
          <w:p w14:paraId="0950B41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794" w:type="dxa"/>
            <w:shd w:val="clear" w:color="auto" w:fill="auto"/>
            <w:noWrap/>
            <w:vAlign w:val="bottom"/>
            <w:hideMark/>
          </w:tcPr>
          <w:p w14:paraId="7818C82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0.267</w:t>
            </w:r>
          </w:p>
        </w:tc>
        <w:tc>
          <w:tcPr>
            <w:tcW w:w="891" w:type="dxa"/>
            <w:shd w:val="clear" w:color="auto" w:fill="auto"/>
            <w:noWrap/>
            <w:vAlign w:val="bottom"/>
            <w:hideMark/>
          </w:tcPr>
          <w:p w14:paraId="69C2F05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0.107</w:t>
            </w:r>
          </w:p>
        </w:tc>
        <w:tc>
          <w:tcPr>
            <w:tcW w:w="728" w:type="dxa"/>
            <w:shd w:val="clear" w:color="auto" w:fill="auto"/>
            <w:noWrap/>
            <w:vAlign w:val="bottom"/>
            <w:hideMark/>
          </w:tcPr>
          <w:p w14:paraId="768BC6D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6B57587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-0.735</w:t>
            </w:r>
          </w:p>
        </w:tc>
        <w:tc>
          <w:tcPr>
            <w:tcW w:w="891" w:type="dxa"/>
            <w:shd w:val="clear" w:color="auto" w:fill="auto"/>
            <w:noWrap/>
            <w:vAlign w:val="bottom"/>
            <w:hideMark/>
          </w:tcPr>
          <w:p w14:paraId="10EA39A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0.225</w:t>
            </w:r>
          </w:p>
        </w:tc>
        <w:tc>
          <w:tcPr>
            <w:tcW w:w="728" w:type="dxa"/>
            <w:shd w:val="clear" w:color="auto" w:fill="auto"/>
            <w:noWrap/>
            <w:vAlign w:val="bottom"/>
            <w:hideMark/>
          </w:tcPr>
          <w:p w14:paraId="04B1B25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r>
      <w:tr w:rsidR="00423B79" w:rsidRPr="00423B79" w14:paraId="3A1A2B38" w14:textId="77777777" w:rsidTr="00423B79">
        <w:trPr>
          <w:trHeight w:val="237"/>
        </w:trPr>
        <w:tc>
          <w:tcPr>
            <w:tcW w:w="962" w:type="dxa"/>
            <w:shd w:val="clear" w:color="auto" w:fill="auto"/>
            <w:noWrap/>
            <w:vAlign w:val="bottom"/>
            <w:hideMark/>
          </w:tcPr>
          <w:p w14:paraId="6274C574"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forest</w:t>
            </w:r>
          </w:p>
        </w:tc>
        <w:tc>
          <w:tcPr>
            <w:tcW w:w="859" w:type="dxa"/>
            <w:shd w:val="clear" w:color="auto" w:fill="auto"/>
            <w:noWrap/>
            <w:vAlign w:val="bottom"/>
            <w:hideMark/>
          </w:tcPr>
          <w:p w14:paraId="34C7D05A"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p>
        </w:tc>
        <w:tc>
          <w:tcPr>
            <w:tcW w:w="822" w:type="dxa"/>
            <w:shd w:val="clear" w:color="auto" w:fill="auto"/>
            <w:noWrap/>
            <w:vAlign w:val="bottom"/>
            <w:hideMark/>
          </w:tcPr>
          <w:p w14:paraId="7090E50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33" w:type="dxa"/>
            <w:shd w:val="clear" w:color="auto" w:fill="auto"/>
            <w:noWrap/>
            <w:vAlign w:val="bottom"/>
            <w:hideMark/>
          </w:tcPr>
          <w:p w14:paraId="01AF6A08"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41836DC7"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6A173FF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18FDBAF4"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94" w:type="dxa"/>
            <w:shd w:val="clear" w:color="auto" w:fill="auto"/>
            <w:noWrap/>
            <w:vAlign w:val="bottom"/>
            <w:hideMark/>
          </w:tcPr>
          <w:p w14:paraId="58F9DC69"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891" w:type="dxa"/>
            <w:shd w:val="clear" w:color="auto" w:fill="auto"/>
            <w:noWrap/>
            <w:vAlign w:val="bottom"/>
            <w:hideMark/>
          </w:tcPr>
          <w:p w14:paraId="048983B6"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c>
          <w:tcPr>
            <w:tcW w:w="728" w:type="dxa"/>
            <w:shd w:val="clear" w:color="auto" w:fill="auto"/>
            <w:noWrap/>
            <w:vAlign w:val="bottom"/>
            <w:hideMark/>
          </w:tcPr>
          <w:p w14:paraId="2A8E8F3F" w14:textId="77777777" w:rsidR="00423B79" w:rsidRPr="00423B79" w:rsidRDefault="00423B79" w:rsidP="00423B79">
            <w:pPr>
              <w:spacing w:after="0" w:line="240" w:lineRule="auto"/>
              <w:rPr>
                <w:rFonts w:ascii="Times New Roman" w:eastAsia="Times New Roman" w:hAnsi="Times New Roman" w:cs="Times New Roman"/>
                <w:sz w:val="20"/>
                <w:szCs w:val="20"/>
                <w:lang w:eastAsia="en-GB"/>
              </w:rPr>
            </w:pPr>
          </w:p>
        </w:tc>
      </w:tr>
      <w:tr w:rsidR="00423B79" w:rsidRPr="00423B79" w14:paraId="218BB7DF" w14:textId="77777777" w:rsidTr="00423B79">
        <w:trPr>
          <w:trHeight w:val="237"/>
        </w:trPr>
        <w:tc>
          <w:tcPr>
            <w:tcW w:w="962" w:type="dxa"/>
            <w:shd w:val="clear" w:color="auto" w:fill="auto"/>
            <w:noWrap/>
            <w:vAlign w:val="bottom"/>
            <w:hideMark/>
          </w:tcPr>
          <w:p w14:paraId="18F8DA30"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HIGH</w:t>
            </w:r>
          </w:p>
        </w:tc>
        <w:tc>
          <w:tcPr>
            <w:tcW w:w="859" w:type="dxa"/>
            <w:shd w:val="clear" w:color="auto" w:fill="auto"/>
            <w:noWrap/>
            <w:vAlign w:val="bottom"/>
            <w:hideMark/>
          </w:tcPr>
          <w:p w14:paraId="1DD72AEC"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0.024</w:t>
            </w:r>
          </w:p>
        </w:tc>
        <w:tc>
          <w:tcPr>
            <w:tcW w:w="822" w:type="dxa"/>
            <w:shd w:val="clear" w:color="auto" w:fill="auto"/>
            <w:noWrap/>
            <w:vAlign w:val="bottom"/>
            <w:hideMark/>
          </w:tcPr>
          <w:p w14:paraId="62965E2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0.258</w:t>
            </w:r>
          </w:p>
        </w:tc>
        <w:tc>
          <w:tcPr>
            <w:tcW w:w="733" w:type="dxa"/>
            <w:shd w:val="clear" w:color="auto" w:fill="auto"/>
            <w:noWrap/>
            <w:vAlign w:val="bottom"/>
            <w:hideMark/>
          </w:tcPr>
          <w:p w14:paraId="3DA6BD6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94" w:type="dxa"/>
            <w:shd w:val="clear" w:color="auto" w:fill="auto"/>
            <w:noWrap/>
            <w:vAlign w:val="bottom"/>
            <w:hideMark/>
          </w:tcPr>
          <w:p w14:paraId="40BD244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0.086</w:t>
            </w:r>
          </w:p>
        </w:tc>
        <w:tc>
          <w:tcPr>
            <w:tcW w:w="891" w:type="dxa"/>
            <w:shd w:val="clear" w:color="auto" w:fill="auto"/>
            <w:noWrap/>
            <w:vAlign w:val="bottom"/>
            <w:hideMark/>
          </w:tcPr>
          <w:p w14:paraId="3326C94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w:t>
            </w:r>
          </w:p>
        </w:tc>
        <w:tc>
          <w:tcPr>
            <w:tcW w:w="728" w:type="dxa"/>
            <w:shd w:val="clear" w:color="auto" w:fill="auto"/>
            <w:noWrap/>
            <w:vAlign w:val="bottom"/>
            <w:hideMark/>
          </w:tcPr>
          <w:p w14:paraId="7203CBA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94" w:type="dxa"/>
            <w:shd w:val="clear" w:color="auto" w:fill="auto"/>
            <w:noWrap/>
            <w:vAlign w:val="bottom"/>
            <w:hideMark/>
          </w:tcPr>
          <w:p w14:paraId="16A8CE5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0.206</w:t>
            </w:r>
          </w:p>
        </w:tc>
        <w:tc>
          <w:tcPr>
            <w:tcW w:w="891" w:type="dxa"/>
            <w:shd w:val="clear" w:color="auto" w:fill="auto"/>
            <w:noWrap/>
            <w:vAlign w:val="bottom"/>
            <w:hideMark/>
          </w:tcPr>
          <w:p w14:paraId="65009F1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0.159</w:t>
            </w:r>
          </w:p>
        </w:tc>
        <w:tc>
          <w:tcPr>
            <w:tcW w:w="728" w:type="dxa"/>
            <w:shd w:val="clear" w:color="auto" w:fill="auto"/>
            <w:noWrap/>
            <w:vAlign w:val="bottom"/>
            <w:hideMark/>
          </w:tcPr>
          <w:p w14:paraId="63E3499B"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r>
      <w:tr w:rsidR="00423B79" w:rsidRPr="00423B79" w14:paraId="56BA23EC" w14:textId="77777777" w:rsidTr="00423B79">
        <w:trPr>
          <w:trHeight w:val="237"/>
        </w:trPr>
        <w:tc>
          <w:tcPr>
            <w:tcW w:w="962" w:type="dxa"/>
            <w:shd w:val="clear" w:color="auto" w:fill="auto"/>
            <w:noWrap/>
            <w:vAlign w:val="bottom"/>
            <w:hideMark/>
          </w:tcPr>
          <w:p w14:paraId="0819A375"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LOW</w:t>
            </w:r>
          </w:p>
        </w:tc>
        <w:tc>
          <w:tcPr>
            <w:tcW w:w="859" w:type="dxa"/>
            <w:shd w:val="clear" w:color="auto" w:fill="auto"/>
            <w:noWrap/>
            <w:vAlign w:val="bottom"/>
            <w:hideMark/>
          </w:tcPr>
          <w:p w14:paraId="5AA070E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c>
          <w:tcPr>
            <w:tcW w:w="822" w:type="dxa"/>
            <w:shd w:val="clear" w:color="auto" w:fill="auto"/>
            <w:noWrap/>
            <w:vAlign w:val="bottom"/>
            <w:hideMark/>
          </w:tcPr>
          <w:p w14:paraId="58175C7A"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733" w:type="dxa"/>
            <w:shd w:val="clear" w:color="auto" w:fill="auto"/>
            <w:noWrap/>
            <w:vAlign w:val="bottom"/>
            <w:hideMark/>
          </w:tcPr>
          <w:p w14:paraId="13438E0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0.004</w:t>
            </w:r>
          </w:p>
        </w:tc>
        <w:tc>
          <w:tcPr>
            <w:tcW w:w="794" w:type="dxa"/>
            <w:shd w:val="clear" w:color="auto" w:fill="auto"/>
            <w:noWrap/>
            <w:vAlign w:val="bottom"/>
            <w:hideMark/>
          </w:tcPr>
          <w:p w14:paraId="21ABCCD4"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-0.033</w:t>
            </w:r>
          </w:p>
        </w:tc>
        <w:tc>
          <w:tcPr>
            <w:tcW w:w="891" w:type="dxa"/>
            <w:shd w:val="clear" w:color="auto" w:fill="auto"/>
            <w:noWrap/>
            <w:vAlign w:val="bottom"/>
            <w:hideMark/>
          </w:tcPr>
          <w:p w14:paraId="56DD9C48"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0.001</w:t>
            </w:r>
          </w:p>
        </w:tc>
        <w:tc>
          <w:tcPr>
            <w:tcW w:w="728" w:type="dxa"/>
            <w:shd w:val="clear" w:color="auto" w:fill="auto"/>
            <w:noWrap/>
            <w:vAlign w:val="bottom"/>
            <w:hideMark/>
          </w:tcPr>
          <w:p w14:paraId="0EC16A0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94" w:type="dxa"/>
            <w:shd w:val="clear" w:color="auto" w:fill="auto"/>
            <w:noWrap/>
            <w:vAlign w:val="bottom"/>
            <w:hideMark/>
          </w:tcPr>
          <w:p w14:paraId="2D0C2E6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0.119</w:t>
            </w:r>
          </w:p>
        </w:tc>
        <w:tc>
          <w:tcPr>
            <w:tcW w:w="891" w:type="dxa"/>
            <w:shd w:val="clear" w:color="auto" w:fill="auto"/>
            <w:noWrap/>
            <w:vAlign w:val="bottom"/>
            <w:hideMark/>
          </w:tcPr>
          <w:p w14:paraId="475E272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728" w:type="dxa"/>
            <w:shd w:val="clear" w:color="auto" w:fill="auto"/>
            <w:noWrap/>
            <w:vAlign w:val="bottom"/>
            <w:hideMark/>
          </w:tcPr>
          <w:p w14:paraId="0210B9F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r>
      <w:tr w:rsidR="00423B79" w:rsidRPr="00423B79" w14:paraId="75DD3224" w14:textId="77777777" w:rsidTr="00423B79">
        <w:trPr>
          <w:trHeight w:val="237"/>
        </w:trPr>
        <w:tc>
          <w:tcPr>
            <w:tcW w:w="962" w:type="dxa"/>
            <w:shd w:val="clear" w:color="auto" w:fill="auto"/>
            <w:noWrap/>
            <w:vAlign w:val="bottom"/>
            <w:hideMark/>
          </w:tcPr>
          <w:p w14:paraId="3E00F89E" w14:textId="77777777" w:rsidR="00423B79" w:rsidRPr="00423B79" w:rsidRDefault="00423B79" w:rsidP="00423B79">
            <w:pPr>
              <w:spacing w:after="0" w:line="240" w:lineRule="auto"/>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MID</w:t>
            </w:r>
          </w:p>
        </w:tc>
        <w:tc>
          <w:tcPr>
            <w:tcW w:w="859" w:type="dxa"/>
            <w:shd w:val="clear" w:color="auto" w:fill="auto"/>
            <w:noWrap/>
            <w:vAlign w:val="bottom"/>
            <w:hideMark/>
          </w:tcPr>
          <w:p w14:paraId="464E94BF"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0.01</w:t>
            </w:r>
          </w:p>
        </w:tc>
        <w:tc>
          <w:tcPr>
            <w:tcW w:w="822" w:type="dxa"/>
            <w:shd w:val="clear" w:color="auto" w:fill="auto"/>
            <w:noWrap/>
            <w:vAlign w:val="bottom"/>
            <w:hideMark/>
          </w:tcPr>
          <w:p w14:paraId="4FAD4AF0"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0.367</w:t>
            </w:r>
          </w:p>
        </w:tc>
        <w:tc>
          <w:tcPr>
            <w:tcW w:w="733" w:type="dxa"/>
            <w:shd w:val="clear" w:color="auto" w:fill="auto"/>
            <w:noWrap/>
            <w:vAlign w:val="bottom"/>
            <w:hideMark/>
          </w:tcPr>
          <w:p w14:paraId="4620B413"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0.002</w:t>
            </w:r>
          </w:p>
        </w:tc>
        <w:tc>
          <w:tcPr>
            <w:tcW w:w="794" w:type="dxa"/>
            <w:shd w:val="clear" w:color="auto" w:fill="auto"/>
            <w:noWrap/>
            <w:vAlign w:val="bottom"/>
            <w:hideMark/>
          </w:tcPr>
          <w:p w14:paraId="6FA9236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-0.203</w:t>
            </w:r>
          </w:p>
        </w:tc>
        <w:tc>
          <w:tcPr>
            <w:tcW w:w="891" w:type="dxa"/>
            <w:shd w:val="clear" w:color="auto" w:fill="auto"/>
            <w:noWrap/>
            <w:vAlign w:val="bottom"/>
            <w:hideMark/>
          </w:tcPr>
          <w:p w14:paraId="46C012D7"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0.122</w:t>
            </w:r>
          </w:p>
        </w:tc>
        <w:tc>
          <w:tcPr>
            <w:tcW w:w="728" w:type="dxa"/>
            <w:shd w:val="clear" w:color="auto" w:fill="auto"/>
            <w:noWrap/>
            <w:vAlign w:val="bottom"/>
            <w:hideMark/>
          </w:tcPr>
          <w:p w14:paraId="519F95A6"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w:t>
            </w:r>
          </w:p>
        </w:tc>
        <w:tc>
          <w:tcPr>
            <w:tcW w:w="794" w:type="dxa"/>
            <w:shd w:val="clear" w:color="auto" w:fill="auto"/>
            <w:noWrap/>
            <w:vAlign w:val="bottom"/>
            <w:hideMark/>
          </w:tcPr>
          <w:p w14:paraId="723CEF72"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-0.546</w:t>
            </w:r>
          </w:p>
        </w:tc>
        <w:tc>
          <w:tcPr>
            <w:tcW w:w="891" w:type="dxa"/>
            <w:shd w:val="clear" w:color="auto" w:fill="auto"/>
            <w:noWrap/>
            <w:vAlign w:val="bottom"/>
            <w:hideMark/>
          </w:tcPr>
          <w:p w14:paraId="26BAE911"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0.245</w:t>
            </w:r>
          </w:p>
        </w:tc>
        <w:tc>
          <w:tcPr>
            <w:tcW w:w="728" w:type="dxa"/>
            <w:shd w:val="clear" w:color="auto" w:fill="auto"/>
            <w:noWrap/>
            <w:vAlign w:val="bottom"/>
            <w:hideMark/>
          </w:tcPr>
          <w:p w14:paraId="6B8C065E" w14:textId="77777777" w:rsidR="00423B79" w:rsidRPr="00423B79" w:rsidRDefault="00423B79" w:rsidP="00423B79">
            <w:pPr>
              <w:spacing w:after="0" w:line="240" w:lineRule="auto"/>
              <w:jc w:val="right"/>
              <w:rPr>
                <w:rFonts w:ascii="Times New Roman" w:eastAsia="Times New Roman" w:hAnsi="Times New Roman" w:cs="Times New Roman"/>
                <w:color w:val="000000"/>
                <w:sz w:val="20"/>
                <w:szCs w:val="20"/>
                <w:lang w:eastAsia="en-GB"/>
              </w:rPr>
            </w:pPr>
            <w:r w:rsidRPr="00423B79">
              <w:rPr>
                <w:rFonts w:ascii="Times New Roman" w:eastAsia="Times New Roman" w:hAnsi="Times New Roman" w:cs="Times New Roman"/>
                <w:color w:val="000000"/>
                <w:sz w:val="20"/>
                <w:szCs w:val="20"/>
                <w:lang w:eastAsia="en-GB"/>
              </w:rPr>
              <w:t>0.003</w:t>
            </w:r>
          </w:p>
        </w:tc>
      </w:tr>
    </w:tbl>
    <w:p w14:paraId="45948BBA" w14:textId="5314AF47" w:rsidR="00357EE1" w:rsidRDefault="00357EE1" w:rsidP="00423B79">
      <w:pPr>
        <w:spacing w:line="240" w:lineRule="auto"/>
        <w:rPr>
          <w:rFonts w:ascii="Times New Roman" w:hAnsi="Times New Roman" w:cs="Times New Roman"/>
          <w:sz w:val="20"/>
          <w:szCs w:val="20"/>
        </w:rPr>
      </w:pPr>
    </w:p>
    <w:p w14:paraId="77559E09" w14:textId="4D78FA0B" w:rsidR="00FC2F4A" w:rsidRPr="00FC2F4A" w:rsidRDefault="0065207C" w:rsidP="00FC2F4A">
      <w:pPr>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The Table 6 above shows that </w:t>
      </w:r>
      <w:r w:rsidR="005407FA" w:rsidRPr="00FC2F4A">
        <w:rPr>
          <w:rFonts w:ascii="Times New Roman" w:hAnsi="Times New Roman" w:cs="Times New Roman"/>
          <w:sz w:val="24"/>
          <w:szCs w:val="24"/>
        </w:rPr>
        <w:t xml:space="preserve">Gross </w:t>
      </w:r>
      <w:r>
        <w:rPr>
          <w:rFonts w:ascii="Times New Roman" w:hAnsi="Times New Roman" w:cs="Times New Roman"/>
          <w:sz w:val="24"/>
          <w:szCs w:val="24"/>
        </w:rPr>
        <w:t>N</w:t>
      </w:r>
      <w:r w:rsidR="005407FA" w:rsidRPr="00FC2F4A">
        <w:rPr>
          <w:rFonts w:ascii="Times New Roman" w:hAnsi="Times New Roman" w:cs="Times New Roman"/>
          <w:sz w:val="24"/>
          <w:szCs w:val="24"/>
        </w:rPr>
        <w:t xml:space="preserve">ational </w:t>
      </w:r>
      <w:r>
        <w:rPr>
          <w:rFonts w:ascii="Times New Roman" w:hAnsi="Times New Roman" w:cs="Times New Roman"/>
          <w:sz w:val="24"/>
          <w:szCs w:val="24"/>
        </w:rPr>
        <w:t>I</w:t>
      </w:r>
      <w:r w:rsidR="005407FA" w:rsidRPr="00FC2F4A">
        <w:rPr>
          <w:rFonts w:ascii="Times New Roman" w:hAnsi="Times New Roman" w:cs="Times New Roman"/>
          <w:sz w:val="24"/>
          <w:szCs w:val="24"/>
        </w:rPr>
        <w:t xml:space="preserve">ncome per capita </w:t>
      </w:r>
      <w:r>
        <w:rPr>
          <w:rFonts w:ascii="Times New Roman" w:hAnsi="Times New Roman" w:cs="Times New Roman"/>
          <w:sz w:val="24"/>
          <w:szCs w:val="24"/>
        </w:rPr>
        <w:t xml:space="preserve">explains </w:t>
      </w:r>
      <w:r w:rsidR="005407FA" w:rsidRPr="00FC2F4A">
        <w:rPr>
          <w:rFonts w:ascii="Times New Roman" w:hAnsi="Times New Roman" w:cs="Times New Roman"/>
          <w:sz w:val="24"/>
          <w:szCs w:val="24"/>
        </w:rPr>
        <w:t>about 5% of inertia</w:t>
      </w:r>
      <w:r>
        <w:rPr>
          <w:rFonts w:ascii="Times New Roman" w:hAnsi="Times New Roman" w:cs="Times New Roman"/>
          <w:sz w:val="24"/>
          <w:szCs w:val="24"/>
        </w:rPr>
        <w:t xml:space="preserve"> by</w:t>
      </w:r>
      <w:r w:rsidR="005407FA" w:rsidRPr="00FC2F4A">
        <w:rPr>
          <w:rFonts w:ascii="Times New Roman" w:hAnsi="Times New Roman" w:cs="Times New Roman"/>
          <w:sz w:val="24"/>
          <w:szCs w:val="24"/>
        </w:rPr>
        <w:t xml:space="preserve"> itself and belongs to dimension 1. </w:t>
      </w:r>
      <w:r w:rsidR="00FC2F4A" w:rsidRPr="00FC2F4A">
        <w:rPr>
          <w:rFonts w:ascii="Times New Roman" w:hAnsi="Times New Roman" w:cs="Times New Roman"/>
          <w:sz w:val="24"/>
          <w:szCs w:val="24"/>
        </w:rPr>
        <w:t>Other prominent variables in terms of explaining most variance in data are m</w:t>
      </w:r>
      <w:r w:rsidR="00FC2F4A" w:rsidRPr="00FC2F4A">
        <w:rPr>
          <w:rFonts w:ascii="Times New Roman" w:hAnsi="Times New Roman" w:cs="Times New Roman"/>
          <w:sz w:val="24"/>
          <w:szCs w:val="24"/>
        </w:rPr>
        <w:t>ean</w:t>
      </w:r>
      <w:r w:rsidR="00FC2F4A" w:rsidRPr="00FC2F4A">
        <w:rPr>
          <w:rFonts w:ascii="Times New Roman" w:hAnsi="Times New Roman" w:cs="Times New Roman"/>
          <w:sz w:val="24"/>
          <w:szCs w:val="24"/>
        </w:rPr>
        <w:t xml:space="preserve"> y</w:t>
      </w:r>
      <w:r w:rsidR="00FC2F4A" w:rsidRPr="00FC2F4A">
        <w:rPr>
          <w:rFonts w:ascii="Times New Roman" w:hAnsi="Times New Roman" w:cs="Times New Roman"/>
          <w:sz w:val="24"/>
          <w:szCs w:val="24"/>
        </w:rPr>
        <w:t xml:space="preserve">ears </w:t>
      </w:r>
      <w:r w:rsidR="00FC2F4A" w:rsidRPr="00FC2F4A">
        <w:rPr>
          <w:rFonts w:ascii="Times New Roman" w:hAnsi="Times New Roman" w:cs="Times New Roman"/>
          <w:sz w:val="24"/>
          <w:szCs w:val="24"/>
        </w:rPr>
        <w:t>o</w:t>
      </w:r>
      <w:r w:rsidR="00FC2F4A" w:rsidRPr="00FC2F4A">
        <w:rPr>
          <w:rFonts w:ascii="Times New Roman" w:hAnsi="Times New Roman" w:cs="Times New Roman"/>
          <w:sz w:val="24"/>
          <w:szCs w:val="24"/>
        </w:rPr>
        <w:t xml:space="preserve">f </w:t>
      </w:r>
      <w:r w:rsidR="00FC2F4A" w:rsidRPr="00FC2F4A">
        <w:rPr>
          <w:rFonts w:ascii="Times New Roman" w:hAnsi="Times New Roman" w:cs="Times New Roman"/>
          <w:sz w:val="24"/>
          <w:szCs w:val="24"/>
        </w:rPr>
        <w:t>s</w:t>
      </w:r>
      <w:r w:rsidR="00FC2F4A" w:rsidRPr="00FC2F4A">
        <w:rPr>
          <w:rFonts w:ascii="Times New Roman" w:hAnsi="Times New Roman" w:cs="Times New Roman"/>
          <w:sz w:val="24"/>
          <w:szCs w:val="24"/>
        </w:rPr>
        <w:t>chooling</w:t>
      </w:r>
      <w:r w:rsidR="00FC2F4A" w:rsidRPr="00FC2F4A">
        <w:rPr>
          <w:rFonts w:ascii="Times New Roman" w:hAnsi="Times New Roman" w:cs="Times New Roman"/>
          <w:sz w:val="24"/>
          <w:szCs w:val="24"/>
        </w:rPr>
        <w:t>, h</w:t>
      </w:r>
      <w:r w:rsidR="00FC2F4A" w:rsidRPr="00FC2F4A">
        <w:rPr>
          <w:rFonts w:ascii="Times New Roman" w:hAnsi="Times New Roman" w:cs="Times New Roman"/>
          <w:sz w:val="24"/>
          <w:szCs w:val="24"/>
        </w:rPr>
        <w:t>ealthy life expectancy at birth</w:t>
      </w:r>
      <w:r w:rsidR="00FC2F4A" w:rsidRPr="00FC2F4A">
        <w:rPr>
          <w:rFonts w:ascii="Times New Roman" w:hAnsi="Times New Roman" w:cs="Times New Roman"/>
          <w:sz w:val="24"/>
          <w:szCs w:val="24"/>
        </w:rPr>
        <w:t>, f</w:t>
      </w:r>
      <w:r w:rsidR="00FC2F4A" w:rsidRPr="00FC2F4A">
        <w:rPr>
          <w:rFonts w:ascii="Times New Roman" w:hAnsi="Times New Roman" w:cs="Times New Roman"/>
          <w:sz w:val="24"/>
          <w:szCs w:val="24"/>
        </w:rPr>
        <w:t xml:space="preserve">emale </w:t>
      </w:r>
      <w:r w:rsidR="00FC2F4A" w:rsidRPr="00FC2F4A">
        <w:rPr>
          <w:rFonts w:ascii="Times New Roman" w:hAnsi="Times New Roman" w:cs="Times New Roman"/>
          <w:sz w:val="24"/>
          <w:szCs w:val="24"/>
        </w:rPr>
        <w:t>p</w:t>
      </w:r>
      <w:r w:rsidR="00FC2F4A" w:rsidRPr="00FC2F4A">
        <w:rPr>
          <w:rFonts w:ascii="Times New Roman" w:hAnsi="Times New Roman" w:cs="Times New Roman"/>
          <w:sz w:val="24"/>
          <w:szCs w:val="24"/>
        </w:rPr>
        <w:t>opulation with at least some secondary education</w:t>
      </w:r>
      <w:r w:rsidR="00FC2F4A" w:rsidRPr="00FC2F4A">
        <w:rPr>
          <w:rFonts w:ascii="Times New Roman" w:hAnsi="Times New Roman" w:cs="Times New Roman"/>
          <w:sz w:val="24"/>
          <w:szCs w:val="24"/>
        </w:rPr>
        <w:t>, m</w:t>
      </w:r>
      <w:r w:rsidR="00FC2F4A" w:rsidRPr="00FC2F4A">
        <w:rPr>
          <w:rFonts w:ascii="Times New Roman" w:hAnsi="Times New Roman" w:cs="Times New Roman"/>
          <w:sz w:val="24"/>
          <w:szCs w:val="24"/>
        </w:rPr>
        <w:t>ale population with at least some secondary education</w:t>
      </w:r>
      <w:r w:rsidR="00FC2F4A" w:rsidRPr="00FC2F4A">
        <w:rPr>
          <w:rFonts w:ascii="Times New Roman" w:hAnsi="Times New Roman" w:cs="Times New Roman"/>
          <w:sz w:val="24"/>
          <w:szCs w:val="24"/>
        </w:rPr>
        <w:t>, e</w:t>
      </w:r>
      <w:r w:rsidR="00FC2F4A" w:rsidRPr="00FC2F4A">
        <w:rPr>
          <w:rFonts w:ascii="Times New Roman" w:hAnsi="Times New Roman" w:cs="Times New Roman"/>
          <w:sz w:val="24"/>
          <w:szCs w:val="24"/>
        </w:rPr>
        <w:t>mployment in services</w:t>
      </w:r>
      <w:r w:rsidR="00FC2F4A" w:rsidRPr="00FC2F4A">
        <w:rPr>
          <w:rFonts w:ascii="Times New Roman" w:hAnsi="Times New Roman" w:cs="Times New Roman"/>
          <w:sz w:val="24"/>
          <w:szCs w:val="24"/>
        </w:rPr>
        <w:t xml:space="preserve">. </w:t>
      </w:r>
      <w:r w:rsidR="00FC2F4A">
        <w:rPr>
          <w:rFonts w:ascii="Times New Roman" w:hAnsi="Times New Roman" w:cs="Times New Roman"/>
          <w:sz w:val="24"/>
          <w:szCs w:val="24"/>
        </w:rPr>
        <w:t>The variables of f</w:t>
      </w:r>
      <w:r w:rsidR="00FC2F4A" w:rsidRPr="00FC2F4A">
        <w:rPr>
          <w:rFonts w:ascii="Times New Roman" w:hAnsi="Times New Roman" w:cs="Times New Roman"/>
          <w:sz w:val="24"/>
          <w:szCs w:val="24"/>
        </w:rPr>
        <w:t>orest area</w:t>
      </w:r>
      <w:r w:rsidR="00FC2F4A">
        <w:rPr>
          <w:rFonts w:ascii="Times New Roman" w:hAnsi="Times New Roman" w:cs="Times New Roman"/>
          <w:sz w:val="24"/>
          <w:szCs w:val="24"/>
        </w:rPr>
        <w:t>, a</w:t>
      </w:r>
      <w:r w:rsidR="00FC2F4A" w:rsidRPr="00FC2F4A">
        <w:rPr>
          <w:rFonts w:ascii="Times New Roman" w:hAnsi="Times New Roman" w:cs="Times New Roman"/>
          <w:sz w:val="24"/>
          <w:szCs w:val="24"/>
        </w:rPr>
        <w:t>verage dietary energy supply adequacy</w:t>
      </w:r>
      <w:r w:rsidR="00FC2F4A">
        <w:rPr>
          <w:rFonts w:ascii="Times New Roman" w:hAnsi="Times New Roman" w:cs="Times New Roman"/>
          <w:sz w:val="24"/>
          <w:szCs w:val="24"/>
        </w:rPr>
        <w:t>, h</w:t>
      </w:r>
      <w:r w:rsidR="00FC2F4A" w:rsidRPr="00FC2F4A">
        <w:rPr>
          <w:rFonts w:ascii="Times New Roman" w:hAnsi="Times New Roman" w:cs="Times New Roman"/>
          <w:sz w:val="24"/>
          <w:szCs w:val="24"/>
        </w:rPr>
        <w:t>omicide rate</w:t>
      </w:r>
      <w:r w:rsidR="00FC2F4A">
        <w:rPr>
          <w:rFonts w:ascii="Times New Roman" w:hAnsi="Times New Roman" w:cs="Times New Roman"/>
          <w:sz w:val="24"/>
          <w:szCs w:val="24"/>
        </w:rPr>
        <w:t>, p</w:t>
      </w:r>
      <w:r w:rsidR="00FC2F4A" w:rsidRPr="00FC2F4A">
        <w:rPr>
          <w:rFonts w:ascii="Times New Roman" w:hAnsi="Times New Roman" w:cs="Times New Roman"/>
          <w:sz w:val="24"/>
          <w:szCs w:val="24"/>
        </w:rPr>
        <w:t>rison population</w:t>
      </w:r>
      <w:r w:rsidR="00FC2F4A">
        <w:rPr>
          <w:rFonts w:ascii="Times New Roman" w:hAnsi="Times New Roman" w:cs="Times New Roman"/>
          <w:sz w:val="24"/>
          <w:szCs w:val="24"/>
        </w:rPr>
        <w:t>, h</w:t>
      </w:r>
      <w:r w:rsidR="00FC2F4A" w:rsidRPr="00FC2F4A">
        <w:rPr>
          <w:rFonts w:ascii="Times New Roman" w:hAnsi="Times New Roman" w:cs="Times New Roman"/>
          <w:sz w:val="24"/>
          <w:szCs w:val="24"/>
        </w:rPr>
        <w:t>igh-skill to low-skill employment ratio</w:t>
      </w:r>
      <w:r w:rsidR="00FC2F4A">
        <w:rPr>
          <w:rFonts w:ascii="Times New Roman" w:hAnsi="Times New Roman" w:cs="Times New Roman"/>
          <w:sz w:val="24"/>
          <w:szCs w:val="24"/>
        </w:rPr>
        <w:t>, c</w:t>
      </w:r>
      <w:r w:rsidR="00FC2F4A" w:rsidRPr="00FC2F4A">
        <w:rPr>
          <w:rFonts w:ascii="Times New Roman" w:hAnsi="Times New Roman" w:cs="Times New Roman"/>
          <w:sz w:val="24"/>
          <w:szCs w:val="24"/>
        </w:rPr>
        <w:t>urrent health expenditure</w:t>
      </w:r>
      <w:r w:rsidR="00160337">
        <w:rPr>
          <w:rFonts w:ascii="Times New Roman" w:hAnsi="Times New Roman" w:cs="Times New Roman"/>
          <w:sz w:val="24"/>
          <w:szCs w:val="24"/>
        </w:rPr>
        <w:t>’s share in GDP</w:t>
      </w:r>
      <w:r w:rsidR="00FC2F4A">
        <w:rPr>
          <w:rFonts w:ascii="Times New Roman" w:hAnsi="Times New Roman" w:cs="Times New Roman"/>
          <w:sz w:val="24"/>
          <w:szCs w:val="24"/>
        </w:rPr>
        <w:t>,</w:t>
      </w:r>
      <w:r w:rsidR="00FC2F4A" w:rsidRPr="00FC2F4A">
        <w:rPr>
          <w:rFonts w:ascii="Times New Roman" w:hAnsi="Times New Roman" w:cs="Times New Roman"/>
          <w:sz w:val="24"/>
          <w:szCs w:val="24"/>
        </w:rPr>
        <w:t xml:space="preserve"> </w:t>
      </w:r>
      <w:r w:rsidR="00FC2F4A">
        <w:rPr>
          <w:rFonts w:ascii="Times New Roman" w:hAnsi="Times New Roman" w:cs="Times New Roman"/>
          <w:sz w:val="24"/>
          <w:szCs w:val="24"/>
        </w:rPr>
        <w:t>g</w:t>
      </w:r>
      <w:r w:rsidR="00FC2F4A" w:rsidRPr="00FC2F4A">
        <w:rPr>
          <w:rFonts w:ascii="Times New Roman" w:hAnsi="Times New Roman" w:cs="Times New Roman"/>
          <w:sz w:val="24"/>
          <w:szCs w:val="24"/>
        </w:rPr>
        <w:t>overnment expenditure on education</w:t>
      </w:r>
      <w:r w:rsidR="00160337">
        <w:rPr>
          <w:rFonts w:ascii="Times New Roman" w:hAnsi="Times New Roman" w:cs="Times New Roman"/>
          <w:sz w:val="24"/>
          <w:szCs w:val="24"/>
        </w:rPr>
        <w:t xml:space="preserve"> (as a share of GDP)</w:t>
      </w:r>
      <w:r w:rsidR="00FC2F4A">
        <w:rPr>
          <w:rFonts w:ascii="Times New Roman" w:hAnsi="Times New Roman" w:cs="Times New Roman"/>
          <w:sz w:val="24"/>
          <w:szCs w:val="24"/>
        </w:rPr>
        <w:t>, w</w:t>
      </w:r>
      <w:r w:rsidR="00FC2F4A" w:rsidRPr="00FC2F4A">
        <w:rPr>
          <w:rFonts w:ascii="Times New Roman" w:hAnsi="Times New Roman" w:cs="Times New Roman"/>
          <w:sz w:val="24"/>
          <w:szCs w:val="24"/>
        </w:rPr>
        <w:t>omen's share of seats at parliament</w:t>
      </w:r>
      <w:r w:rsidR="00FC2F4A">
        <w:rPr>
          <w:rFonts w:ascii="Times New Roman" w:hAnsi="Times New Roman" w:cs="Times New Roman"/>
          <w:sz w:val="24"/>
          <w:szCs w:val="24"/>
        </w:rPr>
        <w:t xml:space="preserve"> explain relatively lower share of total inertia for both of the analyses. It’s notable that employment, education and health related variables tend to explain </w:t>
      </w:r>
      <w:r w:rsidR="00160337">
        <w:rPr>
          <w:rFonts w:ascii="Times New Roman" w:hAnsi="Times New Roman" w:cs="Times New Roman"/>
          <w:sz w:val="24"/>
          <w:szCs w:val="24"/>
        </w:rPr>
        <w:t xml:space="preserve">more of the variance in data and have more of a discriminating effect, health and education expenditure’s share in GDP are less prominent in terms of their relative effect. </w:t>
      </w:r>
      <w:r w:rsidR="009B3C2C">
        <w:rPr>
          <w:rFonts w:ascii="Times New Roman" w:hAnsi="Times New Roman" w:cs="Times New Roman"/>
          <w:sz w:val="24"/>
          <w:szCs w:val="24"/>
        </w:rPr>
        <w:t xml:space="preserve">Also </w:t>
      </w:r>
      <w:r>
        <w:rPr>
          <w:rFonts w:ascii="Times New Roman" w:hAnsi="Times New Roman" w:cs="Times New Roman"/>
          <w:sz w:val="24"/>
          <w:szCs w:val="24"/>
        </w:rPr>
        <w:t xml:space="preserve">comparing the results of first and second analyses, it can be observed that </w:t>
      </w:r>
      <w:r w:rsidR="009B3C2C">
        <w:rPr>
          <w:rFonts w:ascii="Times New Roman" w:hAnsi="Times New Roman" w:cs="Times New Roman"/>
          <w:sz w:val="24"/>
          <w:szCs w:val="24"/>
        </w:rPr>
        <w:t xml:space="preserve">including life expectancy </w:t>
      </w:r>
      <w:r>
        <w:rPr>
          <w:rFonts w:ascii="Times New Roman" w:hAnsi="Times New Roman" w:cs="Times New Roman"/>
          <w:sz w:val="24"/>
          <w:szCs w:val="24"/>
        </w:rPr>
        <w:t xml:space="preserve">variable </w:t>
      </w:r>
      <w:r w:rsidR="009B3C2C">
        <w:rPr>
          <w:rFonts w:ascii="Times New Roman" w:hAnsi="Times New Roman" w:cs="Times New Roman"/>
          <w:sz w:val="24"/>
          <w:szCs w:val="24"/>
        </w:rPr>
        <w:t>separately in the analysis reduced the effect of mortality rates as they explain less than 5% of the inertia now.</w:t>
      </w:r>
    </w:p>
    <w:p w14:paraId="5DD5D06C" w14:textId="33AF111B" w:rsidR="0046268B" w:rsidRPr="0046268B" w:rsidRDefault="0046268B" w:rsidP="0046268B">
      <w:pPr>
        <w:pStyle w:val="Caption"/>
        <w:keepNext/>
        <w:jc w:val="center"/>
        <w:rPr>
          <w:sz w:val="24"/>
          <w:szCs w:val="24"/>
        </w:rPr>
      </w:pPr>
      <w:r w:rsidRPr="0046268B">
        <w:rPr>
          <w:sz w:val="24"/>
          <w:szCs w:val="24"/>
        </w:rPr>
        <w:lastRenderedPageBreak/>
        <w:t>Figure 2. Graphical illustration of categories</w:t>
      </w:r>
    </w:p>
    <w:p w14:paraId="12C0C255" w14:textId="3C9FBE13" w:rsidR="003B1D26" w:rsidRDefault="00423B79" w:rsidP="0046268B">
      <w:pPr>
        <w:keepNext/>
        <w:spacing w:line="240" w:lineRule="auto"/>
        <w:jc w:val="center"/>
        <w:rPr>
          <w:rFonts w:ascii="Times New Roman" w:hAnsi="Times New Roman" w:cs="Times New Roman"/>
          <w:sz w:val="24"/>
          <w:szCs w:val="24"/>
        </w:rPr>
      </w:pPr>
      <w:r>
        <w:rPr>
          <w:noProof/>
        </w:rPr>
        <w:drawing>
          <wp:inline distT="0" distB="0" distL="0" distR="0" wp14:anchorId="7E47E0BF" wp14:editId="041E72F4">
            <wp:extent cx="3147060" cy="5722538"/>
            <wp:effectExtent l="0" t="0" r="0" b="0"/>
            <wp:docPr id="2" name="Picture 1" descr="Chart, scatter chart&#10;&#10;Description automatically generated">
              <a:extLst xmlns:a="http://schemas.openxmlformats.org/drawingml/2006/main">
                <a:ext uri="{FF2B5EF4-FFF2-40B4-BE49-F238E27FC236}">
                  <a16:creationId xmlns:a16="http://schemas.microsoft.com/office/drawing/2014/main" id="{16100CAA-2251-4F53-91A9-47BA851C83C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hart, scatter chart&#10;&#10;Description automatically generated">
                      <a:extLst>
                        <a:ext uri="{FF2B5EF4-FFF2-40B4-BE49-F238E27FC236}">
                          <a16:creationId xmlns:a16="http://schemas.microsoft.com/office/drawing/2014/main" id="{16100CAA-2251-4F53-91A9-47BA851C83C4}"/>
                        </a:ext>
                      </a:extLst>
                    </pic:cNvPr>
                    <pic:cNvPicPr>
                      <a:picLocks noChangeAspect="1"/>
                    </pic:cNvPicPr>
                  </pic:nvPicPr>
                  <pic:blipFill>
                    <a:blip r:embed="rId11"/>
                    <a:stretch>
                      <a:fillRect/>
                    </a:stretch>
                  </pic:blipFill>
                  <pic:spPr>
                    <a:xfrm>
                      <a:off x="0" y="0"/>
                      <a:ext cx="3149706" cy="5727349"/>
                    </a:xfrm>
                    <a:prstGeom prst="rect">
                      <a:avLst/>
                    </a:prstGeom>
                  </pic:spPr>
                </pic:pic>
              </a:graphicData>
            </a:graphic>
          </wp:inline>
        </w:drawing>
      </w:r>
    </w:p>
    <w:p w14:paraId="574BACD4" w14:textId="3CB2959C" w:rsidR="005407FA" w:rsidRPr="00D014C7" w:rsidRDefault="005407FA" w:rsidP="0065207C">
      <w:pPr>
        <w:spacing w:line="240" w:lineRule="auto"/>
        <w:ind w:firstLine="851"/>
        <w:jc w:val="both"/>
        <w:rPr>
          <w:rFonts w:ascii="Times New Roman" w:hAnsi="Times New Roman" w:cs="Times New Roman"/>
          <w:sz w:val="24"/>
          <w:szCs w:val="24"/>
        </w:rPr>
      </w:pPr>
      <w:r w:rsidRPr="00160337">
        <w:rPr>
          <w:rFonts w:ascii="Times New Roman" w:hAnsi="Times New Roman" w:cs="Times New Roman"/>
          <w:sz w:val="24"/>
          <w:szCs w:val="24"/>
        </w:rPr>
        <w:t>The general pattern in Figure 2 is similar to Figure 1, while high and medium levels are closer to each other than low values are, they are also closer to origin. While low values in most categories are scattered in the plot and less strongly associated with</w:t>
      </w:r>
      <w:r w:rsidR="00160337">
        <w:rPr>
          <w:rFonts w:ascii="Times New Roman" w:hAnsi="Times New Roman" w:cs="Times New Roman"/>
          <w:sz w:val="24"/>
          <w:szCs w:val="24"/>
        </w:rPr>
        <w:t xml:space="preserve"> each other for some of the categories</w:t>
      </w:r>
      <w:r w:rsidRPr="00160337">
        <w:rPr>
          <w:rFonts w:ascii="Times New Roman" w:hAnsi="Times New Roman" w:cs="Times New Roman"/>
          <w:sz w:val="24"/>
          <w:szCs w:val="24"/>
        </w:rPr>
        <w:t>, they seem to be more discriminating on the results than high and medium values.</w:t>
      </w:r>
      <w:r w:rsidR="00160337">
        <w:rPr>
          <w:rFonts w:ascii="Times New Roman" w:hAnsi="Times New Roman" w:cs="Times New Roman"/>
          <w:sz w:val="24"/>
          <w:szCs w:val="24"/>
        </w:rPr>
        <w:t xml:space="preserve"> </w:t>
      </w:r>
      <w:r w:rsidR="00160337" w:rsidRPr="00160337">
        <w:rPr>
          <w:rFonts w:ascii="Times New Roman" w:hAnsi="Times New Roman" w:cs="Times New Roman"/>
          <w:sz w:val="24"/>
          <w:szCs w:val="24"/>
        </w:rPr>
        <w:t>GNI per capita’s</w:t>
      </w:r>
      <w:r w:rsidR="00160337" w:rsidRPr="00160337">
        <w:rPr>
          <w:rFonts w:ascii="Times New Roman" w:hAnsi="Times New Roman" w:cs="Times New Roman"/>
          <w:sz w:val="24"/>
          <w:szCs w:val="24"/>
        </w:rPr>
        <w:t xml:space="preserve"> placement in the graphs is also consistent with the literature that interactions among SDGs differ according to income level</w:t>
      </w:r>
      <w:r w:rsidR="0065207C">
        <w:rPr>
          <w:rFonts w:ascii="Times New Roman" w:hAnsi="Times New Roman" w:cs="Times New Roman"/>
          <w:sz w:val="24"/>
          <w:szCs w:val="24"/>
        </w:rPr>
        <w:t xml:space="preserve"> (</w:t>
      </w:r>
      <w:r w:rsidR="0065207C" w:rsidRPr="00D014C7">
        <w:rPr>
          <w:rFonts w:ascii="Times New Roman" w:hAnsi="Times New Roman" w:cs="Times New Roman"/>
          <w:color w:val="222222"/>
          <w:sz w:val="24"/>
          <w:szCs w:val="24"/>
          <w:shd w:val="clear" w:color="auto" w:fill="FFFFFF"/>
        </w:rPr>
        <w:t>Lusseau and Mancini</w:t>
      </w:r>
      <w:r w:rsidR="0065207C">
        <w:rPr>
          <w:rFonts w:ascii="Times New Roman" w:hAnsi="Times New Roman" w:cs="Times New Roman"/>
          <w:color w:val="222222"/>
          <w:sz w:val="24"/>
          <w:szCs w:val="24"/>
          <w:shd w:val="clear" w:color="auto" w:fill="FFFFFF"/>
        </w:rPr>
        <w:t>, 2019)</w:t>
      </w:r>
      <w:r w:rsidR="00160337" w:rsidRPr="00160337">
        <w:rPr>
          <w:rFonts w:ascii="Times New Roman" w:hAnsi="Times New Roman" w:cs="Times New Roman"/>
          <w:sz w:val="24"/>
          <w:szCs w:val="24"/>
        </w:rPr>
        <w:t>. On the low level of GNI per capita, the other variables on the same level are scattered and less strongly associated with each other</w:t>
      </w:r>
      <w:r w:rsidR="00160337" w:rsidRPr="00160337">
        <w:rPr>
          <w:rFonts w:ascii="Times New Roman" w:hAnsi="Times New Roman" w:cs="Times New Roman"/>
          <w:sz w:val="24"/>
          <w:szCs w:val="24"/>
        </w:rPr>
        <w:t xml:space="preserve"> w</w:t>
      </w:r>
      <w:r w:rsidR="00160337" w:rsidRPr="00160337">
        <w:rPr>
          <w:rFonts w:ascii="Times New Roman" w:hAnsi="Times New Roman" w:cs="Times New Roman"/>
          <w:sz w:val="24"/>
          <w:szCs w:val="24"/>
        </w:rPr>
        <w:t>hile countries with high income are consistently associated with high level on other variables.</w:t>
      </w:r>
    </w:p>
    <w:p w14:paraId="13120DED" w14:textId="49B3DAD5" w:rsidR="0015413B" w:rsidRPr="00D014C7" w:rsidRDefault="0015413B" w:rsidP="00766385">
      <w:pPr>
        <w:spacing w:before="120" w:line="240" w:lineRule="auto"/>
        <w:jc w:val="both"/>
        <w:rPr>
          <w:rFonts w:ascii="Times New Roman" w:hAnsi="Times New Roman" w:cs="Times New Roman"/>
          <w:b/>
          <w:bCs/>
          <w:sz w:val="24"/>
          <w:szCs w:val="24"/>
        </w:rPr>
      </w:pPr>
      <w:r w:rsidRPr="00D014C7">
        <w:rPr>
          <w:rFonts w:ascii="Times New Roman" w:hAnsi="Times New Roman" w:cs="Times New Roman"/>
          <w:b/>
          <w:bCs/>
          <w:sz w:val="24"/>
          <w:szCs w:val="24"/>
        </w:rPr>
        <w:t>5. CONCLUSION</w:t>
      </w:r>
    </w:p>
    <w:p w14:paraId="5485C4BB" w14:textId="0BEF80A7" w:rsidR="001877E8" w:rsidRDefault="0015413B" w:rsidP="009B3C2C">
      <w:pPr>
        <w:spacing w:line="240" w:lineRule="auto"/>
        <w:ind w:firstLine="851"/>
        <w:jc w:val="both"/>
        <w:rPr>
          <w:rFonts w:ascii="Times New Roman" w:hAnsi="Times New Roman" w:cs="Times New Roman"/>
          <w:sz w:val="24"/>
          <w:szCs w:val="24"/>
        </w:rPr>
      </w:pPr>
      <w:r w:rsidRPr="009B3C2C">
        <w:rPr>
          <w:rFonts w:ascii="Times New Roman" w:hAnsi="Times New Roman" w:cs="Times New Roman"/>
          <w:sz w:val="24"/>
          <w:szCs w:val="24"/>
        </w:rPr>
        <w:t xml:space="preserve">Human Development Index and Sustainable Development Goals and their indicators are critical measures of development economics. </w:t>
      </w:r>
      <w:r w:rsidR="009B3C2C">
        <w:rPr>
          <w:rFonts w:ascii="Times New Roman" w:hAnsi="Times New Roman" w:cs="Times New Roman"/>
          <w:sz w:val="24"/>
          <w:szCs w:val="24"/>
        </w:rPr>
        <w:t>M</w:t>
      </w:r>
      <w:r w:rsidRPr="009B3C2C">
        <w:rPr>
          <w:rFonts w:ascii="Times New Roman" w:hAnsi="Times New Roman" w:cs="Times New Roman"/>
          <w:sz w:val="24"/>
          <w:szCs w:val="24"/>
        </w:rPr>
        <w:t xml:space="preserve">ultiple correspondence analysis </w:t>
      </w:r>
      <w:r w:rsidR="0065207C">
        <w:rPr>
          <w:rFonts w:ascii="Times New Roman" w:hAnsi="Times New Roman" w:cs="Times New Roman"/>
          <w:sz w:val="24"/>
          <w:szCs w:val="24"/>
        </w:rPr>
        <w:t>was</w:t>
      </w:r>
      <w:r w:rsidRPr="009B3C2C">
        <w:rPr>
          <w:rFonts w:ascii="Times New Roman" w:hAnsi="Times New Roman" w:cs="Times New Roman"/>
          <w:sz w:val="24"/>
          <w:szCs w:val="24"/>
        </w:rPr>
        <w:t xml:space="preserve"> conducted to understand the relation between different indicators. Some of the indicators explain the variance (calculated by inertia in multiple correspondence analysis) more than others. The analysis shows that HDI</w:t>
      </w:r>
      <w:r w:rsidR="009B3C2C" w:rsidRPr="009B3C2C">
        <w:rPr>
          <w:rFonts w:ascii="Times New Roman" w:hAnsi="Times New Roman" w:cs="Times New Roman"/>
          <w:sz w:val="24"/>
          <w:szCs w:val="24"/>
        </w:rPr>
        <w:t xml:space="preserve"> and its components</w:t>
      </w:r>
      <w:r w:rsidR="0065207C">
        <w:rPr>
          <w:rFonts w:ascii="Times New Roman" w:hAnsi="Times New Roman" w:cs="Times New Roman"/>
          <w:sz w:val="24"/>
          <w:szCs w:val="24"/>
        </w:rPr>
        <w:t xml:space="preserve"> and</w:t>
      </w:r>
      <w:r w:rsidR="009B3C2C" w:rsidRPr="009B3C2C">
        <w:rPr>
          <w:rFonts w:ascii="Times New Roman" w:hAnsi="Times New Roman" w:cs="Times New Roman"/>
          <w:sz w:val="24"/>
          <w:szCs w:val="24"/>
        </w:rPr>
        <w:t xml:space="preserve"> other education and employment </w:t>
      </w:r>
      <w:r w:rsidR="009B3C2C" w:rsidRPr="009B3C2C">
        <w:rPr>
          <w:rFonts w:ascii="Times New Roman" w:hAnsi="Times New Roman" w:cs="Times New Roman"/>
          <w:sz w:val="24"/>
          <w:szCs w:val="24"/>
        </w:rPr>
        <w:lastRenderedPageBreak/>
        <w:t xml:space="preserve">related variables such as </w:t>
      </w:r>
      <w:r w:rsidR="009B3C2C" w:rsidRPr="009B3C2C">
        <w:rPr>
          <w:rFonts w:ascii="Times New Roman" w:hAnsi="Times New Roman" w:cs="Times New Roman"/>
          <w:sz w:val="24"/>
          <w:szCs w:val="24"/>
        </w:rPr>
        <w:t>youth not in school or employment, employment in agriculture, unemployment</w:t>
      </w:r>
      <w:r w:rsidR="009B3C2C" w:rsidRPr="009B3C2C">
        <w:rPr>
          <w:rFonts w:ascii="Times New Roman" w:hAnsi="Times New Roman" w:cs="Times New Roman"/>
          <w:sz w:val="24"/>
          <w:szCs w:val="24"/>
        </w:rPr>
        <w:t xml:space="preserve">, </w:t>
      </w:r>
      <w:r w:rsidR="009B3C2C" w:rsidRPr="009B3C2C">
        <w:rPr>
          <w:rFonts w:ascii="Times New Roman" w:hAnsi="Times New Roman" w:cs="Times New Roman"/>
          <w:sz w:val="24"/>
          <w:szCs w:val="24"/>
        </w:rPr>
        <w:t>employment in services</w:t>
      </w:r>
      <w:r w:rsidR="009B3C2C" w:rsidRPr="009B3C2C">
        <w:rPr>
          <w:rFonts w:ascii="Times New Roman" w:hAnsi="Times New Roman" w:cs="Times New Roman"/>
          <w:sz w:val="24"/>
          <w:szCs w:val="24"/>
        </w:rPr>
        <w:t xml:space="preserve"> </w:t>
      </w:r>
      <w:r w:rsidRPr="009B3C2C">
        <w:rPr>
          <w:rFonts w:ascii="Times New Roman" w:hAnsi="Times New Roman" w:cs="Times New Roman"/>
          <w:sz w:val="24"/>
          <w:szCs w:val="24"/>
        </w:rPr>
        <w:t>explain most variance in the data. Results indicate that being on the lower end of these indicators for countries are more influential in their place than being on middle or higher end. The relative place of different levels can give an idea about which indicators should be more focused on</w:t>
      </w:r>
      <w:r w:rsidR="00004DCF">
        <w:rPr>
          <w:rFonts w:ascii="Times New Roman" w:hAnsi="Times New Roman" w:cs="Times New Roman"/>
          <w:sz w:val="24"/>
          <w:szCs w:val="24"/>
        </w:rPr>
        <w:t xml:space="preserve"> in terms of policy making</w:t>
      </w:r>
      <w:r w:rsidRPr="009B3C2C">
        <w:rPr>
          <w:rFonts w:ascii="Times New Roman" w:hAnsi="Times New Roman" w:cs="Times New Roman"/>
          <w:sz w:val="24"/>
          <w:szCs w:val="24"/>
        </w:rPr>
        <w:t>.</w:t>
      </w:r>
      <w:r w:rsidR="009B3C2C">
        <w:rPr>
          <w:rFonts w:ascii="Times New Roman" w:hAnsi="Times New Roman" w:cs="Times New Roman"/>
          <w:sz w:val="24"/>
          <w:szCs w:val="24"/>
        </w:rPr>
        <w:t xml:space="preserve"> Although multiple correspondence analysis is useful for limited assumptions on data distribution or cases like collinearity</w:t>
      </w:r>
      <w:r w:rsidR="00004DCF">
        <w:rPr>
          <w:rFonts w:ascii="Times New Roman" w:hAnsi="Times New Roman" w:cs="Times New Roman"/>
          <w:sz w:val="24"/>
          <w:szCs w:val="24"/>
        </w:rPr>
        <w:t>,</w:t>
      </w:r>
      <w:r w:rsidR="009B3C2C">
        <w:rPr>
          <w:rFonts w:ascii="Times New Roman" w:hAnsi="Times New Roman" w:cs="Times New Roman"/>
          <w:sz w:val="24"/>
          <w:szCs w:val="24"/>
        </w:rPr>
        <w:t xml:space="preserve"> and provides simplified visualisations, it has limitations in terms of causal and inferential </w:t>
      </w:r>
      <w:r w:rsidR="001877E8">
        <w:rPr>
          <w:rFonts w:ascii="Times New Roman" w:hAnsi="Times New Roman" w:cs="Times New Roman"/>
          <w:sz w:val="24"/>
          <w:szCs w:val="24"/>
        </w:rPr>
        <w:t xml:space="preserve">explanations of data. The relationships found in this research should be considered more in terms of relative placement and proximity than cause and effect. But identifying these relations and proximity is critical for policy makers </w:t>
      </w:r>
      <w:r w:rsidR="001877E8" w:rsidRPr="001877E8">
        <w:rPr>
          <w:rFonts w:ascii="Times New Roman" w:hAnsi="Times New Roman" w:cs="Times New Roman"/>
          <w:sz w:val="24"/>
          <w:szCs w:val="24"/>
        </w:rPr>
        <w:t xml:space="preserve">to </w:t>
      </w:r>
      <w:r w:rsidR="00A515A4">
        <w:rPr>
          <w:rFonts w:ascii="Times New Roman" w:hAnsi="Times New Roman" w:cs="Times New Roman"/>
          <w:sz w:val="24"/>
          <w:szCs w:val="24"/>
        </w:rPr>
        <w:t xml:space="preserve">plan and </w:t>
      </w:r>
      <w:r w:rsidR="001877E8" w:rsidRPr="001877E8">
        <w:rPr>
          <w:rFonts w:ascii="Times New Roman" w:hAnsi="Times New Roman" w:cs="Times New Roman"/>
          <w:sz w:val="24"/>
          <w:szCs w:val="24"/>
        </w:rPr>
        <w:t>prioritize</w:t>
      </w:r>
      <w:r w:rsidR="00A515A4">
        <w:rPr>
          <w:rFonts w:ascii="Times New Roman" w:hAnsi="Times New Roman" w:cs="Times New Roman"/>
          <w:sz w:val="24"/>
          <w:szCs w:val="24"/>
        </w:rPr>
        <w:t xml:space="preserve"> an optimal</w:t>
      </w:r>
      <w:r w:rsidR="001877E8">
        <w:rPr>
          <w:rFonts w:ascii="Times New Roman" w:hAnsi="Times New Roman" w:cs="Times New Roman"/>
          <w:sz w:val="24"/>
          <w:szCs w:val="24"/>
        </w:rPr>
        <w:t xml:space="preserve"> action towards 2030 agenda.</w:t>
      </w:r>
      <w:r w:rsidR="001877E8" w:rsidRPr="001877E8">
        <w:rPr>
          <w:rFonts w:ascii="Times New Roman" w:hAnsi="Times New Roman" w:cs="Times New Roman"/>
          <w:sz w:val="24"/>
          <w:szCs w:val="24"/>
        </w:rPr>
        <w:t xml:space="preserve"> </w:t>
      </w:r>
    </w:p>
    <w:p w14:paraId="083739DF" w14:textId="2109E9DA" w:rsidR="0015413B" w:rsidRPr="0015413B" w:rsidRDefault="001877E8" w:rsidP="001877E8">
      <w:pPr>
        <w:rPr>
          <w:rFonts w:ascii="Times New Roman" w:hAnsi="Times New Roman" w:cs="Times New Roman"/>
        </w:rPr>
      </w:pPr>
      <w:r>
        <w:rPr>
          <w:rFonts w:ascii="Times New Roman" w:hAnsi="Times New Roman" w:cs="Times New Roman"/>
          <w:sz w:val="24"/>
          <w:szCs w:val="24"/>
        </w:rPr>
        <w:br w:type="page"/>
      </w:r>
    </w:p>
    <w:p w14:paraId="2B721CAC" w14:textId="77777777" w:rsidR="00850A38" w:rsidRPr="00F308FE" w:rsidRDefault="00850A38" w:rsidP="00D014C7">
      <w:pPr>
        <w:spacing w:line="240" w:lineRule="auto"/>
        <w:jc w:val="both"/>
        <w:rPr>
          <w:rFonts w:ascii="Times New Roman" w:hAnsi="Times New Roman" w:cs="Times New Roman"/>
          <w:b/>
          <w:bCs/>
          <w:sz w:val="24"/>
          <w:szCs w:val="24"/>
        </w:rPr>
      </w:pPr>
      <w:r w:rsidRPr="00052DD7">
        <w:rPr>
          <w:rFonts w:ascii="Times New Roman" w:hAnsi="Times New Roman" w:cs="Times New Roman"/>
          <w:b/>
          <w:bCs/>
          <w:sz w:val="24"/>
          <w:szCs w:val="24"/>
        </w:rPr>
        <w:lastRenderedPageBreak/>
        <w:t>REFERENCES</w:t>
      </w:r>
    </w:p>
    <w:p w14:paraId="25254AC9" w14:textId="4F9B79B3" w:rsidR="005F0526" w:rsidRDefault="005F0526" w:rsidP="00052DD7">
      <w:pPr>
        <w:spacing w:line="240" w:lineRule="auto"/>
        <w:ind w:left="720" w:hanging="720"/>
        <w:jc w:val="both"/>
        <w:rPr>
          <w:rFonts w:ascii="Times New Roman" w:hAnsi="Times New Roman" w:cs="Times New Roman"/>
          <w:color w:val="222222"/>
          <w:sz w:val="24"/>
          <w:szCs w:val="24"/>
          <w:shd w:val="clear" w:color="auto" w:fill="FFFFFF"/>
        </w:rPr>
      </w:pPr>
      <w:r w:rsidRPr="00F308FE">
        <w:rPr>
          <w:rFonts w:ascii="Times New Roman" w:hAnsi="Times New Roman" w:cs="Times New Roman"/>
          <w:color w:val="222222"/>
          <w:sz w:val="24"/>
          <w:szCs w:val="24"/>
          <w:shd w:val="clear" w:color="auto" w:fill="FFFFFF"/>
        </w:rPr>
        <w:t>Abdi, H., &amp; Valentin, D.</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(2007)</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Multiple correspondence analysis</w:t>
      </w:r>
      <w:r w:rsidR="00D46B2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Encyclopedia of measurement and statistics</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2</w:t>
      </w:r>
      <w:r w:rsidRPr="00F308FE">
        <w:rPr>
          <w:rFonts w:ascii="Times New Roman" w:hAnsi="Times New Roman" w:cs="Times New Roman"/>
          <w:color w:val="222222"/>
          <w:sz w:val="24"/>
          <w:szCs w:val="24"/>
          <w:shd w:val="clear" w:color="auto" w:fill="FFFFFF"/>
        </w:rPr>
        <w:t>(4), 651-657.</w:t>
      </w:r>
    </w:p>
    <w:p w14:paraId="0D5C35E4" w14:textId="703848C5" w:rsidR="00EB0D79" w:rsidRPr="00EB0D79" w:rsidRDefault="00EB0D79" w:rsidP="00052DD7">
      <w:pPr>
        <w:spacing w:line="240" w:lineRule="auto"/>
        <w:ind w:left="720" w:hanging="720"/>
        <w:jc w:val="both"/>
        <w:rPr>
          <w:rFonts w:ascii="Times New Roman" w:hAnsi="Times New Roman" w:cs="Times New Roman"/>
          <w:color w:val="222222"/>
          <w:sz w:val="24"/>
          <w:szCs w:val="24"/>
          <w:shd w:val="clear" w:color="auto" w:fill="FFFFFF"/>
        </w:rPr>
      </w:pPr>
      <w:r w:rsidRPr="00EB0D79">
        <w:rPr>
          <w:rFonts w:ascii="Times New Roman" w:hAnsi="Times New Roman" w:cs="Times New Roman"/>
          <w:color w:val="222222"/>
          <w:sz w:val="24"/>
          <w:szCs w:val="24"/>
          <w:shd w:val="clear" w:color="auto" w:fill="FFFFFF"/>
        </w:rPr>
        <w:t>Ambapour, S.</w:t>
      </w:r>
      <w:r>
        <w:rPr>
          <w:rFonts w:ascii="Times New Roman" w:hAnsi="Times New Roman" w:cs="Times New Roman"/>
          <w:color w:val="222222"/>
          <w:sz w:val="24"/>
          <w:szCs w:val="24"/>
          <w:shd w:val="clear" w:color="auto" w:fill="FFFFFF"/>
        </w:rPr>
        <w:t>,</w:t>
      </w:r>
      <w:r w:rsidRPr="00EB0D79">
        <w:rPr>
          <w:rFonts w:ascii="Times New Roman" w:hAnsi="Times New Roman" w:cs="Times New Roman"/>
          <w:color w:val="222222"/>
          <w:sz w:val="24"/>
          <w:szCs w:val="24"/>
          <w:shd w:val="clear" w:color="auto" w:fill="FFFFFF"/>
        </w:rPr>
        <w:t xml:space="preserve"> (2020)</w:t>
      </w:r>
      <w:r>
        <w:rPr>
          <w:rFonts w:ascii="Times New Roman" w:hAnsi="Times New Roman" w:cs="Times New Roman"/>
          <w:color w:val="222222"/>
          <w:sz w:val="24"/>
          <w:szCs w:val="24"/>
          <w:shd w:val="clear" w:color="auto" w:fill="FFFFFF"/>
        </w:rPr>
        <w:t>,</w:t>
      </w:r>
      <w:r w:rsidRPr="00EB0D79">
        <w:rPr>
          <w:rFonts w:ascii="Times New Roman" w:hAnsi="Times New Roman" w:cs="Times New Roman"/>
          <w:color w:val="222222"/>
          <w:sz w:val="24"/>
          <w:szCs w:val="24"/>
          <w:shd w:val="clear" w:color="auto" w:fill="FFFFFF"/>
        </w:rPr>
        <w:t xml:space="preserve"> Using Multiple Correspondence Analysis to Measure Multidimensional Poverty in Congo</w:t>
      </w:r>
      <w:r w:rsidR="00D46B27">
        <w:rPr>
          <w:rFonts w:ascii="Times New Roman" w:hAnsi="Times New Roman" w:cs="Times New Roman"/>
          <w:color w:val="222222"/>
          <w:sz w:val="24"/>
          <w:szCs w:val="24"/>
          <w:shd w:val="clear" w:color="auto" w:fill="FFFFFF"/>
        </w:rPr>
        <w:t>,</w:t>
      </w:r>
      <w:r w:rsidRPr="00EB0D79">
        <w:rPr>
          <w:rFonts w:ascii="Times New Roman" w:hAnsi="Times New Roman" w:cs="Times New Roman"/>
          <w:color w:val="222222"/>
          <w:sz w:val="24"/>
          <w:szCs w:val="24"/>
          <w:shd w:val="clear" w:color="auto" w:fill="FFFFFF"/>
        </w:rPr>
        <w:t> </w:t>
      </w:r>
      <w:r w:rsidRPr="00EB0D79">
        <w:rPr>
          <w:rFonts w:ascii="Times New Roman" w:hAnsi="Times New Roman" w:cs="Times New Roman"/>
          <w:i/>
          <w:iCs/>
          <w:color w:val="222222"/>
          <w:sz w:val="24"/>
          <w:szCs w:val="24"/>
          <w:shd w:val="clear" w:color="auto" w:fill="FFFFFF"/>
        </w:rPr>
        <w:t>Journal of Data Analysis and Information Processing</w:t>
      </w:r>
      <w:r w:rsidRPr="00EB0D79">
        <w:rPr>
          <w:rFonts w:ascii="Times New Roman" w:hAnsi="Times New Roman" w:cs="Times New Roman"/>
          <w:color w:val="222222"/>
          <w:sz w:val="24"/>
          <w:szCs w:val="24"/>
          <w:shd w:val="clear" w:color="auto" w:fill="FFFFFF"/>
        </w:rPr>
        <w:t>, </w:t>
      </w:r>
      <w:r w:rsidRPr="00EB0D79">
        <w:rPr>
          <w:rFonts w:ascii="Times New Roman" w:hAnsi="Times New Roman" w:cs="Times New Roman"/>
          <w:i/>
          <w:iCs/>
          <w:color w:val="222222"/>
          <w:sz w:val="24"/>
          <w:szCs w:val="24"/>
          <w:shd w:val="clear" w:color="auto" w:fill="FFFFFF"/>
        </w:rPr>
        <w:t>8</w:t>
      </w:r>
      <w:r w:rsidRPr="00EB0D79">
        <w:rPr>
          <w:rFonts w:ascii="Times New Roman" w:hAnsi="Times New Roman" w:cs="Times New Roman"/>
          <w:color w:val="222222"/>
          <w:sz w:val="24"/>
          <w:szCs w:val="24"/>
          <w:shd w:val="clear" w:color="auto" w:fill="FFFFFF"/>
        </w:rPr>
        <w:t>(4), 241-266.</w:t>
      </w:r>
    </w:p>
    <w:p w14:paraId="0D337759" w14:textId="5E65A787" w:rsidR="00F12008" w:rsidRPr="00F308FE" w:rsidRDefault="00F12008" w:rsidP="00052DD7">
      <w:pPr>
        <w:spacing w:line="240" w:lineRule="auto"/>
        <w:ind w:left="720" w:hanging="720"/>
        <w:jc w:val="both"/>
        <w:rPr>
          <w:rFonts w:ascii="Times New Roman" w:hAnsi="Times New Roman" w:cs="Times New Roman"/>
          <w:sz w:val="24"/>
          <w:szCs w:val="24"/>
        </w:rPr>
      </w:pPr>
      <w:r w:rsidRPr="00F12008">
        <w:rPr>
          <w:rFonts w:ascii="Times New Roman" w:hAnsi="Times New Roman" w:cs="Times New Roman"/>
          <w:color w:val="222222"/>
          <w:sz w:val="24"/>
          <w:szCs w:val="24"/>
          <w:shd w:val="clear" w:color="auto" w:fill="FFFFFF"/>
        </w:rPr>
        <w:t>Asselin, L. M., &amp; Anh, V. T</w:t>
      </w:r>
      <w:r>
        <w:rPr>
          <w:rFonts w:ascii="Times New Roman" w:hAnsi="Times New Roman" w:cs="Times New Roman"/>
          <w:color w:val="222222"/>
          <w:sz w:val="24"/>
          <w:szCs w:val="24"/>
          <w:shd w:val="clear" w:color="auto" w:fill="FFFFFF"/>
        </w:rPr>
        <w:t>.,</w:t>
      </w:r>
      <w:r w:rsidRPr="00F12008">
        <w:rPr>
          <w:rFonts w:ascii="Times New Roman" w:hAnsi="Times New Roman" w:cs="Times New Roman"/>
          <w:color w:val="222222"/>
          <w:sz w:val="24"/>
          <w:szCs w:val="24"/>
          <w:shd w:val="clear" w:color="auto" w:fill="FFFFFF"/>
        </w:rPr>
        <w:t xml:space="preserve"> (2008)</w:t>
      </w:r>
      <w:r>
        <w:rPr>
          <w:rFonts w:ascii="Times New Roman" w:hAnsi="Times New Roman" w:cs="Times New Roman"/>
          <w:color w:val="222222"/>
          <w:sz w:val="24"/>
          <w:szCs w:val="24"/>
          <w:shd w:val="clear" w:color="auto" w:fill="FFFFFF"/>
        </w:rPr>
        <w:t>,</w:t>
      </w:r>
      <w:r w:rsidRPr="00F12008">
        <w:rPr>
          <w:rFonts w:ascii="Times New Roman" w:hAnsi="Times New Roman" w:cs="Times New Roman"/>
          <w:color w:val="222222"/>
          <w:sz w:val="24"/>
          <w:szCs w:val="24"/>
          <w:shd w:val="clear" w:color="auto" w:fill="FFFFFF"/>
        </w:rPr>
        <w:t xml:space="preserve"> Multidimensional poverty and multiple correspondence analysis</w:t>
      </w:r>
      <w:r w:rsidR="00D46B27">
        <w:rPr>
          <w:rFonts w:ascii="Times New Roman" w:hAnsi="Times New Roman" w:cs="Times New Roman"/>
          <w:color w:val="222222"/>
          <w:sz w:val="24"/>
          <w:szCs w:val="24"/>
          <w:shd w:val="clear" w:color="auto" w:fill="FFFFFF"/>
        </w:rPr>
        <w:t>,</w:t>
      </w:r>
      <w:r w:rsidRPr="00F12008">
        <w:rPr>
          <w:rFonts w:ascii="Times New Roman" w:hAnsi="Times New Roman" w:cs="Times New Roman"/>
          <w:color w:val="222222"/>
          <w:sz w:val="24"/>
          <w:szCs w:val="24"/>
          <w:shd w:val="clear" w:color="auto" w:fill="FFFFFF"/>
        </w:rPr>
        <w:t xml:space="preserve"> In </w:t>
      </w:r>
      <w:r w:rsidRPr="00F12008">
        <w:rPr>
          <w:rFonts w:ascii="Times New Roman" w:hAnsi="Times New Roman" w:cs="Times New Roman"/>
          <w:i/>
          <w:iCs/>
          <w:color w:val="222222"/>
          <w:sz w:val="24"/>
          <w:szCs w:val="24"/>
          <w:shd w:val="clear" w:color="auto" w:fill="FFFFFF"/>
        </w:rPr>
        <w:t>Quantitative approaches to multidimensional poverty measurement</w:t>
      </w:r>
      <w:r w:rsidRPr="00F12008">
        <w:rPr>
          <w:rFonts w:ascii="Times New Roman" w:hAnsi="Times New Roman" w:cs="Times New Roman"/>
          <w:color w:val="222222"/>
          <w:sz w:val="24"/>
          <w:szCs w:val="24"/>
          <w:shd w:val="clear" w:color="auto" w:fill="FFFFFF"/>
        </w:rPr>
        <w:t> (pp. 80-103)</w:t>
      </w:r>
      <w:r w:rsidR="00D46B27">
        <w:rPr>
          <w:rFonts w:ascii="Times New Roman" w:hAnsi="Times New Roman" w:cs="Times New Roman"/>
          <w:color w:val="222222"/>
          <w:sz w:val="24"/>
          <w:szCs w:val="24"/>
          <w:shd w:val="clear" w:color="auto" w:fill="FFFFFF"/>
        </w:rPr>
        <w:t>,</w:t>
      </w:r>
      <w:r w:rsidRPr="00F12008">
        <w:rPr>
          <w:rFonts w:ascii="Times New Roman" w:hAnsi="Times New Roman" w:cs="Times New Roman"/>
          <w:color w:val="222222"/>
          <w:sz w:val="24"/>
          <w:szCs w:val="24"/>
          <w:shd w:val="clear" w:color="auto" w:fill="FFFFFF"/>
        </w:rPr>
        <w:t xml:space="preserve"> Palgrave Macmillan, London</w:t>
      </w:r>
      <w:r>
        <w:rPr>
          <w:rFonts w:ascii="Arial" w:hAnsi="Arial" w:cs="Arial"/>
          <w:color w:val="222222"/>
          <w:sz w:val="20"/>
          <w:szCs w:val="20"/>
          <w:shd w:val="clear" w:color="auto" w:fill="FFFFFF"/>
        </w:rPr>
        <w:t>.</w:t>
      </w:r>
    </w:p>
    <w:p w14:paraId="44681E4C" w14:textId="23CFE10F" w:rsidR="005F0526" w:rsidRPr="00F308FE" w:rsidRDefault="005F0526" w:rsidP="00052DD7">
      <w:pPr>
        <w:spacing w:line="240" w:lineRule="auto"/>
        <w:ind w:left="720" w:hanging="720"/>
        <w:jc w:val="both"/>
        <w:rPr>
          <w:rFonts w:ascii="Times New Roman" w:hAnsi="Times New Roman" w:cs="Times New Roman"/>
          <w:sz w:val="24"/>
          <w:szCs w:val="24"/>
        </w:rPr>
      </w:pPr>
      <w:r w:rsidRPr="00F308FE">
        <w:rPr>
          <w:rFonts w:ascii="Times New Roman" w:hAnsi="Times New Roman" w:cs="Times New Roman"/>
          <w:sz w:val="24"/>
          <w:szCs w:val="24"/>
          <w:shd w:val="clear" w:color="auto" w:fill="FFFFFF"/>
        </w:rPr>
        <w:t>Beh, E. J., &amp; Lombardo, R.</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(2014)</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Correspondence analysis: Theory, practice and new strategies</w:t>
      </w:r>
      <w:r w:rsidR="00D46B2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John Wiley &amp; Sons.</w:t>
      </w:r>
    </w:p>
    <w:p w14:paraId="029D92EC" w14:textId="1F7156AB" w:rsidR="005F0526" w:rsidRDefault="005F0526" w:rsidP="00052DD7">
      <w:pPr>
        <w:spacing w:line="240" w:lineRule="auto"/>
        <w:ind w:left="720" w:hanging="720"/>
        <w:jc w:val="both"/>
        <w:rPr>
          <w:rFonts w:ascii="Times New Roman" w:hAnsi="Times New Roman" w:cs="Times New Roman"/>
          <w:sz w:val="24"/>
          <w:szCs w:val="24"/>
        </w:rPr>
      </w:pPr>
      <w:r w:rsidRPr="00F308FE">
        <w:rPr>
          <w:rFonts w:ascii="Times New Roman" w:hAnsi="Times New Roman" w:cs="Times New Roman"/>
          <w:sz w:val="24"/>
          <w:szCs w:val="24"/>
        </w:rPr>
        <w:t>Bulut, H.</w:t>
      </w:r>
      <w:r w:rsidR="00052DD7">
        <w:rPr>
          <w:rFonts w:ascii="Times New Roman" w:hAnsi="Times New Roman" w:cs="Times New Roman"/>
          <w:sz w:val="24"/>
          <w:szCs w:val="24"/>
        </w:rPr>
        <w:t>,</w:t>
      </w:r>
      <w:r w:rsidRPr="00F308FE">
        <w:rPr>
          <w:rFonts w:ascii="Times New Roman" w:hAnsi="Times New Roman" w:cs="Times New Roman"/>
          <w:sz w:val="24"/>
          <w:szCs w:val="24"/>
        </w:rPr>
        <w:t xml:space="preserve"> (2018)</w:t>
      </w:r>
      <w:r w:rsidR="00052DD7">
        <w:rPr>
          <w:rFonts w:ascii="Times New Roman" w:hAnsi="Times New Roman" w:cs="Times New Roman"/>
          <w:sz w:val="24"/>
          <w:szCs w:val="24"/>
        </w:rPr>
        <w:t>,</w:t>
      </w:r>
      <w:r w:rsidRPr="00F308FE">
        <w:rPr>
          <w:rFonts w:ascii="Times New Roman" w:hAnsi="Times New Roman" w:cs="Times New Roman"/>
          <w:sz w:val="24"/>
          <w:szCs w:val="24"/>
        </w:rPr>
        <w:t xml:space="preserve"> </w:t>
      </w:r>
      <w:r w:rsidRPr="00F308FE">
        <w:rPr>
          <w:rFonts w:ascii="Times New Roman" w:hAnsi="Times New Roman" w:cs="Times New Roman"/>
          <w:i/>
          <w:iCs/>
          <w:sz w:val="24"/>
          <w:szCs w:val="24"/>
        </w:rPr>
        <w:t>R Uygulamaları ile Çok Değişkenli İstatistiksel Yöntemler</w:t>
      </w:r>
      <w:r w:rsidR="00D46B27">
        <w:rPr>
          <w:rFonts w:ascii="Times New Roman" w:hAnsi="Times New Roman" w:cs="Times New Roman"/>
          <w:sz w:val="24"/>
          <w:szCs w:val="24"/>
        </w:rPr>
        <w:t>,</w:t>
      </w:r>
      <w:r w:rsidRPr="00F308FE">
        <w:rPr>
          <w:rFonts w:ascii="Times New Roman" w:hAnsi="Times New Roman" w:cs="Times New Roman"/>
          <w:sz w:val="24"/>
          <w:szCs w:val="24"/>
        </w:rPr>
        <w:t xml:space="preserve"> Ankara: Nobel Akademik Yayıncılık.</w:t>
      </w:r>
    </w:p>
    <w:p w14:paraId="4C007295" w14:textId="5C94ECE5" w:rsidR="00B477AE" w:rsidRDefault="00B477AE" w:rsidP="00052DD7">
      <w:pPr>
        <w:spacing w:line="240" w:lineRule="auto"/>
        <w:ind w:left="720" w:hanging="720"/>
        <w:jc w:val="both"/>
        <w:rPr>
          <w:rFonts w:ascii="Times New Roman" w:hAnsi="Times New Roman" w:cs="Times New Roman"/>
          <w:sz w:val="24"/>
          <w:szCs w:val="24"/>
        </w:rPr>
      </w:pPr>
      <w:r w:rsidRPr="00B477AE">
        <w:rPr>
          <w:rFonts w:ascii="Times New Roman" w:hAnsi="Times New Roman" w:cs="Times New Roman"/>
          <w:color w:val="222222"/>
          <w:sz w:val="24"/>
          <w:szCs w:val="24"/>
          <w:shd w:val="clear" w:color="auto" w:fill="FFFFFF"/>
        </w:rPr>
        <w:t>Ezzrari, A., &amp; Verme, P.</w:t>
      </w:r>
      <w:r>
        <w:rPr>
          <w:rFonts w:ascii="Times New Roman" w:hAnsi="Times New Roman" w:cs="Times New Roman"/>
          <w:color w:val="222222"/>
          <w:sz w:val="24"/>
          <w:szCs w:val="24"/>
          <w:shd w:val="clear" w:color="auto" w:fill="FFFFFF"/>
        </w:rPr>
        <w:t>,</w:t>
      </w:r>
      <w:r w:rsidRPr="00B477AE">
        <w:rPr>
          <w:rFonts w:ascii="Times New Roman" w:hAnsi="Times New Roman" w:cs="Times New Roman"/>
          <w:color w:val="222222"/>
          <w:sz w:val="24"/>
          <w:szCs w:val="24"/>
          <w:shd w:val="clear" w:color="auto" w:fill="FFFFFF"/>
        </w:rPr>
        <w:t xml:space="preserve"> (2013)</w:t>
      </w:r>
      <w:r>
        <w:rPr>
          <w:rFonts w:ascii="Times New Roman" w:hAnsi="Times New Roman" w:cs="Times New Roman"/>
          <w:color w:val="222222"/>
          <w:sz w:val="24"/>
          <w:szCs w:val="24"/>
          <w:shd w:val="clear" w:color="auto" w:fill="FFFFFF"/>
        </w:rPr>
        <w:t>,</w:t>
      </w:r>
      <w:r w:rsidRPr="00B477AE">
        <w:rPr>
          <w:rFonts w:ascii="Times New Roman" w:hAnsi="Times New Roman" w:cs="Times New Roman"/>
          <w:color w:val="222222"/>
          <w:sz w:val="24"/>
          <w:szCs w:val="24"/>
          <w:shd w:val="clear" w:color="auto" w:fill="FFFFFF"/>
        </w:rPr>
        <w:t xml:space="preserve"> A multiple correspondence analysis approach to the measurement of multidimensional poverty in Morocco 2001–2007</w:t>
      </w:r>
      <w:r w:rsidR="00D46B27">
        <w:rPr>
          <w:rFonts w:ascii="Times New Roman" w:hAnsi="Times New Roman" w:cs="Times New Roman"/>
          <w:color w:val="222222"/>
          <w:sz w:val="24"/>
          <w:szCs w:val="24"/>
          <w:shd w:val="clear" w:color="auto" w:fill="FFFFFF"/>
        </w:rPr>
        <w:t>,</w:t>
      </w:r>
      <w:r w:rsidRPr="00B477AE">
        <w:rPr>
          <w:rFonts w:ascii="Times New Roman" w:hAnsi="Times New Roman" w:cs="Times New Roman"/>
          <w:color w:val="222222"/>
          <w:sz w:val="24"/>
          <w:szCs w:val="24"/>
          <w:shd w:val="clear" w:color="auto" w:fill="FFFFFF"/>
        </w:rPr>
        <w:t xml:space="preserve"> In </w:t>
      </w:r>
      <w:r w:rsidRPr="00B477AE">
        <w:rPr>
          <w:rFonts w:ascii="Times New Roman" w:hAnsi="Times New Roman" w:cs="Times New Roman"/>
          <w:i/>
          <w:iCs/>
          <w:color w:val="222222"/>
          <w:sz w:val="24"/>
          <w:szCs w:val="24"/>
          <w:shd w:val="clear" w:color="auto" w:fill="FFFFFF"/>
        </w:rPr>
        <w:t>Poverty and social exclusion around the mediterranean sea</w:t>
      </w:r>
      <w:r w:rsidRPr="00B477AE">
        <w:rPr>
          <w:rFonts w:ascii="Times New Roman" w:hAnsi="Times New Roman" w:cs="Times New Roman"/>
          <w:color w:val="222222"/>
          <w:sz w:val="24"/>
          <w:szCs w:val="24"/>
          <w:shd w:val="clear" w:color="auto" w:fill="FFFFFF"/>
        </w:rPr>
        <w:t> (pp. 181-209)</w:t>
      </w:r>
      <w:r w:rsidR="00D46B27">
        <w:rPr>
          <w:rFonts w:ascii="Times New Roman" w:hAnsi="Times New Roman" w:cs="Times New Roman"/>
          <w:color w:val="222222"/>
          <w:sz w:val="24"/>
          <w:szCs w:val="24"/>
          <w:shd w:val="clear" w:color="auto" w:fill="FFFFFF"/>
        </w:rPr>
        <w:t>,</w:t>
      </w:r>
      <w:r w:rsidRPr="00B477AE">
        <w:rPr>
          <w:rFonts w:ascii="Times New Roman" w:hAnsi="Times New Roman" w:cs="Times New Roman"/>
          <w:color w:val="222222"/>
          <w:sz w:val="24"/>
          <w:szCs w:val="24"/>
          <w:shd w:val="clear" w:color="auto" w:fill="FFFFFF"/>
        </w:rPr>
        <w:t xml:space="preserve"> Springer, Boston, MA</w:t>
      </w:r>
      <w:r>
        <w:rPr>
          <w:rFonts w:ascii="Arial" w:hAnsi="Arial" w:cs="Arial"/>
          <w:color w:val="222222"/>
          <w:sz w:val="20"/>
          <w:szCs w:val="20"/>
          <w:shd w:val="clear" w:color="auto" w:fill="FFFFFF"/>
        </w:rPr>
        <w:t>.</w:t>
      </w:r>
    </w:p>
    <w:p w14:paraId="06C4D786" w14:textId="3B01B489" w:rsidR="00103ED4" w:rsidRPr="00103ED4" w:rsidRDefault="00103ED4" w:rsidP="00052DD7">
      <w:pPr>
        <w:spacing w:line="240" w:lineRule="auto"/>
        <w:ind w:left="720" w:hanging="720"/>
        <w:jc w:val="both"/>
        <w:rPr>
          <w:rFonts w:ascii="Times New Roman" w:hAnsi="Times New Roman" w:cs="Times New Roman"/>
          <w:sz w:val="24"/>
          <w:szCs w:val="24"/>
        </w:rPr>
      </w:pPr>
      <w:r w:rsidRPr="00103ED4">
        <w:rPr>
          <w:rFonts w:ascii="Times New Roman" w:hAnsi="Times New Roman" w:cs="Times New Roman"/>
          <w:color w:val="222222"/>
          <w:sz w:val="24"/>
          <w:szCs w:val="24"/>
          <w:shd w:val="clear" w:color="auto" w:fill="FFFFFF"/>
        </w:rPr>
        <w:t>Ferrant, G.</w:t>
      </w:r>
      <w:r>
        <w:rPr>
          <w:rFonts w:ascii="Times New Roman" w:hAnsi="Times New Roman" w:cs="Times New Roman"/>
          <w:color w:val="222222"/>
          <w:sz w:val="24"/>
          <w:szCs w:val="24"/>
          <w:shd w:val="clear" w:color="auto" w:fill="FFFFFF"/>
        </w:rPr>
        <w:t>,</w:t>
      </w:r>
      <w:r w:rsidRPr="00103ED4">
        <w:rPr>
          <w:rFonts w:ascii="Times New Roman" w:hAnsi="Times New Roman" w:cs="Times New Roman"/>
          <w:color w:val="222222"/>
          <w:sz w:val="24"/>
          <w:szCs w:val="24"/>
          <w:shd w:val="clear" w:color="auto" w:fill="FFFFFF"/>
        </w:rPr>
        <w:t xml:space="preserve"> (2010)</w:t>
      </w:r>
      <w:r>
        <w:rPr>
          <w:rFonts w:ascii="Times New Roman" w:hAnsi="Times New Roman" w:cs="Times New Roman"/>
          <w:color w:val="222222"/>
          <w:sz w:val="24"/>
          <w:szCs w:val="24"/>
          <w:shd w:val="clear" w:color="auto" w:fill="FFFFFF"/>
        </w:rPr>
        <w:t>,</w:t>
      </w:r>
      <w:r w:rsidRPr="00103ED4">
        <w:rPr>
          <w:rFonts w:ascii="Times New Roman" w:hAnsi="Times New Roman" w:cs="Times New Roman"/>
          <w:color w:val="222222"/>
          <w:sz w:val="24"/>
          <w:szCs w:val="24"/>
          <w:shd w:val="clear" w:color="auto" w:fill="FFFFFF"/>
        </w:rPr>
        <w:t xml:space="preserve"> The Gender Inequalities Index (GII) as a new way to measure Gender Inequalities in Developing countries.</w:t>
      </w:r>
    </w:p>
    <w:p w14:paraId="1FBD10AA" w14:textId="2E976F5C" w:rsidR="00B01011" w:rsidRPr="00F308FE" w:rsidRDefault="00B01011" w:rsidP="00052DD7">
      <w:pPr>
        <w:spacing w:line="240" w:lineRule="auto"/>
        <w:ind w:left="720" w:hanging="720"/>
        <w:jc w:val="both"/>
        <w:rPr>
          <w:rFonts w:ascii="Times New Roman" w:hAnsi="Times New Roman" w:cs="Times New Roman"/>
          <w:sz w:val="24"/>
          <w:szCs w:val="24"/>
        </w:rPr>
      </w:pPr>
      <w:r w:rsidRPr="00F308FE">
        <w:rPr>
          <w:rFonts w:ascii="Times New Roman" w:hAnsi="Times New Roman" w:cs="Times New Roman"/>
          <w:color w:val="222222"/>
          <w:sz w:val="24"/>
          <w:szCs w:val="24"/>
          <w:shd w:val="clear" w:color="auto" w:fill="FFFFFF"/>
        </w:rPr>
        <w:t>Fonseca, L. M., Domingues, J. P., &amp; Dima, A. M.</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(2020)</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Mapping the sustainable development goals relationships</w:t>
      </w:r>
      <w:r w:rsidR="00D46B2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Sustainability</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12</w:t>
      </w:r>
      <w:r w:rsidRPr="00F308FE">
        <w:rPr>
          <w:rFonts w:ascii="Times New Roman" w:hAnsi="Times New Roman" w:cs="Times New Roman"/>
          <w:color w:val="222222"/>
          <w:sz w:val="24"/>
          <w:szCs w:val="24"/>
          <w:shd w:val="clear" w:color="auto" w:fill="FFFFFF"/>
        </w:rPr>
        <w:t>(8), 3359.</w:t>
      </w:r>
    </w:p>
    <w:p w14:paraId="0802D14D" w14:textId="3733FC1B" w:rsidR="005F0526" w:rsidRPr="00F308FE" w:rsidRDefault="005F0526" w:rsidP="00052DD7">
      <w:pPr>
        <w:spacing w:line="240" w:lineRule="auto"/>
        <w:ind w:left="720" w:hanging="720"/>
        <w:jc w:val="both"/>
        <w:rPr>
          <w:rFonts w:ascii="Times New Roman" w:hAnsi="Times New Roman" w:cs="Times New Roman"/>
          <w:sz w:val="24"/>
          <w:szCs w:val="24"/>
          <w:shd w:val="clear" w:color="auto" w:fill="FFFFFF"/>
        </w:rPr>
      </w:pPr>
      <w:r w:rsidRPr="00F308FE">
        <w:rPr>
          <w:rFonts w:ascii="Times New Roman" w:hAnsi="Times New Roman" w:cs="Times New Roman"/>
          <w:sz w:val="24"/>
          <w:szCs w:val="24"/>
          <w:shd w:val="clear" w:color="auto" w:fill="FFFFFF"/>
        </w:rPr>
        <w:t>Hoffman, D. L., &amp; De Leeuw, J.</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(1992)</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Interpreting multiple correspondence analysis as a multidimensional scaling method</w:t>
      </w:r>
      <w:r w:rsidR="00D46B2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Marketing letters</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3</w:t>
      </w:r>
      <w:r w:rsidRPr="00F308FE">
        <w:rPr>
          <w:rFonts w:ascii="Times New Roman" w:hAnsi="Times New Roman" w:cs="Times New Roman"/>
          <w:sz w:val="24"/>
          <w:szCs w:val="24"/>
          <w:shd w:val="clear" w:color="auto" w:fill="FFFFFF"/>
        </w:rPr>
        <w:t>(3), 259-272.</w:t>
      </w:r>
    </w:p>
    <w:p w14:paraId="750E69D0" w14:textId="307CAF75" w:rsidR="005F0526" w:rsidRPr="00F308FE" w:rsidRDefault="005F0526" w:rsidP="00052DD7">
      <w:pPr>
        <w:spacing w:line="240" w:lineRule="auto"/>
        <w:ind w:left="720" w:hanging="720"/>
        <w:jc w:val="both"/>
        <w:rPr>
          <w:rFonts w:ascii="Times New Roman" w:hAnsi="Times New Roman" w:cs="Times New Roman"/>
          <w:sz w:val="24"/>
          <w:szCs w:val="24"/>
          <w:shd w:val="clear" w:color="auto" w:fill="FFFFFF"/>
        </w:rPr>
      </w:pPr>
      <w:r w:rsidRPr="00F308FE">
        <w:rPr>
          <w:rFonts w:ascii="Times New Roman" w:hAnsi="Times New Roman" w:cs="Times New Roman"/>
          <w:sz w:val="24"/>
          <w:szCs w:val="24"/>
          <w:shd w:val="clear" w:color="auto" w:fill="FFFFFF"/>
        </w:rPr>
        <w:t>Kamalja, K. K., &amp; Khangar, N. V</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(2017)</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Multiple correspondence analysis and its applications</w:t>
      </w:r>
      <w:r w:rsidR="00D46B2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Electronic Journal of Applied Statistical Analysis</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10</w:t>
      </w:r>
      <w:r w:rsidRPr="00F308FE">
        <w:rPr>
          <w:rFonts w:ascii="Times New Roman" w:hAnsi="Times New Roman" w:cs="Times New Roman"/>
          <w:sz w:val="24"/>
          <w:szCs w:val="24"/>
          <w:shd w:val="clear" w:color="auto" w:fill="FFFFFF"/>
        </w:rPr>
        <w:t>(2), 432-462.</w:t>
      </w:r>
    </w:p>
    <w:p w14:paraId="0713D71B" w14:textId="2857BC2D" w:rsidR="00D06A6C" w:rsidRPr="00F308FE" w:rsidRDefault="00D06A6C" w:rsidP="00052DD7">
      <w:pPr>
        <w:spacing w:line="240" w:lineRule="auto"/>
        <w:ind w:left="720" w:hanging="720"/>
        <w:jc w:val="both"/>
        <w:rPr>
          <w:rFonts w:ascii="Times New Roman" w:hAnsi="Times New Roman" w:cs="Times New Roman"/>
          <w:color w:val="222222"/>
          <w:sz w:val="24"/>
          <w:szCs w:val="24"/>
          <w:shd w:val="clear" w:color="auto" w:fill="FFFFFF"/>
        </w:rPr>
      </w:pPr>
      <w:r w:rsidRPr="00F308FE">
        <w:rPr>
          <w:rFonts w:ascii="Times New Roman" w:hAnsi="Times New Roman" w:cs="Times New Roman"/>
          <w:color w:val="222222"/>
          <w:sz w:val="24"/>
          <w:szCs w:val="24"/>
          <w:shd w:val="clear" w:color="auto" w:fill="FFFFFF"/>
        </w:rPr>
        <w:t>Kovacevic, M.</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(2010)</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Review of HDI critiques and potential improvements</w:t>
      </w:r>
      <w:r w:rsidR="00D46B2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Human development research paper</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33</w:t>
      </w:r>
      <w:r w:rsidRPr="00F308FE">
        <w:rPr>
          <w:rFonts w:ascii="Times New Roman" w:hAnsi="Times New Roman" w:cs="Times New Roman"/>
          <w:color w:val="222222"/>
          <w:sz w:val="24"/>
          <w:szCs w:val="24"/>
          <w:shd w:val="clear" w:color="auto" w:fill="FFFFFF"/>
        </w:rPr>
        <w:t>, 1-44.</w:t>
      </w:r>
    </w:p>
    <w:p w14:paraId="2EF1DD34" w14:textId="0E3D7076" w:rsidR="00394AE8" w:rsidRPr="00F308FE" w:rsidRDefault="00394AE8" w:rsidP="00052DD7">
      <w:pPr>
        <w:spacing w:line="240" w:lineRule="auto"/>
        <w:ind w:left="720" w:hanging="720"/>
        <w:jc w:val="both"/>
        <w:rPr>
          <w:rFonts w:ascii="Times New Roman" w:hAnsi="Times New Roman" w:cs="Times New Roman"/>
          <w:color w:val="222222"/>
          <w:sz w:val="24"/>
          <w:szCs w:val="24"/>
          <w:shd w:val="clear" w:color="auto" w:fill="FFFFFF"/>
        </w:rPr>
      </w:pPr>
      <w:r w:rsidRPr="00F308FE">
        <w:rPr>
          <w:rFonts w:ascii="Times New Roman" w:hAnsi="Times New Roman" w:cs="Times New Roman"/>
          <w:color w:val="222222"/>
          <w:sz w:val="24"/>
          <w:szCs w:val="24"/>
          <w:shd w:val="clear" w:color="auto" w:fill="FFFFFF"/>
        </w:rPr>
        <w:t>Le Blanc, D.</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(2015)</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Towards integration at last? The sustainable development goals as a network of targets</w:t>
      </w:r>
      <w:r w:rsidR="00D46B2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Sustainable Development</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23</w:t>
      </w:r>
      <w:r w:rsidRPr="00F308FE">
        <w:rPr>
          <w:rFonts w:ascii="Times New Roman" w:hAnsi="Times New Roman" w:cs="Times New Roman"/>
          <w:color w:val="222222"/>
          <w:sz w:val="24"/>
          <w:szCs w:val="24"/>
          <w:shd w:val="clear" w:color="auto" w:fill="FFFFFF"/>
        </w:rPr>
        <w:t>(3), 176-187.</w:t>
      </w:r>
    </w:p>
    <w:p w14:paraId="5625609C" w14:textId="11DBC8CC" w:rsidR="005137DA" w:rsidRPr="00F308FE" w:rsidRDefault="005137DA" w:rsidP="00052DD7">
      <w:pPr>
        <w:spacing w:line="240" w:lineRule="auto"/>
        <w:ind w:left="720" w:hanging="720"/>
        <w:jc w:val="both"/>
        <w:rPr>
          <w:rFonts w:ascii="Times New Roman" w:hAnsi="Times New Roman" w:cs="Times New Roman"/>
          <w:color w:val="222222"/>
          <w:sz w:val="24"/>
          <w:szCs w:val="24"/>
          <w:shd w:val="clear" w:color="auto" w:fill="FFFFFF"/>
        </w:rPr>
      </w:pPr>
      <w:r w:rsidRPr="00F308FE">
        <w:rPr>
          <w:rFonts w:ascii="Times New Roman" w:hAnsi="Times New Roman" w:cs="Times New Roman"/>
          <w:color w:val="222222"/>
          <w:sz w:val="24"/>
          <w:szCs w:val="24"/>
          <w:shd w:val="clear" w:color="auto" w:fill="FFFFFF"/>
        </w:rPr>
        <w:t>Lusseau, D., &amp; Mancini, F.</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(2019)</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Income-based variation in Sustainable Development Goal interaction networks</w:t>
      </w:r>
      <w:r w:rsidR="00D46B2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Nature Sustainability</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2</w:t>
      </w:r>
      <w:r w:rsidRPr="00F308FE">
        <w:rPr>
          <w:rFonts w:ascii="Times New Roman" w:hAnsi="Times New Roman" w:cs="Times New Roman"/>
          <w:color w:val="222222"/>
          <w:sz w:val="24"/>
          <w:szCs w:val="24"/>
          <w:shd w:val="clear" w:color="auto" w:fill="FFFFFF"/>
        </w:rPr>
        <w:t>(3), 242-247.</w:t>
      </w:r>
    </w:p>
    <w:p w14:paraId="2411FB75" w14:textId="69E93BC7" w:rsidR="00665380" w:rsidRPr="00F308FE" w:rsidRDefault="00665380" w:rsidP="00052DD7">
      <w:pPr>
        <w:spacing w:line="240" w:lineRule="auto"/>
        <w:ind w:left="720" w:hanging="720"/>
        <w:jc w:val="both"/>
        <w:rPr>
          <w:rFonts w:ascii="Times New Roman" w:hAnsi="Times New Roman" w:cs="Times New Roman"/>
          <w:sz w:val="24"/>
          <w:szCs w:val="24"/>
          <w:shd w:val="clear" w:color="auto" w:fill="FFFFFF"/>
        </w:rPr>
      </w:pPr>
      <w:r w:rsidRPr="00F308FE">
        <w:rPr>
          <w:rFonts w:ascii="Times New Roman" w:hAnsi="Times New Roman" w:cs="Times New Roman"/>
          <w:color w:val="222222"/>
          <w:sz w:val="24"/>
          <w:szCs w:val="24"/>
          <w:shd w:val="clear" w:color="auto" w:fill="FFFFFF"/>
        </w:rPr>
        <w:t>Nerini, F. F., Tomei, J., To, L. S., Bisaga, I., Parikh, P., Black, M., ... &amp; Mulugetta, Y.</w:t>
      </w:r>
      <w:r w:rsidR="00052DD7">
        <w:rPr>
          <w:rFonts w:ascii="Times New Roman" w:hAnsi="Times New Roman" w:cs="Times New Roman"/>
          <w:color w:val="222222"/>
          <w:sz w:val="24"/>
          <w:szCs w:val="24"/>
          <w:shd w:val="clear" w:color="auto" w:fill="FFFFFF"/>
        </w:rPr>
        <w:t xml:space="preserve">, </w:t>
      </w:r>
      <w:r w:rsidRPr="00F308FE">
        <w:rPr>
          <w:rFonts w:ascii="Times New Roman" w:hAnsi="Times New Roman" w:cs="Times New Roman"/>
          <w:color w:val="222222"/>
          <w:sz w:val="24"/>
          <w:szCs w:val="24"/>
          <w:shd w:val="clear" w:color="auto" w:fill="FFFFFF"/>
        </w:rPr>
        <w:t>(2018)</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Mapping synergies and trade-offs between energy and the Sustainable Development Goals</w:t>
      </w:r>
      <w:r w:rsidR="00D46B2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Nature Energy</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3</w:t>
      </w:r>
      <w:r w:rsidRPr="00F308FE">
        <w:rPr>
          <w:rFonts w:ascii="Times New Roman" w:hAnsi="Times New Roman" w:cs="Times New Roman"/>
          <w:color w:val="222222"/>
          <w:sz w:val="24"/>
          <w:szCs w:val="24"/>
          <w:shd w:val="clear" w:color="auto" w:fill="FFFFFF"/>
        </w:rPr>
        <w:t>(1), 10-15.</w:t>
      </w:r>
    </w:p>
    <w:p w14:paraId="1F1E921D" w14:textId="304F506B" w:rsidR="00850A38" w:rsidRPr="00F308FE" w:rsidRDefault="00850A38" w:rsidP="00052DD7">
      <w:pPr>
        <w:spacing w:line="240" w:lineRule="auto"/>
        <w:ind w:left="720" w:hanging="720"/>
        <w:jc w:val="both"/>
        <w:rPr>
          <w:rFonts w:ascii="Times New Roman" w:hAnsi="Times New Roman" w:cs="Times New Roman"/>
          <w:sz w:val="24"/>
          <w:szCs w:val="24"/>
          <w:shd w:val="clear" w:color="auto" w:fill="FFFFFF"/>
        </w:rPr>
      </w:pPr>
      <w:r w:rsidRPr="00F308FE">
        <w:rPr>
          <w:rFonts w:ascii="Times New Roman" w:hAnsi="Times New Roman" w:cs="Times New Roman"/>
          <w:sz w:val="24"/>
          <w:szCs w:val="24"/>
          <w:shd w:val="clear" w:color="auto" w:fill="FFFFFF"/>
        </w:rPr>
        <w:t>Neumayer, E.</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(2001)</w:t>
      </w:r>
      <w:r w:rsidR="00052DD7">
        <w:rPr>
          <w:rFonts w:ascii="Times New Roman" w:hAnsi="Times New Roman" w:cs="Times New Roman"/>
          <w:sz w:val="24"/>
          <w:szCs w:val="24"/>
          <w:shd w:val="clear" w:color="auto" w:fill="FFFFFF"/>
        </w:rPr>
        <w:t xml:space="preserve">, </w:t>
      </w:r>
      <w:r w:rsidRPr="00F308FE">
        <w:rPr>
          <w:rFonts w:ascii="Times New Roman" w:hAnsi="Times New Roman" w:cs="Times New Roman"/>
          <w:sz w:val="24"/>
          <w:szCs w:val="24"/>
          <w:shd w:val="clear" w:color="auto" w:fill="FFFFFF"/>
        </w:rPr>
        <w:t>The human development index and sustainability—a constructive</w:t>
      </w:r>
      <w:r w:rsidR="005F0526" w:rsidRPr="00F308FE">
        <w:rPr>
          <w:rFonts w:ascii="Times New Roman" w:hAnsi="Times New Roman" w:cs="Times New Roman"/>
          <w:sz w:val="24"/>
          <w:szCs w:val="24"/>
          <w:shd w:val="clear" w:color="auto" w:fill="FFFFFF"/>
        </w:rPr>
        <w:t xml:space="preserve"> </w:t>
      </w:r>
      <w:r w:rsidRPr="00F308FE">
        <w:rPr>
          <w:rFonts w:ascii="Times New Roman" w:hAnsi="Times New Roman" w:cs="Times New Roman"/>
          <w:sz w:val="24"/>
          <w:szCs w:val="24"/>
          <w:shd w:val="clear" w:color="auto" w:fill="FFFFFF"/>
        </w:rPr>
        <w:t>proposal</w:t>
      </w:r>
      <w:r w:rsidR="00D46B2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Ecological Economics</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39</w:t>
      </w:r>
      <w:r w:rsidRPr="00F308FE">
        <w:rPr>
          <w:rFonts w:ascii="Times New Roman" w:hAnsi="Times New Roman" w:cs="Times New Roman"/>
          <w:sz w:val="24"/>
          <w:szCs w:val="24"/>
          <w:shd w:val="clear" w:color="auto" w:fill="FFFFFF"/>
        </w:rPr>
        <w:t>(1), 101-114.</w:t>
      </w:r>
    </w:p>
    <w:p w14:paraId="5CB0726D" w14:textId="3C381615" w:rsidR="00DC4F2F" w:rsidRDefault="00DC4F2F" w:rsidP="00052DD7">
      <w:pPr>
        <w:spacing w:line="240" w:lineRule="auto"/>
        <w:ind w:left="720" w:hanging="720"/>
        <w:jc w:val="both"/>
        <w:rPr>
          <w:rFonts w:ascii="Times New Roman" w:hAnsi="Times New Roman" w:cs="Times New Roman"/>
          <w:color w:val="222222"/>
          <w:sz w:val="24"/>
          <w:szCs w:val="24"/>
          <w:shd w:val="clear" w:color="auto" w:fill="FFFFFF"/>
        </w:rPr>
      </w:pPr>
      <w:r w:rsidRPr="00F308FE">
        <w:rPr>
          <w:rFonts w:ascii="Times New Roman" w:hAnsi="Times New Roman" w:cs="Times New Roman"/>
          <w:color w:val="222222"/>
          <w:sz w:val="24"/>
          <w:szCs w:val="24"/>
          <w:shd w:val="clear" w:color="auto" w:fill="FFFFFF"/>
        </w:rPr>
        <w:t>United Nations</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(2019)</w:t>
      </w:r>
      <w:r w:rsidR="00052DD7">
        <w:rPr>
          <w:rFonts w:ascii="Times New Roman" w:hAnsi="Times New Roman" w:cs="Times New Roman"/>
          <w:color w:val="222222"/>
          <w:sz w:val="24"/>
          <w:szCs w:val="24"/>
          <w:shd w:val="clear" w:color="auto" w:fill="FFFFFF"/>
        </w:rPr>
        <w:t xml:space="preserve">, </w:t>
      </w:r>
      <w:r w:rsidRPr="00F308FE">
        <w:rPr>
          <w:rFonts w:ascii="Times New Roman" w:hAnsi="Times New Roman" w:cs="Times New Roman"/>
          <w:color w:val="222222"/>
          <w:sz w:val="24"/>
          <w:szCs w:val="24"/>
          <w:shd w:val="clear" w:color="auto" w:fill="FFFFFF"/>
        </w:rPr>
        <w:t>The future is now–science for achieving sustainable development.</w:t>
      </w:r>
    </w:p>
    <w:p w14:paraId="4EB3FC45" w14:textId="6643B2EE" w:rsidR="00E96DD0" w:rsidRDefault="00E96DD0" w:rsidP="00052DD7">
      <w:pPr>
        <w:spacing w:line="240" w:lineRule="auto"/>
        <w:ind w:left="720" w:hanging="720"/>
        <w:jc w:val="both"/>
        <w:rPr>
          <w:rFonts w:ascii="Times New Roman" w:hAnsi="Times New Roman" w:cs="Times New Roman"/>
          <w:color w:val="222222"/>
          <w:sz w:val="24"/>
          <w:szCs w:val="24"/>
          <w:shd w:val="clear" w:color="auto" w:fill="FFFFFF"/>
        </w:rPr>
      </w:pPr>
      <w:r w:rsidRPr="00E96DD0">
        <w:rPr>
          <w:rFonts w:ascii="Times New Roman" w:hAnsi="Times New Roman" w:cs="Times New Roman"/>
          <w:color w:val="222222"/>
          <w:sz w:val="24"/>
          <w:szCs w:val="24"/>
          <w:shd w:val="clear" w:color="auto" w:fill="FFFFFF"/>
        </w:rPr>
        <w:t>Pasha, A.</w:t>
      </w:r>
      <w:r>
        <w:rPr>
          <w:rFonts w:ascii="Times New Roman" w:hAnsi="Times New Roman" w:cs="Times New Roman"/>
          <w:color w:val="222222"/>
          <w:sz w:val="24"/>
          <w:szCs w:val="24"/>
          <w:shd w:val="clear" w:color="auto" w:fill="FFFFFF"/>
        </w:rPr>
        <w:t>,</w:t>
      </w:r>
      <w:r w:rsidRPr="00E96DD0">
        <w:rPr>
          <w:rFonts w:ascii="Times New Roman" w:hAnsi="Times New Roman" w:cs="Times New Roman"/>
          <w:color w:val="222222"/>
          <w:sz w:val="24"/>
          <w:szCs w:val="24"/>
          <w:shd w:val="clear" w:color="auto" w:fill="FFFFFF"/>
        </w:rPr>
        <w:t xml:space="preserve"> (2017)</w:t>
      </w:r>
      <w:r>
        <w:rPr>
          <w:rFonts w:ascii="Times New Roman" w:hAnsi="Times New Roman" w:cs="Times New Roman"/>
          <w:color w:val="222222"/>
          <w:sz w:val="24"/>
          <w:szCs w:val="24"/>
          <w:shd w:val="clear" w:color="auto" w:fill="FFFFFF"/>
        </w:rPr>
        <w:t>,</w:t>
      </w:r>
      <w:r w:rsidRPr="00E96DD0">
        <w:rPr>
          <w:rFonts w:ascii="Times New Roman" w:hAnsi="Times New Roman" w:cs="Times New Roman"/>
          <w:color w:val="222222"/>
          <w:sz w:val="24"/>
          <w:szCs w:val="24"/>
          <w:shd w:val="clear" w:color="auto" w:fill="FFFFFF"/>
        </w:rPr>
        <w:t xml:space="preserve"> Regional perspectives on the multidimensional poverty index</w:t>
      </w:r>
      <w:r w:rsidR="00D46B27">
        <w:rPr>
          <w:rFonts w:ascii="Times New Roman" w:hAnsi="Times New Roman" w:cs="Times New Roman"/>
          <w:color w:val="222222"/>
          <w:sz w:val="24"/>
          <w:szCs w:val="24"/>
          <w:shd w:val="clear" w:color="auto" w:fill="FFFFFF"/>
        </w:rPr>
        <w:t>,</w:t>
      </w:r>
      <w:r w:rsidRPr="00E96DD0">
        <w:rPr>
          <w:rFonts w:ascii="Times New Roman" w:hAnsi="Times New Roman" w:cs="Times New Roman"/>
          <w:color w:val="222222"/>
          <w:sz w:val="24"/>
          <w:szCs w:val="24"/>
          <w:shd w:val="clear" w:color="auto" w:fill="FFFFFF"/>
        </w:rPr>
        <w:t> </w:t>
      </w:r>
      <w:r w:rsidRPr="00E96DD0">
        <w:rPr>
          <w:rFonts w:ascii="Times New Roman" w:hAnsi="Times New Roman" w:cs="Times New Roman"/>
          <w:i/>
          <w:iCs/>
          <w:color w:val="222222"/>
          <w:sz w:val="24"/>
          <w:szCs w:val="24"/>
          <w:shd w:val="clear" w:color="auto" w:fill="FFFFFF"/>
        </w:rPr>
        <w:t>World Development</w:t>
      </w:r>
      <w:r w:rsidRPr="00E96DD0">
        <w:rPr>
          <w:rFonts w:ascii="Times New Roman" w:hAnsi="Times New Roman" w:cs="Times New Roman"/>
          <w:color w:val="222222"/>
          <w:sz w:val="24"/>
          <w:szCs w:val="24"/>
          <w:shd w:val="clear" w:color="auto" w:fill="FFFFFF"/>
        </w:rPr>
        <w:t>, </w:t>
      </w:r>
      <w:r w:rsidRPr="00E96DD0">
        <w:rPr>
          <w:rFonts w:ascii="Times New Roman" w:hAnsi="Times New Roman" w:cs="Times New Roman"/>
          <w:i/>
          <w:iCs/>
          <w:color w:val="222222"/>
          <w:sz w:val="24"/>
          <w:szCs w:val="24"/>
          <w:shd w:val="clear" w:color="auto" w:fill="FFFFFF"/>
        </w:rPr>
        <w:t>94</w:t>
      </w:r>
      <w:r w:rsidRPr="00E96DD0">
        <w:rPr>
          <w:rFonts w:ascii="Times New Roman" w:hAnsi="Times New Roman" w:cs="Times New Roman"/>
          <w:color w:val="222222"/>
          <w:sz w:val="24"/>
          <w:szCs w:val="24"/>
          <w:shd w:val="clear" w:color="auto" w:fill="FFFFFF"/>
        </w:rPr>
        <w:t>, 268-285.</w:t>
      </w:r>
    </w:p>
    <w:p w14:paraId="339B5F84" w14:textId="42D79F74" w:rsidR="00D46B27" w:rsidRPr="00D46B27" w:rsidRDefault="00D46B27" w:rsidP="00052DD7">
      <w:pPr>
        <w:spacing w:line="240" w:lineRule="auto"/>
        <w:ind w:left="720" w:hanging="720"/>
        <w:jc w:val="both"/>
        <w:rPr>
          <w:rFonts w:ascii="Times New Roman" w:hAnsi="Times New Roman" w:cs="Times New Roman"/>
          <w:color w:val="222222"/>
          <w:sz w:val="24"/>
          <w:szCs w:val="24"/>
          <w:shd w:val="clear" w:color="auto" w:fill="FFFFFF"/>
        </w:rPr>
      </w:pPr>
      <w:r w:rsidRPr="00D46B27">
        <w:rPr>
          <w:rFonts w:ascii="Times New Roman" w:hAnsi="Times New Roman" w:cs="Times New Roman"/>
          <w:color w:val="222222"/>
          <w:sz w:val="24"/>
          <w:szCs w:val="24"/>
          <w:shd w:val="clear" w:color="auto" w:fill="FFFFFF"/>
        </w:rPr>
        <w:t>Perdomo, J., Phélan, M., Levy-Carciente, S., &amp; Valera, J.</w:t>
      </w:r>
      <w:r>
        <w:rPr>
          <w:rFonts w:ascii="Times New Roman" w:hAnsi="Times New Roman" w:cs="Times New Roman"/>
          <w:color w:val="222222"/>
          <w:sz w:val="24"/>
          <w:szCs w:val="24"/>
          <w:shd w:val="clear" w:color="auto" w:fill="FFFFFF"/>
        </w:rPr>
        <w:t>,</w:t>
      </w:r>
      <w:r w:rsidRPr="00D46B27">
        <w:rPr>
          <w:rFonts w:ascii="Times New Roman" w:hAnsi="Times New Roman" w:cs="Times New Roman"/>
          <w:color w:val="222222"/>
          <w:sz w:val="24"/>
          <w:szCs w:val="24"/>
          <w:shd w:val="clear" w:color="auto" w:fill="FFFFFF"/>
        </w:rPr>
        <w:t xml:space="preserve"> (2017)</w:t>
      </w:r>
      <w:r>
        <w:rPr>
          <w:rFonts w:ascii="Times New Roman" w:hAnsi="Times New Roman" w:cs="Times New Roman"/>
          <w:color w:val="222222"/>
          <w:sz w:val="24"/>
          <w:szCs w:val="24"/>
          <w:shd w:val="clear" w:color="auto" w:fill="FFFFFF"/>
        </w:rPr>
        <w:t>,</w:t>
      </w:r>
      <w:r w:rsidRPr="00D46B27">
        <w:rPr>
          <w:rFonts w:ascii="Times New Roman" w:hAnsi="Times New Roman" w:cs="Times New Roman"/>
          <w:color w:val="222222"/>
          <w:sz w:val="24"/>
          <w:szCs w:val="24"/>
          <w:shd w:val="clear" w:color="auto" w:fill="FFFFFF"/>
        </w:rPr>
        <w:t xml:space="preserve"> Measuring Sustainable Well-being Dimensions Using Multiple Correspondence Analysis</w:t>
      </w:r>
      <w:r>
        <w:rPr>
          <w:rFonts w:ascii="Times New Roman" w:hAnsi="Times New Roman" w:cs="Times New Roman"/>
          <w:color w:val="222222"/>
          <w:sz w:val="24"/>
          <w:szCs w:val="24"/>
          <w:shd w:val="clear" w:color="auto" w:fill="FFFFFF"/>
        </w:rPr>
        <w:t>,</w:t>
      </w:r>
      <w:r w:rsidRPr="00D46B27">
        <w:rPr>
          <w:rFonts w:ascii="Times New Roman" w:hAnsi="Times New Roman" w:cs="Times New Roman"/>
          <w:color w:val="222222"/>
          <w:sz w:val="24"/>
          <w:szCs w:val="24"/>
          <w:shd w:val="clear" w:color="auto" w:fill="FFFFFF"/>
        </w:rPr>
        <w:t xml:space="preserve"> Papel de trabajo presentado como ponencia en el 61 Congreso Mundial de Estadística. Instituto Internacional de Estadística (ISI)</w:t>
      </w:r>
      <w:r>
        <w:rPr>
          <w:rFonts w:ascii="Times New Roman" w:hAnsi="Times New Roman" w:cs="Times New Roman"/>
          <w:color w:val="222222"/>
          <w:sz w:val="24"/>
          <w:szCs w:val="24"/>
          <w:shd w:val="clear" w:color="auto" w:fill="FFFFFF"/>
        </w:rPr>
        <w:t>,</w:t>
      </w:r>
      <w:r w:rsidRPr="00D46B27">
        <w:rPr>
          <w:rFonts w:ascii="Times New Roman" w:hAnsi="Times New Roman" w:cs="Times New Roman"/>
          <w:color w:val="222222"/>
          <w:sz w:val="24"/>
          <w:szCs w:val="24"/>
          <w:shd w:val="clear" w:color="auto" w:fill="FFFFFF"/>
        </w:rPr>
        <w:t xml:space="preserve"> Marruecos.</w:t>
      </w:r>
    </w:p>
    <w:p w14:paraId="0CFE4EAC" w14:textId="412E2E5F" w:rsidR="005137DA" w:rsidRPr="00F308FE" w:rsidRDefault="005137DA" w:rsidP="00052DD7">
      <w:pPr>
        <w:spacing w:line="240" w:lineRule="auto"/>
        <w:ind w:left="720" w:hanging="720"/>
        <w:jc w:val="both"/>
        <w:rPr>
          <w:rFonts w:ascii="Times New Roman" w:hAnsi="Times New Roman" w:cs="Times New Roman"/>
          <w:color w:val="222222"/>
          <w:sz w:val="24"/>
          <w:szCs w:val="24"/>
          <w:shd w:val="clear" w:color="auto" w:fill="FFFFFF"/>
        </w:rPr>
      </w:pPr>
      <w:r w:rsidRPr="00F308FE">
        <w:rPr>
          <w:rFonts w:ascii="Times New Roman" w:hAnsi="Times New Roman" w:cs="Times New Roman"/>
          <w:color w:val="222222"/>
          <w:sz w:val="24"/>
          <w:szCs w:val="24"/>
          <w:shd w:val="clear" w:color="auto" w:fill="FFFFFF"/>
        </w:rPr>
        <w:lastRenderedPageBreak/>
        <w:t>Pereira, G., González, A., &amp; Blanco, G.</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(2021)</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Complexity Measures for the Analysis of SDG Interlinkages: A Methodological Approach</w:t>
      </w:r>
      <w:r w:rsidR="00D46B2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In </w:t>
      </w:r>
      <w:r w:rsidRPr="00F308FE">
        <w:rPr>
          <w:rFonts w:ascii="Times New Roman" w:hAnsi="Times New Roman" w:cs="Times New Roman"/>
          <w:i/>
          <w:iCs/>
          <w:color w:val="222222"/>
          <w:sz w:val="24"/>
          <w:szCs w:val="24"/>
          <w:shd w:val="clear" w:color="auto" w:fill="FFFFFF"/>
        </w:rPr>
        <w:t>COMPLEXIS</w:t>
      </w:r>
      <w:r w:rsidRPr="00F308FE">
        <w:rPr>
          <w:rFonts w:ascii="Times New Roman" w:hAnsi="Times New Roman" w:cs="Times New Roman"/>
          <w:color w:val="222222"/>
          <w:sz w:val="24"/>
          <w:szCs w:val="24"/>
          <w:shd w:val="clear" w:color="auto" w:fill="FFFFFF"/>
        </w:rPr>
        <w:t> (pp. 13-24).</w:t>
      </w:r>
    </w:p>
    <w:p w14:paraId="4ADE7406" w14:textId="6D343453" w:rsidR="001D6420" w:rsidRPr="00F308FE" w:rsidRDefault="001D6420" w:rsidP="00052DD7">
      <w:pPr>
        <w:spacing w:line="240" w:lineRule="auto"/>
        <w:ind w:left="720" w:hanging="720"/>
        <w:jc w:val="both"/>
        <w:rPr>
          <w:rFonts w:ascii="Times New Roman" w:hAnsi="Times New Roman" w:cs="Times New Roman"/>
          <w:color w:val="222222"/>
          <w:sz w:val="24"/>
          <w:szCs w:val="24"/>
          <w:shd w:val="clear" w:color="auto" w:fill="FFFFFF"/>
        </w:rPr>
      </w:pPr>
      <w:r w:rsidRPr="00F308FE">
        <w:rPr>
          <w:rFonts w:ascii="Times New Roman" w:hAnsi="Times New Roman" w:cs="Times New Roman"/>
          <w:color w:val="222222"/>
          <w:sz w:val="24"/>
          <w:szCs w:val="24"/>
          <w:shd w:val="clear" w:color="auto" w:fill="FFFFFF"/>
        </w:rPr>
        <w:t>Pradhan, P., Costa, L., Rybski, D., Lucht, W., &amp; Kropp, J. P.</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(2017)</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A systematic study of sustainable development goal (SDG) interactions</w:t>
      </w:r>
      <w:r w:rsidR="00D46B27">
        <w:rPr>
          <w:rFonts w:ascii="Times New Roman" w:hAnsi="Times New Roman" w:cs="Times New Roman"/>
          <w:color w:val="222222"/>
          <w:sz w:val="24"/>
          <w:szCs w:val="24"/>
          <w:shd w:val="clear" w:color="auto" w:fill="FFFFFF"/>
        </w:rPr>
        <w:t xml:space="preserve">, </w:t>
      </w:r>
      <w:r w:rsidRPr="00F308FE">
        <w:rPr>
          <w:rFonts w:ascii="Times New Roman" w:hAnsi="Times New Roman" w:cs="Times New Roman"/>
          <w:i/>
          <w:iCs/>
          <w:color w:val="222222"/>
          <w:sz w:val="24"/>
          <w:szCs w:val="24"/>
          <w:shd w:val="clear" w:color="auto" w:fill="FFFFFF"/>
        </w:rPr>
        <w:t>Earth's Future</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5</w:t>
      </w:r>
      <w:r w:rsidRPr="00F308FE">
        <w:rPr>
          <w:rFonts w:ascii="Times New Roman" w:hAnsi="Times New Roman" w:cs="Times New Roman"/>
          <w:color w:val="222222"/>
          <w:sz w:val="24"/>
          <w:szCs w:val="24"/>
          <w:shd w:val="clear" w:color="auto" w:fill="FFFFFF"/>
        </w:rPr>
        <w:t>(11), 1169-1179.</w:t>
      </w:r>
    </w:p>
    <w:p w14:paraId="3711E0C4" w14:textId="4B08FEE2" w:rsidR="00B70C50" w:rsidRPr="00F308FE" w:rsidRDefault="00B70C50" w:rsidP="00052DD7">
      <w:pPr>
        <w:spacing w:line="240" w:lineRule="auto"/>
        <w:ind w:left="720" w:hanging="720"/>
        <w:jc w:val="both"/>
        <w:rPr>
          <w:rFonts w:ascii="Times New Roman" w:hAnsi="Times New Roman" w:cs="Times New Roman"/>
          <w:sz w:val="24"/>
          <w:szCs w:val="24"/>
          <w:shd w:val="clear" w:color="auto" w:fill="FFFFFF"/>
        </w:rPr>
      </w:pPr>
      <w:r w:rsidRPr="00F308FE">
        <w:rPr>
          <w:rFonts w:ascii="Times New Roman" w:hAnsi="Times New Roman" w:cs="Times New Roman"/>
          <w:color w:val="222222"/>
          <w:sz w:val="24"/>
          <w:szCs w:val="24"/>
          <w:shd w:val="clear" w:color="auto" w:fill="FFFFFF"/>
        </w:rPr>
        <w:t>Schmidt-Traub, G., Kroll, C., Teksoz, K., Durand-Delacre, D., &amp; Sachs, J. D.</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(2017)</w:t>
      </w:r>
      <w:r w:rsidR="00052DD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xml:space="preserve"> National baselines for the Sustainable Development Goals assessed in the SDG Index and Dashboards</w:t>
      </w:r>
      <w:r w:rsidR="00D46B27">
        <w:rPr>
          <w:rFonts w:ascii="Times New Roman" w:hAnsi="Times New Roman" w:cs="Times New Roman"/>
          <w:color w:val="222222"/>
          <w:sz w:val="24"/>
          <w:szCs w:val="24"/>
          <w:shd w:val="clear" w:color="auto" w:fill="FFFFFF"/>
        </w:rPr>
        <w:t>,</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Nature geoscience</w:t>
      </w:r>
      <w:r w:rsidRPr="00F308FE">
        <w:rPr>
          <w:rFonts w:ascii="Times New Roman" w:hAnsi="Times New Roman" w:cs="Times New Roman"/>
          <w:color w:val="222222"/>
          <w:sz w:val="24"/>
          <w:szCs w:val="24"/>
          <w:shd w:val="clear" w:color="auto" w:fill="FFFFFF"/>
        </w:rPr>
        <w:t>, </w:t>
      </w:r>
      <w:r w:rsidRPr="00F308FE">
        <w:rPr>
          <w:rFonts w:ascii="Times New Roman" w:hAnsi="Times New Roman" w:cs="Times New Roman"/>
          <w:i/>
          <w:iCs/>
          <w:color w:val="222222"/>
          <w:sz w:val="24"/>
          <w:szCs w:val="24"/>
          <w:shd w:val="clear" w:color="auto" w:fill="FFFFFF"/>
        </w:rPr>
        <w:t>10</w:t>
      </w:r>
      <w:r w:rsidRPr="00F308FE">
        <w:rPr>
          <w:rFonts w:ascii="Times New Roman" w:hAnsi="Times New Roman" w:cs="Times New Roman"/>
          <w:color w:val="222222"/>
          <w:sz w:val="24"/>
          <w:szCs w:val="24"/>
          <w:shd w:val="clear" w:color="auto" w:fill="FFFFFF"/>
        </w:rPr>
        <w:t>(8), 547-555.</w:t>
      </w:r>
    </w:p>
    <w:p w14:paraId="5F9EC98C" w14:textId="780E8D8F" w:rsidR="00665380" w:rsidRPr="00F308FE" w:rsidRDefault="00665380" w:rsidP="00052DD7">
      <w:pPr>
        <w:spacing w:line="240" w:lineRule="auto"/>
        <w:ind w:left="720" w:hanging="720"/>
        <w:jc w:val="both"/>
        <w:rPr>
          <w:rFonts w:ascii="Times New Roman" w:hAnsi="Times New Roman" w:cs="Times New Roman"/>
          <w:sz w:val="24"/>
          <w:szCs w:val="24"/>
          <w:shd w:val="clear" w:color="auto" w:fill="FFFFFF"/>
        </w:rPr>
      </w:pPr>
      <w:r w:rsidRPr="00F308FE">
        <w:rPr>
          <w:rFonts w:ascii="Times New Roman" w:hAnsi="Times New Roman" w:cs="Times New Roman"/>
          <w:sz w:val="24"/>
          <w:szCs w:val="24"/>
          <w:shd w:val="clear" w:color="auto" w:fill="FFFFFF"/>
        </w:rPr>
        <w:t>Sen, A.</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w:t>
      </w:r>
      <w:r w:rsidR="00052DD7">
        <w:rPr>
          <w:rFonts w:ascii="Times New Roman" w:hAnsi="Times New Roman" w:cs="Times New Roman"/>
          <w:sz w:val="24"/>
          <w:szCs w:val="24"/>
          <w:shd w:val="clear" w:color="auto" w:fill="FFFFFF"/>
        </w:rPr>
        <w:t>1999</w:t>
      </w:r>
      <w:r w:rsidRPr="00F308FE">
        <w:rPr>
          <w:rFonts w:ascii="Times New Roman" w:hAnsi="Times New Roman" w:cs="Times New Roman"/>
          <w:sz w:val="24"/>
          <w:szCs w:val="24"/>
          <w:shd w:val="clear" w:color="auto" w:fill="FFFFFF"/>
        </w:rPr>
        <w:t>)</w:t>
      </w:r>
      <w:r w:rsidR="00052DD7">
        <w:rPr>
          <w:rFonts w:ascii="Times New Roman" w:hAnsi="Times New Roman" w:cs="Times New Roman"/>
          <w:sz w:val="24"/>
          <w:szCs w:val="24"/>
          <w:shd w:val="clear" w:color="auto" w:fill="FFFFFF"/>
        </w:rPr>
        <w:t xml:space="preserve">, </w:t>
      </w:r>
      <w:r w:rsidRPr="00F308FE">
        <w:rPr>
          <w:rFonts w:ascii="Times New Roman" w:hAnsi="Times New Roman" w:cs="Times New Roman"/>
          <w:sz w:val="24"/>
          <w:szCs w:val="24"/>
          <w:shd w:val="clear" w:color="auto" w:fill="FFFFFF"/>
        </w:rPr>
        <w:t>Development as freedom</w:t>
      </w:r>
      <w:r w:rsidR="00D46B27">
        <w:rPr>
          <w:rFonts w:ascii="Times New Roman" w:hAnsi="Times New Roman" w:cs="Times New Roman"/>
          <w:sz w:val="24"/>
          <w:szCs w:val="24"/>
          <w:shd w:val="clear" w:color="auto" w:fill="FFFFFF"/>
        </w:rPr>
        <w:t>,</w:t>
      </w:r>
      <w:r w:rsidR="00052DD7">
        <w:rPr>
          <w:rFonts w:ascii="Times New Roman" w:hAnsi="Times New Roman" w:cs="Times New Roman"/>
          <w:sz w:val="24"/>
          <w:szCs w:val="24"/>
          <w:shd w:val="clear" w:color="auto" w:fill="FFFFFF"/>
        </w:rPr>
        <w:t xml:space="preserve"> </w:t>
      </w:r>
      <w:r w:rsidRPr="00F308FE">
        <w:rPr>
          <w:rFonts w:ascii="Times New Roman" w:hAnsi="Times New Roman" w:cs="Times New Roman"/>
          <w:i/>
          <w:iCs/>
          <w:sz w:val="24"/>
          <w:szCs w:val="24"/>
          <w:shd w:val="clear" w:color="auto" w:fill="FFFFFF"/>
        </w:rPr>
        <w:t>The globalization and development reader: Perspectives on development and global change</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525</w:t>
      </w:r>
      <w:r w:rsidRPr="00F308FE">
        <w:rPr>
          <w:rFonts w:ascii="Times New Roman" w:hAnsi="Times New Roman" w:cs="Times New Roman"/>
          <w:sz w:val="24"/>
          <w:szCs w:val="24"/>
          <w:shd w:val="clear" w:color="auto" w:fill="FFFFFF"/>
        </w:rPr>
        <w:t>.</w:t>
      </w:r>
    </w:p>
    <w:p w14:paraId="4A2BD236" w14:textId="1927010A" w:rsidR="00850A38" w:rsidRPr="00F308FE" w:rsidRDefault="00850A38" w:rsidP="00052DD7">
      <w:pPr>
        <w:spacing w:line="240" w:lineRule="auto"/>
        <w:ind w:left="720" w:hanging="720"/>
        <w:jc w:val="both"/>
        <w:rPr>
          <w:rFonts w:ascii="Times New Roman" w:hAnsi="Times New Roman" w:cs="Times New Roman"/>
          <w:sz w:val="24"/>
          <w:szCs w:val="24"/>
          <w:shd w:val="clear" w:color="auto" w:fill="FFFFFF"/>
        </w:rPr>
      </w:pPr>
      <w:r w:rsidRPr="00F308FE">
        <w:rPr>
          <w:rFonts w:ascii="Times New Roman" w:hAnsi="Times New Roman" w:cs="Times New Roman"/>
          <w:sz w:val="24"/>
          <w:szCs w:val="24"/>
          <w:shd w:val="clear" w:color="auto" w:fill="FFFFFF"/>
        </w:rPr>
        <w:t>Sridhar, D.</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(2016)</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Making the SDGs useful: a Herculean task</w:t>
      </w:r>
      <w:r w:rsidR="00C944E5">
        <w:rPr>
          <w:rFonts w:ascii="Times New Roman" w:hAnsi="Times New Roman" w:cs="Times New Roman"/>
          <w:sz w:val="24"/>
          <w:szCs w:val="24"/>
          <w:shd w:val="clear" w:color="auto" w:fill="FFFFFF"/>
        </w:rPr>
        <w:t xml:space="preserve">, </w:t>
      </w:r>
      <w:r w:rsidRPr="00F308FE">
        <w:rPr>
          <w:rFonts w:ascii="Times New Roman" w:hAnsi="Times New Roman" w:cs="Times New Roman"/>
          <w:i/>
          <w:iCs/>
          <w:sz w:val="24"/>
          <w:szCs w:val="24"/>
          <w:shd w:val="clear" w:color="auto" w:fill="FFFFFF"/>
        </w:rPr>
        <w:t>The Lancet</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388</w:t>
      </w:r>
      <w:r w:rsidRPr="00F308FE">
        <w:rPr>
          <w:rFonts w:ascii="Times New Roman" w:hAnsi="Times New Roman" w:cs="Times New Roman"/>
          <w:sz w:val="24"/>
          <w:szCs w:val="24"/>
          <w:shd w:val="clear" w:color="auto" w:fill="FFFFFF"/>
        </w:rPr>
        <w:t>(10053), 1453-1454.</w:t>
      </w:r>
    </w:p>
    <w:p w14:paraId="34904D7D" w14:textId="56AF4241" w:rsidR="00850A38" w:rsidRPr="00F308FE" w:rsidRDefault="00665380" w:rsidP="00052DD7">
      <w:pPr>
        <w:spacing w:line="240" w:lineRule="auto"/>
        <w:ind w:left="720" w:hanging="720"/>
        <w:jc w:val="both"/>
        <w:rPr>
          <w:rFonts w:ascii="Times New Roman" w:hAnsi="Times New Roman" w:cs="Times New Roman"/>
          <w:sz w:val="24"/>
          <w:szCs w:val="24"/>
          <w:shd w:val="clear" w:color="auto" w:fill="FFFFFF"/>
        </w:rPr>
      </w:pPr>
      <w:r w:rsidRPr="00F308FE">
        <w:rPr>
          <w:rFonts w:ascii="Times New Roman" w:hAnsi="Times New Roman" w:cs="Times New Roman"/>
          <w:sz w:val="24"/>
          <w:szCs w:val="24"/>
          <w:shd w:val="clear" w:color="auto" w:fill="FFFFFF"/>
        </w:rPr>
        <w:t>Stanton, E. A.</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(2007)</w:t>
      </w:r>
      <w:r w:rsidR="00052DD7">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xml:space="preserve"> The human development index: A history</w:t>
      </w:r>
      <w:r w:rsidR="00C944E5">
        <w:rPr>
          <w:rFonts w:ascii="Times New Roman" w:hAnsi="Times New Roman" w:cs="Times New Roman"/>
          <w:sz w:val="24"/>
          <w:szCs w:val="24"/>
          <w:shd w:val="clear" w:color="auto" w:fill="FFFFFF"/>
        </w:rPr>
        <w:t>,</w:t>
      </w:r>
      <w:r w:rsidRPr="00F308FE">
        <w:rPr>
          <w:rFonts w:ascii="Times New Roman" w:hAnsi="Times New Roman" w:cs="Times New Roman"/>
          <w:sz w:val="24"/>
          <w:szCs w:val="24"/>
          <w:shd w:val="clear" w:color="auto" w:fill="FFFFFF"/>
        </w:rPr>
        <w:t> </w:t>
      </w:r>
      <w:r w:rsidRPr="00F308FE">
        <w:rPr>
          <w:rFonts w:ascii="Times New Roman" w:hAnsi="Times New Roman" w:cs="Times New Roman"/>
          <w:i/>
          <w:iCs/>
          <w:sz w:val="24"/>
          <w:szCs w:val="24"/>
          <w:shd w:val="clear" w:color="auto" w:fill="FFFFFF"/>
        </w:rPr>
        <w:t>PERI Working Papers</w:t>
      </w:r>
      <w:r w:rsidRPr="00F308FE">
        <w:rPr>
          <w:rFonts w:ascii="Times New Roman" w:hAnsi="Times New Roman" w:cs="Times New Roman"/>
          <w:sz w:val="24"/>
          <w:szCs w:val="24"/>
          <w:shd w:val="clear" w:color="auto" w:fill="FFFFFF"/>
        </w:rPr>
        <w:t>, 85.</w:t>
      </w:r>
    </w:p>
    <w:sectPr w:rsidR="00850A38" w:rsidRPr="00F308FE" w:rsidSect="00B34D16">
      <w:footerReference w:type="default" r:id="rId1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F54F3" w14:textId="77777777" w:rsidR="009E625D" w:rsidRDefault="009E625D" w:rsidP="00B34D16">
      <w:pPr>
        <w:spacing w:after="0" w:line="240" w:lineRule="auto"/>
      </w:pPr>
      <w:r>
        <w:separator/>
      </w:r>
    </w:p>
  </w:endnote>
  <w:endnote w:type="continuationSeparator" w:id="0">
    <w:p w14:paraId="7BD575FB" w14:textId="77777777" w:rsidR="009E625D" w:rsidRDefault="009E625D" w:rsidP="00B3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8565" w14:textId="77777777" w:rsidR="00B34D16" w:rsidRDefault="00B34D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E4641" w14:textId="77777777" w:rsidR="009E625D" w:rsidRDefault="009E625D" w:rsidP="00B34D16">
      <w:pPr>
        <w:spacing w:after="0" w:line="240" w:lineRule="auto"/>
      </w:pPr>
      <w:r>
        <w:separator/>
      </w:r>
    </w:p>
  </w:footnote>
  <w:footnote w:type="continuationSeparator" w:id="0">
    <w:p w14:paraId="47B5C8CE" w14:textId="77777777" w:rsidR="009E625D" w:rsidRDefault="009E625D" w:rsidP="00B3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34977"/>
    <w:multiLevelType w:val="hybridMultilevel"/>
    <w:tmpl w:val="2E305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E900CA"/>
    <w:multiLevelType w:val="hybridMultilevel"/>
    <w:tmpl w:val="24485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54EA7"/>
    <w:multiLevelType w:val="hybridMultilevel"/>
    <w:tmpl w:val="61487C4C"/>
    <w:lvl w:ilvl="0" w:tplc="26FAC120">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15:restartNumberingAfterBreak="0">
    <w:nsid w:val="3E102D7F"/>
    <w:multiLevelType w:val="hybridMultilevel"/>
    <w:tmpl w:val="6F5EF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B24E8F"/>
    <w:multiLevelType w:val="hybridMultilevel"/>
    <w:tmpl w:val="802CA4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BB143F9"/>
    <w:multiLevelType w:val="hybridMultilevel"/>
    <w:tmpl w:val="6F5EF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DB4"/>
    <w:rsid w:val="00002BEA"/>
    <w:rsid w:val="00004DCF"/>
    <w:rsid w:val="000064B4"/>
    <w:rsid w:val="000266E2"/>
    <w:rsid w:val="00052DD7"/>
    <w:rsid w:val="00095DB4"/>
    <w:rsid w:val="000A45E5"/>
    <w:rsid w:val="000B7EC7"/>
    <w:rsid w:val="000F1890"/>
    <w:rsid w:val="00103ED4"/>
    <w:rsid w:val="0015413B"/>
    <w:rsid w:val="00160337"/>
    <w:rsid w:val="001662A3"/>
    <w:rsid w:val="001877E8"/>
    <w:rsid w:val="001945CC"/>
    <w:rsid w:val="001C266A"/>
    <w:rsid w:val="001C3AB9"/>
    <w:rsid w:val="001D6420"/>
    <w:rsid w:val="002236AB"/>
    <w:rsid w:val="00223FF2"/>
    <w:rsid w:val="0024240E"/>
    <w:rsid w:val="002531D1"/>
    <w:rsid w:val="00264EDC"/>
    <w:rsid w:val="00287A5B"/>
    <w:rsid w:val="002A0CFB"/>
    <w:rsid w:val="002A6D1C"/>
    <w:rsid w:val="002F026F"/>
    <w:rsid w:val="002F661F"/>
    <w:rsid w:val="003110CE"/>
    <w:rsid w:val="00357EE1"/>
    <w:rsid w:val="00394AE8"/>
    <w:rsid w:val="003B1D26"/>
    <w:rsid w:val="00402E39"/>
    <w:rsid w:val="00423B79"/>
    <w:rsid w:val="00431ED5"/>
    <w:rsid w:val="0046268B"/>
    <w:rsid w:val="004A2CAB"/>
    <w:rsid w:val="004C2B1B"/>
    <w:rsid w:val="004D7958"/>
    <w:rsid w:val="004E1B54"/>
    <w:rsid w:val="005137DA"/>
    <w:rsid w:val="005407FA"/>
    <w:rsid w:val="0056758C"/>
    <w:rsid w:val="0059249A"/>
    <w:rsid w:val="005B29A3"/>
    <w:rsid w:val="005F0526"/>
    <w:rsid w:val="0065207C"/>
    <w:rsid w:val="00661713"/>
    <w:rsid w:val="00662DA3"/>
    <w:rsid w:val="00665380"/>
    <w:rsid w:val="00672CF4"/>
    <w:rsid w:val="00681E80"/>
    <w:rsid w:val="0069231D"/>
    <w:rsid w:val="00695203"/>
    <w:rsid w:val="00717879"/>
    <w:rsid w:val="00740930"/>
    <w:rsid w:val="00747CDA"/>
    <w:rsid w:val="00747E6C"/>
    <w:rsid w:val="00766385"/>
    <w:rsid w:val="007818F9"/>
    <w:rsid w:val="00791C80"/>
    <w:rsid w:val="007A36AB"/>
    <w:rsid w:val="007A603E"/>
    <w:rsid w:val="007D6639"/>
    <w:rsid w:val="00802EE3"/>
    <w:rsid w:val="00817EC8"/>
    <w:rsid w:val="00850A38"/>
    <w:rsid w:val="008541E0"/>
    <w:rsid w:val="00855C0A"/>
    <w:rsid w:val="008947A9"/>
    <w:rsid w:val="00896A8E"/>
    <w:rsid w:val="008B709E"/>
    <w:rsid w:val="008D7DFB"/>
    <w:rsid w:val="00935B7C"/>
    <w:rsid w:val="00955A05"/>
    <w:rsid w:val="009A055A"/>
    <w:rsid w:val="009B15D3"/>
    <w:rsid w:val="009B3C2C"/>
    <w:rsid w:val="009E625D"/>
    <w:rsid w:val="00A06A48"/>
    <w:rsid w:val="00A30D07"/>
    <w:rsid w:val="00A515A4"/>
    <w:rsid w:val="00A8018B"/>
    <w:rsid w:val="00AC50BA"/>
    <w:rsid w:val="00B01011"/>
    <w:rsid w:val="00B20DEE"/>
    <w:rsid w:val="00B34638"/>
    <w:rsid w:val="00B34D16"/>
    <w:rsid w:val="00B477AE"/>
    <w:rsid w:val="00B56612"/>
    <w:rsid w:val="00B70C50"/>
    <w:rsid w:val="00BB2AD9"/>
    <w:rsid w:val="00BC6FD6"/>
    <w:rsid w:val="00BC7D79"/>
    <w:rsid w:val="00BD2066"/>
    <w:rsid w:val="00BE03D4"/>
    <w:rsid w:val="00C073F0"/>
    <w:rsid w:val="00C65571"/>
    <w:rsid w:val="00C74F0A"/>
    <w:rsid w:val="00C83C0D"/>
    <w:rsid w:val="00C84D78"/>
    <w:rsid w:val="00C944E5"/>
    <w:rsid w:val="00D014C7"/>
    <w:rsid w:val="00D06A6C"/>
    <w:rsid w:val="00D11A75"/>
    <w:rsid w:val="00D4484B"/>
    <w:rsid w:val="00D46B27"/>
    <w:rsid w:val="00D668CE"/>
    <w:rsid w:val="00D67DD5"/>
    <w:rsid w:val="00D82FA3"/>
    <w:rsid w:val="00DA1D5B"/>
    <w:rsid w:val="00DC1FE0"/>
    <w:rsid w:val="00DC4F2F"/>
    <w:rsid w:val="00E46C5B"/>
    <w:rsid w:val="00E47B5A"/>
    <w:rsid w:val="00E65349"/>
    <w:rsid w:val="00E80B81"/>
    <w:rsid w:val="00E818DA"/>
    <w:rsid w:val="00E96DD0"/>
    <w:rsid w:val="00EB0D79"/>
    <w:rsid w:val="00EE04D3"/>
    <w:rsid w:val="00EF0A1C"/>
    <w:rsid w:val="00F12008"/>
    <w:rsid w:val="00F308FE"/>
    <w:rsid w:val="00F90EF3"/>
    <w:rsid w:val="00FA610F"/>
    <w:rsid w:val="00FC2F4A"/>
    <w:rsid w:val="00FD6E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5F2BF"/>
  <w15:chartTrackingRefBased/>
  <w15:docId w15:val="{DD93C5E8-CCB9-40DB-8EE7-C7BDBE68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DD5"/>
  </w:style>
  <w:style w:type="paragraph" w:styleId="Heading1">
    <w:name w:val="heading 1"/>
    <w:basedOn w:val="Normal"/>
    <w:next w:val="Normal"/>
    <w:link w:val="Heading1Char"/>
    <w:qFormat/>
    <w:rsid w:val="004E1B54"/>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1B5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B34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4D16"/>
  </w:style>
  <w:style w:type="paragraph" w:styleId="Footer">
    <w:name w:val="footer"/>
    <w:basedOn w:val="Normal"/>
    <w:link w:val="FooterChar"/>
    <w:uiPriority w:val="99"/>
    <w:unhideWhenUsed/>
    <w:rsid w:val="00B34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4D16"/>
  </w:style>
  <w:style w:type="paragraph" w:styleId="ListParagraph">
    <w:name w:val="List Paragraph"/>
    <w:basedOn w:val="Normal"/>
    <w:uiPriority w:val="34"/>
    <w:qFormat/>
    <w:rsid w:val="00BC7D79"/>
    <w:pPr>
      <w:ind w:left="720"/>
      <w:contextualSpacing/>
    </w:pPr>
  </w:style>
  <w:style w:type="character" w:styleId="CommentReference">
    <w:name w:val="annotation reference"/>
    <w:basedOn w:val="DefaultParagraphFont"/>
    <w:uiPriority w:val="99"/>
    <w:semiHidden/>
    <w:unhideWhenUsed/>
    <w:rsid w:val="00850A38"/>
    <w:rPr>
      <w:sz w:val="16"/>
      <w:szCs w:val="16"/>
    </w:rPr>
  </w:style>
  <w:style w:type="paragraph" w:styleId="CommentText">
    <w:name w:val="annotation text"/>
    <w:basedOn w:val="Normal"/>
    <w:link w:val="CommentTextChar"/>
    <w:uiPriority w:val="99"/>
    <w:unhideWhenUsed/>
    <w:rsid w:val="00850A38"/>
    <w:pPr>
      <w:spacing w:line="240" w:lineRule="auto"/>
    </w:pPr>
    <w:rPr>
      <w:sz w:val="20"/>
      <w:szCs w:val="20"/>
    </w:rPr>
  </w:style>
  <w:style w:type="character" w:customStyle="1" w:styleId="CommentTextChar">
    <w:name w:val="Comment Text Char"/>
    <w:basedOn w:val="DefaultParagraphFont"/>
    <w:link w:val="CommentText"/>
    <w:uiPriority w:val="99"/>
    <w:rsid w:val="00850A38"/>
    <w:rPr>
      <w:sz w:val="20"/>
      <w:szCs w:val="20"/>
    </w:rPr>
  </w:style>
  <w:style w:type="paragraph" w:styleId="CommentSubject">
    <w:name w:val="annotation subject"/>
    <w:basedOn w:val="CommentText"/>
    <w:next w:val="CommentText"/>
    <w:link w:val="CommentSubjectChar"/>
    <w:uiPriority w:val="99"/>
    <w:semiHidden/>
    <w:unhideWhenUsed/>
    <w:rsid w:val="00850A38"/>
    <w:rPr>
      <w:b/>
      <w:bCs/>
    </w:rPr>
  </w:style>
  <w:style w:type="character" w:customStyle="1" w:styleId="CommentSubjectChar">
    <w:name w:val="Comment Subject Char"/>
    <w:basedOn w:val="CommentTextChar"/>
    <w:link w:val="CommentSubject"/>
    <w:uiPriority w:val="99"/>
    <w:semiHidden/>
    <w:rsid w:val="00850A38"/>
    <w:rPr>
      <w:b/>
      <w:bCs/>
      <w:sz w:val="20"/>
      <w:szCs w:val="20"/>
    </w:rPr>
  </w:style>
  <w:style w:type="character" w:styleId="Hyperlink">
    <w:name w:val="Hyperlink"/>
    <w:uiPriority w:val="99"/>
    <w:rsid w:val="00850A38"/>
    <w:rPr>
      <w:color w:val="0000FF"/>
      <w:u w:val="single"/>
    </w:rPr>
  </w:style>
  <w:style w:type="paragraph" w:styleId="Caption">
    <w:name w:val="caption"/>
    <w:basedOn w:val="Normal"/>
    <w:next w:val="Normal"/>
    <w:uiPriority w:val="35"/>
    <w:unhideWhenUsed/>
    <w:qFormat/>
    <w:rsid w:val="00850A38"/>
    <w:pPr>
      <w:spacing w:after="0" w:line="240" w:lineRule="auto"/>
    </w:pPr>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423B79"/>
    <w:rPr>
      <w:color w:val="954F72"/>
      <w:u w:val="single"/>
    </w:rPr>
  </w:style>
  <w:style w:type="paragraph" w:customStyle="1" w:styleId="msonormal0">
    <w:name w:val="msonormal"/>
    <w:basedOn w:val="Normal"/>
    <w:rsid w:val="00423B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423B79"/>
    <w:pPr>
      <w:spacing w:before="100" w:beforeAutospacing="1" w:after="100" w:afterAutospacing="1" w:line="240" w:lineRule="auto"/>
      <w:jc w:val="center"/>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4767">
      <w:bodyDiv w:val="1"/>
      <w:marLeft w:val="0"/>
      <w:marRight w:val="0"/>
      <w:marTop w:val="0"/>
      <w:marBottom w:val="0"/>
      <w:divBdr>
        <w:top w:val="none" w:sz="0" w:space="0" w:color="auto"/>
        <w:left w:val="none" w:sz="0" w:space="0" w:color="auto"/>
        <w:bottom w:val="none" w:sz="0" w:space="0" w:color="auto"/>
        <w:right w:val="none" w:sz="0" w:space="0" w:color="auto"/>
      </w:divBdr>
    </w:div>
    <w:div w:id="1114908661">
      <w:bodyDiv w:val="1"/>
      <w:marLeft w:val="0"/>
      <w:marRight w:val="0"/>
      <w:marTop w:val="0"/>
      <w:marBottom w:val="0"/>
      <w:divBdr>
        <w:top w:val="none" w:sz="0" w:space="0" w:color="auto"/>
        <w:left w:val="none" w:sz="0" w:space="0" w:color="auto"/>
        <w:bottom w:val="none" w:sz="0" w:space="0" w:color="auto"/>
        <w:right w:val="none" w:sz="0" w:space="0" w:color="auto"/>
      </w:divBdr>
    </w:div>
    <w:div w:id="1343507561">
      <w:bodyDiv w:val="1"/>
      <w:marLeft w:val="0"/>
      <w:marRight w:val="0"/>
      <w:marTop w:val="0"/>
      <w:marBottom w:val="0"/>
      <w:divBdr>
        <w:top w:val="none" w:sz="0" w:space="0" w:color="auto"/>
        <w:left w:val="none" w:sz="0" w:space="0" w:color="auto"/>
        <w:bottom w:val="none" w:sz="0" w:space="0" w:color="auto"/>
        <w:right w:val="none" w:sz="0" w:space="0" w:color="auto"/>
      </w:divBdr>
    </w:div>
    <w:div w:id="19558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go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unstats.u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60EB-5644-458E-A3FA-28A8D277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Tarlakazan</dc:creator>
  <cp:keywords/>
  <dc:description/>
  <cp:lastModifiedBy>Gökçe Tarlakazan</cp:lastModifiedBy>
  <cp:revision>36</cp:revision>
  <dcterms:created xsi:type="dcterms:W3CDTF">2021-06-19T13:09:00Z</dcterms:created>
  <dcterms:modified xsi:type="dcterms:W3CDTF">2021-09-02T17:17:00Z</dcterms:modified>
</cp:coreProperties>
</file>