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DD" w:rsidRPr="00AE7F62" w:rsidRDefault="00E40DDD" w:rsidP="00E40DDD">
      <w:pPr>
        <w:widowControl w:val="0"/>
        <w:autoSpaceDE w:val="0"/>
        <w:autoSpaceDN w:val="0"/>
        <w:adjustRightInd w:val="0"/>
        <w:spacing w:after="200" w:line="276" w:lineRule="auto"/>
        <w:jc w:val="center"/>
        <w:rPr>
          <w:rFonts w:ascii="Times New Roman" w:hAnsi="Times New Roman" w:cs="Times New Roman"/>
          <w:b/>
          <w:bCs/>
          <w:sz w:val="28"/>
          <w:szCs w:val="28"/>
          <w:lang w:val="en-US"/>
        </w:rPr>
      </w:pPr>
      <w:r w:rsidRPr="00AE7F62">
        <w:rPr>
          <w:rFonts w:ascii="Times New Roman" w:hAnsi="Times New Roman" w:cs="Times New Roman"/>
          <w:b/>
          <w:bCs/>
          <w:sz w:val="28"/>
          <w:szCs w:val="28"/>
          <w:lang w:val="en-US"/>
        </w:rPr>
        <w:t xml:space="preserve">Does it Matter Fiscal or Monetary Policy on Environmental Issue? Evidence from </w:t>
      </w:r>
      <w:r w:rsidR="00E35931">
        <w:rPr>
          <w:rFonts w:ascii="Times New Roman" w:hAnsi="Times New Roman" w:cs="Times New Roman"/>
          <w:b/>
          <w:bCs/>
          <w:sz w:val="28"/>
          <w:szCs w:val="28"/>
          <w:lang w:val="en-US"/>
        </w:rPr>
        <w:t>Kernel-Based Regularized</w:t>
      </w:r>
      <w:r w:rsidR="0012786C">
        <w:rPr>
          <w:rFonts w:ascii="Times New Roman" w:hAnsi="Times New Roman" w:cs="Times New Roman"/>
          <w:b/>
          <w:bCs/>
          <w:sz w:val="28"/>
          <w:szCs w:val="28"/>
          <w:lang w:val="en-US"/>
        </w:rPr>
        <w:t xml:space="preserve"> </w:t>
      </w:r>
      <w:r w:rsidR="00E35931">
        <w:rPr>
          <w:rFonts w:ascii="Times New Roman" w:hAnsi="Times New Roman" w:cs="Times New Roman"/>
          <w:b/>
          <w:bCs/>
          <w:sz w:val="28"/>
          <w:szCs w:val="28"/>
          <w:lang w:val="en-US"/>
        </w:rPr>
        <w:t>Least Squares</w:t>
      </w:r>
      <w:r w:rsidR="00526C9A">
        <w:rPr>
          <w:rFonts w:ascii="Times New Roman" w:hAnsi="Times New Roman" w:cs="Times New Roman"/>
          <w:b/>
          <w:bCs/>
          <w:sz w:val="28"/>
          <w:szCs w:val="28"/>
          <w:lang w:val="en-US"/>
        </w:rPr>
        <w:t xml:space="preserve"> (KRLS)</w:t>
      </w:r>
      <w:r w:rsidR="0012786C">
        <w:rPr>
          <w:rFonts w:ascii="Times New Roman" w:hAnsi="Times New Roman" w:cs="Times New Roman"/>
          <w:b/>
          <w:bCs/>
          <w:sz w:val="28"/>
          <w:szCs w:val="28"/>
          <w:lang w:val="en-US"/>
        </w:rPr>
        <w:t xml:space="preserve"> </w:t>
      </w:r>
      <w:r w:rsidRPr="00AE7F62">
        <w:rPr>
          <w:rFonts w:ascii="Times New Roman" w:hAnsi="Times New Roman" w:cs="Times New Roman"/>
          <w:b/>
          <w:bCs/>
          <w:sz w:val="28"/>
          <w:szCs w:val="28"/>
          <w:lang w:val="en-US"/>
        </w:rPr>
        <w:t xml:space="preserve">for USA </w:t>
      </w:r>
    </w:p>
    <w:p w:rsidR="00E40DDD" w:rsidRPr="00CB7385" w:rsidRDefault="00E40DDD" w:rsidP="00CB7385">
      <w:pPr>
        <w:widowControl w:val="0"/>
        <w:autoSpaceDE w:val="0"/>
        <w:autoSpaceDN w:val="0"/>
        <w:adjustRightInd w:val="0"/>
        <w:spacing w:after="0" w:line="276" w:lineRule="auto"/>
        <w:jc w:val="right"/>
        <w:rPr>
          <w:rFonts w:ascii="Times New Roman" w:hAnsi="Times New Roman" w:cs="Times New Roman"/>
          <w:lang w:val="en-US"/>
        </w:rPr>
      </w:pPr>
      <w:r w:rsidRPr="00CB7385">
        <w:rPr>
          <w:rFonts w:ascii="Times New Roman" w:hAnsi="Times New Roman" w:cs="Times New Roman"/>
          <w:lang w:val="en-US"/>
        </w:rPr>
        <w:t>İbrahim ÖZMEN</w:t>
      </w:r>
      <w:r w:rsidR="00940DBB" w:rsidRPr="00CB7385">
        <w:rPr>
          <w:rStyle w:val="DipnotBavurusu"/>
          <w:rFonts w:ascii="Times New Roman" w:hAnsi="Times New Roman" w:cs="Times New Roman"/>
          <w:lang w:val="en-US"/>
        </w:rPr>
        <w:footnoteReference w:id="2"/>
      </w:r>
    </w:p>
    <w:p w:rsidR="00E40DDD" w:rsidRPr="00CB7385" w:rsidRDefault="00E40DDD" w:rsidP="00CB7385">
      <w:pPr>
        <w:widowControl w:val="0"/>
        <w:autoSpaceDE w:val="0"/>
        <w:autoSpaceDN w:val="0"/>
        <w:adjustRightInd w:val="0"/>
        <w:spacing w:after="0" w:line="276" w:lineRule="auto"/>
        <w:jc w:val="right"/>
        <w:rPr>
          <w:rFonts w:ascii="Times New Roman" w:hAnsi="Times New Roman" w:cs="Times New Roman"/>
          <w:lang w:val="en-US"/>
        </w:rPr>
      </w:pPr>
      <w:r w:rsidRPr="00CB7385">
        <w:rPr>
          <w:rFonts w:ascii="Times New Roman" w:hAnsi="Times New Roman" w:cs="Times New Roman"/>
          <w:lang w:val="en-US"/>
        </w:rPr>
        <w:t>Selçuk BALI</w:t>
      </w:r>
      <w:r w:rsidR="00940DBB" w:rsidRPr="00CB7385">
        <w:rPr>
          <w:rStyle w:val="DipnotBavurusu"/>
          <w:rFonts w:ascii="Times New Roman" w:hAnsi="Times New Roman" w:cs="Times New Roman"/>
          <w:lang w:val="en-US"/>
        </w:rPr>
        <w:footnoteReference w:id="3"/>
      </w:r>
    </w:p>
    <w:p w:rsidR="00E40DDD" w:rsidRPr="00AE7F62" w:rsidRDefault="00E40DDD" w:rsidP="00E40DDD">
      <w:pPr>
        <w:widowControl w:val="0"/>
        <w:autoSpaceDE w:val="0"/>
        <w:autoSpaceDN w:val="0"/>
        <w:adjustRightInd w:val="0"/>
        <w:spacing w:after="200" w:line="276" w:lineRule="auto"/>
        <w:rPr>
          <w:rFonts w:ascii="Times New Roman" w:hAnsi="Times New Roman" w:cs="Times New Roman"/>
          <w:b/>
          <w:bCs/>
          <w:sz w:val="28"/>
          <w:szCs w:val="28"/>
          <w:lang w:val="en-US"/>
        </w:rPr>
      </w:pPr>
    </w:p>
    <w:p w:rsidR="00E40DDD" w:rsidRPr="00AE7F62" w:rsidRDefault="00E40DDD" w:rsidP="00E40DDD">
      <w:pPr>
        <w:widowControl w:val="0"/>
        <w:autoSpaceDE w:val="0"/>
        <w:autoSpaceDN w:val="0"/>
        <w:adjustRightInd w:val="0"/>
        <w:spacing w:after="200" w:line="276" w:lineRule="auto"/>
        <w:jc w:val="both"/>
        <w:rPr>
          <w:rFonts w:ascii="Times New Roman" w:hAnsi="Times New Roman" w:cs="Times New Roman"/>
          <w:b/>
          <w:bCs/>
          <w:sz w:val="24"/>
          <w:szCs w:val="24"/>
          <w:lang w:val="en-US"/>
        </w:rPr>
      </w:pPr>
      <w:r w:rsidRPr="00AE7F62">
        <w:rPr>
          <w:rFonts w:ascii="Times New Roman" w:hAnsi="Times New Roman" w:cs="Times New Roman"/>
          <w:b/>
          <w:bCs/>
          <w:sz w:val="24"/>
          <w:szCs w:val="24"/>
          <w:lang w:val="en-US"/>
        </w:rPr>
        <w:t>ABSTRACT</w:t>
      </w:r>
    </w:p>
    <w:p w:rsidR="00E40DDD" w:rsidRPr="005D3266" w:rsidRDefault="00E40DDD" w:rsidP="00E40DDD">
      <w:pPr>
        <w:widowControl w:val="0"/>
        <w:autoSpaceDE w:val="0"/>
        <w:autoSpaceDN w:val="0"/>
        <w:adjustRightInd w:val="0"/>
        <w:spacing w:after="200" w:line="276" w:lineRule="auto"/>
        <w:jc w:val="both"/>
        <w:rPr>
          <w:rFonts w:ascii="Times New Roman" w:hAnsi="Times New Roman"/>
          <w:sz w:val="24"/>
          <w:szCs w:val="24"/>
          <w:lang w:val="en-US"/>
        </w:rPr>
      </w:pPr>
      <w:r w:rsidRPr="00AE7F62">
        <w:rPr>
          <w:rFonts w:ascii="Times New Roman" w:hAnsi="Times New Roman" w:cs="Times New Roman"/>
          <w:sz w:val="24"/>
          <w:szCs w:val="24"/>
          <w:lang w:val="en-US"/>
        </w:rPr>
        <w:t>The carbon dioxide emission, which plays a major role in climate change, is an important indicator of the climate crisis.</w:t>
      </w:r>
      <w:r w:rsidR="0012786C">
        <w:rPr>
          <w:rFonts w:ascii="Times New Roman" w:hAnsi="Times New Roman" w:cs="Times New Roman"/>
          <w:sz w:val="24"/>
          <w:szCs w:val="24"/>
          <w:lang w:val="en-US"/>
        </w:rPr>
        <w:t xml:space="preserve"> </w:t>
      </w:r>
      <w:r w:rsidRPr="00AE7F62">
        <w:rPr>
          <w:rFonts w:ascii="Times New Roman" w:hAnsi="Times New Roman" w:cs="Times New Roman"/>
          <w:sz w:val="24"/>
          <w:szCs w:val="24"/>
          <w:lang w:val="en-US"/>
        </w:rPr>
        <w:t>The United States</w:t>
      </w:r>
      <w:r w:rsidR="00AD55BC">
        <w:rPr>
          <w:rFonts w:ascii="Times New Roman" w:hAnsi="Times New Roman" w:cs="Times New Roman"/>
          <w:sz w:val="24"/>
          <w:szCs w:val="24"/>
          <w:lang w:val="en-US"/>
        </w:rPr>
        <w:t xml:space="preserve"> (USA)</w:t>
      </w:r>
      <w:r w:rsidRPr="00AE7F62">
        <w:rPr>
          <w:rFonts w:ascii="Times New Roman" w:hAnsi="Times New Roman" w:cs="Times New Roman"/>
          <w:sz w:val="24"/>
          <w:szCs w:val="24"/>
          <w:lang w:val="en-US"/>
        </w:rPr>
        <w:t xml:space="preserve">, which is a leader in terms of the global economic system, also has important roles in global climate change. USA has been reducing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AE7F62">
        <w:rPr>
          <w:rFonts w:ascii="Times New Roman" w:hAnsi="Times New Roman" w:cs="Times New Roman"/>
          <w:sz w:val="24"/>
          <w:szCs w:val="24"/>
          <w:lang w:val="en-US"/>
        </w:rPr>
        <w:t xml:space="preserve">per capita since 2006. What policy options can be effective for the USA in tackling climate change? </w:t>
      </w:r>
      <w:r w:rsidR="009E58FA">
        <w:rPr>
          <w:rFonts w:ascii="Times New Roman" w:hAnsi="Times New Roman" w:cs="Times New Roman"/>
          <w:sz w:val="24"/>
          <w:szCs w:val="24"/>
          <w:lang w:val="en-US"/>
        </w:rPr>
        <w:t>We</w:t>
      </w:r>
      <w:r w:rsidR="0012786C">
        <w:rPr>
          <w:rFonts w:ascii="Times New Roman" w:hAnsi="Times New Roman" w:cs="Times New Roman"/>
          <w:sz w:val="24"/>
          <w:szCs w:val="24"/>
          <w:lang w:val="en-US"/>
        </w:rPr>
        <w:t xml:space="preserve"> </w:t>
      </w:r>
      <w:r w:rsidR="005D3266" w:rsidRPr="00AE7F62">
        <w:rPr>
          <w:rFonts w:ascii="Times New Roman" w:hAnsi="Times New Roman" w:cs="Times New Roman"/>
          <w:sz w:val="24"/>
          <w:szCs w:val="24"/>
          <w:lang w:val="en-US"/>
        </w:rPr>
        <w:t>explore</w:t>
      </w:r>
      <w:r w:rsidRPr="00AE7F62">
        <w:rPr>
          <w:rFonts w:ascii="Times New Roman" w:hAnsi="Times New Roman" w:cs="Times New Roman"/>
          <w:sz w:val="24"/>
          <w:szCs w:val="24"/>
          <w:lang w:val="en-US"/>
        </w:rPr>
        <w:t xml:space="preserve"> the effectiveness of monetary and fiscal policies on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AE7F62">
        <w:rPr>
          <w:rFonts w:ascii="Times New Roman" w:hAnsi="Times New Roman" w:cs="Times New Roman"/>
          <w:sz w:val="24"/>
          <w:szCs w:val="24"/>
          <w:lang w:val="en-US"/>
        </w:rPr>
        <w:t>based on the USA</w:t>
      </w:r>
      <w:r w:rsidR="001903C3">
        <w:rPr>
          <w:rFonts w:ascii="Times New Roman" w:hAnsi="Times New Roman" w:cs="Times New Roman"/>
          <w:sz w:val="24"/>
          <w:szCs w:val="24"/>
          <w:lang w:val="en-US"/>
        </w:rPr>
        <w:t>’</w:t>
      </w:r>
      <w:r w:rsidRPr="00AE7F62">
        <w:rPr>
          <w:rFonts w:ascii="Times New Roman" w:hAnsi="Times New Roman" w:cs="Times New Roman"/>
          <w:sz w:val="24"/>
          <w:szCs w:val="24"/>
          <w:lang w:val="en-US"/>
        </w:rPr>
        <w:t xml:space="preserve">s 1990-2019 annual data in order to answer this question. </w:t>
      </w:r>
      <w:r w:rsidR="005D3266">
        <w:rPr>
          <w:rFonts w:ascii="Times New Roman" w:hAnsi="Times New Roman" w:cs="Times New Roman"/>
          <w:sz w:val="24"/>
          <w:szCs w:val="24"/>
          <w:lang w:val="en-US"/>
        </w:rPr>
        <w:t>K</w:t>
      </w:r>
      <w:r w:rsidR="0012786C">
        <w:rPr>
          <w:rFonts w:ascii="Times New Roman" w:hAnsi="Times New Roman" w:cs="Times New Roman"/>
          <w:sz w:val="24"/>
          <w:szCs w:val="24"/>
          <w:lang w:val="en-US"/>
        </w:rPr>
        <w:t>RLS</w:t>
      </w:r>
      <w:r w:rsidR="005D3266">
        <w:rPr>
          <w:rFonts w:ascii="Times New Roman" w:hAnsi="Times New Roman" w:cs="Times New Roman"/>
          <w:sz w:val="24"/>
          <w:szCs w:val="24"/>
          <w:lang w:val="en-US"/>
        </w:rPr>
        <w:t xml:space="preserve"> results indicate that </w:t>
      </w:r>
      <w:r w:rsidR="005D3266" w:rsidRPr="00AB2CE8">
        <w:rPr>
          <w:rFonts w:ascii="Times New Roman" w:hAnsi="Times New Roman"/>
          <w:sz w:val="24"/>
          <w:szCs w:val="24"/>
          <w:lang w:val="en-US"/>
        </w:rPr>
        <w:t xml:space="preserve">fiscal policy is more effective for reducing </w:t>
      </w:r>
      <w:r w:rsidR="00F47CDF">
        <w:rPr>
          <w:rFonts w:ascii="Times New Roman" w:hAnsi="Times New Roman"/>
          <w:sz w:val="24"/>
          <w:szCs w:val="24"/>
          <w:lang w:val="en-US"/>
        </w:rPr>
        <w:t>CO</w:t>
      </w:r>
      <w:r w:rsidR="00F47CDF" w:rsidRPr="00F47CDF">
        <w:rPr>
          <w:rFonts w:ascii="Times New Roman" w:hAnsi="Times New Roman"/>
          <w:sz w:val="24"/>
          <w:szCs w:val="24"/>
          <w:vertAlign w:val="subscript"/>
          <w:lang w:val="en-US"/>
        </w:rPr>
        <w:t>2</w:t>
      </w:r>
      <w:r w:rsidR="00F47CDF">
        <w:rPr>
          <w:rFonts w:ascii="Times New Roman" w:hAnsi="Times New Roman"/>
          <w:sz w:val="24"/>
          <w:szCs w:val="24"/>
          <w:lang w:val="en-US"/>
        </w:rPr>
        <w:t xml:space="preserve">e </w:t>
      </w:r>
      <w:r w:rsidR="005D3266" w:rsidRPr="00AB2CE8">
        <w:rPr>
          <w:rFonts w:ascii="Times New Roman" w:hAnsi="Times New Roman"/>
          <w:sz w:val="24"/>
          <w:szCs w:val="24"/>
          <w:lang w:val="en-US"/>
        </w:rPr>
        <w:t>in the USA than monetary policy.</w:t>
      </w:r>
      <w:r w:rsidR="0012786C">
        <w:rPr>
          <w:rFonts w:ascii="Times New Roman" w:hAnsi="Times New Roman"/>
          <w:sz w:val="24"/>
          <w:szCs w:val="24"/>
          <w:lang w:val="en-US"/>
        </w:rPr>
        <w:t xml:space="preserve"> </w:t>
      </w:r>
      <w:r w:rsidR="005D3266" w:rsidRPr="005D3266">
        <w:rPr>
          <w:rFonts w:ascii="Times New Roman" w:hAnsi="Times New Roman" w:cs="Times New Roman"/>
          <w:sz w:val="24"/>
          <w:szCs w:val="24"/>
          <w:lang w:val="en-US"/>
        </w:rPr>
        <w:t>Our findings can encourage policymakers for fiscal policy in the struggle with climate change.</w:t>
      </w:r>
    </w:p>
    <w:p w:rsidR="00940DBB" w:rsidRPr="00E812E9" w:rsidRDefault="00E40DDD" w:rsidP="00E812E9">
      <w:pPr>
        <w:widowControl w:val="0"/>
        <w:autoSpaceDE w:val="0"/>
        <w:autoSpaceDN w:val="0"/>
        <w:adjustRightInd w:val="0"/>
        <w:spacing w:after="200" w:line="276" w:lineRule="auto"/>
        <w:jc w:val="both"/>
        <w:rPr>
          <w:rFonts w:ascii="Times New Roman" w:hAnsi="Times New Roman" w:cs="Times New Roman"/>
          <w:lang w:val="en-US"/>
        </w:rPr>
      </w:pPr>
      <w:r w:rsidRPr="00AE7F62">
        <w:rPr>
          <w:rFonts w:ascii="Times New Roman" w:hAnsi="Times New Roman" w:cs="Times New Roman"/>
          <w:b/>
          <w:bCs/>
          <w:lang w:val="en-US"/>
        </w:rPr>
        <w:t xml:space="preserve">Key words: </w:t>
      </w:r>
      <w:r w:rsidRPr="00AE7F62">
        <w:rPr>
          <w:rFonts w:ascii="Times New Roman" w:hAnsi="Times New Roman" w:cs="Times New Roman"/>
          <w:lang w:val="en-US"/>
        </w:rPr>
        <w:t xml:space="preserve">Climate crisis, Fiscal policy, </w:t>
      </w:r>
      <w:r w:rsidR="000A6848" w:rsidRPr="00AE7F62">
        <w:rPr>
          <w:rFonts w:ascii="Times New Roman" w:hAnsi="Times New Roman" w:cs="Times New Roman"/>
          <w:lang w:val="en-US"/>
        </w:rPr>
        <w:t>Monetary</w:t>
      </w:r>
      <w:r w:rsidRPr="00AE7F62">
        <w:rPr>
          <w:rFonts w:ascii="Times New Roman" w:hAnsi="Times New Roman" w:cs="Times New Roman"/>
          <w:lang w:val="en-US"/>
        </w:rPr>
        <w:t xml:space="preserve"> policy, </w:t>
      </w:r>
      <w:r w:rsidR="007558BA" w:rsidRPr="007558BA">
        <w:rPr>
          <w:rFonts w:ascii="Times New Roman" w:hAnsi="Times New Roman" w:cs="Times New Roman"/>
          <w:lang w:val="en-US"/>
        </w:rPr>
        <w:t>Kernel-Based Regularized Least Squares</w:t>
      </w:r>
    </w:p>
    <w:p w:rsidR="00940DBB" w:rsidRPr="00AE7F62" w:rsidRDefault="00940DBB" w:rsidP="00940DBB">
      <w:pPr>
        <w:widowControl w:val="0"/>
        <w:autoSpaceDE w:val="0"/>
        <w:autoSpaceDN w:val="0"/>
        <w:adjustRightInd w:val="0"/>
        <w:spacing w:after="200" w:line="276" w:lineRule="auto"/>
        <w:rPr>
          <w:rFonts w:ascii="Times New Roman" w:hAnsi="Times New Roman"/>
          <w:b/>
          <w:bCs/>
          <w:sz w:val="24"/>
          <w:szCs w:val="24"/>
          <w:lang w:val="en-US"/>
        </w:rPr>
      </w:pPr>
      <w:r w:rsidRPr="00AE7F62">
        <w:rPr>
          <w:rFonts w:ascii="Times New Roman" w:hAnsi="Times New Roman"/>
          <w:b/>
          <w:bCs/>
          <w:sz w:val="24"/>
          <w:szCs w:val="24"/>
          <w:lang w:val="en-US"/>
        </w:rPr>
        <w:t>Introduction</w:t>
      </w:r>
    </w:p>
    <w:p w:rsidR="00924B05" w:rsidRPr="00246318" w:rsidRDefault="00B96C8A" w:rsidP="00F9316E">
      <w:pPr>
        <w:widowControl w:val="0"/>
        <w:autoSpaceDE w:val="0"/>
        <w:autoSpaceDN w:val="0"/>
        <w:adjustRightInd w:val="0"/>
        <w:spacing w:after="200" w:line="276" w:lineRule="auto"/>
        <w:jc w:val="both"/>
        <w:rPr>
          <w:rFonts w:ascii="Times New Roman" w:hAnsi="Times New Roman"/>
          <w:sz w:val="24"/>
          <w:szCs w:val="24"/>
          <w:lang w:val="en-US"/>
        </w:rPr>
      </w:pPr>
      <w:r>
        <w:rPr>
          <w:rFonts w:ascii="Times New Roman" w:hAnsi="Times New Roman"/>
          <w:sz w:val="24"/>
          <w:szCs w:val="24"/>
          <w:lang w:val="en-US"/>
        </w:rPr>
        <w:t>I</w:t>
      </w:r>
      <w:r w:rsidRPr="00B96C8A">
        <w:rPr>
          <w:rFonts w:ascii="Times New Roman" w:hAnsi="Times New Roman"/>
          <w:sz w:val="24"/>
          <w:szCs w:val="24"/>
          <w:lang w:val="en-US"/>
        </w:rPr>
        <w:t>n this day and age</w:t>
      </w:r>
      <w:r w:rsidR="00246318" w:rsidRPr="00246318">
        <w:rPr>
          <w:rFonts w:ascii="Times New Roman" w:hAnsi="Times New Roman"/>
          <w:sz w:val="24"/>
          <w:szCs w:val="24"/>
          <w:lang w:val="en-US"/>
        </w:rPr>
        <w:t xml:space="preserve">, climate change and urgent climate actions that can produce solutions are among the most important issues </w:t>
      </w:r>
      <w:r w:rsidR="00353FBB" w:rsidRPr="00246318">
        <w:rPr>
          <w:rFonts w:ascii="Times New Roman" w:hAnsi="Times New Roman"/>
          <w:sz w:val="24"/>
          <w:szCs w:val="24"/>
          <w:lang w:val="en-US"/>
        </w:rPr>
        <w:t>(</w:t>
      </w:r>
      <w:r w:rsidR="00165996" w:rsidRPr="00B96C8A">
        <w:rPr>
          <w:rFonts w:ascii="Times New Roman" w:hAnsi="Times New Roman"/>
          <w:sz w:val="24"/>
          <w:szCs w:val="24"/>
          <w:lang w:val="en-US"/>
        </w:rPr>
        <w:t>Ö</w:t>
      </w:r>
      <w:r w:rsidR="001C1AA3" w:rsidRPr="00B96C8A">
        <w:rPr>
          <w:rFonts w:ascii="Times New Roman" w:hAnsi="Times New Roman"/>
          <w:sz w:val="24"/>
          <w:szCs w:val="24"/>
          <w:lang w:val="en-US"/>
        </w:rPr>
        <w:t>z</w:t>
      </w:r>
      <w:r w:rsidR="00165996" w:rsidRPr="00B96C8A">
        <w:rPr>
          <w:rFonts w:ascii="Times New Roman" w:hAnsi="Times New Roman"/>
          <w:sz w:val="24"/>
          <w:szCs w:val="24"/>
          <w:lang w:val="en-US"/>
        </w:rPr>
        <w:t>türk and Acaravci, 2010;</w:t>
      </w:r>
      <w:r w:rsidR="0012786C">
        <w:rPr>
          <w:rFonts w:ascii="Times New Roman" w:hAnsi="Times New Roman"/>
          <w:sz w:val="24"/>
          <w:szCs w:val="24"/>
          <w:lang w:val="en-US"/>
        </w:rPr>
        <w:t xml:space="preserve"> </w:t>
      </w:r>
      <w:r w:rsidR="00353FBB" w:rsidRPr="00246318">
        <w:rPr>
          <w:rFonts w:ascii="Times New Roman" w:hAnsi="Times New Roman"/>
          <w:sz w:val="24"/>
          <w:szCs w:val="24"/>
          <w:lang w:val="en-US"/>
        </w:rPr>
        <w:t>IPCC, 2022)</w:t>
      </w:r>
      <w:r w:rsidR="00F9316E" w:rsidRPr="00246318">
        <w:rPr>
          <w:rFonts w:ascii="Times New Roman" w:hAnsi="Times New Roman"/>
          <w:sz w:val="24"/>
          <w:szCs w:val="24"/>
          <w:lang w:val="en-US"/>
        </w:rPr>
        <w:t>.</w:t>
      </w:r>
      <w:r w:rsidR="005B2E7B">
        <w:rPr>
          <w:rFonts w:ascii="Times New Roman" w:hAnsi="Times New Roman"/>
          <w:sz w:val="24"/>
          <w:szCs w:val="24"/>
          <w:lang w:val="en-US"/>
        </w:rPr>
        <w:t xml:space="preserve"> </w:t>
      </w:r>
      <w:r w:rsidR="00246318" w:rsidRPr="00246318">
        <w:rPr>
          <w:rFonts w:ascii="Times New Roman" w:hAnsi="Times New Roman"/>
          <w:sz w:val="24"/>
          <w:szCs w:val="24"/>
          <w:lang w:val="en-US"/>
        </w:rPr>
        <w:t xml:space="preserve">Reducing </w:t>
      </w:r>
      <w:r w:rsidR="005B2E7B" w:rsidRPr="00D747FF">
        <w:rPr>
          <w:rFonts w:ascii="Times New Roman" w:hAnsi="Times New Roman" w:cs="Times New Roman"/>
          <w:sz w:val="24"/>
          <w:szCs w:val="24"/>
          <w:lang w:val="en-US"/>
        </w:rPr>
        <w:t>carbon dioxide emissions</w:t>
      </w:r>
      <w:r w:rsidR="005B2E7B">
        <w:rPr>
          <w:rFonts w:ascii="Times New Roman" w:hAnsi="Times New Roman" w:cs="Times New Roman"/>
          <w:sz w:val="24"/>
          <w:szCs w:val="24"/>
          <w:lang w:val="en-US"/>
        </w:rPr>
        <w:t xml:space="preserve"> (after here CO</w:t>
      </w:r>
      <w:r w:rsidR="005B2E7B">
        <w:rPr>
          <w:rFonts w:ascii="Times New Roman" w:hAnsi="Times New Roman" w:cs="Times New Roman"/>
          <w:sz w:val="24"/>
          <w:szCs w:val="24"/>
          <w:vertAlign w:val="subscript"/>
          <w:lang w:val="en-US"/>
        </w:rPr>
        <w:t>2</w:t>
      </w:r>
      <w:r w:rsidR="005B2E7B">
        <w:rPr>
          <w:rFonts w:ascii="Times New Roman" w:hAnsi="Times New Roman" w:cs="Times New Roman"/>
          <w:sz w:val="24"/>
          <w:szCs w:val="24"/>
          <w:lang w:val="en-US"/>
        </w:rPr>
        <w:t>e)</w:t>
      </w:r>
      <w:r w:rsidR="00F47CDF">
        <w:rPr>
          <w:rFonts w:ascii="Times New Roman" w:hAnsi="Times New Roman"/>
          <w:sz w:val="24"/>
          <w:szCs w:val="24"/>
          <w:lang w:val="en-US"/>
        </w:rPr>
        <w:t xml:space="preserve"> </w:t>
      </w:r>
      <w:r w:rsidR="00246318" w:rsidRPr="00246318">
        <w:rPr>
          <w:rFonts w:ascii="Times New Roman" w:hAnsi="Times New Roman"/>
          <w:sz w:val="24"/>
          <w:szCs w:val="24"/>
          <w:lang w:val="en-US"/>
        </w:rPr>
        <w:t xml:space="preserve">can be the first line of visible actions in the </w:t>
      </w:r>
      <w:r w:rsidR="00D8119C">
        <w:rPr>
          <w:rFonts w:ascii="Times New Roman" w:hAnsi="Times New Roman"/>
          <w:sz w:val="24"/>
          <w:szCs w:val="24"/>
          <w:lang w:val="en-US"/>
        </w:rPr>
        <w:t>struggle with</w:t>
      </w:r>
      <w:r w:rsidR="00246318" w:rsidRPr="00246318">
        <w:rPr>
          <w:rFonts w:ascii="Times New Roman" w:hAnsi="Times New Roman"/>
          <w:sz w:val="24"/>
          <w:szCs w:val="24"/>
          <w:lang w:val="en-US"/>
        </w:rPr>
        <w:t xml:space="preserve"> climate change </w:t>
      </w:r>
      <w:r w:rsidR="00165996" w:rsidRPr="00246318">
        <w:rPr>
          <w:rFonts w:ascii="Times New Roman" w:hAnsi="Times New Roman"/>
          <w:sz w:val="24"/>
          <w:szCs w:val="24"/>
          <w:lang w:val="en-US"/>
        </w:rPr>
        <w:t>(Ha</w:t>
      </w:r>
      <w:r w:rsidR="0019358F">
        <w:rPr>
          <w:rFonts w:ascii="Times New Roman" w:hAnsi="Times New Roman"/>
          <w:sz w:val="24"/>
          <w:szCs w:val="24"/>
          <w:lang w:val="en-US"/>
        </w:rPr>
        <w:t>lı</w:t>
      </w:r>
      <w:r w:rsidR="00165996" w:rsidRPr="00246318">
        <w:rPr>
          <w:rFonts w:ascii="Times New Roman" w:hAnsi="Times New Roman"/>
          <w:sz w:val="24"/>
          <w:szCs w:val="24"/>
          <w:lang w:val="en-US"/>
        </w:rPr>
        <w:t>cıoğlu,</w:t>
      </w:r>
      <w:r w:rsidR="0012786C">
        <w:rPr>
          <w:rFonts w:ascii="Times New Roman" w:hAnsi="Times New Roman"/>
          <w:sz w:val="24"/>
          <w:szCs w:val="24"/>
          <w:lang w:val="en-US"/>
        </w:rPr>
        <w:t xml:space="preserve"> </w:t>
      </w:r>
      <w:r w:rsidR="00165996" w:rsidRPr="00246318">
        <w:rPr>
          <w:rFonts w:ascii="Times New Roman" w:hAnsi="Times New Roman"/>
          <w:sz w:val="24"/>
          <w:szCs w:val="24"/>
          <w:lang w:val="en-US"/>
        </w:rPr>
        <w:t>2009)</w:t>
      </w:r>
      <w:r w:rsidR="00F9316E" w:rsidRPr="00246318">
        <w:rPr>
          <w:rFonts w:ascii="Times New Roman" w:hAnsi="Times New Roman"/>
          <w:sz w:val="24"/>
          <w:szCs w:val="24"/>
          <w:lang w:val="en-US"/>
        </w:rPr>
        <w:t>.</w:t>
      </w:r>
      <w:r w:rsidR="0012786C">
        <w:rPr>
          <w:rFonts w:ascii="Times New Roman" w:hAnsi="Times New Roman"/>
          <w:sz w:val="24"/>
          <w:szCs w:val="24"/>
          <w:lang w:val="en-US"/>
        </w:rPr>
        <w:t xml:space="preserve"> </w:t>
      </w:r>
      <w:r w:rsidR="00F64F29" w:rsidRPr="00F64F29">
        <w:rPr>
          <w:rFonts w:ascii="Times New Roman" w:hAnsi="Times New Roman"/>
          <w:sz w:val="24"/>
          <w:szCs w:val="24"/>
          <w:lang w:val="en-US"/>
        </w:rPr>
        <w:t>Because one of the main sources of climate change, is greenhouse gas emissions</w:t>
      </w:r>
      <w:r w:rsidR="006C1E57">
        <w:rPr>
          <w:rFonts w:ascii="Times New Roman" w:hAnsi="Times New Roman" w:cs="Times New Roman"/>
          <w:sz w:val="24"/>
          <w:szCs w:val="24"/>
          <w:lang w:val="en-US"/>
        </w:rPr>
        <w:t>(</w:t>
      </w:r>
      <w:r w:rsidR="00EA6A71">
        <w:rPr>
          <w:rFonts w:ascii="Times New Roman" w:hAnsi="Times New Roman" w:cs="Times New Roman"/>
          <w:sz w:val="24"/>
          <w:szCs w:val="24"/>
          <w:lang w:val="en-US"/>
        </w:rPr>
        <w:t xml:space="preserve">36-72 % </w:t>
      </w:r>
      <w:r w:rsidR="006C1E57" w:rsidRPr="00F64F29">
        <w:rPr>
          <w:rFonts w:ascii="Times New Roman" w:hAnsi="Times New Roman" w:cs="Times New Roman"/>
          <w:sz w:val="24"/>
          <w:szCs w:val="24"/>
          <w:lang w:val="en-US"/>
        </w:rPr>
        <w:t xml:space="preserve">water vapor, </w:t>
      </w:r>
      <w:r w:rsidR="00EA6A71">
        <w:rPr>
          <w:rFonts w:ascii="Times New Roman" w:hAnsi="Times New Roman" w:cs="Times New Roman"/>
          <w:sz w:val="24"/>
          <w:szCs w:val="24"/>
          <w:lang w:val="en-US"/>
        </w:rPr>
        <w:t xml:space="preserve">9-27 % </w:t>
      </w:r>
      <w:r w:rsidR="006C1E57" w:rsidRPr="00F64F29">
        <w:rPr>
          <w:rFonts w:ascii="Times New Roman" w:hAnsi="Times New Roman" w:cs="Times New Roman"/>
          <w:sz w:val="24"/>
          <w:szCs w:val="24"/>
          <w:lang w:val="en-US"/>
        </w:rPr>
        <w:t xml:space="preserve">carbon dioxide, nitrous oxide, </w:t>
      </w:r>
      <w:r w:rsidR="00EA6A71">
        <w:rPr>
          <w:rFonts w:ascii="Times New Roman" w:hAnsi="Times New Roman" w:cs="Times New Roman"/>
          <w:sz w:val="24"/>
          <w:szCs w:val="24"/>
          <w:lang w:val="en-US"/>
        </w:rPr>
        <w:t xml:space="preserve">4-9 % </w:t>
      </w:r>
      <w:r w:rsidR="006C1E57" w:rsidRPr="00F64F29">
        <w:rPr>
          <w:rFonts w:ascii="Times New Roman" w:hAnsi="Times New Roman" w:cs="Times New Roman"/>
          <w:sz w:val="24"/>
          <w:szCs w:val="24"/>
          <w:lang w:val="en-US"/>
        </w:rPr>
        <w:t xml:space="preserve">methane and </w:t>
      </w:r>
      <w:r w:rsidR="00EA6A71">
        <w:rPr>
          <w:rFonts w:ascii="Times New Roman" w:hAnsi="Times New Roman" w:cs="Times New Roman"/>
          <w:sz w:val="24"/>
          <w:szCs w:val="24"/>
          <w:lang w:val="en-US"/>
        </w:rPr>
        <w:t xml:space="preserve">3-7 % </w:t>
      </w:r>
      <w:r w:rsidR="006C1E57" w:rsidRPr="00F64F29">
        <w:rPr>
          <w:rFonts w:ascii="Times New Roman" w:hAnsi="Times New Roman" w:cs="Times New Roman"/>
          <w:sz w:val="24"/>
          <w:szCs w:val="24"/>
          <w:lang w:val="en-US"/>
        </w:rPr>
        <w:t>ozone</w:t>
      </w:r>
      <w:r w:rsidR="006C1E57">
        <w:rPr>
          <w:rFonts w:ascii="Times New Roman" w:hAnsi="Times New Roman" w:cs="Times New Roman"/>
          <w:sz w:val="24"/>
          <w:szCs w:val="24"/>
          <w:lang w:val="en-US"/>
        </w:rPr>
        <w:t>)</w:t>
      </w:r>
      <w:r w:rsidR="00A95208">
        <w:rPr>
          <w:rFonts w:ascii="Times New Roman" w:hAnsi="Times New Roman" w:cs="Times New Roman"/>
          <w:sz w:val="24"/>
          <w:szCs w:val="24"/>
          <w:lang w:val="en-US"/>
        </w:rPr>
        <w:t xml:space="preserve"> (Wikipedia, 2022)</w:t>
      </w:r>
      <w:r w:rsidR="00F64F29" w:rsidRPr="00F64F29">
        <w:rPr>
          <w:rFonts w:ascii="Times New Roman" w:hAnsi="Times New Roman"/>
          <w:sz w:val="24"/>
          <w:szCs w:val="24"/>
          <w:lang w:val="en-US"/>
        </w:rPr>
        <w:t xml:space="preserve">, and the </w:t>
      </w:r>
      <w:r w:rsidR="00607007">
        <w:rPr>
          <w:rFonts w:ascii="Times New Roman" w:hAnsi="Times New Roman"/>
          <w:sz w:val="24"/>
          <w:szCs w:val="24"/>
          <w:lang w:val="en-US"/>
        </w:rPr>
        <w:t xml:space="preserve">most famous of which is </w:t>
      </w:r>
      <w:r w:rsidR="005B2E7B">
        <w:rPr>
          <w:rFonts w:ascii="Times New Roman" w:hAnsi="Times New Roman"/>
          <w:sz w:val="24"/>
          <w:szCs w:val="24"/>
          <w:lang w:val="en-US"/>
        </w:rPr>
        <w:t>CO</w:t>
      </w:r>
      <w:r w:rsidR="005B2E7B" w:rsidRPr="005B2E7B">
        <w:rPr>
          <w:rFonts w:ascii="Times New Roman" w:hAnsi="Times New Roman"/>
          <w:sz w:val="24"/>
          <w:szCs w:val="24"/>
          <w:vertAlign w:val="subscript"/>
          <w:lang w:val="en-US"/>
        </w:rPr>
        <w:t>2</w:t>
      </w:r>
      <w:r w:rsidR="00F64F29" w:rsidRPr="00F64F29">
        <w:rPr>
          <w:rFonts w:ascii="Times New Roman" w:hAnsi="Times New Roman"/>
          <w:sz w:val="24"/>
          <w:szCs w:val="24"/>
          <w:lang w:val="en-US"/>
        </w:rPr>
        <w:t>.</w:t>
      </w:r>
    </w:p>
    <w:p w:rsidR="00165996" w:rsidRPr="00C16DD3" w:rsidRDefault="00871B94" w:rsidP="00F9316E">
      <w:pPr>
        <w:widowControl w:val="0"/>
        <w:autoSpaceDE w:val="0"/>
        <w:autoSpaceDN w:val="0"/>
        <w:adjustRightInd w:val="0"/>
        <w:spacing w:after="200" w:line="276" w:lineRule="auto"/>
        <w:jc w:val="both"/>
        <w:rPr>
          <w:rFonts w:ascii="Times New Roman" w:hAnsi="Times New Roman" w:cs="Times New Roman"/>
          <w:sz w:val="24"/>
          <w:szCs w:val="24"/>
          <w:lang w:val="en-US"/>
        </w:rPr>
      </w:pPr>
      <w:r w:rsidRPr="00C16DD3">
        <w:rPr>
          <w:rFonts w:ascii="Times New Roman" w:hAnsi="Times New Roman" w:cs="Times New Roman"/>
          <w:sz w:val="24"/>
          <w:szCs w:val="24"/>
          <w:lang w:val="en-US"/>
        </w:rPr>
        <w:t xml:space="preserve">The current global carbon emission level has reached 1.5 times the 1950 level. </w:t>
      </w:r>
      <w:r w:rsidR="00C16DD3" w:rsidRPr="00C16DD3">
        <w:rPr>
          <w:rFonts w:ascii="Times New Roman" w:hAnsi="Times New Roman" w:cs="Times New Roman"/>
          <w:sz w:val="24"/>
          <w:szCs w:val="24"/>
          <w:lang w:val="en-US"/>
        </w:rPr>
        <w:t xml:space="preserve">According to the researchers, the extent and rate of decline in </w:t>
      </w:r>
      <w:r w:rsidR="00F64F29" w:rsidRPr="00C16DD3">
        <w:rPr>
          <w:rFonts w:ascii="Times New Roman" w:hAnsi="Times New Roman" w:cs="Times New Roman"/>
          <w:sz w:val="24"/>
          <w:szCs w:val="24"/>
          <w:lang w:val="en-US"/>
        </w:rPr>
        <w:t>Arctic Sea</w:t>
      </w:r>
      <w:r w:rsidR="00C16DD3" w:rsidRPr="00C16DD3">
        <w:rPr>
          <w:rFonts w:ascii="Times New Roman" w:hAnsi="Times New Roman" w:cs="Times New Roman"/>
          <w:sz w:val="24"/>
          <w:szCs w:val="24"/>
          <w:lang w:val="en-US"/>
        </w:rPr>
        <w:t xml:space="preserve"> ice levels in 2017 have been unprecedented in at least the last 1,500 years. The global mean sea level in 2020 has 91.3 millimeters above the 1993 average </w:t>
      </w:r>
      <w:r w:rsidR="00353FBB" w:rsidRPr="00C16DD3">
        <w:rPr>
          <w:rFonts w:ascii="Times New Roman" w:hAnsi="Times New Roman" w:cs="Times New Roman"/>
          <w:sz w:val="24"/>
          <w:szCs w:val="24"/>
          <w:lang w:val="en-US"/>
        </w:rPr>
        <w:t>(GML, 2022).</w:t>
      </w:r>
      <w:r w:rsidR="0012786C">
        <w:rPr>
          <w:rFonts w:ascii="Times New Roman" w:hAnsi="Times New Roman" w:cs="Times New Roman"/>
          <w:sz w:val="24"/>
          <w:szCs w:val="24"/>
          <w:lang w:val="en-US"/>
        </w:rPr>
        <w:t xml:space="preserve"> </w:t>
      </w:r>
      <w:r w:rsidR="00C16DD3" w:rsidRPr="00C16DD3">
        <w:rPr>
          <w:rFonts w:ascii="Times New Roman" w:hAnsi="Times New Roman" w:cs="Times New Roman"/>
          <w:sz w:val="24"/>
          <w:szCs w:val="24"/>
          <w:lang w:val="en-US"/>
        </w:rPr>
        <w:t xml:space="preserve">Apart from these, among the topics directly affected by climate change, dozens of others such as water, health, food and agriculture, energy, governance, finance, and urbanization can be said </w:t>
      </w:r>
      <w:r w:rsidR="00F729BD" w:rsidRPr="00C16DD3">
        <w:rPr>
          <w:rFonts w:ascii="Times New Roman" w:hAnsi="Times New Roman" w:cs="Times New Roman"/>
          <w:sz w:val="24"/>
          <w:szCs w:val="24"/>
          <w:lang w:val="en-US"/>
        </w:rPr>
        <w:t>(</w:t>
      </w:r>
      <w:r w:rsidR="00973678" w:rsidRPr="00973678">
        <w:rPr>
          <w:rFonts w:ascii="Times New Roman" w:hAnsi="Times New Roman" w:cs="Times New Roman"/>
          <w:sz w:val="24"/>
          <w:szCs w:val="24"/>
          <w:lang w:val="en-US"/>
        </w:rPr>
        <w:t>Balsalobre-Lorente et</w:t>
      </w:r>
      <w:r w:rsidR="007A2AAB">
        <w:rPr>
          <w:rFonts w:ascii="Times New Roman" w:hAnsi="Times New Roman" w:cs="Times New Roman"/>
          <w:sz w:val="24"/>
          <w:szCs w:val="24"/>
          <w:lang w:val="en-US"/>
        </w:rPr>
        <w:t>.</w:t>
      </w:r>
      <w:r w:rsidR="00973678" w:rsidRPr="00973678">
        <w:rPr>
          <w:rFonts w:ascii="Times New Roman" w:hAnsi="Times New Roman" w:cs="Times New Roman"/>
          <w:sz w:val="24"/>
          <w:szCs w:val="24"/>
          <w:lang w:val="en-US"/>
        </w:rPr>
        <w:t xml:space="preserve"> al</w:t>
      </w:r>
      <w:r w:rsidR="0000703B" w:rsidRPr="0000703B">
        <w:rPr>
          <w:rFonts w:ascii="Times New Roman" w:hAnsi="Times New Roman" w:cs="Times New Roman"/>
          <w:sz w:val="24"/>
          <w:szCs w:val="24"/>
          <w:lang w:val="en-US"/>
        </w:rPr>
        <w:t xml:space="preserve">., 2018; </w:t>
      </w:r>
      <w:r w:rsidR="00F729BD" w:rsidRPr="00C16DD3">
        <w:rPr>
          <w:rFonts w:ascii="Times New Roman" w:hAnsi="Times New Roman" w:cs="Times New Roman"/>
          <w:sz w:val="24"/>
          <w:szCs w:val="24"/>
          <w:lang w:val="en-US"/>
        </w:rPr>
        <w:t>IPCC, 2022).</w:t>
      </w:r>
    </w:p>
    <w:p w:rsidR="002531F4" w:rsidRDefault="00C16DD3" w:rsidP="00F9316E">
      <w:pPr>
        <w:widowControl w:val="0"/>
        <w:autoSpaceDE w:val="0"/>
        <w:autoSpaceDN w:val="0"/>
        <w:adjustRightInd w:val="0"/>
        <w:spacing w:after="200" w:line="276" w:lineRule="auto"/>
        <w:jc w:val="both"/>
        <w:rPr>
          <w:rFonts w:ascii="Times New Roman" w:hAnsi="Times New Roman" w:cs="Times New Roman"/>
          <w:sz w:val="24"/>
          <w:szCs w:val="24"/>
        </w:rPr>
      </w:pPr>
      <w:r w:rsidRPr="00C16DD3">
        <w:rPr>
          <w:rFonts w:ascii="Times New Roman" w:hAnsi="Times New Roman" w:cs="Times New Roman"/>
          <w:sz w:val="24"/>
          <w:szCs w:val="24"/>
          <w:lang w:val="en-US"/>
        </w:rPr>
        <w:t>The relationship between greenhouse gas emissions and the economy has been discussed in the literature for a long time and empirically tested. Such studies examples Halıcıoğlu (2009), Apergis and Payne (2010), Öztürk and Acaravci (2010), Apergis and Öztürk (2015), Zafar et</w:t>
      </w:r>
      <w:r w:rsidR="007A2AAB">
        <w:rPr>
          <w:rFonts w:ascii="Times New Roman" w:hAnsi="Times New Roman" w:cs="Times New Roman"/>
          <w:sz w:val="24"/>
          <w:szCs w:val="24"/>
          <w:lang w:val="en-US"/>
        </w:rPr>
        <w:t>.</w:t>
      </w:r>
      <w:r w:rsidRPr="00C16DD3">
        <w:rPr>
          <w:rFonts w:ascii="Times New Roman" w:hAnsi="Times New Roman" w:cs="Times New Roman"/>
          <w:sz w:val="24"/>
          <w:szCs w:val="24"/>
          <w:lang w:val="en-US"/>
        </w:rPr>
        <w:t xml:space="preserve"> al</w:t>
      </w:r>
      <w:r w:rsidR="007A2AAB">
        <w:rPr>
          <w:rFonts w:ascii="Times New Roman" w:hAnsi="Times New Roman" w:cs="Times New Roman"/>
          <w:sz w:val="24"/>
          <w:szCs w:val="24"/>
          <w:lang w:val="en-US"/>
        </w:rPr>
        <w:t>.</w:t>
      </w:r>
      <w:r w:rsidRPr="00C16DD3">
        <w:rPr>
          <w:rFonts w:ascii="Times New Roman" w:hAnsi="Times New Roman" w:cs="Times New Roman"/>
          <w:sz w:val="24"/>
          <w:szCs w:val="24"/>
          <w:lang w:val="en-US"/>
        </w:rPr>
        <w:t xml:space="preserve"> (2021), Wang et</w:t>
      </w:r>
      <w:r w:rsidR="007A2AAB">
        <w:rPr>
          <w:rFonts w:ascii="Times New Roman" w:hAnsi="Times New Roman" w:cs="Times New Roman"/>
          <w:sz w:val="24"/>
          <w:szCs w:val="24"/>
          <w:lang w:val="en-US"/>
        </w:rPr>
        <w:t>.</w:t>
      </w:r>
      <w:r w:rsidRPr="00C16DD3">
        <w:rPr>
          <w:rFonts w:ascii="Times New Roman" w:hAnsi="Times New Roman" w:cs="Times New Roman"/>
          <w:sz w:val="24"/>
          <w:szCs w:val="24"/>
          <w:lang w:val="en-US"/>
        </w:rPr>
        <w:t xml:space="preserve"> al</w:t>
      </w:r>
      <w:r w:rsidR="007A2AAB">
        <w:rPr>
          <w:rFonts w:ascii="Times New Roman" w:hAnsi="Times New Roman" w:cs="Times New Roman"/>
          <w:sz w:val="24"/>
          <w:szCs w:val="24"/>
          <w:lang w:val="en-US"/>
        </w:rPr>
        <w:t>.</w:t>
      </w:r>
      <w:r w:rsidRPr="00C16DD3">
        <w:rPr>
          <w:rFonts w:ascii="Times New Roman" w:hAnsi="Times New Roman" w:cs="Times New Roman"/>
          <w:sz w:val="24"/>
          <w:szCs w:val="24"/>
          <w:lang w:val="en-US"/>
        </w:rPr>
        <w:t xml:space="preserve"> (2022), </w:t>
      </w:r>
      <w:bookmarkStart w:id="0" w:name="_Hlk116994799"/>
      <w:r w:rsidRPr="00C16DD3">
        <w:rPr>
          <w:rFonts w:ascii="Times New Roman" w:hAnsi="Times New Roman" w:cs="Times New Roman"/>
          <w:sz w:val="24"/>
          <w:szCs w:val="24"/>
          <w:lang w:val="en-US"/>
        </w:rPr>
        <w:t>Xue</w:t>
      </w:r>
      <w:bookmarkEnd w:id="0"/>
      <w:r w:rsidRPr="00C16DD3">
        <w:rPr>
          <w:rFonts w:ascii="Times New Roman" w:hAnsi="Times New Roman" w:cs="Times New Roman"/>
          <w:sz w:val="24"/>
          <w:szCs w:val="24"/>
          <w:lang w:val="en-US"/>
        </w:rPr>
        <w:t xml:space="preserve"> et</w:t>
      </w:r>
      <w:r w:rsidR="007A2AAB">
        <w:rPr>
          <w:rFonts w:ascii="Times New Roman" w:hAnsi="Times New Roman" w:cs="Times New Roman"/>
          <w:sz w:val="24"/>
          <w:szCs w:val="24"/>
          <w:lang w:val="en-US"/>
        </w:rPr>
        <w:t>.</w:t>
      </w:r>
      <w:r w:rsidRPr="00C16DD3">
        <w:rPr>
          <w:rFonts w:ascii="Times New Roman" w:hAnsi="Times New Roman" w:cs="Times New Roman"/>
          <w:sz w:val="24"/>
          <w:szCs w:val="24"/>
          <w:lang w:val="en-US"/>
        </w:rPr>
        <w:t xml:space="preserve"> al</w:t>
      </w:r>
      <w:r w:rsidR="007A2AAB">
        <w:rPr>
          <w:rFonts w:ascii="Times New Roman" w:hAnsi="Times New Roman" w:cs="Times New Roman"/>
          <w:sz w:val="24"/>
          <w:szCs w:val="24"/>
          <w:lang w:val="en-US"/>
        </w:rPr>
        <w:t>.</w:t>
      </w:r>
      <w:r w:rsidRPr="00C16DD3">
        <w:rPr>
          <w:rFonts w:ascii="Times New Roman" w:hAnsi="Times New Roman" w:cs="Times New Roman"/>
          <w:sz w:val="24"/>
          <w:szCs w:val="24"/>
          <w:lang w:val="en-US"/>
        </w:rPr>
        <w:t xml:space="preserve"> (2022) can be shown.</w:t>
      </w:r>
      <w:r w:rsidR="0012786C">
        <w:rPr>
          <w:rFonts w:ascii="Times New Roman" w:hAnsi="Times New Roman" w:cs="Times New Roman"/>
          <w:sz w:val="24"/>
          <w:szCs w:val="24"/>
          <w:lang w:val="en-US"/>
        </w:rPr>
        <w:t xml:space="preserve"> </w:t>
      </w:r>
      <w:r w:rsidRPr="00C16DD3">
        <w:rPr>
          <w:rFonts w:ascii="Times New Roman" w:hAnsi="Times New Roman" w:cs="Times New Roman"/>
          <w:sz w:val="24"/>
          <w:szCs w:val="24"/>
          <w:lang w:val="en-US"/>
        </w:rPr>
        <w:t xml:space="preserve">On the other hand, these empirical studies continue accompanied by different models in which many variables are </w:t>
      </w:r>
      <w:r w:rsidRPr="00C16DD3">
        <w:rPr>
          <w:rFonts w:ascii="Times New Roman" w:hAnsi="Times New Roman" w:cs="Times New Roman"/>
          <w:sz w:val="24"/>
          <w:szCs w:val="24"/>
          <w:lang w:val="en-US"/>
        </w:rPr>
        <w:lastRenderedPageBreak/>
        <w:t>added.</w:t>
      </w:r>
      <w:r w:rsidR="0012786C">
        <w:rPr>
          <w:rFonts w:ascii="Times New Roman" w:hAnsi="Times New Roman" w:cs="Times New Roman"/>
          <w:sz w:val="24"/>
          <w:szCs w:val="24"/>
          <w:lang w:val="en-US"/>
        </w:rPr>
        <w:t xml:space="preserve"> </w:t>
      </w:r>
      <w:r w:rsidR="002531F4" w:rsidRPr="00320B9F">
        <w:rPr>
          <w:rFonts w:ascii="Times New Roman" w:hAnsi="Times New Roman" w:cs="Times New Roman"/>
          <w:sz w:val="24"/>
          <w:szCs w:val="24"/>
          <w:lang w:val="en-US"/>
        </w:rPr>
        <w:t>Foremost</w:t>
      </w:r>
      <w:r w:rsidR="005B2E7B">
        <w:rPr>
          <w:rFonts w:ascii="Times New Roman" w:hAnsi="Times New Roman" w:cs="Times New Roman"/>
          <w:sz w:val="24"/>
          <w:szCs w:val="24"/>
          <w:lang w:val="en-US"/>
        </w:rPr>
        <w:t xml:space="preserve"> </w:t>
      </w:r>
      <w:r w:rsidR="002531F4" w:rsidRPr="002531F4">
        <w:rPr>
          <w:rFonts w:ascii="Times New Roman" w:hAnsi="Times New Roman" w:cs="Times New Roman"/>
          <w:sz w:val="24"/>
          <w:szCs w:val="24"/>
          <w:lang w:val="en-US"/>
        </w:rPr>
        <w:t>among these are energy consumption (So</w:t>
      </w:r>
      <w:r w:rsidR="006E0210">
        <w:rPr>
          <w:rFonts w:ascii="Times New Roman" w:hAnsi="Times New Roman" w:cs="Times New Roman"/>
          <w:sz w:val="24"/>
          <w:szCs w:val="24"/>
          <w:lang w:val="en-US"/>
        </w:rPr>
        <w:t>y</w:t>
      </w:r>
      <w:r w:rsidR="002531F4" w:rsidRPr="002531F4">
        <w:rPr>
          <w:rFonts w:ascii="Times New Roman" w:hAnsi="Times New Roman" w:cs="Times New Roman"/>
          <w:sz w:val="24"/>
          <w:szCs w:val="24"/>
          <w:lang w:val="en-US"/>
        </w:rPr>
        <w:t>taş and Sarı, 2009), trade openness (Sadorsky, (2011; 2012) and Shahbaz et</w:t>
      </w:r>
      <w:r w:rsidR="007A2AAB">
        <w:rPr>
          <w:rFonts w:ascii="Times New Roman" w:hAnsi="Times New Roman" w:cs="Times New Roman"/>
          <w:sz w:val="24"/>
          <w:szCs w:val="24"/>
          <w:lang w:val="en-US"/>
        </w:rPr>
        <w:t xml:space="preserve">. </w:t>
      </w:r>
      <w:r w:rsidR="002531F4" w:rsidRPr="002531F4">
        <w:rPr>
          <w:rFonts w:ascii="Times New Roman" w:hAnsi="Times New Roman" w:cs="Times New Roman"/>
          <w:sz w:val="24"/>
          <w:szCs w:val="24"/>
          <w:lang w:val="en-US"/>
        </w:rPr>
        <w:t>al.(2014), Özmen et</w:t>
      </w:r>
      <w:r w:rsidR="007A2AAB">
        <w:rPr>
          <w:rFonts w:ascii="Times New Roman" w:hAnsi="Times New Roman" w:cs="Times New Roman"/>
          <w:sz w:val="24"/>
          <w:szCs w:val="24"/>
          <w:lang w:val="en-US"/>
        </w:rPr>
        <w:t>.</w:t>
      </w:r>
      <w:r w:rsidR="002531F4" w:rsidRPr="002531F4">
        <w:rPr>
          <w:rFonts w:ascii="Times New Roman" w:hAnsi="Times New Roman" w:cs="Times New Roman"/>
          <w:sz w:val="24"/>
          <w:szCs w:val="24"/>
          <w:lang w:val="en-US"/>
        </w:rPr>
        <w:t xml:space="preserve"> al</w:t>
      </w:r>
      <w:r w:rsidR="007A2AAB">
        <w:rPr>
          <w:rFonts w:ascii="Times New Roman" w:hAnsi="Times New Roman" w:cs="Times New Roman"/>
          <w:sz w:val="24"/>
          <w:szCs w:val="24"/>
          <w:lang w:val="en-US"/>
        </w:rPr>
        <w:t xml:space="preserve">. </w:t>
      </w:r>
      <w:r w:rsidR="002531F4" w:rsidRPr="002531F4">
        <w:rPr>
          <w:rFonts w:ascii="Times New Roman" w:hAnsi="Times New Roman" w:cs="Times New Roman"/>
          <w:sz w:val="24"/>
          <w:szCs w:val="24"/>
          <w:lang w:val="en-US"/>
        </w:rPr>
        <w:t>(2019) can be shown as instances.</w:t>
      </w:r>
    </w:p>
    <w:p w:rsidR="00165996" w:rsidRDefault="0055769C" w:rsidP="00F9316E">
      <w:pPr>
        <w:widowControl w:val="0"/>
        <w:autoSpaceDE w:val="0"/>
        <w:autoSpaceDN w:val="0"/>
        <w:adjustRightInd w:val="0"/>
        <w:spacing w:after="200" w:line="276" w:lineRule="auto"/>
        <w:jc w:val="both"/>
        <w:rPr>
          <w:rFonts w:ascii="Times New Roman" w:hAnsi="Times New Roman" w:cs="Times New Roman"/>
          <w:sz w:val="24"/>
          <w:szCs w:val="24"/>
        </w:rPr>
      </w:pPr>
      <w:r w:rsidRPr="0055769C">
        <w:rPr>
          <w:rFonts w:ascii="Times New Roman" w:hAnsi="Times New Roman" w:cs="Times New Roman"/>
          <w:sz w:val="24"/>
          <w:szCs w:val="24"/>
          <w:lang w:val="en-US"/>
        </w:rPr>
        <w:t>Among the recent studies, a subject that we have placed at the center of our examination draws attention.</w:t>
      </w:r>
      <w:r w:rsidR="005B2E7B">
        <w:rPr>
          <w:rFonts w:ascii="Times New Roman" w:hAnsi="Times New Roman" w:cs="Times New Roman"/>
          <w:sz w:val="24"/>
          <w:szCs w:val="24"/>
          <w:lang w:val="en-US"/>
        </w:rPr>
        <w:t xml:space="preserve"> </w:t>
      </w:r>
      <w:r w:rsidRPr="0055769C">
        <w:rPr>
          <w:rFonts w:ascii="Times New Roman" w:hAnsi="Times New Roman" w:cs="Times New Roman"/>
          <w:sz w:val="24"/>
          <w:szCs w:val="24"/>
          <w:lang w:val="en-US"/>
        </w:rPr>
        <w:t xml:space="preserve">While market mechanisms and monetary policies have been preferred by policymakers until recently in the </w:t>
      </w:r>
      <w:r w:rsidR="00D8119C">
        <w:rPr>
          <w:rFonts w:ascii="Times New Roman" w:hAnsi="Times New Roman" w:cs="Times New Roman"/>
          <w:sz w:val="24"/>
          <w:szCs w:val="24"/>
          <w:lang w:val="en-US"/>
        </w:rPr>
        <w:t>tackl</w:t>
      </w:r>
      <w:r w:rsidR="005D3266">
        <w:rPr>
          <w:rFonts w:ascii="Times New Roman" w:hAnsi="Times New Roman" w:cs="Times New Roman"/>
          <w:sz w:val="24"/>
          <w:szCs w:val="24"/>
          <w:lang w:val="en-US"/>
        </w:rPr>
        <w:t>ing</w:t>
      </w:r>
      <w:r w:rsidR="00D8119C">
        <w:rPr>
          <w:rFonts w:ascii="Times New Roman" w:hAnsi="Times New Roman" w:cs="Times New Roman"/>
          <w:sz w:val="24"/>
          <w:szCs w:val="24"/>
          <w:lang w:val="en-US"/>
        </w:rPr>
        <w:t xml:space="preserve"> of</w:t>
      </w:r>
      <w:r w:rsidRPr="0055769C">
        <w:rPr>
          <w:rFonts w:ascii="Times New Roman" w:hAnsi="Times New Roman" w:cs="Times New Roman"/>
          <w:sz w:val="24"/>
          <w:szCs w:val="24"/>
          <w:lang w:val="en-US"/>
        </w:rPr>
        <w:t xml:space="preserve"> climate change, the possibility that fiscal policies can be used effectively is shown soon.</w:t>
      </w:r>
      <w:r w:rsidR="0012786C">
        <w:rPr>
          <w:rFonts w:ascii="Times New Roman" w:hAnsi="Times New Roman" w:cs="Times New Roman"/>
          <w:sz w:val="24"/>
          <w:szCs w:val="24"/>
          <w:lang w:val="en-US"/>
        </w:rPr>
        <w:t xml:space="preserve"> </w:t>
      </w:r>
      <w:r w:rsidRPr="0055769C">
        <w:rPr>
          <w:rFonts w:ascii="Times New Roman" w:hAnsi="Times New Roman" w:cs="Times New Roman"/>
          <w:sz w:val="24"/>
          <w:szCs w:val="24"/>
          <w:lang w:val="en-US"/>
        </w:rPr>
        <w:t xml:space="preserve">Muhafidin (2020), Ullah </w:t>
      </w:r>
      <w:r w:rsidR="00631C13">
        <w:rPr>
          <w:rFonts w:ascii="Times New Roman" w:hAnsi="Times New Roman" w:cs="Times New Roman"/>
          <w:sz w:val="24"/>
          <w:szCs w:val="24"/>
          <w:lang w:val="en-US"/>
        </w:rPr>
        <w:t>et. al.</w:t>
      </w:r>
      <w:r w:rsidRPr="0055769C">
        <w:rPr>
          <w:rFonts w:ascii="Times New Roman" w:hAnsi="Times New Roman" w:cs="Times New Roman"/>
          <w:sz w:val="24"/>
          <w:szCs w:val="24"/>
          <w:lang w:val="en-US"/>
        </w:rPr>
        <w:t xml:space="preserve"> (2020), Adua </w:t>
      </w:r>
      <w:r w:rsidR="00631C13">
        <w:rPr>
          <w:rFonts w:ascii="Times New Roman" w:hAnsi="Times New Roman" w:cs="Times New Roman"/>
          <w:sz w:val="24"/>
          <w:szCs w:val="24"/>
          <w:lang w:val="en-US"/>
        </w:rPr>
        <w:t>et. al.</w:t>
      </w:r>
      <w:r w:rsidRPr="0055769C">
        <w:rPr>
          <w:rFonts w:ascii="Times New Roman" w:hAnsi="Times New Roman" w:cs="Times New Roman"/>
          <w:sz w:val="24"/>
          <w:szCs w:val="24"/>
          <w:lang w:val="en-US"/>
        </w:rPr>
        <w:t xml:space="preserve"> (2020), </w:t>
      </w:r>
      <w:r w:rsidR="00BD5F2F">
        <w:rPr>
          <w:rFonts w:ascii="Times New Roman" w:hAnsi="Times New Roman" w:cs="Times New Roman"/>
          <w:sz w:val="24"/>
          <w:szCs w:val="24"/>
          <w:lang w:val="en-US"/>
        </w:rPr>
        <w:t>Yılancı and P</w:t>
      </w:r>
      <w:r w:rsidR="0023273C">
        <w:rPr>
          <w:rFonts w:ascii="Times New Roman" w:hAnsi="Times New Roman" w:cs="Times New Roman"/>
          <w:sz w:val="24"/>
          <w:szCs w:val="24"/>
          <w:lang w:val="en-US"/>
        </w:rPr>
        <w:t>a</w:t>
      </w:r>
      <w:r w:rsidR="00BD5F2F">
        <w:rPr>
          <w:rFonts w:ascii="Times New Roman" w:hAnsi="Times New Roman" w:cs="Times New Roman"/>
          <w:sz w:val="24"/>
          <w:szCs w:val="24"/>
          <w:lang w:val="en-US"/>
        </w:rPr>
        <w:t xml:space="preserve">ta (2021) </w:t>
      </w:r>
      <w:r w:rsidRPr="0055769C">
        <w:rPr>
          <w:rFonts w:ascii="Times New Roman" w:hAnsi="Times New Roman" w:cs="Times New Roman"/>
          <w:sz w:val="24"/>
          <w:szCs w:val="24"/>
          <w:lang w:val="en-US"/>
        </w:rPr>
        <w:t xml:space="preserve">and Özmen </w:t>
      </w:r>
      <w:r w:rsidR="00631C13">
        <w:rPr>
          <w:rFonts w:ascii="Times New Roman" w:hAnsi="Times New Roman" w:cs="Times New Roman"/>
          <w:sz w:val="24"/>
          <w:szCs w:val="24"/>
          <w:lang w:val="en-US"/>
        </w:rPr>
        <w:t>et. al.</w:t>
      </w:r>
      <w:r w:rsidRPr="0055769C">
        <w:rPr>
          <w:rFonts w:ascii="Times New Roman" w:hAnsi="Times New Roman" w:cs="Times New Roman"/>
          <w:sz w:val="24"/>
          <w:szCs w:val="24"/>
          <w:lang w:val="en-US"/>
        </w:rPr>
        <w:t xml:space="preserve"> (2022) can be cited as examples of studies that model and analyze fiscal policy tools in the </w:t>
      </w:r>
      <w:r w:rsidR="00D8119C">
        <w:rPr>
          <w:rFonts w:ascii="Times New Roman" w:hAnsi="Times New Roman" w:cs="Times New Roman"/>
          <w:sz w:val="24"/>
          <w:szCs w:val="24"/>
          <w:lang w:val="en-US"/>
        </w:rPr>
        <w:t>strive for</w:t>
      </w:r>
      <w:r w:rsidRPr="0055769C">
        <w:rPr>
          <w:rFonts w:ascii="Times New Roman" w:hAnsi="Times New Roman" w:cs="Times New Roman"/>
          <w:sz w:val="24"/>
          <w:szCs w:val="24"/>
          <w:lang w:val="en-US"/>
        </w:rPr>
        <w:t xml:space="preserve"> climate change.</w:t>
      </w:r>
    </w:p>
    <w:p w:rsidR="0054160A" w:rsidRPr="009D7D03" w:rsidRDefault="00BC1501" w:rsidP="00F9316E">
      <w:pPr>
        <w:widowControl w:val="0"/>
        <w:autoSpaceDE w:val="0"/>
        <w:autoSpaceDN w:val="0"/>
        <w:adjustRightInd w:val="0"/>
        <w:spacing w:after="200" w:line="276" w:lineRule="auto"/>
        <w:jc w:val="both"/>
        <w:rPr>
          <w:rFonts w:ascii="Times New Roman" w:hAnsi="Times New Roman" w:cs="Times New Roman"/>
          <w:sz w:val="24"/>
          <w:szCs w:val="24"/>
          <w:lang w:val="en-US"/>
        </w:rPr>
      </w:pPr>
      <w:r>
        <w:rPr>
          <w:rFonts w:ascii="Times New Roman" w:hAnsi="Times New Roman" w:cs="Times New Roman"/>
          <w:sz w:val="24"/>
          <w:szCs w:val="24"/>
        </w:rPr>
        <w:t>W</w:t>
      </w:r>
      <w:r w:rsidR="009D7D03" w:rsidRPr="009D7D03">
        <w:rPr>
          <w:rFonts w:ascii="Times New Roman" w:hAnsi="Times New Roman" w:cs="Times New Roman"/>
          <w:sz w:val="24"/>
          <w:szCs w:val="24"/>
          <w:lang w:val="en-US"/>
        </w:rPr>
        <w:t>e focused on the USA</w:t>
      </w:r>
      <w:r w:rsidR="00846167">
        <w:rPr>
          <w:rFonts w:ascii="Times New Roman" w:hAnsi="Times New Roman" w:cs="Times New Roman"/>
          <w:sz w:val="24"/>
          <w:szCs w:val="24"/>
          <w:lang w:val="en-US"/>
        </w:rPr>
        <w:t>’</w:t>
      </w:r>
      <w:r w:rsidR="009D7D03" w:rsidRPr="009D7D03">
        <w:rPr>
          <w:rFonts w:ascii="Times New Roman" w:hAnsi="Times New Roman" w:cs="Times New Roman"/>
          <w:sz w:val="24"/>
          <w:szCs w:val="24"/>
          <w:lang w:val="en-US"/>
        </w:rPr>
        <w:t xml:space="preserve">s carbon policies, drawing attention to the role of the USA, which is a significant actor in the global system, in the </w:t>
      </w:r>
      <w:r w:rsidR="00123665">
        <w:rPr>
          <w:rFonts w:ascii="Times New Roman" w:hAnsi="Times New Roman" w:cs="Times New Roman"/>
          <w:sz w:val="24"/>
          <w:szCs w:val="24"/>
          <w:lang w:val="en-US"/>
        </w:rPr>
        <w:t>struggle</w:t>
      </w:r>
      <w:r w:rsidR="005B2E7B">
        <w:rPr>
          <w:rFonts w:ascii="Times New Roman" w:hAnsi="Times New Roman" w:cs="Times New Roman"/>
          <w:sz w:val="24"/>
          <w:szCs w:val="24"/>
          <w:lang w:val="en-US"/>
        </w:rPr>
        <w:t xml:space="preserve"> </w:t>
      </w:r>
      <w:r w:rsidR="00123665">
        <w:rPr>
          <w:rFonts w:ascii="Times New Roman" w:hAnsi="Times New Roman" w:cs="Times New Roman"/>
          <w:sz w:val="24"/>
          <w:szCs w:val="24"/>
          <w:lang w:val="en-US"/>
        </w:rPr>
        <w:t>with</w:t>
      </w:r>
      <w:r w:rsidR="009D7D03" w:rsidRPr="009D7D03">
        <w:rPr>
          <w:rFonts w:ascii="Times New Roman" w:hAnsi="Times New Roman" w:cs="Times New Roman"/>
          <w:sz w:val="24"/>
          <w:szCs w:val="24"/>
          <w:lang w:val="en-US"/>
        </w:rPr>
        <w:t xml:space="preserve"> climate crisis in the global and regional sense.</w:t>
      </w:r>
    </w:p>
    <w:tbl>
      <w:tblPr>
        <w:tblStyle w:val="TabloKlavuzu"/>
        <w:tblW w:w="0" w:type="auto"/>
        <w:tblCellMar>
          <w:left w:w="70" w:type="dxa"/>
          <w:right w:w="70" w:type="dxa"/>
        </w:tblCellMar>
        <w:tblLook w:val="04A0"/>
      </w:tblPr>
      <w:tblGrid>
        <w:gridCol w:w="9062"/>
      </w:tblGrid>
      <w:tr w:rsidR="0054160A" w:rsidTr="00F64317">
        <w:tc>
          <w:tcPr>
            <w:tcW w:w="9062" w:type="dxa"/>
          </w:tcPr>
          <w:p w:rsidR="0054160A" w:rsidRDefault="0054160A" w:rsidP="0054160A">
            <w:pPr>
              <w:widowControl w:val="0"/>
              <w:autoSpaceDE w:val="0"/>
              <w:autoSpaceDN w:val="0"/>
              <w:adjustRightInd w:val="0"/>
              <w:spacing w:line="276" w:lineRule="auto"/>
              <w:jc w:val="both"/>
              <w:rPr>
                <w:rFonts w:ascii="Times New Roman" w:hAnsi="Times New Roman" w:cs="Times New Roman"/>
                <w:sz w:val="24"/>
                <w:szCs w:val="24"/>
              </w:rPr>
            </w:pPr>
            <w:r w:rsidRPr="0054160A">
              <w:rPr>
                <w:rFonts w:ascii="Times New Roman" w:hAnsi="Times New Roman" w:cs="Times New Roman"/>
                <w:noProof/>
                <w:sz w:val="24"/>
                <w:szCs w:val="24"/>
              </w:rPr>
              <w:drawing>
                <wp:inline distT="0" distB="0" distL="0" distR="0">
                  <wp:extent cx="5613400" cy="2584450"/>
                  <wp:effectExtent l="0" t="0" r="6350" b="635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3400" cy="2584450"/>
                          </a:xfrm>
                          <a:prstGeom prst="rect">
                            <a:avLst/>
                          </a:prstGeom>
                          <a:noFill/>
                          <a:ln>
                            <a:noFill/>
                          </a:ln>
                        </pic:spPr>
                      </pic:pic>
                    </a:graphicData>
                  </a:graphic>
                </wp:inline>
              </w:drawing>
            </w:r>
          </w:p>
        </w:tc>
      </w:tr>
      <w:tr w:rsidR="0054160A" w:rsidTr="00F64317">
        <w:tc>
          <w:tcPr>
            <w:tcW w:w="9062" w:type="dxa"/>
          </w:tcPr>
          <w:p w:rsidR="0054160A" w:rsidRPr="00F929BC" w:rsidRDefault="00C74D01" w:rsidP="0054160A">
            <w:pPr>
              <w:widowControl w:val="0"/>
              <w:autoSpaceDE w:val="0"/>
              <w:autoSpaceDN w:val="0"/>
              <w:adjustRightInd w:val="0"/>
              <w:spacing w:line="276" w:lineRule="auto"/>
              <w:jc w:val="both"/>
              <w:rPr>
                <w:rFonts w:ascii="Times New Roman" w:hAnsi="Times New Roman" w:cs="Times New Roman"/>
                <w:noProof/>
                <w:sz w:val="20"/>
                <w:szCs w:val="20"/>
              </w:rPr>
            </w:pPr>
            <w:r w:rsidRPr="00AB13E0">
              <w:rPr>
                <w:rFonts w:ascii="Times New Roman" w:hAnsi="Times New Roman" w:cs="Times New Roman"/>
                <w:noProof/>
                <w:sz w:val="20"/>
                <w:szCs w:val="20"/>
                <w:lang w:val="en-US"/>
              </w:rPr>
              <w:t>Fig</w:t>
            </w:r>
            <w:r w:rsidR="00A635EA">
              <w:rPr>
                <w:rFonts w:ascii="Times New Roman" w:hAnsi="Times New Roman" w:cs="Times New Roman"/>
                <w:noProof/>
                <w:sz w:val="20"/>
                <w:szCs w:val="20"/>
                <w:lang w:val="en-US"/>
              </w:rPr>
              <w:t>u</w:t>
            </w:r>
            <w:r w:rsidRPr="00AB13E0">
              <w:rPr>
                <w:rFonts w:ascii="Times New Roman" w:hAnsi="Times New Roman" w:cs="Times New Roman"/>
                <w:noProof/>
                <w:sz w:val="20"/>
                <w:szCs w:val="20"/>
                <w:lang w:val="en-US"/>
              </w:rPr>
              <w:t>r</w:t>
            </w:r>
            <w:r w:rsidR="00AB13E0" w:rsidRPr="00AB13E0">
              <w:rPr>
                <w:rFonts w:ascii="Times New Roman" w:hAnsi="Times New Roman" w:cs="Times New Roman"/>
                <w:noProof/>
                <w:sz w:val="20"/>
                <w:szCs w:val="20"/>
                <w:lang w:val="en-US"/>
              </w:rPr>
              <w:t>e</w:t>
            </w:r>
            <w:r w:rsidRPr="00AB13E0">
              <w:rPr>
                <w:rFonts w:ascii="Times New Roman" w:hAnsi="Times New Roman" w:cs="Times New Roman"/>
                <w:noProof/>
                <w:sz w:val="20"/>
                <w:szCs w:val="20"/>
                <w:lang w:val="en-US"/>
              </w:rPr>
              <w:t xml:space="preserve"> 1</w:t>
            </w:r>
            <w:r w:rsidRPr="00F929BC">
              <w:rPr>
                <w:rFonts w:ascii="Times New Roman" w:hAnsi="Times New Roman" w:cs="Times New Roman"/>
                <w:noProof/>
                <w:sz w:val="20"/>
                <w:szCs w:val="20"/>
              </w:rPr>
              <w:t>: Time series</w:t>
            </w:r>
            <w:r w:rsidR="009D7D03">
              <w:rPr>
                <w:rFonts w:ascii="Times New Roman" w:hAnsi="Times New Roman" w:cs="Times New Roman"/>
                <w:noProof/>
                <w:sz w:val="20"/>
                <w:szCs w:val="20"/>
              </w:rPr>
              <w:t xml:space="preserve"> for</w:t>
            </w:r>
            <w:r w:rsidRPr="00F929BC">
              <w:rPr>
                <w:rFonts w:ascii="Times New Roman" w:hAnsi="Times New Roman" w:cs="Times New Roman"/>
                <w:noProof/>
                <w:sz w:val="20"/>
                <w:szCs w:val="20"/>
              </w:rPr>
              <w:t xml:space="preserve"> Co</w:t>
            </w:r>
            <w:r w:rsidRPr="00A635EA">
              <w:rPr>
                <w:rFonts w:ascii="Times New Roman" w:hAnsi="Times New Roman" w:cs="Times New Roman"/>
                <w:noProof/>
                <w:sz w:val="20"/>
                <w:szCs w:val="20"/>
                <w:vertAlign w:val="subscript"/>
              </w:rPr>
              <w:t>2</w:t>
            </w:r>
          </w:p>
        </w:tc>
      </w:tr>
    </w:tbl>
    <w:p w:rsidR="00CC2E76" w:rsidRPr="00CC2E76" w:rsidRDefault="00CC2E76" w:rsidP="00F47EE4">
      <w:pPr>
        <w:widowControl w:val="0"/>
        <w:autoSpaceDE w:val="0"/>
        <w:autoSpaceDN w:val="0"/>
        <w:adjustRightInd w:val="0"/>
        <w:spacing w:before="120" w:after="120" w:line="276" w:lineRule="auto"/>
        <w:jc w:val="both"/>
        <w:rPr>
          <w:rFonts w:ascii="Times New Roman" w:hAnsi="Times New Roman" w:cs="Times New Roman"/>
          <w:sz w:val="24"/>
          <w:szCs w:val="24"/>
          <w:lang w:val="en-US"/>
        </w:rPr>
      </w:pPr>
      <w:r w:rsidRPr="00CC2E76">
        <w:rPr>
          <w:rFonts w:ascii="Times New Roman" w:hAnsi="Times New Roman" w:cs="Times New Roman"/>
          <w:sz w:val="24"/>
          <w:szCs w:val="24"/>
          <w:lang w:val="en-US"/>
        </w:rPr>
        <w:t xml:space="preserve">Let us see why we focus on the USA in Figure 1. Accordingly, the USA is above the world, OECD, and EU averages in terms of </w:t>
      </w:r>
      <w:r w:rsidR="00F47CDF">
        <w:rPr>
          <w:rFonts w:ascii="Times New Roman" w:hAnsi="Times New Roman" w:cs="Times New Roman"/>
          <w:sz w:val="24"/>
          <w:szCs w:val="24"/>
          <w:lang w:val="en-US"/>
        </w:rPr>
        <w:t>CO</w:t>
      </w:r>
      <w:r w:rsidR="00F47CDF">
        <w:rPr>
          <w:rFonts w:ascii="Times New Roman" w:hAnsi="Times New Roman" w:cs="Times New Roman"/>
          <w:sz w:val="24"/>
          <w:szCs w:val="24"/>
          <w:vertAlign w:val="subscript"/>
          <w:lang w:val="en-US"/>
        </w:rPr>
        <w:t>2</w:t>
      </w:r>
      <w:r w:rsidR="005B2E7B">
        <w:rPr>
          <w:rFonts w:ascii="Times New Roman" w:hAnsi="Times New Roman" w:cs="Times New Roman"/>
          <w:sz w:val="24"/>
          <w:szCs w:val="24"/>
          <w:lang w:val="en-US"/>
        </w:rPr>
        <w:t>e</w:t>
      </w:r>
      <w:r w:rsidRPr="00CC2E76">
        <w:rPr>
          <w:rFonts w:ascii="Times New Roman" w:hAnsi="Times New Roman" w:cs="Times New Roman"/>
          <w:sz w:val="24"/>
          <w:szCs w:val="24"/>
          <w:lang w:val="en-US"/>
        </w:rPr>
        <w:t>. Since 2006, the amount of carbon dioxide per capita in the USA has been decreasing. On another hand China, the situation is the opposite.</w:t>
      </w:r>
    </w:p>
    <w:p w:rsidR="00587C7D" w:rsidRDefault="0088573F" w:rsidP="00743175">
      <w:pPr>
        <w:widowControl w:val="0"/>
        <w:autoSpaceDE w:val="0"/>
        <w:autoSpaceDN w:val="0"/>
        <w:adjustRightInd w:val="0"/>
        <w:spacing w:before="120" w:after="120" w:line="276" w:lineRule="auto"/>
        <w:jc w:val="both"/>
        <w:rPr>
          <w:rFonts w:ascii="Times New Roman" w:hAnsi="Times New Roman" w:cs="Times New Roman"/>
          <w:sz w:val="24"/>
          <w:szCs w:val="24"/>
          <w:lang w:val="en-US"/>
        </w:rPr>
      </w:pPr>
      <w:r w:rsidRPr="00D747FF">
        <w:rPr>
          <w:rFonts w:ascii="Times New Roman" w:hAnsi="Times New Roman" w:cs="Times New Roman"/>
          <w:sz w:val="24"/>
          <w:szCs w:val="24"/>
          <w:lang w:val="en-US"/>
        </w:rPr>
        <w:t xml:space="preserve">In this </w:t>
      </w:r>
      <w:r w:rsidR="009A2493">
        <w:rPr>
          <w:rFonts w:ascii="Times New Roman" w:hAnsi="Times New Roman" w:cs="Times New Roman"/>
          <w:sz w:val="24"/>
          <w:szCs w:val="24"/>
          <w:lang w:val="en-US"/>
        </w:rPr>
        <w:t>paper</w:t>
      </w:r>
      <w:r w:rsidRPr="00D747FF">
        <w:rPr>
          <w:rFonts w:ascii="Times New Roman" w:hAnsi="Times New Roman" w:cs="Times New Roman"/>
          <w:sz w:val="24"/>
          <w:szCs w:val="24"/>
          <w:lang w:val="en-US"/>
        </w:rPr>
        <w:t xml:space="preserve">, we </w:t>
      </w:r>
      <w:r w:rsidR="009A2493">
        <w:rPr>
          <w:rFonts w:ascii="Times New Roman" w:hAnsi="Times New Roman" w:cs="Times New Roman"/>
          <w:sz w:val="24"/>
          <w:szCs w:val="24"/>
          <w:lang w:val="en-US"/>
        </w:rPr>
        <w:t>explore</w:t>
      </w:r>
      <w:r w:rsidRPr="00D747FF">
        <w:rPr>
          <w:rFonts w:ascii="Times New Roman" w:hAnsi="Times New Roman" w:cs="Times New Roman"/>
          <w:sz w:val="24"/>
          <w:szCs w:val="24"/>
          <w:lang w:val="en-US"/>
        </w:rPr>
        <w:t xml:space="preserve"> the effects of monetary and fiscal policies on per capita</w:t>
      </w:r>
      <w:r w:rsidR="005B2E7B">
        <w:rPr>
          <w:rFonts w:ascii="Times New Roman" w:hAnsi="Times New Roman" w:cs="Times New Roman"/>
          <w:sz w:val="24"/>
          <w:szCs w:val="24"/>
          <w:lang w:val="en-US"/>
        </w:rPr>
        <w:t xml:space="preserve"> </w:t>
      </w:r>
      <w:r w:rsidR="004C75E6">
        <w:rPr>
          <w:rFonts w:ascii="Times New Roman" w:hAnsi="Times New Roman" w:cs="Times New Roman"/>
          <w:sz w:val="24"/>
          <w:szCs w:val="24"/>
          <w:lang w:val="en-US"/>
        </w:rPr>
        <w:t>CO</w:t>
      </w:r>
      <w:r w:rsidR="004C75E6">
        <w:rPr>
          <w:rFonts w:ascii="Times New Roman" w:hAnsi="Times New Roman" w:cs="Times New Roman"/>
          <w:sz w:val="24"/>
          <w:szCs w:val="24"/>
          <w:vertAlign w:val="subscript"/>
          <w:lang w:val="en-US"/>
        </w:rPr>
        <w:t>2</w:t>
      </w:r>
      <w:r w:rsidR="004C75E6">
        <w:rPr>
          <w:rFonts w:ascii="Times New Roman" w:hAnsi="Times New Roman" w:cs="Times New Roman"/>
          <w:sz w:val="24"/>
          <w:szCs w:val="24"/>
          <w:lang w:val="en-US"/>
        </w:rPr>
        <w:t>e</w:t>
      </w:r>
      <w:r w:rsidRPr="00D747FF">
        <w:rPr>
          <w:rFonts w:ascii="Times New Roman" w:hAnsi="Times New Roman" w:cs="Times New Roman"/>
          <w:sz w:val="24"/>
          <w:szCs w:val="24"/>
          <w:lang w:val="en-US"/>
        </w:rPr>
        <w:t xml:space="preserve">, based on the 1990-2019 annual data of the USA. </w:t>
      </w:r>
      <w:r w:rsidR="00424ED6">
        <w:rPr>
          <w:rFonts w:ascii="Times New Roman" w:hAnsi="Times New Roman" w:cs="Times New Roman"/>
          <w:sz w:val="24"/>
          <w:szCs w:val="24"/>
          <w:lang w:val="en-US"/>
        </w:rPr>
        <w:t>We</w:t>
      </w:r>
      <w:r w:rsidRPr="00D747FF">
        <w:rPr>
          <w:rFonts w:ascii="Times New Roman" w:hAnsi="Times New Roman" w:cs="Times New Roman"/>
          <w:sz w:val="24"/>
          <w:szCs w:val="24"/>
          <w:lang w:val="en-US"/>
        </w:rPr>
        <w:t xml:space="preserve"> search for an answer which policy of the USA is effective in </w:t>
      </w:r>
      <w:r w:rsidR="001547C7" w:rsidRPr="00D747FF">
        <w:rPr>
          <w:rFonts w:ascii="Times New Roman" w:hAnsi="Times New Roman" w:cs="Times New Roman"/>
          <w:sz w:val="24"/>
          <w:szCs w:val="24"/>
          <w:lang w:val="en-US"/>
        </w:rPr>
        <w:t>struggle</w:t>
      </w:r>
      <w:r w:rsidRPr="00D747FF">
        <w:rPr>
          <w:rFonts w:ascii="Times New Roman" w:hAnsi="Times New Roman" w:cs="Times New Roman"/>
          <w:sz w:val="24"/>
          <w:szCs w:val="24"/>
          <w:lang w:val="en-US"/>
        </w:rPr>
        <w:t xml:space="preserve"> </w:t>
      </w:r>
      <w:r w:rsidR="005B2E7B">
        <w:rPr>
          <w:rFonts w:ascii="Times New Roman" w:hAnsi="Times New Roman" w:cs="Times New Roman"/>
          <w:sz w:val="24"/>
          <w:szCs w:val="24"/>
          <w:lang w:val="en-US"/>
        </w:rPr>
        <w:t>CO</w:t>
      </w:r>
      <w:r w:rsidR="005B2E7B">
        <w:rPr>
          <w:rFonts w:ascii="Times New Roman" w:hAnsi="Times New Roman" w:cs="Times New Roman"/>
          <w:sz w:val="24"/>
          <w:szCs w:val="24"/>
          <w:vertAlign w:val="subscript"/>
          <w:lang w:val="en-US"/>
        </w:rPr>
        <w:t>2</w:t>
      </w:r>
      <w:r w:rsidR="005B2E7B">
        <w:rPr>
          <w:rFonts w:ascii="Times New Roman" w:hAnsi="Times New Roman" w:cs="Times New Roman"/>
          <w:sz w:val="24"/>
          <w:szCs w:val="24"/>
          <w:lang w:val="en-US"/>
        </w:rPr>
        <w:t>e</w:t>
      </w:r>
      <w:r w:rsidRPr="00D747FF">
        <w:rPr>
          <w:rFonts w:ascii="Times New Roman" w:hAnsi="Times New Roman" w:cs="Times New Roman"/>
          <w:sz w:val="24"/>
          <w:szCs w:val="24"/>
          <w:lang w:val="en-US"/>
        </w:rPr>
        <w:t xml:space="preserve"> and which one will be effective. </w:t>
      </w:r>
      <w:r w:rsidR="00D747FF" w:rsidRPr="00D747FF">
        <w:rPr>
          <w:rFonts w:ascii="Times New Roman" w:hAnsi="Times New Roman" w:cs="Times New Roman"/>
          <w:sz w:val="24"/>
          <w:szCs w:val="24"/>
          <w:lang w:val="en-US"/>
        </w:rPr>
        <w:t>For this aim, we employ the</w:t>
      </w:r>
      <w:r w:rsidR="0012786C">
        <w:rPr>
          <w:rFonts w:ascii="Times New Roman" w:hAnsi="Times New Roman" w:cs="Times New Roman"/>
          <w:sz w:val="24"/>
          <w:szCs w:val="24"/>
          <w:lang w:val="en-US"/>
        </w:rPr>
        <w:t xml:space="preserve"> </w:t>
      </w:r>
      <w:r w:rsidR="00A52202">
        <w:rPr>
          <w:rFonts w:ascii="Times New Roman" w:hAnsi="Times New Roman" w:cs="Times New Roman"/>
          <w:sz w:val="24"/>
          <w:szCs w:val="24"/>
          <w:lang w:val="en-US"/>
        </w:rPr>
        <w:t xml:space="preserve">KRLS </w:t>
      </w:r>
      <w:r w:rsidR="00D747FF" w:rsidRPr="00D747FF">
        <w:rPr>
          <w:rFonts w:ascii="Times New Roman" w:hAnsi="Times New Roman" w:cs="Times New Roman"/>
          <w:sz w:val="24"/>
          <w:szCs w:val="24"/>
          <w:lang w:val="en-US"/>
        </w:rPr>
        <w:t>method, adapted to econometric models by Ferwerda</w:t>
      </w:r>
      <w:r w:rsidR="0012786C">
        <w:rPr>
          <w:rFonts w:ascii="Times New Roman" w:hAnsi="Times New Roman" w:cs="Times New Roman"/>
          <w:sz w:val="24"/>
          <w:szCs w:val="24"/>
          <w:lang w:val="en-US"/>
        </w:rPr>
        <w:t xml:space="preserve"> </w:t>
      </w:r>
      <w:r w:rsidR="00631C13">
        <w:rPr>
          <w:rFonts w:ascii="Times New Roman" w:hAnsi="Times New Roman" w:cs="Times New Roman"/>
          <w:sz w:val="24"/>
          <w:szCs w:val="24"/>
          <w:lang w:val="en-US"/>
        </w:rPr>
        <w:t>et. al.</w:t>
      </w:r>
      <w:r w:rsidR="00D747FF" w:rsidRPr="00D747FF">
        <w:rPr>
          <w:rFonts w:ascii="Times New Roman" w:hAnsi="Times New Roman" w:cs="Times New Roman"/>
          <w:sz w:val="24"/>
          <w:szCs w:val="24"/>
          <w:lang w:val="en-US"/>
        </w:rPr>
        <w:t xml:space="preserve"> (2017). </w:t>
      </w:r>
    </w:p>
    <w:p w:rsidR="00743175" w:rsidRDefault="00B21754" w:rsidP="00743175">
      <w:pPr>
        <w:widowControl w:val="0"/>
        <w:autoSpaceDE w:val="0"/>
        <w:autoSpaceDN w:val="0"/>
        <w:adjustRightInd w:val="0"/>
        <w:spacing w:before="120" w:after="12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w:t>
      </w:r>
      <w:r w:rsidR="005B2E7B">
        <w:rPr>
          <w:rFonts w:ascii="Times New Roman" w:hAnsi="Times New Roman" w:cs="Times New Roman"/>
          <w:sz w:val="24"/>
          <w:szCs w:val="24"/>
          <w:lang w:val="en-US"/>
        </w:rPr>
        <w:t xml:space="preserve"> </w:t>
      </w:r>
      <w:r w:rsidR="00BF1D2A">
        <w:rPr>
          <w:rFonts w:ascii="Times New Roman" w:hAnsi="Times New Roman" w:cs="Times New Roman"/>
          <w:sz w:val="24"/>
          <w:szCs w:val="24"/>
          <w:lang w:val="en-US"/>
        </w:rPr>
        <w:t>study</w:t>
      </w:r>
      <w:r w:rsidR="00743175" w:rsidRPr="00743175">
        <w:rPr>
          <w:rFonts w:ascii="Times New Roman" w:hAnsi="Times New Roman" w:cs="Times New Roman"/>
          <w:sz w:val="24"/>
          <w:szCs w:val="24"/>
          <w:lang w:val="en-US"/>
        </w:rPr>
        <w:t xml:space="preserve"> is as follows; literature in Section 1, data and methods in Section 2. Section 3 presents empirical findings, and finally conclusion and discussion.</w:t>
      </w:r>
    </w:p>
    <w:p w:rsidR="00002752" w:rsidRPr="00743175" w:rsidRDefault="00940DBB" w:rsidP="00743175">
      <w:pPr>
        <w:pStyle w:val="ListeParagraf"/>
        <w:widowControl w:val="0"/>
        <w:numPr>
          <w:ilvl w:val="0"/>
          <w:numId w:val="1"/>
        </w:numPr>
        <w:autoSpaceDE w:val="0"/>
        <w:autoSpaceDN w:val="0"/>
        <w:adjustRightInd w:val="0"/>
        <w:spacing w:before="120" w:after="120" w:line="276" w:lineRule="auto"/>
        <w:jc w:val="both"/>
        <w:rPr>
          <w:rFonts w:ascii="Times New Roman" w:hAnsi="Times New Roman"/>
          <w:b/>
          <w:bCs/>
          <w:sz w:val="24"/>
          <w:szCs w:val="24"/>
        </w:rPr>
      </w:pPr>
      <w:r w:rsidRPr="002D21F4">
        <w:rPr>
          <w:rFonts w:ascii="Times New Roman" w:hAnsi="Times New Roman"/>
          <w:b/>
          <w:bCs/>
          <w:sz w:val="24"/>
          <w:szCs w:val="24"/>
          <w:lang w:val="en-US"/>
        </w:rPr>
        <w:t>Literature</w:t>
      </w:r>
    </w:p>
    <w:p w:rsidR="00E8400A" w:rsidRPr="002D21F4" w:rsidRDefault="002D21F4" w:rsidP="00AF24FC">
      <w:pPr>
        <w:jc w:val="both"/>
        <w:rPr>
          <w:rFonts w:ascii="Times New Roman" w:hAnsi="Times New Roman" w:cs="Times New Roman"/>
          <w:bCs/>
          <w:sz w:val="24"/>
          <w:szCs w:val="24"/>
          <w:lang w:val="en-US"/>
        </w:rPr>
      </w:pPr>
      <w:r w:rsidRPr="002D21F4">
        <w:rPr>
          <w:rFonts w:ascii="Times New Roman" w:hAnsi="Times New Roman" w:cs="Times New Roman"/>
          <w:bCs/>
          <w:sz w:val="24"/>
          <w:szCs w:val="24"/>
          <w:lang w:val="en-US"/>
        </w:rPr>
        <w:t xml:space="preserve">Studies dealing with the effects of fiscal and monetary policies on </w:t>
      </w:r>
      <w:r w:rsidR="00F47CDF">
        <w:rPr>
          <w:rFonts w:ascii="Times New Roman" w:hAnsi="Times New Roman" w:cs="Times New Roman"/>
          <w:bCs/>
          <w:sz w:val="24"/>
          <w:szCs w:val="24"/>
          <w:lang w:val="en-US"/>
        </w:rPr>
        <w:t>CO</w:t>
      </w:r>
      <w:r w:rsidR="00F47CDF" w:rsidRPr="00F47CDF">
        <w:rPr>
          <w:rFonts w:ascii="Times New Roman" w:hAnsi="Times New Roman" w:cs="Times New Roman"/>
          <w:bCs/>
          <w:sz w:val="24"/>
          <w:szCs w:val="24"/>
          <w:vertAlign w:val="subscript"/>
          <w:lang w:val="en-US"/>
        </w:rPr>
        <w:t>2</w:t>
      </w:r>
      <w:r w:rsidR="00F47CDF">
        <w:rPr>
          <w:rFonts w:ascii="Times New Roman" w:hAnsi="Times New Roman" w:cs="Times New Roman"/>
          <w:bCs/>
          <w:sz w:val="24"/>
          <w:szCs w:val="24"/>
          <w:lang w:val="en-US"/>
        </w:rPr>
        <w:t xml:space="preserve">e </w:t>
      </w:r>
      <w:r w:rsidRPr="002D21F4">
        <w:rPr>
          <w:rFonts w:ascii="Times New Roman" w:hAnsi="Times New Roman" w:cs="Times New Roman"/>
          <w:bCs/>
          <w:sz w:val="24"/>
          <w:szCs w:val="24"/>
          <w:lang w:val="en-US"/>
        </w:rPr>
        <w:t>differ due to different samples and different methods. It is difficult to say that these studies reached a common conclusion.</w:t>
      </w:r>
      <w:r w:rsidR="0012786C">
        <w:rPr>
          <w:rFonts w:ascii="Times New Roman" w:hAnsi="Times New Roman" w:cs="Times New Roman"/>
          <w:bCs/>
          <w:sz w:val="24"/>
          <w:szCs w:val="24"/>
          <w:lang w:val="en-US"/>
        </w:rPr>
        <w:t xml:space="preserve"> </w:t>
      </w:r>
      <w:r w:rsidRPr="002D21F4">
        <w:rPr>
          <w:rFonts w:ascii="Times New Roman" w:hAnsi="Times New Roman" w:cs="Times New Roman"/>
          <w:bCs/>
          <w:sz w:val="24"/>
          <w:szCs w:val="24"/>
          <w:lang w:val="en-US"/>
        </w:rPr>
        <w:t xml:space="preserve">However, some of the studies here show that fiscal policies can be effective in </w:t>
      </w:r>
      <w:r w:rsidRPr="002D21F4">
        <w:rPr>
          <w:rFonts w:ascii="Times New Roman" w:hAnsi="Times New Roman" w:cs="Times New Roman"/>
          <w:bCs/>
          <w:sz w:val="24"/>
          <w:szCs w:val="24"/>
          <w:lang w:val="en-US"/>
        </w:rPr>
        <w:lastRenderedPageBreak/>
        <w:t xml:space="preserve">decreasing carbon emissions. Below we list some information about the studies that we can reach. We present some key </w:t>
      </w:r>
      <w:r w:rsidR="00F3153C">
        <w:rPr>
          <w:rFonts w:ascii="Times New Roman" w:hAnsi="Times New Roman" w:cs="Times New Roman"/>
          <w:bCs/>
          <w:sz w:val="24"/>
          <w:szCs w:val="24"/>
          <w:lang w:val="en-US"/>
        </w:rPr>
        <w:t>findings</w:t>
      </w:r>
      <w:r w:rsidRPr="002D21F4">
        <w:rPr>
          <w:rFonts w:ascii="Times New Roman" w:hAnsi="Times New Roman" w:cs="Times New Roman"/>
          <w:bCs/>
          <w:sz w:val="24"/>
          <w:szCs w:val="24"/>
          <w:lang w:val="en-US"/>
        </w:rPr>
        <w:t xml:space="preserve"> about the studies that we can reach.</w:t>
      </w:r>
    </w:p>
    <w:p w:rsidR="00B47650" w:rsidRPr="00AF24FC" w:rsidRDefault="00AF24FC" w:rsidP="00AF24FC">
      <w:pPr>
        <w:jc w:val="both"/>
        <w:rPr>
          <w:rFonts w:ascii="Times New Roman" w:hAnsi="Times New Roman" w:cs="Times New Roman"/>
          <w:sz w:val="24"/>
          <w:szCs w:val="24"/>
          <w:lang w:val="en-US"/>
        </w:rPr>
      </w:pPr>
      <w:r w:rsidRPr="00AF24FC">
        <w:rPr>
          <w:rFonts w:ascii="Times New Roman" w:hAnsi="Times New Roman" w:cs="Times New Roman"/>
          <w:bCs/>
          <w:sz w:val="24"/>
          <w:szCs w:val="24"/>
          <w:lang w:val="en-US"/>
        </w:rPr>
        <w:t xml:space="preserve">Muhafidin (2019) </w:t>
      </w:r>
      <w:r w:rsidRPr="00AF24FC">
        <w:rPr>
          <w:rFonts w:ascii="Times New Roman" w:hAnsi="Times New Roman" w:cs="Times New Roman"/>
          <w:sz w:val="24"/>
          <w:szCs w:val="24"/>
          <w:lang w:val="en-US"/>
        </w:rPr>
        <w:t xml:space="preserve">aims to explore the role of monetary and fiscal policy in environmental degradation of Indonesia over the time span of 1973-2018. </w:t>
      </w:r>
      <w:r w:rsidR="00E86F02">
        <w:rPr>
          <w:rFonts w:ascii="Times New Roman" w:hAnsi="Times New Roman" w:cs="Times New Roman"/>
          <w:sz w:val="24"/>
          <w:szCs w:val="24"/>
          <w:lang w:val="en-US"/>
        </w:rPr>
        <w:t xml:space="preserve">They found that </w:t>
      </w:r>
      <w:r w:rsidRPr="00AF24FC">
        <w:rPr>
          <w:rFonts w:ascii="Times New Roman" w:hAnsi="Times New Roman" w:cs="Times New Roman"/>
          <w:sz w:val="24"/>
          <w:szCs w:val="24"/>
          <w:lang w:val="en-US"/>
        </w:rPr>
        <w:t xml:space="preserve">there is a strong relationship between the </w:t>
      </w:r>
      <w:r w:rsidR="00DC5176">
        <w:rPr>
          <w:rFonts w:ascii="Times New Roman" w:hAnsi="Times New Roman" w:cs="Times New Roman"/>
          <w:sz w:val="24"/>
          <w:szCs w:val="24"/>
          <w:lang w:val="en-US"/>
        </w:rPr>
        <w:t>Gdp</w:t>
      </w:r>
      <w:r w:rsidR="0045334E">
        <w:rPr>
          <w:rFonts w:ascii="Times New Roman" w:hAnsi="Times New Roman" w:cs="Times New Roman"/>
          <w:sz w:val="24"/>
          <w:szCs w:val="24"/>
          <w:lang w:val="en-US"/>
        </w:rPr>
        <w:t>, interest rate and exchange rate</w:t>
      </w:r>
      <w:r w:rsidRPr="00AF24FC">
        <w:rPr>
          <w:rFonts w:ascii="Times New Roman" w:hAnsi="Times New Roman" w:cs="Times New Roman"/>
          <w:sz w:val="24"/>
          <w:szCs w:val="24"/>
          <w:lang w:val="en-US"/>
        </w:rPr>
        <w:t xml:space="preserve"> in the context of the </w:t>
      </w:r>
      <w:r w:rsidR="0045334E">
        <w:rPr>
          <w:rFonts w:ascii="Times New Roman" w:hAnsi="Times New Roman" w:cs="Times New Roman"/>
          <w:sz w:val="24"/>
          <w:szCs w:val="24"/>
          <w:lang w:val="en-US"/>
        </w:rPr>
        <w:t>Indonesia</w:t>
      </w:r>
      <w:r w:rsidRPr="00AF24FC">
        <w:rPr>
          <w:rFonts w:ascii="Times New Roman" w:hAnsi="Times New Roman" w:cs="Times New Roman"/>
          <w:sz w:val="24"/>
          <w:szCs w:val="24"/>
          <w:lang w:val="en-US"/>
        </w:rPr>
        <w:t>.</w:t>
      </w:r>
      <w:bookmarkStart w:id="1" w:name="_Hlk116985610"/>
      <w:r w:rsidR="005B2E7B">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Ullah et. al. (2020)</w:t>
      </w:r>
      <w:bookmarkEnd w:id="1"/>
      <w:r w:rsidRPr="00AF24FC">
        <w:rPr>
          <w:rFonts w:ascii="Times New Roman" w:hAnsi="Times New Roman" w:cs="Times New Roman"/>
          <w:sz w:val="24"/>
          <w:szCs w:val="24"/>
          <w:lang w:val="en-US"/>
        </w:rPr>
        <w:t xml:space="preserve"> explored the effects of government expenditures, government revenue and </w:t>
      </w:r>
      <w:r w:rsidR="00EA12E2">
        <w:rPr>
          <w:rFonts w:ascii="Times New Roman" w:hAnsi="Times New Roman" w:cs="Times New Roman"/>
          <w:sz w:val="24"/>
          <w:szCs w:val="24"/>
          <w:lang w:val="en-US"/>
        </w:rPr>
        <w:t>Gdp</w:t>
      </w:r>
      <w:r w:rsidR="0012786C">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on the CO</w:t>
      </w:r>
      <w:r w:rsidRPr="00AF24FC">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AF24FC">
        <w:rPr>
          <w:rFonts w:ascii="Times New Roman" w:hAnsi="Times New Roman" w:cs="Times New Roman"/>
          <w:sz w:val="24"/>
          <w:szCs w:val="24"/>
          <w:lang w:val="en-US"/>
        </w:rPr>
        <w:t xml:space="preserve">using the data for 10 Asian economies. </w:t>
      </w:r>
      <w:r w:rsidR="00621CFB">
        <w:rPr>
          <w:rFonts w:ascii="Times New Roman" w:hAnsi="Times New Roman" w:cs="Times New Roman"/>
          <w:sz w:val="24"/>
          <w:szCs w:val="24"/>
          <w:lang w:val="en-US"/>
        </w:rPr>
        <w:t xml:space="preserve">They </w:t>
      </w:r>
      <w:r w:rsidR="00AB785B">
        <w:rPr>
          <w:rFonts w:ascii="Times New Roman" w:hAnsi="Times New Roman" w:cs="Times New Roman"/>
          <w:sz w:val="24"/>
          <w:szCs w:val="24"/>
          <w:lang w:val="en-US"/>
        </w:rPr>
        <w:t xml:space="preserve">used </w:t>
      </w:r>
      <w:r w:rsidR="00621CFB">
        <w:rPr>
          <w:rFonts w:ascii="Times New Roman" w:hAnsi="Times New Roman" w:cs="Times New Roman"/>
          <w:sz w:val="24"/>
          <w:szCs w:val="24"/>
          <w:lang w:val="en-US"/>
        </w:rPr>
        <w:t>ARDL and NARDL approach</w:t>
      </w:r>
      <w:r w:rsidR="00612511">
        <w:rPr>
          <w:rFonts w:ascii="Times New Roman" w:hAnsi="Times New Roman" w:cs="Times New Roman"/>
          <w:sz w:val="24"/>
          <w:szCs w:val="24"/>
          <w:lang w:val="en-US"/>
        </w:rPr>
        <w:t>es</w:t>
      </w:r>
      <w:r w:rsidR="00621CFB">
        <w:rPr>
          <w:rFonts w:ascii="Times New Roman" w:hAnsi="Times New Roman" w:cs="Times New Roman"/>
          <w:sz w:val="24"/>
          <w:szCs w:val="24"/>
          <w:lang w:val="en-US"/>
        </w:rPr>
        <w:t>. Their findings can differ four columns a</w:t>
      </w:r>
      <w:r w:rsidRPr="00AF24FC">
        <w:rPr>
          <w:rFonts w:ascii="Times New Roman" w:hAnsi="Times New Roman" w:cs="Times New Roman"/>
          <w:sz w:val="24"/>
          <w:szCs w:val="24"/>
          <w:lang w:val="en-US"/>
        </w:rPr>
        <w:t xml:space="preserve">) </w:t>
      </w:r>
      <w:r w:rsidR="009F00B5">
        <w:rPr>
          <w:rFonts w:ascii="Times New Roman" w:hAnsi="Times New Roman" w:cs="Times New Roman"/>
          <w:sz w:val="24"/>
          <w:szCs w:val="24"/>
          <w:lang w:val="en-US"/>
        </w:rPr>
        <w:t>a</w:t>
      </w:r>
      <w:r w:rsidRPr="00AF24FC">
        <w:rPr>
          <w:rFonts w:ascii="Times New Roman" w:hAnsi="Times New Roman" w:cs="Times New Roman"/>
          <w:sz w:val="24"/>
          <w:szCs w:val="24"/>
          <w:lang w:val="en-US"/>
        </w:rPr>
        <w:t xml:space="preserve">n increase tax revenue uniquely increases </w:t>
      </w:r>
      <w:r w:rsidR="00AB785B">
        <w:rPr>
          <w:rFonts w:ascii="Times New Roman" w:hAnsi="Times New Roman" w:cs="Times New Roman"/>
          <w:sz w:val="24"/>
          <w:szCs w:val="24"/>
          <w:lang w:val="en-US"/>
        </w:rPr>
        <w:t>government expenditure</w:t>
      </w:r>
      <w:r w:rsidRPr="00AF24FC">
        <w:rPr>
          <w:rFonts w:ascii="Times New Roman" w:hAnsi="Times New Roman" w:cs="Times New Roman"/>
          <w:sz w:val="24"/>
          <w:szCs w:val="24"/>
          <w:lang w:val="en-US"/>
        </w:rPr>
        <w:t xml:space="preserve">, a situation that increases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AF24FC">
        <w:rPr>
          <w:rFonts w:ascii="Times New Roman" w:hAnsi="Times New Roman" w:cs="Times New Roman"/>
          <w:sz w:val="24"/>
          <w:szCs w:val="24"/>
          <w:lang w:val="en-US"/>
        </w:rPr>
        <w:t xml:space="preserve">in China, India, Indonesia, Iran, Malaysia, Thailand, Turkey and the UAE and decreases in Japan, b) </w:t>
      </w:r>
      <w:r w:rsidR="009F00B5">
        <w:rPr>
          <w:rFonts w:ascii="Times New Roman" w:hAnsi="Times New Roman" w:cs="Times New Roman"/>
          <w:sz w:val="24"/>
          <w:szCs w:val="24"/>
          <w:lang w:val="en-US"/>
        </w:rPr>
        <w:t>a</w:t>
      </w:r>
      <w:r w:rsidRPr="00AF24FC">
        <w:rPr>
          <w:rFonts w:ascii="Times New Roman" w:hAnsi="Times New Roman" w:cs="Times New Roman"/>
          <w:sz w:val="24"/>
          <w:szCs w:val="24"/>
          <w:lang w:val="en-US"/>
        </w:rPr>
        <w:t xml:space="preserve"> positive public spending shock improve environmental quality in Japan; it worsens the situation in China, India, Indonesia, Iran, Malaysia, Thailand, Turkey and the UAE, c) </w:t>
      </w:r>
      <w:r w:rsidR="009F00B5">
        <w:rPr>
          <w:rFonts w:ascii="Times New Roman" w:hAnsi="Times New Roman" w:cs="Times New Roman"/>
          <w:sz w:val="24"/>
          <w:szCs w:val="24"/>
          <w:lang w:val="en-US"/>
        </w:rPr>
        <w:t>r</w:t>
      </w:r>
      <w:r w:rsidRPr="00AF24FC">
        <w:rPr>
          <w:rFonts w:ascii="Times New Roman" w:hAnsi="Times New Roman" w:cs="Times New Roman"/>
          <w:sz w:val="24"/>
          <w:szCs w:val="24"/>
          <w:lang w:val="en-US"/>
        </w:rPr>
        <w:t xml:space="preserve">educing </w:t>
      </w:r>
      <w:r w:rsidR="00AB785B">
        <w:rPr>
          <w:rFonts w:ascii="Times New Roman" w:hAnsi="Times New Roman" w:cs="Times New Roman"/>
          <w:sz w:val="24"/>
          <w:szCs w:val="24"/>
          <w:lang w:val="en-US"/>
        </w:rPr>
        <w:t xml:space="preserve">government expenditure </w:t>
      </w:r>
      <w:r w:rsidRPr="00AF24FC">
        <w:rPr>
          <w:rFonts w:ascii="Times New Roman" w:hAnsi="Times New Roman" w:cs="Times New Roman"/>
          <w:sz w:val="24"/>
          <w:szCs w:val="24"/>
          <w:lang w:val="en-US"/>
        </w:rPr>
        <w:t xml:space="preserve">only worsen environmental quality in Japan and improve these economies, d) </w:t>
      </w:r>
      <w:r w:rsidR="009F00B5">
        <w:rPr>
          <w:rFonts w:ascii="Times New Roman" w:hAnsi="Times New Roman" w:cs="Times New Roman"/>
          <w:sz w:val="24"/>
          <w:szCs w:val="24"/>
          <w:lang w:val="en-US"/>
        </w:rPr>
        <w:t>a</w:t>
      </w:r>
      <w:r w:rsidRPr="00AF24FC">
        <w:rPr>
          <w:rFonts w:ascii="Times New Roman" w:hAnsi="Times New Roman" w:cs="Times New Roman"/>
          <w:sz w:val="24"/>
          <w:szCs w:val="24"/>
          <w:lang w:val="en-US"/>
        </w:rPr>
        <w:t xml:space="preserve">t the end, there is no explainable result about Saudi Arabia. </w:t>
      </w:r>
    </w:p>
    <w:p w:rsidR="00AF24FC" w:rsidRPr="00AF24FC" w:rsidRDefault="00AF24FC" w:rsidP="00AF24FC">
      <w:pPr>
        <w:jc w:val="both"/>
        <w:rPr>
          <w:rFonts w:ascii="Times New Roman" w:hAnsi="Times New Roman" w:cs="Times New Roman"/>
          <w:sz w:val="24"/>
          <w:szCs w:val="24"/>
          <w:lang w:val="en-US"/>
        </w:rPr>
      </w:pPr>
      <w:r w:rsidRPr="00AF24FC">
        <w:rPr>
          <w:rFonts w:ascii="Times New Roman" w:hAnsi="Times New Roman" w:cs="Times New Roman"/>
          <w:sz w:val="24"/>
          <w:szCs w:val="24"/>
          <w:lang w:val="en-US"/>
        </w:rPr>
        <w:t xml:space="preserve">Adua et. al. (2021) explored the effect of state policy on energy consumption using a sample for all 50 U.S. states. They found that a) </w:t>
      </w:r>
      <w:r w:rsidR="0074387E">
        <w:rPr>
          <w:rFonts w:ascii="Times New Roman" w:hAnsi="Times New Roman" w:cs="Times New Roman"/>
          <w:sz w:val="24"/>
          <w:szCs w:val="24"/>
          <w:lang w:val="en-US"/>
        </w:rPr>
        <w:t>t</w:t>
      </w:r>
      <w:r w:rsidRPr="00AF24FC">
        <w:rPr>
          <w:rFonts w:ascii="Times New Roman" w:hAnsi="Times New Roman" w:cs="Times New Roman"/>
          <w:sz w:val="24"/>
          <w:szCs w:val="24"/>
          <w:lang w:val="en-US"/>
        </w:rPr>
        <w:t xml:space="preserve">he relationship between energy efficiency policies implemented by state governments and energy consumption is either positive or statistically </w:t>
      </w:r>
      <w:r w:rsidR="005B2E7B" w:rsidRPr="00AF24FC">
        <w:rPr>
          <w:rFonts w:ascii="Times New Roman" w:hAnsi="Times New Roman" w:cs="Times New Roman"/>
          <w:sz w:val="24"/>
          <w:szCs w:val="24"/>
          <w:lang w:val="en-US"/>
        </w:rPr>
        <w:t>insignificant</w:t>
      </w:r>
      <w:r w:rsidR="005B2E7B">
        <w:rPr>
          <w:rFonts w:ascii="Times New Roman" w:hAnsi="Times New Roman" w:cs="Times New Roman"/>
          <w:sz w:val="24"/>
          <w:szCs w:val="24"/>
          <w:lang w:val="en-US"/>
        </w:rPr>
        <w:t>;</w:t>
      </w:r>
      <w:r w:rsidRPr="00AF24FC">
        <w:rPr>
          <w:rFonts w:ascii="Times New Roman" w:hAnsi="Times New Roman" w:cs="Times New Roman"/>
          <w:sz w:val="24"/>
          <w:szCs w:val="24"/>
          <w:lang w:val="en-US"/>
        </w:rPr>
        <w:t xml:space="preserve"> b) </w:t>
      </w:r>
      <w:r w:rsidR="0074387E">
        <w:rPr>
          <w:rFonts w:ascii="Times New Roman" w:hAnsi="Times New Roman" w:cs="Times New Roman"/>
          <w:sz w:val="24"/>
          <w:szCs w:val="24"/>
          <w:lang w:val="en-US"/>
        </w:rPr>
        <w:t>s</w:t>
      </w:r>
      <w:r w:rsidRPr="00AF24FC">
        <w:rPr>
          <w:rFonts w:ascii="Times New Roman" w:hAnsi="Times New Roman" w:cs="Times New Roman"/>
          <w:sz w:val="24"/>
          <w:szCs w:val="24"/>
          <w:lang w:val="en-US"/>
        </w:rPr>
        <w:t>avings from improved efficiency are often channeled into increased production and consumption, which have significant impacts on energy consumption. Chisti et. al. (2021) investigated the influence of fiscal and monetary policies on CO</w:t>
      </w:r>
      <w:r w:rsidRPr="00AF24FC">
        <w:rPr>
          <w:rFonts w:ascii="Times New Roman" w:hAnsi="Times New Roman" w:cs="Times New Roman"/>
          <w:sz w:val="24"/>
          <w:szCs w:val="24"/>
          <w:vertAlign w:val="subscript"/>
          <w:lang w:val="en-US"/>
        </w:rPr>
        <w:t>2</w:t>
      </w:r>
      <w:r w:rsidR="00A64B9F">
        <w:rPr>
          <w:rFonts w:ascii="Times New Roman" w:hAnsi="Times New Roman" w:cs="Times New Roman"/>
          <w:sz w:val="24"/>
          <w:szCs w:val="24"/>
          <w:lang w:val="en-US"/>
        </w:rPr>
        <w:t xml:space="preserve">e </w:t>
      </w:r>
      <w:r w:rsidRPr="00AF24FC">
        <w:rPr>
          <w:rFonts w:ascii="Times New Roman" w:hAnsi="Times New Roman" w:cs="Times New Roman"/>
          <w:sz w:val="24"/>
          <w:szCs w:val="24"/>
          <w:lang w:val="en-US"/>
        </w:rPr>
        <w:t>employing a panel data set of BRICS economies from 1985 to 2014.</w:t>
      </w:r>
      <w:r w:rsidR="00B057B8">
        <w:rPr>
          <w:rFonts w:ascii="Times New Roman" w:hAnsi="Times New Roman" w:cs="Times New Roman"/>
          <w:sz w:val="24"/>
          <w:szCs w:val="24"/>
          <w:lang w:val="en-US"/>
        </w:rPr>
        <w:t>Their</w:t>
      </w:r>
      <w:r w:rsidR="002947F2" w:rsidRPr="00191AB7">
        <w:rPr>
          <w:rFonts w:ascii="Times New Roman" w:hAnsi="Times New Roman" w:cs="Times New Roman"/>
          <w:sz w:val="24"/>
          <w:szCs w:val="24"/>
          <w:lang w:val="en-US"/>
        </w:rPr>
        <w:t xml:space="preserve"> results</w:t>
      </w:r>
      <w:r w:rsidR="00621CFB" w:rsidRPr="00191AB7">
        <w:rPr>
          <w:rFonts w:ascii="Times New Roman" w:hAnsi="Times New Roman" w:cs="Times New Roman"/>
          <w:sz w:val="24"/>
          <w:szCs w:val="24"/>
          <w:lang w:val="en-US"/>
        </w:rPr>
        <w:t xml:space="preserve"> impl</w:t>
      </w:r>
      <w:r w:rsidR="002947F2" w:rsidRPr="00191AB7">
        <w:rPr>
          <w:rFonts w:ascii="Times New Roman" w:hAnsi="Times New Roman" w:cs="Times New Roman"/>
          <w:sz w:val="24"/>
          <w:szCs w:val="24"/>
          <w:lang w:val="en-US"/>
        </w:rPr>
        <w:t>y</w:t>
      </w:r>
      <w:r w:rsidRPr="00191AB7">
        <w:rPr>
          <w:rFonts w:ascii="Times New Roman" w:hAnsi="Times New Roman" w:cs="Times New Roman"/>
          <w:sz w:val="24"/>
          <w:szCs w:val="24"/>
          <w:lang w:val="en-US"/>
        </w:rPr>
        <w:t xml:space="preserve"> that </w:t>
      </w:r>
      <w:bookmarkStart w:id="2" w:name="_Hlk116987473"/>
      <w:r w:rsidRPr="00191AB7">
        <w:rPr>
          <w:rFonts w:ascii="Times New Roman" w:hAnsi="Times New Roman" w:cs="Times New Roman"/>
          <w:sz w:val="24"/>
          <w:szCs w:val="24"/>
          <w:lang w:val="en-US"/>
        </w:rPr>
        <w:t>fiscal policy can be effective reducing CO</w:t>
      </w:r>
      <w:r w:rsidRPr="00191AB7">
        <w:rPr>
          <w:rFonts w:ascii="Times New Roman" w:hAnsi="Times New Roman" w:cs="Times New Roman"/>
          <w:sz w:val="24"/>
          <w:szCs w:val="24"/>
          <w:vertAlign w:val="subscript"/>
          <w:lang w:val="en-US"/>
        </w:rPr>
        <w:t>2</w:t>
      </w:r>
      <w:bookmarkEnd w:id="2"/>
      <w:r w:rsidR="00A64B9F">
        <w:rPr>
          <w:rFonts w:ascii="Times New Roman" w:hAnsi="Times New Roman" w:cs="Times New Roman"/>
          <w:sz w:val="24"/>
          <w:szCs w:val="24"/>
          <w:lang w:val="en-US"/>
        </w:rPr>
        <w:t>e</w:t>
      </w:r>
      <w:r w:rsidRPr="00191AB7">
        <w:rPr>
          <w:rFonts w:ascii="Times New Roman" w:hAnsi="Times New Roman" w:cs="Times New Roman"/>
          <w:sz w:val="24"/>
          <w:szCs w:val="24"/>
          <w:lang w:val="en-US"/>
        </w:rPr>
        <w:t>.</w:t>
      </w:r>
      <w:r w:rsidRPr="00AF24FC">
        <w:rPr>
          <w:rFonts w:ascii="Times New Roman" w:hAnsi="Times New Roman" w:cs="Times New Roman"/>
          <w:sz w:val="24"/>
          <w:szCs w:val="24"/>
          <w:lang w:val="en-US"/>
        </w:rPr>
        <w:t xml:space="preserve"> They also estimated </w:t>
      </w:r>
      <w:r w:rsidR="00621CFB">
        <w:rPr>
          <w:rFonts w:ascii="Times New Roman" w:hAnsi="Times New Roman" w:cs="Times New Roman"/>
          <w:sz w:val="24"/>
          <w:szCs w:val="24"/>
          <w:lang w:val="en-US"/>
        </w:rPr>
        <w:t>w</w:t>
      </w:r>
      <w:r w:rsidRPr="00AF24FC">
        <w:rPr>
          <w:rFonts w:ascii="Times New Roman" w:hAnsi="Times New Roman" w:cs="Times New Roman"/>
          <w:sz w:val="24"/>
          <w:szCs w:val="24"/>
          <w:lang w:val="en-US"/>
        </w:rPr>
        <w:t xml:space="preserve">hile expansionary monetary policies deteriorate environmental quality, contractionary monetary policies improve that quality. </w:t>
      </w:r>
      <w:r w:rsidR="00621CFB">
        <w:rPr>
          <w:rFonts w:ascii="Times New Roman" w:hAnsi="Times New Roman" w:cs="Times New Roman"/>
          <w:sz w:val="24"/>
          <w:szCs w:val="24"/>
          <w:lang w:val="en-US"/>
        </w:rPr>
        <w:t>Authors indicate that w</w:t>
      </w:r>
      <w:r w:rsidRPr="00AF24FC">
        <w:rPr>
          <w:rFonts w:ascii="Times New Roman" w:hAnsi="Times New Roman" w:cs="Times New Roman"/>
          <w:sz w:val="24"/>
          <w:szCs w:val="24"/>
          <w:lang w:val="en-US"/>
        </w:rPr>
        <w:t>hen fossil fuels are considered together with local consumer expenditures, their increase also increases pollution, and the use of renewable energy leads to a decrease in CO</w:t>
      </w:r>
      <w:r w:rsidRPr="00AF24FC">
        <w:rPr>
          <w:rFonts w:ascii="Times New Roman" w:hAnsi="Times New Roman" w:cs="Times New Roman"/>
          <w:sz w:val="24"/>
          <w:szCs w:val="24"/>
          <w:vertAlign w:val="subscript"/>
          <w:lang w:val="en-US"/>
        </w:rPr>
        <w:t>2</w:t>
      </w:r>
      <w:r w:rsidR="00A64B9F">
        <w:rPr>
          <w:rFonts w:ascii="Times New Roman" w:hAnsi="Times New Roman" w:cs="Times New Roman"/>
          <w:sz w:val="24"/>
          <w:szCs w:val="24"/>
          <w:lang w:val="en-US"/>
        </w:rPr>
        <w:t>e</w:t>
      </w:r>
      <w:r w:rsidRPr="00AF24FC">
        <w:rPr>
          <w:rFonts w:ascii="Times New Roman" w:hAnsi="Times New Roman" w:cs="Times New Roman"/>
          <w:sz w:val="24"/>
          <w:szCs w:val="24"/>
          <w:lang w:val="en-US"/>
        </w:rPr>
        <w:t xml:space="preserve"> and improves the quality of the atmosphere.</w:t>
      </w:r>
    </w:p>
    <w:p w:rsidR="00AF24FC" w:rsidRPr="00AF24FC" w:rsidRDefault="00AF24FC" w:rsidP="00AF24FC">
      <w:pPr>
        <w:jc w:val="both"/>
        <w:rPr>
          <w:rFonts w:ascii="Times New Roman" w:hAnsi="Times New Roman" w:cs="Times New Roman"/>
          <w:sz w:val="24"/>
          <w:szCs w:val="24"/>
          <w:lang w:val="en-US"/>
        </w:rPr>
      </w:pPr>
      <w:bookmarkStart w:id="3" w:name="_Hlk116987528"/>
      <w:r w:rsidRPr="00AF24FC">
        <w:rPr>
          <w:rFonts w:ascii="Times New Roman" w:hAnsi="Times New Roman" w:cs="Times New Roman"/>
          <w:sz w:val="24"/>
          <w:szCs w:val="24"/>
          <w:lang w:val="en-US"/>
        </w:rPr>
        <w:t xml:space="preserve">Ahmed </w:t>
      </w:r>
      <w:r w:rsidR="00631C13">
        <w:rPr>
          <w:rFonts w:ascii="Times New Roman" w:hAnsi="Times New Roman" w:cs="Times New Roman"/>
          <w:sz w:val="24"/>
          <w:szCs w:val="24"/>
          <w:lang w:val="en-US"/>
        </w:rPr>
        <w:t>et. al.</w:t>
      </w:r>
      <w:r w:rsidRPr="00AF24FC">
        <w:rPr>
          <w:rFonts w:ascii="Times New Roman" w:hAnsi="Times New Roman" w:cs="Times New Roman"/>
          <w:sz w:val="24"/>
          <w:szCs w:val="24"/>
          <w:lang w:val="en-US"/>
        </w:rPr>
        <w:t xml:space="preserve"> (2021) </w:t>
      </w:r>
      <w:bookmarkEnd w:id="3"/>
      <w:r w:rsidRPr="00AF24FC">
        <w:rPr>
          <w:rFonts w:ascii="Times New Roman" w:hAnsi="Times New Roman" w:cs="Times New Roman"/>
          <w:sz w:val="24"/>
          <w:szCs w:val="24"/>
          <w:lang w:val="en-US"/>
        </w:rPr>
        <w:t xml:space="preserve">assessed whether there is an asymmetric link between renewable energy technology budgets, environmental sustainability and economic policy uncertainty for US in the context of the study over the time span 1985-2017. </w:t>
      </w:r>
      <w:bookmarkStart w:id="4" w:name="_Hlk116987533"/>
      <w:r w:rsidR="00B057B8" w:rsidRPr="00B057B8">
        <w:rPr>
          <w:rFonts w:ascii="Times New Roman" w:hAnsi="Times New Roman" w:cs="Times New Roman"/>
          <w:sz w:val="24"/>
          <w:szCs w:val="24"/>
          <w:lang w:val="en-US"/>
        </w:rPr>
        <w:t>They found that renewable energy research and development budge</w:t>
      </w:r>
      <w:r w:rsidR="00B057B8">
        <w:rPr>
          <w:rFonts w:ascii="Times New Roman" w:hAnsi="Times New Roman" w:cs="Times New Roman"/>
          <w:sz w:val="24"/>
          <w:szCs w:val="24"/>
          <w:lang w:val="en-US"/>
        </w:rPr>
        <w:t>ts</w:t>
      </w:r>
      <w:r w:rsidR="00B057B8" w:rsidRPr="00B057B8">
        <w:rPr>
          <w:rFonts w:ascii="Times New Roman" w:hAnsi="Times New Roman" w:cs="Times New Roman"/>
          <w:sz w:val="24"/>
          <w:szCs w:val="24"/>
          <w:lang w:val="en-US"/>
        </w:rPr>
        <w:t xml:space="preserve"> have no significant effect on Co</w:t>
      </w:r>
      <w:r w:rsidR="00B057B8" w:rsidRPr="009B6835">
        <w:rPr>
          <w:rFonts w:ascii="Times New Roman" w:hAnsi="Times New Roman" w:cs="Times New Roman"/>
          <w:sz w:val="24"/>
          <w:szCs w:val="24"/>
          <w:vertAlign w:val="subscript"/>
          <w:lang w:val="en-US"/>
        </w:rPr>
        <w:t>2</w:t>
      </w:r>
      <w:r w:rsidR="00EA12E2">
        <w:rPr>
          <w:rFonts w:ascii="Times New Roman" w:hAnsi="Times New Roman" w:cs="Times New Roman"/>
          <w:sz w:val="24"/>
          <w:szCs w:val="24"/>
          <w:lang w:val="en-US"/>
        </w:rPr>
        <w:t>e</w:t>
      </w:r>
      <w:r w:rsidR="00B057B8" w:rsidRPr="00B057B8">
        <w:rPr>
          <w:rFonts w:ascii="Times New Roman" w:hAnsi="Times New Roman" w:cs="Times New Roman"/>
          <w:sz w:val="24"/>
          <w:szCs w:val="24"/>
          <w:lang w:val="en-US"/>
        </w:rPr>
        <w:t xml:space="preserve"> reductions</w:t>
      </w:r>
      <w:bookmarkEnd w:id="4"/>
      <w:r w:rsidR="00B057B8" w:rsidRPr="00B057B8">
        <w:rPr>
          <w:rFonts w:ascii="Times New Roman" w:hAnsi="Times New Roman" w:cs="Times New Roman"/>
          <w:sz w:val="24"/>
          <w:szCs w:val="24"/>
          <w:lang w:val="en-US"/>
        </w:rPr>
        <w:t>.</w:t>
      </w:r>
    </w:p>
    <w:p w:rsidR="00AF24FC" w:rsidRPr="00AF24FC" w:rsidRDefault="00AF24FC" w:rsidP="00AF24FC">
      <w:pPr>
        <w:jc w:val="both"/>
        <w:rPr>
          <w:rFonts w:ascii="Times New Roman" w:hAnsi="Times New Roman" w:cs="Times New Roman"/>
          <w:sz w:val="24"/>
          <w:szCs w:val="24"/>
          <w:lang w:val="en-US"/>
        </w:rPr>
      </w:pPr>
      <w:bookmarkStart w:id="5" w:name="_Hlk116945811"/>
      <w:r w:rsidRPr="00AF24FC">
        <w:rPr>
          <w:rFonts w:ascii="Times New Roman" w:hAnsi="Times New Roman" w:cs="Times New Roman"/>
          <w:sz w:val="24"/>
          <w:szCs w:val="24"/>
          <w:lang w:val="en-US"/>
        </w:rPr>
        <w:t xml:space="preserve">Ullah </w:t>
      </w:r>
      <w:r w:rsidR="00631C13">
        <w:rPr>
          <w:rFonts w:ascii="Times New Roman" w:hAnsi="Times New Roman" w:cs="Times New Roman"/>
          <w:sz w:val="24"/>
          <w:szCs w:val="24"/>
          <w:lang w:val="en-US"/>
        </w:rPr>
        <w:t>et. al.</w:t>
      </w:r>
      <w:r w:rsidRPr="00AF24FC">
        <w:rPr>
          <w:rFonts w:ascii="Times New Roman" w:hAnsi="Times New Roman" w:cs="Times New Roman"/>
          <w:sz w:val="24"/>
          <w:szCs w:val="24"/>
          <w:lang w:val="en-US"/>
        </w:rPr>
        <w:t xml:space="preserve"> (2021) </w:t>
      </w:r>
      <w:r w:rsidR="005A6422">
        <w:rPr>
          <w:rFonts w:ascii="Times New Roman" w:hAnsi="Times New Roman" w:cs="Times New Roman"/>
          <w:sz w:val="24"/>
          <w:szCs w:val="24"/>
          <w:lang w:val="en-US"/>
        </w:rPr>
        <w:t>explored</w:t>
      </w:r>
      <w:bookmarkEnd w:id="5"/>
      <w:r w:rsidR="00F231DF">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the asy</w:t>
      </w:r>
      <w:r w:rsidR="005A6422">
        <w:rPr>
          <w:rFonts w:ascii="Times New Roman" w:hAnsi="Times New Roman" w:cs="Times New Roman"/>
          <w:sz w:val="24"/>
          <w:szCs w:val="24"/>
          <w:lang w:val="en-US"/>
        </w:rPr>
        <w:t>m</w:t>
      </w:r>
      <w:r w:rsidRPr="00AF24FC">
        <w:rPr>
          <w:rFonts w:ascii="Times New Roman" w:hAnsi="Times New Roman" w:cs="Times New Roman"/>
          <w:sz w:val="24"/>
          <w:szCs w:val="24"/>
          <w:lang w:val="en-US"/>
        </w:rPr>
        <w:t>metric effects of fiscal and monetary policy instruments for environmental pollution for Pakistan over the period 1985-2019. The</w:t>
      </w:r>
      <w:r w:rsidR="005A6422">
        <w:rPr>
          <w:rFonts w:ascii="Times New Roman" w:hAnsi="Times New Roman" w:cs="Times New Roman"/>
          <w:sz w:val="24"/>
          <w:szCs w:val="24"/>
          <w:lang w:val="en-US"/>
        </w:rPr>
        <w:t>y</w:t>
      </w:r>
      <w:r w:rsidR="00F231DF">
        <w:rPr>
          <w:rFonts w:ascii="Times New Roman" w:hAnsi="Times New Roman" w:cs="Times New Roman"/>
          <w:sz w:val="24"/>
          <w:szCs w:val="24"/>
          <w:lang w:val="en-US"/>
        </w:rPr>
        <w:t xml:space="preserve"> </w:t>
      </w:r>
      <w:r w:rsidR="005A6422">
        <w:rPr>
          <w:rFonts w:ascii="Times New Roman" w:hAnsi="Times New Roman" w:cs="Times New Roman"/>
          <w:sz w:val="24"/>
          <w:szCs w:val="24"/>
          <w:lang w:val="en-US"/>
        </w:rPr>
        <w:t xml:space="preserve">used </w:t>
      </w:r>
      <w:r w:rsidRPr="00AF24FC">
        <w:rPr>
          <w:rFonts w:ascii="Times New Roman" w:hAnsi="Times New Roman" w:cs="Times New Roman"/>
          <w:sz w:val="24"/>
          <w:szCs w:val="24"/>
          <w:lang w:val="en-US"/>
        </w:rPr>
        <w:t>ARDL</w:t>
      </w:r>
      <w:r w:rsidR="005A6422">
        <w:rPr>
          <w:rFonts w:ascii="Times New Roman" w:hAnsi="Times New Roman" w:cs="Times New Roman"/>
          <w:sz w:val="24"/>
          <w:szCs w:val="24"/>
          <w:lang w:val="en-US"/>
        </w:rPr>
        <w:t xml:space="preserve"> and</w:t>
      </w:r>
      <w:r w:rsidRPr="00AF24FC">
        <w:rPr>
          <w:rFonts w:ascii="Times New Roman" w:hAnsi="Times New Roman" w:cs="Times New Roman"/>
          <w:sz w:val="24"/>
          <w:szCs w:val="24"/>
          <w:lang w:val="en-US"/>
        </w:rPr>
        <w:t xml:space="preserve"> NARDL</w:t>
      </w:r>
      <w:r w:rsidR="005A6422">
        <w:rPr>
          <w:rFonts w:ascii="Times New Roman" w:hAnsi="Times New Roman" w:cs="Times New Roman"/>
          <w:sz w:val="24"/>
          <w:szCs w:val="24"/>
          <w:lang w:val="en-US"/>
        </w:rPr>
        <w:t xml:space="preserve"> methods.</w:t>
      </w:r>
      <w:bookmarkStart w:id="6" w:name="_Hlk116945820"/>
      <w:r w:rsidR="00F231DF">
        <w:rPr>
          <w:rFonts w:ascii="Times New Roman" w:hAnsi="Times New Roman" w:cs="Times New Roman"/>
          <w:sz w:val="24"/>
          <w:szCs w:val="24"/>
          <w:lang w:val="en-US"/>
        </w:rPr>
        <w:t xml:space="preserve"> </w:t>
      </w:r>
      <w:r w:rsidR="005A6422">
        <w:rPr>
          <w:rFonts w:ascii="Times New Roman" w:hAnsi="Times New Roman" w:cs="Times New Roman"/>
          <w:sz w:val="24"/>
          <w:szCs w:val="24"/>
          <w:lang w:val="en-US"/>
        </w:rPr>
        <w:t xml:space="preserve">They found that </w:t>
      </w:r>
      <w:r w:rsidRPr="00AF24FC">
        <w:rPr>
          <w:rFonts w:ascii="Times New Roman" w:hAnsi="Times New Roman" w:cs="Times New Roman"/>
          <w:sz w:val="24"/>
          <w:szCs w:val="24"/>
          <w:lang w:val="en-US"/>
        </w:rPr>
        <w:t xml:space="preserve">a) </w:t>
      </w:r>
      <w:r w:rsidR="005A6422">
        <w:rPr>
          <w:rFonts w:ascii="Times New Roman" w:hAnsi="Times New Roman" w:cs="Times New Roman"/>
          <w:sz w:val="24"/>
          <w:szCs w:val="24"/>
          <w:lang w:val="en-US"/>
        </w:rPr>
        <w:t>a</w:t>
      </w:r>
      <w:r w:rsidRPr="00AF24FC">
        <w:rPr>
          <w:rFonts w:ascii="Times New Roman" w:hAnsi="Times New Roman" w:cs="Times New Roman"/>
          <w:sz w:val="24"/>
          <w:szCs w:val="24"/>
          <w:lang w:val="en-US"/>
        </w:rPr>
        <w:t xml:space="preserve"> positive or negative shock in fiscal policy significantly increases </w:t>
      </w:r>
      <w:r w:rsidR="00F47CDF">
        <w:rPr>
          <w:rFonts w:ascii="Times New Roman" w:hAnsi="Times New Roman" w:cs="Times New Roman"/>
          <w:sz w:val="24"/>
          <w:szCs w:val="24"/>
          <w:lang w:val="en-US"/>
        </w:rPr>
        <w:t>CO</w:t>
      </w:r>
      <w:r w:rsidR="00F47CDF" w:rsidRPr="00A64B9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e</w:t>
      </w:r>
      <w:r w:rsidR="00F231DF">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in the short</w:t>
      </w:r>
      <w:r w:rsidR="005A6422">
        <w:rPr>
          <w:rFonts w:ascii="Times New Roman" w:hAnsi="Times New Roman" w:cs="Times New Roman"/>
          <w:sz w:val="24"/>
          <w:szCs w:val="24"/>
          <w:lang w:val="en-US"/>
        </w:rPr>
        <w:t>-t</w:t>
      </w:r>
      <w:r w:rsidRPr="00AF24FC">
        <w:rPr>
          <w:rFonts w:ascii="Times New Roman" w:hAnsi="Times New Roman" w:cs="Times New Roman"/>
          <w:sz w:val="24"/>
          <w:szCs w:val="24"/>
          <w:lang w:val="en-US"/>
        </w:rPr>
        <w:t>erm</w:t>
      </w:r>
      <w:bookmarkEnd w:id="6"/>
      <w:r w:rsidR="005A6422">
        <w:rPr>
          <w:rFonts w:ascii="Times New Roman" w:hAnsi="Times New Roman" w:cs="Times New Roman"/>
          <w:sz w:val="24"/>
          <w:szCs w:val="24"/>
          <w:lang w:val="en-US"/>
        </w:rPr>
        <w:t>,</w:t>
      </w:r>
      <w:r w:rsidRPr="00AF24FC">
        <w:rPr>
          <w:rFonts w:ascii="Times New Roman" w:hAnsi="Times New Roman" w:cs="Times New Roman"/>
          <w:sz w:val="24"/>
          <w:szCs w:val="24"/>
          <w:lang w:val="en-US"/>
        </w:rPr>
        <w:t xml:space="preserve"> b) </w:t>
      </w:r>
      <w:r w:rsidR="005A6422">
        <w:rPr>
          <w:rFonts w:ascii="Times New Roman" w:hAnsi="Times New Roman" w:cs="Times New Roman"/>
          <w:sz w:val="24"/>
          <w:szCs w:val="24"/>
          <w:lang w:val="en-US"/>
        </w:rPr>
        <w:t>p</w:t>
      </w:r>
      <w:r w:rsidRPr="00AF24FC">
        <w:rPr>
          <w:rFonts w:ascii="Times New Roman" w:hAnsi="Times New Roman" w:cs="Times New Roman"/>
          <w:sz w:val="24"/>
          <w:szCs w:val="24"/>
          <w:lang w:val="en-US"/>
        </w:rPr>
        <w:t>ositive and negative monetary policy shocks have an increasing effect on short-term carbon emissions</w:t>
      </w:r>
      <w:r w:rsidR="005A6422">
        <w:rPr>
          <w:rFonts w:ascii="Times New Roman" w:hAnsi="Times New Roman" w:cs="Times New Roman"/>
          <w:sz w:val="24"/>
          <w:szCs w:val="24"/>
          <w:lang w:val="en-US"/>
        </w:rPr>
        <w:t>,</w:t>
      </w:r>
      <w:bookmarkStart w:id="7" w:name="_Hlk116945836"/>
      <w:r w:rsidR="0012786C">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 xml:space="preserve">c) </w:t>
      </w:r>
      <w:r w:rsidR="005A6422">
        <w:rPr>
          <w:rFonts w:ascii="Times New Roman" w:hAnsi="Times New Roman" w:cs="Times New Roman"/>
          <w:sz w:val="24"/>
          <w:szCs w:val="24"/>
          <w:lang w:val="en-US"/>
        </w:rPr>
        <w:t>a</w:t>
      </w:r>
      <w:r w:rsidRPr="00AF24FC">
        <w:rPr>
          <w:rFonts w:ascii="Times New Roman" w:hAnsi="Times New Roman" w:cs="Times New Roman"/>
          <w:sz w:val="24"/>
          <w:szCs w:val="24"/>
          <w:lang w:val="en-US"/>
        </w:rPr>
        <w:t xml:space="preserve"> positive or negative shock in fiscal policy significantly reduces long-term environmental pollution</w:t>
      </w:r>
      <w:r w:rsidR="005A6422">
        <w:rPr>
          <w:rFonts w:ascii="Times New Roman" w:hAnsi="Times New Roman" w:cs="Times New Roman"/>
          <w:sz w:val="24"/>
          <w:szCs w:val="24"/>
          <w:lang w:val="en-US"/>
        </w:rPr>
        <w:t>,</w:t>
      </w:r>
      <w:bookmarkEnd w:id="7"/>
      <w:r w:rsidR="0012786C">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 xml:space="preserve">d) </w:t>
      </w:r>
      <w:bookmarkStart w:id="8" w:name="_Hlk116945843"/>
      <w:r w:rsidR="005A6422">
        <w:rPr>
          <w:rFonts w:ascii="Times New Roman" w:hAnsi="Times New Roman" w:cs="Times New Roman"/>
          <w:sz w:val="24"/>
          <w:szCs w:val="24"/>
          <w:lang w:val="en-US"/>
        </w:rPr>
        <w:t>a</w:t>
      </w:r>
      <w:r w:rsidRPr="00AF24FC">
        <w:rPr>
          <w:rFonts w:ascii="Times New Roman" w:hAnsi="Times New Roman" w:cs="Times New Roman"/>
          <w:sz w:val="24"/>
          <w:szCs w:val="24"/>
          <w:lang w:val="en-US"/>
        </w:rPr>
        <w:t xml:space="preserve"> positive monetary policy shock has a reducing effect on long-term carbon emissions.</w:t>
      </w:r>
      <w:bookmarkEnd w:id="8"/>
    </w:p>
    <w:p w:rsidR="00AF24FC" w:rsidRPr="00AF24FC" w:rsidRDefault="00AF24FC" w:rsidP="00AF24FC">
      <w:pPr>
        <w:jc w:val="both"/>
        <w:rPr>
          <w:rFonts w:ascii="Times New Roman" w:hAnsi="Times New Roman" w:cs="Times New Roman"/>
          <w:sz w:val="24"/>
          <w:szCs w:val="24"/>
          <w:lang w:val="en-US"/>
        </w:rPr>
      </w:pPr>
      <w:r w:rsidRPr="00AF24FC">
        <w:rPr>
          <w:rFonts w:ascii="Times New Roman" w:hAnsi="Times New Roman" w:cs="Times New Roman"/>
          <w:sz w:val="24"/>
          <w:szCs w:val="24"/>
          <w:lang w:val="en-US"/>
        </w:rPr>
        <w:t xml:space="preserve">In another study, </w:t>
      </w:r>
      <w:bookmarkStart w:id="9" w:name="_Hlk116945775"/>
      <w:r w:rsidRPr="00AF24FC">
        <w:rPr>
          <w:rFonts w:ascii="Times New Roman" w:hAnsi="Times New Roman" w:cs="Times New Roman"/>
          <w:sz w:val="24"/>
          <w:szCs w:val="24"/>
          <w:lang w:val="en-US"/>
        </w:rPr>
        <w:t xml:space="preserve">Mughal et. al. (2021) </w:t>
      </w:r>
      <w:bookmarkEnd w:id="9"/>
      <w:r w:rsidRPr="00AF24FC">
        <w:rPr>
          <w:rFonts w:ascii="Times New Roman" w:hAnsi="Times New Roman" w:cs="Times New Roman"/>
          <w:sz w:val="24"/>
          <w:szCs w:val="24"/>
          <w:lang w:val="en-US"/>
        </w:rPr>
        <w:t xml:space="preserve">explored the dynamic effects of fiscal and monetary policy on environmental pollution for 5 AESAN countries over the period 1990-2019. </w:t>
      </w:r>
      <w:r w:rsidR="005A6422">
        <w:rPr>
          <w:rFonts w:ascii="Times New Roman" w:hAnsi="Times New Roman" w:cs="Times New Roman"/>
          <w:sz w:val="24"/>
          <w:szCs w:val="24"/>
          <w:lang w:val="en-US"/>
        </w:rPr>
        <w:t xml:space="preserve">They employed </w:t>
      </w:r>
      <w:r w:rsidRPr="00AF24FC">
        <w:rPr>
          <w:rFonts w:ascii="Times New Roman" w:hAnsi="Times New Roman" w:cs="Times New Roman"/>
          <w:sz w:val="24"/>
          <w:szCs w:val="24"/>
          <w:lang w:val="en-US"/>
        </w:rPr>
        <w:t>panel and time series NARDL</w:t>
      </w:r>
      <w:r w:rsidR="00E30FDB">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 xml:space="preserve">The long-run coefficient found by using the panel ARDL reveals that if </w:t>
      </w:r>
      <w:bookmarkStart w:id="10" w:name="_Hlk116945785"/>
      <w:r w:rsidRPr="00AF24FC">
        <w:rPr>
          <w:rFonts w:ascii="Times New Roman" w:hAnsi="Times New Roman" w:cs="Times New Roman"/>
          <w:sz w:val="24"/>
          <w:szCs w:val="24"/>
          <w:lang w:val="en-US"/>
        </w:rPr>
        <w:t>monetary policy is contractionary, CO</w:t>
      </w:r>
      <w:r w:rsidRPr="00AF24FC">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e</w:t>
      </w:r>
      <w:r w:rsidRPr="00AF24FC">
        <w:rPr>
          <w:rFonts w:ascii="Times New Roman" w:hAnsi="Times New Roman" w:cs="Times New Roman"/>
          <w:sz w:val="24"/>
          <w:szCs w:val="24"/>
          <w:lang w:val="en-US"/>
        </w:rPr>
        <w:t xml:space="preserve"> decrease, while expansionary monetary policy increases CO</w:t>
      </w:r>
      <w:r w:rsidRPr="00AF24FC">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e</w:t>
      </w:r>
      <w:bookmarkEnd w:id="10"/>
      <w:r w:rsidRPr="00AF24FC">
        <w:rPr>
          <w:rFonts w:ascii="Times New Roman" w:hAnsi="Times New Roman" w:cs="Times New Roman"/>
          <w:sz w:val="24"/>
          <w:szCs w:val="24"/>
          <w:lang w:val="en-US"/>
        </w:rPr>
        <w:t xml:space="preserve">. </w:t>
      </w:r>
      <w:bookmarkStart w:id="11" w:name="_Hlk116945796"/>
      <w:r w:rsidRPr="00AF24FC">
        <w:rPr>
          <w:rFonts w:ascii="Times New Roman" w:hAnsi="Times New Roman" w:cs="Times New Roman"/>
          <w:sz w:val="24"/>
          <w:szCs w:val="24"/>
          <w:lang w:val="en-US"/>
        </w:rPr>
        <w:t>In addition, in the long run, when monetary and fiscal policies are used together, expansionary fiscal policy increases CO</w:t>
      </w:r>
      <w:r w:rsidRPr="00AF24FC">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e</w:t>
      </w:r>
      <w:r w:rsidRPr="00AF24FC">
        <w:rPr>
          <w:rFonts w:ascii="Times New Roman" w:hAnsi="Times New Roman" w:cs="Times New Roman"/>
          <w:sz w:val="24"/>
          <w:szCs w:val="24"/>
          <w:lang w:val="en-US"/>
        </w:rPr>
        <w:t xml:space="preserve">, while contractionary fiscal policy reduces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AF24FC">
        <w:rPr>
          <w:rFonts w:ascii="Times New Roman" w:hAnsi="Times New Roman" w:cs="Times New Roman"/>
          <w:sz w:val="24"/>
          <w:szCs w:val="24"/>
          <w:lang w:val="en-US"/>
        </w:rPr>
        <w:t xml:space="preserve">in the long run. In the short run, contractionary monetary policy </w:t>
      </w:r>
      <w:r w:rsidRPr="00AF24FC">
        <w:rPr>
          <w:rFonts w:ascii="Times New Roman" w:hAnsi="Times New Roman" w:cs="Times New Roman"/>
          <w:sz w:val="24"/>
          <w:szCs w:val="24"/>
          <w:lang w:val="en-US"/>
        </w:rPr>
        <w:lastRenderedPageBreak/>
        <w:t>increases CO</w:t>
      </w:r>
      <w:r w:rsidRPr="00AF24FC">
        <w:rPr>
          <w:rFonts w:ascii="Times New Roman" w:hAnsi="Times New Roman" w:cs="Times New Roman"/>
          <w:sz w:val="24"/>
          <w:szCs w:val="24"/>
          <w:vertAlign w:val="subscript"/>
          <w:lang w:val="en-US"/>
        </w:rPr>
        <w:t>2</w:t>
      </w:r>
      <w:r w:rsidRPr="00AF24FC">
        <w:rPr>
          <w:rFonts w:ascii="Times New Roman" w:hAnsi="Times New Roman" w:cs="Times New Roman"/>
          <w:sz w:val="24"/>
          <w:szCs w:val="24"/>
          <w:lang w:val="en-US"/>
        </w:rPr>
        <w:t>e, while expansionary fiscal policy increases CO</w:t>
      </w:r>
      <w:r w:rsidRPr="00AF24FC">
        <w:rPr>
          <w:rFonts w:ascii="Times New Roman" w:hAnsi="Times New Roman" w:cs="Times New Roman"/>
          <w:sz w:val="24"/>
          <w:szCs w:val="24"/>
          <w:vertAlign w:val="subscript"/>
          <w:lang w:val="en-US"/>
        </w:rPr>
        <w:t>2</w:t>
      </w:r>
      <w:r w:rsidR="00D608CE">
        <w:rPr>
          <w:rFonts w:ascii="Times New Roman" w:hAnsi="Times New Roman" w:cs="Times New Roman"/>
          <w:sz w:val="24"/>
          <w:szCs w:val="24"/>
          <w:lang w:val="en-US"/>
        </w:rPr>
        <w:t xml:space="preserve">e </w:t>
      </w:r>
      <w:r w:rsidRPr="00AF24FC">
        <w:rPr>
          <w:rFonts w:ascii="Times New Roman" w:hAnsi="Times New Roman" w:cs="Times New Roman"/>
          <w:sz w:val="24"/>
          <w:szCs w:val="24"/>
          <w:lang w:val="en-US"/>
        </w:rPr>
        <w:t xml:space="preserve">in the short run. Finally, the increase in </w:t>
      </w:r>
      <w:r w:rsidR="00DC5176">
        <w:rPr>
          <w:rFonts w:ascii="Times New Roman" w:hAnsi="Times New Roman" w:cs="Times New Roman"/>
          <w:sz w:val="24"/>
          <w:szCs w:val="24"/>
          <w:lang w:val="en-US"/>
        </w:rPr>
        <w:t>GDP</w:t>
      </w:r>
      <w:r w:rsidRPr="00AF24FC">
        <w:rPr>
          <w:rFonts w:ascii="Times New Roman" w:hAnsi="Times New Roman" w:cs="Times New Roman"/>
          <w:sz w:val="24"/>
          <w:szCs w:val="24"/>
          <w:lang w:val="en-US"/>
        </w:rPr>
        <w:t xml:space="preserve"> is driving CO</w:t>
      </w:r>
      <w:r w:rsidRPr="00AF24FC">
        <w:rPr>
          <w:rFonts w:ascii="Times New Roman" w:hAnsi="Times New Roman" w:cs="Times New Roman"/>
          <w:sz w:val="24"/>
          <w:szCs w:val="24"/>
          <w:vertAlign w:val="subscript"/>
          <w:lang w:val="en-US"/>
        </w:rPr>
        <w:t>2</w:t>
      </w:r>
      <w:r w:rsidRPr="00AF24FC">
        <w:rPr>
          <w:rFonts w:ascii="Times New Roman" w:hAnsi="Times New Roman" w:cs="Times New Roman"/>
          <w:sz w:val="24"/>
          <w:szCs w:val="24"/>
          <w:lang w:val="en-US"/>
        </w:rPr>
        <w:t>e higher in the ASEAN region in general.</w:t>
      </w:r>
    </w:p>
    <w:bookmarkEnd w:id="11"/>
    <w:p w:rsidR="00905D8C" w:rsidRPr="00DB24B7" w:rsidRDefault="00AF24FC" w:rsidP="00DB24B7">
      <w:pPr>
        <w:jc w:val="both"/>
        <w:rPr>
          <w:rFonts w:ascii="Times New Roman" w:hAnsi="Times New Roman" w:cs="Times New Roman"/>
          <w:sz w:val="24"/>
          <w:szCs w:val="24"/>
          <w:lang w:val="en-US"/>
        </w:rPr>
      </w:pPr>
      <w:r w:rsidRPr="00AF24FC">
        <w:rPr>
          <w:rFonts w:ascii="Times New Roman" w:hAnsi="Times New Roman" w:cs="Times New Roman"/>
          <w:sz w:val="24"/>
          <w:szCs w:val="24"/>
          <w:lang w:val="en-US"/>
        </w:rPr>
        <w:t xml:space="preserve">Recently, </w:t>
      </w:r>
      <w:bookmarkStart w:id="12" w:name="_Hlk116987639"/>
      <w:r w:rsidRPr="00AF24FC">
        <w:rPr>
          <w:rFonts w:ascii="Times New Roman" w:hAnsi="Times New Roman" w:cs="Times New Roman"/>
          <w:sz w:val="24"/>
          <w:szCs w:val="24"/>
          <w:lang w:val="en-US"/>
        </w:rPr>
        <w:t>Chien et. al. (2021)</w:t>
      </w:r>
      <w:bookmarkEnd w:id="12"/>
      <w:r w:rsidR="00F231DF">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explore</w:t>
      </w:r>
      <w:r w:rsidR="005A6422">
        <w:rPr>
          <w:rFonts w:ascii="Times New Roman" w:hAnsi="Times New Roman" w:cs="Times New Roman"/>
          <w:sz w:val="24"/>
          <w:szCs w:val="24"/>
          <w:lang w:val="en-US"/>
        </w:rPr>
        <w:t>d</w:t>
      </w:r>
      <w:r w:rsidRPr="00AF24FC">
        <w:rPr>
          <w:rFonts w:ascii="Times New Roman" w:hAnsi="Times New Roman" w:cs="Times New Roman"/>
          <w:sz w:val="24"/>
          <w:szCs w:val="24"/>
          <w:lang w:val="en-US"/>
        </w:rPr>
        <w:t xml:space="preserve"> carbon impartiality goal in the USA over the time span of 1970-2015. They </w:t>
      </w:r>
      <w:r w:rsidR="005A6422">
        <w:rPr>
          <w:rFonts w:ascii="Times New Roman" w:hAnsi="Times New Roman" w:cs="Times New Roman"/>
          <w:sz w:val="24"/>
          <w:szCs w:val="24"/>
          <w:lang w:val="en-US"/>
        </w:rPr>
        <w:t>used</w:t>
      </w:r>
      <w:r w:rsidRPr="00AF24FC">
        <w:rPr>
          <w:rFonts w:ascii="Times New Roman" w:hAnsi="Times New Roman" w:cs="Times New Roman"/>
          <w:sz w:val="24"/>
          <w:szCs w:val="24"/>
          <w:lang w:val="en-US"/>
        </w:rPr>
        <w:t xml:space="preserve"> the QARDL methodology. </w:t>
      </w:r>
      <w:r w:rsidR="005A6422">
        <w:rPr>
          <w:rFonts w:ascii="Times New Roman" w:hAnsi="Times New Roman" w:cs="Times New Roman"/>
          <w:sz w:val="24"/>
          <w:szCs w:val="24"/>
          <w:lang w:val="en-US"/>
        </w:rPr>
        <w:t xml:space="preserve">They found that </w:t>
      </w:r>
      <w:r w:rsidRPr="00AF24FC">
        <w:rPr>
          <w:rFonts w:ascii="Times New Roman" w:hAnsi="Times New Roman" w:cs="Times New Roman"/>
          <w:sz w:val="24"/>
          <w:szCs w:val="24"/>
          <w:lang w:val="en-US"/>
        </w:rPr>
        <w:t xml:space="preserve">a) </w:t>
      </w:r>
      <w:r w:rsidR="005A6422">
        <w:rPr>
          <w:rFonts w:ascii="Times New Roman" w:hAnsi="Times New Roman" w:cs="Times New Roman"/>
          <w:sz w:val="24"/>
          <w:szCs w:val="24"/>
          <w:lang w:val="en-US"/>
        </w:rPr>
        <w:t>i</w:t>
      </w:r>
      <w:r w:rsidRPr="00AF24FC">
        <w:rPr>
          <w:rFonts w:ascii="Times New Roman" w:hAnsi="Times New Roman" w:cs="Times New Roman"/>
          <w:sz w:val="24"/>
          <w:szCs w:val="24"/>
          <w:lang w:val="en-US"/>
        </w:rPr>
        <w:t>t has been confirmed that there is a significant negative correlation between the past and lagged values of CO</w:t>
      </w:r>
      <w:r w:rsidRPr="00AF24FC">
        <w:rPr>
          <w:rFonts w:ascii="Times New Roman" w:hAnsi="Times New Roman" w:cs="Times New Roman"/>
          <w:sz w:val="24"/>
          <w:szCs w:val="24"/>
          <w:vertAlign w:val="subscript"/>
          <w:lang w:val="en-US"/>
        </w:rPr>
        <w:t>2</w:t>
      </w:r>
      <w:r w:rsidRPr="00AF24FC">
        <w:rPr>
          <w:rFonts w:ascii="Times New Roman" w:hAnsi="Times New Roman" w:cs="Times New Roman"/>
          <w:sz w:val="24"/>
          <w:szCs w:val="24"/>
          <w:lang w:val="en-US"/>
        </w:rPr>
        <w:t xml:space="preserve">e in the short term and the current and </w:t>
      </w:r>
      <w:r w:rsidR="00AB7869">
        <w:rPr>
          <w:rFonts w:ascii="Times New Roman" w:hAnsi="Times New Roman" w:cs="Times New Roman"/>
          <w:sz w:val="24"/>
          <w:szCs w:val="24"/>
          <w:lang w:val="en-US"/>
        </w:rPr>
        <w:t>lag</w:t>
      </w:r>
      <w:r w:rsidRPr="00AF24FC">
        <w:rPr>
          <w:rFonts w:ascii="Times New Roman" w:hAnsi="Times New Roman" w:cs="Times New Roman"/>
          <w:sz w:val="24"/>
          <w:szCs w:val="24"/>
          <w:lang w:val="en-US"/>
        </w:rPr>
        <w:t xml:space="preserve"> values of CO</w:t>
      </w:r>
      <w:r w:rsidRPr="00AF24FC">
        <w:rPr>
          <w:rFonts w:ascii="Times New Roman" w:hAnsi="Times New Roman" w:cs="Times New Roman"/>
          <w:sz w:val="24"/>
          <w:szCs w:val="24"/>
          <w:vertAlign w:val="subscript"/>
          <w:lang w:val="en-US"/>
        </w:rPr>
        <w:t>2</w:t>
      </w:r>
      <w:r w:rsidRPr="00AF24FC">
        <w:rPr>
          <w:rFonts w:ascii="Times New Roman" w:hAnsi="Times New Roman" w:cs="Times New Roman"/>
          <w:sz w:val="24"/>
          <w:szCs w:val="24"/>
          <w:lang w:val="en-US"/>
        </w:rPr>
        <w:t xml:space="preserve">e b) </w:t>
      </w:r>
      <w:r w:rsidR="009A3CF5">
        <w:rPr>
          <w:rFonts w:ascii="Times New Roman" w:hAnsi="Times New Roman" w:cs="Times New Roman"/>
          <w:sz w:val="24"/>
          <w:szCs w:val="24"/>
          <w:lang w:val="en-US"/>
        </w:rPr>
        <w:t>g</w:t>
      </w:r>
      <w:r w:rsidRPr="00AF24FC">
        <w:rPr>
          <w:rFonts w:ascii="Times New Roman" w:hAnsi="Times New Roman" w:cs="Times New Roman"/>
          <w:sz w:val="24"/>
          <w:szCs w:val="24"/>
          <w:lang w:val="en-US"/>
        </w:rPr>
        <w:t xml:space="preserve">reen growth and its square, ecological innovation and </w:t>
      </w:r>
      <w:bookmarkStart w:id="13" w:name="_Hlk116987651"/>
      <w:r w:rsidRPr="00AF24FC">
        <w:rPr>
          <w:rFonts w:ascii="Times New Roman" w:hAnsi="Times New Roman" w:cs="Times New Roman"/>
          <w:sz w:val="24"/>
          <w:szCs w:val="24"/>
          <w:lang w:val="en-US"/>
        </w:rPr>
        <w:t>environmental taxes have a significant negative impact on determining CO</w:t>
      </w:r>
      <w:r w:rsidRPr="00AF24FC">
        <w:rPr>
          <w:rFonts w:ascii="Times New Roman" w:hAnsi="Times New Roman" w:cs="Times New Roman"/>
          <w:sz w:val="24"/>
          <w:szCs w:val="24"/>
          <w:vertAlign w:val="subscript"/>
          <w:lang w:val="en-US"/>
        </w:rPr>
        <w:t>2</w:t>
      </w:r>
      <w:r w:rsidRPr="00AF24FC">
        <w:rPr>
          <w:rFonts w:ascii="Times New Roman" w:hAnsi="Times New Roman" w:cs="Times New Roman"/>
          <w:sz w:val="24"/>
          <w:szCs w:val="24"/>
          <w:lang w:val="en-US"/>
        </w:rPr>
        <w:t xml:space="preserve">e </w:t>
      </w:r>
      <w:bookmarkEnd w:id="13"/>
      <w:r w:rsidRPr="00AF24FC">
        <w:rPr>
          <w:rFonts w:ascii="Times New Roman" w:hAnsi="Times New Roman" w:cs="Times New Roman"/>
          <w:sz w:val="24"/>
          <w:szCs w:val="24"/>
          <w:lang w:val="en-US"/>
        </w:rPr>
        <w:t>in the USA in the long run</w:t>
      </w:r>
      <w:r w:rsidR="005A6422">
        <w:rPr>
          <w:rFonts w:ascii="Times New Roman" w:hAnsi="Times New Roman" w:cs="Times New Roman"/>
          <w:sz w:val="24"/>
          <w:szCs w:val="24"/>
          <w:lang w:val="en-US"/>
        </w:rPr>
        <w:t>,</w:t>
      </w:r>
      <w:r w:rsidRPr="00AF24FC">
        <w:rPr>
          <w:rFonts w:ascii="Times New Roman" w:hAnsi="Times New Roman" w:cs="Times New Roman"/>
          <w:sz w:val="24"/>
          <w:szCs w:val="24"/>
          <w:lang w:val="en-US"/>
        </w:rPr>
        <w:t xml:space="preserve"> c) </w:t>
      </w:r>
      <w:r w:rsidR="009A3CF5">
        <w:rPr>
          <w:rFonts w:ascii="Times New Roman" w:hAnsi="Times New Roman" w:cs="Times New Roman"/>
          <w:sz w:val="24"/>
          <w:szCs w:val="24"/>
          <w:lang w:val="en-US"/>
        </w:rPr>
        <w:t>g</w:t>
      </w:r>
      <w:r w:rsidRPr="00AF24FC">
        <w:rPr>
          <w:rFonts w:ascii="Times New Roman" w:hAnsi="Times New Roman" w:cs="Times New Roman"/>
          <w:sz w:val="24"/>
          <w:szCs w:val="24"/>
          <w:lang w:val="en-US"/>
        </w:rPr>
        <w:t xml:space="preserve">reen growth and its square, ecological innovation, environmental taxes and renewable energy play a vital role in </w:t>
      </w:r>
      <w:r w:rsidRPr="00E813D1">
        <w:rPr>
          <w:rFonts w:ascii="Times New Roman" w:hAnsi="Times New Roman" w:cs="Times New Roman"/>
          <w:sz w:val="24"/>
          <w:szCs w:val="24"/>
          <w:lang w:val="en-US"/>
        </w:rPr>
        <w:t xml:space="preserve">reducing haze pollution such as </w:t>
      </w:r>
      <w:r w:rsidR="00E813D1" w:rsidRPr="00E813D1">
        <w:rPr>
          <w:rFonts w:ascii="Times New Roman" w:hAnsi="Times New Roman" w:cs="Times New Roman"/>
          <w:sz w:val="24"/>
          <w:szCs w:val="24"/>
          <w:lang w:val="en-US"/>
        </w:rPr>
        <w:t xml:space="preserve">air pollution (etc. </w:t>
      </w:r>
      <w:r w:rsidRPr="00E813D1">
        <w:rPr>
          <w:rFonts w:ascii="Times New Roman" w:hAnsi="Times New Roman" w:cs="Times New Roman"/>
          <w:sz w:val="24"/>
          <w:szCs w:val="24"/>
          <w:lang w:val="en-US"/>
        </w:rPr>
        <w:t>PM2.5</w:t>
      </w:r>
      <w:r w:rsidR="00E813D1" w:rsidRPr="00E813D1">
        <w:rPr>
          <w:rFonts w:ascii="Times New Roman" w:hAnsi="Times New Roman" w:cs="Times New Roman"/>
          <w:sz w:val="24"/>
          <w:szCs w:val="24"/>
          <w:lang w:val="en-US"/>
        </w:rPr>
        <w:t>)</w:t>
      </w:r>
      <w:r w:rsidR="00DC2DA1">
        <w:rPr>
          <w:rFonts w:ascii="Times New Roman" w:hAnsi="Times New Roman" w:cs="Times New Roman"/>
          <w:sz w:val="24"/>
          <w:szCs w:val="24"/>
          <w:lang w:val="en-US"/>
        </w:rPr>
        <w:t xml:space="preserve">. </w:t>
      </w:r>
      <w:r w:rsidRPr="00AF24FC">
        <w:rPr>
          <w:rFonts w:ascii="Times New Roman" w:hAnsi="Times New Roman" w:cs="Times New Roman"/>
          <w:sz w:val="24"/>
          <w:szCs w:val="24"/>
          <w:lang w:val="en-US"/>
        </w:rPr>
        <w:t>Kamal et. al. (2021</w:t>
      </w:r>
      <w:r w:rsidR="00F80329">
        <w:rPr>
          <w:rFonts w:ascii="Times New Roman" w:hAnsi="Times New Roman" w:cs="Times New Roman"/>
          <w:sz w:val="24"/>
          <w:szCs w:val="24"/>
          <w:lang w:val="en-US"/>
        </w:rPr>
        <w:t>)</w:t>
      </w:r>
      <w:r w:rsidRPr="00AF24FC">
        <w:rPr>
          <w:rFonts w:ascii="Times New Roman" w:hAnsi="Times New Roman" w:cs="Times New Roman"/>
          <w:sz w:val="24"/>
          <w:szCs w:val="24"/>
          <w:lang w:val="en-US"/>
        </w:rPr>
        <w:t xml:space="preserve"> discussed the issue of fiscal policy, financial development and foreign direct investment in the era of globalization at the point of reducing environmental pollution, and a panel data set was used for the period 1990-2016 in 105 countries. </w:t>
      </w:r>
      <w:r w:rsidR="00F80329">
        <w:rPr>
          <w:rFonts w:ascii="Times New Roman" w:hAnsi="Times New Roman" w:cs="Times New Roman"/>
          <w:sz w:val="24"/>
          <w:szCs w:val="24"/>
          <w:lang w:val="en-US"/>
        </w:rPr>
        <w:t xml:space="preserve">They used </w:t>
      </w:r>
      <w:r w:rsidR="0018687C">
        <w:rPr>
          <w:rFonts w:ascii="Times New Roman" w:hAnsi="Times New Roman" w:cs="Times New Roman"/>
          <w:sz w:val="24"/>
          <w:szCs w:val="24"/>
          <w:lang w:val="en-US"/>
        </w:rPr>
        <w:t>panel long-run coefficient estimations approaches and p</w:t>
      </w:r>
      <w:r w:rsidRPr="00AF24FC">
        <w:rPr>
          <w:rFonts w:ascii="Times New Roman" w:hAnsi="Times New Roman" w:cs="Times New Roman"/>
          <w:sz w:val="24"/>
          <w:szCs w:val="24"/>
          <w:lang w:val="en-US"/>
        </w:rPr>
        <w:t xml:space="preserve">anel </w:t>
      </w:r>
      <w:r w:rsidR="0018687C">
        <w:rPr>
          <w:rFonts w:ascii="Times New Roman" w:hAnsi="Times New Roman" w:cs="Times New Roman"/>
          <w:sz w:val="24"/>
          <w:szCs w:val="24"/>
          <w:lang w:val="en-US"/>
        </w:rPr>
        <w:t>t</w:t>
      </w:r>
      <w:r w:rsidRPr="00AF24FC">
        <w:rPr>
          <w:rFonts w:ascii="Times New Roman" w:hAnsi="Times New Roman" w:cs="Times New Roman"/>
          <w:sz w:val="24"/>
          <w:szCs w:val="24"/>
          <w:lang w:val="en-US"/>
        </w:rPr>
        <w:t xml:space="preserve">hreshold </w:t>
      </w:r>
      <w:r w:rsidR="0018687C">
        <w:rPr>
          <w:rFonts w:ascii="Times New Roman" w:hAnsi="Times New Roman" w:cs="Times New Roman"/>
          <w:sz w:val="24"/>
          <w:szCs w:val="24"/>
          <w:lang w:val="en-US"/>
        </w:rPr>
        <w:t>r</w:t>
      </w:r>
      <w:r w:rsidRPr="00AF24FC">
        <w:rPr>
          <w:rFonts w:ascii="Times New Roman" w:hAnsi="Times New Roman" w:cs="Times New Roman"/>
          <w:sz w:val="24"/>
          <w:szCs w:val="24"/>
          <w:lang w:val="en-US"/>
        </w:rPr>
        <w:t xml:space="preserve">egression. </w:t>
      </w:r>
      <w:r w:rsidR="00F80329">
        <w:rPr>
          <w:rFonts w:ascii="Times New Roman" w:hAnsi="Times New Roman" w:cs="Times New Roman"/>
          <w:sz w:val="24"/>
          <w:szCs w:val="24"/>
          <w:lang w:val="en-US"/>
        </w:rPr>
        <w:t xml:space="preserve">They </w:t>
      </w:r>
      <w:r w:rsidRPr="00AF24FC">
        <w:rPr>
          <w:rFonts w:ascii="Times New Roman" w:hAnsi="Times New Roman" w:cs="Times New Roman"/>
          <w:sz w:val="24"/>
          <w:szCs w:val="24"/>
          <w:lang w:val="en-US"/>
        </w:rPr>
        <w:t xml:space="preserve">clearly stated </w:t>
      </w:r>
      <w:r w:rsidR="00F80329">
        <w:rPr>
          <w:rFonts w:ascii="Times New Roman" w:hAnsi="Times New Roman" w:cs="Times New Roman"/>
          <w:sz w:val="24"/>
          <w:szCs w:val="24"/>
          <w:lang w:val="en-US"/>
        </w:rPr>
        <w:t>that</w:t>
      </w:r>
      <w:r w:rsidRPr="00AF24FC">
        <w:rPr>
          <w:rFonts w:ascii="Times New Roman" w:hAnsi="Times New Roman" w:cs="Times New Roman"/>
          <w:sz w:val="24"/>
          <w:szCs w:val="24"/>
          <w:lang w:val="en-US"/>
        </w:rPr>
        <w:t xml:space="preserve"> a) </w:t>
      </w:r>
      <w:r w:rsidR="00F80329">
        <w:rPr>
          <w:rFonts w:ascii="Times New Roman" w:hAnsi="Times New Roman" w:cs="Times New Roman"/>
          <w:sz w:val="24"/>
          <w:szCs w:val="24"/>
          <w:lang w:val="en-US"/>
        </w:rPr>
        <w:t>b</w:t>
      </w:r>
      <w:r w:rsidRPr="00AF24FC">
        <w:rPr>
          <w:rFonts w:ascii="Times New Roman" w:hAnsi="Times New Roman" w:cs="Times New Roman"/>
          <w:sz w:val="24"/>
          <w:szCs w:val="24"/>
          <w:lang w:val="en-US"/>
        </w:rPr>
        <w:t>oth the expansionary fiscal policy and globalization seriously increase environmental pollution</w:t>
      </w:r>
      <w:r w:rsidR="00F80329">
        <w:rPr>
          <w:rFonts w:ascii="Times New Roman" w:hAnsi="Times New Roman" w:cs="Times New Roman"/>
          <w:sz w:val="24"/>
          <w:szCs w:val="24"/>
          <w:lang w:val="en-US"/>
        </w:rPr>
        <w:t>,</w:t>
      </w:r>
      <w:r w:rsidRPr="00AF24FC">
        <w:rPr>
          <w:rFonts w:ascii="Times New Roman" w:hAnsi="Times New Roman" w:cs="Times New Roman"/>
          <w:sz w:val="24"/>
          <w:szCs w:val="24"/>
          <w:lang w:val="en-US"/>
        </w:rPr>
        <w:t xml:space="preserve"> b) </w:t>
      </w:r>
      <w:r w:rsidR="00F80329">
        <w:rPr>
          <w:rFonts w:ascii="Times New Roman" w:hAnsi="Times New Roman" w:cs="Times New Roman"/>
          <w:sz w:val="24"/>
          <w:szCs w:val="24"/>
          <w:lang w:val="en-US"/>
        </w:rPr>
        <w:t>t</w:t>
      </w:r>
      <w:r w:rsidRPr="00AF24FC">
        <w:rPr>
          <w:rFonts w:ascii="Times New Roman" w:hAnsi="Times New Roman" w:cs="Times New Roman"/>
          <w:sz w:val="24"/>
          <w:szCs w:val="24"/>
          <w:lang w:val="en-US"/>
        </w:rPr>
        <w:t>he applied results demonstrate the validity of the pollution haven hypothesis (PHV)</w:t>
      </w:r>
      <w:r w:rsidR="00F80329">
        <w:rPr>
          <w:rFonts w:ascii="Times New Roman" w:hAnsi="Times New Roman" w:cs="Times New Roman"/>
          <w:sz w:val="24"/>
          <w:szCs w:val="24"/>
          <w:lang w:val="en-US"/>
        </w:rPr>
        <w:t>,c</w:t>
      </w:r>
      <w:r w:rsidRPr="00AF24FC">
        <w:rPr>
          <w:rFonts w:ascii="Times New Roman" w:hAnsi="Times New Roman" w:cs="Times New Roman"/>
          <w:sz w:val="24"/>
          <w:szCs w:val="24"/>
          <w:lang w:val="en-US"/>
        </w:rPr>
        <w:t xml:space="preserve">) </w:t>
      </w:r>
      <w:r w:rsidR="00F80329">
        <w:rPr>
          <w:rFonts w:ascii="Times New Roman" w:hAnsi="Times New Roman" w:cs="Times New Roman"/>
          <w:sz w:val="24"/>
          <w:szCs w:val="24"/>
          <w:lang w:val="en-US"/>
        </w:rPr>
        <w:t>i</w:t>
      </w:r>
      <w:r w:rsidRPr="00AF24FC">
        <w:rPr>
          <w:rFonts w:ascii="Times New Roman" w:hAnsi="Times New Roman" w:cs="Times New Roman"/>
          <w:sz w:val="24"/>
          <w:szCs w:val="24"/>
          <w:lang w:val="en-US"/>
        </w:rPr>
        <w:t>n the context of the countries covered in the study, it has been revealed by panel threshold regression that a certain fiscal policy is maintained even if it is at a minimum level.</w:t>
      </w:r>
      <w:r w:rsidR="00DD17D4">
        <w:rPr>
          <w:rFonts w:ascii="Times New Roman" w:hAnsi="Times New Roman" w:cs="Times New Roman"/>
          <w:sz w:val="24"/>
          <w:szCs w:val="24"/>
          <w:lang w:val="en-US"/>
        </w:rPr>
        <w:t xml:space="preserve"> Finally, </w:t>
      </w:r>
      <w:bookmarkStart w:id="14" w:name="_Hlk116987674"/>
      <w:r w:rsidR="00176556" w:rsidRPr="00176556">
        <w:rPr>
          <w:rFonts w:ascii="Times New Roman" w:hAnsi="Times New Roman" w:cs="Times New Roman"/>
          <w:sz w:val="24"/>
          <w:szCs w:val="24"/>
          <w:lang w:val="en-US"/>
        </w:rPr>
        <w:t xml:space="preserve">Özmen </w:t>
      </w:r>
      <w:r w:rsidR="00631C13">
        <w:rPr>
          <w:rFonts w:ascii="Times New Roman" w:hAnsi="Times New Roman" w:cs="Times New Roman"/>
          <w:sz w:val="24"/>
          <w:szCs w:val="24"/>
          <w:lang w:val="en-US"/>
        </w:rPr>
        <w:t>et. al.</w:t>
      </w:r>
      <w:r w:rsidR="00176556" w:rsidRPr="00176556">
        <w:rPr>
          <w:rFonts w:ascii="Times New Roman" w:hAnsi="Times New Roman" w:cs="Times New Roman"/>
          <w:sz w:val="24"/>
          <w:szCs w:val="24"/>
          <w:lang w:val="en-US"/>
        </w:rPr>
        <w:t xml:space="preserve"> (2022) </w:t>
      </w:r>
      <w:bookmarkEnd w:id="14"/>
      <w:r w:rsidR="00176556">
        <w:rPr>
          <w:rFonts w:ascii="Times New Roman" w:hAnsi="Times New Roman" w:cs="Times New Roman"/>
          <w:sz w:val="24"/>
          <w:szCs w:val="24"/>
          <w:lang w:val="en-US"/>
        </w:rPr>
        <w:t>tackled</w:t>
      </w:r>
      <w:r w:rsidR="00176556" w:rsidRPr="00176556">
        <w:rPr>
          <w:rFonts w:ascii="Times New Roman" w:hAnsi="Times New Roman" w:cs="Times New Roman"/>
          <w:sz w:val="24"/>
          <w:szCs w:val="24"/>
          <w:lang w:val="en-US"/>
        </w:rPr>
        <w:t xml:space="preserve"> the developed countries that applied carbon tax for the first time as a sample to investigate the </w:t>
      </w:r>
      <w:r w:rsidR="0005479E">
        <w:rPr>
          <w:rFonts w:ascii="Times New Roman" w:hAnsi="Times New Roman" w:cs="Times New Roman"/>
          <w:sz w:val="24"/>
          <w:szCs w:val="24"/>
          <w:lang w:val="en-US"/>
        </w:rPr>
        <w:t>effect</w:t>
      </w:r>
      <w:r w:rsidR="00176556" w:rsidRPr="00176556">
        <w:rPr>
          <w:rFonts w:ascii="Times New Roman" w:hAnsi="Times New Roman" w:cs="Times New Roman"/>
          <w:sz w:val="24"/>
          <w:szCs w:val="24"/>
          <w:lang w:val="en-US"/>
        </w:rPr>
        <w:t xml:space="preserve"> of fiscal policies on carbon emissions.</w:t>
      </w:r>
      <w:r w:rsidR="00F231DF">
        <w:rPr>
          <w:rFonts w:ascii="Times New Roman" w:hAnsi="Times New Roman" w:cs="Times New Roman"/>
          <w:sz w:val="24"/>
          <w:szCs w:val="24"/>
          <w:lang w:val="en-US"/>
        </w:rPr>
        <w:t xml:space="preserve"> </w:t>
      </w:r>
      <w:r w:rsidR="00905D8C" w:rsidRPr="00905D8C">
        <w:rPr>
          <w:rFonts w:ascii="Times New Roman" w:hAnsi="Times New Roman" w:cs="Times New Roman"/>
          <w:sz w:val="24"/>
          <w:szCs w:val="24"/>
          <w:lang w:val="en-US"/>
        </w:rPr>
        <w:t xml:space="preserve">The findings of the empirical </w:t>
      </w:r>
      <w:r w:rsidR="00707D5A">
        <w:rPr>
          <w:rFonts w:ascii="Times New Roman" w:hAnsi="Times New Roman" w:cs="Times New Roman"/>
          <w:sz w:val="24"/>
          <w:szCs w:val="24"/>
          <w:lang w:val="en-US"/>
        </w:rPr>
        <w:t>case</w:t>
      </w:r>
      <w:r w:rsidR="00905D8C" w:rsidRPr="00905D8C">
        <w:rPr>
          <w:rFonts w:ascii="Times New Roman" w:hAnsi="Times New Roman" w:cs="Times New Roman"/>
          <w:sz w:val="24"/>
          <w:szCs w:val="24"/>
          <w:lang w:val="en-US"/>
        </w:rPr>
        <w:t>, in which they applied a panel approach to the annual data from 1972 to 2017, showed that fiscal policy in the sample does not provide any evidence of the expected mitigating effects on environmental pollution in any country.</w:t>
      </w:r>
      <w:r w:rsidR="00F231DF">
        <w:rPr>
          <w:rFonts w:ascii="Times New Roman" w:hAnsi="Times New Roman" w:cs="Times New Roman"/>
          <w:sz w:val="24"/>
          <w:szCs w:val="24"/>
          <w:lang w:val="en-US"/>
        </w:rPr>
        <w:t xml:space="preserve"> </w:t>
      </w:r>
      <w:r w:rsidR="00905D8C" w:rsidRPr="00905D8C">
        <w:rPr>
          <w:rFonts w:ascii="Times New Roman" w:hAnsi="Times New Roman" w:cs="Times New Roman"/>
          <w:sz w:val="24"/>
          <w:szCs w:val="24"/>
          <w:lang w:val="en-US"/>
        </w:rPr>
        <w:t>Their principal findings show that revenue policy only funds government expenditure in these countries.</w:t>
      </w:r>
    </w:p>
    <w:p w:rsidR="00940DBB" w:rsidRPr="00DD17D4" w:rsidRDefault="00940DBB" w:rsidP="00DD17D4">
      <w:pPr>
        <w:pStyle w:val="ListeParagraf"/>
        <w:numPr>
          <w:ilvl w:val="0"/>
          <w:numId w:val="1"/>
        </w:numPr>
        <w:autoSpaceDE w:val="0"/>
        <w:autoSpaceDN w:val="0"/>
        <w:adjustRightInd w:val="0"/>
        <w:spacing w:after="0" w:line="240" w:lineRule="auto"/>
        <w:rPr>
          <w:rFonts w:ascii="Times New Roman" w:hAnsi="Times New Roman"/>
          <w:b/>
          <w:bCs/>
          <w:sz w:val="24"/>
          <w:szCs w:val="24"/>
          <w:lang w:val="en-US"/>
        </w:rPr>
      </w:pPr>
      <w:r w:rsidRPr="00DD17D4">
        <w:rPr>
          <w:rFonts w:ascii="Times New Roman" w:hAnsi="Times New Roman"/>
          <w:b/>
          <w:bCs/>
          <w:sz w:val="24"/>
          <w:szCs w:val="24"/>
          <w:lang w:val="en-US"/>
        </w:rPr>
        <w:t>Data</w:t>
      </w:r>
      <w:r w:rsidR="00157814" w:rsidRPr="00DD17D4">
        <w:rPr>
          <w:rFonts w:ascii="Times New Roman" w:hAnsi="Times New Roman"/>
          <w:b/>
          <w:bCs/>
          <w:sz w:val="24"/>
          <w:szCs w:val="24"/>
          <w:lang w:val="en-US"/>
        </w:rPr>
        <w:t xml:space="preserve"> and </w:t>
      </w:r>
      <w:r w:rsidR="00AE7F62" w:rsidRPr="00DD17D4">
        <w:rPr>
          <w:rFonts w:ascii="Times New Roman" w:hAnsi="Times New Roman"/>
          <w:b/>
          <w:bCs/>
          <w:sz w:val="24"/>
          <w:szCs w:val="24"/>
          <w:lang w:val="en-US"/>
        </w:rPr>
        <w:t>methods</w:t>
      </w:r>
    </w:p>
    <w:p w:rsidR="009C00DC" w:rsidRPr="00F62C59" w:rsidRDefault="009A2493" w:rsidP="0014456C">
      <w:pPr>
        <w:widowControl w:val="0"/>
        <w:autoSpaceDE w:val="0"/>
        <w:autoSpaceDN w:val="0"/>
        <w:adjustRightInd w:val="0"/>
        <w:spacing w:before="120" w:after="120" w:line="276" w:lineRule="auto"/>
        <w:jc w:val="both"/>
        <w:rPr>
          <w:rFonts w:ascii="Times New Roman" w:hAnsi="Times New Roman"/>
          <w:sz w:val="24"/>
          <w:szCs w:val="24"/>
          <w:lang w:val="en-US"/>
        </w:rPr>
      </w:pPr>
      <w:r>
        <w:rPr>
          <w:rFonts w:ascii="Times New Roman" w:hAnsi="Times New Roman"/>
          <w:sz w:val="24"/>
          <w:szCs w:val="24"/>
          <w:lang w:val="en-US"/>
        </w:rPr>
        <w:t>W</w:t>
      </w:r>
      <w:r w:rsidR="00F62C59" w:rsidRPr="00F62C59">
        <w:rPr>
          <w:rFonts w:ascii="Times New Roman" w:hAnsi="Times New Roman"/>
          <w:sz w:val="24"/>
          <w:szCs w:val="24"/>
          <w:lang w:val="en-US"/>
        </w:rPr>
        <w:t xml:space="preserve">e investigated the effects of monetary and fiscal policies on per capita </w:t>
      </w:r>
      <w:r w:rsidR="00F47CDF">
        <w:rPr>
          <w:rFonts w:ascii="Times New Roman" w:hAnsi="Times New Roman"/>
          <w:sz w:val="24"/>
          <w:szCs w:val="24"/>
          <w:lang w:val="en-US"/>
        </w:rPr>
        <w:t>CO</w:t>
      </w:r>
      <w:r w:rsidR="00F47CDF" w:rsidRPr="00F47CDF">
        <w:rPr>
          <w:rFonts w:ascii="Times New Roman" w:hAnsi="Times New Roman"/>
          <w:sz w:val="24"/>
          <w:szCs w:val="24"/>
          <w:vertAlign w:val="subscript"/>
          <w:lang w:val="en-US"/>
        </w:rPr>
        <w:t>2</w:t>
      </w:r>
      <w:r w:rsidR="00F47CDF">
        <w:rPr>
          <w:rFonts w:ascii="Times New Roman" w:hAnsi="Times New Roman"/>
          <w:sz w:val="24"/>
          <w:szCs w:val="24"/>
          <w:lang w:val="en-US"/>
        </w:rPr>
        <w:t xml:space="preserve">e </w:t>
      </w:r>
      <w:r w:rsidR="00F62C59" w:rsidRPr="00F62C59">
        <w:rPr>
          <w:rFonts w:ascii="Times New Roman" w:hAnsi="Times New Roman"/>
          <w:sz w:val="24"/>
          <w:szCs w:val="24"/>
          <w:lang w:val="en-US"/>
        </w:rPr>
        <w:t>with the help of 1990-2019 annual data from the U</w:t>
      </w:r>
      <w:r w:rsidR="0089384A">
        <w:rPr>
          <w:rFonts w:ascii="Times New Roman" w:hAnsi="Times New Roman"/>
          <w:sz w:val="24"/>
          <w:szCs w:val="24"/>
          <w:lang w:val="en-US"/>
        </w:rPr>
        <w:t>SA</w:t>
      </w:r>
      <w:r w:rsidR="00F62C59" w:rsidRPr="00F62C59">
        <w:rPr>
          <w:rFonts w:ascii="Times New Roman" w:hAnsi="Times New Roman"/>
          <w:sz w:val="24"/>
          <w:szCs w:val="24"/>
          <w:lang w:val="en-US"/>
        </w:rPr>
        <w:t xml:space="preserve">, through the model developed by Ullah </w:t>
      </w:r>
      <w:r w:rsidR="005E53D5">
        <w:rPr>
          <w:rFonts w:ascii="Times New Roman" w:hAnsi="Times New Roman"/>
          <w:sz w:val="24"/>
          <w:szCs w:val="24"/>
          <w:lang w:val="en-US"/>
        </w:rPr>
        <w:t>et. al</w:t>
      </w:r>
      <w:r w:rsidR="00F62C59" w:rsidRPr="00F62C59">
        <w:rPr>
          <w:rFonts w:ascii="Times New Roman" w:hAnsi="Times New Roman"/>
          <w:sz w:val="24"/>
          <w:szCs w:val="24"/>
          <w:lang w:val="en-US"/>
        </w:rPr>
        <w:t xml:space="preserve"> (2021). The functional definition of this model is as follows;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8A0D36" w:rsidTr="008A0D36">
        <w:tc>
          <w:tcPr>
            <w:tcW w:w="4531" w:type="dxa"/>
          </w:tcPr>
          <w:p w:rsidR="008A0D36" w:rsidRDefault="008A0D36" w:rsidP="008A0D36">
            <w:pPr>
              <w:widowControl w:val="0"/>
              <w:autoSpaceDE w:val="0"/>
              <w:autoSpaceDN w:val="0"/>
              <w:adjustRightInd w:val="0"/>
              <w:spacing w:line="276" w:lineRule="auto"/>
              <w:jc w:val="both"/>
              <w:rPr>
                <w:rFonts w:ascii="Times New Roman" w:hAnsi="Times New Roman"/>
                <w:sz w:val="24"/>
                <w:szCs w:val="24"/>
              </w:rPr>
            </w:pPr>
            <w:r w:rsidRPr="007A777E">
              <w:rPr>
                <w:rFonts w:ascii="Times New Roman" w:hAnsi="Times New Roman"/>
                <w:sz w:val="24"/>
                <w:szCs w:val="24"/>
              </w:rPr>
              <w:t>C</w:t>
            </w:r>
            <w:r w:rsidR="00245E6B">
              <w:rPr>
                <w:rFonts w:ascii="Times New Roman" w:hAnsi="Times New Roman"/>
                <w:sz w:val="24"/>
                <w:szCs w:val="24"/>
              </w:rPr>
              <w:t>O</w:t>
            </w:r>
            <w:r w:rsidRPr="00AA7AEE">
              <w:rPr>
                <w:rFonts w:ascii="Times New Roman" w:hAnsi="Times New Roman"/>
                <w:sz w:val="24"/>
                <w:szCs w:val="24"/>
                <w:vertAlign w:val="subscript"/>
              </w:rPr>
              <w:t>2</w:t>
            </w:r>
            <w:r w:rsidRPr="007A777E">
              <w:rPr>
                <w:rFonts w:ascii="Times New Roman" w:hAnsi="Times New Roman"/>
                <w:sz w:val="24"/>
                <w:szCs w:val="24"/>
              </w:rPr>
              <w:t>=f</w:t>
            </w:r>
            <w:r w:rsidR="0012786C">
              <w:rPr>
                <w:rFonts w:ascii="Times New Roman" w:hAnsi="Times New Roman"/>
                <w:sz w:val="24"/>
                <w:szCs w:val="24"/>
              </w:rPr>
              <w:t xml:space="preserve"> </w:t>
            </w:r>
            <w:r w:rsidRPr="007A777E">
              <w:rPr>
                <w:rFonts w:ascii="Times New Roman" w:hAnsi="Times New Roman"/>
                <w:sz w:val="24"/>
                <w:szCs w:val="24"/>
              </w:rPr>
              <w:t>(</w:t>
            </w:r>
            <w:r w:rsidR="00DC5176">
              <w:rPr>
                <w:rFonts w:ascii="Times New Roman" w:hAnsi="Times New Roman"/>
                <w:sz w:val="24"/>
                <w:szCs w:val="24"/>
              </w:rPr>
              <w:t>G</w:t>
            </w:r>
            <w:r w:rsidR="0089384A">
              <w:rPr>
                <w:rFonts w:ascii="Times New Roman" w:hAnsi="Times New Roman"/>
                <w:sz w:val="24"/>
                <w:szCs w:val="24"/>
              </w:rPr>
              <w:t>p</w:t>
            </w:r>
            <w:r w:rsidR="00DC5176">
              <w:rPr>
                <w:rFonts w:ascii="Times New Roman" w:hAnsi="Times New Roman"/>
                <w:sz w:val="24"/>
                <w:szCs w:val="24"/>
              </w:rPr>
              <w:t>p</w:t>
            </w:r>
            <w:r w:rsidRPr="007A777E">
              <w:rPr>
                <w:rFonts w:ascii="Times New Roman" w:hAnsi="Times New Roman"/>
                <w:sz w:val="24"/>
                <w:szCs w:val="24"/>
              </w:rPr>
              <w:t>, Gex, Tr, Dr)</w:t>
            </w:r>
          </w:p>
        </w:tc>
        <w:tc>
          <w:tcPr>
            <w:tcW w:w="4531" w:type="dxa"/>
          </w:tcPr>
          <w:p w:rsidR="008A0D36" w:rsidRDefault="008A0D36" w:rsidP="008A0D36">
            <w:pPr>
              <w:widowControl w:val="0"/>
              <w:autoSpaceDE w:val="0"/>
              <w:autoSpaceDN w:val="0"/>
              <w:adjustRightInd w:val="0"/>
              <w:spacing w:line="276" w:lineRule="auto"/>
              <w:jc w:val="right"/>
              <w:rPr>
                <w:rFonts w:ascii="Times New Roman" w:hAnsi="Times New Roman"/>
                <w:sz w:val="24"/>
                <w:szCs w:val="24"/>
              </w:rPr>
            </w:pPr>
            <w:r>
              <w:rPr>
                <w:rFonts w:ascii="Times New Roman" w:hAnsi="Times New Roman"/>
                <w:sz w:val="24"/>
                <w:szCs w:val="24"/>
              </w:rPr>
              <w:t>(1)</w:t>
            </w:r>
          </w:p>
        </w:tc>
      </w:tr>
    </w:tbl>
    <w:p w:rsidR="00935A25" w:rsidRPr="00935A25" w:rsidRDefault="001D4456" w:rsidP="00935A25">
      <w:pPr>
        <w:widowControl w:val="0"/>
        <w:autoSpaceDE w:val="0"/>
        <w:autoSpaceDN w:val="0"/>
        <w:adjustRightInd w:val="0"/>
        <w:spacing w:before="120" w:after="120" w:line="276" w:lineRule="auto"/>
        <w:jc w:val="both"/>
        <w:rPr>
          <w:rFonts w:ascii="Times New Roman" w:hAnsi="Times New Roman"/>
          <w:sz w:val="24"/>
          <w:szCs w:val="24"/>
          <w:lang w:val="en-US"/>
        </w:rPr>
      </w:pPr>
      <w:r w:rsidRPr="001D4456">
        <w:rPr>
          <w:rFonts w:ascii="Times New Roman" w:hAnsi="Times New Roman"/>
          <w:sz w:val="24"/>
          <w:szCs w:val="24"/>
          <w:lang w:val="en-US"/>
        </w:rPr>
        <w:t>With this functional definition, C</w:t>
      </w:r>
      <w:r w:rsidR="00245E6B">
        <w:rPr>
          <w:rFonts w:ascii="Times New Roman" w:hAnsi="Times New Roman"/>
          <w:sz w:val="24"/>
          <w:szCs w:val="24"/>
          <w:lang w:val="en-US"/>
        </w:rPr>
        <w:t>O</w:t>
      </w:r>
      <w:r w:rsidRPr="00245E6B">
        <w:rPr>
          <w:rFonts w:ascii="Times New Roman" w:hAnsi="Times New Roman"/>
          <w:sz w:val="24"/>
          <w:szCs w:val="24"/>
          <w:vertAlign w:val="subscript"/>
          <w:lang w:val="en-US"/>
        </w:rPr>
        <w:t>2</w:t>
      </w:r>
      <w:r w:rsidR="00B63476">
        <w:rPr>
          <w:rFonts w:ascii="Times New Roman" w:hAnsi="Times New Roman"/>
          <w:sz w:val="24"/>
          <w:szCs w:val="24"/>
          <w:lang w:val="en-US"/>
        </w:rPr>
        <w:t>e</w:t>
      </w:r>
      <w:r w:rsidRPr="001D4456">
        <w:rPr>
          <w:rFonts w:ascii="Times New Roman" w:hAnsi="Times New Roman"/>
          <w:sz w:val="24"/>
          <w:szCs w:val="24"/>
          <w:lang w:val="en-US"/>
        </w:rPr>
        <w:t xml:space="preserve"> represents metric tons of carbon dioxide emissions per capita, Gpp represents </w:t>
      </w:r>
      <w:r w:rsidR="00245E6B">
        <w:rPr>
          <w:rFonts w:ascii="Times New Roman" w:hAnsi="Times New Roman"/>
          <w:sz w:val="24"/>
          <w:szCs w:val="24"/>
          <w:lang w:val="en-US"/>
        </w:rPr>
        <w:t>US</w:t>
      </w:r>
      <w:r w:rsidRPr="001D4456">
        <w:rPr>
          <w:rFonts w:ascii="Times New Roman" w:hAnsi="Times New Roman"/>
          <w:sz w:val="24"/>
          <w:szCs w:val="24"/>
          <w:lang w:val="en-US"/>
        </w:rPr>
        <w:t xml:space="preserve"> dollars per capita, Gex represents the ratio of total government expenditures to </w:t>
      </w:r>
      <w:r w:rsidR="00DC5176">
        <w:rPr>
          <w:rFonts w:ascii="Times New Roman" w:hAnsi="Times New Roman"/>
          <w:sz w:val="24"/>
          <w:szCs w:val="24"/>
          <w:lang w:val="en-US"/>
        </w:rPr>
        <w:t>Gdp</w:t>
      </w:r>
      <w:r w:rsidRPr="001D4456">
        <w:rPr>
          <w:rFonts w:ascii="Times New Roman" w:hAnsi="Times New Roman"/>
          <w:sz w:val="24"/>
          <w:szCs w:val="24"/>
          <w:lang w:val="en-US"/>
        </w:rPr>
        <w:t xml:space="preserve">, Tr represents the ratio of total tax revenues to </w:t>
      </w:r>
      <w:r w:rsidR="00DC5176">
        <w:rPr>
          <w:rFonts w:ascii="Times New Roman" w:hAnsi="Times New Roman"/>
          <w:sz w:val="24"/>
          <w:szCs w:val="24"/>
          <w:lang w:val="en-US"/>
        </w:rPr>
        <w:t>Gdp</w:t>
      </w:r>
      <w:r w:rsidRPr="001D4456">
        <w:rPr>
          <w:rFonts w:ascii="Times New Roman" w:hAnsi="Times New Roman"/>
          <w:sz w:val="24"/>
          <w:szCs w:val="24"/>
          <w:lang w:val="en-US"/>
        </w:rPr>
        <w:t xml:space="preserve">, and finally, the </w:t>
      </w:r>
      <w:r w:rsidR="00231CD9">
        <w:rPr>
          <w:rFonts w:ascii="Times New Roman" w:hAnsi="Times New Roman"/>
          <w:sz w:val="24"/>
          <w:szCs w:val="24"/>
          <w:lang w:val="en-US"/>
        </w:rPr>
        <w:t xml:space="preserve">Dr is </w:t>
      </w:r>
      <w:r w:rsidRPr="001D4456">
        <w:rPr>
          <w:rFonts w:ascii="Times New Roman" w:hAnsi="Times New Roman"/>
          <w:sz w:val="24"/>
          <w:szCs w:val="24"/>
          <w:lang w:val="en-US"/>
        </w:rPr>
        <w:t>discount rates of the USA.</w:t>
      </w:r>
      <w:r w:rsidR="00F231DF">
        <w:rPr>
          <w:rFonts w:ascii="Times New Roman" w:hAnsi="Times New Roman"/>
          <w:sz w:val="24"/>
          <w:szCs w:val="24"/>
          <w:lang w:val="en-US"/>
        </w:rPr>
        <w:t xml:space="preserve"> </w:t>
      </w:r>
      <w:r w:rsidR="00935A25" w:rsidRPr="00935A25">
        <w:rPr>
          <w:rFonts w:ascii="Times New Roman" w:hAnsi="Times New Roman"/>
          <w:sz w:val="24"/>
          <w:szCs w:val="24"/>
          <w:lang w:val="en-US"/>
        </w:rPr>
        <w:t>Table 1 shows the definition, abbreviations, and sources of our data.</w:t>
      </w:r>
    </w:p>
    <w:p w:rsidR="000F3F5F" w:rsidRPr="00910A10" w:rsidRDefault="00936398" w:rsidP="000F3F5F">
      <w:pPr>
        <w:widowControl w:val="0"/>
        <w:autoSpaceDE w:val="0"/>
        <w:autoSpaceDN w:val="0"/>
        <w:adjustRightInd w:val="0"/>
        <w:spacing w:after="0" w:line="276" w:lineRule="auto"/>
        <w:jc w:val="both"/>
        <w:rPr>
          <w:rFonts w:ascii="Times New Roman" w:hAnsi="Times New Roman"/>
          <w:sz w:val="24"/>
          <w:szCs w:val="24"/>
          <w:lang w:val="en-US"/>
        </w:rPr>
      </w:pPr>
      <w:r w:rsidRPr="00910A10">
        <w:rPr>
          <w:rFonts w:ascii="Times New Roman" w:hAnsi="Times New Roman"/>
          <w:sz w:val="24"/>
          <w:szCs w:val="24"/>
          <w:lang w:val="en-US"/>
        </w:rPr>
        <w:t xml:space="preserve">Table 1: Series, abbreviations and </w:t>
      </w:r>
      <w:r w:rsidR="00A9735B">
        <w:rPr>
          <w:rFonts w:ascii="Times New Roman" w:hAnsi="Times New Roman"/>
          <w:sz w:val="24"/>
          <w:szCs w:val="24"/>
          <w:lang w:val="en-US"/>
        </w:rPr>
        <w:t>resource</w:t>
      </w:r>
    </w:p>
    <w:tbl>
      <w:tblPr>
        <w:tblStyle w:val="TabloKlavuzu"/>
        <w:tblW w:w="0" w:type="auto"/>
        <w:jc w:val="center"/>
        <w:tblLook w:val="04A0"/>
      </w:tblPr>
      <w:tblGrid>
        <w:gridCol w:w="2279"/>
        <w:gridCol w:w="4374"/>
        <w:gridCol w:w="823"/>
        <w:gridCol w:w="1586"/>
      </w:tblGrid>
      <w:tr w:rsidR="00E83A46" w:rsidRPr="00E83A46" w:rsidTr="00303BBF">
        <w:trPr>
          <w:jc w:val="center"/>
        </w:trPr>
        <w:tc>
          <w:tcPr>
            <w:tcW w:w="2279" w:type="dxa"/>
          </w:tcPr>
          <w:p w:rsidR="00E83A46" w:rsidRPr="00B509E1" w:rsidRDefault="00936398" w:rsidP="00E83A46">
            <w:pPr>
              <w:widowControl w:val="0"/>
              <w:autoSpaceDE w:val="0"/>
              <w:autoSpaceDN w:val="0"/>
              <w:adjustRightInd w:val="0"/>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Series</w:t>
            </w:r>
          </w:p>
        </w:tc>
        <w:tc>
          <w:tcPr>
            <w:tcW w:w="4374" w:type="dxa"/>
          </w:tcPr>
          <w:p w:rsidR="00E83A46" w:rsidRPr="00E83A46" w:rsidRDefault="00A9735B" w:rsidP="00E83A46">
            <w:pPr>
              <w:widowControl w:val="0"/>
              <w:autoSpaceDE w:val="0"/>
              <w:autoSpaceDN w:val="0"/>
              <w:adjustRightInd w:val="0"/>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Definitions</w:t>
            </w:r>
          </w:p>
        </w:tc>
        <w:tc>
          <w:tcPr>
            <w:tcW w:w="823" w:type="dxa"/>
          </w:tcPr>
          <w:p w:rsidR="00E83A46" w:rsidRPr="00E83A46" w:rsidRDefault="00936398" w:rsidP="00E83A46">
            <w:pPr>
              <w:widowControl w:val="0"/>
              <w:autoSpaceDE w:val="0"/>
              <w:autoSpaceDN w:val="0"/>
              <w:adjustRightInd w:val="0"/>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Abbr.</w:t>
            </w:r>
          </w:p>
        </w:tc>
        <w:tc>
          <w:tcPr>
            <w:tcW w:w="1586" w:type="dxa"/>
          </w:tcPr>
          <w:p w:rsidR="00E83A46" w:rsidRPr="00E83A46" w:rsidRDefault="00936398" w:rsidP="00E83A46">
            <w:pPr>
              <w:widowControl w:val="0"/>
              <w:autoSpaceDE w:val="0"/>
              <w:autoSpaceDN w:val="0"/>
              <w:adjustRightInd w:val="0"/>
              <w:spacing w:line="276"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Sources</w:t>
            </w:r>
          </w:p>
        </w:tc>
      </w:tr>
      <w:tr w:rsidR="00E83A46" w:rsidRPr="00E83A46" w:rsidTr="00303BBF">
        <w:trPr>
          <w:jc w:val="center"/>
        </w:trPr>
        <w:tc>
          <w:tcPr>
            <w:tcW w:w="2279" w:type="dxa"/>
          </w:tcPr>
          <w:p w:rsidR="00E83A46" w:rsidRPr="00E83A46" w:rsidRDefault="00407A4F" w:rsidP="00E83A46">
            <w:pPr>
              <w:widowControl w:val="0"/>
              <w:autoSpaceDE w:val="0"/>
              <w:autoSpaceDN w:val="0"/>
              <w:adjustRightInd w:val="0"/>
              <w:spacing w:line="276" w:lineRule="auto"/>
              <w:jc w:val="both"/>
              <w:rPr>
                <w:rFonts w:ascii="Times New Roman" w:hAnsi="Times New Roman" w:cs="Times New Roman"/>
                <w:sz w:val="20"/>
                <w:szCs w:val="20"/>
                <w:vertAlign w:val="subscript"/>
                <w:lang w:val="en-US"/>
              </w:rPr>
            </w:pPr>
            <w:r w:rsidRPr="00407A4F">
              <w:rPr>
                <w:rFonts w:ascii="Times New Roman" w:hAnsi="Times New Roman" w:cs="Times New Roman"/>
                <w:sz w:val="20"/>
                <w:szCs w:val="20"/>
                <w:lang w:val="en-US"/>
              </w:rPr>
              <w:t>Carbon dioxide emissions</w:t>
            </w:r>
          </w:p>
        </w:tc>
        <w:tc>
          <w:tcPr>
            <w:tcW w:w="4374"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CO</w:t>
            </w:r>
            <w:r w:rsidRPr="00407A4F">
              <w:rPr>
                <w:rFonts w:ascii="Times New Roman" w:hAnsi="Times New Roman" w:cs="Times New Roman"/>
                <w:sz w:val="20"/>
                <w:szCs w:val="20"/>
                <w:vertAlign w:val="subscript"/>
                <w:lang w:val="en-US"/>
              </w:rPr>
              <w:t>2</w:t>
            </w:r>
            <w:r w:rsidRPr="00E83A46">
              <w:rPr>
                <w:rFonts w:ascii="Times New Roman" w:hAnsi="Times New Roman" w:cs="Times New Roman"/>
                <w:sz w:val="20"/>
                <w:szCs w:val="20"/>
                <w:lang w:val="en-US"/>
              </w:rPr>
              <w:t xml:space="preserve"> emissions (metric tons per capita)</w:t>
            </w:r>
          </w:p>
        </w:tc>
        <w:tc>
          <w:tcPr>
            <w:tcW w:w="823"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CO</w:t>
            </w:r>
            <w:r w:rsidRPr="00407A4F">
              <w:rPr>
                <w:rFonts w:ascii="Times New Roman" w:hAnsi="Times New Roman" w:cs="Times New Roman"/>
                <w:sz w:val="20"/>
                <w:szCs w:val="20"/>
                <w:vertAlign w:val="subscript"/>
                <w:lang w:val="en-US"/>
              </w:rPr>
              <w:t>2</w:t>
            </w:r>
          </w:p>
        </w:tc>
        <w:tc>
          <w:tcPr>
            <w:tcW w:w="1586" w:type="dxa"/>
          </w:tcPr>
          <w:p w:rsidR="00E83A46" w:rsidRPr="00E83A46" w:rsidRDefault="00E83A46" w:rsidP="0012786C">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World</w:t>
            </w:r>
            <w:r w:rsidR="0012786C">
              <w:rPr>
                <w:rFonts w:ascii="Times New Roman" w:hAnsi="Times New Roman" w:cs="Times New Roman"/>
                <w:sz w:val="20"/>
                <w:szCs w:val="20"/>
                <w:lang w:val="en-US"/>
              </w:rPr>
              <w:t xml:space="preserve"> B</w:t>
            </w:r>
            <w:r w:rsidRPr="00E83A46">
              <w:rPr>
                <w:rFonts w:ascii="Times New Roman" w:hAnsi="Times New Roman" w:cs="Times New Roman"/>
                <w:sz w:val="20"/>
                <w:szCs w:val="20"/>
                <w:lang w:val="en-US"/>
              </w:rPr>
              <w:t>ank</w:t>
            </w:r>
          </w:p>
        </w:tc>
      </w:tr>
      <w:tr w:rsidR="00E83A46" w:rsidRPr="00E83A46" w:rsidTr="00303BBF">
        <w:trPr>
          <w:jc w:val="center"/>
        </w:trPr>
        <w:tc>
          <w:tcPr>
            <w:tcW w:w="2279"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Gross domestic product</w:t>
            </w:r>
          </w:p>
        </w:tc>
        <w:tc>
          <w:tcPr>
            <w:tcW w:w="4374"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Gross Domest</w:t>
            </w:r>
            <w:r>
              <w:rPr>
                <w:rFonts w:ascii="Times New Roman" w:hAnsi="Times New Roman" w:cs="Times New Roman"/>
                <w:sz w:val="20"/>
                <w:szCs w:val="20"/>
                <w:lang w:val="en-US"/>
              </w:rPr>
              <w:t>i</w:t>
            </w:r>
            <w:r w:rsidRPr="00E83A46">
              <w:rPr>
                <w:rFonts w:ascii="Times New Roman" w:hAnsi="Times New Roman" w:cs="Times New Roman"/>
                <w:sz w:val="20"/>
                <w:szCs w:val="20"/>
                <w:lang w:val="en-US"/>
              </w:rPr>
              <w:t xml:space="preserve">c Product </w:t>
            </w:r>
            <w:r w:rsidRPr="009C00DC">
              <w:rPr>
                <w:rFonts w:ascii="Times New Roman" w:hAnsi="Times New Roman" w:cs="Times New Roman"/>
                <w:sz w:val="20"/>
                <w:szCs w:val="20"/>
                <w:lang w:val="en-US"/>
              </w:rPr>
              <w:t>(</w:t>
            </w:r>
            <w:r w:rsidR="00DC5176">
              <w:rPr>
                <w:rFonts w:ascii="Times New Roman" w:hAnsi="Times New Roman" w:cs="Times New Roman"/>
                <w:sz w:val="20"/>
                <w:szCs w:val="20"/>
                <w:lang w:val="en-US"/>
              </w:rPr>
              <w:t>G</w:t>
            </w:r>
            <w:r w:rsidR="00A6355B">
              <w:rPr>
                <w:rFonts w:ascii="Times New Roman" w:hAnsi="Times New Roman" w:cs="Times New Roman"/>
                <w:sz w:val="20"/>
                <w:szCs w:val="20"/>
                <w:lang w:val="en-US"/>
              </w:rPr>
              <w:t>dp</w:t>
            </w:r>
            <w:r w:rsidRPr="009C00DC">
              <w:rPr>
                <w:rFonts w:ascii="Times New Roman" w:hAnsi="Times New Roman" w:cs="Times New Roman"/>
                <w:sz w:val="20"/>
                <w:szCs w:val="20"/>
                <w:lang w:val="en-US"/>
              </w:rPr>
              <w:t>)Total, US dollars/capita</w:t>
            </w:r>
          </w:p>
        </w:tc>
        <w:tc>
          <w:tcPr>
            <w:tcW w:w="823"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Gpp</w:t>
            </w:r>
          </w:p>
        </w:tc>
        <w:tc>
          <w:tcPr>
            <w:tcW w:w="1586"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OECD data</w:t>
            </w:r>
          </w:p>
        </w:tc>
      </w:tr>
      <w:tr w:rsidR="00E83A46" w:rsidRPr="00E83A46" w:rsidTr="00303BBF">
        <w:trPr>
          <w:jc w:val="center"/>
        </w:trPr>
        <w:tc>
          <w:tcPr>
            <w:tcW w:w="2279"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General government spending</w:t>
            </w:r>
          </w:p>
        </w:tc>
        <w:tc>
          <w:tcPr>
            <w:tcW w:w="4374"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Total, %</w:t>
            </w:r>
            <w:r w:rsidR="00DC5176">
              <w:rPr>
                <w:rFonts w:ascii="Times New Roman" w:hAnsi="Times New Roman" w:cs="Times New Roman"/>
                <w:sz w:val="20"/>
                <w:szCs w:val="20"/>
                <w:lang w:val="en-US"/>
              </w:rPr>
              <w:t>G</w:t>
            </w:r>
            <w:r w:rsidR="007A0FDB">
              <w:rPr>
                <w:rFonts w:ascii="Times New Roman" w:hAnsi="Times New Roman" w:cs="Times New Roman"/>
                <w:sz w:val="20"/>
                <w:szCs w:val="20"/>
                <w:lang w:val="en-US"/>
              </w:rPr>
              <w:t>dp</w:t>
            </w:r>
          </w:p>
        </w:tc>
        <w:tc>
          <w:tcPr>
            <w:tcW w:w="823"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Gex</w:t>
            </w:r>
          </w:p>
        </w:tc>
        <w:tc>
          <w:tcPr>
            <w:tcW w:w="1586"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OECD data</w:t>
            </w:r>
          </w:p>
        </w:tc>
      </w:tr>
      <w:tr w:rsidR="00E83A46" w:rsidRPr="00E83A46" w:rsidTr="00303BBF">
        <w:trPr>
          <w:jc w:val="center"/>
        </w:trPr>
        <w:tc>
          <w:tcPr>
            <w:tcW w:w="2279"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General government revenue</w:t>
            </w:r>
          </w:p>
        </w:tc>
        <w:tc>
          <w:tcPr>
            <w:tcW w:w="4374"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Total, %</w:t>
            </w:r>
            <w:r w:rsidR="00DC5176">
              <w:rPr>
                <w:rFonts w:ascii="Times New Roman" w:hAnsi="Times New Roman" w:cs="Times New Roman"/>
                <w:sz w:val="20"/>
                <w:szCs w:val="20"/>
                <w:lang w:val="en-US"/>
              </w:rPr>
              <w:t>G</w:t>
            </w:r>
            <w:r w:rsidR="007A0FDB">
              <w:rPr>
                <w:rFonts w:ascii="Times New Roman" w:hAnsi="Times New Roman" w:cs="Times New Roman"/>
                <w:sz w:val="20"/>
                <w:szCs w:val="20"/>
                <w:lang w:val="en-US"/>
              </w:rPr>
              <w:t>dp</w:t>
            </w:r>
          </w:p>
        </w:tc>
        <w:tc>
          <w:tcPr>
            <w:tcW w:w="823"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Tr</w:t>
            </w:r>
          </w:p>
        </w:tc>
        <w:tc>
          <w:tcPr>
            <w:tcW w:w="1586"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OECD data</w:t>
            </w:r>
          </w:p>
        </w:tc>
      </w:tr>
      <w:tr w:rsidR="00E83A46" w:rsidRPr="00E83A46" w:rsidTr="00303BBF">
        <w:trPr>
          <w:jc w:val="center"/>
        </w:trPr>
        <w:tc>
          <w:tcPr>
            <w:tcW w:w="2279"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lastRenderedPageBreak/>
              <w:t>Discount rate</w:t>
            </w:r>
          </w:p>
        </w:tc>
        <w:tc>
          <w:tcPr>
            <w:tcW w:w="4374" w:type="dxa"/>
          </w:tcPr>
          <w:p w:rsidR="00E83A46" w:rsidRPr="00E83A46" w:rsidRDefault="00A9735B"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Interest</w:t>
            </w:r>
            <w:r w:rsidR="00E83A46" w:rsidRPr="00E83A46">
              <w:rPr>
                <w:rFonts w:ascii="Times New Roman" w:hAnsi="Times New Roman" w:cs="Times New Roman"/>
                <w:sz w:val="20"/>
                <w:szCs w:val="20"/>
                <w:lang w:val="en-US"/>
              </w:rPr>
              <w:t xml:space="preserve"> Rate, Discount Rate for </w:t>
            </w:r>
            <w:r w:rsidR="001D6C50">
              <w:rPr>
                <w:rFonts w:ascii="Times New Roman" w:hAnsi="Times New Roman" w:cs="Times New Roman"/>
                <w:sz w:val="20"/>
                <w:szCs w:val="20"/>
                <w:lang w:val="en-US"/>
              </w:rPr>
              <w:t>USA</w:t>
            </w:r>
            <w:r w:rsidR="00E83A46" w:rsidRPr="00E83A46">
              <w:rPr>
                <w:rFonts w:ascii="Times New Roman" w:hAnsi="Times New Roman" w:cs="Times New Roman"/>
                <w:sz w:val="20"/>
                <w:szCs w:val="20"/>
                <w:lang w:val="en-US"/>
              </w:rPr>
              <w:t>, Percent per Annum</w:t>
            </w:r>
          </w:p>
        </w:tc>
        <w:tc>
          <w:tcPr>
            <w:tcW w:w="823"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Dr</w:t>
            </w:r>
          </w:p>
        </w:tc>
        <w:tc>
          <w:tcPr>
            <w:tcW w:w="1586" w:type="dxa"/>
          </w:tcPr>
          <w:p w:rsidR="00E83A46" w:rsidRPr="00E83A46" w:rsidRDefault="00E83A46" w:rsidP="00E83A46">
            <w:pPr>
              <w:widowControl w:val="0"/>
              <w:autoSpaceDE w:val="0"/>
              <w:autoSpaceDN w:val="0"/>
              <w:adjustRightInd w:val="0"/>
              <w:spacing w:line="276" w:lineRule="auto"/>
              <w:jc w:val="both"/>
              <w:rPr>
                <w:rFonts w:ascii="Times New Roman" w:hAnsi="Times New Roman" w:cs="Times New Roman"/>
                <w:sz w:val="20"/>
                <w:szCs w:val="20"/>
                <w:lang w:val="en-US"/>
              </w:rPr>
            </w:pPr>
            <w:r w:rsidRPr="00E83A46">
              <w:rPr>
                <w:rFonts w:ascii="Times New Roman" w:hAnsi="Times New Roman" w:cs="Times New Roman"/>
                <w:sz w:val="20"/>
                <w:szCs w:val="20"/>
                <w:lang w:val="en-US"/>
              </w:rPr>
              <w:t>Federal Reserve Economic Data</w:t>
            </w:r>
          </w:p>
        </w:tc>
      </w:tr>
    </w:tbl>
    <w:p w:rsidR="007A777E" w:rsidRPr="00E734B3" w:rsidRDefault="00303BBF" w:rsidP="008A0D36">
      <w:pPr>
        <w:widowControl w:val="0"/>
        <w:autoSpaceDE w:val="0"/>
        <w:autoSpaceDN w:val="0"/>
        <w:adjustRightInd w:val="0"/>
        <w:spacing w:before="120" w:after="120" w:line="276" w:lineRule="auto"/>
        <w:jc w:val="both"/>
        <w:rPr>
          <w:rFonts w:ascii="Times New Roman" w:hAnsi="Times New Roman"/>
          <w:sz w:val="24"/>
          <w:szCs w:val="24"/>
          <w:lang w:val="en-US"/>
        </w:rPr>
      </w:pPr>
      <w:r w:rsidRPr="00E734B3">
        <w:rPr>
          <w:rFonts w:ascii="Times New Roman" w:hAnsi="Times New Roman"/>
          <w:sz w:val="24"/>
          <w:szCs w:val="24"/>
          <w:lang w:val="en-US"/>
        </w:rPr>
        <w:t>Based on the functional definition above, we adapt the model in which our variables are as follows: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55"/>
        <w:gridCol w:w="1507"/>
      </w:tblGrid>
      <w:tr w:rsidR="008A0D36" w:rsidRPr="0055522C" w:rsidTr="008A0D36">
        <w:tc>
          <w:tcPr>
            <w:tcW w:w="7555" w:type="dxa"/>
          </w:tcPr>
          <w:p w:rsidR="008A0D36" w:rsidRPr="0055522C" w:rsidRDefault="007E7679" w:rsidP="001B4E06">
            <w:pPr>
              <w:widowControl w:val="0"/>
              <w:autoSpaceDE w:val="0"/>
              <w:autoSpaceDN w:val="0"/>
              <w:adjustRightInd w:val="0"/>
              <w:spacing w:before="120" w:after="120" w:line="276" w:lineRule="auto"/>
              <w:rPr>
                <w:rFonts w:ascii="Times New Roman" w:eastAsiaTheme="minorHAnsi" w:hAnsi="Times New Roman" w:cs="Times New Roman"/>
                <w:color w:val="131413"/>
                <w:sz w:val="20"/>
                <w:szCs w:val="20"/>
                <w:lang w:eastAsia="en-US"/>
              </w:rPr>
            </w:pPr>
            <m:oMathPara>
              <m:oMathParaPr>
                <m:jc m:val="left"/>
              </m:oMathParaPr>
              <m:oMath>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lnCO</m:t>
                    </m:r>
                  </m:e>
                  <m:sub>
                    <m:r>
                      <w:rPr>
                        <w:rFonts w:ascii="Cambria Math" w:eastAsiaTheme="minorHAnsi" w:hAnsi="Cambria Math" w:cs="Times New Roman"/>
                        <w:color w:val="131413"/>
                        <w:sz w:val="20"/>
                        <w:szCs w:val="20"/>
                        <w:lang w:eastAsia="en-US"/>
                      </w:rPr>
                      <m:t>2,t</m:t>
                    </m:r>
                  </m:sub>
                </m:sSub>
                <m:r>
                  <w:rPr>
                    <w:rFonts w:ascii="Cambria Math" w:eastAsiaTheme="minorHAnsi" w:hAnsi="Cambria Math" w:cs="Times New Roman"/>
                    <w:color w:val="131413"/>
                    <w:sz w:val="20"/>
                    <w:szCs w:val="20"/>
                    <w:lang w:eastAsia="en-US"/>
                  </w:rPr>
                  <m:t>=</m:t>
                </m:r>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m:t>
                    </m:r>
                  </m:e>
                  <m:sub>
                    <m:r>
                      <w:rPr>
                        <w:rFonts w:ascii="Cambria Math" w:eastAsiaTheme="minorHAnsi" w:hAnsi="Cambria Math" w:cs="Times New Roman"/>
                        <w:color w:val="131413"/>
                        <w:sz w:val="20"/>
                        <w:szCs w:val="20"/>
                        <w:lang w:eastAsia="en-US"/>
                      </w:rPr>
                      <m:t>0</m:t>
                    </m:r>
                  </m:sub>
                </m:sSub>
                <m:r>
                  <w:rPr>
                    <w:rFonts w:ascii="Cambria Math" w:eastAsiaTheme="minorHAnsi" w:hAnsi="Cambria Math" w:cs="Times New Roman"/>
                    <w:color w:val="131413"/>
                    <w:sz w:val="20"/>
                    <w:szCs w:val="20"/>
                    <w:lang w:eastAsia="en-US"/>
                  </w:rPr>
                  <m:t>+</m:t>
                </m:r>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β</m:t>
                    </m:r>
                  </m:e>
                  <m:sub>
                    <m:r>
                      <w:rPr>
                        <w:rFonts w:ascii="Cambria Math" w:eastAsiaTheme="minorHAnsi" w:hAnsi="Cambria Math" w:cs="Times New Roman"/>
                        <w:color w:val="131413"/>
                        <w:sz w:val="20"/>
                        <w:szCs w:val="20"/>
                        <w:lang w:eastAsia="en-US"/>
                      </w:rPr>
                      <m:t>1</m:t>
                    </m:r>
                  </m:sub>
                </m:sSub>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lnGpp</m:t>
                    </m:r>
                  </m:e>
                  <m:sub>
                    <m:r>
                      <w:rPr>
                        <w:rFonts w:ascii="Cambria Math" w:eastAsiaTheme="minorHAnsi" w:hAnsi="Cambria Math" w:cs="Times New Roman"/>
                        <w:color w:val="131413"/>
                        <w:sz w:val="20"/>
                        <w:szCs w:val="20"/>
                        <w:lang w:eastAsia="en-US"/>
                      </w:rPr>
                      <m:t>t</m:t>
                    </m:r>
                  </m:sub>
                </m:sSub>
                <m:r>
                  <w:rPr>
                    <w:rFonts w:ascii="Cambria Math" w:eastAsiaTheme="minorHAnsi" w:hAnsi="Cambria Math" w:cs="Times New Roman"/>
                    <w:color w:val="131413"/>
                    <w:sz w:val="20"/>
                    <w:szCs w:val="20"/>
                    <w:lang w:eastAsia="en-US"/>
                  </w:rPr>
                  <m:t>+</m:t>
                </m:r>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β</m:t>
                    </m:r>
                  </m:e>
                  <m:sub>
                    <m:r>
                      <w:rPr>
                        <w:rFonts w:ascii="Cambria Math" w:eastAsiaTheme="minorHAnsi" w:hAnsi="Cambria Math" w:cs="Times New Roman"/>
                        <w:color w:val="131413"/>
                        <w:sz w:val="20"/>
                        <w:szCs w:val="20"/>
                        <w:lang w:eastAsia="en-US"/>
                      </w:rPr>
                      <m:t>2</m:t>
                    </m:r>
                  </m:sub>
                </m:sSub>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lnGex</m:t>
                    </m:r>
                  </m:e>
                  <m:sub>
                    <m:r>
                      <w:rPr>
                        <w:rFonts w:ascii="Cambria Math" w:eastAsiaTheme="minorHAnsi" w:hAnsi="Cambria Math" w:cs="Times New Roman"/>
                        <w:color w:val="131413"/>
                        <w:sz w:val="20"/>
                        <w:szCs w:val="20"/>
                        <w:lang w:eastAsia="en-US"/>
                      </w:rPr>
                      <m:t>t</m:t>
                    </m:r>
                  </m:sub>
                </m:sSub>
                <m:r>
                  <w:rPr>
                    <w:rFonts w:ascii="Cambria Math" w:eastAsiaTheme="minorHAnsi" w:hAnsi="Cambria Math" w:cs="Times New Roman"/>
                    <w:color w:val="131413"/>
                    <w:sz w:val="20"/>
                    <w:szCs w:val="20"/>
                    <w:lang w:eastAsia="en-US"/>
                  </w:rPr>
                  <m:t>+</m:t>
                </m:r>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β</m:t>
                    </m:r>
                  </m:e>
                  <m:sub>
                    <m:r>
                      <w:rPr>
                        <w:rFonts w:ascii="Cambria Math" w:eastAsiaTheme="minorHAnsi" w:hAnsi="Cambria Math" w:cs="Times New Roman"/>
                        <w:color w:val="131413"/>
                        <w:sz w:val="20"/>
                        <w:szCs w:val="20"/>
                        <w:lang w:eastAsia="en-US"/>
                      </w:rPr>
                      <m:t>3</m:t>
                    </m:r>
                  </m:sub>
                </m:sSub>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lnTr</m:t>
                    </m:r>
                  </m:e>
                  <m:sub>
                    <m:r>
                      <w:rPr>
                        <w:rFonts w:ascii="Cambria Math" w:eastAsiaTheme="minorHAnsi" w:hAnsi="Cambria Math" w:cs="Times New Roman"/>
                        <w:color w:val="131413"/>
                        <w:sz w:val="20"/>
                        <w:szCs w:val="20"/>
                        <w:lang w:eastAsia="en-US"/>
                      </w:rPr>
                      <m:t>t</m:t>
                    </m:r>
                  </m:sub>
                </m:sSub>
                <m:r>
                  <w:rPr>
                    <w:rFonts w:ascii="Cambria Math" w:eastAsiaTheme="minorHAnsi" w:hAnsi="Cambria Math" w:cs="Times New Roman"/>
                    <w:color w:val="131413"/>
                    <w:sz w:val="20"/>
                    <w:szCs w:val="20"/>
                    <w:lang w:eastAsia="en-US"/>
                  </w:rPr>
                  <m:t>+</m:t>
                </m:r>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β</m:t>
                    </m:r>
                  </m:e>
                  <m:sub>
                    <m:r>
                      <w:rPr>
                        <w:rFonts w:ascii="Cambria Math" w:eastAsiaTheme="minorHAnsi" w:hAnsi="Cambria Math" w:cs="Times New Roman"/>
                        <w:color w:val="131413"/>
                        <w:sz w:val="20"/>
                        <w:szCs w:val="20"/>
                        <w:lang w:eastAsia="en-US"/>
                      </w:rPr>
                      <m:t>4</m:t>
                    </m:r>
                  </m:sub>
                </m:sSub>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lnDr</m:t>
                    </m:r>
                  </m:e>
                  <m:sub>
                    <m:r>
                      <w:rPr>
                        <w:rFonts w:ascii="Cambria Math" w:eastAsiaTheme="minorHAnsi" w:hAnsi="Cambria Math" w:cs="Times New Roman"/>
                        <w:color w:val="131413"/>
                        <w:sz w:val="20"/>
                        <w:szCs w:val="20"/>
                        <w:lang w:eastAsia="en-US"/>
                      </w:rPr>
                      <m:t>t</m:t>
                    </m:r>
                  </m:sub>
                </m:sSub>
                <m:r>
                  <w:rPr>
                    <w:rFonts w:ascii="Cambria Math" w:eastAsiaTheme="minorHAnsi" w:hAnsi="Cambria Math" w:cs="Times New Roman"/>
                    <w:color w:val="131413"/>
                    <w:sz w:val="20"/>
                    <w:szCs w:val="20"/>
                    <w:lang w:eastAsia="en-US"/>
                  </w:rPr>
                  <m:t>+</m:t>
                </m:r>
                <m:sSub>
                  <m:sSubPr>
                    <m:ctrlPr>
                      <w:rPr>
                        <w:rFonts w:ascii="Cambria Math" w:eastAsiaTheme="minorHAnsi" w:hAnsi="Cambria Math" w:cs="Times New Roman"/>
                        <w:i/>
                        <w:color w:val="131413"/>
                        <w:sz w:val="20"/>
                        <w:szCs w:val="20"/>
                        <w:lang w:eastAsia="en-US"/>
                      </w:rPr>
                    </m:ctrlPr>
                  </m:sSubPr>
                  <m:e>
                    <m:r>
                      <w:rPr>
                        <w:rFonts w:ascii="Cambria Math" w:eastAsiaTheme="minorHAnsi" w:hAnsi="Cambria Math" w:cs="Times New Roman"/>
                        <w:color w:val="131413"/>
                        <w:sz w:val="20"/>
                        <w:szCs w:val="20"/>
                        <w:lang w:eastAsia="en-US"/>
                      </w:rPr>
                      <m:t>ε</m:t>
                    </m:r>
                  </m:e>
                  <m:sub>
                    <m:r>
                      <w:rPr>
                        <w:rFonts w:ascii="Cambria Math" w:eastAsiaTheme="minorHAnsi" w:hAnsi="Cambria Math" w:cs="Times New Roman"/>
                        <w:color w:val="131413"/>
                        <w:sz w:val="20"/>
                        <w:szCs w:val="20"/>
                        <w:lang w:eastAsia="en-US"/>
                      </w:rPr>
                      <m:t>t</m:t>
                    </m:r>
                  </m:sub>
                </m:sSub>
              </m:oMath>
            </m:oMathPara>
          </w:p>
        </w:tc>
        <w:tc>
          <w:tcPr>
            <w:tcW w:w="1507" w:type="dxa"/>
          </w:tcPr>
          <w:p w:rsidR="008A0D36" w:rsidRPr="0055522C" w:rsidRDefault="008A0D36" w:rsidP="001B4E06">
            <w:pPr>
              <w:widowControl w:val="0"/>
              <w:autoSpaceDE w:val="0"/>
              <w:autoSpaceDN w:val="0"/>
              <w:adjustRightInd w:val="0"/>
              <w:spacing w:before="120" w:after="120" w:line="276" w:lineRule="auto"/>
              <w:jc w:val="both"/>
              <w:rPr>
                <w:rFonts w:ascii="Times New Roman" w:hAnsi="Times New Roman" w:cs="Times New Roman"/>
                <w:sz w:val="20"/>
                <w:szCs w:val="20"/>
              </w:rPr>
            </w:pPr>
            <w:r w:rsidRPr="0055522C">
              <w:rPr>
                <w:rFonts w:ascii="Times New Roman" w:hAnsi="Times New Roman" w:cs="Times New Roman"/>
                <w:sz w:val="20"/>
                <w:szCs w:val="20"/>
              </w:rPr>
              <w:t>(2)</w:t>
            </w:r>
          </w:p>
        </w:tc>
      </w:tr>
    </w:tbl>
    <w:p w:rsidR="00F12BB8" w:rsidRDefault="00A55675" w:rsidP="00F12BB8">
      <w:pPr>
        <w:jc w:val="both"/>
        <w:rPr>
          <w:rFonts w:ascii="Times New Roman" w:hAnsi="Times New Roman"/>
          <w:sz w:val="24"/>
          <w:szCs w:val="24"/>
        </w:rPr>
      </w:pPr>
      <w:r w:rsidRPr="00803CDF">
        <w:rPr>
          <w:rFonts w:ascii="Times New Roman" w:hAnsi="Times New Roman"/>
          <w:sz w:val="24"/>
          <w:szCs w:val="24"/>
          <w:lang w:val="en-US"/>
        </w:rPr>
        <w:t>Where</w:t>
      </w:r>
      <w:r w:rsidR="00803CDF" w:rsidRPr="00803CDF">
        <w:rPr>
          <w:rFonts w:ascii="Times New Roman" w:hAnsi="Times New Roman"/>
          <w:sz w:val="24"/>
          <w:szCs w:val="24"/>
          <w:lang w:val="en-US"/>
        </w:rPr>
        <w:t xml:space="preserve">, </w:t>
      </w:r>
      <w:r w:rsidR="00803CDF" w:rsidRPr="001D6C50">
        <w:rPr>
          <w:rFonts w:ascii="Times New Roman" w:hAnsi="Times New Roman"/>
          <w:i/>
          <w:iCs/>
          <w:sz w:val="24"/>
          <w:szCs w:val="24"/>
          <w:lang w:val="en-US"/>
        </w:rPr>
        <w:t xml:space="preserve">ln </w:t>
      </w:r>
      <w:r w:rsidR="00803CDF" w:rsidRPr="00803CDF">
        <w:rPr>
          <w:rFonts w:ascii="Times New Roman" w:hAnsi="Times New Roman"/>
          <w:sz w:val="24"/>
          <w:szCs w:val="24"/>
          <w:lang w:val="en-US"/>
        </w:rPr>
        <w:t xml:space="preserve">represents the natural logarithm of all variables, </w:t>
      </w:r>
      <m:oMath>
        <m:sSub>
          <m:sSubPr>
            <m:ctrlPr>
              <w:rPr>
                <w:rFonts w:ascii="Cambria Math" w:eastAsiaTheme="minorHAnsi" w:hAnsi="Cambria Math" w:cs="JcdddxAdvTT3713a231"/>
                <w:i/>
                <w:color w:val="131413"/>
                <w:sz w:val="20"/>
                <w:szCs w:val="20"/>
                <w:lang w:val="en-US" w:eastAsia="en-US"/>
              </w:rPr>
            </m:ctrlPr>
          </m:sSubPr>
          <m:e>
            <m:r>
              <w:rPr>
                <w:rFonts w:ascii="Cambria Math" w:eastAsiaTheme="minorHAnsi" w:hAnsi="Cambria Math" w:cs="JcdddxAdvTT3713a231"/>
                <w:color w:val="131413"/>
                <w:sz w:val="20"/>
                <w:szCs w:val="20"/>
                <w:lang w:val="en-US" w:eastAsia="en-US"/>
              </w:rPr>
              <m:t>β</m:t>
            </m:r>
          </m:e>
          <m:sub>
            <m:r>
              <w:rPr>
                <w:rFonts w:ascii="Cambria Math" w:eastAsiaTheme="minorHAnsi" w:hAnsi="Cambria Math" w:cs="JcdddxAdvTT3713a231"/>
                <w:color w:val="131413"/>
                <w:sz w:val="20"/>
                <w:szCs w:val="20"/>
                <w:lang w:val="en-US" w:eastAsia="en-US"/>
              </w:rPr>
              <m:t>1</m:t>
            </m:r>
          </m:sub>
        </m:sSub>
        <m:r>
          <w:rPr>
            <w:rFonts w:ascii="Cambria Math" w:eastAsiaTheme="minorHAnsi" w:hAnsi="Cambria Math" w:cs="JcdddxAdvTT3713a231"/>
            <w:color w:val="131413"/>
            <w:sz w:val="20"/>
            <w:szCs w:val="20"/>
            <w:lang w:val="en-US" w:eastAsia="en-US"/>
          </w:rPr>
          <m:t>,</m:t>
        </m:r>
        <m:sSub>
          <m:sSubPr>
            <m:ctrlPr>
              <w:rPr>
                <w:rFonts w:ascii="Cambria Math" w:eastAsiaTheme="minorHAnsi" w:hAnsi="Cambria Math" w:cs="JcdddxAdvTT3713a231"/>
                <w:i/>
                <w:color w:val="131413"/>
                <w:sz w:val="20"/>
                <w:szCs w:val="20"/>
                <w:lang w:val="en-US" w:eastAsia="en-US"/>
              </w:rPr>
            </m:ctrlPr>
          </m:sSubPr>
          <m:e>
            <m:r>
              <w:rPr>
                <w:rFonts w:ascii="Cambria Math" w:eastAsiaTheme="minorHAnsi" w:hAnsi="Cambria Math" w:cs="JcdddxAdvTT3713a231"/>
                <w:color w:val="131413"/>
                <w:sz w:val="20"/>
                <w:szCs w:val="20"/>
                <w:lang w:val="en-US" w:eastAsia="en-US"/>
              </w:rPr>
              <m:t>β</m:t>
            </m:r>
          </m:e>
          <m:sub>
            <m:r>
              <w:rPr>
                <w:rFonts w:ascii="Cambria Math" w:eastAsiaTheme="minorHAnsi" w:hAnsi="Cambria Math" w:cs="JcdddxAdvTT3713a231"/>
                <w:color w:val="131413"/>
                <w:sz w:val="20"/>
                <w:szCs w:val="20"/>
                <w:lang w:val="en-US" w:eastAsia="en-US"/>
              </w:rPr>
              <m:t>2</m:t>
            </m:r>
          </m:sub>
        </m:sSub>
        <m:r>
          <w:rPr>
            <w:rFonts w:ascii="Cambria Math" w:eastAsiaTheme="minorHAnsi" w:hAnsi="Cambria Math" w:cs="JcdddxAdvTT3713a231"/>
            <w:color w:val="131413"/>
            <w:sz w:val="20"/>
            <w:szCs w:val="20"/>
            <w:lang w:val="en-US" w:eastAsia="en-US"/>
          </w:rPr>
          <m:t xml:space="preserve">, </m:t>
        </m:r>
        <m:sSub>
          <m:sSubPr>
            <m:ctrlPr>
              <w:rPr>
                <w:rFonts w:ascii="Cambria Math" w:eastAsiaTheme="minorHAnsi" w:hAnsi="Cambria Math" w:cs="JcdddxAdvTT3713a231"/>
                <w:i/>
                <w:color w:val="131413"/>
                <w:sz w:val="20"/>
                <w:szCs w:val="20"/>
                <w:lang w:val="en-US" w:eastAsia="en-US"/>
              </w:rPr>
            </m:ctrlPr>
          </m:sSubPr>
          <m:e>
            <m:r>
              <w:rPr>
                <w:rFonts w:ascii="Cambria Math" w:eastAsiaTheme="minorHAnsi" w:hAnsi="Cambria Math" w:cs="JcdddxAdvTT3713a231"/>
                <w:color w:val="131413"/>
                <w:sz w:val="20"/>
                <w:szCs w:val="20"/>
                <w:lang w:val="en-US" w:eastAsia="en-US"/>
              </w:rPr>
              <m:t>β</m:t>
            </m:r>
          </m:e>
          <m:sub>
            <m:r>
              <w:rPr>
                <w:rFonts w:ascii="Cambria Math" w:eastAsiaTheme="minorHAnsi" w:hAnsi="Cambria Math" w:cs="JcdddxAdvTT3713a231"/>
                <w:color w:val="131413"/>
                <w:sz w:val="20"/>
                <w:szCs w:val="20"/>
                <w:lang w:val="en-US" w:eastAsia="en-US"/>
              </w:rPr>
              <m:t>3</m:t>
            </m:r>
          </m:sub>
        </m:sSub>
        <m:r>
          <w:rPr>
            <w:rFonts w:ascii="Cambria Math" w:eastAsiaTheme="minorHAnsi" w:hAnsi="Cambria Math" w:cs="JcdddxAdvTT3713a231"/>
            <w:color w:val="131413"/>
            <w:sz w:val="20"/>
            <w:szCs w:val="20"/>
            <w:lang w:val="en-US" w:eastAsia="en-US"/>
          </w:rPr>
          <m:t xml:space="preserve">, </m:t>
        </m:r>
        <m:sSub>
          <m:sSubPr>
            <m:ctrlPr>
              <w:rPr>
                <w:rFonts w:ascii="Cambria Math" w:eastAsiaTheme="minorHAnsi" w:hAnsi="Cambria Math" w:cs="JcdddxAdvTT3713a231"/>
                <w:i/>
                <w:color w:val="131413"/>
                <w:sz w:val="20"/>
                <w:szCs w:val="20"/>
                <w:lang w:val="en-US" w:eastAsia="en-US"/>
              </w:rPr>
            </m:ctrlPr>
          </m:sSubPr>
          <m:e>
            <m:r>
              <w:rPr>
                <w:rFonts w:ascii="Cambria Math" w:eastAsiaTheme="minorHAnsi" w:hAnsi="Cambria Math" w:cs="JcdddxAdvTT3713a231"/>
                <w:color w:val="131413"/>
                <w:sz w:val="20"/>
                <w:szCs w:val="20"/>
                <w:lang w:val="en-US" w:eastAsia="en-US"/>
              </w:rPr>
              <m:t>β</m:t>
            </m:r>
          </m:e>
          <m:sub>
            <m:r>
              <w:rPr>
                <w:rFonts w:ascii="Cambria Math" w:eastAsiaTheme="minorHAnsi" w:hAnsi="Cambria Math" w:cs="JcdddxAdvTT3713a231"/>
                <w:color w:val="131413"/>
                <w:sz w:val="20"/>
                <w:szCs w:val="20"/>
                <w:lang w:val="en-US" w:eastAsia="en-US"/>
              </w:rPr>
              <m:t>4</m:t>
            </m:r>
          </m:sub>
        </m:sSub>
      </m:oMath>
      <w:r w:rsidR="00803CDF" w:rsidRPr="00803CDF">
        <w:rPr>
          <w:rFonts w:ascii="Times New Roman" w:hAnsi="Times New Roman"/>
          <w:sz w:val="24"/>
          <w:szCs w:val="24"/>
          <w:lang w:val="en-US"/>
        </w:rPr>
        <w:t>are estimation parameters and</w:t>
      </w:r>
      <m:oMath>
        <m:sSub>
          <m:sSubPr>
            <m:ctrlPr>
              <w:rPr>
                <w:rFonts w:ascii="Cambria Math" w:eastAsiaTheme="minorHAnsi" w:hAnsi="Cambria Math" w:cs="JcdddxAdvTT3713a231"/>
                <w:i/>
                <w:color w:val="131413"/>
                <w:sz w:val="20"/>
                <w:szCs w:val="20"/>
                <w:lang w:val="en-US" w:eastAsia="en-US"/>
              </w:rPr>
            </m:ctrlPr>
          </m:sSubPr>
          <m:e>
            <m:r>
              <w:rPr>
                <w:rFonts w:ascii="Cambria Math" w:eastAsiaTheme="minorHAnsi" w:hAnsi="Cambria Math" w:cs="JcdddxAdvTT3713a231"/>
                <w:color w:val="131413"/>
                <w:sz w:val="20"/>
                <w:szCs w:val="20"/>
                <w:lang w:val="en-US" w:eastAsia="en-US"/>
              </w:rPr>
              <m:t>ε</m:t>
            </m:r>
          </m:e>
          <m:sub>
            <m:r>
              <w:rPr>
                <w:rFonts w:ascii="Cambria Math" w:eastAsiaTheme="minorHAnsi" w:hAnsi="Cambria Math" w:cs="JcdddxAdvTT3713a231"/>
                <w:color w:val="131413"/>
                <w:sz w:val="20"/>
                <w:szCs w:val="20"/>
                <w:lang w:val="en-US" w:eastAsia="en-US"/>
              </w:rPr>
              <m:t>t</m:t>
            </m:r>
          </m:sub>
        </m:sSub>
      </m:oMath>
      <w:r w:rsidR="00803CDF" w:rsidRPr="00803CDF">
        <w:rPr>
          <w:rFonts w:ascii="Times New Roman" w:hAnsi="Times New Roman"/>
          <w:sz w:val="24"/>
          <w:szCs w:val="24"/>
          <w:lang w:val="en-US"/>
        </w:rPr>
        <w:t>is error term</w:t>
      </w:r>
      <w:r w:rsidR="00B4393D" w:rsidRPr="00803CDF">
        <w:rPr>
          <w:rFonts w:ascii="Times New Roman" w:hAnsi="Times New Roman"/>
          <w:sz w:val="24"/>
          <w:szCs w:val="24"/>
          <w:lang w:val="en-US"/>
        </w:rPr>
        <w:t>.</w:t>
      </w:r>
      <w:r w:rsidR="00803CDF" w:rsidRPr="00A55675">
        <w:rPr>
          <w:rFonts w:ascii="Times New Roman" w:hAnsi="Times New Roman"/>
          <w:sz w:val="24"/>
          <w:szCs w:val="24"/>
          <w:lang w:val="en-US"/>
        </w:rPr>
        <w:t>We estimated the equation in Equation 2 using the KRLS method developed by Hainmuller and Hazlett (2014).</w:t>
      </w:r>
    </w:p>
    <w:p w:rsidR="00F0163B" w:rsidRPr="00D54A85" w:rsidRDefault="006731A3" w:rsidP="00F12BB8">
      <w:pPr>
        <w:jc w:val="both"/>
        <w:rPr>
          <w:rFonts w:ascii="Times New Roman" w:hAnsi="Times New Roman" w:cs="Times New Roman"/>
          <w:sz w:val="24"/>
          <w:szCs w:val="24"/>
          <w:lang w:val="en-US"/>
        </w:rPr>
      </w:pPr>
      <w:r>
        <w:rPr>
          <w:rFonts w:ascii="Times New Roman" w:hAnsi="Times New Roman" w:cs="Times New Roman"/>
          <w:sz w:val="24"/>
          <w:szCs w:val="24"/>
        </w:rPr>
        <w:t>W</w:t>
      </w:r>
      <w:r w:rsidR="00D54A85" w:rsidRPr="00D54A85">
        <w:rPr>
          <w:rFonts w:ascii="Times New Roman" w:hAnsi="Times New Roman" w:cs="Times New Roman"/>
          <w:sz w:val="24"/>
          <w:szCs w:val="24"/>
          <w:lang w:val="en-US"/>
        </w:rPr>
        <w:t xml:space="preserve">e focused on the variables of both single and interaction effect. Therefore, we preferred the KRLS method to estimate the long and short-run coefficients. This method is based on a machine learning algorithm and can be adapted to econometric models. The KRLS method can make unbiased and consistent estimations with tools such as marginal effects and point distribution </w:t>
      </w:r>
      <w:r w:rsidR="00BC337C" w:rsidRPr="00D54A85">
        <w:rPr>
          <w:rFonts w:ascii="Times New Roman" w:hAnsi="Times New Roman" w:cs="Times New Roman"/>
          <w:sz w:val="24"/>
          <w:szCs w:val="24"/>
          <w:lang w:val="en-US"/>
        </w:rPr>
        <w:t xml:space="preserve">(Sarkodie </w:t>
      </w:r>
      <w:r w:rsidR="004F5DD1">
        <w:rPr>
          <w:rFonts w:ascii="Times New Roman" w:hAnsi="Times New Roman" w:cs="Times New Roman"/>
          <w:sz w:val="24"/>
          <w:szCs w:val="24"/>
          <w:lang w:val="en-US"/>
        </w:rPr>
        <w:t>and</w:t>
      </w:r>
      <w:r w:rsidR="00BC337C" w:rsidRPr="00D54A85">
        <w:rPr>
          <w:rFonts w:ascii="Times New Roman" w:hAnsi="Times New Roman" w:cs="Times New Roman"/>
          <w:sz w:val="24"/>
          <w:szCs w:val="24"/>
          <w:lang w:val="en-US"/>
        </w:rPr>
        <w:t xml:space="preserve"> Owusu, 2020). </w:t>
      </w:r>
      <w:r w:rsidR="00D54A85" w:rsidRPr="00D54A85">
        <w:rPr>
          <w:rFonts w:ascii="Times New Roman" w:hAnsi="Times New Roman" w:cs="Times New Roman"/>
          <w:sz w:val="24"/>
          <w:szCs w:val="24"/>
          <w:lang w:val="en-US"/>
        </w:rPr>
        <w:t xml:space="preserve">This </w:t>
      </w:r>
      <w:r w:rsidR="00F231DF" w:rsidRPr="00D54A85">
        <w:rPr>
          <w:rFonts w:ascii="Times New Roman" w:hAnsi="Times New Roman" w:cs="Times New Roman"/>
          <w:sz w:val="24"/>
          <w:szCs w:val="24"/>
          <w:lang w:val="en-US"/>
        </w:rPr>
        <w:t>method</w:t>
      </w:r>
      <w:r w:rsidR="00D54A85" w:rsidRPr="00D54A85">
        <w:rPr>
          <w:rFonts w:ascii="Times New Roman" w:hAnsi="Times New Roman" w:cs="Times New Roman"/>
          <w:sz w:val="24"/>
          <w:szCs w:val="24"/>
          <w:lang w:val="en-US"/>
        </w:rPr>
        <w:t xml:space="preserve"> developed by Hainmueller and Hazlett (2014) and later adapted to econometric models by Ferwerda</w:t>
      </w:r>
      <w:r w:rsidR="00631C13">
        <w:rPr>
          <w:rFonts w:ascii="Times New Roman" w:hAnsi="Times New Roman" w:cs="Times New Roman"/>
          <w:sz w:val="24"/>
          <w:szCs w:val="24"/>
          <w:lang w:val="en-US"/>
        </w:rPr>
        <w:t>et. al.</w:t>
      </w:r>
      <w:r w:rsidR="00D54A85" w:rsidRPr="00D54A85">
        <w:rPr>
          <w:rFonts w:ascii="Times New Roman" w:hAnsi="Times New Roman" w:cs="Times New Roman"/>
          <w:sz w:val="24"/>
          <w:szCs w:val="24"/>
          <w:lang w:val="en-US"/>
        </w:rPr>
        <w:t xml:space="preserve"> (2017), is a nonlinear estimator (Choi and Lee, 2020).</w:t>
      </w:r>
    </w:p>
    <w:p w:rsidR="00F0163B" w:rsidRPr="00DD0B60" w:rsidRDefault="00DD0B60" w:rsidP="00002752">
      <w:pPr>
        <w:pStyle w:val="ListeParagraf"/>
        <w:widowControl w:val="0"/>
        <w:numPr>
          <w:ilvl w:val="0"/>
          <w:numId w:val="1"/>
        </w:numPr>
        <w:autoSpaceDE w:val="0"/>
        <w:autoSpaceDN w:val="0"/>
        <w:adjustRightInd w:val="0"/>
        <w:spacing w:after="200" w:line="276" w:lineRule="auto"/>
        <w:rPr>
          <w:rFonts w:ascii="Times New Roman" w:hAnsi="Times New Roman" w:cs="Times New Roman"/>
          <w:b/>
          <w:bCs/>
          <w:sz w:val="24"/>
          <w:szCs w:val="24"/>
          <w:lang w:val="en-US"/>
        </w:rPr>
      </w:pPr>
      <w:r w:rsidRPr="00DD0B60">
        <w:rPr>
          <w:rFonts w:ascii="Times New Roman" w:hAnsi="Times New Roman" w:cs="Times New Roman"/>
          <w:b/>
          <w:bCs/>
          <w:sz w:val="24"/>
          <w:szCs w:val="24"/>
          <w:lang w:val="en-US"/>
        </w:rPr>
        <w:t>Empirical Findings</w:t>
      </w:r>
    </w:p>
    <w:p w:rsidR="005B6D94" w:rsidRPr="005B6D94" w:rsidRDefault="005B6D94" w:rsidP="005B6D94">
      <w:pPr>
        <w:jc w:val="both"/>
        <w:rPr>
          <w:rFonts w:ascii="Times New Roman" w:hAnsi="Times New Roman" w:cs="Times New Roman"/>
          <w:sz w:val="24"/>
          <w:szCs w:val="24"/>
          <w:lang w:val="en-US"/>
        </w:rPr>
      </w:pPr>
      <w:r w:rsidRPr="005B6D94">
        <w:rPr>
          <w:rFonts w:ascii="Times New Roman" w:hAnsi="Times New Roman" w:cs="Times New Roman"/>
          <w:sz w:val="24"/>
          <w:szCs w:val="24"/>
          <w:lang w:val="en-US"/>
        </w:rPr>
        <w:t xml:space="preserve">Table 2 shows descriptive statistics of the series. </w:t>
      </w:r>
      <w:r w:rsidR="001D6C50">
        <w:rPr>
          <w:rFonts w:ascii="Times New Roman" w:hAnsi="Times New Roman" w:cs="Times New Roman"/>
          <w:sz w:val="24"/>
          <w:szCs w:val="24"/>
          <w:lang w:val="en-US"/>
        </w:rPr>
        <w:t>ln</w:t>
      </w:r>
      <w:r w:rsidR="001D6C50" w:rsidRPr="001D4456">
        <w:rPr>
          <w:rFonts w:ascii="Times New Roman" w:hAnsi="Times New Roman"/>
          <w:sz w:val="24"/>
          <w:szCs w:val="24"/>
          <w:lang w:val="en-US"/>
        </w:rPr>
        <w:t>C</w:t>
      </w:r>
      <w:r w:rsidR="001D6C50">
        <w:rPr>
          <w:rFonts w:ascii="Times New Roman" w:hAnsi="Times New Roman"/>
          <w:sz w:val="24"/>
          <w:szCs w:val="24"/>
          <w:lang w:val="en-US"/>
        </w:rPr>
        <w:t>O</w:t>
      </w:r>
      <w:r w:rsidR="001D6C50" w:rsidRPr="00245E6B">
        <w:rPr>
          <w:rFonts w:ascii="Times New Roman" w:hAnsi="Times New Roman"/>
          <w:sz w:val="24"/>
          <w:szCs w:val="24"/>
          <w:vertAlign w:val="subscript"/>
          <w:lang w:val="en-US"/>
        </w:rPr>
        <w:t>2</w:t>
      </w:r>
      <w:r w:rsidRPr="005B6D94">
        <w:rPr>
          <w:rFonts w:ascii="Times New Roman" w:hAnsi="Times New Roman" w:cs="Times New Roman"/>
          <w:sz w:val="24"/>
          <w:szCs w:val="24"/>
          <w:lang w:val="en-US"/>
        </w:rPr>
        <w:t xml:space="preserve">, lngpp, lntr and lndr are </w:t>
      </w:r>
      <w:r w:rsidR="00A9735B">
        <w:rPr>
          <w:rFonts w:ascii="Times New Roman" w:hAnsi="Times New Roman" w:cs="Times New Roman"/>
          <w:sz w:val="24"/>
          <w:szCs w:val="24"/>
          <w:lang w:val="en-US"/>
        </w:rPr>
        <w:t>left s</w:t>
      </w:r>
      <w:r w:rsidRPr="005B6D94">
        <w:rPr>
          <w:rFonts w:ascii="Times New Roman" w:hAnsi="Times New Roman" w:cs="Times New Roman"/>
          <w:sz w:val="24"/>
          <w:szCs w:val="24"/>
          <w:lang w:val="en-US"/>
        </w:rPr>
        <w:t>kewed while lngex is right skewed.</w:t>
      </w:r>
      <w:r w:rsidR="0012786C">
        <w:rPr>
          <w:rFonts w:ascii="Times New Roman" w:hAnsi="Times New Roman" w:cs="Times New Roman"/>
          <w:sz w:val="24"/>
          <w:szCs w:val="24"/>
          <w:lang w:val="en-US"/>
        </w:rPr>
        <w:t xml:space="preserve"> </w:t>
      </w:r>
      <w:r w:rsidRPr="005B6D94">
        <w:rPr>
          <w:rFonts w:ascii="Times New Roman" w:hAnsi="Times New Roman" w:cs="Times New Roman"/>
          <w:sz w:val="24"/>
          <w:szCs w:val="24"/>
          <w:lang w:val="en-US"/>
        </w:rPr>
        <w:t>This provides information about the possible long-run relationships of the series.</w:t>
      </w:r>
      <w:r w:rsidR="0012786C">
        <w:rPr>
          <w:rFonts w:ascii="Times New Roman" w:hAnsi="Times New Roman" w:cs="Times New Roman"/>
          <w:sz w:val="24"/>
          <w:szCs w:val="24"/>
          <w:lang w:val="en-US"/>
        </w:rPr>
        <w:t xml:space="preserve"> </w:t>
      </w:r>
      <w:r w:rsidR="00DF03A9">
        <w:rPr>
          <w:rFonts w:ascii="Times New Roman" w:hAnsi="Times New Roman" w:cs="Times New Roman"/>
          <w:sz w:val="24"/>
          <w:szCs w:val="24"/>
          <w:lang w:val="en-US"/>
        </w:rPr>
        <w:t>l</w:t>
      </w:r>
      <w:r w:rsidRPr="005B6D94">
        <w:rPr>
          <w:rFonts w:ascii="Times New Roman" w:hAnsi="Times New Roman" w:cs="Times New Roman"/>
          <w:sz w:val="24"/>
          <w:szCs w:val="24"/>
          <w:lang w:val="en-US"/>
        </w:rPr>
        <w:t>ndr and lngpp have relatively high volatility. The volatility of other variables is relatively close to each other.</w:t>
      </w:r>
    </w:p>
    <w:p w:rsidR="00F0163B" w:rsidRPr="00F572DF" w:rsidRDefault="00F0163B" w:rsidP="005B6D94">
      <w:pPr>
        <w:spacing w:after="0"/>
        <w:jc w:val="both"/>
        <w:rPr>
          <w:rFonts w:ascii="Times New Roman" w:hAnsi="Times New Roman" w:cs="Times New Roman"/>
          <w:lang w:val="en-US"/>
        </w:rPr>
      </w:pPr>
      <w:r w:rsidRPr="00F572DF">
        <w:rPr>
          <w:rFonts w:ascii="Times New Roman" w:hAnsi="Times New Roman" w:cs="Times New Roman"/>
          <w:lang w:val="en-US"/>
        </w:rPr>
        <w:t>Tabl</w:t>
      </w:r>
      <w:r w:rsidR="00F572DF">
        <w:rPr>
          <w:rFonts w:ascii="Times New Roman" w:hAnsi="Times New Roman" w:cs="Times New Roman"/>
          <w:lang w:val="en-US"/>
        </w:rPr>
        <w:t>e</w:t>
      </w:r>
      <w:r w:rsidRPr="00F572DF">
        <w:rPr>
          <w:rFonts w:ascii="Times New Roman" w:hAnsi="Times New Roman" w:cs="Times New Roman"/>
          <w:lang w:val="en-US"/>
        </w:rPr>
        <w:t xml:space="preserve"> 2: </w:t>
      </w:r>
      <w:r w:rsidR="00F572DF" w:rsidRPr="00F572DF">
        <w:rPr>
          <w:rFonts w:ascii="Times New Roman" w:hAnsi="Times New Roman" w:cs="Times New Roman"/>
          <w:lang w:val="en-US"/>
        </w:rPr>
        <w:t>Descriptive Statistic</w:t>
      </w:r>
      <w:r w:rsidR="00F572DF">
        <w:rPr>
          <w:rFonts w:ascii="Times New Roman" w:hAnsi="Times New Roman" w:cs="Times New Roman"/>
          <w:lang w:val="en-US"/>
        </w:rPr>
        <w:t>s</w:t>
      </w:r>
    </w:p>
    <w:tbl>
      <w:tblPr>
        <w:tblStyle w:val="TabloKlavuzu"/>
        <w:tblW w:w="0" w:type="auto"/>
        <w:jc w:val="center"/>
        <w:tblLook w:val="04A0"/>
      </w:tblPr>
      <w:tblGrid>
        <w:gridCol w:w="1273"/>
        <w:gridCol w:w="1107"/>
        <w:gridCol w:w="1110"/>
        <w:gridCol w:w="1108"/>
        <w:gridCol w:w="1106"/>
        <w:gridCol w:w="1108"/>
        <w:gridCol w:w="1127"/>
        <w:gridCol w:w="1123"/>
      </w:tblGrid>
      <w:tr w:rsidR="005A1E87" w:rsidRPr="009554FE" w:rsidTr="005A1E87">
        <w:trPr>
          <w:jc w:val="center"/>
        </w:trPr>
        <w:tc>
          <w:tcPr>
            <w:tcW w:w="1273" w:type="dxa"/>
          </w:tcPr>
          <w:p w:rsidR="00F0163B" w:rsidRPr="009554FE" w:rsidRDefault="00F572DF" w:rsidP="00F64317">
            <w:pPr>
              <w:jc w:val="center"/>
              <w:rPr>
                <w:rFonts w:ascii="Times New Roman" w:hAnsi="Times New Roman" w:cs="Times New Roman"/>
                <w:b/>
                <w:bCs/>
                <w:sz w:val="20"/>
                <w:szCs w:val="20"/>
              </w:rPr>
            </w:pPr>
            <w:r>
              <w:rPr>
                <w:rFonts w:ascii="Times New Roman" w:hAnsi="Times New Roman" w:cs="Times New Roman"/>
                <w:b/>
                <w:bCs/>
                <w:sz w:val="20"/>
                <w:szCs w:val="20"/>
              </w:rPr>
              <w:t>Series</w:t>
            </w:r>
          </w:p>
        </w:tc>
        <w:tc>
          <w:tcPr>
            <w:tcW w:w="1107" w:type="dxa"/>
          </w:tcPr>
          <w:p w:rsidR="00F0163B" w:rsidRPr="009554FE" w:rsidRDefault="00920876" w:rsidP="00F64317">
            <w:pPr>
              <w:jc w:val="center"/>
              <w:rPr>
                <w:rFonts w:ascii="Times New Roman" w:hAnsi="Times New Roman" w:cs="Times New Roman"/>
                <w:b/>
                <w:bCs/>
                <w:sz w:val="20"/>
                <w:szCs w:val="20"/>
              </w:rPr>
            </w:pPr>
            <w:r>
              <w:rPr>
                <w:rFonts w:ascii="Times New Roman" w:hAnsi="Times New Roman" w:cs="Times New Roman"/>
                <w:b/>
                <w:bCs/>
                <w:sz w:val="20"/>
                <w:szCs w:val="20"/>
              </w:rPr>
              <w:t>Obs</w:t>
            </w:r>
          </w:p>
        </w:tc>
        <w:tc>
          <w:tcPr>
            <w:tcW w:w="1110" w:type="dxa"/>
          </w:tcPr>
          <w:p w:rsidR="00F0163B" w:rsidRPr="009554FE" w:rsidRDefault="00920876" w:rsidP="00F64317">
            <w:pPr>
              <w:jc w:val="center"/>
              <w:rPr>
                <w:rFonts w:ascii="Times New Roman" w:hAnsi="Times New Roman" w:cs="Times New Roman"/>
                <w:b/>
                <w:bCs/>
                <w:sz w:val="20"/>
                <w:szCs w:val="20"/>
              </w:rPr>
            </w:pPr>
            <w:r>
              <w:rPr>
                <w:rFonts w:ascii="Times New Roman" w:hAnsi="Times New Roman" w:cs="Times New Roman"/>
                <w:b/>
                <w:bCs/>
                <w:sz w:val="20"/>
                <w:szCs w:val="20"/>
              </w:rPr>
              <w:t>Mean</w:t>
            </w:r>
          </w:p>
        </w:tc>
        <w:tc>
          <w:tcPr>
            <w:tcW w:w="1108" w:type="dxa"/>
          </w:tcPr>
          <w:p w:rsidR="00F0163B" w:rsidRPr="009554FE" w:rsidRDefault="00920876" w:rsidP="00F64317">
            <w:pPr>
              <w:jc w:val="center"/>
              <w:rPr>
                <w:rFonts w:ascii="Times New Roman" w:hAnsi="Times New Roman" w:cs="Times New Roman"/>
                <w:b/>
                <w:bCs/>
                <w:sz w:val="20"/>
                <w:szCs w:val="20"/>
              </w:rPr>
            </w:pPr>
            <w:r>
              <w:rPr>
                <w:rFonts w:ascii="Times New Roman" w:hAnsi="Times New Roman" w:cs="Times New Roman"/>
                <w:b/>
                <w:bCs/>
                <w:sz w:val="20"/>
                <w:szCs w:val="20"/>
              </w:rPr>
              <w:t>Std. Dev.</w:t>
            </w:r>
          </w:p>
        </w:tc>
        <w:tc>
          <w:tcPr>
            <w:tcW w:w="1106" w:type="dxa"/>
          </w:tcPr>
          <w:p w:rsidR="00F0163B" w:rsidRPr="009554FE" w:rsidRDefault="00920876" w:rsidP="00F64317">
            <w:pPr>
              <w:jc w:val="center"/>
              <w:rPr>
                <w:rFonts w:ascii="Times New Roman" w:hAnsi="Times New Roman" w:cs="Times New Roman"/>
                <w:b/>
                <w:bCs/>
                <w:sz w:val="20"/>
                <w:szCs w:val="20"/>
              </w:rPr>
            </w:pPr>
            <w:r>
              <w:rPr>
                <w:rFonts w:ascii="Times New Roman" w:hAnsi="Times New Roman" w:cs="Times New Roman"/>
                <w:b/>
                <w:bCs/>
                <w:sz w:val="20"/>
                <w:szCs w:val="20"/>
              </w:rPr>
              <w:t xml:space="preserve">Min. </w:t>
            </w:r>
          </w:p>
        </w:tc>
        <w:tc>
          <w:tcPr>
            <w:tcW w:w="1108" w:type="dxa"/>
          </w:tcPr>
          <w:p w:rsidR="00F0163B" w:rsidRPr="009554FE" w:rsidRDefault="00920876" w:rsidP="00F64317">
            <w:pPr>
              <w:jc w:val="center"/>
              <w:rPr>
                <w:rFonts w:ascii="Times New Roman" w:hAnsi="Times New Roman" w:cs="Times New Roman"/>
                <w:b/>
                <w:bCs/>
                <w:sz w:val="20"/>
                <w:szCs w:val="20"/>
              </w:rPr>
            </w:pPr>
            <w:r>
              <w:rPr>
                <w:rFonts w:ascii="Times New Roman" w:hAnsi="Times New Roman" w:cs="Times New Roman"/>
                <w:b/>
                <w:bCs/>
                <w:sz w:val="20"/>
                <w:szCs w:val="20"/>
              </w:rPr>
              <w:t>Max.</w:t>
            </w:r>
          </w:p>
        </w:tc>
        <w:tc>
          <w:tcPr>
            <w:tcW w:w="1127" w:type="dxa"/>
          </w:tcPr>
          <w:p w:rsidR="00F0163B" w:rsidRPr="009554FE" w:rsidRDefault="005A1E87" w:rsidP="00F64317">
            <w:pPr>
              <w:jc w:val="center"/>
              <w:rPr>
                <w:rFonts w:ascii="Times New Roman" w:hAnsi="Times New Roman" w:cs="Times New Roman"/>
                <w:b/>
                <w:bCs/>
                <w:sz w:val="20"/>
                <w:szCs w:val="20"/>
              </w:rPr>
            </w:pPr>
            <w:r>
              <w:rPr>
                <w:rFonts w:ascii="Times New Roman" w:hAnsi="Times New Roman" w:cs="Times New Roman"/>
                <w:b/>
                <w:bCs/>
                <w:sz w:val="20"/>
                <w:szCs w:val="20"/>
              </w:rPr>
              <w:t>Swekness</w:t>
            </w:r>
          </w:p>
        </w:tc>
        <w:tc>
          <w:tcPr>
            <w:tcW w:w="1123" w:type="dxa"/>
          </w:tcPr>
          <w:p w:rsidR="00F0163B" w:rsidRPr="009554FE" w:rsidRDefault="005A1E87" w:rsidP="00F64317">
            <w:pPr>
              <w:jc w:val="center"/>
              <w:rPr>
                <w:rFonts w:ascii="Times New Roman" w:hAnsi="Times New Roman" w:cs="Times New Roman"/>
                <w:b/>
                <w:bCs/>
                <w:sz w:val="20"/>
                <w:szCs w:val="20"/>
              </w:rPr>
            </w:pPr>
            <w:r w:rsidRPr="009554FE">
              <w:rPr>
                <w:rFonts w:ascii="Times New Roman" w:hAnsi="Times New Roman" w:cs="Times New Roman"/>
                <w:b/>
                <w:bCs/>
                <w:sz w:val="20"/>
                <w:szCs w:val="20"/>
              </w:rPr>
              <w:t>Kurtosis</w:t>
            </w:r>
          </w:p>
        </w:tc>
      </w:tr>
      <w:tr w:rsidR="005A1E87" w:rsidRPr="009554FE" w:rsidTr="005A1E87">
        <w:trPr>
          <w:jc w:val="center"/>
        </w:trPr>
        <w:tc>
          <w:tcPr>
            <w:tcW w:w="1273" w:type="dxa"/>
          </w:tcPr>
          <w:p w:rsidR="00F0163B" w:rsidRPr="009554FE" w:rsidRDefault="00F0163B" w:rsidP="00F64317">
            <w:pPr>
              <w:jc w:val="center"/>
              <w:rPr>
                <w:rFonts w:ascii="Times New Roman" w:hAnsi="Times New Roman" w:cs="Times New Roman"/>
                <w:sz w:val="20"/>
                <w:szCs w:val="20"/>
              </w:rPr>
            </w:pPr>
            <w:r w:rsidRPr="009554FE">
              <w:rPr>
                <w:rFonts w:ascii="Times New Roman" w:hAnsi="Times New Roman" w:cs="Times New Roman"/>
                <w:sz w:val="20"/>
                <w:szCs w:val="20"/>
              </w:rPr>
              <w:t>ln</w:t>
            </w:r>
            <w:r>
              <w:rPr>
                <w:rFonts w:ascii="Times New Roman" w:hAnsi="Times New Roman" w:cs="Times New Roman"/>
                <w:sz w:val="20"/>
                <w:szCs w:val="20"/>
              </w:rPr>
              <w:t>Co</w:t>
            </w:r>
            <w:r w:rsidRPr="001D6C50">
              <w:rPr>
                <w:rFonts w:ascii="Times New Roman" w:hAnsi="Times New Roman" w:cs="Times New Roman"/>
                <w:sz w:val="20"/>
                <w:szCs w:val="20"/>
                <w:vertAlign w:val="subscript"/>
              </w:rPr>
              <w:t>2</w:t>
            </w:r>
          </w:p>
        </w:tc>
        <w:tc>
          <w:tcPr>
            <w:tcW w:w="1107" w:type="dxa"/>
          </w:tcPr>
          <w:p w:rsidR="00F0163B" w:rsidRPr="009554FE" w:rsidRDefault="005A1E87" w:rsidP="00F6431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30</w:t>
            </w:r>
          </w:p>
        </w:tc>
        <w:tc>
          <w:tcPr>
            <w:tcW w:w="1110" w:type="dxa"/>
          </w:tcPr>
          <w:p w:rsidR="00F0163B" w:rsidRPr="009554FE" w:rsidRDefault="005A1E87" w:rsidP="00F6431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2.89</w:t>
            </w:r>
          </w:p>
        </w:tc>
        <w:tc>
          <w:tcPr>
            <w:tcW w:w="1108" w:type="dxa"/>
          </w:tcPr>
          <w:p w:rsidR="00F0163B" w:rsidRPr="009554FE" w:rsidRDefault="005A1E87" w:rsidP="00F6431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0.10</w:t>
            </w:r>
          </w:p>
        </w:tc>
        <w:tc>
          <w:tcPr>
            <w:tcW w:w="1106" w:type="dxa"/>
          </w:tcPr>
          <w:p w:rsidR="00F0163B" w:rsidRPr="009554FE" w:rsidRDefault="005A1E87" w:rsidP="00F6431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1.68</w:t>
            </w:r>
          </w:p>
        </w:tc>
        <w:tc>
          <w:tcPr>
            <w:tcW w:w="1108" w:type="dxa"/>
          </w:tcPr>
          <w:p w:rsidR="00F0163B" w:rsidRPr="009554FE" w:rsidRDefault="005A1E87" w:rsidP="00F6431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3.01</w:t>
            </w:r>
          </w:p>
        </w:tc>
        <w:tc>
          <w:tcPr>
            <w:tcW w:w="1127" w:type="dxa"/>
          </w:tcPr>
          <w:p w:rsidR="00F0163B" w:rsidRPr="009554FE" w:rsidRDefault="005A1E87" w:rsidP="00F64317">
            <w:pPr>
              <w:jc w:val="center"/>
              <w:rPr>
                <w:rFonts w:ascii="Times New Roman" w:hAnsi="Times New Roman" w:cs="Times New Roman"/>
                <w:sz w:val="20"/>
                <w:szCs w:val="20"/>
              </w:rPr>
            </w:pPr>
            <w:r>
              <w:rPr>
                <w:rFonts w:ascii="Times New Roman" w:hAnsi="Times New Roman" w:cs="Times New Roman"/>
                <w:sz w:val="20"/>
                <w:szCs w:val="20"/>
              </w:rPr>
              <w:t>-0.65</w:t>
            </w:r>
          </w:p>
        </w:tc>
        <w:tc>
          <w:tcPr>
            <w:tcW w:w="1123" w:type="dxa"/>
          </w:tcPr>
          <w:p w:rsidR="00F0163B" w:rsidRPr="009554FE" w:rsidRDefault="005A1E87" w:rsidP="00F64317">
            <w:pPr>
              <w:jc w:val="center"/>
              <w:rPr>
                <w:rFonts w:ascii="Times New Roman" w:hAnsi="Times New Roman" w:cs="Times New Roman"/>
                <w:sz w:val="20"/>
                <w:szCs w:val="20"/>
              </w:rPr>
            </w:pPr>
            <w:r>
              <w:rPr>
                <w:rFonts w:ascii="Times New Roman" w:hAnsi="Times New Roman" w:cs="Times New Roman"/>
                <w:sz w:val="20"/>
                <w:szCs w:val="20"/>
              </w:rPr>
              <w:t>1.88</w:t>
            </w:r>
          </w:p>
        </w:tc>
      </w:tr>
      <w:tr w:rsidR="005A1E87" w:rsidRPr="009554FE" w:rsidTr="005A1E87">
        <w:trPr>
          <w:jc w:val="center"/>
        </w:trPr>
        <w:tc>
          <w:tcPr>
            <w:tcW w:w="127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l</w:t>
            </w:r>
            <w:r w:rsidRPr="009554FE">
              <w:rPr>
                <w:rFonts w:ascii="Times New Roman" w:hAnsi="Times New Roman" w:cs="Times New Roman"/>
                <w:sz w:val="20"/>
                <w:szCs w:val="20"/>
              </w:rPr>
              <w:t>n</w:t>
            </w:r>
            <w:r>
              <w:rPr>
                <w:rFonts w:ascii="Times New Roman" w:hAnsi="Times New Roman" w:cs="Times New Roman"/>
                <w:sz w:val="20"/>
                <w:szCs w:val="20"/>
              </w:rPr>
              <w:t>Gpp</w:t>
            </w:r>
          </w:p>
        </w:tc>
        <w:tc>
          <w:tcPr>
            <w:tcW w:w="1107" w:type="dxa"/>
          </w:tcPr>
          <w:p w:rsidR="005A1E87" w:rsidRPr="009554FE" w:rsidRDefault="005A1E87" w:rsidP="005A1E87">
            <w:pPr>
              <w:jc w:val="center"/>
              <w:rPr>
                <w:rFonts w:ascii="Times New Roman" w:eastAsia="TimesNewRomanPSMT" w:hAnsi="Times New Roman" w:cs="Times New Roman"/>
                <w:sz w:val="20"/>
                <w:szCs w:val="20"/>
              </w:rPr>
            </w:pPr>
            <w:r w:rsidRPr="00B41E4C">
              <w:rPr>
                <w:rFonts w:ascii="Times New Roman" w:eastAsia="TimesNewRomanPSMT" w:hAnsi="Times New Roman" w:cs="Times New Roman"/>
                <w:sz w:val="20"/>
                <w:szCs w:val="20"/>
              </w:rPr>
              <w:t>30</w:t>
            </w:r>
          </w:p>
        </w:tc>
        <w:tc>
          <w:tcPr>
            <w:tcW w:w="1110"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10.61</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0.30</w:t>
            </w:r>
          </w:p>
        </w:tc>
        <w:tc>
          <w:tcPr>
            <w:tcW w:w="1106"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10.07</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11.08</w:t>
            </w:r>
          </w:p>
        </w:tc>
        <w:tc>
          <w:tcPr>
            <w:tcW w:w="1127"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-0.26</w:t>
            </w:r>
          </w:p>
        </w:tc>
        <w:tc>
          <w:tcPr>
            <w:tcW w:w="112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1.85</w:t>
            </w:r>
          </w:p>
        </w:tc>
      </w:tr>
      <w:tr w:rsidR="005A1E87" w:rsidRPr="009554FE" w:rsidTr="005A1E87">
        <w:trPr>
          <w:jc w:val="center"/>
        </w:trPr>
        <w:tc>
          <w:tcPr>
            <w:tcW w:w="127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l</w:t>
            </w:r>
            <w:r w:rsidRPr="009554FE">
              <w:rPr>
                <w:rFonts w:ascii="Times New Roman" w:hAnsi="Times New Roman" w:cs="Times New Roman"/>
                <w:sz w:val="20"/>
                <w:szCs w:val="20"/>
              </w:rPr>
              <w:t>n</w:t>
            </w:r>
            <w:r>
              <w:rPr>
                <w:rFonts w:ascii="Times New Roman" w:hAnsi="Times New Roman" w:cs="Times New Roman"/>
                <w:sz w:val="20"/>
                <w:szCs w:val="20"/>
              </w:rPr>
              <w:t>Gex</w:t>
            </w:r>
          </w:p>
        </w:tc>
        <w:tc>
          <w:tcPr>
            <w:tcW w:w="1107" w:type="dxa"/>
          </w:tcPr>
          <w:p w:rsidR="005A1E87" w:rsidRPr="009554FE" w:rsidRDefault="005A1E87" w:rsidP="005A1E87">
            <w:pPr>
              <w:jc w:val="center"/>
              <w:rPr>
                <w:rFonts w:ascii="Times New Roman" w:eastAsia="TimesNewRomanPSMT" w:hAnsi="Times New Roman" w:cs="Times New Roman"/>
                <w:sz w:val="20"/>
                <w:szCs w:val="20"/>
              </w:rPr>
            </w:pPr>
            <w:r w:rsidRPr="00B41E4C">
              <w:rPr>
                <w:rFonts w:ascii="Times New Roman" w:eastAsia="TimesNewRomanPSMT" w:hAnsi="Times New Roman" w:cs="Times New Roman"/>
                <w:sz w:val="20"/>
                <w:szCs w:val="20"/>
              </w:rPr>
              <w:t>30</w:t>
            </w:r>
          </w:p>
        </w:tc>
        <w:tc>
          <w:tcPr>
            <w:tcW w:w="1110"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3.63</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0.05</w:t>
            </w:r>
          </w:p>
        </w:tc>
        <w:tc>
          <w:tcPr>
            <w:tcW w:w="1106"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3.53</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3.76</w:t>
            </w:r>
          </w:p>
        </w:tc>
        <w:tc>
          <w:tcPr>
            <w:tcW w:w="1127"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0.56</w:t>
            </w:r>
          </w:p>
        </w:tc>
        <w:tc>
          <w:tcPr>
            <w:tcW w:w="112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3.51</w:t>
            </w:r>
          </w:p>
        </w:tc>
      </w:tr>
      <w:tr w:rsidR="005A1E87" w:rsidRPr="009554FE" w:rsidTr="005A1E87">
        <w:trPr>
          <w:jc w:val="center"/>
        </w:trPr>
        <w:tc>
          <w:tcPr>
            <w:tcW w:w="127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l</w:t>
            </w:r>
            <w:r w:rsidRPr="009554FE">
              <w:rPr>
                <w:rFonts w:ascii="Times New Roman" w:hAnsi="Times New Roman" w:cs="Times New Roman"/>
                <w:sz w:val="20"/>
                <w:szCs w:val="20"/>
              </w:rPr>
              <w:t>n</w:t>
            </w:r>
            <w:r>
              <w:rPr>
                <w:rFonts w:ascii="Times New Roman" w:hAnsi="Times New Roman" w:cs="Times New Roman"/>
                <w:sz w:val="20"/>
                <w:szCs w:val="20"/>
              </w:rPr>
              <w:t>Tr</w:t>
            </w:r>
          </w:p>
        </w:tc>
        <w:tc>
          <w:tcPr>
            <w:tcW w:w="1107"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30</w:t>
            </w:r>
          </w:p>
        </w:tc>
        <w:tc>
          <w:tcPr>
            <w:tcW w:w="1110"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3.48</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0.03</w:t>
            </w:r>
          </w:p>
        </w:tc>
        <w:tc>
          <w:tcPr>
            <w:tcW w:w="1106"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3.40</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3.54</w:t>
            </w:r>
          </w:p>
        </w:tc>
        <w:tc>
          <w:tcPr>
            <w:tcW w:w="1127"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-0.36</w:t>
            </w:r>
          </w:p>
        </w:tc>
        <w:tc>
          <w:tcPr>
            <w:tcW w:w="112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2.21</w:t>
            </w:r>
          </w:p>
        </w:tc>
      </w:tr>
      <w:tr w:rsidR="005A1E87" w:rsidRPr="009554FE" w:rsidTr="005A1E87">
        <w:trPr>
          <w:jc w:val="center"/>
        </w:trPr>
        <w:tc>
          <w:tcPr>
            <w:tcW w:w="127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l</w:t>
            </w:r>
            <w:r w:rsidRPr="009554FE">
              <w:rPr>
                <w:rFonts w:ascii="Times New Roman" w:hAnsi="Times New Roman" w:cs="Times New Roman"/>
                <w:sz w:val="20"/>
                <w:szCs w:val="20"/>
              </w:rPr>
              <w:t>n</w:t>
            </w:r>
            <w:r>
              <w:rPr>
                <w:rFonts w:ascii="Times New Roman" w:hAnsi="Times New Roman" w:cs="Times New Roman"/>
                <w:sz w:val="20"/>
                <w:szCs w:val="20"/>
              </w:rPr>
              <w:t>Dr</w:t>
            </w:r>
          </w:p>
        </w:tc>
        <w:tc>
          <w:tcPr>
            <w:tcW w:w="1107" w:type="dxa"/>
          </w:tcPr>
          <w:p w:rsidR="005A1E87" w:rsidRPr="009554FE" w:rsidRDefault="005A1E87" w:rsidP="005A1E87">
            <w:pPr>
              <w:jc w:val="center"/>
              <w:rPr>
                <w:rFonts w:ascii="Times New Roman" w:eastAsia="TimesNewRomanPSMT" w:hAnsi="Times New Roman" w:cs="Times New Roman"/>
                <w:sz w:val="20"/>
                <w:szCs w:val="20"/>
              </w:rPr>
            </w:pPr>
            <w:r w:rsidRPr="00B41E4C">
              <w:rPr>
                <w:rFonts w:ascii="Times New Roman" w:eastAsia="TimesNewRomanPSMT" w:hAnsi="Times New Roman" w:cs="Times New Roman"/>
                <w:sz w:val="20"/>
                <w:szCs w:val="20"/>
              </w:rPr>
              <w:t>30</w:t>
            </w:r>
          </w:p>
        </w:tc>
        <w:tc>
          <w:tcPr>
            <w:tcW w:w="1110"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0.85</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0.82</w:t>
            </w:r>
          </w:p>
        </w:tc>
        <w:tc>
          <w:tcPr>
            <w:tcW w:w="1106"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-0.69</w:t>
            </w:r>
          </w:p>
        </w:tc>
        <w:tc>
          <w:tcPr>
            <w:tcW w:w="1108" w:type="dxa"/>
          </w:tcPr>
          <w:p w:rsidR="005A1E87" w:rsidRPr="009554FE" w:rsidRDefault="005A1E87" w:rsidP="005A1E87">
            <w:pPr>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1.94</w:t>
            </w:r>
          </w:p>
        </w:tc>
        <w:tc>
          <w:tcPr>
            <w:tcW w:w="1127"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-0.44</w:t>
            </w:r>
          </w:p>
        </w:tc>
        <w:tc>
          <w:tcPr>
            <w:tcW w:w="1123" w:type="dxa"/>
          </w:tcPr>
          <w:p w:rsidR="005A1E87" w:rsidRPr="009554FE" w:rsidRDefault="005A1E87" w:rsidP="005A1E87">
            <w:pPr>
              <w:jc w:val="center"/>
              <w:rPr>
                <w:rFonts w:ascii="Times New Roman" w:hAnsi="Times New Roman" w:cs="Times New Roman"/>
                <w:sz w:val="20"/>
                <w:szCs w:val="20"/>
              </w:rPr>
            </w:pPr>
            <w:r>
              <w:rPr>
                <w:rFonts w:ascii="Times New Roman" w:hAnsi="Times New Roman" w:cs="Times New Roman"/>
                <w:sz w:val="20"/>
                <w:szCs w:val="20"/>
              </w:rPr>
              <w:t>1.75</w:t>
            </w:r>
          </w:p>
        </w:tc>
      </w:tr>
    </w:tbl>
    <w:p w:rsidR="008C7E65" w:rsidRDefault="00F572DF" w:rsidP="00F572DF">
      <w:pPr>
        <w:spacing w:before="120" w:after="120"/>
        <w:jc w:val="both"/>
        <w:rPr>
          <w:rFonts w:ascii="Times New Roman" w:hAnsi="Times New Roman" w:cs="Times New Roman"/>
          <w:sz w:val="24"/>
          <w:szCs w:val="24"/>
          <w:lang w:val="en-US"/>
        </w:rPr>
      </w:pPr>
      <w:r w:rsidRPr="00F572DF">
        <w:rPr>
          <w:rFonts w:ascii="Times New Roman" w:hAnsi="Times New Roman" w:cs="Times New Roman"/>
          <w:sz w:val="24"/>
          <w:szCs w:val="24"/>
          <w:lang w:val="en-US"/>
        </w:rPr>
        <w:t xml:space="preserve">The graphical representation of the variables is as in Figure 2. In Figure 2, ∆ </w:t>
      </w:r>
      <w:r w:rsidR="00694492">
        <w:rPr>
          <w:rFonts w:ascii="Times New Roman" w:hAnsi="Times New Roman" w:cs="Times New Roman"/>
          <w:sz w:val="24"/>
          <w:szCs w:val="24"/>
          <w:lang w:val="en-US"/>
        </w:rPr>
        <w:t>indicate</w:t>
      </w:r>
      <w:r w:rsidRPr="00F572DF">
        <w:rPr>
          <w:rFonts w:ascii="Times New Roman" w:hAnsi="Times New Roman" w:cs="Times New Roman"/>
          <w:sz w:val="24"/>
          <w:szCs w:val="24"/>
          <w:lang w:val="en-US"/>
        </w:rPr>
        <w:t xml:space="preserve"> the first difference and ln </w:t>
      </w:r>
      <w:r w:rsidR="00694492">
        <w:rPr>
          <w:rFonts w:ascii="Times New Roman" w:hAnsi="Times New Roman" w:cs="Times New Roman"/>
          <w:sz w:val="24"/>
          <w:szCs w:val="24"/>
          <w:lang w:val="en-US"/>
        </w:rPr>
        <w:t>indicate</w:t>
      </w:r>
      <w:r w:rsidRPr="00F572DF">
        <w:rPr>
          <w:rFonts w:ascii="Times New Roman" w:hAnsi="Times New Roman" w:cs="Times New Roman"/>
          <w:sz w:val="24"/>
          <w:szCs w:val="24"/>
          <w:lang w:val="en-US"/>
        </w:rPr>
        <w:t xml:space="preserve"> the natural logarithm of the series. There is a remarkable point in this chart; different trends between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F572DF">
        <w:rPr>
          <w:rFonts w:ascii="Times New Roman" w:hAnsi="Times New Roman" w:cs="Times New Roman"/>
          <w:sz w:val="24"/>
          <w:szCs w:val="24"/>
          <w:lang w:val="en-US"/>
        </w:rPr>
        <w:t>per capita and per capita income. The graphs showing the logarithmic values of the lnco</w:t>
      </w:r>
      <w:r w:rsidRPr="00F47CDF">
        <w:rPr>
          <w:rFonts w:ascii="Times New Roman" w:hAnsi="Times New Roman" w:cs="Times New Roman"/>
          <w:sz w:val="24"/>
          <w:szCs w:val="24"/>
          <w:vertAlign w:val="subscript"/>
          <w:lang w:val="en-US"/>
        </w:rPr>
        <w:t>2</w:t>
      </w:r>
      <w:r w:rsidRPr="00F572DF">
        <w:rPr>
          <w:rFonts w:ascii="Times New Roman" w:hAnsi="Times New Roman" w:cs="Times New Roman"/>
          <w:sz w:val="24"/>
          <w:szCs w:val="24"/>
          <w:lang w:val="en-US"/>
        </w:rPr>
        <w:t xml:space="preserve"> and lngpp indicate asymmetric relationships.</w:t>
      </w:r>
      <w:r w:rsidR="00B042B3">
        <w:rPr>
          <w:rFonts w:ascii="Times New Roman" w:hAnsi="Times New Roman" w:cs="Times New Roman"/>
          <w:sz w:val="24"/>
          <w:szCs w:val="24"/>
          <w:lang w:val="en-US"/>
        </w:rPr>
        <w:t xml:space="preserve"> Government</w:t>
      </w:r>
      <w:r w:rsidR="00B042B3" w:rsidRPr="00B042B3">
        <w:rPr>
          <w:rFonts w:ascii="Times New Roman" w:hAnsi="Times New Roman" w:cs="Times New Roman"/>
          <w:sz w:val="24"/>
          <w:szCs w:val="24"/>
          <w:lang w:val="en-US"/>
        </w:rPr>
        <w:t xml:space="preserve"> expenditures increased in the Global Financial Crisis (GFC) and tax revenues decreased.</w:t>
      </w:r>
      <w:r w:rsidR="0012786C">
        <w:rPr>
          <w:rFonts w:ascii="Times New Roman" w:hAnsi="Times New Roman" w:cs="Times New Roman"/>
          <w:sz w:val="24"/>
          <w:szCs w:val="24"/>
          <w:lang w:val="en-US"/>
        </w:rPr>
        <w:t xml:space="preserve"> </w:t>
      </w:r>
      <w:r w:rsidR="00B042B3" w:rsidRPr="00B042B3">
        <w:rPr>
          <w:rFonts w:ascii="Times New Roman" w:hAnsi="Times New Roman" w:cs="Times New Roman"/>
          <w:sz w:val="24"/>
          <w:szCs w:val="24"/>
          <w:lang w:val="en-US"/>
        </w:rPr>
        <w:t>Crisis periods left their mark on fiscal policies.</w:t>
      </w:r>
      <w:r w:rsidR="0012786C">
        <w:rPr>
          <w:rFonts w:ascii="Times New Roman" w:hAnsi="Times New Roman" w:cs="Times New Roman"/>
          <w:sz w:val="24"/>
          <w:szCs w:val="24"/>
          <w:lang w:val="en-US"/>
        </w:rPr>
        <w:t xml:space="preserve"> </w:t>
      </w:r>
      <w:r w:rsidR="00B042B3" w:rsidRPr="00B042B3">
        <w:rPr>
          <w:rFonts w:ascii="Times New Roman" w:hAnsi="Times New Roman" w:cs="Times New Roman"/>
          <w:sz w:val="24"/>
          <w:szCs w:val="24"/>
          <w:lang w:val="en-US"/>
        </w:rPr>
        <w:t>Finally, the discount rate abandoned its downward trend with the GFC in 2010 and reflects the footsteps of the increasing interest rate process in the USA.</w:t>
      </w:r>
    </w:p>
    <w:p w:rsidR="0012786C" w:rsidRPr="00B042B3" w:rsidRDefault="0012786C" w:rsidP="00F572DF">
      <w:pPr>
        <w:spacing w:before="120" w:after="120"/>
        <w:jc w:val="both"/>
        <w:rPr>
          <w:rFonts w:ascii="Times New Roman" w:hAnsi="Times New Roman" w:cs="Times New Roman"/>
          <w:sz w:val="24"/>
          <w:szCs w:val="24"/>
          <w:lang w:val="en-US"/>
        </w:rPr>
        <w:sectPr w:rsidR="0012786C" w:rsidRPr="00B042B3">
          <w:footerReference w:type="default" r:id="rId9"/>
          <w:pgSz w:w="11906" w:h="16838"/>
          <w:pgMar w:top="1417" w:right="1417" w:bottom="1417" w:left="1417" w:header="708" w:footer="708" w:gutter="0"/>
          <w:cols w:space="708"/>
          <w:docGrid w:linePitch="360"/>
        </w:sectPr>
      </w:pPr>
    </w:p>
    <w:tbl>
      <w:tblPr>
        <w:tblStyle w:val="TabloKlavuzu"/>
        <w:tblW w:w="0" w:type="auto"/>
        <w:tblLook w:val="04A0"/>
      </w:tblPr>
      <w:tblGrid>
        <w:gridCol w:w="2642"/>
        <w:gridCol w:w="2936"/>
        <w:gridCol w:w="2985"/>
        <w:gridCol w:w="2897"/>
        <w:gridCol w:w="2760"/>
      </w:tblGrid>
      <w:tr w:rsidR="004621AC" w:rsidTr="008C7E65">
        <w:tc>
          <w:tcPr>
            <w:tcW w:w="2599" w:type="dxa"/>
          </w:tcPr>
          <w:p w:rsidR="00F0163B" w:rsidRDefault="00AD1BAA" w:rsidP="00F64317">
            <w:pPr>
              <w:rPr>
                <w:rFonts w:ascii="Times New Roman" w:hAnsi="Times New Roman" w:cs="Times New Roman"/>
                <w:sz w:val="24"/>
                <w:szCs w:val="24"/>
              </w:rPr>
            </w:pPr>
            <w:r w:rsidRPr="00AD1BAA">
              <w:rPr>
                <w:rFonts w:ascii="Times New Roman" w:hAnsi="Times New Roman" w:cs="Times New Roman"/>
                <w:noProof/>
                <w:sz w:val="24"/>
                <w:szCs w:val="24"/>
              </w:rPr>
              <w:lastRenderedPageBreak/>
              <w:drawing>
                <wp:inline distT="0" distB="0" distL="0" distR="0">
                  <wp:extent cx="1568450" cy="19621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8450" cy="1962150"/>
                          </a:xfrm>
                          <a:prstGeom prst="rect">
                            <a:avLst/>
                          </a:prstGeom>
                          <a:noFill/>
                          <a:ln>
                            <a:noFill/>
                          </a:ln>
                        </pic:spPr>
                      </pic:pic>
                    </a:graphicData>
                  </a:graphic>
                </wp:inline>
              </w:drawing>
            </w:r>
          </w:p>
        </w:tc>
        <w:tc>
          <w:tcPr>
            <w:tcW w:w="2890" w:type="dxa"/>
          </w:tcPr>
          <w:p w:rsidR="00F0163B" w:rsidRDefault="00AD1BAA" w:rsidP="00F64317">
            <w:pPr>
              <w:rPr>
                <w:rFonts w:ascii="Times New Roman" w:hAnsi="Times New Roman" w:cs="Times New Roman"/>
                <w:sz w:val="24"/>
                <w:szCs w:val="24"/>
              </w:rPr>
            </w:pPr>
            <w:r w:rsidRPr="00AD1BAA">
              <w:rPr>
                <w:noProof/>
              </w:rPr>
              <w:drawing>
                <wp:inline distT="0" distB="0" distL="0" distR="0">
                  <wp:extent cx="1733550" cy="194945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1949450"/>
                          </a:xfrm>
                          <a:prstGeom prst="rect">
                            <a:avLst/>
                          </a:prstGeom>
                          <a:noFill/>
                          <a:ln>
                            <a:noFill/>
                          </a:ln>
                        </pic:spPr>
                      </pic:pic>
                    </a:graphicData>
                  </a:graphic>
                </wp:inline>
              </w:drawing>
            </w:r>
          </w:p>
        </w:tc>
        <w:tc>
          <w:tcPr>
            <w:tcW w:w="2938" w:type="dxa"/>
          </w:tcPr>
          <w:p w:rsidR="00F0163B" w:rsidRDefault="00AD1BAA" w:rsidP="00F64317">
            <w:pPr>
              <w:rPr>
                <w:rFonts w:ascii="Times New Roman" w:hAnsi="Times New Roman" w:cs="Times New Roman"/>
                <w:sz w:val="24"/>
                <w:szCs w:val="24"/>
              </w:rPr>
            </w:pPr>
            <w:r w:rsidRPr="00AD1BAA">
              <w:rPr>
                <w:noProof/>
              </w:rPr>
              <w:drawing>
                <wp:inline distT="0" distB="0" distL="0" distR="0">
                  <wp:extent cx="1784350" cy="1974850"/>
                  <wp:effectExtent l="0" t="0" r="6350" b="63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4350" cy="1974850"/>
                          </a:xfrm>
                          <a:prstGeom prst="rect">
                            <a:avLst/>
                          </a:prstGeom>
                          <a:noFill/>
                          <a:ln>
                            <a:noFill/>
                          </a:ln>
                        </pic:spPr>
                      </pic:pic>
                    </a:graphicData>
                  </a:graphic>
                </wp:inline>
              </w:drawing>
            </w:r>
          </w:p>
        </w:tc>
        <w:tc>
          <w:tcPr>
            <w:tcW w:w="2851" w:type="dxa"/>
          </w:tcPr>
          <w:p w:rsidR="00F0163B" w:rsidRDefault="00AD1BAA" w:rsidP="00F64317">
            <w:pPr>
              <w:rPr>
                <w:rFonts w:ascii="Times New Roman" w:hAnsi="Times New Roman" w:cs="Times New Roman"/>
                <w:sz w:val="24"/>
                <w:szCs w:val="24"/>
              </w:rPr>
            </w:pPr>
            <w:r w:rsidRPr="00AD1BAA">
              <w:rPr>
                <w:rFonts w:ascii="Times New Roman" w:hAnsi="Times New Roman" w:cs="Times New Roman"/>
                <w:noProof/>
                <w:sz w:val="24"/>
                <w:szCs w:val="24"/>
              </w:rPr>
              <w:drawing>
                <wp:inline distT="0" distB="0" distL="0" distR="0">
                  <wp:extent cx="1727200" cy="1962150"/>
                  <wp:effectExtent l="0" t="0" r="635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7200" cy="1962150"/>
                          </a:xfrm>
                          <a:prstGeom prst="rect">
                            <a:avLst/>
                          </a:prstGeom>
                          <a:noFill/>
                          <a:ln>
                            <a:noFill/>
                          </a:ln>
                        </pic:spPr>
                      </pic:pic>
                    </a:graphicData>
                  </a:graphic>
                </wp:inline>
              </w:drawing>
            </w:r>
          </w:p>
        </w:tc>
        <w:tc>
          <w:tcPr>
            <w:tcW w:w="2716" w:type="dxa"/>
          </w:tcPr>
          <w:p w:rsidR="00F0163B" w:rsidRDefault="00AD1BAA" w:rsidP="00F64317">
            <w:pPr>
              <w:rPr>
                <w:rFonts w:ascii="Times New Roman" w:hAnsi="Times New Roman" w:cs="Times New Roman"/>
                <w:sz w:val="24"/>
                <w:szCs w:val="24"/>
              </w:rPr>
            </w:pPr>
            <w:r w:rsidRPr="00AD1BAA">
              <w:rPr>
                <w:rFonts w:ascii="Times New Roman" w:hAnsi="Times New Roman" w:cs="Times New Roman"/>
                <w:noProof/>
                <w:sz w:val="24"/>
                <w:szCs w:val="24"/>
              </w:rPr>
              <w:drawing>
                <wp:inline distT="0" distB="0" distL="0" distR="0">
                  <wp:extent cx="1644650" cy="1955800"/>
                  <wp:effectExtent l="0" t="0" r="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4650" cy="1955800"/>
                          </a:xfrm>
                          <a:prstGeom prst="rect">
                            <a:avLst/>
                          </a:prstGeom>
                          <a:noFill/>
                          <a:ln>
                            <a:noFill/>
                          </a:ln>
                        </pic:spPr>
                      </pic:pic>
                    </a:graphicData>
                  </a:graphic>
                </wp:inline>
              </w:drawing>
            </w:r>
          </w:p>
        </w:tc>
      </w:tr>
      <w:tr w:rsidR="004621AC" w:rsidTr="008C7E65">
        <w:tc>
          <w:tcPr>
            <w:tcW w:w="2599"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ln</w:t>
            </w:r>
            <w:r w:rsidR="00825CC5" w:rsidRPr="00B409C0">
              <w:rPr>
                <w:rFonts w:ascii="Times New Roman" w:hAnsi="Times New Roman" w:cs="Times New Roman"/>
                <w:noProof/>
                <w:sz w:val="20"/>
                <w:szCs w:val="20"/>
              </w:rPr>
              <w:t>Co</w:t>
            </w:r>
            <w:r w:rsidR="00825CC5" w:rsidRPr="00B409C0">
              <w:rPr>
                <w:rFonts w:ascii="Times New Roman" w:hAnsi="Times New Roman" w:cs="Times New Roman"/>
                <w:noProof/>
                <w:sz w:val="20"/>
                <w:szCs w:val="20"/>
                <w:vertAlign w:val="subscript"/>
              </w:rPr>
              <w:t>2</w:t>
            </w:r>
          </w:p>
        </w:tc>
        <w:tc>
          <w:tcPr>
            <w:tcW w:w="2890"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ln</w:t>
            </w:r>
            <w:r w:rsidR="00825CC5" w:rsidRPr="00B409C0">
              <w:rPr>
                <w:rFonts w:ascii="Times New Roman" w:hAnsi="Times New Roman" w:cs="Times New Roman"/>
                <w:noProof/>
                <w:sz w:val="20"/>
                <w:szCs w:val="20"/>
              </w:rPr>
              <w:t>Gex</w:t>
            </w:r>
          </w:p>
        </w:tc>
        <w:tc>
          <w:tcPr>
            <w:tcW w:w="2938"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ln</w:t>
            </w:r>
            <w:r w:rsidR="00AD1BAA" w:rsidRPr="00B409C0">
              <w:rPr>
                <w:rFonts w:ascii="Times New Roman" w:hAnsi="Times New Roman" w:cs="Times New Roman"/>
                <w:noProof/>
                <w:sz w:val="20"/>
                <w:szCs w:val="20"/>
              </w:rPr>
              <w:t>Tr</w:t>
            </w:r>
          </w:p>
        </w:tc>
        <w:tc>
          <w:tcPr>
            <w:tcW w:w="2851"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ln</w:t>
            </w:r>
            <w:r w:rsidR="00E439AF" w:rsidRPr="00B409C0">
              <w:rPr>
                <w:rFonts w:ascii="Times New Roman" w:hAnsi="Times New Roman" w:cs="Times New Roman"/>
                <w:noProof/>
                <w:sz w:val="20"/>
                <w:szCs w:val="20"/>
              </w:rPr>
              <w:t>G</w:t>
            </w:r>
            <w:r w:rsidR="004621AC" w:rsidRPr="00B409C0">
              <w:rPr>
                <w:rFonts w:ascii="Times New Roman" w:hAnsi="Times New Roman" w:cs="Times New Roman"/>
                <w:noProof/>
                <w:sz w:val="20"/>
                <w:szCs w:val="20"/>
              </w:rPr>
              <w:t>pp</w:t>
            </w:r>
          </w:p>
        </w:tc>
        <w:tc>
          <w:tcPr>
            <w:tcW w:w="2716"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ln</w:t>
            </w:r>
            <w:r w:rsidR="00825CC5" w:rsidRPr="00B409C0">
              <w:rPr>
                <w:rFonts w:ascii="Times New Roman" w:hAnsi="Times New Roman" w:cs="Times New Roman"/>
                <w:noProof/>
                <w:sz w:val="20"/>
                <w:szCs w:val="20"/>
              </w:rPr>
              <w:t>Dr</w:t>
            </w:r>
          </w:p>
        </w:tc>
      </w:tr>
      <w:tr w:rsidR="004621AC" w:rsidTr="008C7E65">
        <w:tc>
          <w:tcPr>
            <w:tcW w:w="2599" w:type="dxa"/>
          </w:tcPr>
          <w:p w:rsidR="00F0163B" w:rsidRDefault="004621AC" w:rsidP="00F64317">
            <w:pPr>
              <w:jc w:val="center"/>
              <w:rPr>
                <w:rFonts w:ascii="Times New Roman" w:hAnsi="Times New Roman" w:cs="Times New Roman"/>
                <w:noProof/>
                <w:sz w:val="24"/>
                <w:szCs w:val="24"/>
              </w:rPr>
            </w:pPr>
            <w:r w:rsidRPr="004621AC">
              <w:rPr>
                <w:rFonts w:ascii="Times New Roman" w:hAnsi="Times New Roman" w:cs="Times New Roman"/>
                <w:noProof/>
                <w:sz w:val="24"/>
                <w:szCs w:val="24"/>
              </w:rPr>
              <w:drawing>
                <wp:inline distT="0" distB="0" distL="0" distR="0">
                  <wp:extent cx="1555750" cy="1924050"/>
                  <wp:effectExtent l="0" t="0" r="635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5750" cy="1924050"/>
                          </a:xfrm>
                          <a:prstGeom prst="rect">
                            <a:avLst/>
                          </a:prstGeom>
                          <a:noFill/>
                          <a:ln>
                            <a:noFill/>
                          </a:ln>
                        </pic:spPr>
                      </pic:pic>
                    </a:graphicData>
                  </a:graphic>
                </wp:inline>
              </w:drawing>
            </w:r>
          </w:p>
        </w:tc>
        <w:tc>
          <w:tcPr>
            <w:tcW w:w="2890" w:type="dxa"/>
          </w:tcPr>
          <w:p w:rsidR="00F0163B" w:rsidRDefault="004621AC" w:rsidP="00F64317">
            <w:pPr>
              <w:jc w:val="center"/>
              <w:rPr>
                <w:rFonts w:ascii="Times New Roman" w:hAnsi="Times New Roman" w:cs="Times New Roman"/>
                <w:noProof/>
                <w:sz w:val="24"/>
                <w:szCs w:val="24"/>
              </w:rPr>
            </w:pPr>
            <w:r w:rsidRPr="004621AC">
              <w:rPr>
                <w:rFonts w:ascii="Times New Roman" w:hAnsi="Times New Roman" w:cs="Times New Roman"/>
                <w:noProof/>
                <w:sz w:val="24"/>
                <w:szCs w:val="24"/>
              </w:rPr>
              <w:drawing>
                <wp:inline distT="0" distB="0" distL="0" distR="0">
                  <wp:extent cx="1758950" cy="1936750"/>
                  <wp:effectExtent l="0" t="0" r="0" b="635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58950" cy="1936750"/>
                          </a:xfrm>
                          <a:prstGeom prst="rect">
                            <a:avLst/>
                          </a:prstGeom>
                          <a:noFill/>
                          <a:ln>
                            <a:noFill/>
                          </a:ln>
                        </pic:spPr>
                      </pic:pic>
                    </a:graphicData>
                  </a:graphic>
                </wp:inline>
              </w:drawing>
            </w:r>
          </w:p>
        </w:tc>
        <w:tc>
          <w:tcPr>
            <w:tcW w:w="2938" w:type="dxa"/>
          </w:tcPr>
          <w:p w:rsidR="00F0163B" w:rsidRDefault="004621AC" w:rsidP="00F64317">
            <w:pPr>
              <w:jc w:val="center"/>
              <w:rPr>
                <w:rFonts w:ascii="Times New Roman" w:hAnsi="Times New Roman" w:cs="Times New Roman"/>
                <w:noProof/>
                <w:sz w:val="24"/>
                <w:szCs w:val="24"/>
              </w:rPr>
            </w:pPr>
            <w:r w:rsidRPr="004621AC">
              <w:rPr>
                <w:rFonts w:ascii="Times New Roman" w:hAnsi="Times New Roman" w:cs="Times New Roman"/>
                <w:noProof/>
                <w:sz w:val="24"/>
                <w:szCs w:val="24"/>
              </w:rPr>
              <w:drawing>
                <wp:inline distT="0" distB="0" distL="0" distR="0">
                  <wp:extent cx="1746250" cy="1955800"/>
                  <wp:effectExtent l="0" t="0" r="635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6250" cy="1955800"/>
                          </a:xfrm>
                          <a:prstGeom prst="rect">
                            <a:avLst/>
                          </a:prstGeom>
                          <a:noFill/>
                          <a:ln>
                            <a:noFill/>
                          </a:ln>
                        </pic:spPr>
                      </pic:pic>
                    </a:graphicData>
                  </a:graphic>
                </wp:inline>
              </w:drawing>
            </w:r>
          </w:p>
        </w:tc>
        <w:tc>
          <w:tcPr>
            <w:tcW w:w="2851" w:type="dxa"/>
          </w:tcPr>
          <w:p w:rsidR="00F0163B" w:rsidRDefault="004621AC" w:rsidP="00F64317">
            <w:pPr>
              <w:jc w:val="center"/>
              <w:rPr>
                <w:rFonts w:ascii="Times New Roman" w:hAnsi="Times New Roman" w:cs="Times New Roman"/>
                <w:noProof/>
                <w:sz w:val="24"/>
                <w:szCs w:val="24"/>
              </w:rPr>
            </w:pPr>
            <w:r w:rsidRPr="004621AC">
              <w:rPr>
                <w:rFonts w:ascii="Times New Roman" w:hAnsi="Times New Roman" w:cs="Times New Roman"/>
                <w:noProof/>
                <w:sz w:val="24"/>
                <w:szCs w:val="24"/>
              </w:rPr>
              <w:drawing>
                <wp:inline distT="0" distB="0" distL="0" distR="0">
                  <wp:extent cx="1676400" cy="196215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1962150"/>
                          </a:xfrm>
                          <a:prstGeom prst="rect">
                            <a:avLst/>
                          </a:prstGeom>
                          <a:noFill/>
                          <a:ln>
                            <a:noFill/>
                          </a:ln>
                        </pic:spPr>
                      </pic:pic>
                    </a:graphicData>
                  </a:graphic>
                </wp:inline>
              </w:drawing>
            </w:r>
          </w:p>
        </w:tc>
        <w:tc>
          <w:tcPr>
            <w:tcW w:w="2716" w:type="dxa"/>
          </w:tcPr>
          <w:p w:rsidR="00F0163B" w:rsidRDefault="004621AC" w:rsidP="00F64317">
            <w:pPr>
              <w:jc w:val="center"/>
              <w:rPr>
                <w:rFonts w:ascii="Times New Roman" w:hAnsi="Times New Roman" w:cs="Times New Roman"/>
                <w:noProof/>
                <w:sz w:val="24"/>
                <w:szCs w:val="24"/>
              </w:rPr>
            </w:pPr>
            <w:r w:rsidRPr="004621AC">
              <w:rPr>
                <w:rFonts w:ascii="Times New Roman" w:hAnsi="Times New Roman" w:cs="Times New Roman"/>
                <w:noProof/>
                <w:sz w:val="24"/>
                <w:szCs w:val="24"/>
              </w:rPr>
              <w:drawing>
                <wp:inline distT="0" distB="0" distL="0" distR="0">
                  <wp:extent cx="1612900" cy="1936750"/>
                  <wp:effectExtent l="0" t="0" r="6350" b="635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2900" cy="1936750"/>
                          </a:xfrm>
                          <a:prstGeom prst="rect">
                            <a:avLst/>
                          </a:prstGeom>
                          <a:noFill/>
                          <a:ln>
                            <a:noFill/>
                          </a:ln>
                        </pic:spPr>
                      </pic:pic>
                    </a:graphicData>
                  </a:graphic>
                </wp:inline>
              </w:drawing>
            </w:r>
          </w:p>
        </w:tc>
      </w:tr>
      <w:tr w:rsidR="004621AC" w:rsidTr="008C7E65">
        <w:tc>
          <w:tcPr>
            <w:tcW w:w="2599"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w:t>
            </w:r>
            <w:r w:rsidR="00AD1BAA" w:rsidRPr="00B409C0">
              <w:rPr>
                <w:rFonts w:ascii="Times New Roman" w:hAnsi="Times New Roman" w:cs="Times New Roman"/>
                <w:noProof/>
                <w:sz w:val="20"/>
                <w:szCs w:val="20"/>
              </w:rPr>
              <w:t>Co</w:t>
            </w:r>
            <w:r w:rsidR="00AD1BAA" w:rsidRPr="00B409C0">
              <w:rPr>
                <w:rFonts w:ascii="Times New Roman" w:hAnsi="Times New Roman" w:cs="Times New Roman"/>
                <w:noProof/>
                <w:sz w:val="20"/>
                <w:szCs w:val="20"/>
                <w:vertAlign w:val="subscript"/>
              </w:rPr>
              <w:t>2</w:t>
            </w:r>
          </w:p>
        </w:tc>
        <w:tc>
          <w:tcPr>
            <w:tcW w:w="2890"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w:t>
            </w:r>
            <w:r w:rsidR="00AD1BAA" w:rsidRPr="00B409C0">
              <w:rPr>
                <w:rFonts w:ascii="Times New Roman" w:hAnsi="Times New Roman" w:cs="Times New Roman"/>
                <w:noProof/>
                <w:sz w:val="20"/>
                <w:szCs w:val="20"/>
              </w:rPr>
              <w:t>Gex</w:t>
            </w:r>
          </w:p>
        </w:tc>
        <w:tc>
          <w:tcPr>
            <w:tcW w:w="2938"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w:t>
            </w:r>
            <w:r w:rsidR="00AD1BAA" w:rsidRPr="00B409C0">
              <w:rPr>
                <w:rFonts w:ascii="Times New Roman" w:hAnsi="Times New Roman" w:cs="Times New Roman"/>
                <w:noProof/>
                <w:sz w:val="20"/>
                <w:szCs w:val="20"/>
              </w:rPr>
              <w:t>Tr</w:t>
            </w:r>
          </w:p>
        </w:tc>
        <w:tc>
          <w:tcPr>
            <w:tcW w:w="2851"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w:t>
            </w:r>
            <w:r w:rsidR="00002752" w:rsidRPr="00B409C0">
              <w:rPr>
                <w:rFonts w:ascii="Times New Roman" w:hAnsi="Times New Roman" w:cs="Times New Roman"/>
                <w:noProof/>
                <w:sz w:val="20"/>
                <w:szCs w:val="20"/>
              </w:rPr>
              <w:t>G</w:t>
            </w:r>
            <w:r w:rsidR="004621AC" w:rsidRPr="00B409C0">
              <w:rPr>
                <w:rFonts w:ascii="Times New Roman" w:hAnsi="Times New Roman" w:cs="Times New Roman"/>
                <w:noProof/>
                <w:sz w:val="20"/>
                <w:szCs w:val="20"/>
              </w:rPr>
              <w:t>pp</w:t>
            </w:r>
          </w:p>
        </w:tc>
        <w:tc>
          <w:tcPr>
            <w:tcW w:w="2716" w:type="dxa"/>
          </w:tcPr>
          <w:p w:rsidR="00F0163B" w:rsidRPr="00B409C0" w:rsidRDefault="00F0163B"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w:t>
            </w:r>
            <w:r w:rsidR="00AD1BAA" w:rsidRPr="00B409C0">
              <w:rPr>
                <w:rFonts w:ascii="Times New Roman" w:hAnsi="Times New Roman" w:cs="Times New Roman"/>
                <w:noProof/>
                <w:sz w:val="20"/>
                <w:szCs w:val="20"/>
              </w:rPr>
              <w:t>Dr</w:t>
            </w:r>
          </w:p>
        </w:tc>
      </w:tr>
      <w:tr w:rsidR="008C7E65" w:rsidTr="00F64317">
        <w:tc>
          <w:tcPr>
            <w:tcW w:w="13994" w:type="dxa"/>
            <w:gridSpan w:val="5"/>
          </w:tcPr>
          <w:p w:rsidR="008C7E65" w:rsidRPr="00B409C0" w:rsidRDefault="008C7E65" w:rsidP="00F64317">
            <w:pPr>
              <w:jc w:val="center"/>
              <w:rPr>
                <w:rFonts w:ascii="Times New Roman" w:hAnsi="Times New Roman" w:cs="Times New Roman"/>
                <w:noProof/>
                <w:sz w:val="20"/>
                <w:szCs w:val="20"/>
              </w:rPr>
            </w:pPr>
            <w:r w:rsidRPr="00B409C0">
              <w:rPr>
                <w:rFonts w:ascii="Times New Roman" w:hAnsi="Times New Roman" w:cs="Times New Roman"/>
                <w:noProof/>
                <w:sz w:val="20"/>
                <w:szCs w:val="20"/>
              </w:rPr>
              <w:t xml:space="preserve">Figure </w:t>
            </w:r>
            <w:r w:rsidR="0023378D" w:rsidRPr="00B409C0">
              <w:rPr>
                <w:rFonts w:ascii="Times New Roman" w:hAnsi="Times New Roman" w:cs="Times New Roman"/>
                <w:noProof/>
                <w:sz w:val="20"/>
                <w:szCs w:val="20"/>
              </w:rPr>
              <w:t>2</w:t>
            </w:r>
            <w:r w:rsidRPr="00B409C0">
              <w:rPr>
                <w:rFonts w:ascii="Times New Roman" w:hAnsi="Times New Roman" w:cs="Times New Roman"/>
                <w:noProof/>
                <w:sz w:val="20"/>
                <w:szCs w:val="20"/>
              </w:rPr>
              <w:t xml:space="preserve">: </w:t>
            </w:r>
            <w:r w:rsidR="00AB10B4">
              <w:rPr>
                <w:rFonts w:ascii="Times New Roman" w:hAnsi="Times New Roman" w:cs="Times New Roman"/>
                <w:noProof/>
                <w:sz w:val="20"/>
                <w:szCs w:val="20"/>
              </w:rPr>
              <w:t>Series plots</w:t>
            </w:r>
          </w:p>
        </w:tc>
      </w:tr>
    </w:tbl>
    <w:p w:rsidR="00F0163B" w:rsidRDefault="00F0163B" w:rsidP="00F0163B">
      <w:pPr>
        <w:jc w:val="both"/>
        <w:rPr>
          <w:rFonts w:ascii="Times New Roman" w:hAnsi="Times New Roman" w:cs="Times New Roman"/>
          <w:sz w:val="24"/>
          <w:szCs w:val="24"/>
        </w:rPr>
      </w:pPr>
    </w:p>
    <w:p w:rsidR="00F0163B" w:rsidRPr="00204957" w:rsidRDefault="00F0163B" w:rsidP="00940DBB">
      <w:pPr>
        <w:widowControl w:val="0"/>
        <w:autoSpaceDE w:val="0"/>
        <w:autoSpaceDN w:val="0"/>
        <w:adjustRightInd w:val="0"/>
        <w:spacing w:after="200" w:line="276" w:lineRule="auto"/>
        <w:rPr>
          <w:rFonts w:ascii="Times New Roman" w:hAnsi="Times New Roman"/>
          <w:b/>
          <w:bCs/>
          <w:sz w:val="24"/>
          <w:szCs w:val="24"/>
        </w:rPr>
      </w:pPr>
    </w:p>
    <w:p w:rsidR="00F0163B" w:rsidRDefault="00F0163B" w:rsidP="00940DBB">
      <w:pPr>
        <w:widowControl w:val="0"/>
        <w:autoSpaceDE w:val="0"/>
        <w:autoSpaceDN w:val="0"/>
        <w:adjustRightInd w:val="0"/>
        <w:spacing w:after="200" w:line="276" w:lineRule="auto"/>
        <w:rPr>
          <w:rFonts w:ascii="Times New Roman" w:hAnsi="Times New Roman"/>
          <w:b/>
          <w:bCs/>
          <w:sz w:val="24"/>
          <w:szCs w:val="24"/>
          <w:lang w:val="en-US"/>
        </w:rPr>
        <w:sectPr w:rsidR="00F0163B" w:rsidSect="00F0163B">
          <w:pgSz w:w="16838" w:h="11906" w:orient="landscape"/>
          <w:pgMar w:top="1417" w:right="1417" w:bottom="1417" w:left="1417" w:header="708" w:footer="708" w:gutter="0"/>
          <w:cols w:space="708"/>
          <w:docGrid w:linePitch="360"/>
        </w:sectPr>
      </w:pPr>
    </w:p>
    <w:p w:rsidR="004B010D" w:rsidRPr="00544FAC" w:rsidRDefault="00544FAC" w:rsidP="008C7E65">
      <w:pPr>
        <w:jc w:val="both"/>
        <w:rPr>
          <w:rFonts w:ascii="Times New Roman" w:hAnsi="Times New Roman" w:cs="Times New Roman"/>
          <w:sz w:val="24"/>
          <w:szCs w:val="24"/>
          <w:lang w:val="en-US"/>
        </w:rPr>
      </w:pPr>
      <w:r w:rsidRPr="00544FAC">
        <w:rPr>
          <w:rFonts w:ascii="Times New Roman" w:hAnsi="Times New Roman" w:cs="Times New Roman"/>
          <w:sz w:val="24"/>
          <w:szCs w:val="24"/>
          <w:lang w:val="en-US"/>
        </w:rPr>
        <w:lastRenderedPageBreak/>
        <w:t>Before proceeding to the estimation with KRLS, it is necessary to investigate whether there is a potential structural break in the research period after the simple regression estimation of the model belonging to equation 2. It is substantial to understand whether the cumulative sum is stable over time. CUSUM Square results are reported in Figure 2. Accordingly, the coefficient estimates are stable. These results are statistically significant at the 95% confidence interval.</w:t>
      </w:r>
    </w:p>
    <w:tbl>
      <w:tblPr>
        <w:tblStyle w:val="TabloKlavuzu"/>
        <w:tblW w:w="0" w:type="auto"/>
        <w:tblLook w:val="04A0"/>
      </w:tblPr>
      <w:tblGrid>
        <w:gridCol w:w="9196"/>
      </w:tblGrid>
      <w:tr w:rsidR="004B010D" w:rsidTr="004B010D">
        <w:tc>
          <w:tcPr>
            <w:tcW w:w="9062" w:type="dxa"/>
          </w:tcPr>
          <w:p w:rsidR="004B010D" w:rsidRDefault="004B010D" w:rsidP="004B010D">
            <w:pPr>
              <w:rPr>
                <w:rFonts w:ascii="Times New Roman" w:hAnsi="Times New Roman" w:cs="Times New Roman"/>
                <w:sz w:val="20"/>
                <w:szCs w:val="20"/>
              </w:rPr>
            </w:pPr>
            <w:r w:rsidRPr="00D95798">
              <w:rPr>
                <w:rFonts w:ascii="Times New Roman" w:hAnsi="Times New Roman" w:cs="Times New Roman"/>
                <w:noProof/>
                <w:sz w:val="20"/>
                <w:szCs w:val="20"/>
              </w:rPr>
              <w:drawing>
                <wp:inline distT="0" distB="0" distL="0" distR="0">
                  <wp:extent cx="5702300" cy="1966595"/>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3904" cy="1967148"/>
                          </a:xfrm>
                          <a:prstGeom prst="rect">
                            <a:avLst/>
                          </a:prstGeom>
                          <a:noFill/>
                          <a:ln>
                            <a:noFill/>
                          </a:ln>
                        </pic:spPr>
                      </pic:pic>
                    </a:graphicData>
                  </a:graphic>
                </wp:inline>
              </w:drawing>
            </w:r>
          </w:p>
        </w:tc>
      </w:tr>
      <w:tr w:rsidR="004B010D" w:rsidTr="004B010D">
        <w:tc>
          <w:tcPr>
            <w:tcW w:w="9062" w:type="dxa"/>
          </w:tcPr>
          <w:p w:rsidR="004B010D" w:rsidRPr="008C7E65" w:rsidRDefault="008C7E65" w:rsidP="004B010D">
            <w:pPr>
              <w:rPr>
                <w:rFonts w:ascii="Times New Roman" w:hAnsi="Times New Roman" w:cs="Times New Roman"/>
                <w:sz w:val="20"/>
                <w:szCs w:val="20"/>
                <w:lang w:val="en-US"/>
              </w:rPr>
            </w:pPr>
            <w:r w:rsidRPr="008C7E65">
              <w:rPr>
                <w:rFonts w:ascii="Times New Roman" w:hAnsi="Times New Roman" w:cs="Times New Roman"/>
                <w:sz w:val="20"/>
                <w:szCs w:val="20"/>
                <w:lang w:val="en-US"/>
              </w:rPr>
              <w:t xml:space="preserve">Figure </w:t>
            </w:r>
            <w:r w:rsidR="00CA708D">
              <w:rPr>
                <w:rFonts w:ascii="Times New Roman" w:hAnsi="Times New Roman" w:cs="Times New Roman"/>
                <w:sz w:val="20"/>
                <w:szCs w:val="20"/>
                <w:lang w:val="en-US"/>
              </w:rPr>
              <w:t>3</w:t>
            </w:r>
            <w:r w:rsidR="00C743A8">
              <w:rPr>
                <w:rFonts w:ascii="Times New Roman" w:hAnsi="Times New Roman" w:cs="Times New Roman"/>
                <w:sz w:val="20"/>
                <w:szCs w:val="20"/>
                <w:lang w:val="en-US"/>
              </w:rPr>
              <w:t>:</w:t>
            </w:r>
            <w:r w:rsidRPr="008C7E65">
              <w:rPr>
                <w:rFonts w:ascii="Times New Roman" w:hAnsi="Times New Roman" w:cs="Times New Roman"/>
                <w:sz w:val="20"/>
                <w:szCs w:val="20"/>
                <w:lang w:val="en-US"/>
              </w:rPr>
              <w:t xml:space="preserve"> Cumulative sum test OLS CUSUM plot </w:t>
            </w:r>
          </w:p>
        </w:tc>
      </w:tr>
    </w:tbl>
    <w:p w:rsidR="00C743A8" w:rsidRPr="00C743A8" w:rsidRDefault="00C743A8" w:rsidP="00C743A8">
      <w:pPr>
        <w:spacing w:before="120" w:after="120"/>
        <w:jc w:val="both"/>
        <w:rPr>
          <w:rFonts w:ascii="Times New Roman" w:hAnsi="Times New Roman" w:cs="Times New Roman"/>
          <w:sz w:val="24"/>
          <w:szCs w:val="24"/>
          <w:lang w:val="en-US"/>
        </w:rPr>
      </w:pPr>
      <w:r w:rsidRPr="00C743A8">
        <w:rPr>
          <w:rFonts w:ascii="Times New Roman" w:hAnsi="Times New Roman" w:cs="Times New Roman"/>
          <w:sz w:val="24"/>
          <w:szCs w:val="24"/>
          <w:lang w:val="en-US"/>
        </w:rPr>
        <w:t>Table 2 below shows the estimations of the KRLS method, which is an advanced version of the OLS method and based on the machine learning procedure, showing the effects of the independent variables on the dependent variable. These estimates can also be presented in the form of results divided into three periods.</w:t>
      </w:r>
      <w:r w:rsidR="00F231DF">
        <w:rPr>
          <w:rFonts w:ascii="Times New Roman" w:hAnsi="Times New Roman" w:cs="Times New Roman"/>
          <w:sz w:val="24"/>
          <w:szCs w:val="24"/>
          <w:lang w:val="en-US"/>
        </w:rPr>
        <w:t xml:space="preserve"> </w:t>
      </w:r>
      <w:r w:rsidRPr="00C743A8">
        <w:rPr>
          <w:rFonts w:ascii="Times New Roman" w:hAnsi="Times New Roman" w:cs="Times New Roman"/>
          <w:sz w:val="24"/>
          <w:szCs w:val="24"/>
          <w:lang w:val="en-US"/>
        </w:rPr>
        <w:t>Where, P25 = marginal effects in quartile 1, P50 = median marginal effects, P75 = marginal effects in quartile 3.</w:t>
      </w:r>
    </w:p>
    <w:p w:rsidR="00C63663" w:rsidRPr="00C63663" w:rsidRDefault="00C63663" w:rsidP="00CA708D">
      <w:pPr>
        <w:spacing w:after="0"/>
        <w:jc w:val="both"/>
        <w:rPr>
          <w:rFonts w:ascii="Times New Roman" w:hAnsi="Times New Roman" w:cs="Times New Roman"/>
          <w:sz w:val="24"/>
          <w:szCs w:val="24"/>
        </w:rPr>
      </w:pPr>
      <w:r>
        <w:rPr>
          <w:rFonts w:ascii="Times New Roman" w:hAnsi="Times New Roman" w:cs="Times New Roman"/>
        </w:rPr>
        <w:t>Tabl</w:t>
      </w:r>
      <w:r w:rsidR="00067768">
        <w:rPr>
          <w:rFonts w:ascii="Times New Roman" w:hAnsi="Times New Roman" w:cs="Times New Roman"/>
        </w:rPr>
        <w:t>e</w:t>
      </w:r>
      <w:r>
        <w:rPr>
          <w:rFonts w:ascii="Times New Roman" w:hAnsi="Times New Roman" w:cs="Times New Roman"/>
        </w:rPr>
        <w:t xml:space="preserve"> 2: </w:t>
      </w:r>
      <w:r w:rsidR="00067768">
        <w:rPr>
          <w:rFonts w:ascii="Times New Roman" w:hAnsi="Times New Roman" w:cs="Times New Roman"/>
          <w:lang w:val="en-US"/>
        </w:rPr>
        <w:t>R</w:t>
      </w:r>
      <w:r w:rsidR="00067768" w:rsidRPr="00067768">
        <w:rPr>
          <w:rFonts w:ascii="Times New Roman" w:hAnsi="Times New Roman" w:cs="Times New Roman"/>
          <w:lang w:val="en-US"/>
        </w:rPr>
        <w:t xml:space="preserve">esult of </w:t>
      </w:r>
      <w:r w:rsidRPr="00067768">
        <w:rPr>
          <w:rFonts w:ascii="Times New Roman" w:hAnsi="Times New Roman" w:cs="Times New Roman"/>
          <w:lang w:val="en-US"/>
        </w:rPr>
        <w:t>KRLS</w:t>
      </w:r>
      <w:r w:rsidR="00067768" w:rsidRPr="00067768">
        <w:rPr>
          <w:rFonts w:ascii="Times New Roman" w:hAnsi="Times New Roman" w:cs="Times New Roman"/>
          <w:lang w:val="en-US"/>
        </w:rPr>
        <w:t xml:space="preserve"> estimations coefficient</w:t>
      </w:r>
    </w:p>
    <w:tbl>
      <w:tblPr>
        <w:tblStyle w:val="TabloKlavuzu"/>
        <w:tblW w:w="0" w:type="auto"/>
        <w:tblLook w:val="04A0"/>
      </w:tblPr>
      <w:tblGrid>
        <w:gridCol w:w="1132"/>
        <w:gridCol w:w="1132"/>
        <w:gridCol w:w="1133"/>
        <w:gridCol w:w="1133"/>
        <w:gridCol w:w="1133"/>
        <w:gridCol w:w="1133"/>
        <w:gridCol w:w="1133"/>
        <w:gridCol w:w="1133"/>
      </w:tblGrid>
      <w:tr w:rsidR="00C63663" w:rsidTr="00F64317">
        <w:tc>
          <w:tcPr>
            <w:tcW w:w="1132" w:type="dxa"/>
            <w:vMerge w:val="restart"/>
          </w:tcPr>
          <w:p w:rsidR="00C63663" w:rsidRDefault="00C63663" w:rsidP="00C63663">
            <w:pPr>
              <w:rPr>
                <w:rFonts w:ascii="Times New Roman" w:hAnsi="Times New Roman" w:cs="Times New Roman"/>
              </w:rPr>
            </w:pPr>
            <w:r>
              <w:rPr>
                <w:rFonts w:ascii="Times New Roman" w:hAnsi="Times New Roman" w:cs="Times New Roman"/>
              </w:rPr>
              <w:t>Variables</w:t>
            </w:r>
          </w:p>
        </w:tc>
        <w:tc>
          <w:tcPr>
            <w:tcW w:w="7930" w:type="dxa"/>
            <w:gridSpan w:val="7"/>
          </w:tcPr>
          <w:p w:rsidR="00C63663" w:rsidRDefault="00C63663" w:rsidP="00C63663">
            <w:pPr>
              <w:jc w:val="center"/>
              <w:rPr>
                <w:rFonts w:ascii="Times New Roman" w:hAnsi="Times New Roman" w:cs="Times New Roman"/>
              </w:rPr>
            </w:pPr>
          </w:p>
        </w:tc>
      </w:tr>
      <w:tr w:rsidR="00C63663" w:rsidTr="00C63663">
        <w:tc>
          <w:tcPr>
            <w:tcW w:w="1132" w:type="dxa"/>
            <w:vMerge/>
          </w:tcPr>
          <w:p w:rsidR="00C63663" w:rsidRDefault="00C63663" w:rsidP="00C63663">
            <w:pPr>
              <w:rPr>
                <w:rFonts w:ascii="Times New Roman" w:hAnsi="Times New Roman" w:cs="Times New Roman"/>
              </w:rPr>
            </w:pPr>
          </w:p>
        </w:tc>
        <w:tc>
          <w:tcPr>
            <w:tcW w:w="1132" w:type="dxa"/>
          </w:tcPr>
          <w:p w:rsidR="00C63663" w:rsidRPr="004B010D" w:rsidRDefault="00C63663" w:rsidP="00C63663">
            <w:pPr>
              <w:jc w:val="center"/>
              <w:rPr>
                <w:rFonts w:ascii="Times New Roman" w:hAnsi="Times New Roman" w:cs="Times New Roman"/>
              </w:rPr>
            </w:pPr>
            <w:r w:rsidRPr="004B010D">
              <w:rPr>
                <w:rFonts w:ascii="Times New Roman" w:hAnsi="Times New Roman" w:cs="Times New Roman"/>
              </w:rPr>
              <w:t>Marj Eff.</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Std. Er.</w:t>
            </w:r>
          </w:p>
        </w:tc>
        <w:tc>
          <w:tcPr>
            <w:tcW w:w="1133" w:type="dxa"/>
          </w:tcPr>
          <w:p w:rsidR="00C63663" w:rsidRPr="00BC5993" w:rsidRDefault="00C63663" w:rsidP="00C63663">
            <w:pPr>
              <w:jc w:val="center"/>
              <w:rPr>
                <w:rFonts w:ascii="Times New Roman" w:hAnsi="Times New Roman" w:cs="Times New Roman"/>
                <w:b/>
                <w:bCs/>
              </w:rPr>
            </w:pPr>
            <w:r w:rsidRPr="00BC5993">
              <w:rPr>
                <w:rFonts w:ascii="Times New Roman" w:hAnsi="Times New Roman" w:cs="Times New Roman"/>
                <w:b/>
                <w:bCs/>
              </w:rPr>
              <w:t>T</w:t>
            </w:r>
          </w:p>
        </w:tc>
        <w:tc>
          <w:tcPr>
            <w:tcW w:w="1133" w:type="dxa"/>
          </w:tcPr>
          <w:p w:rsidR="00C63663" w:rsidRPr="00BC5993" w:rsidRDefault="00C63663" w:rsidP="00C63663">
            <w:pPr>
              <w:jc w:val="center"/>
              <w:rPr>
                <w:rFonts w:ascii="Times New Roman" w:hAnsi="Times New Roman" w:cs="Times New Roman"/>
                <w:b/>
                <w:bCs/>
              </w:rPr>
            </w:pPr>
            <w:r w:rsidRPr="00BC5993">
              <w:rPr>
                <w:rFonts w:ascii="Times New Roman" w:hAnsi="Times New Roman" w:cs="Times New Roman"/>
                <w:b/>
                <w:bCs/>
              </w:rPr>
              <w:t>P&gt;t</w:t>
            </w:r>
          </w:p>
        </w:tc>
        <w:tc>
          <w:tcPr>
            <w:tcW w:w="1133" w:type="dxa"/>
          </w:tcPr>
          <w:p w:rsidR="00C63663" w:rsidRPr="00BC5993" w:rsidRDefault="00C63663" w:rsidP="00C63663">
            <w:pPr>
              <w:jc w:val="center"/>
              <w:rPr>
                <w:rFonts w:ascii="Times New Roman" w:hAnsi="Times New Roman" w:cs="Times New Roman"/>
                <w:b/>
                <w:bCs/>
              </w:rPr>
            </w:pPr>
            <w:r w:rsidRPr="00BC5993">
              <w:rPr>
                <w:rFonts w:ascii="Times New Roman" w:hAnsi="Times New Roman" w:cs="Times New Roman"/>
                <w:b/>
                <w:bCs/>
              </w:rPr>
              <w:t>P25</w:t>
            </w:r>
          </w:p>
        </w:tc>
        <w:tc>
          <w:tcPr>
            <w:tcW w:w="1133" w:type="dxa"/>
          </w:tcPr>
          <w:p w:rsidR="00C63663" w:rsidRPr="00BC5993" w:rsidRDefault="00C63663" w:rsidP="00C63663">
            <w:pPr>
              <w:jc w:val="center"/>
              <w:rPr>
                <w:rFonts w:ascii="Times New Roman" w:hAnsi="Times New Roman" w:cs="Times New Roman"/>
                <w:b/>
                <w:bCs/>
              </w:rPr>
            </w:pPr>
            <w:r w:rsidRPr="00BC5993">
              <w:rPr>
                <w:rFonts w:ascii="Times New Roman" w:hAnsi="Times New Roman" w:cs="Times New Roman"/>
                <w:b/>
                <w:bCs/>
              </w:rPr>
              <w:t>P50</w:t>
            </w:r>
          </w:p>
        </w:tc>
        <w:tc>
          <w:tcPr>
            <w:tcW w:w="1133" w:type="dxa"/>
          </w:tcPr>
          <w:p w:rsidR="00C63663" w:rsidRPr="00BC5993" w:rsidRDefault="00C63663" w:rsidP="00C63663">
            <w:pPr>
              <w:jc w:val="center"/>
              <w:rPr>
                <w:rFonts w:ascii="Times New Roman" w:hAnsi="Times New Roman" w:cs="Times New Roman"/>
                <w:b/>
                <w:bCs/>
              </w:rPr>
            </w:pPr>
            <w:r w:rsidRPr="00BC5993">
              <w:rPr>
                <w:rFonts w:ascii="Times New Roman" w:hAnsi="Times New Roman" w:cs="Times New Roman"/>
                <w:b/>
                <w:bCs/>
              </w:rPr>
              <w:t>P75</w:t>
            </w:r>
          </w:p>
        </w:tc>
      </w:tr>
      <w:tr w:rsidR="00C63663" w:rsidTr="00C63663">
        <w:tc>
          <w:tcPr>
            <w:tcW w:w="1132" w:type="dxa"/>
          </w:tcPr>
          <w:p w:rsidR="00C63663" w:rsidRPr="00BF2FF0" w:rsidRDefault="00C63663" w:rsidP="00C63663">
            <w:pPr>
              <w:rPr>
                <w:rFonts w:ascii="Times New Roman" w:hAnsi="Times New Roman" w:cs="Times New Roman"/>
              </w:rPr>
            </w:pPr>
            <w:r w:rsidRPr="00BF2FF0">
              <w:rPr>
                <w:rFonts w:ascii="Times New Roman" w:hAnsi="Times New Roman" w:cs="Times New Roman"/>
              </w:rPr>
              <w:t>ln</w:t>
            </w:r>
            <w:r>
              <w:rPr>
                <w:rFonts w:ascii="Times New Roman" w:hAnsi="Times New Roman" w:cs="Times New Roman"/>
              </w:rPr>
              <w:t>gpp</w:t>
            </w:r>
          </w:p>
        </w:tc>
        <w:tc>
          <w:tcPr>
            <w:tcW w:w="1132" w:type="dxa"/>
          </w:tcPr>
          <w:p w:rsidR="00C63663" w:rsidRDefault="00C63663" w:rsidP="00C63663">
            <w:pPr>
              <w:jc w:val="center"/>
              <w:rPr>
                <w:rFonts w:ascii="Times New Roman" w:hAnsi="Times New Roman" w:cs="Times New Roman"/>
              </w:rPr>
            </w:pPr>
            <w:r>
              <w:rPr>
                <w:rFonts w:ascii="Times New Roman" w:hAnsi="Times New Roman" w:cs="Times New Roman"/>
              </w:rPr>
              <w:t>-0.17</w:t>
            </w:r>
            <w:r w:rsidR="00A14A32">
              <w:rPr>
                <w:rFonts w:ascii="Times New Roman" w:hAnsi="Times New Roman" w:cs="Times New Roman"/>
              </w:rPr>
              <w:t>0</w:t>
            </w:r>
            <w:r>
              <w:rPr>
                <w:rFonts w:ascii="Times New Roman" w:hAnsi="Times New Roman" w:cs="Times New Roman"/>
                <w:vertAlign w:val="superscript"/>
              </w:rPr>
              <w:t>a</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0.008</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-19.46</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0.000</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-0.412</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-0.209</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0.096</w:t>
            </w:r>
          </w:p>
        </w:tc>
      </w:tr>
      <w:tr w:rsidR="00C63663" w:rsidTr="00C63663">
        <w:tc>
          <w:tcPr>
            <w:tcW w:w="1132" w:type="dxa"/>
          </w:tcPr>
          <w:p w:rsidR="00C63663" w:rsidRDefault="00C63663" w:rsidP="00C63663">
            <w:pPr>
              <w:rPr>
                <w:rFonts w:ascii="Times New Roman" w:hAnsi="Times New Roman" w:cs="Times New Roman"/>
              </w:rPr>
            </w:pPr>
            <w:r>
              <w:rPr>
                <w:rFonts w:ascii="Times New Roman" w:hAnsi="Times New Roman" w:cs="Times New Roman"/>
              </w:rPr>
              <w:t>l</w:t>
            </w:r>
            <w:r w:rsidRPr="00BF2FF0">
              <w:rPr>
                <w:rFonts w:ascii="Times New Roman" w:hAnsi="Times New Roman" w:cs="Times New Roman"/>
              </w:rPr>
              <w:t>n</w:t>
            </w:r>
            <w:r>
              <w:rPr>
                <w:rFonts w:ascii="Times New Roman" w:hAnsi="Times New Roman" w:cs="Times New Roman"/>
              </w:rPr>
              <w:t>gex</w:t>
            </w:r>
          </w:p>
        </w:tc>
        <w:tc>
          <w:tcPr>
            <w:tcW w:w="1132" w:type="dxa"/>
          </w:tcPr>
          <w:p w:rsidR="00C63663" w:rsidRDefault="00C63663" w:rsidP="00C63663">
            <w:pPr>
              <w:jc w:val="center"/>
              <w:rPr>
                <w:rFonts w:ascii="Times New Roman" w:hAnsi="Times New Roman" w:cs="Times New Roman"/>
              </w:rPr>
            </w:pPr>
            <w:r>
              <w:rPr>
                <w:rFonts w:ascii="Times New Roman" w:hAnsi="Times New Roman" w:cs="Times New Roman"/>
              </w:rPr>
              <w:t>-0.46</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w:t>
            </w:r>
            <w:r w:rsidR="00A14A32">
              <w:rPr>
                <w:rFonts w:ascii="Times New Roman" w:hAnsi="Times New Roman" w:cs="Times New Roman"/>
              </w:rPr>
              <w:t>0</w:t>
            </w:r>
            <w:r>
              <w:rPr>
                <w:rFonts w:ascii="Times New Roman" w:hAnsi="Times New Roman" w:cs="Times New Roman"/>
              </w:rPr>
              <w:t>72</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-0.063</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0.531</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w:t>
            </w:r>
            <w:r w:rsidR="00A14A32">
              <w:rPr>
                <w:rFonts w:ascii="Times New Roman" w:hAnsi="Times New Roman" w:cs="Times New Roman"/>
              </w:rPr>
              <w:t>.</w:t>
            </w:r>
            <w:r>
              <w:rPr>
                <w:rFonts w:ascii="Times New Roman" w:hAnsi="Times New Roman" w:cs="Times New Roman"/>
              </w:rPr>
              <w:t>471</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-0.195</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0.254</w:t>
            </w:r>
          </w:p>
        </w:tc>
      </w:tr>
      <w:tr w:rsidR="00C63663" w:rsidTr="00C63663">
        <w:tc>
          <w:tcPr>
            <w:tcW w:w="1132" w:type="dxa"/>
          </w:tcPr>
          <w:p w:rsidR="00C63663" w:rsidRPr="00BF2FF0" w:rsidRDefault="00C63663" w:rsidP="00C63663">
            <w:pPr>
              <w:rPr>
                <w:rFonts w:ascii="Times New Roman" w:hAnsi="Times New Roman" w:cs="Times New Roman"/>
              </w:rPr>
            </w:pPr>
            <w:r w:rsidRPr="00BF2FF0">
              <w:rPr>
                <w:rFonts w:ascii="Times New Roman" w:hAnsi="Times New Roman" w:cs="Times New Roman"/>
              </w:rPr>
              <w:t>ln</w:t>
            </w:r>
            <w:r>
              <w:rPr>
                <w:rFonts w:ascii="Times New Roman" w:hAnsi="Times New Roman" w:cs="Times New Roman"/>
              </w:rPr>
              <w:t>tr</w:t>
            </w:r>
          </w:p>
        </w:tc>
        <w:tc>
          <w:tcPr>
            <w:tcW w:w="1132" w:type="dxa"/>
          </w:tcPr>
          <w:p w:rsidR="00C63663" w:rsidRDefault="00C63663" w:rsidP="00C63663">
            <w:pPr>
              <w:jc w:val="center"/>
              <w:rPr>
                <w:rFonts w:ascii="Times New Roman" w:hAnsi="Times New Roman" w:cs="Times New Roman"/>
              </w:rPr>
            </w:pPr>
            <w:r>
              <w:rPr>
                <w:rFonts w:ascii="Times New Roman" w:hAnsi="Times New Roman" w:cs="Times New Roman"/>
              </w:rPr>
              <w:t>-0.17</w:t>
            </w:r>
            <w:r w:rsidR="00A14A32">
              <w:rPr>
                <w:rFonts w:ascii="Times New Roman" w:hAnsi="Times New Roman" w:cs="Times New Roman"/>
              </w:rPr>
              <w:t>1</w:t>
            </w:r>
            <w:r>
              <w:rPr>
                <w:rFonts w:ascii="Times New Roman" w:hAnsi="Times New Roman" w:cs="Times New Roman"/>
                <w:vertAlign w:val="superscript"/>
              </w:rPr>
              <w:t>c</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0.091</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-1.869</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0.073</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-6.451</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-0.167</w:t>
            </w:r>
          </w:p>
        </w:tc>
        <w:tc>
          <w:tcPr>
            <w:tcW w:w="1133" w:type="dxa"/>
          </w:tcPr>
          <w:p w:rsidR="00C63663" w:rsidRDefault="00C63663" w:rsidP="00C63663">
            <w:pPr>
              <w:jc w:val="center"/>
              <w:rPr>
                <w:rFonts w:ascii="Times New Roman" w:hAnsi="Times New Roman" w:cs="Times New Roman"/>
              </w:rPr>
            </w:pPr>
            <w:r>
              <w:rPr>
                <w:rFonts w:ascii="Times New Roman" w:hAnsi="Times New Roman" w:cs="Times New Roman"/>
              </w:rPr>
              <w:t>0.190</w:t>
            </w:r>
          </w:p>
        </w:tc>
      </w:tr>
      <w:tr w:rsidR="00CB6774" w:rsidTr="00C63663">
        <w:tc>
          <w:tcPr>
            <w:tcW w:w="1132" w:type="dxa"/>
          </w:tcPr>
          <w:p w:rsidR="00CB6774" w:rsidRDefault="00CB6774" w:rsidP="00CB6774">
            <w:pPr>
              <w:rPr>
                <w:rFonts w:ascii="Times New Roman" w:hAnsi="Times New Roman" w:cs="Times New Roman"/>
              </w:rPr>
            </w:pPr>
            <w:r>
              <w:rPr>
                <w:rFonts w:ascii="Times New Roman" w:hAnsi="Times New Roman" w:cs="Times New Roman"/>
              </w:rPr>
              <w:t>lndr</w:t>
            </w:r>
          </w:p>
        </w:tc>
        <w:tc>
          <w:tcPr>
            <w:tcW w:w="1132" w:type="dxa"/>
          </w:tcPr>
          <w:p w:rsidR="00CB6774" w:rsidRDefault="00CB6774" w:rsidP="00CB6774">
            <w:pPr>
              <w:jc w:val="center"/>
              <w:rPr>
                <w:rFonts w:ascii="Times New Roman" w:hAnsi="Times New Roman" w:cs="Times New Roman"/>
              </w:rPr>
            </w:pPr>
            <w:r>
              <w:rPr>
                <w:rFonts w:ascii="Times New Roman" w:hAnsi="Times New Roman" w:cs="Times New Roman"/>
              </w:rPr>
              <w:t>0</w:t>
            </w:r>
            <w:r w:rsidRPr="00BF2FF0">
              <w:rPr>
                <w:rFonts w:ascii="Times New Roman" w:hAnsi="Times New Roman" w:cs="Times New Roman"/>
              </w:rPr>
              <w:t>.034</w:t>
            </w:r>
            <w:r>
              <w:rPr>
                <w:rFonts w:ascii="Times New Roman" w:hAnsi="Times New Roman" w:cs="Times New Roman"/>
                <w:vertAlign w:val="superscript"/>
              </w:rPr>
              <w:t>a</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0</w:t>
            </w:r>
            <w:r w:rsidRPr="00BF2FF0">
              <w:rPr>
                <w:rFonts w:ascii="Times New Roman" w:hAnsi="Times New Roman" w:cs="Times New Roman"/>
              </w:rPr>
              <w:t>.0</w:t>
            </w:r>
            <w:r>
              <w:rPr>
                <w:rFonts w:ascii="Times New Roman" w:hAnsi="Times New Roman" w:cs="Times New Roman"/>
              </w:rPr>
              <w:t>0</w:t>
            </w:r>
            <w:r w:rsidRPr="00BF2FF0">
              <w:rPr>
                <w:rFonts w:ascii="Times New Roman" w:hAnsi="Times New Roman" w:cs="Times New Roman"/>
              </w:rPr>
              <w:t>4</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4.662</w:t>
            </w:r>
          </w:p>
        </w:tc>
        <w:tc>
          <w:tcPr>
            <w:tcW w:w="1133" w:type="dxa"/>
          </w:tcPr>
          <w:p w:rsidR="00CB6774" w:rsidRPr="00BF2FF0" w:rsidRDefault="00CB6774" w:rsidP="00CB6774">
            <w:pPr>
              <w:jc w:val="center"/>
              <w:rPr>
                <w:rFonts w:ascii="Times New Roman" w:hAnsi="Times New Roman" w:cs="Times New Roman"/>
              </w:rPr>
            </w:pPr>
            <w:r w:rsidRPr="00BF2FF0">
              <w:rPr>
                <w:rFonts w:ascii="Times New Roman" w:hAnsi="Times New Roman" w:cs="Times New Roman"/>
              </w:rPr>
              <w:t>0.</w:t>
            </w:r>
            <w:r>
              <w:rPr>
                <w:rFonts w:ascii="Times New Roman" w:hAnsi="Times New Roman" w:cs="Times New Roman"/>
              </w:rPr>
              <w:t>000</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0.005</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0</w:t>
            </w:r>
            <w:r w:rsidRPr="00395B72">
              <w:rPr>
                <w:rFonts w:ascii="Times New Roman" w:hAnsi="Times New Roman" w:cs="Times New Roman"/>
              </w:rPr>
              <w:t>.0</w:t>
            </w:r>
            <w:r>
              <w:rPr>
                <w:rFonts w:ascii="Times New Roman" w:hAnsi="Times New Roman" w:cs="Times New Roman"/>
              </w:rPr>
              <w:t>23</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0</w:t>
            </w:r>
            <w:r w:rsidRPr="00395B72">
              <w:rPr>
                <w:rFonts w:ascii="Times New Roman" w:hAnsi="Times New Roman" w:cs="Times New Roman"/>
              </w:rPr>
              <w:t>.</w:t>
            </w:r>
            <w:r>
              <w:rPr>
                <w:rFonts w:ascii="Times New Roman" w:hAnsi="Times New Roman" w:cs="Times New Roman"/>
              </w:rPr>
              <w:t>047</w:t>
            </w:r>
          </w:p>
        </w:tc>
      </w:tr>
      <w:tr w:rsidR="00CB6774" w:rsidTr="00F64317">
        <w:tc>
          <w:tcPr>
            <w:tcW w:w="9062" w:type="dxa"/>
            <w:gridSpan w:val="8"/>
          </w:tcPr>
          <w:p w:rsidR="00CB6774" w:rsidRDefault="00CB6774" w:rsidP="00CB6774">
            <w:pPr>
              <w:jc w:val="center"/>
              <w:rPr>
                <w:rFonts w:ascii="Times New Roman" w:hAnsi="Times New Roman" w:cs="Times New Roman"/>
              </w:rPr>
            </w:pPr>
          </w:p>
        </w:tc>
      </w:tr>
      <w:tr w:rsidR="00CB6774" w:rsidTr="00C63663">
        <w:tc>
          <w:tcPr>
            <w:tcW w:w="1132" w:type="dxa"/>
          </w:tcPr>
          <w:p w:rsidR="00CB6774" w:rsidRDefault="00CB6774" w:rsidP="00CB6774">
            <w:pPr>
              <w:rPr>
                <w:rFonts w:ascii="Times New Roman" w:hAnsi="Times New Roman" w:cs="Times New Roman"/>
              </w:rPr>
            </w:pPr>
            <w:r>
              <w:rPr>
                <w:rFonts w:ascii="Times New Roman" w:hAnsi="Times New Roman" w:cs="Times New Roman"/>
              </w:rPr>
              <w:t>Lambda</w:t>
            </w:r>
          </w:p>
        </w:tc>
        <w:tc>
          <w:tcPr>
            <w:tcW w:w="1132" w:type="dxa"/>
          </w:tcPr>
          <w:p w:rsidR="00CB6774" w:rsidRDefault="00CB6774" w:rsidP="00CB6774">
            <w:pPr>
              <w:jc w:val="center"/>
              <w:rPr>
                <w:rFonts w:ascii="Times New Roman" w:hAnsi="Times New Roman" w:cs="Times New Roman"/>
              </w:rPr>
            </w:pPr>
            <w:r>
              <w:rPr>
                <w:rFonts w:ascii="Times New Roman" w:hAnsi="Times New Roman" w:cs="Times New Roman"/>
              </w:rPr>
              <w:t>0</w:t>
            </w:r>
            <w:r w:rsidRPr="00395B72">
              <w:rPr>
                <w:rFonts w:ascii="Times New Roman" w:hAnsi="Times New Roman" w:cs="Times New Roman"/>
              </w:rPr>
              <w:t>.</w:t>
            </w:r>
            <w:r>
              <w:rPr>
                <w:rFonts w:ascii="Times New Roman" w:hAnsi="Times New Roman" w:cs="Times New Roman"/>
              </w:rPr>
              <w:t>054</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Tolerance</w:t>
            </w:r>
          </w:p>
        </w:tc>
        <w:tc>
          <w:tcPr>
            <w:tcW w:w="1133" w:type="dxa"/>
          </w:tcPr>
          <w:p w:rsidR="00CB6774" w:rsidRPr="00BF2FF0" w:rsidRDefault="00CB6774" w:rsidP="00CB6774">
            <w:pPr>
              <w:jc w:val="center"/>
              <w:rPr>
                <w:rFonts w:ascii="Times New Roman" w:hAnsi="Times New Roman" w:cs="Times New Roman"/>
              </w:rPr>
            </w:pPr>
            <w:r>
              <w:rPr>
                <w:rFonts w:ascii="Times New Roman" w:hAnsi="Times New Roman" w:cs="Times New Roman"/>
              </w:rPr>
              <w:t>0.03</w:t>
            </w:r>
          </w:p>
        </w:tc>
        <w:tc>
          <w:tcPr>
            <w:tcW w:w="1133" w:type="dxa"/>
          </w:tcPr>
          <w:p w:rsidR="00CB6774" w:rsidRPr="00BF2FF0" w:rsidRDefault="00CB6774" w:rsidP="00CB6774">
            <w:pPr>
              <w:jc w:val="center"/>
              <w:rPr>
                <w:rFonts w:ascii="Times New Roman" w:hAnsi="Times New Roman" w:cs="Times New Roman"/>
              </w:rPr>
            </w:pPr>
            <w:r>
              <w:rPr>
                <w:rFonts w:ascii="Times New Roman" w:hAnsi="Times New Roman" w:cs="Times New Roman"/>
              </w:rPr>
              <w:t>Sigma</w:t>
            </w:r>
          </w:p>
        </w:tc>
        <w:tc>
          <w:tcPr>
            <w:tcW w:w="1133" w:type="dxa"/>
          </w:tcPr>
          <w:p w:rsidR="00CB6774" w:rsidRPr="00BF2FF0" w:rsidRDefault="00CB6774" w:rsidP="00CB6774">
            <w:pPr>
              <w:jc w:val="center"/>
              <w:rPr>
                <w:rFonts w:ascii="Times New Roman" w:hAnsi="Times New Roman" w:cs="Times New Roman"/>
              </w:rPr>
            </w:pPr>
            <w:r w:rsidRPr="00395B72">
              <w:rPr>
                <w:rFonts w:ascii="Times New Roman" w:hAnsi="Times New Roman" w:cs="Times New Roman"/>
              </w:rPr>
              <w:t>4</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Eff. Def.</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16.94</w:t>
            </w:r>
          </w:p>
        </w:tc>
      </w:tr>
      <w:tr w:rsidR="00CB6774" w:rsidTr="00C63663">
        <w:tc>
          <w:tcPr>
            <w:tcW w:w="1132" w:type="dxa"/>
          </w:tcPr>
          <w:p w:rsidR="00CB6774" w:rsidRDefault="00CB6774" w:rsidP="00CB6774">
            <w:pPr>
              <w:rPr>
                <w:rFonts w:ascii="Times New Roman" w:hAnsi="Times New Roman" w:cs="Times New Roman"/>
              </w:rPr>
            </w:pPr>
            <w:r>
              <w:rPr>
                <w:rFonts w:ascii="Times New Roman" w:hAnsi="Times New Roman" w:cs="Times New Roman"/>
              </w:rPr>
              <w:t>R</w:t>
            </w:r>
            <w:r>
              <w:rPr>
                <w:rFonts w:ascii="Times New Roman" w:hAnsi="Times New Roman" w:cs="Times New Roman"/>
                <w:vertAlign w:val="superscript"/>
              </w:rPr>
              <w:t>2</w:t>
            </w:r>
          </w:p>
        </w:tc>
        <w:tc>
          <w:tcPr>
            <w:tcW w:w="1132" w:type="dxa"/>
          </w:tcPr>
          <w:p w:rsidR="00CB6774" w:rsidRDefault="00CB6774" w:rsidP="00CB6774">
            <w:pPr>
              <w:jc w:val="center"/>
              <w:rPr>
                <w:rFonts w:ascii="Times New Roman" w:hAnsi="Times New Roman" w:cs="Times New Roman"/>
              </w:rPr>
            </w:pPr>
            <w:r>
              <w:rPr>
                <w:rFonts w:ascii="Times New Roman" w:hAnsi="Times New Roman" w:cs="Times New Roman"/>
              </w:rPr>
              <w:t>0</w:t>
            </w:r>
            <w:r w:rsidRPr="00395B72">
              <w:rPr>
                <w:rFonts w:ascii="Times New Roman" w:hAnsi="Times New Roman" w:cs="Times New Roman"/>
              </w:rPr>
              <w:t>.99</w:t>
            </w:r>
            <w:r>
              <w:rPr>
                <w:rFonts w:ascii="Times New Roman" w:hAnsi="Times New Roman" w:cs="Times New Roman"/>
              </w:rPr>
              <w:t>2</w:t>
            </w:r>
          </w:p>
        </w:tc>
        <w:tc>
          <w:tcPr>
            <w:tcW w:w="1133" w:type="dxa"/>
          </w:tcPr>
          <w:p w:rsidR="00CB6774" w:rsidRDefault="00CB6774" w:rsidP="00CB6774">
            <w:pPr>
              <w:jc w:val="center"/>
              <w:rPr>
                <w:rFonts w:ascii="Times New Roman" w:hAnsi="Times New Roman" w:cs="Times New Roman"/>
              </w:rPr>
            </w:pPr>
            <w:r>
              <w:rPr>
                <w:rFonts w:ascii="Times New Roman" w:hAnsi="Times New Roman" w:cs="Times New Roman"/>
              </w:rPr>
              <w:t>Loolloss</w:t>
            </w:r>
          </w:p>
        </w:tc>
        <w:tc>
          <w:tcPr>
            <w:tcW w:w="1133" w:type="dxa"/>
          </w:tcPr>
          <w:p w:rsidR="00CB6774" w:rsidRPr="00BF2FF0" w:rsidRDefault="00CB6774" w:rsidP="00CB6774">
            <w:pPr>
              <w:jc w:val="center"/>
              <w:rPr>
                <w:rFonts w:ascii="Times New Roman" w:hAnsi="Times New Roman" w:cs="Times New Roman"/>
              </w:rPr>
            </w:pPr>
            <w:r>
              <w:rPr>
                <w:rFonts w:ascii="Times New Roman" w:hAnsi="Times New Roman" w:cs="Times New Roman"/>
              </w:rPr>
              <w:t>0.2928</w:t>
            </w:r>
          </w:p>
        </w:tc>
        <w:tc>
          <w:tcPr>
            <w:tcW w:w="1133" w:type="dxa"/>
          </w:tcPr>
          <w:p w:rsidR="00CB6774" w:rsidRPr="00BF2FF0" w:rsidRDefault="00CB6774" w:rsidP="00CB6774">
            <w:pPr>
              <w:jc w:val="center"/>
              <w:rPr>
                <w:rFonts w:ascii="Times New Roman" w:hAnsi="Times New Roman" w:cs="Times New Roman"/>
              </w:rPr>
            </w:pPr>
            <w:r>
              <w:rPr>
                <w:rFonts w:ascii="Times New Roman" w:hAnsi="Times New Roman" w:cs="Times New Roman"/>
              </w:rPr>
              <w:t>Obs</w:t>
            </w:r>
          </w:p>
        </w:tc>
        <w:tc>
          <w:tcPr>
            <w:tcW w:w="1133" w:type="dxa"/>
          </w:tcPr>
          <w:p w:rsidR="00CB6774" w:rsidRPr="00BF2FF0" w:rsidRDefault="00CB6774" w:rsidP="00CB6774">
            <w:pPr>
              <w:jc w:val="center"/>
              <w:rPr>
                <w:rFonts w:ascii="Times New Roman" w:hAnsi="Times New Roman" w:cs="Times New Roman"/>
              </w:rPr>
            </w:pPr>
            <w:r>
              <w:rPr>
                <w:rFonts w:ascii="Times New Roman" w:hAnsi="Times New Roman" w:cs="Times New Roman"/>
              </w:rPr>
              <w:t>30</w:t>
            </w:r>
          </w:p>
        </w:tc>
        <w:tc>
          <w:tcPr>
            <w:tcW w:w="1133" w:type="dxa"/>
          </w:tcPr>
          <w:p w:rsidR="00CB6774" w:rsidRDefault="00CB6774" w:rsidP="00CB6774">
            <w:pPr>
              <w:jc w:val="center"/>
              <w:rPr>
                <w:rFonts w:ascii="Times New Roman" w:hAnsi="Times New Roman" w:cs="Times New Roman"/>
              </w:rPr>
            </w:pPr>
          </w:p>
        </w:tc>
        <w:tc>
          <w:tcPr>
            <w:tcW w:w="1133" w:type="dxa"/>
          </w:tcPr>
          <w:p w:rsidR="00CB6774" w:rsidRDefault="00CB6774" w:rsidP="00CB6774">
            <w:pPr>
              <w:jc w:val="center"/>
              <w:rPr>
                <w:rFonts w:ascii="Times New Roman" w:hAnsi="Times New Roman" w:cs="Times New Roman"/>
              </w:rPr>
            </w:pPr>
          </w:p>
        </w:tc>
      </w:tr>
    </w:tbl>
    <w:p w:rsidR="00E7694F" w:rsidRDefault="00E7694F" w:rsidP="00BC666A">
      <w:pPr>
        <w:jc w:val="both"/>
        <w:rPr>
          <w:rFonts w:ascii="Times New Roman" w:hAnsi="Times New Roman" w:cs="Times New Roman"/>
          <w:sz w:val="20"/>
          <w:szCs w:val="20"/>
          <w:lang w:val="en-US"/>
        </w:rPr>
      </w:pPr>
      <w:r w:rsidRPr="00E7694F">
        <w:rPr>
          <w:rFonts w:ascii="Times New Roman" w:hAnsi="Times New Roman" w:cs="Times New Roman"/>
          <w:sz w:val="20"/>
          <w:szCs w:val="20"/>
          <w:lang w:val="en-US"/>
        </w:rPr>
        <w:t>Note: a and c indicate the statistical level of significance at 1% and 10%.</w:t>
      </w:r>
    </w:p>
    <w:p w:rsidR="00BC666A" w:rsidRPr="005269FF" w:rsidRDefault="0004185B" w:rsidP="00BC666A">
      <w:pPr>
        <w:jc w:val="both"/>
        <w:rPr>
          <w:rFonts w:ascii="Times New Roman" w:hAnsi="Times New Roman" w:cs="Times New Roman"/>
          <w:sz w:val="24"/>
          <w:szCs w:val="24"/>
        </w:rPr>
      </w:pPr>
      <w:r w:rsidRPr="006731A3">
        <w:rPr>
          <w:rFonts w:ascii="Times New Roman" w:hAnsi="Times New Roman" w:cs="Times New Roman"/>
          <w:sz w:val="24"/>
          <w:szCs w:val="24"/>
          <w:lang w:val="en-US"/>
        </w:rPr>
        <w:t>According to the KRLS estimation findings of the model shown in Equation 2, the model is statistically significant at the 1% significance level.</w:t>
      </w:r>
      <w:r w:rsidR="00F231DF">
        <w:rPr>
          <w:rFonts w:ascii="Times New Roman" w:hAnsi="Times New Roman" w:cs="Times New Roman"/>
          <w:sz w:val="24"/>
          <w:szCs w:val="24"/>
          <w:lang w:val="en-US"/>
        </w:rPr>
        <w:t xml:space="preserve"> </w:t>
      </w:r>
      <w:r w:rsidRPr="0004185B">
        <w:rPr>
          <w:rFonts w:ascii="Times New Roman" w:hAnsi="Times New Roman" w:cs="Times New Roman"/>
          <w:sz w:val="24"/>
          <w:szCs w:val="24"/>
          <w:lang w:val="en-US"/>
        </w:rPr>
        <w:t xml:space="preserve">The significance of this regression in explaining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04185B">
        <w:rPr>
          <w:rFonts w:ascii="Times New Roman" w:hAnsi="Times New Roman" w:cs="Times New Roman"/>
          <w:sz w:val="24"/>
          <w:szCs w:val="24"/>
          <w:lang w:val="en-US"/>
        </w:rPr>
        <w:t xml:space="preserve">per capita for the USA is 99.2%. The heterogeneous marginal effects in the table can be characterized as short, medium and long term. Accordingly, the average marginal effects of lngpp, lntr and lndr on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04185B">
        <w:rPr>
          <w:rFonts w:ascii="Times New Roman" w:hAnsi="Times New Roman" w:cs="Times New Roman"/>
          <w:sz w:val="24"/>
          <w:szCs w:val="24"/>
          <w:lang w:val="en-US"/>
        </w:rPr>
        <w:t xml:space="preserve">per capita are 0.17%, 0.17% and 0.04%, respectively. Of these effects, the coefficient of lntr and the coefficient of lngpp have negative signs. On the other hand, there are no significant statistical findings regarding the average marginal effects of </w:t>
      </w:r>
      <w:r w:rsidR="00325660">
        <w:rPr>
          <w:rFonts w:ascii="Times New Roman" w:hAnsi="Times New Roman" w:cs="Times New Roman"/>
          <w:sz w:val="24"/>
          <w:szCs w:val="24"/>
          <w:lang w:val="en-US"/>
        </w:rPr>
        <w:t>l</w:t>
      </w:r>
      <w:r w:rsidRPr="0004185B">
        <w:rPr>
          <w:rFonts w:ascii="Times New Roman" w:hAnsi="Times New Roman" w:cs="Times New Roman"/>
          <w:sz w:val="24"/>
          <w:szCs w:val="24"/>
          <w:lang w:val="en-US"/>
        </w:rPr>
        <w:t xml:space="preserve">ngex on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04185B">
        <w:rPr>
          <w:rFonts w:ascii="Times New Roman" w:hAnsi="Times New Roman" w:cs="Times New Roman"/>
          <w:sz w:val="24"/>
          <w:szCs w:val="24"/>
          <w:lang w:val="en-US"/>
        </w:rPr>
        <w:t xml:space="preserve">per capita for the USA. These findings imply that the effect of lngpp on </w:t>
      </w:r>
      <w:r w:rsidR="00F47CDF">
        <w:rPr>
          <w:rFonts w:ascii="Times New Roman" w:hAnsi="Times New Roman" w:cs="Times New Roman"/>
          <w:sz w:val="24"/>
          <w:szCs w:val="24"/>
          <w:lang w:val="en-US"/>
        </w:rPr>
        <w:t>CO</w:t>
      </w:r>
      <w:r w:rsidR="00F47CDF" w:rsidRPr="00F47CDF">
        <w:rPr>
          <w:rFonts w:ascii="Times New Roman" w:hAnsi="Times New Roman" w:cs="Times New Roman"/>
          <w:sz w:val="24"/>
          <w:szCs w:val="24"/>
          <w:vertAlign w:val="subscript"/>
          <w:lang w:val="en-US"/>
        </w:rPr>
        <w:t>2</w:t>
      </w:r>
      <w:r w:rsidR="00F47CDF">
        <w:rPr>
          <w:rFonts w:ascii="Times New Roman" w:hAnsi="Times New Roman" w:cs="Times New Roman"/>
          <w:sz w:val="24"/>
          <w:szCs w:val="24"/>
          <w:lang w:val="en-US"/>
        </w:rPr>
        <w:t xml:space="preserve">e </w:t>
      </w:r>
      <w:r w:rsidRPr="0004185B">
        <w:rPr>
          <w:rFonts w:ascii="Times New Roman" w:hAnsi="Times New Roman" w:cs="Times New Roman"/>
          <w:sz w:val="24"/>
          <w:szCs w:val="24"/>
          <w:lang w:val="en-US"/>
        </w:rPr>
        <w:t>is significant in the long-run, while lndr is significant in all three periods.</w:t>
      </w:r>
      <w:r w:rsidR="00F231DF">
        <w:rPr>
          <w:rFonts w:ascii="Times New Roman" w:hAnsi="Times New Roman" w:cs="Times New Roman"/>
          <w:sz w:val="24"/>
          <w:szCs w:val="24"/>
          <w:lang w:val="en-US"/>
        </w:rPr>
        <w:t xml:space="preserve"> </w:t>
      </w:r>
      <w:r w:rsidRPr="0004185B">
        <w:rPr>
          <w:rFonts w:ascii="Times New Roman" w:hAnsi="Times New Roman" w:cs="Times New Roman"/>
          <w:sz w:val="24"/>
          <w:szCs w:val="24"/>
          <w:lang w:val="en-US"/>
        </w:rPr>
        <w:t>We can explain the long-term effects of lngpp, lntr and lndr, which have statistically significant effects, with Figure 4 below.</w:t>
      </w:r>
    </w:p>
    <w:tbl>
      <w:tblPr>
        <w:tblStyle w:val="TabloKlavuzu"/>
        <w:tblW w:w="0" w:type="auto"/>
        <w:tblLayout w:type="fixed"/>
        <w:tblLook w:val="04A0"/>
      </w:tblPr>
      <w:tblGrid>
        <w:gridCol w:w="3340"/>
        <w:gridCol w:w="2845"/>
        <w:gridCol w:w="2877"/>
      </w:tblGrid>
      <w:tr w:rsidR="00D95798" w:rsidTr="003A5E75">
        <w:tc>
          <w:tcPr>
            <w:tcW w:w="3340" w:type="dxa"/>
          </w:tcPr>
          <w:p w:rsidR="00D95798" w:rsidRDefault="00D95798" w:rsidP="00F64317">
            <w:pPr>
              <w:rPr>
                <w:rFonts w:ascii="Times New Roman" w:hAnsi="Times New Roman" w:cs="Times New Roman"/>
                <w:noProof/>
              </w:rPr>
            </w:pPr>
            <w:r w:rsidRPr="00D95798">
              <w:rPr>
                <w:rFonts w:ascii="Times New Roman" w:hAnsi="Times New Roman" w:cs="Times New Roman"/>
                <w:noProof/>
              </w:rPr>
              <w:lastRenderedPageBreak/>
              <w:drawing>
                <wp:inline distT="0" distB="0" distL="0" distR="0">
                  <wp:extent cx="2051050" cy="1835150"/>
                  <wp:effectExtent l="0" t="0" r="635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1050" cy="1835150"/>
                          </a:xfrm>
                          <a:prstGeom prst="rect">
                            <a:avLst/>
                          </a:prstGeom>
                          <a:noFill/>
                          <a:ln>
                            <a:noFill/>
                          </a:ln>
                        </pic:spPr>
                      </pic:pic>
                    </a:graphicData>
                  </a:graphic>
                </wp:inline>
              </w:drawing>
            </w:r>
          </w:p>
        </w:tc>
        <w:tc>
          <w:tcPr>
            <w:tcW w:w="2845" w:type="dxa"/>
          </w:tcPr>
          <w:p w:rsidR="00D95798" w:rsidRDefault="00D95798" w:rsidP="00F64317">
            <w:pPr>
              <w:rPr>
                <w:rFonts w:ascii="Times New Roman" w:hAnsi="Times New Roman" w:cs="Times New Roman"/>
                <w:noProof/>
              </w:rPr>
            </w:pPr>
            <w:r w:rsidRPr="00D95798">
              <w:rPr>
                <w:rFonts w:ascii="Times New Roman" w:hAnsi="Times New Roman" w:cs="Times New Roman"/>
                <w:noProof/>
              </w:rPr>
              <w:drawing>
                <wp:inline distT="0" distB="0" distL="0" distR="0">
                  <wp:extent cx="1771650" cy="18542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1854200"/>
                          </a:xfrm>
                          <a:prstGeom prst="rect">
                            <a:avLst/>
                          </a:prstGeom>
                          <a:noFill/>
                          <a:ln>
                            <a:noFill/>
                          </a:ln>
                        </pic:spPr>
                      </pic:pic>
                    </a:graphicData>
                  </a:graphic>
                </wp:inline>
              </w:drawing>
            </w:r>
          </w:p>
        </w:tc>
        <w:tc>
          <w:tcPr>
            <w:tcW w:w="2877" w:type="dxa"/>
          </w:tcPr>
          <w:p w:rsidR="00D95798" w:rsidRDefault="00D95798" w:rsidP="00F64317">
            <w:pPr>
              <w:rPr>
                <w:rFonts w:ascii="Times New Roman" w:hAnsi="Times New Roman" w:cs="Times New Roman"/>
                <w:noProof/>
              </w:rPr>
            </w:pPr>
            <w:r w:rsidRPr="00D95798">
              <w:rPr>
                <w:rFonts w:ascii="Times New Roman" w:hAnsi="Times New Roman" w:cs="Times New Roman"/>
                <w:noProof/>
              </w:rPr>
              <w:drawing>
                <wp:inline distT="0" distB="0" distL="0" distR="0">
                  <wp:extent cx="1701800" cy="1841500"/>
                  <wp:effectExtent l="0" t="0" r="0" b="635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1800" cy="1841500"/>
                          </a:xfrm>
                          <a:prstGeom prst="rect">
                            <a:avLst/>
                          </a:prstGeom>
                          <a:noFill/>
                          <a:ln>
                            <a:noFill/>
                          </a:ln>
                        </pic:spPr>
                      </pic:pic>
                    </a:graphicData>
                  </a:graphic>
                </wp:inline>
              </w:drawing>
            </w:r>
          </w:p>
        </w:tc>
      </w:tr>
      <w:tr w:rsidR="00D95798" w:rsidTr="00C62972">
        <w:trPr>
          <w:trHeight w:val="265"/>
        </w:trPr>
        <w:tc>
          <w:tcPr>
            <w:tcW w:w="3340" w:type="dxa"/>
            <w:tcBorders>
              <w:bottom w:val="nil"/>
            </w:tcBorders>
          </w:tcPr>
          <w:p w:rsidR="00D95798" w:rsidRPr="003A5E75" w:rsidRDefault="003A5E75" w:rsidP="003A5E75">
            <w:pPr>
              <w:jc w:val="center"/>
              <w:rPr>
                <w:rFonts w:ascii="Times New Roman" w:hAnsi="Times New Roman" w:cs="Times New Roman"/>
                <w:noProof/>
                <w:sz w:val="20"/>
                <w:szCs w:val="20"/>
              </w:rPr>
            </w:pPr>
            <w:r w:rsidRPr="003A5E75">
              <w:rPr>
                <w:rFonts w:ascii="Times New Roman" w:hAnsi="Times New Roman" w:cs="Times New Roman"/>
                <w:noProof/>
                <w:sz w:val="20"/>
                <w:szCs w:val="20"/>
              </w:rPr>
              <w:t xml:space="preserve">Marjinal effect of </w:t>
            </w:r>
            <w:r w:rsidR="00D95798" w:rsidRPr="003A5E75">
              <w:rPr>
                <w:rFonts w:ascii="Times New Roman" w:hAnsi="Times New Roman" w:cs="Times New Roman"/>
                <w:noProof/>
                <w:sz w:val="20"/>
                <w:szCs w:val="20"/>
              </w:rPr>
              <w:t>lngpp</w:t>
            </w:r>
            <w:r w:rsidRPr="003A5E75">
              <w:rPr>
                <w:rFonts w:ascii="Times New Roman" w:hAnsi="Times New Roman" w:cs="Times New Roman"/>
                <w:noProof/>
                <w:sz w:val="20"/>
                <w:szCs w:val="20"/>
              </w:rPr>
              <w:t xml:space="preserve"> to </w:t>
            </w:r>
            <w:r w:rsidR="00D95798" w:rsidRPr="003A5E75">
              <w:rPr>
                <w:rFonts w:ascii="Times New Roman" w:hAnsi="Times New Roman" w:cs="Times New Roman"/>
                <w:noProof/>
                <w:sz w:val="20"/>
                <w:szCs w:val="20"/>
              </w:rPr>
              <w:t>lnco</w:t>
            </w:r>
            <w:r w:rsidR="00D95798" w:rsidRPr="00F93BFB">
              <w:rPr>
                <w:rFonts w:ascii="Times New Roman" w:hAnsi="Times New Roman" w:cs="Times New Roman"/>
                <w:noProof/>
                <w:sz w:val="20"/>
                <w:szCs w:val="20"/>
                <w:vertAlign w:val="subscript"/>
              </w:rPr>
              <w:t>2</w:t>
            </w:r>
          </w:p>
        </w:tc>
        <w:tc>
          <w:tcPr>
            <w:tcW w:w="2845" w:type="dxa"/>
            <w:tcBorders>
              <w:bottom w:val="nil"/>
            </w:tcBorders>
          </w:tcPr>
          <w:p w:rsidR="00D95798" w:rsidRPr="003A5E75" w:rsidRDefault="003A5E75" w:rsidP="003A5E75">
            <w:pPr>
              <w:jc w:val="center"/>
              <w:rPr>
                <w:rFonts w:ascii="Times New Roman" w:hAnsi="Times New Roman" w:cs="Times New Roman"/>
                <w:noProof/>
                <w:sz w:val="20"/>
                <w:szCs w:val="20"/>
              </w:rPr>
            </w:pPr>
            <w:r w:rsidRPr="003A5E75">
              <w:rPr>
                <w:rFonts w:ascii="Times New Roman" w:hAnsi="Times New Roman" w:cs="Times New Roman"/>
                <w:noProof/>
                <w:sz w:val="20"/>
                <w:szCs w:val="20"/>
              </w:rPr>
              <w:t>Marjinal effect of lntr to lnco</w:t>
            </w:r>
            <w:r w:rsidRPr="00F93BFB">
              <w:rPr>
                <w:rFonts w:ascii="Times New Roman" w:hAnsi="Times New Roman" w:cs="Times New Roman"/>
                <w:noProof/>
                <w:sz w:val="20"/>
                <w:szCs w:val="20"/>
                <w:vertAlign w:val="subscript"/>
              </w:rPr>
              <w:t>2</w:t>
            </w:r>
          </w:p>
        </w:tc>
        <w:tc>
          <w:tcPr>
            <w:tcW w:w="2877" w:type="dxa"/>
            <w:tcBorders>
              <w:bottom w:val="nil"/>
            </w:tcBorders>
          </w:tcPr>
          <w:p w:rsidR="00D95798" w:rsidRPr="003A5E75" w:rsidRDefault="003A5E75" w:rsidP="003A5E75">
            <w:pPr>
              <w:jc w:val="center"/>
              <w:rPr>
                <w:rFonts w:ascii="Times New Roman" w:hAnsi="Times New Roman" w:cs="Times New Roman"/>
                <w:noProof/>
                <w:sz w:val="20"/>
                <w:szCs w:val="20"/>
              </w:rPr>
            </w:pPr>
            <w:r w:rsidRPr="003A5E75">
              <w:rPr>
                <w:rFonts w:ascii="Times New Roman" w:hAnsi="Times New Roman" w:cs="Times New Roman"/>
                <w:noProof/>
                <w:sz w:val="20"/>
                <w:szCs w:val="20"/>
              </w:rPr>
              <w:t>Marjinal effect of lndr to lnco</w:t>
            </w:r>
            <w:r w:rsidRPr="00F93BFB">
              <w:rPr>
                <w:rFonts w:ascii="Times New Roman" w:hAnsi="Times New Roman" w:cs="Times New Roman"/>
                <w:noProof/>
                <w:sz w:val="20"/>
                <w:szCs w:val="20"/>
                <w:vertAlign w:val="subscript"/>
              </w:rPr>
              <w:t>2</w:t>
            </w:r>
          </w:p>
        </w:tc>
      </w:tr>
      <w:tr w:rsidR="003A5E75" w:rsidTr="00C62972">
        <w:trPr>
          <w:trHeight w:val="265"/>
        </w:trPr>
        <w:tc>
          <w:tcPr>
            <w:tcW w:w="3340" w:type="dxa"/>
            <w:tcBorders>
              <w:top w:val="nil"/>
            </w:tcBorders>
          </w:tcPr>
          <w:p w:rsidR="003A5E75" w:rsidRPr="003A5E75" w:rsidRDefault="003A5E75" w:rsidP="003A5E75">
            <w:pPr>
              <w:jc w:val="center"/>
              <w:rPr>
                <w:rFonts w:ascii="Times New Roman" w:hAnsi="Times New Roman" w:cs="Times New Roman"/>
                <w:noProof/>
                <w:sz w:val="20"/>
                <w:szCs w:val="20"/>
              </w:rPr>
            </w:pPr>
            <w:r w:rsidRPr="003A5E75">
              <w:rPr>
                <w:rFonts w:ascii="Times New Roman" w:hAnsi="Times New Roman" w:cs="Times New Roman"/>
                <w:noProof/>
                <w:sz w:val="20"/>
                <w:szCs w:val="20"/>
              </w:rPr>
              <w:t>(A)</w:t>
            </w:r>
          </w:p>
        </w:tc>
        <w:tc>
          <w:tcPr>
            <w:tcW w:w="2845" w:type="dxa"/>
            <w:tcBorders>
              <w:top w:val="nil"/>
            </w:tcBorders>
          </w:tcPr>
          <w:p w:rsidR="003A5E75" w:rsidRPr="003A5E75" w:rsidRDefault="003A5E75" w:rsidP="003A5E75">
            <w:pPr>
              <w:jc w:val="center"/>
              <w:rPr>
                <w:rFonts w:ascii="Times New Roman" w:hAnsi="Times New Roman" w:cs="Times New Roman"/>
                <w:noProof/>
                <w:sz w:val="20"/>
                <w:szCs w:val="20"/>
              </w:rPr>
            </w:pPr>
            <w:r w:rsidRPr="003A5E75">
              <w:rPr>
                <w:rFonts w:ascii="Times New Roman" w:hAnsi="Times New Roman" w:cs="Times New Roman"/>
                <w:noProof/>
                <w:sz w:val="20"/>
                <w:szCs w:val="20"/>
              </w:rPr>
              <w:t>(B)</w:t>
            </w:r>
          </w:p>
        </w:tc>
        <w:tc>
          <w:tcPr>
            <w:tcW w:w="2877" w:type="dxa"/>
            <w:tcBorders>
              <w:top w:val="nil"/>
            </w:tcBorders>
          </w:tcPr>
          <w:p w:rsidR="003A5E75" w:rsidRPr="003A5E75" w:rsidRDefault="003A5E75" w:rsidP="003A5E75">
            <w:pPr>
              <w:jc w:val="center"/>
              <w:rPr>
                <w:rFonts w:ascii="Times New Roman" w:hAnsi="Times New Roman" w:cs="Times New Roman"/>
                <w:noProof/>
                <w:sz w:val="20"/>
                <w:szCs w:val="20"/>
              </w:rPr>
            </w:pPr>
            <w:r w:rsidRPr="003A5E75">
              <w:rPr>
                <w:rFonts w:ascii="Times New Roman" w:hAnsi="Times New Roman" w:cs="Times New Roman"/>
                <w:noProof/>
                <w:sz w:val="20"/>
                <w:szCs w:val="20"/>
              </w:rPr>
              <w:t>(C)</w:t>
            </w:r>
          </w:p>
        </w:tc>
      </w:tr>
      <w:tr w:rsidR="003A5E75" w:rsidTr="003A5E75">
        <w:trPr>
          <w:trHeight w:val="265"/>
        </w:trPr>
        <w:tc>
          <w:tcPr>
            <w:tcW w:w="9062" w:type="dxa"/>
            <w:gridSpan w:val="3"/>
          </w:tcPr>
          <w:p w:rsidR="003A5E75" w:rsidRPr="00F35B05" w:rsidRDefault="003A5E75" w:rsidP="00F35B05">
            <w:pPr>
              <w:jc w:val="center"/>
              <w:rPr>
                <w:rFonts w:ascii="Times New Roman" w:hAnsi="Times New Roman" w:cs="Times New Roman"/>
                <w:noProof/>
                <w:sz w:val="20"/>
                <w:szCs w:val="20"/>
              </w:rPr>
            </w:pPr>
            <w:r w:rsidRPr="00F35B05">
              <w:rPr>
                <w:rFonts w:ascii="Times New Roman" w:hAnsi="Times New Roman" w:cs="Times New Roman"/>
                <w:noProof/>
                <w:sz w:val="20"/>
                <w:szCs w:val="20"/>
              </w:rPr>
              <w:t>Figure 4: Pointwise marjinal effect plots</w:t>
            </w:r>
          </w:p>
        </w:tc>
      </w:tr>
    </w:tbl>
    <w:p w:rsidR="00496072" w:rsidRPr="00496072" w:rsidRDefault="00496072" w:rsidP="00496072">
      <w:pPr>
        <w:spacing w:before="120" w:after="120"/>
        <w:jc w:val="both"/>
        <w:rPr>
          <w:rFonts w:ascii="Times New Roman" w:hAnsi="Times New Roman" w:cs="Times New Roman"/>
          <w:sz w:val="24"/>
          <w:szCs w:val="24"/>
          <w:lang w:val="en-US"/>
        </w:rPr>
      </w:pPr>
      <w:r w:rsidRPr="00496072">
        <w:rPr>
          <w:rFonts w:ascii="Times New Roman" w:hAnsi="Times New Roman" w:cs="Times New Roman"/>
          <w:sz w:val="24"/>
          <w:szCs w:val="24"/>
          <w:lang w:val="en-US"/>
        </w:rPr>
        <w:t>According to Figure 4 (A), the effect of high-level increases in lngpp on lnco</w:t>
      </w:r>
      <w:r w:rsidRPr="002A528F">
        <w:rPr>
          <w:rFonts w:ascii="Times New Roman" w:hAnsi="Times New Roman" w:cs="Times New Roman"/>
          <w:sz w:val="24"/>
          <w:szCs w:val="24"/>
          <w:vertAlign w:val="subscript"/>
          <w:lang w:val="en-US"/>
        </w:rPr>
        <w:t>2</w:t>
      </w:r>
      <w:r w:rsidRPr="00496072">
        <w:rPr>
          <w:rFonts w:ascii="Times New Roman" w:hAnsi="Times New Roman" w:cs="Times New Roman"/>
          <w:sz w:val="24"/>
          <w:szCs w:val="24"/>
          <w:lang w:val="en-US"/>
        </w:rPr>
        <w:t xml:space="preserve"> continues up to a certain point, after this point (the first threshold point), the effect of lngpp on lnco</w:t>
      </w:r>
      <w:r w:rsidRPr="002A528F">
        <w:rPr>
          <w:rFonts w:ascii="Times New Roman" w:hAnsi="Times New Roman" w:cs="Times New Roman"/>
          <w:sz w:val="24"/>
          <w:szCs w:val="24"/>
          <w:vertAlign w:val="subscript"/>
          <w:lang w:val="en-US"/>
        </w:rPr>
        <w:t>2</w:t>
      </w:r>
      <w:r w:rsidRPr="00496072">
        <w:rPr>
          <w:rFonts w:ascii="Times New Roman" w:hAnsi="Times New Roman" w:cs="Times New Roman"/>
          <w:sz w:val="24"/>
          <w:szCs w:val="24"/>
          <w:lang w:val="en-US"/>
        </w:rPr>
        <w:t xml:space="preserve"> disappears, but after this second threshold, it enters an increasing trend in both series. According to Figure 4 (B), increases in lntr are accompanied by asymmetric lnco</w:t>
      </w:r>
      <w:r w:rsidRPr="00F93BFB">
        <w:rPr>
          <w:rFonts w:ascii="Times New Roman" w:hAnsi="Times New Roman" w:cs="Times New Roman"/>
          <w:sz w:val="24"/>
          <w:szCs w:val="24"/>
          <w:vertAlign w:val="subscript"/>
          <w:lang w:val="en-US"/>
        </w:rPr>
        <w:t>2</w:t>
      </w:r>
      <w:r w:rsidRPr="00496072">
        <w:rPr>
          <w:rFonts w:ascii="Times New Roman" w:hAnsi="Times New Roman" w:cs="Times New Roman"/>
          <w:sz w:val="24"/>
          <w:szCs w:val="24"/>
          <w:lang w:val="en-US"/>
        </w:rPr>
        <w:t>. The same cannot be said for lndr (C).</w:t>
      </w:r>
    </w:p>
    <w:p w:rsidR="00940DBB" w:rsidRPr="004E3F57" w:rsidRDefault="00940DBB" w:rsidP="00940DBB">
      <w:pPr>
        <w:widowControl w:val="0"/>
        <w:autoSpaceDE w:val="0"/>
        <w:autoSpaceDN w:val="0"/>
        <w:adjustRightInd w:val="0"/>
        <w:spacing w:after="200" w:line="276" w:lineRule="auto"/>
        <w:rPr>
          <w:rFonts w:ascii="Times New Roman" w:hAnsi="Times New Roman"/>
          <w:b/>
          <w:bCs/>
          <w:sz w:val="24"/>
          <w:szCs w:val="24"/>
          <w:lang w:val="en-US"/>
        </w:rPr>
      </w:pPr>
      <w:r w:rsidRPr="004E3F57">
        <w:rPr>
          <w:rFonts w:ascii="Times New Roman" w:hAnsi="Times New Roman"/>
          <w:b/>
          <w:bCs/>
          <w:sz w:val="24"/>
          <w:szCs w:val="24"/>
          <w:lang w:val="en-US"/>
        </w:rPr>
        <w:t>Conclusion</w:t>
      </w:r>
      <w:r w:rsidR="00A1024A">
        <w:rPr>
          <w:rFonts w:ascii="Times New Roman" w:hAnsi="Times New Roman"/>
          <w:b/>
          <w:bCs/>
          <w:sz w:val="24"/>
          <w:szCs w:val="24"/>
          <w:lang w:val="en-US"/>
        </w:rPr>
        <w:t xml:space="preserve"> and </w:t>
      </w:r>
      <w:r w:rsidR="00A1024A" w:rsidRPr="004E3F57">
        <w:rPr>
          <w:rFonts w:ascii="Times New Roman" w:hAnsi="Times New Roman" w:cs="Times New Roman"/>
          <w:b/>
          <w:bCs/>
          <w:sz w:val="24"/>
          <w:szCs w:val="24"/>
          <w:lang w:val="en-US"/>
        </w:rPr>
        <w:t>Discussion</w:t>
      </w:r>
    </w:p>
    <w:p w:rsidR="00AB2CE8" w:rsidRPr="00AB2CE8" w:rsidRDefault="00D8119C" w:rsidP="002E7463">
      <w:pPr>
        <w:widowControl w:val="0"/>
        <w:autoSpaceDE w:val="0"/>
        <w:autoSpaceDN w:val="0"/>
        <w:adjustRightInd w:val="0"/>
        <w:spacing w:after="200" w:line="276" w:lineRule="auto"/>
        <w:jc w:val="both"/>
        <w:rPr>
          <w:rFonts w:ascii="Times New Roman" w:hAnsi="Times New Roman"/>
          <w:sz w:val="24"/>
          <w:szCs w:val="24"/>
          <w:lang w:val="en-US"/>
        </w:rPr>
      </w:pPr>
      <w:r>
        <w:rPr>
          <w:rFonts w:ascii="Times New Roman" w:hAnsi="Times New Roman"/>
          <w:sz w:val="24"/>
          <w:szCs w:val="24"/>
          <w:lang w:val="en-US"/>
        </w:rPr>
        <w:t>We</w:t>
      </w:r>
      <w:r w:rsidR="00F231DF">
        <w:rPr>
          <w:rFonts w:ascii="Times New Roman" w:hAnsi="Times New Roman"/>
          <w:sz w:val="24"/>
          <w:szCs w:val="24"/>
          <w:lang w:val="en-US"/>
        </w:rPr>
        <w:t xml:space="preserve"> </w:t>
      </w:r>
      <w:r w:rsidR="00375FF2">
        <w:rPr>
          <w:rFonts w:ascii="Times New Roman" w:hAnsi="Times New Roman"/>
          <w:sz w:val="24"/>
          <w:szCs w:val="24"/>
          <w:lang w:val="en-US"/>
        </w:rPr>
        <w:t>work out</w:t>
      </w:r>
      <w:r w:rsidR="00AB2CE8" w:rsidRPr="00AB2CE8">
        <w:rPr>
          <w:rFonts w:ascii="Times New Roman" w:hAnsi="Times New Roman"/>
          <w:sz w:val="24"/>
          <w:szCs w:val="24"/>
          <w:lang w:val="en-US"/>
        </w:rPr>
        <w:t xml:space="preserve"> the effectiveness of fiscal and monetary policies in reducing per capita </w:t>
      </w:r>
      <w:r w:rsidR="00F47CDF">
        <w:rPr>
          <w:rFonts w:ascii="Times New Roman" w:hAnsi="Times New Roman"/>
          <w:sz w:val="24"/>
          <w:szCs w:val="24"/>
          <w:lang w:val="en-US"/>
        </w:rPr>
        <w:t>CO</w:t>
      </w:r>
      <w:r w:rsidR="00F47CDF" w:rsidRPr="00F47CDF">
        <w:rPr>
          <w:rFonts w:ascii="Times New Roman" w:hAnsi="Times New Roman"/>
          <w:sz w:val="24"/>
          <w:szCs w:val="24"/>
          <w:vertAlign w:val="subscript"/>
          <w:lang w:val="en-US"/>
        </w:rPr>
        <w:t>2</w:t>
      </w:r>
      <w:r w:rsidR="00F47CDF">
        <w:rPr>
          <w:rFonts w:ascii="Times New Roman" w:hAnsi="Times New Roman"/>
          <w:sz w:val="24"/>
          <w:szCs w:val="24"/>
          <w:lang w:val="en-US"/>
        </w:rPr>
        <w:t xml:space="preserve">e </w:t>
      </w:r>
      <w:r w:rsidR="00AB2CE8" w:rsidRPr="00AB2CE8">
        <w:rPr>
          <w:rFonts w:ascii="Times New Roman" w:hAnsi="Times New Roman"/>
          <w:sz w:val="24"/>
          <w:szCs w:val="24"/>
          <w:lang w:val="en-US"/>
        </w:rPr>
        <w:t xml:space="preserve">based on annual data from the USA. For this, we preferred the discount rate, which is preferred in the literature, to represent monetary policies. We used the </w:t>
      </w:r>
      <w:r w:rsidR="00DC5176">
        <w:rPr>
          <w:rFonts w:ascii="Times New Roman" w:hAnsi="Times New Roman"/>
          <w:sz w:val="24"/>
          <w:szCs w:val="24"/>
          <w:lang w:val="en-US"/>
        </w:rPr>
        <w:t>G</w:t>
      </w:r>
      <w:r w:rsidR="002A528F">
        <w:rPr>
          <w:rFonts w:ascii="Times New Roman" w:hAnsi="Times New Roman"/>
          <w:sz w:val="24"/>
          <w:szCs w:val="24"/>
          <w:lang w:val="en-US"/>
        </w:rPr>
        <w:t>dp</w:t>
      </w:r>
      <w:r w:rsidR="00AB2CE8" w:rsidRPr="00AB2CE8">
        <w:rPr>
          <w:rFonts w:ascii="Times New Roman" w:hAnsi="Times New Roman"/>
          <w:sz w:val="24"/>
          <w:szCs w:val="24"/>
          <w:lang w:val="en-US"/>
        </w:rPr>
        <w:t xml:space="preserve"> ratio of total public expenditures and the ratio of Total Tax revenues to </w:t>
      </w:r>
      <w:r w:rsidR="00DC5176">
        <w:rPr>
          <w:rFonts w:ascii="Times New Roman" w:hAnsi="Times New Roman"/>
          <w:sz w:val="24"/>
          <w:szCs w:val="24"/>
          <w:lang w:val="en-US"/>
        </w:rPr>
        <w:t>G</w:t>
      </w:r>
      <w:r w:rsidR="002A528F">
        <w:rPr>
          <w:rFonts w:ascii="Times New Roman" w:hAnsi="Times New Roman"/>
          <w:sz w:val="24"/>
          <w:szCs w:val="24"/>
          <w:lang w:val="en-US"/>
        </w:rPr>
        <w:t>dp</w:t>
      </w:r>
      <w:r w:rsidR="00AB2CE8" w:rsidRPr="00AB2CE8">
        <w:rPr>
          <w:rFonts w:ascii="Times New Roman" w:hAnsi="Times New Roman"/>
          <w:sz w:val="24"/>
          <w:szCs w:val="24"/>
          <w:lang w:val="en-US"/>
        </w:rPr>
        <w:t xml:space="preserve"> to represent fiscal policies</w:t>
      </w:r>
      <w:r w:rsidR="002E7463" w:rsidRPr="00AB2CE8">
        <w:rPr>
          <w:rFonts w:ascii="Times New Roman" w:hAnsi="Times New Roman"/>
          <w:sz w:val="24"/>
          <w:szCs w:val="24"/>
          <w:lang w:val="en-US"/>
        </w:rPr>
        <w:t xml:space="preserve">. </w:t>
      </w:r>
      <w:r w:rsidR="00AB2CE8" w:rsidRPr="00AB2CE8">
        <w:rPr>
          <w:rFonts w:ascii="Times New Roman" w:hAnsi="Times New Roman"/>
          <w:sz w:val="24"/>
          <w:szCs w:val="24"/>
          <w:lang w:val="en-US"/>
        </w:rPr>
        <w:t xml:space="preserve">We added to our model per capita </w:t>
      </w:r>
      <w:r w:rsidR="00DC5176">
        <w:rPr>
          <w:rFonts w:ascii="Times New Roman" w:hAnsi="Times New Roman"/>
          <w:sz w:val="24"/>
          <w:szCs w:val="24"/>
          <w:lang w:val="en-US"/>
        </w:rPr>
        <w:t>G</w:t>
      </w:r>
      <w:r w:rsidR="002A528F">
        <w:rPr>
          <w:rFonts w:ascii="Times New Roman" w:hAnsi="Times New Roman"/>
          <w:sz w:val="24"/>
          <w:szCs w:val="24"/>
          <w:lang w:val="en-US"/>
        </w:rPr>
        <w:t>dp</w:t>
      </w:r>
      <w:r w:rsidR="00AB2CE8" w:rsidRPr="00AB2CE8">
        <w:rPr>
          <w:rFonts w:ascii="Times New Roman" w:hAnsi="Times New Roman"/>
          <w:sz w:val="24"/>
          <w:szCs w:val="24"/>
          <w:lang w:val="en-US"/>
        </w:rPr>
        <w:t xml:space="preserve"> as a control variable. </w:t>
      </w:r>
    </w:p>
    <w:p w:rsidR="00AB2CE8" w:rsidRPr="00AB2CE8" w:rsidRDefault="00AB2CE8" w:rsidP="002E7463">
      <w:pPr>
        <w:widowControl w:val="0"/>
        <w:autoSpaceDE w:val="0"/>
        <w:autoSpaceDN w:val="0"/>
        <w:adjustRightInd w:val="0"/>
        <w:spacing w:after="200" w:line="276" w:lineRule="auto"/>
        <w:jc w:val="both"/>
        <w:rPr>
          <w:rFonts w:ascii="Times New Roman" w:hAnsi="Times New Roman"/>
          <w:sz w:val="24"/>
          <w:szCs w:val="24"/>
          <w:lang w:val="en-US"/>
        </w:rPr>
      </w:pPr>
      <w:r w:rsidRPr="00AB2CE8">
        <w:rPr>
          <w:rFonts w:ascii="Times New Roman" w:hAnsi="Times New Roman"/>
          <w:sz w:val="24"/>
          <w:szCs w:val="24"/>
          <w:lang w:val="en-US"/>
        </w:rPr>
        <w:t xml:space="preserve">From this point of view, are fiscal or monetary policies effective in reducing </w:t>
      </w:r>
      <w:r w:rsidR="00F47CDF">
        <w:rPr>
          <w:rFonts w:ascii="Times New Roman" w:hAnsi="Times New Roman"/>
          <w:sz w:val="24"/>
          <w:szCs w:val="24"/>
          <w:lang w:val="en-US"/>
        </w:rPr>
        <w:t>CO</w:t>
      </w:r>
      <w:r w:rsidR="00F47CDF" w:rsidRPr="00F47CDF">
        <w:rPr>
          <w:rFonts w:ascii="Times New Roman" w:hAnsi="Times New Roman"/>
          <w:sz w:val="24"/>
          <w:szCs w:val="24"/>
          <w:vertAlign w:val="subscript"/>
          <w:lang w:val="en-US"/>
        </w:rPr>
        <w:t>2</w:t>
      </w:r>
      <w:r w:rsidR="00F47CDF">
        <w:rPr>
          <w:rFonts w:ascii="Times New Roman" w:hAnsi="Times New Roman"/>
          <w:sz w:val="24"/>
          <w:szCs w:val="24"/>
          <w:lang w:val="en-US"/>
        </w:rPr>
        <w:t xml:space="preserve">e </w:t>
      </w:r>
      <w:r w:rsidRPr="00AB2CE8">
        <w:rPr>
          <w:rFonts w:ascii="Times New Roman" w:hAnsi="Times New Roman"/>
          <w:sz w:val="24"/>
          <w:szCs w:val="24"/>
          <w:lang w:val="en-US"/>
        </w:rPr>
        <w:t>in the USA? We sought an answer to his question. To answer the question, we employed the KRLS method, which has a novel non-linear and machine learning algorithm.</w:t>
      </w:r>
    </w:p>
    <w:p w:rsidR="00213059" w:rsidRDefault="00AB2CE8" w:rsidP="00213059">
      <w:pPr>
        <w:widowControl w:val="0"/>
        <w:autoSpaceDE w:val="0"/>
        <w:autoSpaceDN w:val="0"/>
        <w:adjustRightInd w:val="0"/>
        <w:spacing w:after="200" w:line="276" w:lineRule="auto"/>
        <w:jc w:val="both"/>
        <w:rPr>
          <w:rFonts w:ascii="Times New Roman" w:hAnsi="Times New Roman" w:cs="Times New Roman"/>
          <w:sz w:val="24"/>
          <w:szCs w:val="24"/>
          <w:lang w:val="en-US"/>
        </w:rPr>
      </w:pPr>
      <w:r w:rsidRPr="00AB2CE8">
        <w:rPr>
          <w:rFonts w:ascii="Times New Roman" w:hAnsi="Times New Roman"/>
          <w:sz w:val="24"/>
          <w:szCs w:val="24"/>
          <w:lang w:val="en-US"/>
        </w:rPr>
        <w:t xml:space="preserve">Our findings show that as per capita income increases, per capita </w:t>
      </w:r>
      <w:r w:rsidR="00F47CDF">
        <w:rPr>
          <w:rFonts w:ascii="Times New Roman" w:hAnsi="Times New Roman"/>
          <w:sz w:val="24"/>
          <w:szCs w:val="24"/>
          <w:lang w:val="en-US"/>
        </w:rPr>
        <w:t>CO</w:t>
      </w:r>
      <w:r w:rsidR="00F47CDF" w:rsidRPr="00F47CDF">
        <w:rPr>
          <w:rFonts w:ascii="Times New Roman" w:hAnsi="Times New Roman"/>
          <w:sz w:val="24"/>
          <w:szCs w:val="24"/>
          <w:vertAlign w:val="subscript"/>
          <w:lang w:val="en-US"/>
        </w:rPr>
        <w:t>2</w:t>
      </w:r>
      <w:r w:rsidR="00F47CDF">
        <w:rPr>
          <w:rFonts w:ascii="Times New Roman" w:hAnsi="Times New Roman"/>
          <w:sz w:val="24"/>
          <w:szCs w:val="24"/>
          <w:lang w:val="en-US"/>
        </w:rPr>
        <w:t xml:space="preserve">e </w:t>
      </w:r>
      <w:r w:rsidRPr="00AB2CE8">
        <w:rPr>
          <w:rFonts w:ascii="Times New Roman" w:hAnsi="Times New Roman"/>
          <w:sz w:val="24"/>
          <w:szCs w:val="24"/>
          <w:lang w:val="en-US"/>
        </w:rPr>
        <w:t xml:space="preserve">decrease. Another important finding for us answered the main question of this </w:t>
      </w:r>
      <w:r w:rsidR="009A2493">
        <w:rPr>
          <w:rFonts w:ascii="Times New Roman" w:hAnsi="Times New Roman"/>
          <w:sz w:val="24"/>
          <w:szCs w:val="24"/>
          <w:lang w:val="en-US"/>
        </w:rPr>
        <w:t>paper</w:t>
      </w:r>
      <w:r w:rsidRPr="00AB2CE8">
        <w:rPr>
          <w:rFonts w:ascii="Times New Roman" w:hAnsi="Times New Roman"/>
          <w:sz w:val="24"/>
          <w:szCs w:val="24"/>
          <w:lang w:val="en-US"/>
        </w:rPr>
        <w:t xml:space="preserve">: Tax policies, one of the leading fiscal policies, reveal carbon emission reduction effects for the USA. On the other hand, monetary policies (discount rate) increase carbon emissions. Finally, we do not have statistically significant evidence for the impact of government </w:t>
      </w:r>
      <w:r w:rsidR="00656754">
        <w:rPr>
          <w:rFonts w:ascii="Times New Roman" w:hAnsi="Times New Roman"/>
          <w:sz w:val="24"/>
          <w:szCs w:val="24"/>
          <w:lang w:val="en-US"/>
        </w:rPr>
        <w:t>expenditure</w:t>
      </w:r>
      <w:r w:rsidRPr="00AB2CE8">
        <w:rPr>
          <w:rFonts w:ascii="Times New Roman" w:hAnsi="Times New Roman"/>
          <w:sz w:val="24"/>
          <w:szCs w:val="24"/>
          <w:lang w:val="en-US"/>
        </w:rPr>
        <w:t xml:space="preserve"> on </w:t>
      </w:r>
      <w:r w:rsidR="00F47CDF">
        <w:rPr>
          <w:rFonts w:ascii="Times New Roman" w:hAnsi="Times New Roman"/>
          <w:sz w:val="24"/>
          <w:szCs w:val="24"/>
          <w:lang w:val="en-US"/>
        </w:rPr>
        <w:t>CO</w:t>
      </w:r>
      <w:r w:rsidR="00F47CDF" w:rsidRPr="00F47CDF">
        <w:rPr>
          <w:rFonts w:ascii="Times New Roman" w:hAnsi="Times New Roman"/>
          <w:sz w:val="24"/>
          <w:szCs w:val="24"/>
          <w:vertAlign w:val="subscript"/>
          <w:lang w:val="en-US"/>
        </w:rPr>
        <w:t>2</w:t>
      </w:r>
      <w:r w:rsidR="00F47CDF">
        <w:rPr>
          <w:rFonts w:ascii="Times New Roman" w:hAnsi="Times New Roman"/>
          <w:sz w:val="24"/>
          <w:szCs w:val="24"/>
          <w:lang w:val="en-US"/>
        </w:rPr>
        <w:t xml:space="preserve">e </w:t>
      </w:r>
      <w:r w:rsidRPr="00AB2CE8">
        <w:rPr>
          <w:rFonts w:ascii="Times New Roman" w:hAnsi="Times New Roman"/>
          <w:sz w:val="24"/>
          <w:szCs w:val="24"/>
          <w:lang w:val="en-US"/>
        </w:rPr>
        <w:t xml:space="preserve">per capita. So, we answer that fiscal policy is more effective for reducing </w:t>
      </w:r>
      <w:r w:rsidR="00F47CDF">
        <w:rPr>
          <w:rFonts w:ascii="Times New Roman" w:hAnsi="Times New Roman"/>
          <w:sz w:val="24"/>
          <w:szCs w:val="24"/>
          <w:lang w:val="en-US"/>
        </w:rPr>
        <w:t>CO</w:t>
      </w:r>
      <w:r w:rsidR="00F47CDF" w:rsidRPr="00F47CDF">
        <w:rPr>
          <w:rFonts w:ascii="Times New Roman" w:hAnsi="Times New Roman"/>
          <w:sz w:val="24"/>
          <w:szCs w:val="24"/>
          <w:vertAlign w:val="subscript"/>
          <w:lang w:val="en-US"/>
        </w:rPr>
        <w:t>2</w:t>
      </w:r>
      <w:r w:rsidR="00F47CDF">
        <w:rPr>
          <w:rFonts w:ascii="Times New Roman" w:hAnsi="Times New Roman"/>
          <w:sz w:val="24"/>
          <w:szCs w:val="24"/>
          <w:lang w:val="en-US"/>
        </w:rPr>
        <w:t xml:space="preserve">e </w:t>
      </w:r>
      <w:r w:rsidRPr="00AB2CE8">
        <w:rPr>
          <w:rFonts w:ascii="Times New Roman" w:hAnsi="Times New Roman"/>
          <w:sz w:val="24"/>
          <w:szCs w:val="24"/>
          <w:lang w:val="en-US"/>
        </w:rPr>
        <w:t>in the USA than monetary policy.</w:t>
      </w:r>
      <w:r w:rsidR="00F231DF">
        <w:rPr>
          <w:rFonts w:ascii="Times New Roman" w:hAnsi="Times New Roman"/>
          <w:sz w:val="24"/>
          <w:szCs w:val="24"/>
          <w:lang w:val="en-US"/>
        </w:rPr>
        <w:t xml:space="preserve"> </w:t>
      </w:r>
      <w:r w:rsidR="00213059" w:rsidRPr="00213059">
        <w:rPr>
          <w:rFonts w:ascii="Times New Roman" w:hAnsi="Times New Roman" w:cs="Times New Roman"/>
          <w:sz w:val="24"/>
          <w:szCs w:val="24"/>
          <w:lang w:val="en-US"/>
        </w:rPr>
        <w:t xml:space="preserve">Our findings are in agreement with the findings of Chien et. al. (2021) and Ullah (2020) for developed countries. But it is not in agreement with the findings of Chisti et. al. (2021) and Özmen </w:t>
      </w:r>
      <w:r w:rsidR="00631C13">
        <w:rPr>
          <w:rFonts w:ascii="Times New Roman" w:hAnsi="Times New Roman" w:cs="Times New Roman"/>
          <w:sz w:val="24"/>
          <w:szCs w:val="24"/>
          <w:lang w:val="en-US"/>
        </w:rPr>
        <w:t>et. al.</w:t>
      </w:r>
      <w:r w:rsidR="00213059" w:rsidRPr="00213059">
        <w:rPr>
          <w:rFonts w:ascii="Times New Roman" w:hAnsi="Times New Roman" w:cs="Times New Roman"/>
          <w:sz w:val="24"/>
          <w:szCs w:val="24"/>
          <w:lang w:val="en-US"/>
        </w:rPr>
        <w:t xml:space="preserve"> (2022). It may be that the sample investigated in these studies is not similar to the USA</w:t>
      </w:r>
      <w:r w:rsidR="00B80325">
        <w:rPr>
          <w:rFonts w:ascii="Times New Roman" w:hAnsi="Times New Roman" w:cs="Times New Roman"/>
          <w:sz w:val="24"/>
          <w:szCs w:val="24"/>
          <w:lang w:val="en-US"/>
        </w:rPr>
        <w:t xml:space="preserve">. </w:t>
      </w:r>
      <w:r w:rsidR="00B80325" w:rsidRPr="00B80325">
        <w:rPr>
          <w:rFonts w:ascii="Times New Roman" w:hAnsi="Times New Roman" w:cs="Times New Roman"/>
          <w:sz w:val="24"/>
          <w:szCs w:val="24"/>
          <w:lang w:val="en-US"/>
        </w:rPr>
        <w:t>Our methodological approach and period differ from theirs.</w:t>
      </w:r>
    </w:p>
    <w:p w:rsidR="00942D4E" w:rsidRPr="00213059" w:rsidRDefault="00942D4E" w:rsidP="00213059">
      <w:pPr>
        <w:widowControl w:val="0"/>
        <w:autoSpaceDE w:val="0"/>
        <w:autoSpaceDN w:val="0"/>
        <w:adjustRightInd w:val="0"/>
        <w:spacing w:after="200" w:line="276" w:lineRule="auto"/>
        <w:jc w:val="both"/>
        <w:rPr>
          <w:rFonts w:ascii="Times New Roman" w:hAnsi="Times New Roman"/>
          <w:sz w:val="24"/>
          <w:szCs w:val="24"/>
          <w:lang w:val="en-US"/>
        </w:rPr>
      </w:pPr>
    </w:p>
    <w:p w:rsidR="002E7463" w:rsidRDefault="002E7463" w:rsidP="002E7463">
      <w:pPr>
        <w:widowControl w:val="0"/>
        <w:autoSpaceDE w:val="0"/>
        <w:autoSpaceDN w:val="0"/>
        <w:adjustRightInd w:val="0"/>
        <w:spacing w:after="200" w:line="276" w:lineRule="auto"/>
        <w:jc w:val="both"/>
        <w:rPr>
          <w:rFonts w:ascii="Times New Roman" w:hAnsi="Times New Roman"/>
          <w:sz w:val="24"/>
          <w:szCs w:val="24"/>
        </w:rPr>
      </w:pPr>
    </w:p>
    <w:p w:rsidR="00EF25EF" w:rsidRDefault="00EF25EF">
      <w:pPr>
        <w:rPr>
          <w:rFonts w:ascii="Times New Roman" w:hAnsi="Times New Roman"/>
          <w:sz w:val="24"/>
          <w:szCs w:val="24"/>
        </w:rPr>
      </w:pPr>
    </w:p>
    <w:p w:rsidR="00DF0582" w:rsidRPr="00332ECE" w:rsidRDefault="00DF0582" w:rsidP="00DF0582">
      <w:pPr>
        <w:rPr>
          <w:rFonts w:ascii="Times New Roman" w:hAnsi="Times New Roman" w:cs="Times New Roman"/>
          <w:b/>
          <w:bCs/>
          <w:sz w:val="24"/>
          <w:szCs w:val="24"/>
          <w:lang w:val="en-US"/>
        </w:rPr>
      </w:pPr>
      <w:r w:rsidRPr="00332ECE">
        <w:rPr>
          <w:rFonts w:ascii="Times New Roman" w:hAnsi="Times New Roman" w:cs="Times New Roman"/>
          <w:b/>
          <w:bCs/>
          <w:sz w:val="24"/>
          <w:szCs w:val="24"/>
          <w:lang w:val="en-US"/>
        </w:rPr>
        <w:lastRenderedPageBreak/>
        <w:t>Refences</w:t>
      </w:r>
    </w:p>
    <w:p w:rsidR="00DF0582" w:rsidRPr="0012786C" w:rsidRDefault="00DF0582" w:rsidP="00DF0582">
      <w:pPr>
        <w:spacing w:before="120" w:after="120"/>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Adua, L., Clark, B., York, R. (2021), “The Ineffectiveness of Efficiency: </w:t>
      </w:r>
      <w:r w:rsidR="00CA2780" w:rsidRPr="0012786C">
        <w:rPr>
          <w:rFonts w:ascii="Times New Roman" w:hAnsi="Times New Roman" w:cs="Times New Roman"/>
          <w:sz w:val="24"/>
          <w:szCs w:val="24"/>
          <w:lang w:val="en-US"/>
        </w:rPr>
        <w:t>T</w:t>
      </w:r>
      <w:r w:rsidRPr="0012786C">
        <w:rPr>
          <w:rFonts w:ascii="Times New Roman" w:hAnsi="Times New Roman" w:cs="Times New Roman"/>
          <w:sz w:val="24"/>
          <w:szCs w:val="24"/>
          <w:lang w:val="en-US"/>
        </w:rPr>
        <w:t xml:space="preserve">he Paradoxical Effects of State Policy on Energy Consumption in the United States”, </w:t>
      </w:r>
      <w:r w:rsidRPr="0012786C">
        <w:rPr>
          <w:rFonts w:ascii="Times New Roman" w:hAnsi="Times New Roman" w:cs="Times New Roman"/>
          <w:i/>
          <w:sz w:val="24"/>
          <w:szCs w:val="24"/>
          <w:lang w:val="en-US"/>
        </w:rPr>
        <w:t>Energy Research &amp; Social Science</w:t>
      </w:r>
      <w:r w:rsidRPr="0012786C">
        <w:rPr>
          <w:rFonts w:ascii="Times New Roman" w:hAnsi="Times New Roman" w:cs="Times New Roman"/>
          <w:sz w:val="24"/>
          <w:szCs w:val="24"/>
          <w:lang w:val="en-US"/>
        </w:rPr>
        <w:t>, 71, 101806.</w:t>
      </w:r>
    </w:p>
    <w:p w:rsidR="00DF0582" w:rsidRPr="0012786C" w:rsidRDefault="00DF0582" w:rsidP="00DF0582">
      <w:pPr>
        <w:spacing w:before="120" w:after="120"/>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Ahmed, Z., Cary, M., Shahbaz, M., Vo, X. V. (2021), “Asymetric Nexus between Economic Policy Uncertainty, Renewable Energy Technology Budgets, and Environmental Sustainability: Evidence from the United States”, </w:t>
      </w:r>
      <w:r w:rsidRPr="0012786C">
        <w:rPr>
          <w:rFonts w:ascii="Times New Roman" w:hAnsi="Times New Roman" w:cs="Times New Roman"/>
          <w:i/>
          <w:sz w:val="24"/>
          <w:szCs w:val="24"/>
          <w:lang w:val="en-US"/>
        </w:rPr>
        <w:t>Journal of Cleaner Production</w:t>
      </w:r>
      <w:r w:rsidRPr="0012786C">
        <w:rPr>
          <w:rFonts w:ascii="Times New Roman" w:hAnsi="Times New Roman" w:cs="Times New Roman"/>
          <w:sz w:val="24"/>
          <w:szCs w:val="24"/>
          <w:lang w:val="en-US"/>
        </w:rPr>
        <w:t>, 313, 117723.</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Apergis, N., Payne, J.E. (2010), “Energy</w:t>
      </w:r>
      <w:r w:rsidR="00583501">
        <w:rPr>
          <w:rFonts w:ascii="Times New Roman" w:hAnsi="Times New Roman" w:cs="Times New Roman"/>
          <w:sz w:val="24"/>
          <w:szCs w:val="24"/>
        </w:rPr>
        <w:t xml:space="preserve"> C</w:t>
      </w:r>
      <w:r w:rsidRPr="0012786C">
        <w:rPr>
          <w:rFonts w:ascii="Times New Roman" w:hAnsi="Times New Roman" w:cs="Times New Roman"/>
          <w:sz w:val="24"/>
          <w:szCs w:val="24"/>
        </w:rPr>
        <w:t>onsumption</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and</w:t>
      </w:r>
      <w:r w:rsidR="00583501">
        <w:rPr>
          <w:rFonts w:ascii="Times New Roman" w:hAnsi="Times New Roman" w:cs="Times New Roman"/>
          <w:sz w:val="24"/>
          <w:szCs w:val="24"/>
        </w:rPr>
        <w:t xml:space="preserve"> G</w:t>
      </w:r>
      <w:r w:rsidRPr="0012786C">
        <w:rPr>
          <w:rFonts w:ascii="Times New Roman" w:hAnsi="Times New Roman" w:cs="Times New Roman"/>
          <w:sz w:val="24"/>
          <w:szCs w:val="24"/>
        </w:rPr>
        <w:t xml:space="preserve">rowth in South America: </w:t>
      </w:r>
      <w:r w:rsidR="00583501">
        <w:rPr>
          <w:rFonts w:ascii="Times New Roman" w:hAnsi="Times New Roman" w:cs="Times New Roman"/>
          <w:sz w:val="24"/>
          <w:szCs w:val="24"/>
        </w:rPr>
        <w:t>E</w:t>
      </w:r>
      <w:r w:rsidRPr="0012786C">
        <w:rPr>
          <w:rFonts w:ascii="Times New Roman" w:hAnsi="Times New Roman" w:cs="Times New Roman"/>
          <w:sz w:val="24"/>
          <w:szCs w:val="24"/>
        </w:rPr>
        <w:t>vidence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 xml:space="preserve">from </w:t>
      </w:r>
      <w:r w:rsidR="00583501">
        <w:rPr>
          <w:rFonts w:ascii="Times New Roman" w:hAnsi="Times New Roman" w:cs="Times New Roman"/>
          <w:sz w:val="24"/>
          <w:szCs w:val="24"/>
        </w:rPr>
        <w:t>A</w:t>
      </w:r>
      <w:r w:rsidRPr="0012786C">
        <w:rPr>
          <w:rFonts w:ascii="Times New Roman" w:hAnsi="Times New Roman" w:cs="Times New Roman"/>
          <w:sz w:val="24"/>
          <w:szCs w:val="24"/>
        </w:rPr>
        <w:t xml:space="preserve"> </w:t>
      </w:r>
      <w:r w:rsidR="00583501">
        <w:rPr>
          <w:rFonts w:ascii="Times New Roman" w:hAnsi="Times New Roman" w:cs="Times New Roman"/>
          <w:sz w:val="24"/>
          <w:szCs w:val="24"/>
        </w:rPr>
        <w:t>P</w:t>
      </w:r>
      <w:r w:rsidRPr="0012786C">
        <w:rPr>
          <w:rFonts w:ascii="Times New Roman" w:hAnsi="Times New Roman" w:cs="Times New Roman"/>
          <w:sz w:val="24"/>
          <w:szCs w:val="24"/>
        </w:rPr>
        <w:t xml:space="preserve">anel </w:t>
      </w:r>
      <w:r w:rsidR="00583501">
        <w:rPr>
          <w:rFonts w:ascii="Times New Roman" w:hAnsi="Times New Roman" w:cs="Times New Roman"/>
          <w:sz w:val="24"/>
          <w:szCs w:val="24"/>
        </w:rPr>
        <w:t>E</w:t>
      </w:r>
      <w:r w:rsidRPr="0012786C">
        <w:rPr>
          <w:rFonts w:ascii="Times New Roman" w:hAnsi="Times New Roman" w:cs="Times New Roman"/>
          <w:sz w:val="24"/>
          <w:szCs w:val="24"/>
        </w:rPr>
        <w:t>rror</w:t>
      </w:r>
      <w:r w:rsidR="00583501">
        <w:rPr>
          <w:rFonts w:ascii="Times New Roman" w:hAnsi="Times New Roman" w:cs="Times New Roman"/>
          <w:sz w:val="24"/>
          <w:szCs w:val="24"/>
        </w:rPr>
        <w:t xml:space="preserve"> C</w:t>
      </w:r>
      <w:r w:rsidRPr="0012786C">
        <w:rPr>
          <w:rFonts w:ascii="Times New Roman" w:hAnsi="Times New Roman" w:cs="Times New Roman"/>
          <w:sz w:val="24"/>
          <w:szCs w:val="24"/>
        </w:rPr>
        <w:t xml:space="preserve">orrection </w:t>
      </w:r>
      <w:r w:rsidR="00583501">
        <w:rPr>
          <w:rFonts w:ascii="Times New Roman" w:hAnsi="Times New Roman" w:cs="Times New Roman"/>
          <w:sz w:val="24"/>
          <w:szCs w:val="24"/>
        </w:rPr>
        <w:t>M</w:t>
      </w:r>
      <w:r w:rsidRPr="0012786C">
        <w:rPr>
          <w:rFonts w:ascii="Times New Roman" w:hAnsi="Times New Roman" w:cs="Times New Roman"/>
          <w:sz w:val="24"/>
          <w:szCs w:val="24"/>
        </w:rPr>
        <w:t xml:space="preserve">odel”, </w:t>
      </w:r>
      <w:r w:rsidRPr="0012786C">
        <w:rPr>
          <w:rFonts w:ascii="Times New Roman" w:hAnsi="Times New Roman" w:cs="Times New Roman"/>
          <w:i/>
          <w:iCs/>
          <w:sz w:val="24"/>
          <w:szCs w:val="24"/>
        </w:rPr>
        <w:t>Energy</w:t>
      </w:r>
      <w:r w:rsidR="00583501">
        <w:rPr>
          <w:rFonts w:ascii="Times New Roman" w:hAnsi="Times New Roman" w:cs="Times New Roman"/>
          <w:i/>
          <w:iCs/>
          <w:sz w:val="24"/>
          <w:szCs w:val="24"/>
        </w:rPr>
        <w:t xml:space="preserve"> </w:t>
      </w:r>
      <w:r w:rsidRPr="0012786C">
        <w:rPr>
          <w:rFonts w:ascii="Times New Roman" w:hAnsi="Times New Roman" w:cs="Times New Roman"/>
          <w:i/>
          <w:iCs/>
          <w:sz w:val="24"/>
          <w:szCs w:val="24"/>
        </w:rPr>
        <w:t>Econ.</w:t>
      </w:r>
      <w:r w:rsidRPr="0012786C">
        <w:rPr>
          <w:rFonts w:ascii="Times New Roman" w:hAnsi="Times New Roman" w:cs="Times New Roman"/>
          <w:sz w:val="24"/>
          <w:szCs w:val="24"/>
        </w:rPr>
        <w:t xml:space="preserve"> 32 (6), 1421</w:t>
      </w:r>
      <w:r w:rsidR="00583501">
        <w:rPr>
          <w:rFonts w:ascii="Times New Roman" w:hAnsi="Times New Roman" w:cs="Times New Roman"/>
          <w:sz w:val="24"/>
          <w:szCs w:val="24"/>
        </w:rPr>
        <w:t>-</w:t>
      </w:r>
      <w:r w:rsidRPr="0012786C">
        <w:rPr>
          <w:rFonts w:ascii="Times New Roman" w:hAnsi="Times New Roman" w:cs="Times New Roman"/>
          <w:sz w:val="24"/>
          <w:szCs w:val="24"/>
        </w:rPr>
        <w:t>1426. https://doi.org/ 10.1016/j.eneco.2010.04.006</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Apergis, N., Ozturk, I. (2015), “Testing</w:t>
      </w:r>
      <w:r w:rsidR="00583501">
        <w:rPr>
          <w:rFonts w:ascii="Times New Roman" w:hAnsi="Times New Roman" w:cs="Times New Roman"/>
          <w:sz w:val="24"/>
          <w:szCs w:val="24"/>
        </w:rPr>
        <w:t xml:space="preserve"> E</w:t>
      </w:r>
      <w:r w:rsidRPr="0012786C">
        <w:rPr>
          <w:rFonts w:ascii="Times New Roman" w:hAnsi="Times New Roman" w:cs="Times New Roman"/>
          <w:sz w:val="24"/>
          <w:szCs w:val="24"/>
        </w:rPr>
        <w:t>nvironmental</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Kuznets</w:t>
      </w:r>
      <w:r w:rsidR="00583501">
        <w:rPr>
          <w:rFonts w:ascii="Times New Roman" w:hAnsi="Times New Roman" w:cs="Times New Roman"/>
          <w:sz w:val="24"/>
          <w:szCs w:val="24"/>
        </w:rPr>
        <w:t xml:space="preserve"> C</w:t>
      </w:r>
      <w:r w:rsidRPr="0012786C">
        <w:rPr>
          <w:rFonts w:ascii="Times New Roman" w:hAnsi="Times New Roman" w:cs="Times New Roman"/>
          <w:sz w:val="24"/>
          <w:szCs w:val="24"/>
        </w:rPr>
        <w:t>urve</w:t>
      </w:r>
      <w:r w:rsidR="00583501">
        <w:rPr>
          <w:rFonts w:ascii="Times New Roman" w:hAnsi="Times New Roman" w:cs="Times New Roman"/>
          <w:sz w:val="24"/>
          <w:szCs w:val="24"/>
        </w:rPr>
        <w:t xml:space="preserve"> H</w:t>
      </w:r>
      <w:r w:rsidRPr="0012786C">
        <w:rPr>
          <w:rFonts w:ascii="Times New Roman" w:hAnsi="Times New Roman" w:cs="Times New Roman"/>
          <w:sz w:val="24"/>
          <w:szCs w:val="24"/>
        </w:rPr>
        <w:t>ypothesis in Asian</w:t>
      </w:r>
      <w:r w:rsidR="00583501">
        <w:rPr>
          <w:rFonts w:ascii="Times New Roman" w:hAnsi="Times New Roman" w:cs="Times New Roman"/>
          <w:sz w:val="24"/>
          <w:szCs w:val="24"/>
        </w:rPr>
        <w:t xml:space="preserve"> C</w:t>
      </w:r>
      <w:r w:rsidRPr="0012786C">
        <w:rPr>
          <w:rFonts w:ascii="Times New Roman" w:hAnsi="Times New Roman" w:cs="Times New Roman"/>
          <w:sz w:val="24"/>
          <w:szCs w:val="24"/>
        </w:rPr>
        <w:t xml:space="preserve">ountries”, </w:t>
      </w:r>
      <w:r w:rsidRPr="0012786C">
        <w:rPr>
          <w:rFonts w:ascii="Times New Roman" w:hAnsi="Times New Roman" w:cs="Times New Roman"/>
          <w:i/>
          <w:iCs/>
          <w:sz w:val="24"/>
          <w:szCs w:val="24"/>
        </w:rPr>
        <w:t>Ecol. Indic</w:t>
      </w:r>
      <w:r w:rsidRPr="0012786C">
        <w:rPr>
          <w:rFonts w:ascii="Times New Roman" w:hAnsi="Times New Roman" w:cs="Times New Roman"/>
          <w:sz w:val="24"/>
          <w:szCs w:val="24"/>
        </w:rPr>
        <w:t xml:space="preserve">, 52 (Supplement C), 16-22. </w:t>
      </w:r>
      <w:hyperlink r:id="rId24" w:history="1">
        <w:r w:rsidRPr="0012786C">
          <w:rPr>
            <w:rStyle w:val="Kpr"/>
            <w:rFonts w:ascii="Times New Roman" w:hAnsi="Times New Roman" w:cs="Times New Roman"/>
            <w:color w:val="auto"/>
            <w:sz w:val="24"/>
            <w:szCs w:val="24"/>
            <w:u w:val="none"/>
          </w:rPr>
          <w:t>https://doi.org/10.1016/j. ecolind.2014.11.026</w:t>
        </w:r>
      </w:hyperlink>
      <w:r w:rsidRPr="0012786C">
        <w:rPr>
          <w:rFonts w:ascii="Times New Roman" w:hAnsi="Times New Roman" w:cs="Times New Roman"/>
          <w:sz w:val="24"/>
          <w:szCs w:val="24"/>
        </w:rPr>
        <w:t>.</w:t>
      </w:r>
    </w:p>
    <w:p w:rsidR="00DF0582" w:rsidRPr="0012786C" w:rsidRDefault="00DF0582" w:rsidP="00DF0582">
      <w:pPr>
        <w:autoSpaceDE w:val="0"/>
        <w:autoSpaceDN w:val="0"/>
        <w:adjustRightInd w:val="0"/>
        <w:spacing w:before="120" w:after="120" w:line="240" w:lineRule="auto"/>
        <w:jc w:val="both"/>
        <w:rPr>
          <w:rFonts w:ascii="Times New Roman" w:hAnsi="Times New Roman" w:cs="Times New Roman"/>
          <w:sz w:val="24"/>
          <w:szCs w:val="24"/>
        </w:rPr>
      </w:pPr>
      <w:r w:rsidRPr="0012786C">
        <w:rPr>
          <w:rFonts w:ascii="Times New Roman" w:hAnsi="Times New Roman" w:cs="Times New Roman"/>
          <w:sz w:val="24"/>
          <w:szCs w:val="24"/>
        </w:rPr>
        <w:t xml:space="preserve">Balsalobre-Lorente D., Shahbaz M., Roubaud D. andFarhani S. (2018), “How </w:t>
      </w:r>
      <w:r w:rsidR="00583501">
        <w:rPr>
          <w:rFonts w:ascii="Times New Roman" w:hAnsi="Times New Roman" w:cs="Times New Roman"/>
          <w:sz w:val="24"/>
          <w:szCs w:val="24"/>
        </w:rPr>
        <w:t>E</w:t>
      </w:r>
      <w:r w:rsidRPr="0012786C">
        <w:rPr>
          <w:rFonts w:ascii="Times New Roman" w:hAnsi="Times New Roman" w:cs="Times New Roman"/>
          <w:sz w:val="24"/>
          <w:szCs w:val="24"/>
        </w:rPr>
        <w:t>conomic</w:t>
      </w:r>
      <w:r w:rsidR="00583501">
        <w:rPr>
          <w:rFonts w:ascii="Times New Roman" w:hAnsi="Times New Roman" w:cs="Times New Roman"/>
          <w:sz w:val="24"/>
          <w:szCs w:val="24"/>
        </w:rPr>
        <w:t xml:space="preserve"> G</w:t>
      </w:r>
      <w:r w:rsidRPr="0012786C">
        <w:rPr>
          <w:rFonts w:ascii="Times New Roman" w:hAnsi="Times New Roman" w:cs="Times New Roman"/>
          <w:sz w:val="24"/>
          <w:szCs w:val="24"/>
        </w:rPr>
        <w:t xml:space="preserve">rowth, </w:t>
      </w:r>
      <w:r w:rsidR="00583501">
        <w:rPr>
          <w:rFonts w:ascii="Times New Roman" w:hAnsi="Times New Roman" w:cs="Times New Roman"/>
          <w:sz w:val="24"/>
          <w:szCs w:val="24"/>
        </w:rPr>
        <w:t>R</w:t>
      </w:r>
      <w:r w:rsidRPr="0012786C">
        <w:rPr>
          <w:rFonts w:ascii="Times New Roman" w:hAnsi="Times New Roman" w:cs="Times New Roman"/>
          <w:sz w:val="24"/>
          <w:szCs w:val="24"/>
        </w:rPr>
        <w:t>enewable</w:t>
      </w:r>
      <w:r w:rsidR="00583501">
        <w:rPr>
          <w:rFonts w:ascii="Times New Roman" w:hAnsi="Times New Roman" w:cs="Times New Roman"/>
          <w:sz w:val="24"/>
          <w:szCs w:val="24"/>
        </w:rPr>
        <w:t xml:space="preserve"> E</w:t>
      </w:r>
      <w:r w:rsidRPr="0012786C">
        <w:rPr>
          <w:rFonts w:ascii="Times New Roman" w:hAnsi="Times New Roman" w:cs="Times New Roman"/>
          <w:sz w:val="24"/>
          <w:szCs w:val="24"/>
        </w:rPr>
        <w:t>lectricity</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and</w:t>
      </w:r>
      <w:r w:rsidR="00583501">
        <w:rPr>
          <w:rFonts w:ascii="Times New Roman" w:hAnsi="Times New Roman" w:cs="Times New Roman"/>
          <w:sz w:val="24"/>
          <w:szCs w:val="24"/>
        </w:rPr>
        <w:t xml:space="preserve"> N</w:t>
      </w:r>
      <w:r w:rsidRPr="0012786C">
        <w:rPr>
          <w:rFonts w:ascii="Times New Roman" w:hAnsi="Times New Roman" w:cs="Times New Roman"/>
          <w:sz w:val="24"/>
          <w:szCs w:val="24"/>
        </w:rPr>
        <w:t>atural</w:t>
      </w:r>
      <w:r w:rsidR="00583501">
        <w:rPr>
          <w:rFonts w:ascii="Times New Roman" w:hAnsi="Times New Roman" w:cs="Times New Roman"/>
          <w:sz w:val="24"/>
          <w:szCs w:val="24"/>
        </w:rPr>
        <w:t xml:space="preserve"> R</w:t>
      </w:r>
      <w:r w:rsidRPr="0012786C">
        <w:rPr>
          <w:rFonts w:ascii="Times New Roman" w:hAnsi="Times New Roman" w:cs="Times New Roman"/>
          <w:sz w:val="24"/>
          <w:szCs w:val="24"/>
        </w:rPr>
        <w:t>esources</w:t>
      </w:r>
      <w:r w:rsidR="00583501">
        <w:rPr>
          <w:rFonts w:ascii="Times New Roman" w:hAnsi="Times New Roman" w:cs="Times New Roman"/>
          <w:sz w:val="24"/>
          <w:szCs w:val="24"/>
        </w:rPr>
        <w:t xml:space="preserve"> C</w:t>
      </w:r>
      <w:r w:rsidRPr="0012786C">
        <w:rPr>
          <w:rFonts w:ascii="Times New Roman" w:hAnsi="Times New Roman" w:cs="Times New Roman"/>
          <w:sz w:val="24"/>
          <w:szCs w:val="24"/>
        </w:rPr>
        <w:t>ontribute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to CO</w:t>
      </w:r>
      <w:r w:rsidRPr="00583501">
        <w:rPr>
          <w:rFonts w:ascii="Times New Roman" w:hAnsi="Times New Roman" w:cs="Times New Roman"/>
          <w:sz w:val="24"/>
          <w:szCs w:val="24"/>
          <w:vertAlign w:val="subscript"/>
        </w:rPr>
        <w:t>2</w:t>
      </w:r>
      <w:r w:rsidRPr="0012786C">
        <w:rPr>
          <w:rFonts w:ascii="Times New Roman" w:hAnsi="Times New Roman" w:cs="Times New Roman"/>
          <w:sz w:val="24"/>
          <w:szCs w:val="24"/>
        </w:rPr>
        <w:t xml:space="preserve"> </w:t>
      </w:r>
      <w:r w:rsidR="00583501">
        <w:rPr>
          <w:rFonts w:ascii="Times New Roman" w:hAnsi="Times New Roman" w:cs="Times New Roman"/>
          <w:sz w:val="24"/>
          <w:szCs w:val="24"/>
        </w:rPr>
        <w:t>E</w:t>
      </w:r>
      <w:r w:rsidRPr="0012786C">
        <w:rPr>
          <w:rFonts w:ascii="Times New Roman" w:hAnsi="Times New Roman" w:cs="Times New Roman"/>
          <w:sz w:val="24"/>
          <w:szCs w:val="24"/>
        </w:rPr>
        <w:t>missions?”, 113, 356-367.</w:t>
      </w:r>
    </w:p>
    <w:p w:rsidR="00DF0582" w:rsidRPr="0012786C" w:rsidRDefault="00DF0582" w:rsidP="00DF0582">
      <w:pPr>
        <w:autoSpaceDE w:val="0"/>
        <w:autoSpaceDN w:val="0"/>
        <w:adjustRightInd w:val="0"/>
        <w:spacing w:before="120" w:after="120" w:line="240" w:lineRule="auto"/>
        <w:jc w:val="both"/>
        <w:rPr>
          <w:rFonts w:ascii="Times New Roman" w:hAnsi="Times New Roman" w:cs="Times New Roman"/>
          <w:sz w:val="24"/>
          <w:szCs w:val="24"/>
        </w:rPr>
      </w:pPr>
      <w:r w:rsidRPr="0012786C">
        <w:rPr>
          <w:rFonts w:ascii="Times New Roman" w:hAnsi="Times New Roman" w:cs="Times New Roman"/>
          <w:sz w:val="24"/>
          <w:szCs w:val="24"/>
          <w:lang w:val="en-US"/>
        </w:rPr>
        <w:t xml:space="preserve">Chien, F., Ananzeh, M., Mirza, F., Bakar, A., Vu, H.M., Ngo, T.Q. (2021), “The Effects of Green Growth, Environmental-Related Tax, and Eco-innovation Towards Carbon Neutrality Target in the US Economy”, </w:t>
      </w:r>
      <w:r w:rsidRPr="0012786C">
        <w:rPr>
          <w:rFonts w:ascii="Times New Roman" w:hAnsi="Times New Roman" w:cs="Times New Roman"/>
          <w:i/>
          <w:sz w:val="24"/>
          <w:szCs w:val="24"/>
          <w:lang w:val="en-US"/>
        </w:rPr>
        <w:t>Journal of Environmental Management</w:t>
      </w:r>
      <w:r w:rsidRPr="0012786C">
        <w:rPr>
          <w:rFonts w:ascii="Times New Roman" w:hAnsi="Times New Roman" w:cs="Times New Roman"/>
          <w:sz w:val="24"/>
          <w:szCs w:val="24"/>
          <w:lang w:val="en-US"/>
        </w:rPr>
        <w:t>, 299, 113633.</w:t>
      </w:r>
    </w:p>
    <w:p w:rsidR="00DF0582" w:rsidRPr="0012786C" w:rsidRDefault="00DF0582" w:rsidP="00DF0582">
      <w:pPr>
        <w:autoSpaceDE w:val="0"/>
        <w:autoSpaceDN w:val="0"/>
        <w:adjustRightInd w:val="0"/>
        <w:spacing w:before="120" w:after="120" w:line="240" w:lineRule="auto"/>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Chishti, M. Z., Ahmad, M., Rehman, A., Khan, M.K. (2021), “Mitigations Pathways towards Sustainable Development: Assessing the Inﬂuence of Fiscal and Monetary Policies on </w:t>
      </w:r>
      <w:r w:rsidR="00F47CDF" w:rsidRPr="0012786C">
        <w:rPr>
          <w:rFonts w:ascii="Times New Roman" w:hAnsi="Times New Roman" w:cs="Times New Roman"/>
          <w:sz w:val="24"/>
          <w:szCs w:val="24"/>
          <w:lang w:val="en-US"/>
        </w:rPr>
        <w:t>CO</w:t>
      </w:r>
      <w:r w:rsidR="00F47CDF" w:rsidRPr="0012786C">
        <w:rPr>
          <w:rFonts w:ascii="Times New Roman" w:hAnsi="Times New Roman" w:cs="Times New Roman"/>
          <w:sz w:val="24"/>
          <w:szCs w:val="24"/>
          <w:vertAlign w:val="subscript"/>
          <w:lang w:val="en-US"/>
        </w:rPr>
        <w:t>2</w:t>
      </w:r>
      <w:r w:rsidR="00F47CDF" w:rsidRPr="0012786C">
        <w:rPr>
          <w:rFonts w:ascii="Times New Roman" w:hAnsi="Times New Roman" w:cs="Times New Roman"/>
          <w:sz w:val="24"/>
          <w:szCs w:val="24"/>
          <w:lang w:val="en-US"/>
        </w:rPr>
        <w:t xml:space="preserve">e </w:t>
      </w:r>
      <w:r w:rsidRPr="0012786C">
        <w:rPr>
          <w:rFonts w:ascii="Times New Roman" w:hAnsi="Times New Roman" w:cs="Times New Roman"/>
          <w:sz w:val="24"/>
          <w:szCs w:val="24"/>
          <w:lang w:val="en-US"/>
        </w:rPr>
        <w:t xml:space="preserve">in BRICS Economies”, </w:t>
      </w:r>
      <w:r w:rsidRPr="0012786C">
        <w:rPr>
          <w:rFonts w:ascii="Times New Roman" w:hAnsi="Times New Roman" w:cs="Times New Roman"/>
          <w:i/>
          <w:sz w:val="24"/>
          <w:szCs w:val="24"/>
          <w:lang w:val="en-US"/>
        </w:rPr>
        <w:t>Journal of Cleaner Production</w:t>
      </w:r>
      <w:r w:rsidRPr="0012786C">
        <w:rPr>
          <w:rFonts w:ascii="Times New Roman" w:hAnsi="Times New Roman" w:cs="Times New Roman"/>
          <w:sz w:val="24"/>
          <w:szCs w:val="24"/>
          <w:lang w:val="en-US"/>
        </w:rPr>
        <w:t>, 292, 126035.</w:t>
      </w:r>
    </w:p>
    <w:p w:rsidR="00DF0582" w:rsidRPr="0012786C" w:rsidRDefault="00DF0582" w:rsidP="00DF0582">
      <w:pPr>
        <w:autoSpaceDE w:val="0"/>
        <w:autoSpaceDN w:val="0"/>
        <w:adjustRightInd w:val="0"/>
        <w:spacing w:before="120" w:after="120" w:line="240" w:lineRule="auto"/>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Choi Y. and Lee S. (2020), “The </w:t>
      </w:r>
      <w:r w:rsidR="00583501">
        <w:rPr>
          <w:rFonts w:ascii="Times New Roman" w:hAnsi="Times New Roman" w:cs="Times New Roman"/>
          <w:sz w:val="24"/>
          <w:szCs w:val="24"/>
          <w:lang w:val="en-US"/>
        </w:rPr>
        <w:t>I</w:t>
      </w:r>
      <w:r w:rsidRPr="0012786C">
        <w:rPr>
          <w:rFonts w:ascii="Times New Roman" w:hAnsi="Times New Roman" w:cs="Times New Roman"/>
          <w:sz w:val="24"/>
          <w:szCs w:val="24"/>
          <w:lang w:val="en-US"/>
        </w:rPr>
        <w:t xml:space="preserve">mpact of </w:t>
      </w:r>
      <w:r w:rsidR="00583501">
        <w:rPr>
          <w:rFonts w:ascii="Times New Roman" w:hAnsi="Times New Roman" w:cs="Times New Roman"/>
          <w:sz w:val="24"/>
          <w:szCs w:val="24"/>
          <w:lang w:val="en-US"/>
        </w:rPr>
        <w:t>U</w:t>
      </w:r>
      <w:r w:rsidRPr="0012786C">
        <w:rPr>
          <w:rFonts w:ascii="Times New Roman" w:hAnsi="Times New Roman" w:cs="Times New Roman"/>
          <w:sz w:val="24"/>
          <w:szCs w:val="24"/>
          <w:lang w:val="en-US"/>
        </w:rPr>
        <w:t xml:space="preserve">rban </w:t>
      </w:r>
      <w:r w:rsidR="00583501">
        <w:rPr>
          <w:rFonts w:ascii="Times New Roman" w:hAnsi="Times New Roman" w:cs="Times New Roman"/>
          <w:sz w:val="24"/>
          <w:szCs w:val="24"/>
          <w:lang w:val="en-US"/>
        </w:rPr>
        <w:t>P</w:t>
      </w:r>
      <w:r w:rsidRPr="0012786C">
        <w:rPr>
          <w:rFonts w:ascii="Times New Roman" w:hAnsi="Times New Roman" w:cs="Times New Roman"/>
          <w:sz w:val="24"/>
          <w:szCs w:val="24"/>
          <w:lang w:val="en-US"/>
        </w:rPr>
        <w:t xml:space="preserve">hysical </w:t>
      </w:r>
      <w:r w:rsidR="00583501">
        <w:rPr>
          <w:rFonts w:ascii="Times New Roman" w:hAnsi="Times New Roman" w:cs="Times New Roman"/>
          <w:sz w:val="24"/>
          <w:szCs w:val="24"/>
          <w:lang w:val="en-US"/>
        </w:rPr>
        <w:t>E</w:t>
      </w:r>
      <w:r w:rsidRPr="0012786C">
        <w:rPr>
          <w:rFonts w:ascii="Times New Roman" w:hAnsi="Times New Roman" w:cs="Times New Roman"/>
          <w:sz w:val="24"/>
          <w:szCs w:val="24"/>
          <w:lang w:val="en-US"/>
        </w:rPr>
        <w:t xml:space="preserve">nvironments on </w:t>
      </w:r>
      <w:r w:rsidR="00583501">
        <w:rPr>
          <w:rFonts w:ascii="Times New Roman" w:hAnsi="Times New Roman" w:cs="Times New Roman"/>
          <w:sz w:val="24"/>
          <w:szCs w:val="24"/>
          <w:lang w:val="en-US"/>
        </w:rPr>
        <w:t>C</w:t>
      </w:r>
      <w:r w:rsidRPr="0012786C">
        <w:rPr>
          <w:rFonts w:ascii="Times New Roman" w:hAnsi="Times New Roman" w:cs="Times New Roman"/>
          <w:sz w:val="24"/>
          <w:szCs w:val="24"/>
          <w:lang w:val="en-US"/>
        </w:rPr>
        <w:t xml:space="preserve">ooling </w:t>
      </w:r>
      <w:r w:rsidR="00583501">
        <w:rPr>
          <w:rFonts w:ascii="Times New Roman" w:hAnsi="Times New Roman" w:cs="Times New Roman"/>
          <w:sz w:val="24"/>
          <w:szCs w:val="24"/>
          <w:lang w:val="en-US"/>
        </w:rPr>
        <w:t>R</w:t>
      </w:r>
      <w:r w:rsidRPr="0012786C">
        <w:rPr>
          <w:rFonts w:ascii="Times New Roman" w:hAnsi="Times New Roman" w:cs="Times New Roman"/>
          <w:sz w:val="24"/>
          <w:szCs w:val="24"/>
          <w:lang w:val="en-US"/>
        </w:rPr>
        <w:t xml:space="preserve">ates in </w:t>
      </w:r>
      <w:r w:rsidR="00583501">
        <w:rPr>
          <w:rFonts w:ascii="Times New Roman" w:hAnsi="Times New Roman" w:cs="Times New Roman"/>
          <w:sz w:val="24"/>
          <w:szCs w:val="24"/>
          <w:lang w:val="en-US"/>
        </w:rPr>
        <w:t>S</w:t>
      </w:r>
      <w:r w:rsidRPr="0012786C">
        <w:rPr>
          <w:rFonts w:ascii="Times New Roman" w:hAnsi="Times New Roman" w:cs="Times New Roman"/>
          <w:sz w:val="24"/>
          <w:szCs w:val="24"/>
          <w:lang w:val="en-US"/>
        </w:rPr>
        <w:t xml:space="preserve">ummer: Focusing on </w:t>
      </w:r>
      <w:r w:rsidR="00583501">
        <w:rPr>
          <w:rFonts w:ascii="Times New Roman" w:hAnsi="Times New Roman" w:cs="Times New Roman"/>
          <w:sz w:val="24"/>
          <w:szCs w:val="24"/>
          <w:lang w:val="en-US"/>
        </w:rPr>
        <w:t>I</w:t>
      </w:r>
      <w:r w:rsidRPr="0012786C">
        <w:rPr>
          <w:rFonts w:ascii="Times New Roman" w:hAnsi="Times New Roman" w:cs="Times New Roman"/>
          <w:sz w:val="24"/>
          <w:szCs w:val="24"/>
          <w:lang w:val="en-US"/>
        </w:rPr>
        <w:t xml:space="preserve">nteraction </w:t>
      </w:r>
      <w:r w:rsidR="00583501">
        <w:rPr>
          <w:rFonts w:ascii="Times New Roman" w:hAnsi="Times New Roman" w:cs="Times New Roman"/>
          <w:sz w:val="24"/>
          <w:szCs w:val="24"/>
          <w:lang w:val="en-US"/>
        </w:rPr>
        <w:t>E</w:t>
      </w:r>
      <w:r w:rsidRPr="0012786C">
        <w:rPr>
          <w:rFonts w:ascii="Times New Roman" w:hAnsi="Times New Roman" w:cs="Times New Roman"/>
          <w:sz w:val="24"/>
          <w:szCs w:val="24"/>
          <w:lang w:val="en-US"/>
        </w:rPr>
        <w:t xml:space="preserve">ffects with </w:t>
      </w:r>
      <w:r w:rsidR="00583501">
        <w:rPr>
          <w:rFonts w:ascii="Times New Roman" w:hAnsi="Times New Roman" w:cs="Times New Roman"/>
          <w:sz w:val="24"/>
          <w:szCs w:val="24"/>
          <w:lang w:val="en-US"/>
        </w:rPr>
        <w:t>A</w:t>
      </w:r>
      <w:r w:rsidRPr="0012786C">
        <w:rPr>
          <w:rFonts w:ascii="Times New Roman" w:hAnsi="Times New Roman" w:cs="Times New Roman"/>
          <w:sz w:val="24"/>
          <w:szCs w:val="24"/>
          <w:lang w:val="en-US"/>
        </w:rPr>
        <w:t xml:space="preserve"> </w:t>
      </w:r>
      <w:r w:rsidR="00583501">
        <w:rPr>
          <w:rFonts w:ascii="Times New Roman" w:hAnsi="Times New Roman" w:cs="Times New Roman"/>
          <w:sz w:val="24"/>
          <w:szCs w:val="24"/>
          <w:lang w:val="en-US"/>
        </w:rPr>
        <w:t>K</w:t>
      </w:r>
      <w:r w:rsidRPr="0012786C">
        <w:rPr>
          <w:rFonts w:ascii="Times New Roman" w:hAnsi="Times New Roman" w:cs="Times New Roman"/>
          <w:sz w:val="24"/>
          <w:szCs w:val="24"/>
          <w:lang w:val="en-US"/>
        </w:rPr>
        <w:t>ernel-</w:t>
      </w:r>
      <w:r w:rsidR="00583501">
        <w:rPr>
          <w:rFonts w:ascii="Times New Roman" w:hAnsi="Times New Roman" w:cs="Times New Roman"/>
          <w:sz w:val="24"/>
          <w:szCs w:val="24"/>
          <w:lang w:val="en-US"/>
        </w:rPr>
        <w:t>B</w:t>
      </w:r>
      <w:r w:rsidRPr="0012786C">
        <w:rPr>
          <w:rFonts w:ascii="Times New Roman" w:hAnsi="Times New Roman" w:cs="Times New Roman"/>
          <w:sz w:val="24"/>
          <w:szCs w:val="24"/>
          <w:lang w:val="en-US"/>
        </w:rPr>
        <w:t xml:space="preserve">ased </w:t>
      </w:r>
      <w:r w:rsidR="00583501">
        <w:rPr>
          <w:rFonts w:ascii="Times New Roman" w:hAnsi="Times New Roman" w:cs="Times New Roman"/>
          <w:sz w:val="24"/>
          <w:szCs w:val="24"/>
          <w:lang w:val="en-US"/>
        </w:rPr>
        <w:t>R</w:t>
      </w:r>
      <w:r w:rsidRPr="0012786C">
        <w:rPr>
          <w:rFonts w:ascii="Times New Roman" w:hAnsi="Times New Roman" w:cs="Times New Roman"/>
          <w:sz w:val="24"/>
          <w:szCs w:val="24"/>
          <w:lang w:val="en-US"/>
        </w:rPr>
        <w:t xml:space="preserve">egularized </w:t>
      </w:r>
      <w:r w:rsidR="00583501">
        <w:rPr>
          <w:rFonts w:ascii="Times New Roman" w:hAnsi="Times New Roman" w:cs="Times New Roman"/>
          <w:sz w:val="24"/>
          <w:szCs w:val="24"/>
          <w:lang w:val="en-US"/>
        </w:rPr>
        <w:t>L</w:t>
      </w:r>
      <w:r w:rsidRPr="0012786C">
        <w:rPr>
          <w:rFonts w:ascii="Times New Roman" w:hAnsi="Times New Roman" w:cs="Times New Roman"/>
          <w:sz w:val="24"/>
          <w:szCs w:val="24"/>
          <w:lang w:val="en-US"/>
        </w:rPr>
        <w:t xml:space="preserve">east </w:t>
      </w:r>
      <w:r w:rsidR="00583501">
        <w:rPr>
          <w:rFonts w:ascii="Times New Roman" w:hAnsi="Times New Roman" w:cs="Times New Roman"/>
          <w:sz w:val="24"/>
          <w:szCs w:val="24"/>
          <w:lang w:val="en-US"/>
        </w:rPr>
        <w:t>S</w:t>
      </w:r>
      <w:r w:rsidRPr="0012786C">
        <w:rPr>
          <w:rFonts w:ascii="Times New Roman" w:hAnsi="Times New Roman" w:cs="Times New Roman"/>
          <w:sz w:val="24"/>
          <w:szCs w:val="24"/>
          <w:lang w:val="en-US"/>
        </w:rPr>
        <w:t xml:space="preserve">quares (KRLS) </w:t>
      </w:r>
      <w:r w:rsidR="00583501">
        <w:rPr>
          <w:rFonts w:ascii="Times New Roman" w:hAnsi="Times New Roman" w:cs="Times New Roman"/>
          <w:sz w:val="24"/>
          <w:szCs w:val="24"/>
          <w:lang w:val="en-US"/>
        </w:rPr>
        <w:t>M</w:t>
      </w:r>
      <w:r w:rsidRPr="0012786C">
        <w:rPr>
          <w:rFonts w:ascii="Times New Roman" w:hAnsi="Times New Roman" w:cs="Times New Roman"/>
          <w:sz w:val="24"/>
          <w:szCs w:val="24"/>
          <w:lang w:val="en-US"/>
        </w:rPr>
        <w:t xml:space="preserve">odel”, </w:t>
      </w:r>
      <w:r w:rsidRPr="0012786C">
        <w:rPr>
          <w:rFonts w:ascii="Times New Roman" w:hAnsi="Times New Roman" w:cs="Times New Roman"/>
          <w:i/>
          <w:iCs/>
          <w:sz w:val="24"/>
          <w:szCs w:val="24"/>
          <w:lang w:val="en-US"/>
        </w:rPr>
        <w:t>Renewable Energy</w:t>
      </w:r>
      <w:r w:rsidRPr="0012786C">
        <w:rPr>
          <w:rFonts w:ascii="Times New Roman" w:hAnsi="Times New Roman" w:cs="Times New Roman"/>
          <w:sz w:val="24"/>
          <w:szCs w:val="24"/>
          <w:lang w:val="en-US"/>
        </w:rPr>
        <w:t xml:space="preserve">, 149, 523-534. </w:t>
      </w:r>
    </w:p>
    <w:p w:rsidR="00DF0582" w:rsidRPr="0012786C" w:rsidRDefault="00DF0582" w:rsidP="00DF0582">
      <w:pPr>
        <w:autoSpaceDE w:val="0"/>
        <w:autoSpaceDN w:val="0"/>
        <w:adjustRightInd w:val="0"/>
        <w:spacing w:before="120" w:after="120" w:line="240" w:lineRule="auto"/>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Ferwerda J., J Hainmueller., C. Hazlett, J. (2017), “Kernel-Based</w:t>
      </w:r>
      <w:r w:rsidR="00583501">
        <w:rPr>
          <w:rFonts w:ascii="Times New Roman" w:hAnsi="Times New Roman" w:cs="Times New Roman"/>
          <w:sz w:val="24"/>
          <w:szCs w:val="24"/>
          <w:lang w:val="en-US"/>
        </w:rPr>
        <w:t xml:space="preserve"> </w:t>
      </w:r>
      <w:r w:rsidRPr="0012786C">
        <w:rPr>
          <w:rFonts w:ascii="Times New Roman" w:hAnsi="Times New Roman" w:cs="Times New Roman"/>
          <w:sz w:val="24"/>
          <w:szCs w:val="24"/>
          <w:lang w:val="en-US"/>
        </w:rPr>
        <w:t>Regularized</w:t>
      </w:r>
      <w:r w:rsidR="00583501">
        <w:rPr>
          <w:rFonts w:ascii="Times New Roman" w:hAnsi="Times New Roman" w:cs="Times New Roman"/>
          <w:sz w:val="24"/>
          <w:szCs w:val="24"/>
          <w:lang w:val="en-US"/>
        </w:rPr>
        <w:t xml:space="preserve"> </w:t>
      </w:r>
      <w:r w:rsidRPr="0012786C">
        <w:rPr>
          <w:rFonts w:ascii="Times New Roman" w:hAnsi="Times New Roman" w:cs="Times New Roman"/>
          <w:sz w:val="24"/>
          <w:szCs w:val="24"/>
          <w:lang w:val="en-US"/>
        </w:rPr>
        <w:t>Least</w:t>
      </w:r>
      <w:r w:rsidR="00583501">
        <w:rPr>
          <w:rFonts w:ascii="Times New Roman" w:hAnsi="Times New Roman" w:cs="Times New Roman"/>
          <w:sz w:val="24"/>
          <w:szCs w:val="24"/>
          <w:lang w:val="en-US"/>
        </w:rPr>
        <w:t xml:space="preserve"> </w:t>
      </w:r>
      <w:r w:rsidRPr="0012786C">
        <w:rPr>
          <w:rFonts w:ascii="Times New Roman" w:hAnsi="Times New Roman" w:cs="Times New Roman"/>
          <w:sz w:val="24"/>
          <w:szCs w:val="24"/>
          <w:lang w:val="en-US"/>
        </w:rPr>
        <w:t>Squares in R (KRLS) and</w:t>
      </w:r>
      <w:r w:rsidR="00583501">
        <w:rPr>
          <w:rFonts w:ascii="Times New Roman" w:hAnsi="Times New Roman" w:cs="Times New Roman"/>
          <w:sz w:val="24"/>
          <w:szCs w:val="24"/>
          <w:lang w:val="en-US"/>
        </w:rPr>
        <w:t xml:space="preserve"> </w:t>
      </w:r>
      <w:r w:rsidRPr="0012786C">
        <w:rPr>
          <w:rFonts w:ascii="Times New Roman" w:hAnsi="Times New Roman" w:cs="Times New Roman"/>
          <w:sz w:val="24"/>
          <w:szCs w:val="24"/>
          <w:lang w:val="en-US"/>
        </w:rPr>
        <w:t xml:space="preserve">Stata (krls), J. Stat. Softw. 79, </w:t>
      </w:r>
      <w:hyperlink r:id="rId25" w:history="1">
        <w:r w:rsidRPr="0012786C">
          <w:rPr>
            <w:rFonts w:ascii="Times New Roman" w:hAnsi="Times New Roman" w:cs="Times New Roman"/>
            <w:sz w:val="24"/>
            <w:szCs w:val="24"/>
            <w:lang w:val="en-US"/>
          </w:rPr>
          <w:t>https://doi.org/10.18637/jss.v079.i03</w:t>
        </w:r>
      </w:hyperlink>
      <w:r w:rsidRPr="0012786C">
        <w:rPr>
          <w:rFonts w:ascii="Times New Roman" w:hAnsi="Times New Roman" w:cs="Times New Roman"/>
          <w:sz w:val="24"/>
          <w:szCs w:val="24"/>
          <w:lang w:val="en-US"/>
        </w:rPr>
        <w:t xml:space="preserve">. </w:t>
      </w:r>
    </w:p>
    <w:p w:rsidR="00DF0582" w:rsidRPr="0012786C" w:rsidRDefault="00DF0582" w:rsidP="00DF0582">
      <w:pPr>
        <w:autoSpaceDE w:val="0"/>
        <w:autoSpaceDN w:val="0"/>
        <w:adjustRightInd w:val="0"/>
        <w:spacing w:before="120" w:after="120" w:line="240" w:lineRule="auto"/>
        <w:jc w:val="both"/>
        <w:rPr>
          <w:rFonts w:ascii="Times New Roman" w:hAnsi="Times New Roman" w:cs="Times New Roman"/>
          <w:sz w:val="24"/>
          <w:szCs w:val="24"/>
          <w:lang w:val="en-US"/>
        </w:rPr>
      </w:pPr>
      <w:r w:rsidRPr="0012786C">
        <w:rPr>
          <w:rFonts w:ascii="Times New Roman" w:hAnsi="Times New Roman" w:cs="Times New Roman"/>
          <w:sz w:val="24"/>
          <w:szCs w:val="24"/>
        </w:rPr>
        <w:t>GML (2022),</w:t>
      </w:r>
      <w:r w:rsidR="00583501">
        <w:rPr>
          <w:rFonts w:ascii="Times New Roman" w:hAnsi="Times New Roman" w:cs="Times New Roman"/>
          <w:sz w:val="24"/>
          <w:szCs w:val="24"/>
        </w:rPr>
        <w:t xml:space="preserve"> </w:t>
      </w:r>
      <w:hyperlink r:id="rId26" w:history="1">
        <w:r w:rsidRPr="0012786C">
          <w:rPr>
            <w:rStyle w:val="Kpr"/>
            <w:rFonts w:ascii="Times New Roman" w:hAnsi="Times New Roman" w:cs="Times New Roman"/>
            <w:color w:val="auto"/>
            <w:sz w:val="24"/>
            <w:szCs w:val="24"/>
            <w:u w:val="none"/>
          </w:rPr>
          <w:t>https://gml.noaa.gov/aggi/aggi.html</w:t>
        </w:r>
      </w:hyperlink>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Halıcıoğlu, F. (2009), “An Econometric</w:t>
      </w:r>
      <w:r w:rsidR="00583501">
        <w:rPr>
          <w:rFonts w:ascii="Times New Roman" w:hAnsi="Times New Roman" w:cs="Times New Roman"/>
          <w:sz w:val="24"/>
          <w:szCs w:val="24"/>
        </w:rPr>
        <w:t xml:space="preserve"> S</w:t>
      </w:r>
      <w:r w:rsidRPr="0012786C">
        <w:rPr>
          <w:rFonts w:ascii="Times New Roman" w:hAnsi="Times New Roman" w:cs="Times New Roman"/>
          <w:sz w:val="24"/>
          <w:szCs w:val="24"/>
        </w:rPr>
        <w:t>tudy of CO</w:t>
      </w:r>
      <w:r w:rsidRPr="00583501">
        <w:rPr>
          <w:rFonts w:ascii="Times New Roman" w:hAnsi="Times New Roman" w:cs="Times New Roman"/>
          <w:sz w:val="24"/>
          <w:szCs w:val="24"/>
          <w:vertAlign w:val="subscript"/>
        </w:rPr>
        <w:t>2</w:t>
      </w:r>
      <w:r w:rsidRPr="0012786C">
        <w:rPr>
          <w:rFonts w:ascii="Times New Roman" w:hAnsi="Times New Roman" w:cs="Times New Roman"/>
          <w:sz w:val="24"/>
          <w:szCs w:val="24"/>
        </w:rPr>
        <w:t xml:space="preserve"> Emissions, Energy</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Consumption, Income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and</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Foreign</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 xml:space="preserve">Trade in Turkey”, </w:t>
      </w:r>
      <w:r w:rsidRPr="0012786C">
        <w:rPr>
          <w:rFonts w:ascii="Times New Roman" w:hAnsi="Times New Roman" w:cs="Times New Roman"/>
          <w:i/>
          <w:iCs/>
          <w:sz w:val="24"/>
          <w:szCs w:val="24"/>
        </w:rPr>
        <w:t>Energy</w:t>
      </w:r>
      <w:r w:rsidR="00583501">
        <w:rPr>
          <w:rFonts w:ascii="Times New Roman" w:hAnsi="Times New Roman" w:cs="Times New Roman"/>
          <w:i/>
          <w:iCs/>
          <w:sz w:val="24"/>
          <w:szCs w:val="24"/>
        </w:rPr>
        <w:t xml:space="preserve"> </w:t>
      </w:r>
      <w:r w:rsidRPr="0012786C">
        <w:rPr>
          <w:rFonts w:ascii="Times New Roman" w:hAnsi="Times New Roman" w:cs="Times New Roman"/>
          <w:i/>
          <w:iCs/>
          <w:sz w:val="24"/>
          <w:szCs w:val="24"/>
        </w:rPr>
        <w:t>Policy</w:t>
      </w:r>
      <w:r w:rsidRPr="0012786C">
        <w:rPr>
          <w:rFonts w:ascii="Times New Roman" w:hAnsi="Times New Roman" w:cs="Times New Roman"/>
          <w:sz w:val="24"/>
          <w:szCs w:val="24"/>
        </w:rPr>
        <w:t>, 37, 1156-1164.</w:t>
      </w:r>
    </w:p>
    <w:p w:rsidR="00DF0582" w:rsidRPr="0012786C" w:rsidRDefault="00DF0582" w:rsidP="00DF0582">
      <w:pPr>
        <w:spacing w:before="120" w:after="120"/>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Hainmueller J, and Hazlett C (2014), “Kernel Regularized Least Squares: Reducing Misspecification Bias with a Flexible and Interpretable Machine Learning Approach”, </w:t>
      </w:r>
      <w:r w:rsidRPr="0012786C">
        <w:rPr>
          <w:rFonts w:ascii="Times New Roman" w:hAnsi="Times New Roman" w:cs="Times New Roman"/>
          <w:i/>
          <w:iCs/>
          <w:sz w:val="24"/>
          <w:szCs w:val="24"/>
          <w:lang w:val="en-US"/>
        </w:rPr>
        <w:t>Political Analysis</w:t>
      </w:r>
      <w:r w:rsidRPr="0012786C">
        <w:rPr>
          <w:rFonts w:ascii="Times New Roman" w:hAnsi="Times New Roman" w:cs="Times New Roman"/>
          <w:sz w:val="24"/>
          <w:szCs w:val="24"/>
          <w:lang w:val="en-US"/>
        </w:rPr>
        <w:t>, 22(2), 143-168. doi:10.1093/pan/mpt019.</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IPCC (The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Intergovernmental Panel on Climate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Change) (2022), Impacts, Adaptation and</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Vulnerability. Contribution of Working</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Group II to</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the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Sixth</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Assessment Report of the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Intergovernmental Panel on Climate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Change [H.-O. Pörtner, D.C. Roberts, M. Tignor, E.S. Poloczanska, K. Mintenbeck, A. Alegría, M. Craig, S. Langsdorf, S. Löschke, V. Möller, A. Okem, B. Rama (eds.)]. Cambridge University</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Press., Cambridge, UK and New York, NY, USA, 3056 pp., doi:10.1017/9781009325844</w:t>
      </w:r>
    </w:p>
    <w:p w:rsidR="00DF0582" w:rsidRPr="0012786C" w:rsidRDefault="00DF0582" w:rsidP="00DF0582">
      <w:pPr>
        <w:spacing w:before="120" w:after="120"/>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Kamal, M., Usman, M., Jahanger, A., Balsalobre-Lorente, D. (2021), “Revisiting the Role of Fiscal Policy, Financial Development, and Foreign Direct Investment in Reducing </w:t>
      </w:r>
      <w:r w:rsidRPr="0012786C">
        <w:rPr>
          <w:rFonts w:ascii="Times New Roman" w:hAnsi="Times New Roman" w:cs="Times New Roman"/>
          <w:sz w:val="24"/>
          <w:szCs w:val="24"/>
          <w:lang w:val="en-US"/>
        </w:rPr>
        <w:lastRenderedPageBreak/>
        <w:t xml:space="preserve">Environmental Pollution during Globalization Mode: Evidence from Linear and Nonlinear Panel Data Approaches”, </w:t>
      </w:r>
      <w:r w:rsidRPr="0012786C">
        <w:rPr>
          <w:rFonts w:ascii="Times New Roman" w:hAnsi="Times New Roman" w:cs="Times New Roman"/>
          <w:i/>
          <w:sz w:val="24"/>
          <w:szCs w:val="24"/>
          <w:lang w:val="en-US"/>
        </w:rPr>
        <w:t>Energies</w:t>
      </w:r>
      <w:r w:rsidRPr="0012786C">
        <w:rPr>
          <w:rFonts w:ascii="Times New Roman" w:hAnsi="Times New Roman" w:cs="Times New Roman"/>
          <w:sz w:val="24"/>
          <w:szCs w:val="24"/>
          <w:lang w:val="en-US"/>
        </w:rPr>
        <w:t>, 14, 6968.</w:t>
      </w:r>
    </w:p>
    <w:p w:rsidR="00DF0582" w:rsidRPr="0012786C" w:rsidRDefault="00DF0582" w:rsidP="00DF0582">
      <w:pPr>
        <w:spacing w:before="120" w:after="120"/>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Mughal, N., Kashif, M., Arif, A., Guerrero, J.W.G., Nabua, W.C., Niedbała, G. (2021), “Dynamic Effects of Fiscal and Monetary Policy Instruments on Environmental Pollution in ASEAN”, Environmental Science and Pollution Research, 28, 65116-65126.</w:t>
      </w:r>
    </w:p>
    <w:p w:rsidR="00DF0582" w:rsidRPr="0012786C" w:rsidRDefault="00DF0582" w:rsidP="00DF0582">
      <w:pPr>
        <w:spacing w:before="120" w:after="120"/>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Muhafidin, D. (2020), “The Role of Fiscal Policy and Monetary Policy in Environmental Degradation in Indonesia”, </w:t>
      </w:r>
      <w:r w:rsidRPr="0012786C">
        <w:rPr>
          <w:rFonts w:ascii="Times New Roman" w:hAnsi="Times New Roman" w:cs="Times New Roman"/>
          <w:i/>
          <w:sz w:val="24"/>
          <w:szCs w:val="24"/>
          <w:lang w:val="en-US"/>
        </w:rPr>
        <w:t>International Journal of Energy Economics and Policy</w:t>
      </w:r>
      <w:r w:rsidRPr="0012786C">
        <w:rPr>
          <w:rFonts w:ascii="Times New Roman" w:hAnsi="Times New Roman" w:cs="Times New Roman"/>
          <w:sz w:val="24"/>
          <w:szCs w:val="24"/>
          <w:lang w:val="en-US"/>
        </w:rPr>
        <w:t>, 10 (3), 504-510.</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Özmen, İ., Gerçeker, M. and Mucuk, M. (2019). BRIC-T Ülkelerinde Ekonomik Büyüme, Dışa Açıklık, Elektrik Tüketimi ve Çevre İlişkisine Yönelik Ampirik Bir Çalışma, Hacettepe Üniversitesi İktisadi ve İdari Bilimler Fakültesi Dergisi, 37 (4), 675-701.</w:t>
      </w:r>
      <w:r w:rsidR="00F64317">
        <w:rPr>
          <w:rFonts w:ascii="Times New Roman" w:hAnsi="Times New Roman" w:cs="Times New Roman"/>
          <w:sz w:val="24"/>
          <w:szCs w:val="24"/>
        </w:rPr>
        <w:t xml:space="preserve"> doi:</w:t>
      </w:r>
      <w:r w:rsidRPr="0012786C">
        <w:rPr>
          <w:rFonts w:ascii="Times New Roman" w:hAnsi="Times New Roman" w:cs="Times New Roman"/>
          <w:sz w:val="24"/>
          <w:szCs w:val="24"/>
        </w:rPr>
        <w:t xml:space="preserve"> 10.17065/huniibf.456607</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Özmen, İ., Özcan, G., Özcan, C.C and</w:t>
      </w:r>
      <w:r w:rsidR="00583501">
        <w:rPr>
          <w:rFonts w:ascii="Times New Roman" w:hAnsi="Times New Roman" w:cs="Times New Roman"/>
          <w:sz w:val="24"/>
          <w:szCs w:val="24"/>
        </w:rPr>
        <w:t xml:space="preserve"> Bekun V.</w:t>
      </w:r>
      <w:r w:rsidRPr="0012786C">
        <w:rPr>
          <w:rFonts w:ascii="Times New Roman" w:hAnsi="Times New Roman" w:cs="Times New Roman"/>
          <w:sz w:val="24"/>
          <w:szCs w:val="24"/>
        </w:rPr>
        <w:t>F. (2022), “Does</w:t>
      </w:r>
      <w:r w:rsidR="00583501">
        <w:rPr>
          <w:rFonts w:ascii="Times New Roman" w:hAnsi="Times New Roman" w:cs="Times New Roman"/>
          <w:sz w:val="24"/>
          <w:szCs w:val="24"/>
        </w:rPr>
        <w:t xml:space="preserve"> F</w:t>
      </w:r>
      <w:r w:rsidRPr="0012786C">
        <w:rPr>
          <w:rFonts w:ascii="Times New Roman" w:hAnsi="Times New Roman" w:cs="Times New Roman"/>
          <w:sz w:val="24"/>
          <w:szCs w:val="24"/>
        </w:rPr>
        <w:t>iscal</w:t>
      </w:r>
      <w:r w:rsidR="00583501">
        <w:rPr>
          <w:rFonts w:ascii="Times New Roman" w:hAnsi="Times New Roman" w:cs="Times New Roman"/>
          <w:sz w:val="24"/>
          <w:szCs w:val="24"/>
        </w:rPr>
        <w:t xml:space="preserve"> P</w:t>
      </w:r>
      <w:r w:rsidRPr="0012786C">
        <w:rPr>
          <w:rFonts w:ascii="Times New Roman" w:hAnsi="Times New Roman" w:cs="Times New Roman"/>
          <w:sz w:val="24"/>
          <w:szCs w:val="24"/>
        </w:rPr>
        <w:t>olicy</w:t>
      </w:r>
      <w:r w:rsidR="00583501">
        <w:rPr>
          <w:rFonts w:ascii="Times New Roman" w:hAnsi="Times New Roman" w:cs="Times New Roman"/>
          <w:sz w:val="24"/>
          <w:szCs w:val="24"/>
        </w:rPr>
        <w:t xml:space="preserve"> S</w:t>
      </w:r>
      <w:r w:rsidRPr="0012786C">
        <w:rPr>
          <w:rFonts w:ascii="Times New Roman" w:hAnsi="Times New Roman" w:cs="Times New Roman"/>
          <w:sz w:val="24"/>
          <w:szCs w:val="24"/>
        </w:rPr>
        <w:t>pur</w:t>
      </w:r>
      <w:r w:rsidR="00583501">
        <w:rPr>
          <w:rFonts w:ascii="Times New Roman" w:hAnsi="Times New Roman" w:cs="Times New Roman"/>
          <w:sz w:val="24"/>
          <w:szCs w:val="24"/>
        </w:rPr>
        <w:t xml:space="preserve"> E</w:t>
      </w:r>
      <w:r w:rsidRPr="0012786C">
        <w:rPr>
          <w:rFonts w:ascii="Times New Roman" w:hAnsi="Times New Roman" w:cs="Times New Roman"/>
          <w:sz w:val="24"/>
          <w:szCs w:val="24"/>
        </w:rPr>
        <w:t>nvironmental</w:t>
      </w:r>
      <w:r w:rsidR="00583501">
        <w:rPr>
          <w:rFonts w:ascii="Times New Roman" w:hAnsi="Times New Roman" w:cs="Times New Roman"/>
          <w:sz w:val="24"/>
          <w:szCs w:val="24"/>
        </w:rPr>
        <w:t xml:space="preserve"> I</w:t>
      </w:r>
      <w:r w:rsidRPr="0012786C">
        <w:rPr>
          <w:rFonts w:ascii="Times New Roman" w:hAnsi="Times New Roman" w:cs="Times New Roman"/>
          <w:sz w:val="24"/>
          <w:szCs w:val="24"/>
        </w:rPr>
        <w:t xml:space="preserve">ssues? New </w:t>
      </w:r>
      <w:r w:rsidR="00583501">
        <w:rPr>
          <w:rFonts w:ascii="Times New Roman" w:hAnsi="Times New Roman" w:cs="Times New Roman"/>
          <w:sz w:val="24"/>
          <w:szCs w:val="24"/>
        </w:rPr>
        <w:t>E</w:t>
      </w:r>
      <w:r w:rsidRPr="0012786C">
        <w:rPr>
          <w:rFonts w:ascii="Times New Roman" w:hAnsi="Times New Roman" w:cs="Times New Roman"/>
          <w:sz w:val="24"/>
          <w:szCs w:val="24"/>
        </w:rPr>
        <w:t>vidence</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from</w:t>
      </w:r>
      <w:r w:rsidR="00583501">
        <w:rPr>
          <w:rFonts w:ascii="Times New Roman" w:hAnsi="Times New Roman" w:cs="Times New Roman"/>
          <w:sz w:val="24"/>
          <w:szCs w:val="24"/>
        </w:rPr>
        <w:t xml:space="preserve"> S</w:t>
      </w:r>
      <w:r w:rsidRPr="0012786C">
        <w:rPr>
          <w:rFonts w:ascii="Times New Roman" w:hAnsi="Times New Roman" w:cs="Times New Roman"/>
          <w:sz w:val="24"/>
          <w:szCs w:val="24"/>
        </w:rPr>
        <w:t>elected</w:t>
      </w:r>
      <w:r w:rsidR="00583501">
        <w:rPr>
          <w:rFonts w:ascii="Times New Roman" w:hAnsi="Times New Roman" w:cs="Times New Roman"/>
          <w:sz w:val="24"/>
          <w:szCs w:val="24"/>
        </w:rPr>
        <w:t xml:space="preserve"> D</w:t>
      </w:r>
      <w:r w:rsidRPr="0012786C">
        <w:rPr>
          <w:rFonts w:ascii="Times New Roman" w:hAnsi="Times New Roman" w:cs="Times New Roman"/>
          <w:sz w:val="24"/>
          <w:szCs w:val="24"/>
        </w:rPr>
        <w:t>eveloped</w:t>
      </w:r>
      <w:r w:rsidR="00583501">
        <w:rPr>
          <w:rFonts w:ascii="Times New Roman" w:hAnsi="Times New Roman" w:cs="Times New Roman"/>
          <w:sz w:val="24"/>
          <w:szCs w:val="24"/>
        </w:rPr>
        <w:t xml:space="preserve"> C</w:t>
      </w:r>
      <w:r w:rsidRPr="0012786C">
        <w:rPr>
          <w:rFonts w:ascii="Times New Roman" w:hAnsi="Times New Roman" w:cs="Times New Roman"/>
          <w:sz w:val="24"/>
          <w:szCs w:val="24"/>
        </w:rPr>
        <w:t xml:space="preserve">ountries”, </w:t>
      </w:r>
      <w:r w:rsidRPr="0012786C">
        <w:rPr>
          <w:rFonts w:ascii="Times New Roman" w:hAnsi="Times New Roman" w:cs="Times New Roman"/>
          <w:i/>
          <w:iCs/>
          <w:sz w:val="24"/>
          <w:szCs w:val="24"/>
        </w:rPr>
        <w:t>Int. J. Environ. Sci. Technol,</w:t>
      </w:r>
      <w:r w:rsidRPr="0012786C">
        <w:rPr>
          <w:rFonts w:ascii="Times New Roman" w:hAnsi="Times New Roman" w:cs="Times New Roman"/>
          <w:sz w:val="24"/>
          <w:szCs w:val="24"/>
        </w:rPr>
        <w:t> 19, 10831-10844, https://doi.org/10.1007/s13762-022-03907-4</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Öztürk I. and</w:t>
      </w:r>
      <w:r w:rsidR="00583501">
        <w:rPr>
          <w:rFonts w:ascii="Times New Roman" w:hAnsi="Times New Roman" w:cs="Times New Roman"/>
          <w:sz w:val="24"/>
          <w:szCs w:val="24"/>
        </w:rPr>
        <w:t xml:space="preserve"> </w:t>
      </w:r>
      <w:r w:rsidRPr="0012786C">
        <w:rPr>
          <w:rFonts w:ascii="Times New Roman" w:hAnsi="Times New Roman" w:cs="Times New Roman"/>
          <w:sz w:val="24"/>
          <w:szCs w:val="24"/>
        </w:rPr>
        <w:t>Acaravci A. (2010), “</w:t>
      </w:r>
      <w:r w:rsidRPr="0012786C">
        <w:rPr>
          <w:rFonts w:ascii="Times New Roman" w:eastAsiaTheme="minorHAnsi" w:hAnsi="Times New Roman" w:cs="Times New Roman"/>
          <w:sz w:val="24"/>
          <w:szCs w:val="24"/>
        </w:rPr>
        <w:t>CO</w:t>
      </w:r>
      <w:r w:rsidRPr="00583501">
        <w:rPr>
          <w:rFonts w:ascii="Times New Roman" w:eastAsiaTheme="minorHAnsi" w:hAnsi="Times New Roman" w:cs="Times New Roman"/>
          <w:sz w:val="24"/>
          <w:szCs w:val="24"/>
          <w:vertAlign w:val="subscript"/>
        </w:rPr>
        <w:t>2</w:t>
      </w:r>
      <w:r w:rsidRPr="0012786C">
        <w:rPr>
          <w:rFonts w:ascii="Times New Roman" w:eastAsiaTheme="minorHAnsi" w:hAnsi="Times New Roman" w:cs="Times New Roman"/>
          <w:sz w:val="24"/>
          <w:szCs w:val="24"/>
        </w:rPr>
        <w:t xml:space="preserve"> </w:t>
      </w:r>
      <w:r w:rsidRPr="0012786C">
        <w:rPr>
          <w:rFonts w:ascii="Times New Roman" w:hAnsi="Times New Roman" w:cs="Times New Roman"/>
          <w:sz w:val="24"/>
          <w:szCs w:val="24"/>
        </w:rPr>
        <w:t>E</w:t>
      </w:r>
      <w:r w:rsidRPr="0012786C">
        <w:rPr>
          <w:rFonts w:ascii="Times New Roman" w:eastAsiaTheme="minorHAnsi" w:hAnsi="Times New Roman" w:cs="Times New Roman"/>
          <w:sz w:val="24"/>
          <w:szCs w:val="24"/>
        </w:rPr>
        <w:t xml:space="preserve">missions, </w:t>
      </w:r>
      <w:r w:rsidRPr="0012786C">
        <w:rPr>
          <w:rFonts w:ascii="Times New Roman" w:hAnsi="Times New Roman" w:cs="Times New Roman"/>
          <w:sz w:val="24"/>
          <w:szCs w:val="24"/>
        </w:rPr>
        <w:t>E</w:t>
      </w:r>
      <w:r w:rsidRPr="0012786C">
        <w:rPr>
          <w:rFonts w:ascii="Times New Roman" w:eastAsiaTheme="minorHAnsi" w:hAnsi="Times New Roman" w:cs="Times New Roman"/>
          <w:sz w:val="24"/>
          <w:szCs w:val="24"/>
        </w:rPr>
        <w:t>nergy</w:t>
      </w:r>
      <w:r w:rsidR="00583501">
        <w:rPr>
          <w:rFonts w:ascii="Times New Roman" w:eastAsiaTheme="minorHAnsi" w:hAnsi="Times New Roman" w:cs="Times New Roman"/>
          <w:sz w:val="24"/>
          <w:szCs w:val="24"/>
        </w:rPr>
        <w:t xml:space="preserve"> </w:t>
      </w:r>
      <w:r w:rsidRPr="0012786C">
        <w:rPr>
          <w:rFonts w:ascii="Times New Roman" w:hAnsi="Times New Roman" w:cs="Times New Roman"/>
          <w:sz w:val="24"/>
          <w:szCs w:val="24"/>
        </w:rPr>
        <w:t>C</w:t>
      </w:r>
      <w:r w:rsidRPr="0012786C">
        <w:rPr>
          <w:rFonts w:ascii="Times New Roman" w:eastAsiaTheme="minorHAnsi" w:hAnsi="Times New Roman" w:cs="Times New Roman"/>
          <w:sz w:val="24"/>
          <w:szCs w:val="24"/>
        </w:rPr>
        <w:t>onsumption</w:t>
      </w:r>
      <w:r w:rsidR="00583501">
        <w:rPr>
          <w:rFonts w:ascii="Times New Roman" w:eastAsiaTheme="minorHAnsi" w:hAnsi="Times New Roman" w:cs="Times New Roman"/>
          <w:sz w:val="24"/>
          <w:szCs w:val="24"/>
        </w:rPr>
        <w:t xml:space="preserve"> </w:t>
      </w:r>
      <w:r w:rsidRPr="0012786C">
        <w:rPr>
          <w:rFonts w:ascii="Times New Roman" w:eastAsiaTheme="minorHAnsi" w:hAnsi="Times New Roman" w:cs="Times New Roman"/>
          <w:sz w:val="24"/>
          <w:szCs w:val="24"/>
        </w:rPr>
        <w:t>and</w:t>
      </w:r>
      <w:r w:rsidR="00583501">
        <w:rPr>
          <w:rFonts w:ascii="Times New Roman" w:eastAsiaTheme="minorHAnsi" w:hAnsi="Times New Roman" w:cs="Times New Roman"/>
          <w:sz w:val="24"/>
          <w:szCs w:val="24"/>
        </w:rPr>
        <w:t xml:space="preserve"> </w:t>
      </w:r>
      <w:r w:rsidRPr="0012786C">
        <w:rPr>
          <w:rFonts w:ascii="Times New Roman" w:hAnsi="Times New Roman" w:cs="Times New Roman"/>
          <w:sz w:val="24"/>
          <w:szCs w:val="24"/>
        </w:rPr>
        <w:t>E</w:t>
      </w:r>
      <w:r w:rsidRPr="0012786C">
        <w:rPr>
          <w:rFonts w:ascii="Times New Roman" w:eastAsiaTheme="minorHAnsi" w:hAnsi="Times New Roman" w:cs="Times New Roman"/>
          <w:sz w:val="24"/>
          <w:szCs w:val="24"/>
        </w:rPr>
        <w:t>conomic</w:t>
      </w:r>
      <w:r w:rsidR="00583501">
        <w:rPr>
          <w:rFonts w:ascii="Times New Roman" w:eastAsiaTheme="minorHAnsi" w:hAnsi="Times New Roman" w:cs="Times New Roman"/>
          <w:sz w:val="24"/>
          <w:szCs w:val="24"/>
        </w:rPr>
        <w:t xml:space="preserve"> </w:t>
      </w:r>
      <w:r w:rsidRPr="0012786C">
        <w:rPr>
          <w:rFonts w:ascii="Times New Roman" w:hAnsi="Times New Roman" w:cs="Times New Roman"/>
          <w:sz w:val="24"/>
          <w:szCs w:val="24"/>
        </w:rPr>
        <w:t>G</w:t>
      </w:r>
      <w:r w:rsidRPr="0012786C">
        <w:rPr>
          <w:rFonts w:ascii="Times New Roman" w:eastAsiaTheme="minorHAnsi" w:hAnsi="Times New Roman" w:cs="Times New Roman"/>
          <w:sz w:val="24"/>
          <w:szCs w:val="24"/>
        </w:rPr>
        <w:t>rowth in Turkey</w:t>
      </w:r>
      <w:r w:rsidRPr="0012786C">
        <w:rPr>
          <w:rFonts w:ascii="Times New Roman" w:hAnsi="Times New Roman" w:cs="Times New Roman"/>
          <w:sz w:val="24"/>
          <w:szCs w:val="24"/>
        </w:rPr>
        <w:t>”</w:t>
      </w:r>
      <w:r w:rsidRPr="0012786C">
        <w:rPr>
          <w:rFonts w:ascii="Times New Roman" w:eastAsiaTheme="minorHAnsi" w:hAnsi="Times New Roman" w:cs="Times New Roman"/>
          <w:sz w:val="24"/>
          <w:szCs w:val="24"/>
        </w:rPr>
        <w:t xml:space="preserve">, </w:t>
      </w:r>
      <w:r w:rsidRPr="0012786C">
        <w:rPr>
          <w:rFonts w:ascii="Times New Roman" w:eastAsiaTheme="minorHAnsi" w:hAnsi="Times New Roman" w:cs="Times New Roman"/>
          <w:i/>
          <w:iCs/>
          <w:sz w:val="24"/>
          <w:szCs w:val="24"/>
        </w:rPr>
        <w:t>Renewable</w:t>
      </w:r>
      <w:r w:rsidR="00583501">
        <w:rPr>
          <w:rFonts w:ascii="Times New Roman" w:eastAsiaTheme="minorHAnsi" w:hAnsi="Times New Roman" w:cs="Times New Roman"/>
          <w:i/>
          <w:iCs/>
          <w:sz w:val="24"/>
          <w:szCs w:val="24"/>
        </w:rPr>
        <w:t xml:space="preserve"> </w:t>
      </w:r>
      <w:r w:rsidRPr="0012786C">
        <w:rPr>
          <w:rFonts w:ascii="Times New Roman" w:eastAsiaTheme="minorHAnsi" w:hAnsi="Times New Roman" w:cs="Times New Roman"/>
          <w:i/>
          <w:iCs/>
          <w:sz w:val="24"/>
          <w:szCs w:val="24"/>
        </w:rPr>
        <w:t>and</w:t>
      </w:r>
      <w:r w:rsidR="00583501">
        <w:rPr>
          <w:rFonts w:ascii="Times New Roman" w:eastAsiaTheme="minorHAnsi" w:hAnsi="Times New Roman" w:cs="Times New Roman"/>
          <w:i/>
          <w:iCs/>
          <w:sz w:val="24"/>
          <w:szCs w:val="24"/>
        </w:rPr>
        <w:t xml:space="preserve"> </w:t>
      </w:r>
      <w:r w:rsidRPr="0012786C">
        <w:rPr>
          <w:rFonts w:ascii="Times New Roman" w:eastAsiaTheme="minorHAnsi" w:hAnsi="Times New Roman" w:cs="Times New Roman"/>
          <w:i/>
          <w:iCs/>
          <w:sz w:val="24"/>
          <w:szCs w:val="24"/>
        </w:rPr>
        <w:t>Sustainable</w:t>
      </w:r>
      <w:r w:rsidR="00583501">
        <w:rPr>
          <w:rFonts w:ascii="Times New Roman" w:eastAsiaTheme="minorHAnsi" w:hAnsi="Times New Roman" w:cs="Times New Roman"/>
          <w:i/>
          <w:iCs/>
          <w:sz w:val="24"/>
          <w:szCs w:val="24"/>
        </w:rPr>
        <w:t xml:space="preserve"> </w:t>
      </w:r>
      <w:r w:rsidRPr="0012786C">
        <w:rPr>
          <w:rFonts w:ascii="Times New Roman" w:eastAsiaTheme="minorHAnsi" w:hAnsi="Times New Roman" w:cs="Times New Roman"/>
          <w:i/>
          <w:iCs/>
          <w:sz w:val="24"/>
          <w:szCs w:val="24"/>
        </w:rPr>
        <w:t>Energy</w:t>
      </w:r>
      <w:r w:rsidR="00583501">
        <w:rPr>
          <w:rFonts w:ascii="Times New Roman" w:eastAsiaTheme="minorHAnsi" w:hAnsi="Times New Roman" w:cs="Times New Roman"/>
          <w:i/>
          <w:iCs/>
          <w:sz w:val="24"/>
          <w:szCs w:val="24"/>
        </w:rPr>
        <w:t xml:space="preserve"> </w:t>
      </w:r>
      <w:r w:rsidRPr="0012786C">
        <w:rPr>
          <w:rFonts w:ascii="Times New Roman" w:eastAsiaTheme="minorHAnsi" w:hAnsi="Times New Roman" w:cs="Times New Roman"/>
          <w:i/>
          <w:iCs/>
          <w:sz w:val="24"/>
          <w:szCs w:val="24"/>
        </w:rPr>
        <w:t>Reviews</w:t>
      </w:r>
      <w:r w:rsidRPr="0012786C">
        <w:rPr>
          <w:rFonts w:ascii="Times New Roman" w:eastAsiaTheme="minorHAnsi" w:hAnsi="Times New Roman" w:cs="Times New Roman"/>
          <w:sz w:val="24"/>
          <w:szCs w:val="24"/>
        </w:rPr>
        <w:t xml:space="preserve">, 14, 3220-3225. </w:t>
      </w:r>
    </w:p>
    <w:p w:rsidR="00DF0582" w:rsidRPr="0012786C" w:rsidRDefault="00583501" w:rsidP="00DF0582">
      <w:pPr>
        <w:spacing w:before="120" w:after="120"/>
        <w:jc w:val="both"/>
        <w:rPr>
          <w:rFonts w:ascii="Times New Roman" w:hAnsi="Times New Roman" w:cs="Times New Roman"/>
          <w:sz w:val="24"/>
          <w:szCs w:val="24"/>
        </w:rPr>
      </w:pPr>
      <w:r>
        <w:rPr>
          <w:rFonts w:ascii="Times New Roman" w:hAnsi="Times New Roman" w:cs="Times New Roman"/>
          <w:sz w:val="24"/>
          <w:szCs w:val="24"/>
        </w:rPr>
        <w:t>Sarkodie S.</w:t>
      </w:r>
      <w:r w:rsidR="00DF0582" w:rsidRPr="0012786C">
        <w:rPr>
          <w:rFonts w:ascii="Times New Roman" w:hAnsi="Times New Roman" w:cs="Times New Roman"/>
          <w:sz w:val="24"/>
          <w:szCs w:val="24"/>
        </w:rPr>
        <w:t>A. and</w:t>
      </w:r>
      <w:r>
        <w:rPr>
          <w:rFonts w:ascii="Times New Roman" w:hAnsi="Times New Roman" w:cs="Times New Roman"/>
          <w:sz w:val="24"/>
          <w:szCs w:val="24"/>
        </w:rPr>
        <w:t xml:space="preserve"> Owusu P.</w:t>
      </w:r>
      <w:r w:rsidR="00DF0582" w:rsidRPr="0012786C">
        <w:rPr>
          <w:rFonts w:ascii="Times New Roman" w:hAnsi="Times New Roman" w:cs="Times New Roman"/>
          <w:sz w:val="24"/>
          <w:szCs w:val="24"/>
        </w:rPr>
        <w:t>A. (2020), “How to</w:t>
      </w:r>
      <w:r>
        <w:rPr>
          <w:rFonts w:ascii="Times New Roman" w:hAnsi="Times New Roman" w:cs="Times New Roman"/>
          <w:sz w:val="24"/>
          <w:szCs w:val="24"/>
        </w:rPr>
        <w:t xml:space="preserve"> A</w:t>
      </w:r>
      <w:r w:rsidR="00DF0582" w:rsidRPr="0012786C">
        <w:rPr>
          <w:rFonts w:ascii="Times New Roman" w:hAnsi="Times New Roman" w:cs="Times New Roman"/>
          <w:sz w:val="24"/>
          <w:szCs w:val="24"/>
        </w:rPr>
        <w:t>pply</w:t>
      </w:r>
      <w:r>
        <w:rPr>
          <w:rFonts w:ascii="Times New Roman" w:hAnsi="Times New Roman" w:cs="Times New Roman"/>
          <w:sz w:val="24"/>
          <w:szCs w:val="24"/>
        </w:rPr>
        <w:t xml:space="preserve"> </w:t>
      </w:r>
      <w:r w:rsidR="00DF0582" w:rsidRPr="0012786C">
        <w:rPr>
          <w:rFonts w:ascii="Times New Roman" w:hAnsi="Times New Roman" w:cs="Times New Roman"/>
          <w:sz w:val="24"/>
          <w:szCs w:val="24"/>
        </w:rPr>
        <w:t>the</w:t>
      </w:r>
      <w:r>
        <w:rPr>
          <w:rFonts w:ascii="Times New Roman" w:hAnsi="Times New Roman" w:cs="Times New Roman"/>
          <w:sz w:val="24"/>
          <w:szCs w:val="24"/>
        </w:rPr>
        <w:t xml:space="preserve"> N</w:t>
      </w:r>
      <w:r w:rsidR="00DF0582" w:rsidRPr="0012786C">
        <w:rPr>
          <w:rFonts w:ascii="Times New Roman" w:hAnsi="Times New Roman" w:cs="Times New Roman"/>
          <w:sz w:val="24"/>
          <w:szCs w:val="24"/>
        </w:rPr>
        <w:t>ovel</w:t>
      </w:r>
      <w:r>
        <w:rPr>
          <w:rFonts w:ascii="Times New Roman" w:hAnsi="Times New Roman" w:cs="Times New Roman"/>
          <w:sz w:val="24"/>
          <w:szCs w:val="24"/>
        </w:rPr>
        <w:t xml:space="preserve"> D</w:t>
      </w:r>
      <w:r w:rsidR="00DF0582" w:rsidRPr="0012786C">
        <w:rPr>
          <w:rFonts w:ascii="Times New Roman" w:hAnsi="Times New Roman" w:cs="Times New Roman"/>
          <w:sz w:val="24"/>
          <w:szCs w:val="24"/>
        </w:rPr>
        <w:t xml:space="preserve">ynamic ARDL </w:t>
      </w:r>
      <w:r>
        <w:rPr>
          <w:rFonts w:ascii="Times New Roman" w:hAnsi="Times New Roman" w:cs="Times New Roman"/>
          <w:sz w:val="24"/>
          <w:szCs w:val="24"/>
        </w:rPr>
        <w:t>S</w:t>
      </w:r>
      <w:r w:rsidR="00DF0582" w:rsidRPr="0012786C">
        <w:rPr>
          <w:rFonts w:ascii="Times New Roman" w:hAnsi="Times New Roman" w:cs="Times New Roman"/>
          <w:sz w:val="24"/>
          <w:szCs w:val="24"/>
        </w:rPr>
        <w:t>imulations (dynardl) and Kernel-</w:t>
      </w:r>
      <w:r>
        <w:rPr>
          <w:rFonts w:ascii="Times New Roman" w:hAnsi="Times New Roman" w:cs="Times New Roman"/>
          <w:sz w:val="24"/>
          <w:szCs w:val="24"/>
        </w:rPr>
        <w:t>B</w:t>
      </w:r>
      <w:r w:rsidR="00DF0582" w:rsidRPr="0012786C">
        <w:rPr>
          <w:rFonts w:ascii="Times New Roman" w:hAnsi="Times New Roman" w:cs="Times New Roman"/>
          <w:sz w:val="24"/>
          <w:szCs w:val="24"/>
        </w:rPr>
        <w:t>ased</w:t>
      </w:r>
      <w:r>
        <w:rPr>
          <w:rFonts w:ascii="Times New Roman" w:hAnsi="Times New Roman" w:cs="Times New Roman"/>
          <w:sz w:val="24"/>
          <w:szCs w:val="24"/>
        </w:rPr>
        <w:t xml:space="preserve"> R</w:t>
      </w:r>
      <w:r w:rsidR="00DF0582" w:rsidRPr="0012786C">
        <w:rPr>
          <w:rFonts w:ascii="Times New Roman" w:hAnsi="Times New Roman" w:cs="Times New Roman"/>
          <w:sz w:val="24"/>
          <w:szCs w:val="24"/>
        </w:rPr>
        <w:t>egularized</w:t>
      </w:r>
      <w:r>
        <w:rPr>
          <w:rFonts w:ascii="Times New Roman" w:hAnsi="Times New Roman" w:cs="Times New Roman"/>
          <w:sz w:val="24"/>
          <w:szCs w:val="24"/>
        </w:rPr>
        <w:t xml:space="preserve"> L</w:t>
      </w:r>
      <w:r w:rsidR="00DF0582" w:rsidRPr="0012786C">
        <w:rPr>
          <w:rFonts w:ascii="Times New Roman" w:hAnsi="Times New Roman" w:cs="Times New Roman"/>
          <w:sz w:val="24"/>
          <w:szCs w:val="24"/>
        </w:rPr>
        <w:t>east</w:t>
      </w:r>
      <w:r>
        <w:rPr>
          <w:rFonts w:ascii="Times New Roman" w:hAnsi="Times New Roman" w:cs="Times New Roman"/>
          <w:sz w:val="24"/>
          <w:szCs w:val="24"/>
        </w:rPr>
        <w:t xml:space="preserve"> S</w:t>
      </w:r>
      <w:r w:rsidR="00DF0582" w:rsidRPr="0012786C">
        <w:rPr>
          <w:rFonts w:ascii="Times New Roman" w:hAnsi="Times New Roman" w:cs="Times New Roman"/>
          <w:sz w:val="24"/>
          <w:szCs w:val="24"/>
        </w:rPr>
        <w:t xml:space="preserve">quares (krls)” MethodsX, 7,101160. </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Sadorsky, P. (2011), “Trade</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and</w:t>
      </w:r>
      <w:r w:rsidR="00F64317">
        <w:rPr>
          <w:rFonts w:ascii="Times New Roman" w:hAnsi="Times New Roman" w:cs="Times New Roman"/>
          <w:sz w:val="24"/>
          <w:szCs w:val="24"/>
        </w:rPr>
        <w:t xml:space="preserve"> E</w:t>
      </w:r>
      <w:r w:rsidRPr="0012786C">
        <w:rPr>
          <w:rFonts w:ascii="Times New Roman" w:hAnsi="Times New Roman" w:cs="Times New Roman"/>
          <w:sz w:val="24"/>
          <w:szCs w:val="24"/>
        </w:rPr>
        <w:t>nergy</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onsumption in the</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 xml:space="preserve">Middle East”, </w:t>
      </w:r>
      <w:r w:rsidRPr="0012786C">
        <w:rPr>
          <w:rFonts w:ascii="Times New Roman" w:hAnsi="Times New Roman" w:cs="Times New Roman"/>
          <w:i/>
          <w:iCs/>
          <w:sz w:val="24"/>
          <w:szCs w:val="24"/>
        </w:rPr>
        <w:t>Energy</w:t>
      </w:r>
      <w:r w:rsidR="00F64317">
        <w:rPr>
          <w:rFonts w:ascii="Times New Roman" w:hAnsi="Times New Roman" w:cs="Times New Roman"/>
          <w:i/>
          <w:iCs/>
          <w:sz w:val="24"/>
          <w:szCs w:val="24"/>
        </w:rPr>
        <w:t xml:space="preserve"> </w:t>
      </w:r>
      <w:r w:rsidRPr="0012786C">
        <w:rPr>
          <w:rFonts w:ascii="Times New Roman" w:hAnsi="Times New Roman" w:cs="Times New Roman"/>
          <w:i/>
          <w:iCs/>
          <w:sz w:val="24"/>
          <w:szCs w:val="24"/>
        </w:rPr>
        <w:t>Econ</w:t>
      </w:r>
      <w:r w:rsidRPr="0012786C">
        <w:rPr>
          <w:rFonts w:ascii="Times New Roman" w:hAnsi="Times New Roman" w:cs="Times New Roman"/>
          <w:sz w:val="24"/>
          <w:szCs w:val="24"/>
        </w:rPr>
        <w:t xml:space="preserve">, 33 (5), 739-749. https://doi.org/10.1016/j.eneco.2010.12.012. </w:t>
      </w:r>
    </w:p>
    <w:p w:rsidR="00DF0582" w:rsidRPr="0012786C" w:rsidRDefault="00DF0582" w:rsidP="00DF0582">
      <w:pPr>
        <w:spacing w:before="120" w:after="120"/>
        <w:jc w:val="both"/>
        <w:rPr>
          <w:rStyle w:val="Kpr"/>
          <w:rFonts w:ascii="Times New Roman" w:hAnsi="Times New Roman" w:cs="Times New Roman"/>
          <w:color w:val="auto"/>
          <w:sz w:val="24"/>
          <w:szCs w:val="24"/>
          <w:u w:val="none"/>
        </w:rPr>
      </w:pPr>
      <w:r w:rsidRPr="0012786C">
        <w:rPr>
          <w:rFonts w:ascii="Times New Roman" w:hAnsi="Times New Roman" w:cs="Times New Roman"/>
          <w:sz w:val="24"/>
          <w:szCs w:val="24"/>
        </w:rPr>
        <w:t>Sadorsky, P. (2012), “Energy</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 xml:space="preserve">onsumption, </w:t>
      </w:r>
      <w:r w:rsidR="00F64317">
        <w:rPr>
          <w:rFonts w:ascii="Times New Roman" w:hAnsi="Times New Roman" w:cs="Times New Roman"/>
          <w:sz w:val="24"/>
          <w:szCs w:val="24"/>
        </w:rPr>
        <w:t xml:space="preserve">Output </w:t>
      </w:r>
      <w:r w:rsidRPr="0012786C">
        <w:rPr>
          <w:rFonts w:ascii="Times New Roman" w:hAnsi="Times New Roman" w:cs="Times New Roman"/>
          <w:sz w:val="24"/>
          <w:szCs w:val="24"/>
        </w:rPr>
        <w:t>and</w:t>
      </w:r>
      <w:r w:rsidR="00F64317">
        <w:rPr>
          <w:rFonts w:ascii="Times New Roman" w:hAnsi="Times New Roman" w:cs="Times New Roman"/>
          <w:sz w:val="24"/>
          <w:szCs w:val="24"/>
        </w:rPr>
        <w:t xml:space="preserve"> T</w:t>
      </w:r>
      <w:r w:rsidRPr="0012786C">
        <w:rPr>
          <w:rFonts w:ascii="Times New Roman" w:hAnsi="Times New Roman" w:cs="Times New Roman"/>
          <w:sz w:val="24"/>
          <w:szCs w:val="24"/>
        </w:rPr>
        <w:t xml:space="preserve">rade in South America”, </w:t>
      </w:r>
      <w:r w:rsidRPr="0012786C">
        <w:rPr>
          <w:rFonts w:ascii="Times New Roman" w:hAnsi="Times New Roman" w:cs="Times New Roman"/>
          <w:i/>
          <w:iCs/>
          <w:sz w:val="24"/>
          <w:szCs w:val="24"/>
        </w:rPr>
        <w:t>Energy</w:t>
      </w:r>
      <w:r w:rsidR="00F64317">
        <w:rPr>
          <w:rFonts w:ascii="Times New Roman" w:hAnsi="Times New Roman" w:cs="Times New Roman"/>
          <w:i/>
          <w:iCs/>
          <w:sz w:val="24"/>
          <w:szCs w:val="24"/>
        </w:rPr>
        <w:t xml:space="preserve"> </w:t>
      </w:r>
      <w:r w:rsidRPr="0012786C">
        <w:rPr>
          <w:rFonts w:ascii="Times New Roman" w:hAnsi="Times New Roman" w:cs="Times New Roman"/>
          <w:i/>
          <w:iCs/>
          <w:sz w:val="24"/>
          <w:szCs w:val="24"/>
        </w:rPr>
        <w:t>Econ</w:t>
      </w:r>
      <w:r w:rsidRPr="0012786C">
        <w:rPr>
          <w:rFonts w:ascii="Times New Roman" w:hAnsi="Times New Roman" w:cs="Times New Roman"/>
          <w:sz w:val="24"/>
          <w:szCs w:val="24"/>
        </w:rPr>
        <w:t xml:space="preserve">. 34 (2), 476-488. </w:t>
      </w:r>
      <w:hyperlink r:id="rId27" w:history="1">
        <w:r w:rsidRPr="0012786C">
          <w:rPr>
            <w:rStyle w:val="Kpr"/>
            <w:rFonts w:ascii="Times New Roman" w:hAnsi="Times New Roman" w:cs="Times New Roman"/>
            <w:color w:val="auto"/>
            <w:sz w:val="24"/>
            <w:szCs w:val="24"/>
            <w:u w:val="none"/>
          </w:rPr>
          <w:t>https://doi.org/10.1016/j.eneco.2011.12.008</w:t>
        </w:r>
      </w:hyperlink>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Shahbaz, M., Nasreen, S., Ling, C.H. and</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Sbia, R., (2014), “Causality</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between</w:t>
      </w:r>
      <w:r w:rsidR="00F64317">
        <w:rPr>
          <w:rFonts w:ascii="Times New Roman" w:hAnsi="Times New Roman" w:cs="Times New Roman"/>
          <w:sz w:val="24"/>
          <w:szCs w:val="24"/>
        </w:rPr>
        <w:t xml:space="preserve"> T</w:t>
      </w:r>
      <w:r w:rsidRPr="0012786C">
        <w:rPr>
          <w:rFonts w:ascii="Times New Roman" w:hAnsi="Times New Roman" w:cs="Times New Roman"/>
          <w:sz w:val="24"/>
          <w:szCs w:val="24"/>
        </w:rPr>
        <w:t>rade</w:t>
      </w:r>
      <w:r w:rsidR="00F64317">
        <w:rPr>
          <w:rFonts w:ascii="Times New Roman" w:hAnsi="Times New Roman" w:cs="Times New Roman"/>
          <w:sz w:val="24"/>
          <w:szCs w:val="24"/>
        </w:rPr>
        <w:t xml:space="preserve"> O</w:t>
      </w:r>
      <w:r w:rsidRPr="0012786C">
        <w:rPr>
          <w:rFonts w:ascii="Times New Roman" w:hAnsi="Times New Roman" w:cs="Times New Roman"/>
          <w:sz w:val="24"/>
          <w:szCs w:val="24"/>
        </w:rPr>
        <w:t>penness</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and</w:t>
      </w:r>
      <w:r w:rsidR="00F64317">
        <w:rPr>
          <w:rFonts w:ascii="Times New Roman" w:hAnsi="Times New Roman" w:cs="Times New Roman"/>
          <w:sz w:val="24"/>
          <w:szCs w:val="24"/>
        </w:rPr>
        <w:t xml:space="preserve"> E</w:t>
      </w:r>
      <w:r w:rsidRPr="0012786C">
        <w:rPr>
          <w:rFonts w:ascii="Times New Roman" w:hAnsi="Times New Roman" w:cs="Times New Roman"/>
          <w:sz w:val="24"/>
          <w:szCs w:val="24"/>
        </w:rPr>
        <w:t>nergy</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 xml:space="preserve">onsumption: </w:t>
      </w:r>
      <w:r w:rsidR="00F64317">
        <w:rPr>
          <w:rFonts w:ascii="Times New Roman" w:hAnsi="Times New Roman" w:cs="Times New Roman"/>
          <w:sz w:val="24"/>
          <w:szCs w:val="24"/>
        </w:rPr>
        <w:t>W</w:t>
      </w:r>
      <w:r w:rsidRPr="0012786C">
        <w:rPr>
          <w:rFonts w:ascii="Times New Roman" w:hAnsi="Times New Roman" w:cs="Times New Roman"/>
          <w:sz w:val="24"/>
          <w:szCs w:val="24"/>
        </w:rPr>
        <w:t>hat</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auses</w:t>
      </w:r>
      <w:r w:rsidR="00F64317">
        <w:rPr>
          <w:rFonts w:ascii="Times New Roman" w:hAnsi="Times New Roman" w:cs="Times New Roman"/>
          <w:sz w:val="24"/>
          <w:szCs w:val="24"/>
        </w:rPr>
        <w:t xml:space="preserve"> W</w:t>
      </w:r>
      <w:r w:rsidRPr="0012786C">
        <w:rPr>
          <w:rFonts w:ascii="Times New Roman" w:hAnsi="Times New Roman" w:cs="Times New Roman"/>
          <w:sz w:val="24"/>
          <w:szCs w:val="24"/>
        </w:rPr>
        <w:t xml:space="preserve">hat in </w:t>
      </w:r>
      <w:r w:rsidR="00F64317">
        <w:rPr>
          <w:rFonts w:ascii="Times New Roman" w:hAnsi="Times New Roman" w:cs="Times New Roman"/>
          <w:sz w:val="24"/>
          <w:szCs w:val="24"/>
        </w:rPr>
        <w:t>H</w:t>
      </w:r>
      <w:r w:rsidRPr="0012786C">
        <w:rPr>
          <w:rFonts w:ascii="Times New Roman" w:hAnsi="Times New Roman" w:cs="Times New Roman"/>
          <w:sz w:val="24"/>
          <w:szCs w:val="24"/>
        </w:rPr>
        <w:t xml:space="preserve">igh, </w:t>
      </w:r>
      <w:r w:rsidR="00F64317">
        <w:rPr>
          <w:rFonts w:ascii="Times New Roman" w:hAnsi="Times New Roman" w:cs="Times New Roman"/>
          <w:sz w:val="24"/>
          <w:szCs w:val="24"/>
        </w:rPr>
        <w:t>M</w:t>
      </w:r>
      <w:r w:rsidRPr="0012786C">
        <w:rPr>
          <w:rFonts w:ascii="Times New Roman" w:hAnsi="Times New Roman" w:cs="Times New Roman"/>
          <w:sz w:val="24"/>
          <w:szCs w:val="24"/>
        </w:rPr>
        <w:t>iddle</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and</w:t>
      </w:r>
      <w:r w:rsidR="00F64317">
        <w:rPr>
          <w:rFonts w:ascii="Times New Roman" w:hAnsi="Times New Roman" w:cs="Times New Roman"/>
          <w:sz w:val="24"/>
          <w:szCs w:val="24"/>
        </w:rPr>
        <w:t xml:space="preserve"> L</w:t>
      </w:r>
      <w:r w:rsidRPr="0012786C">
        <w:rPr>
          <w:rFonts w:ascii="Times New Roman" w:hAnsi="Times New Roman" w:cs="Times New Roman"/>
          <w:sz w:val="24"/>
          <w:szCs w:val="24"/>
        </w:rPr>
        <w:t>ow</w:t>
      </w:r>
      <w:r w:rsidR="00F64317">
        <w:rPr>
          <w:rFonts w:ascii="Times New Roman" w:hAnsi="Times New Roman" w:cs="Times New Roman"/>
          <w:sz w:val="24"/>
          <w:szCs w:val="24"/>
        </w:rPr>
        <w:t xml:space="preserve"> I</w:t>
      </w:r>
      <w:r w:rsidRPr="0012786C">
        <w:rPr>
          <w:rFonts w:ascii="Times New Roman" w:hAnsi="Times New Roman" w:cs="Times New Roman"/>
          <w:sz w:val="24"/>
          <w:szCs w:val="24"/>
        </w:rPr>
        <w:t>ncome</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 xml:space="preserve">ountries”, </w:t>
      </w:r>
      <w:r w:rsidRPr="0012786C">
        <w:rPr>
          <w:rFonts w:ascii="Times New Roman" w:hAnsi="Times New Roman" w:cs="Times New Roman"/>
          <w:i/>
          <w:iCs/>
          <w:sz w:val="24"/>
          <w:szCs w:val="24"/>
        </w:rPr>
        <w:t>Energy</w:t>
      </w:r>
      <w:r w:rsidR="00F64317">
        <w:rPr>
          <w:rFonts w:ascii="Times New Roman" w:hAnsi="Times New Roman" w:cs="Times New Roman"/>
          <w:i/>
          <w:iCs/>
          <w:sz w:val="24"/>
          <w:szCs w:val="24"/>
        </w:rPr>
        <w:t xml:space="preserve"> </w:t>
      </w:r>
      <w:r w:rsidRPr="0012786C">
        <w:rPr>
          <w:rFonts w:ascii="Times New Roman" w:hAnsi="Times New Roman" w:cs="Times New Roman"/>
          <w:i/>
          <w:iCs/>
          <w:sz w:val="24"/>
          <w:szCs w:val="24"/>
        </w:rPr>
        <w:t>Policy</w:t>
      </w:r>
      <w:r w:rsidRPr="0012786C">
        <w:rPr>
          <w:rFonts w:ascii="Times New Roman" w:hAnsi="Times New Roman" w:cs="Times New Roman"/>
          <w:sz w:val="24"/>
          <w:szCs w:val="24"/>
        </w:rPr>
        <w:t xml:space="preserve">, 70, 126-143. </w:t>
      </w:r>
      <w:hyperlink r:id="rId28" w:history="1">
        <w:r w:rsidRPr="0012786C">
          <w:rPr>
            <w:rStyle w:val="Kpr"/>
            <w:rFonts w:ascii="Times New Roman" w:hAnsi="Times New Roman" w:cs="Times New Roman"/>
            <w:color w:val="auto"/>
            <w:sz w:val="24"/>
            <w:szCs w:val="24"/>
            <w:u w:val="none"/>
          </w:rPr>
          <w:t>https://doi.org/10.1016/j.enpol.2014.03.029</w:t>
        </w:r>
      </w:hyperlink>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Soytas U. and</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Sari R. (2009), “Energy</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 xml:space="preserve">onsumption, </w:t>
      </w:r>
      <w:r w:rsidR="00F64317">
        <w:rPr>
          <w:rFonts w:ascii="Times New Roman" w:hAnsi="Times New Roman" w:cs="Times New Roman"/>
          <w:sz w:val="24"/>
          <w:szCs w:val="24"/>
        </w:rPr>
        <w:t>E</w:t>
      </w:r>
      <w:r w:rsidRPr="0012786C">
        <w:rPr>
          <w:rFonts w:ascii="Times New Roman" w:hAnsi="Times New Roman" w:cs="Times New Roman"/>
          <w:sz w:val="24"/>
          <w:szCs w:val="24"/>
        </w:rPr>
        <w:t>conomic</w:t>
      </w:r>
      <w:r w:rsidR="00F64317">
        <w:rPr>
          <w:rFonts w:ascii="Times New Roman" w:hAnsi="Times New Roman" w:cs="Times New Roman"/>
          <w:sz w:val="24"/>
          <w:szCs w:val="24"/>
        </w:rPr>
        <w:t xml:space="preserve"> G</w:t>
      </w:r>
      <w:r w:rsidRPr="0012786C">
        <w:rPr>
          <w:rFonts w:ascii="Times New Roman" w:hAnsi="Times New Roman" w:cs="Times New Roman"/>
          <w:sz w:val="24"/>
          <w:szCs w:val="24"/>
        </w:rPr>
        <w:t>rowth, and</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arbon</w:t>
      </w:r>
      <w:r w:rsidR="00F64317">
        <w:rPr>
          <w:rFonts w:ascii="Times New Roman" w:hAnsi="Times New Roman" w:cs="Times New Roman"/>
          <w:sz w:val="24"/>
          <w:szCs w:val="24"/>
        </w:rPr>
        <w:t xml:space="preserve"> E</w:t>
      </w:r>
      <w:r w:rsidRPr="0012786C">
        <w:rPr>
          <w:rFonts w:ascii="Times New Roman" w:hAnsi="Times New Roman" w:cs="Times New Roman"/>
          <w:sz w:val="24"/>
          <w:szCs w:val="24"/>
        </w:rPr>
        <w:t xml:space="preserve">missions: </w:t>
      </w:r>
      <w:r w:rsidR="00F64317">
        <w:rPr>
          <w:rFonts w:ascii="Times New Roman" w:hAnsi="Times New Roman" w:cs="Times New Roman"/>
          <w:sz w:val="24"/>
          <w:szCs w:val="24"/>
        </w:rPr>
        <w:t>C</w:t>
      </w:r>
      <w:r w:rsidRPr="0012786C">
        <w:rPr>
          <w:rFonts w:ascii="Times New Roman" w:hAnsi="Times New Roman" w:cs="Times New Roman"/>
          <w:sz w:val="24"/>
          <w:szCs w:val="24"/>
        </w:rPr>
        <w:t>hallenges</w:t>
      </w:r>
      <w:r w:rsidR="00F64317">
        <w:rPr>
          <w:rFonts w:ascii="Times New Roman" w:hAnsi="Times New Roman" w:cs="Times New Roman"/>
          <w:sz w:val="24"/>
          <w:szCs w:val="24"/>
        </w:rPr>
        <w:t xml:space="preserve"> F</w:t>
      </w:r>
      <w:r w:rsidRPr="0012786C">
        <w:rPr>
          <w:rFonts w:ascii="Times New Roman" w:hAnsi="Times New Roman" w:cs="Times New Roman"/>
          <w:sz w:val="24"/>
          <w:szCs w:val="24"/>
        </w:rPr>
        <w:t>aced</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 xml:space="preserve">by an EU </w:t>
      </w:r>
      <w:r w:rsidR="00F64317">
        <w:rPr>
          <w:rFonts w:ascii="Times New Roman" w:hAnsi="Times New Roman" w:cs="Times New Roman"/>
          <w:sz w:val="24"/>
          <w:szCs w:val="24"/>
        </w:rPr>
        <w:t>C</w:t>
      </w:r>
      <w:r w:rsidRPr="0012786C">
        <w:rPr>
          <w:rFonts w:ascii="Times New Roman" w:hAnsi="Times New Roman" w:cs="Times New Roman"/>
          <w:sz w:val="24"/>
          <w:szCs w:val="24"/>
        </w:rPr>
        <w:t>andidate</w:t>
      </w:r>
      <w:r w:rsidR="00F64317">
        <w:rPr>
          <w:rFonts w:ascii="Times New Roman" w:hAnsi="Times New Roman" w:cs="Times New Roman"/>
          <w:sz w:val="24"/>
          <w:szCs w:val="24"/>
        </w:rPr>
        <w:t xml:space="preserve"> M</w:t>
      </w:r>
      <w:r w:rsidRPr="0012786C">
        <w:rPr>
          <w:rFonts w:ascii="Times New Roman" w:hAnsi="Times New Roman" w:cs="Times New Roman"/>
          <w:sz w:val="24"/>
          <w:szCs w:val="24"/>
        </w:rPr>
        <w:t>ember”</w:t>
      </w:r>
      <w:r w:rsidR="00F64317">
        <w:rPr>
          <w:rFonts w:ascii="Times New Roman" w:hAnsi="Times New Roman" w:cs="Times New Roman"/>
          <w:sz w:val="24"/>
          <w:szCs w:val="24"/>
        </w:rPr>
        <w:t>,</w:t>
      </w:r>
      <w:r w:rsidRPr="0012786C">
        <w:rPr>
          <w:rFonts w:ascii="Times New Roman" w:hAnsi="Times New Roman" w:cs="Times New Roman"/>
          <w:sz w:val="24"/>
          <w:szCs w:val="24"/>
        </w:rPr>
        <w:t xml:space="preserve"> </w:t>
      </w:r>
      <w:r w:rsidRPr="0012786C">
        <w:rPr>
          <w:rFonts w:ascii="Times New Roman" w:hAnsi="Times New Roman" w:cs="Times New Roman"/>
          <w:i/>
          <w:iCs/>
          <w:sz w:val="24"/>
          <w:szCs w:val="24"/>
        </w:rPr>
        <w:t>Ecol. Econ</w:t>
      </w:r>
      <w:r w:rsidRPr="0012786C">
        <w:rPr>
          <w:rFonts w:ascii="Times New Roman" w:hAnsi="Times New Roman" w:cs="Times New Roman"/>
          <w:sz w:val="24"/>
          <w:szCs w:val="24"/>
        </w:rPr>
        <w:t xml:space="preserve">, 68 (6), 1667-1675. </w:t>
      </w:r>
      <w:hyperlink r:id="rId29" w:history="1">
        <w:r w:rsidRPr="0012786C">
          <w:rPr>
            <w:rStyle w:val="Kpr"/>
            <w:rFonts w:ascii="Times New Roman" w:hAnsi="Times New Roman" w:cs="Times New Roman"/>
            <w:color w:val="auto"/>
            <w:sz w:val="24"/>
            <w:szCs w:val="24"/>
            <w:u w:val="none"/>
          </w:rPr>
          <w:t>https://doi.org/10.1016/j.ecolecon.2007.06.014</w:t>
        </w:r>
      </w:hyperlink>
    </w:p>
    <w:p w:rsidR="00DF0582" w:rsidRPr="0012786C" w:rsidRDefault="00DF0582" w:rsidP="00DF0582">
      <w:pPr>
        <w:spacing w:before="120" w:after="120"/>
        <w:jc w:val="both"/>
        <w:rPr>
          <w:rFonts w:ascii="Times New Roman" w:hAnsi="Times New Roman" w:cs="Times New Roman"/>
          <w:sz w:val="24"/>
          <w:szCs w:val="24"/>
          <w:lang w:val="en-US"/>
        </w:rPr>
      </w:pPr>
      <w:r w:rsidRPr="0012786C">
        <w:rPr>
          <w:rFonts w:ascii="Times New Roman" w:hAnsi="Times New Roman" w:cs="Times New Roman"/>
          <w:sz w:val="24"/>
          <w:szCs w:val="24"/>
          <w:lang w:val="en-US"/>
        </w:rPr>
        <w:t xml:space="preserve">Ullah, S., Majeed, M.T., Chishti, M.Z. (2020), “Examining the Asymmetric Effects of Fiscal Policy Instruments on Environmental Quality in Asian Economies”, </w:t>
      </w:r>
      <w:r w:rsidRPr="0012786C">
        <w:rPr>
          <w:rFonts w:ascii="Times New Roman" w:hAnsi="Times New Roman" w:cs="Times New Roman"/>
          <w:i/>
          <w:sz w:val="24"/>
          <w:szCs w:val="24"/>
          <w:lang w:val="en-US"/>
        </w:rPr>
        <w:t>Environmental Science and Pollution Research</w:t>
      </w:r>
      <w:r w:rsidRPr="0012786C">
        <w:rPr>
          <w:rFonts w:ascii="Times New Roman" w:hAnsi="Times New Roman" w:cs="Times New Roman"/>
          <w:sz w:val="24"/>
          <w:szCs w:val="24"/>
          <w:lang w:val="en-US"/>
        </w:rPr>
        <w:t>, 27, 38287-38299.</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lang w:val="en-US"/>
        </w:rPr>
        <w:t xml:space="preserve">Ullah, S., Ozturk, I., Sohail, S. (2021), “The </w:t>
      </w:r>
      <w:r w:rsidR="00F64317">
        <w:rPr>
          <w:rFonts w:ascii="Times New Roman" w:hAnsi="Times New Roman" w:cs="Times New Roman"/>
          <w:sz w:val="24"/>
          <w:szCs w:val="24"/>
          <w:lang w:val="en-US"/>
        </w:rPr>
        <w:t>A</w:t>
      </w:r>
      <w:r w:rsidRPr="0012786C">
        <w:rPr>
          <w:rFonts w:ascii="Times New Roman" w:hAnsi="Times New Roman" w:cs="Times New Roman"/>
          <w:sz w:val="24"/>
          <w:szCs w:val="24"/>
          <w:lang w:val="en-US"/>
        </w:rPr>
        <w:t xml:space="preserve">symmetric </w:t>
      </w:r>
      <w:r w:rsidR="00F64317">
        <w:rPr>
          <w:rFonts w:ascii="Times New Roman" w:hAnsi="Times New Roman" w:cs="Times New Roman"/>
          <w:sz w:val="24"/>
          <w:szCs w:val="24"/>
          <w:lang w:val="en-US"/>
        </w:rPr>
        <w:t>E</w:t>
      </w:r>
      <w:r w:rsidRPr="0012786C">
        <w:rPr>
          <w:rFonts w:ascii="Times New Roman" w:hAnsi="Times New Roman" w:cs="Times New Roman"/>
          <w:sz w:val="24"/>
          <w:szCs w:val="24"/>
          <w:lang w:val="en-US"/>
        </w:rPr>
        <w:t xml:space="preserve">ffects of </w:t>
      </w:r>
      <w:r w:rsidR="00F64317">
        <w:rPr>
          <w:rFonts w:ascii="Times New Roman" w:hAnsi="Times New Roman" w:cs="Times New Roman"/>
          <w:sz w:val="24"/>
          <w:szCs w:val="24"/>
          <w:lang w:val="en-US"/>
        </w:rPr>
        <w:t>F</w:t>
      </w:r>
      <w:r w:rsidRPr="0012786C">
        <w:rPr>
          <w:rFonts w:ascii="Times New Roman" w:hAnsi="Times New Roman" w:cs="Times New Roman"/>
          <w:sz w:val="24"/>
          <w:szCs w:val="24"/>
          <w:lang w:val="en-US"/>
        </w:rPr>
        <w:t xml:space="preserve">iscal and </w:t>
      </w:r>
      <w:r w:rsidR="00F64317">
        <w:rPr>
          <w:rFonts w:ascii="Times New Roman" w:hAnsi="Times New Roman" w:cs="Times New Roman"/>
          <w:sz w:val="24"/>
          <w:szCs w:val="24"/>
          <w:lang w:val="en-US"/>
        </w:rPr>
        <w:t>M</w:t>
      </w:r>
      <w:r w:rsidRPr="0012786C">
        <w:rPr>
          <w:rFonts w:ascii="Times New Roman" w:hAnsi="Times New Roman" w:cs="Times New Roman"/>
          <w:sz w:val="24"/>
          <w:szCs w:val="24"/>
          <w:lang w:val="en-US"/>
        </w:rPr>
        <w:t xml:space="preserve">onetary </w:t>
      </w:r>
      <w:r w:rsidR="00F64317">
        <w:rPr>
          <w:rFonts w:ascii="Times New Roman" w:hAnsi="Times New Roman" w:cs="Times New Roman"/>
          <w:sz w:val="24"/>
          <w:szCs w:val="24"/>
          <w:lang w:val="en-US"/>
        </w:rPr>
        <w:t>P</w:t>
      </w:r>
      <w:r w:rsidRPr="0012786C">
        <w:rPr>
          <w:rFonts w:ascii="Times New Roman" w:hAnsi="Times New Roman" w:cs="Times New Roman"/>
          <w:sz w:val="24"/>
          <w:szCs w:val="24"/>
          <w:lang w:val="en-US"/>
        </w:rPr>
        <w:t xml:space="preserve">olicy </w:t>
      </w:r>
      <w:r w:rsidR="00F64317">
        <w:rPr>
          <w:rFonts w:ascii="Times New Roman" w:hAnsi="Times New Roman" w:cs="Times New Roman"/>
          <w:sz w:val="24"/>
          <w:szCs w:val="24"/>
          <w:lang w:val="en-US"/>
        </w:rPr>
        <w:t>I</w:t>
      </w:r>
      <w:r w:rsidRPr="0012786C">
        <w:rPr>
          <w:rFonts w:ascii="Times New Roman" w:hAnsi="Times New Roman" w:cs="Times New Roman"/>
          <w:sz w:val="24"/>
          <w:szCs w:val="24"/>
          <w:lang w:val="en-US"/>
        </w:rPr>
        <w:t xml:space="preserve">nstruments on Pakistan’s </w:t>
      </w:r>
      <w:r w:rsidR="00F64317">
        <w:rPr>
          <w:rFonts w:ascii="Times New Roman" w:hAnsi="Times New Roman" w:cs="Times New Roman"/>
          <w:sz w:val="24"/>
          <w:szCs w:val="24"/>
          <w:lang w:val="en-US"/>
        </w:rPr>
        <w:t>E</w:t>
      </w:r>
      <w:r w:rsidRPr="0012786C">
        <w:rPr>
          <w:rFonts w:ascii="Times New Roman" w:hAnsi="Times New Roman" w:cs="Times New Roman"/>
          <w:sz w:val="24"/>
          <w:szCs w:val="24"/>
          <w:lang w:val="en-US"/>
        </w:rPr>
        <w:t xml:space="preserve">nvironmental </w:t>
      </w:r>
      <w:r w:rsidR="00F64317">
        <w:rPr>
          <w:rFonts w:ascii="Times New Roman" w:hAnsi="Times New Roman" w:cs="Times New Roman"/>
          <w:sz w:val="24"/>
          <w:szCs w:val="24"/>
          <w:lang w:val="en-US"/>
        </w:rPr>
        <w:t>P</w:t>
      </w:r>
      <w:r w:rsidRPr="0012786C">
        <w:rPr>
          <w:rFonts w:ascii="Times New Roman" w:hAnsi="Times New Roman" w:cs="Times New Roman"/>
          <w:sz w:val="24"/>
          <w:szCs w:val="24"/>
          <w:lang w:val="en-US"/>
        </w:rPr>
        <w:t xml:space="preserve">ollution”, </w:t>
      </w:r>
      <w:r w:rsidRPr="0012786C">
        <w:rPr>
          <w:rFonts w:ascii="Times New Roman" w:hAnsi="Times New Roman" w:cs="Times New Roman"/>
          <w:i/>
          <w:sz w:val="24"/>
          <w:szCs w:val="24"/>
          <w:lang w:val="en-US"/>
        </w:rPr>
        <w:t>Environmental Science and Pollution Research</w:t>
      </w:r>
      <w:r w:rsidRPr="0012786C">
        <w:rPr>
          <w:rFonts w:ascii="Times New Roman" w:hAnsi="Times New Roman" w:cs="Times New Roman"/>
          <w:sz w:val="24"/>
          <w:szCs w:val="24"/>
          <w:lang w:val="en-US"/>
        </w:rPr>
        <w:t>, 28, 7450-7461.</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Yılancı V. and Pata U. K. (2021), “</w:t>
      </w:r>
      <w:r w:rsidRPr="0012786C">
        <w:rPr>
          <w:rFonts w:ascii="Times New Roman" w:hAnsi="Times New Roman" w:cs="Times New Roman"/>
          <w:sz w:val="24"/>
          <w:szCs w:val="24"/>
          <w:lang w:val="en-US"/>
        </w:rPr>
        <w:t xml:space="preserve">On the </w:t>
      </w:r>
      <w:r w:rsidR="00F64317">
        <w:rPr>
          <w:rFonts w:ascii="Times New Roman" w:hAnsi="Times New Roman" w:cs="Times New Roman"/>
          <w:sz w:val="24"/>
          <w:szCs w:val="24"/>
          <w:lang w:val="en-US"/>
        </w:rPr>
        <w:t>I</w:t>
      </w:r>
      <w:r w:rsidRPr="0012786C">
        <w:rPr>
          <w:rFonts w:ascii="Times New Roman" w:hAnsi="Times New Roman" w:cs="Times New Roman"/>
          <w:sz w:val="24"/>
          <w:szCs w:val="24"/>
          <w:lang w:val="en-US"/>
        </w:rPr>
        <w:t xml:space="preserve">nteraction between </w:t>
      </w:r>
      <w:r w:rsidR="00F64317">
        <w:rPr>
          <w:rFonts w:ascii="Times New Roman" w:hAnsi="Times New Roman" w:cs="Times New Roman"/>
          <w:sz w:val="24"/>
          <w:szCs w:val="24"/>
          <w:lang w:val="en-US"/>
        </w:rPr>
        <w:t>F</w:t>
      </w:r>
      <w:r w:rsidRPr="0012786C">
        <w:rPr>
          <w:rFonts w:ascii="Times New Roman" w:hAnsi="Times New Roman" w:cs="Times New Roman"/>
          <w:sz w:val="24"/>
          <w:szCs w:val="24"/>
          <w:lang w:val="en-US"/>
        </w:rPr>
        <w:t xml:space="preserve">iscal </w:t>
      </w:r>
      <w:r w:rsidR="00F64317">
        <w:rPr>
          <w:rFonts w:ascii="Times New Roman" w:hAnsi="Times New Roman" w:cs="Times New Roman"/>
          <w:sz w:val="24"/>
          <w:szCs w:val="24"/>
          <w:lang w:val="en-US"/>
        </w:rPr>
        <w:t>P</w:t>
      </w:r>
      <w:r w:rsidRPr="0012786C">
        <w:rPr>
          <w:rFonts w:ascii="Times New Roman" w:hAnsi="Times New Roman" w:cs="Times New Roman"/>
          <w:sz w:val="24"/>
          <w:szCs w:val="24"/>
          <w:lang w:val="en-US"/>
        </w:rPr>
        <w:t>olicy and CO</w:t>
      </w:r>
      <w:r w:rsidRPr="00F64317">
        <w:rPr>
          <w:rFonts w:ascii="Times New Roman" w:hAnsi="Times New Roman" w:cs="Times New Roman"/>
          <w:sz w:val="24"/>
          <w:szCs w:val="24"/>
          <w:vertAlign w:val="subscript"/>
          <w:lang w:val="en-US"/>
        </w:rPr>
        <w:t>2</w:t>
      </w:r>
      <w:r w:rsidRPr="0012786C">
        <w:rPr>
          <w:rFonts w:ascii="Times New Roman" w:hAnsi="Times New Roman" w:cs="Times New Roman"/>
          <w:sz w:val="24"/>
          <w:szCs w:val="24"/>
          <w:lang w:val="en-US"/>
        </w:rPr>
        <w:t xml:space="preserve"> </w:t>
      </w:r>
      <w:r w:rsidR="00F64317">
        <w:rPr>
          <w:rFonts w:ascii="Times New Roman" w:hAnsi="Times New Roman" w:cs="Times New Roman"/>
          <w:sz w:val="24"/>
          <w:szCs w:val="24"/>
          <w:lang w:val="en-US"/>
        </w:rPr>
        <w:t>E</w:t>
      </w:r>
      <w:r w:rsidRPr="0012786C">
        <w:rPr>
          <w:rFonts w:ascii="Times New Roman" w:hAnsi="Times New Roman" w:cs="Times New Roman"/>
          <w:sz w:val="24"/>
          <w:szCs w:val="24"/>
          <w:lang w:val="en-US"/>
        </w:rPr>
        <w:t xml:space="preserve">missions in G7 </w:t>
      </w:r>
      <w:r w:rsidR="00F64317">
        <w:rPr>
          <w:rFonts w:ascii="Times New Roman" w:hAnsi="Times New Roman" w:cs="Times New Roman"/>
          <w:sz w:val="24"/>
          <w:szCs w:val="24"/>
          <w:lang w:val="en-US"/>
        </w:rPr>
        <w:t>C</w:t>
      </w:r>
      <w:r w:rsidRPr="0012786C">
        <w:rPr>
          <w:rFonts w:ascii="Times New Roman" w:hAnsi="Times New Roman" w:cs="Times New Roman"/>
          <w:sz w:val="24"/>
          <w:szCs w:val="24"/>
          <w:lang w:val="en-US"/>
        </w:rPr>
        <w:t>ountries”, 1875-2016,</w:t>
      </w:r>
      <w:r w:rsidR="00F64317">
        <w:rPr>
          <w:rFonts w:ascii="Times New Roman" w:hAnsi="Times New Roman" w:cs="Times New Roman"/>
          <w:sz w:val="24"/>
          <w:szCs w:val="24"/>
          <w:lang w:val="en-US"/>
        </w:rPr>
        <w:t xml:space="preserve"> </w:t>
      </w:r>
      <w:r w:rsidRPr="0012786C">
        <w:rPr>
          <w:rFonts w:ascii="Times New Roman" w:hAnsi="Times New Roman" w:cs="Times New Roman"/>
          <w:i/>
          <w:iCs/>
          <w:sz w:val="24"/>
          <w:szCs w:val="24"/>
        </w:rPr>
        <w:t>Journal of Environmental</w:t>
      </w:r>
      <w:r w:rsidR="00F64317">
        <w:rPr>
          <w:rFonts w:ascii="Times New Roman" w:hAnsi="Times New Roman" w:cs="Times New Roman"/>
          <w:i/>
          <w:iCs/>
          <w:sz w:val="24"/>
          <w:szCs w:val="24"/>
        </w:rPr>
        <w:t xml:space="preserve"> </w:t>
      </w:r>
      <w:r w:rsidRPr="0012786C">
        <w:rPr>
          <w:rFonts w:ascii="Times New Roman" w:hAnsi="Times New Roman" w:cs="Times New Roman"/>
          <w:i/>
          <w:iCs/>
          <w:sz w:val="24"/>
          <w:szCs w:val="24"/>
        </w:rPr>
        <w:t>Economics</w:t>
      </w:r>
      <w:r w:rsidR="00F64317">
        <w:rPr>
          <w:rFonts w:ascii="Times New Roman" w:hAnsi="Times New Roman" w:cs="Times New Roman"/>
          <w:i/>
          <w:iCs/>
          <w:sz w:val="24"/>
          <w:szCs w:val="24"/>
        </w:rPr>
        <w:t xml:space="preserve"> </w:t>
      </w:r>
      <w:r w:rsidRPr="0012786C">
        <w:rPr>
          <w:rFonts w:ascii="Times New Roman" w:hAnsi="Times New Roman" w:cs="Times New Roman"/>
          <w:i/>
          <w:iCs/>
          <w:sz w:val="24"/>
          <w:szCs w:val="24"/>
        </w:rPr>
        <w:t>and</w:t>
      </w:r>
      <w:r w:rsidR="00F64317">
        <w:rPr>
          <w:rFonts w:ascii="Times New Roman" w:hAnsi="Times New Roman" w:cs="Times New Roman"/>
          <w:i/>
          <w:iCs/>
          <w:sz w:val="24"/>
          <w:szCs w:val="24"/>
        </w:rPr>
        <w:t xml:space="preserve"> </w:t>
      </w:r>
      <w:r w:rsidRPr="0012786C">
        <w:rPr>
          <w:rFonts w:ascii="Times New Roman" w:hAnsi="Times New Roman" w:cs="Times New Roman"/>
          <w:i/>
          <w:iCs/>
          <w:sz w:val="24"/>
          <w:szCs w:val="24"/>
        </w:rPr>
        <w:t>Policy</w:t>
      </w:r>
      <w:r w:rsidR="00F64317">
        <w:rPr>
          <w:rFonts w:ascii="Times New Roman" w:hAnsi="Times New Roman" w:cs="Times New Roman"/>
          <w:sz w:val="24"/>
          <w:szCs w:val="24"/>
        </w:rPr>
        <w:t>, d</w:t>
      </w:r>
      <w:r w:rsidRPr="0012786C">
        <w:rPr>
          <w:rFonts w:ascii="Times New Roman" w:hAnsi="Times New Roman" w:cs="Times New Roman"/>
          <w:sz w:val="24"/>
          <w:szCs w:val="24"/>
        </w:rPr>
        <w:t>oi: 10.1080/21606544.2021.1950575</w:t>
      </w:r>
    </w:p>
    <w:p w:rsidR="00DF0582" w:rsidRPr="0012786C" w:rsidRDefault="00F64317" w:rsidP="00DF0582">
      <w:pPr>
        <w:spacing w:before="120" w:after="120"/>
        <w:jc w:val="both"/>
        <w:rPr>
          <w:rFonts w:ascii="Times New Roman" w:hAnsi="Times New Roman" w:cs="Times New Roman"/>
          <w:sz w:val="24"/>
          <w:szCs w:val="24"/>
        </w:rPr>
      </w:pPr>
      <w:r>
        <w:rPr>
          <w:rFonts w:ascii="Times New Roman" w:hAnsi="Times New Roman" w:cs="Times New Roman"/>
          <w:sz w:val="24"/>
          <w:szCs w:val="24"/>
        </w:rPr>
        <w:t>Zafar, M.</w:t>
      </w:r>
      <w:r w:rsidR="00DF0582" w:rsidRPr="0012786C">
        <w:rPr>
          <w:rFonts w:ascii="Times New Roman" w:hAnsi="Times New Roman" w:cs="Times New Roman"/>
          <w:sz w:val="24"/>
          <w:szCs w:val="24"/>
        </w:rPr>
        <w:t>W.,</w:t>
      </w:r>
      <w:r>
        <w:rPr>
          <w:rFonts w:ascii="Times New Roman" w:hAnsi="Times New Roman" w:cs="Times New Roman"/>
          <w:sz w:val="24"/>
          <w:szCs w:val="24"/>
        </w:rPr>
        <w:t xml:space="preserve"> Saleem, M.M., Destek, M.</w:t>
      </w:r>
      <w:r w:rsidR="00DF0582" w:rsidRPr="0012786C">
        <w:rPr>
          <w:rFonts w:ascii="Times New Roman" w:hAnsi="Times New Roman" w:cs="Times New Roman"/>
          <w:sz w:val="24"/>
          <w:szCs w:val="24"/>
        </w:rPr>
        <w:t>A., and</w:t>
      </w:r>
      <w:r>
        <w:rPr>
          <w:rFonts w:ascii="Times New Roman" w:hAnsi="Times New Roman" w:cs="Times New Roman"/>
          <w:sz w:val="24"/>
          <w:szCs w:val="24"/>
        </w:rPr>
        <w:t xml:space="preserve"> Caglar, A.</w:t>
      </w:r>
      <w:r w:rsidR="00DF0582" w:rsidRPr="0012786C">
        <w:rPr>
          <w:rFonts w:ascii="Times New Roman" w:hAnsi="Times New Roman" w:cs="Times New Roman"/>
          <w:sz w:val="24"/>
          <w:szCs w:val="24"/>
        </w:rPr>
        <w:t>E. (2021), “The</w:t>
      </w:r>
      <w:r>
        <w:rPr>
          <w:rFonts w:ascii="Times New Roman" w:hAnsi="Times New Roman" w:cs="Times New Roman"/>
          <w:sz w:val="24"/>
          <w:szCs w:val="24"/>
        </w:rPr>
        <w:t xml:space="preserve"> D</w:t>
      </w:r>
      <w:r w:rsidR="00DF0582" w:rsidRPr="0012786C">
        <w:rPr>
          <w:rFonts w:ascii="Times New Roman" w:hAnsi="Times New Roman" w:cs="Times New Roman"/>
          <w:sz w:val="24"/>
          <w:szCs w:val="24"/>
        </w:rPr>
        <w:t>ynamic</w:t>
      </w:r>
      <w:r>
        <w:rPr>
          <w:rFonts w:ascii="Times New Roman" w:hAnsi="Times New Roman" w:cs="Times New Roman"/>
          <w:sz w:val="24"/>
          <w:szCs w:val="24"/>
        </w:rPr>
        <w:t xml:space="preserve"> L</w:t>
      </w:r>
      <w:r w:rsidR="00DF0582" w:rsidRPr="0012786C">
        <w:rPr>
          <w:rFonts w:ascii="Times New Roman" w:hAnsi="Times New Roman" w:cs="Times New Roman"/>
          <w:sz w:val="24"/>
          <w:szCs w:val="24"/>
        </w:rPr>
        <w:t>inkage</w:t>
      </w:r>
      <w:r>
        <w:rPr>
          <w:rFonts w:ascii="Times New Roman" w:hAnsi="Times New Roman" w:cs="Times New Roman"/>
          <w:sz w:val="24"/>
          <w:szCs w:val="24"/>
        </w:rPr>
        <w:t xml:space="preserve"> </w:t>
      </w:r>
      <w:r w:rsidR="00DF0582" w:rsidRPr="0012786C">
        <w:rPr>
          <w:rFonts w:ascii="Times New Roman" w:hAnsi="Times New Roman" w:cs="Times New Roman"/>
          <w:sz w:val="24"/>
          <w:szCs w:val="24"/>
        </w:rPr>
        <w:t>between</w:t>
      </w:r>
      <w:r>
        <w:rPr>
          <w:rFonts w:ascii="Times New Roman" w:hAnsi="Times New Roman" w:cs="Times New Roman"/>
          <w:sz w:val="24"/>
          <w:szCs w:val="24"/>
        </w:rPr>
        <w:t xml:space="preserve"> R</w:t>
      </w:r>
      <w:r w:rsidR="00DF0582" w:rsidRPr="0012786C">
        <w:rPr>
          <w:rFonts w:ascii="Times New Roman" w:hAnsi="Times New Roman" w:cs="Times New Roman"/>
          <w:sz w:val="24"/>
          <w:szCs w:val="24"/>
        </w:rPr>
        <w:t xml:space="preserve">emittances, </w:t>
      </w:r>
      <w:r>
        <w:rPr>
          <w:rFonts w:ascii="Times New Roman" w:hAnsi="Times New Roman" w:cs="Times New Roman"/>
          <w:sz w:val="24"/>
          <w:szCs w:val="24"/>
        </w:rPr>
        <w:t>E</w:t>
      </w:r>
      <w:r w:rsidR="00DF0582" w:rsidRPr="0012786C">
        <w:rPr>
          <w:rFonts w:ascii="Times New Roman" w:hAnsi="Times New Roman" w:cs="Times New Roman"/>
          <w:sz w:val="24"/>
          <w:szCs w:val="24"/>
        </w:rPr>
        <w:t>xport</w:t>
      </w:r>
      <w:r>
        <w:rPr>
          <w:rFonts w:ascii="Times New Roman" w:hAnsi="Times New Roman" w:cs="Times New Roman"/>
          <w:sz w:val="24"/>
          <w:szCs w:val="24"/>
        </w:rPr>
        <w:t xml:space="preserve"> D</w:t>
      </w:r>
      <w:r w:rsidR="00DF0582" w:rsidRPr="0012786C">
        <w:rPr>
          <w:rFonts w:ascii="Times New Roman" w:hAnsi="Times New Roman" w:cs="Times New Roman"/>
          <w:sz w:val="24"/>
          <w:szCs w:val="24"/>
        </w:rPr>
        <w:t xml:space="preserve">iversification, </w:t>
      </w:r>
      <w:r>
        <w:rPr>
          <w:rFonts w:ascii="Times New Roman" w:hAnsi="Times New Roman" w:cs="Times New Roman"/>
          <w:sz w:val="24"/>
          <w:szCs w:val="24"/>
        </w:rPr>
        <w:t>E</w:t>
      </w:r>
      <w:r w:rsidR="00DF0582" w:rsidRPr="0012786C">
        <w:rPr>
          <w:rFonts w:ascii="Times New Roman" w:hAnsi="Times New Roman" w:cs="Times New Roman"/>
          <w:sz w:val="24"/>
          <w:szCs w:val="24"/>
        </w:rPr>
        <w:t xml:space="preserve">ducation, </w:t>
      </w:r>
      <w:r>
        <w:rPr>
          <w:rFonts w:ascii="Times New Roman" w:hAnsi="Times New Roman" w:cs="Times New Roman"/>
          <w:sz w:val="24"/>
          <w:szCs w:val="24"/>
        </w:rPr>
        <w:t>R</w:t>
      </w:r>
      <w:r w:rsidR="00DF0582" w:rsidRPr="0012786C">
        <w:rPr>
          <w:rFonts w:ascii="Times New Roman" w:hAnsi="Times New Roman" w:cs="Times New Roman"/>
          <w:sz w:val="24"/>
          <w:szCs w:val="24"/>
        </w:rPr>
        <w:t>enewable</w:t>
      </w:r>
      <w:r>
        <w:rPr>
          <w:rFonts w:ascii="Times New Roman" w:hAnsi="Times New Roman" w:cs="Times New Roman"/>
          <w:sz w:val="24"/>
          <w:szCs w:val="24"/>
        </w:rPr>
        <w:t xml:space="preserve"> E</w:t>
      </w:r>
      <w:r w:rsidR="00DF0582" w:rsidRPr="0012786C">
        <w:rPr>
          <w:rFonts w:ascii="Times New Roman" w:hAnsi="Times New Roman" w:cs="Times New Roman"/>
          <w:sz w:val="24"/>
          <w:szCs w:val="24"/>
        </w:rPr>
        <w:t>nergy</w:t>
      </w:r>
      <w:r>
        <w:rPr>
          <w:rFonts w:ascii="Times New Roman" w:hAnsi="Times New Roman" w:cs="Times New Roman"/>
          <w:sz w:val="24"/>
          <w:szCs w:val="24"/>
        </w:rPr>
        <w:t xml:space="preserve"> C</w:t>
      </w:r>
      <w:r w:rsidR="00DF0582" w:rsidRPr="0012786C">
        <w:rPr>
          <w:rFonts w:ascii="Times New Roman" w:hAnsi="Times New Roman" w:cs="Times New Roman"/>
          <w:sz w:val="24"/>
          <w:szCs w:val="24"/>
        </w:rPr>
        <w:t xml:space="preserve">onsumption, </w:t>
      </w:r>
      <w:r>
        <w:rPr>
          <w:rFonts w:ascii="Times New Roman" w:hAnsi="Times New Roman" w:cs="Times New Roman"/>
          <w:sz w:val="24"/>
          <w:szCs w:val="24"/>
        </w:rPr>
        <w:lastRenderedPageBreak/>
        <w:t>E</w:t>
      </w:r>
      <w:r w:rsidR="00DF0582" w:rsidRPr="0012786C">
        <w:rPr>
          <w:rFonts w:ascii="Times New Roman" w:hAnsi="Times New Roman" w:cs="Times New Roman"/>
          <w:sz w:val="24"/>
          <w:szCs w:val="24"/>
        </w:rPr>
        <w:t>conomic</w:t>
      </w:r>
      <w:r>
        <w:rPr>
          <w:rFonts w:ascii="Times New Roman" w:hAnsi="Times New Roman" w:cs="Times New Roman"/>
          <w:sz w:val="24"/>
          <w:szCs w:val="24"/>
        </w:rPr>
        <w:t xml:space="preserve"> Growth, and CO</w:t>
      </w:r>
      <w:r w:rsidR="00DF0582" w:rsidRPr="00F64317">
        <w:rPr>
          <w:rFonts w:ascii="Times New Roman" w:hAnsi="Times New Roman" w:cs="Times New Roman"/>
          <w:sz w:val="24"/>
          <w:szCs w:val="24"/>
          <w:vertAlign w:val="subscript"/>
        </w:rPr>
        <w:t>2</w:t>
      </w:r>
      <w:r w:rsidR="00DF0582" w:rsidRPr="0012786C">
        <w:rPr>
          <w:rFonts w:ascii="Times New Roman" w:hAnsi="Times New Roman" w:cs="Times New Roman"/>
          <w:sz w:val="24"/>
          <w:szCs w:val="24"/>
        </w:rPr>
        <w:t xml:space="preserve"> </w:t>
      </w:r>
      <w:r>
        <w:rPr>
          <w:rFonts w:ascii="Times New Roman" w:hAnsi="Times New Roman" w:cs="Times New Roman"/>
          <w:sz w:val="24"/>
          <w:szCs w:val="24"/>
        </w:rPr>
        <w:t>E</w:t>
      </w:r>
      <w:r w:rsidR="00DF0582" w:rsidRPr="0012786C">
        <w:rPr>
          <w:rFonts w:ascii="Times New Roman" w:hAnsi="Times New Roman" w:cs="Times New Roman"/>
          <w:sz w:val="24"/>
          <w:szCs w:val="24"/>
        </w:rPr>
        <w:t xml:space="preserve">missions in </w:t>
      </w:r>
      <w:r>
        <w:rPr>
          <w:rFonts w:ascii="Times New Roman" w:hAnsi="Times New Roman" w:cs="Times New Roman"/>
          <w:sz w:val="24"/>
          <w:szCs w:val="24"/>
        </w:rPr>
        <w:t>T</w:t>
      </w:r>
      <w:r w:rsidR="00DF0582" w:rsidRPr="0012786C">
        <w:rPr>
          <w:rFonts w:ascii="Times New Roman" w:hAnsi="Times New Roman" w:cs="Times New Roman"/>
          <w:sz w:val="24"/>
          <w:szCs w:val="24"/>
        </w:rPr>
        <w:t xml:space="preserve">op </w:t>
      </w:r>
      <w:r>
        <w:rPr>
          <w:rFonts w:ascii="Times New Roman" w:hAnsi="Times New Roman" w:cs="Times New Roman"/>
          <w:sz w:val="24"/>
          <w:szCs w:val="24"/>
        </w:rPr>
        <w:t>R</w:t>
      </w:r>
      <w:r w:rsidR="00DF0582" w:rsidRPr="0012786C">
        <w:rPr>
          <w:rFonts w:ascii="Times New Roman" w:hAnsi="Times New Roman" w:cs="Times New Roman"/>
          <w:sz w:val="24"/>
          <w:szCs w:val="24"/>
        </w:rPr>
        <w:t>emittance‐</w:t>
      </w:r>
      <w:r>
        <w:rPr>
          <w:rFonts w:ascii="Times New Roman" w:hAnsi="Times New Roman" w:cs="Times New Roman"/>
          <w:sz w:val="24"/>
          <w:szCs w:val="24"/>
        </w:rPr>
        <w:t>R</w:t>
      </w:r>
      <w:r w:rsidR="00DF0582" w:rsidRPr="0012786C">
        <w:rPr>
          <w:rFonts w:ascii="Times New Roman" w:hAnsi="Times New Roman" w:cs="Times New Roman"/>
          <w:sz w:val="24"/>
          <w:szCs w:val="24"/>
        </w:rPr>
        <w:t>eceiving</w:t>
      </w:r>
      <w:r>
        <w:rPr>
          <w:rFonts w:ascii="Times New Roman" w:hAnsi="Times New Roman" w:cs="Times New Roman"/>
          <w:sz w:val="24"/>
          <w:szCs w:val="24"/>
        </w:rPr>
        <w:t xml:space="preserve"> C</w:t>
      </w:r>
      <w:r w:rsidR="00DF0582" w:rsidRPr="0012786C">
        <w:rPr>
          <w:rFonts w:ascii="Times New Roman" w:hAnsi="Times New Roman" w:cs="Times New Roman"/>
          <w:sz w:val="24"/>
          <w:szCs w:val="24"/>
        </w:rPr>
        <w:t xml:space="preserve">ountries”, </w:t>
      </w:r>
      <w:r w:rsidR="00DF0582" w:rsidRPr="0012786C">
        <w:rPr>
          <w:rFonts w:ascii="Times New Roman" w:hAnsi="Times New Roman" w:cs="Times New Roman"/>
          <w:i/>
          <w:iCs/>
          <w:sz w:val="24"/>
          <w:szCs w:val="24"/>
        </w:rPr>
        <w:t>Sustainable Development</w:t>
      </w:r>
      <w:r w:rsidR="00DF0582" w:rsidRPr="0012786C">
        <w:rPr>
          <w:rFonts w:ascii="Times New Roman" w:hAnsi="Times New Roman" w:cs="Times New Roman"/>
          <w:sz w:val="24"/>
          <w:szCs w:val="24"/>
        </w:rPr>
        <w:t>, doi:10.1002/sd.2236 </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Wang, X., Yan, L., and Zhao, X. (2021), “Tackling</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the</w:t>
      </w:r>
      <w:r w:rsidR="00F64317">
        <w:rPr>
          <w:rFonts w:ascii="Times New Roman" w:hAnsi="Times New Roman" w:cs="Times New Roman"/>
          <w:sz w:val="24"/>
          <w:szCs w:val="24"/>
        </w:rPr>
        <w:t xml:space="preserve"> E</w:t>
      </w:r>
      <w:r w:rsidRPr="0012786C">
        <w:rPr>
          <w:rFonts w:ascii="Times New Roman" w:hAnsi="Times New Roman" w:cs="Times New Roman"/>
          <w:sz w:val="24"/>
          <w:szCs w:val="24"/>
        </w:rPr>
        <w:t>cological</w:t>
      </w:r>
      <w:r w:rsidR="00F64317">
        <w:rPr>
          <w:rFonts w:ascii="Times New Roman" w:hAnsi="Times New Roman" w:cs="Times New Roman"/>
          <w:sz w:val="24"/>
          <w:szCs w:val="24"/>
        </w:rPr>
        <w:t xml:space="preserve"> F</w:t>
      </w:r>
      <w:r w:rsidRPr="0012786C">
        <w:rPr>
          <w:rFonts w:ascii="Times New Roman" w:hAnsi="Times New Roman" w:cs="Times New Roman"/>
          <w:sz w:val="24"/>
          <w:szCs w:val="24"/>
        </w:rPr>
        <w:t xml:space="preserve">ootprint in </w:t>
      </w:r>
      <w:r w:rsidR="00F64317">
        <w:rPr>
          <w:rFonts w:ascii="Times New Roman" w:hAnsi="Times New Roman" w:cs="Times New Roman"/>
          <w:sz w:val="24"/>
          <w:szCs w:val="24"/>
        </w:rPr>
        <w:t>C</w:t>
      </w:r>
      <w:r w:rsidRPr="0012786C">
        <w:rPr>
          <w:rFonts w:ascii="Times New Roman" w:hAnsi="Times New Roman" w:cs="Times New Roman"/>
          <w:sz w:val="24"/>
          <w:szCs w:val="24"/>
        </w:rPr>
        <w:t>hina</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through</w:t>
      </w:r>
      <w:r w:rsidR="00F64317">
        <w:rPr>
          <w:rFonts w:ascii="Times New Roman" w:hAnsi="Times New Roman" w:cs="Times New Roman"/>
          <w:sz w:val="24"/>
          <w:szCs w:val="24"/>
        </w:rPr>
        <w:t xml:space="preserve"> E</w:t>
      </w:r>
      <w:r w:rsidRPr="0012786C">
        <w:rPr>
          <w:rFonts w:ascii="Times New Roman" w:hAnsi="Times New Roman" w:cs="Times New Roman"/>
          <w:sz w:val="24"/>
          <w:szCs w:val="24"/>
        </w:rPr>
        <w:t>nergy</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 xml:space="preserve">onsumption, </w:t>
      </w:r>
      <w:r w:rsidR="00F64317">
        <w:rPr>
          <w:rFonts w:ascii="Times New Roman" w:hAnsi="Times New Roman" w:cs="Times New Roman"/>
          <w:sz w:val="24"/>
          <w:szCs w:val="24"/>
        </w:rPr>
        <w:t>E</w:t>
      </w:r>
      <w:r w:rsidRPr="0012786C">
        <w:rPr>
          <w:rFonts w:ascii="Times New Roman" w:hAnsi="Times New Roman" w:cs="Times New Roman"/>
          <w:sz w:val="24"/>
          <w:szCs w:val="24"/>
        </w:rPr>
        <w:t>conomic</w:t>
      </w:r>
      <w:r w:rsidR="00F64317">
        <w:rPr>
          <w:rFonts w:ascii="Times New Roman" w:hAnsi="Times New Roman" w:cs="Times New Roman"/>
          <w:sz w:val="24"/>
          <w:szCs w:val="24"/>
        </w:rPr>
        <w:t xml:space="preserve"> G</w:t>
      </w:r>
      <w:r w:rsidRPr="0012786C">
        <w:rPr>
          <w:rFonts w:ascii="Times New Roman" w:hAnsi="Times New Roman" w:cs="Times New Roman"/>
          <w:sz w:val="24"/>
          <w:szCs w:val="24"/>
        </w:rPr>
        <w:t>rowth</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and CO</w:t>
      </w:r>
      <w:r w:rsidRPr="00F64317">
        <w:rPr>
          <w:rFonts w:ascii="Times New Roman" w:hAnsi="Times New Roman" w:cs="Times New Roman"/>
          <w:sz w:val="24"/>
          <w:szCs w:val="24"/>
          <w:vertAlign w:val="subscript"/>
        </w:rPr>
        <w:t>2</w:t>
      </w:r>
      <w:r w:rsidRPr="0012786C">
        <w:rPr>
          <w:rFonts w:ascii="Times New Roman" w:hAnsi="Times New Roman" w:cs="Times New Roman"/>
          <w:sz w:val="24"/>
          <w:szCs w:val="24"/>
        </w:rPr>
        <w:t xml:space="preserve"> </w:t>
      </w:r>
      <w:r w:rsidR="00F64317">
        <w:rPr>
          <w:rFonts w:ascii="Times New Roman" w:hAnsi="Times New Roman" w:cs="Times New Roman"/>
          <w:sz w:val="24"/>
          <w:szCs w:val="24"/>
        </w:rPr>
        <w:t>E</w:t>
      </w:r>
      <w:r w:rsidRPr="0012786C">
        <w:rPr>
          <w:rFonts w:ascii="Times New Roman" w:hAnsi="Times New Roman" w:cs="Times New Roman"/>
          <w:sz w:val="24"/>
          <w:szCs w:val="24"/>
        </w:rPr>
        <w:t xml:space="preserve">mission: </w:t>
      </w:r>
      <w:r w:rsidR="00F64317">
        <w:rPr>
          <w:rFonts w:ascii="Times New Roman" w:hAnsi="Times New Roman" w:cs="Times New Roman"/>
          <w:sz w:val="24"/>
          <w:szCs w:val="24"/>
        </w:rPr>
        <w:t>A</w:t>
      </w:r>
      <w:r w:rsidRPr="0012786C">
        <w:rPr>
          <w:rFonts w:ascii="Times New Roman" w:hAnsi="Times New Roman" w:cs="Times New Roman"/>
          <w:sz w:val="24"/>
          <w:szCs w:val="24"/>
        </w:rPr>
        <w:t xml:space="preserve">n ARDL </w:t>
      </w:r>
      <w:r w:rsidR="00F64317">
        <w:rPr>
          <w:rFonts w:ascii="Times New Roman" w:hAnsi="Times New Roman" w:cs="Times New Roman"/>
          <w:sz w:val="24"/>
          <w:szCs w:val="24"/>
        </w:rPr>
        <w:t>A</w:t>
      </w:r>
      <w:r w:rsidRPr="0012786C">
        <w:rPr>
          <w:rFonts w:ascii="Times New Roman" w:hAnsi="Times New Roman" w:cs="Times New Roman"/>
          <w:sz w:val="24"/>
          <w:szCs w:val="24"/>
        </w:rPr>
        <w:t xml:space="preserve">pproach”, </w:t>
      </w:r>
      <w:r w:rsidRPr="0012786C">
        <w:rPr>
          <w:rFonts w:ascii="Times New Roman" w:hAnsi="Times New Roman" w:cs="Times New Roman"/>
          <w:i/>
          <w:iCs/>
          <w:sz w:val="24"/>
          <w:szCs w:val="24"/>
        </w:rPr>
        <w:t>Quality&amp;Quantity</w:t>
      </w:r>
      <w:r w:rsidRPr="0012786C">
        <w:rPr>
          <w:rFonts w:ascii="Times New Roman" w:hAnsi="Times New Roman" w:cs="Times New Roman"/>
          <w:sz w:val="24"/>
          <w:szCs w:val="24"/>
        </w:rPr>
        <w:t>, doi:10.1007/s11135-021-01128-4 </w:t>
      </w:r>
    </w:p>
    <w:p w:rsidR="004B2F1A" w:rsidRPr="0012786C" w:rsidRDefault="004B2F1A"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rPr>
        <w:t>Wikipedia (2022), https://en.wikipedia.org/wiki/Greenhouse_gas</w:t>
      </w:r>
    </w:p>
    <w:p w:rsidR="00DF0582" w:rsidRPr="0012786C" w:rsidRDefault="00DF0582" w:rsidP="00DF0582">
      <w:pPr>
        <w:spacing w:before="120" w:after="120"/>
        <w:jc w:val="both"/>
        <w:rPr>
          <w:rFonts w:ascii="Times New Roman" w:hAnsi="Times New Roman" w:cs="Times New Roman"/>
          <w:sz w:val="24"/>
          <w:szCs w:val="24"/>
        </w:rPr>
      </w:pPr>
      <w:r w:rsidRPr="0012786C">
        <w:rPr>
          <w:rFonts w:ascii="Times New Roman" w:hAnsi="Times New Roman" w:cs="Times New Roman"/>
          <w:sz w:val="24"/>
          <w:szCs w:val="24"/>
          <w:lang w:val="en-US"/>
        </w:rPr>
        <w:t>Xue</w:t>
      </w:r>
      <w:r w:rsidRPr="0012786C">
        <w:rPr>
          <w:rFonts w:ascii="Times New Roman" w:hAnsi="Times New Roman" w:cs="Times New Roman"/>
          <w:sz w:val="24"/>
          <w:szCs w:val="24"/>
        </w:rPr>
        <w:t xml:space="preserve"> C., Shahbaz M. Zahoor A., Mahmood A., and</w:t>
      </w:r>
      <w:r w:rsidR="00F64317">
        <w:rPr>
          <w:rFonts w:ascii="Times New Roman" w:hAnsi="Times New Roman" w:cs="Times New Roman"/>
          <w:sz w:val="24"/>
          <w:szCs w:val="24"/>
        </w:rPr>
        <w:t xml:space="preserve"> </w:t>
      </w:r>
      <w:r w:rsidRPr="0012786C">
        <w:rPr>
          <w:rFonts w:ascii="Times New Roman" w:hAnsi="Times New Roman" w:cs="Times New Roman"/>
          <w:sz w:val="24"/>
          <w:szCs w:val="24"/>
        </w:rPr>
        <w:t>Avik S</w:t>
      </w:r>
      <w:r w:rsidR="00F64317">
        <w:rPr>
          <w:rFonts w:ascii="Times New Roman" w:hAnsi="Times New Roman" w:cs="Times New Roman"/>
          <w:sz w:val="24"/>
          <w:szCs w:val="24"/>
        </w:rPr>
        <w:t>.</w:t>
      </w:r>
      <w:r w:rsidRPr="0012786C">
        <w:rPr>
          <w:rFonts w:ascii="Times New Roman" w:hAnsi="Times New Roman" w:cs="Times New Roman"/>
          <w:sz w:val="24"/>
          <w:szCs w:val="24"/>
        </w:rPr>
        <w:t xml:space="preserve"> (2022), “Clean</w:t>
      </w:r>
      <w:r w:rsidR="00F64317">
        <w:rPr>
          <w:rFonts w:ascii="Times New Roman" w:hAnsi="Times New Roman" w:cs="Times New Roman"/>
          <w:sz w:val="24"/>
          <w:szCs w:val="24"/>
        </w:rPr>
        <w:t xml:space="preserve"> E</w:t>
      </w:r>
      <w:r w:rsidRPr="0012786C">
        <w:rPr>
          <w:rFonts w:ascii="Times New Roman" w:hAnsi="Times New Roman" w:cs="Times New Roman"/>
          <w:sz w:val="24"/>
          <w:szCs w:val="24"/>
        </w:rPr>
        <w:t>nergy</w:t>
      </w:r>
      <w:r w:rsidR="00F64317">
        <w:rPr>
          <w:rFonts w:ascii="Times New Roman" w:hAnsi="Times New Roman" w:cs="Times New Roman"/>
          <w:sz w:val="24"/>
          <w:szCs w:val="24"/>
        </w:rPr>
        <w:t xml:space="preserve"> C</w:t>
      </w:r>
      <w:r w:rsidRPr="0012786C">
        <w:rPr>
          <w:rFonts w:ascii="Times New Roman" w:hAnsi="Times New Roman" w:cs="Times New Roman"/>
          <w:sz w:val="24"/>
          <w:szCs w:val="24"/>
        </w:rPr>
        <w:t xml:space="preserve">onsumption, </w:t>
      </w:r>
      <w:r w:rsidR="00F64317">
        <w:rPr>
          <w:rFonts w:ascii="Times New Roman" w:hAnsi="Times New Roman" w:cs="Times New Roman"/>
          <w:sz w:val="24"/>
          <w:szCs w:val="24"/>
        </w:rPr>
        <w:t>E</w:t>
      </w:r>
      <w:r w:rsidRPr="0012786C">
        <w:rPr>
          <w:rFonts w:ascii="Times New Roman" w:hAnsi="Times New Roman" w:cs="Times New Roman"/>
          <w:sz w:val="24"/>
          <w:szCs w:val="24"/>
        </w:rPr>
        <w:t>conomic</w:t>
      </w:r>
      <w:r w:rsidR="00F64317">
        <w:rPr>
          <w:rFonts w:ascii="Times New Roman" w:hAnsi="Times New Roman" w:cs="Times New Roman"/>
          <w:sz w:val="24"/>
          <w:szCs w:val="24"/>
        </w:rPr>
        <w:t xml:space="preserve"> G</w:t>
      </w:r>
      <w:r w:rsidRPr="0012786C">
        <w:rPr>
          <w:rFonts w:ascii="Times New Roman" w:hAnsi="Times New Roman" w:cs="Times New Roman"/>
          <w:sz w:val="24"/>
          <w:szCs w:val="24"/>
        </w:rPr>
        <w:t>rowth, and</w:t>
      </w:r>
      <w:r w:rsidR="00F64317">
        <w:rPr>
          <w:rFonts w:ascii="Times New Roman" w:hAnsi="Times New Roman" w:cs="Times New Roman"/>
          <w:sz w:val="24"/>
          <w:szCs w:val="24"/>
        </w:rPr>
        <w:t xml:space="preserve"> E</w:t>
      </w:r>
      <w:r w:rsidRPr="0012786C">
        <w:rPr>
          <w:rFonts w:ascii="Times New Roman" w:hAnsi="Times New Roman" w:cs="Times New Roman"/>
          <w:sz w:val="24"/>
          <w:szCs w:val="24"/>
        </w:rPr>
        <w:t>nvironmental</w:t>
      </w:r>
      <w:r w:rsidR="00F64317">
        <w:rPr>
          <w:rFonts w:ascii="Times New Roman" w:hAnsi="Times New Roman" w:cs="Times New Roman"/>
          <w:sz w:val="24"/>
          <w:szCs w:val="24"/>
        </w:rPr>
        <w:t xml:space="preserve"> S</w:t>
      </w:r>
      <w:r w:rsidRPr="0012786C">
        <w:rPr>
          <w:rFonts w:ascii="Times New Roman" w:hAnsi="Times New Roman" w:cs="Times New Roman"/>
          <w:sz w:val="24"/>
          <w:szCs w:val="24"/>
        </w:rPr>
        <w:t xml:space="preserve">ustainability: What is the </w:t>
      </w:r>
      <w:r w:rsidR="00F64317">
        <w:rPr>
          <w:rFonts w:ascii="Times New Roman" w:hAnsi="Times New Roman" w:cs="Times New Roman"/>
          <w:sz w:val="24"/>
          <w:szCs w:val="24"/>
        </w:rPr>
        <w:t>R</w:t>
      </w:r>
      <w:r w:rsidRPr="0012786C">
        <w:rPr>
          <w:rFonts w:ascii="Times New Roman" w:hAnsi="Times New Roman" w:cs="Times New Roman"/>
          <w:sz w:val="24"/>
          <w:szCs w:val="24"/>
        </w:rPr>
        <w:t xml:space="preserve">ole of </w:t>
      </w:r>
      <w:r w:rsidR="00F64317">
        <w:rPr>
          <w:rFonts w:ascii="Times New Roman" w:hAnsi="Times New Roman" w:cs="Times New Roman"/>
          <w:sz w:val="24"/>
          <w:szCs w:val="24"/>
        </w:rPr>
        <w:t>E</w:t>
      </w:r>
      <w:r w:rsidRPr="0012786C">
        <w:rPr>
          <w:rFonts w:ascii="Times New Roman" w:hAnsi="Times New Roman" w:cs="Times New Roman"/>
          <w:sz w:val="24"/>
          <w:szCs w:val="24"/>
        </w:rPr>
        <w:t>conomic</w:t>
      </w:r>
      <w:r w:rsidR="00F64317">
        <w:rPr>
          <w:rFonts w:ascii="Times New Roman" w:hAnsi="Times New Roman" w:cs="Times New Roman"/>
          <w:sz w:val="24"/>
          <w:szCs w:val="24"/>
        </w:rPr>
        <w:t xml:space="preserve"> P</w:t>
      </w:r>
      <w:r w:rsidRPr="0012786C">
        <w:rPr>
          <w:rFonts w:ascii="Times New Roman" w:hAnsi="Times New Roman" w:cs="Times New Roman"/>
          <w:sz w:val="24"/>
          <w:szCs w:val="24"/>
        </w:rPr>
        <w:t>olicy</w:t>
      </w:r>
      <w:r w:rsidR="00F64317">
        <w:rPr>
          <w:rFonts w:ascii="Times New Roman" w:hAnsi="Times New Roman" w:cs="Times New Roman"/>
          <w:sz w:val="24"/>
          <w:szCs w:val="24"/>
        </w:rPr>
        <w:t xml:space="preserve"> U</w:t>
      </w:r>
      <w:r w:rsidRPr="0012786C">
        <w:rPr>
          <w:rFonts w:ascii="Times New Roman" w:hAnsi="Times New Roman" w:cs="Times New Roman"/>
          <w:sz w:val="24"/>
          <w:szCs w:val="24"/>
        </w:rPr>
        <w:t xml:space="preserve">ncertainty?”, </w:t>
      </w:r>
      <w:r w:rsidRPr="0012786C">
        <w:rPr>
          <w:rFonts w:ascii="Times New Roman" w:hAnsi="Times New Roman" w:cs="Times New Roman"/>
          <w:i/>
          <w:iCs/>
          <w:sz w:val="24"/>
          <w:szCs w:val="24"/>
        </w:rPr>
        <w:t>Renewable Energy</w:t>
      </w:r>
      <w:r w:rsidRPr="0012786C">
        <w:rPr>
          <w:rFonts w:ascii="Times New Roman" w:hAnsi="Times New Roman" w:cs="Times New Roman"/>
          <w:sz w:val="24"/>
          <w:szCs w:val="24"/>
        </w:rPr>
        <w:t>,184, 899-907</w:t>
      </w:r>
      <w:r w:rsidR="00F64317">
        <w:rPr>
          <w:rFonts w:ascii="Times New Roman" w:hAnsi="Times New Roman" w:cs="Times New Roman"/>
          <w:sz w:val="24"/>
          <w:szCs w:val="24"/>
        </w:rPr>
        <w:t>.</w:t>
      </w:r>
    </w:p>
    <w:p w:rsidR="00BF0ABC" w:rsidRPr="00BF0ABC" w:rsidRDefault="00BF0ABC" w:rsidP="00BF0ABC">
      <w:pPr>
        <w:jc w:val="both"/>
        <w:rPr>
          <w:rFonts w:ascii="Times New Roman" w:hAnsi="Times New Roman" w:cs="Times New Roman"/>
          <w:sz w:val="24"/>
          <w:szCs w:val="24"/>
          <w:lang w:val="en-US"/>
        </w:rPr>
      </w:pPr>
    </w:p>
    <w:p w:rsidR="00BF0ABC" w:rsidRDefault="00BF0ABC" w:rsidP="00BF0ABC">
      <w:pPr>
        <w:autoSpaceDE w:val="0"/>
        <w:autoSpaceDN w:val="0"/>
        <w:adjustRightInd w:val="0"/>
        <w:spacing w:before="120" w:after="120" w:line="240" w:lineRule="auto"/>
        <w:jc w:val="both"/>
        <w:rPr>
          <w:rFonts w:ascii="Times New Roman" w:hAnsi="Times New Roman" w:cs="Times New Roman"/>
          <w:sz w:val="24"/>
          <w:szCs w:val="24"/>
          <w:lang w:val="en-US"/>
        </w:rPr>
      </w:pPr>
    </w:p>
    <w:p w:rsidR="00BF0ABC" w:rsidRPr="00BF0ABC" w:rsidRDefault="00BF0ABC" w:rsidP="00BF0ABC">
      <w:pPr>
        <w:autoSpaceDE w:val="0"/>
        <w:autoSpaceDN w:val="0"/>
        <w:adjustRightInd w:val="0"/>
        <w:spacing w:before="120" w:after="120" w:line="240" w:lineRule="auto"/>
        <w:jc w:val="both"/>
        <w:rPr>
          <w:rFonts w:ascii="Times New Roman" w:hAnsi="Times New Roman" w:cs="Times New Roman"/>
          <w:sz w:val="24"/>
          <w:szCs w:val="24"/>
        </w:rPr>
      </w:pPr>
    </w:p>
    <w:p w:rsidR="00BF0ABC" w:rsidRPr="00BF0ABC" w:rsidRDefault="00BF0ABC" w:rsidP="00CF68F8">
      <w:pPr>
        <w:rPr>
          <w:lang w:val="en-US"/>
        </w:rPr>
      </w:pPr>
    </w:p>
    <w:sectPr w:rsidR="00BF0ABC" w:rsidRPr="00BF0ABC" w:rsidSect="00F0163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7F3F" w:rsidRDefault="00D77F3F" w:rsidP="00940DBB">
      <w:pPr>
        <w:spacing w:after="0" w:line="240" w:lineRule="auto"/>
      </w:pPr>
      <w:r>
        <w:separator/>
      </w:r>
    </w:p>
  </w:endnote>
  <w:endnote w:type="continuationSeparator" w:id="1">
    <w:p w:rsidR="00D77F3F" w:rsidRDefault="00D77F3F" w:rsidP="00940D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JcdddxAdvTT3713a231">
    <w:altName w:val="Cambria"/>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545336"/>
      <w:docPartObj>
        <w:docPartGallery w:val="Page Numbers (Bottom of Page)"/>
        <w:docPartUnique/>
      </w:docPartObj>
    </w:sdtPr>
    <w:sdtContent>
      <w:p w:rsidR="00F64317" w:rsidRDefault="007E7679">
        <w:pPr>
          <w:pStyle w:val="Altbilgi"/>
          <w:jc w:val="center"/>
        </w:pPr>
        <w:fldSimple w:instr="PAGE   \* MERGEFORMAT">
          <w:r w:rsidR="00F231DF">
            <w:rPr>
              <w:noProof/>
            </w:rPr>
            <w:t>8</w:t>
          </w:r>
        </w:fldSimple>
      </w:p>
    </w:sdtContent>
  </w:sdt>
  <w:p w:rsidR="00F64317" w:rsidRDefault="00F643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7F3F" w:rsidRDefault="00D77F3F" w:rsidP="00940DBB">
      <w:pPr>
        <w:spacing w:after="0" w:line="240" w:lineRule="auto"/>
      </w:pPr>
      <w:r>
        <w:separator/>
      </w:r>
    </w:p>
  </w:footnote>
  <w:footnote w:type="continuationSeparator" w:id="1">
    <w:p w:rsidR="00D77F3F" w:rsidRDefault="00D77F3F" w:rsidP="00940DBB">
      <w:pPr>
        <w:spacing w:after="0" w:line="240" w:lineRule="auto"/>
      </w:pPr>
      <w:r>
        <w:continuationSeparator/>
      </w:r>
    </w:p>
  </w:footnote>
  <w:footnote w:id="2">
    <w:p w:rsidR="00F64317" w:rsidRPr="00940DBB" w:rsidRDefault="00F64317" w:rsidP="002309B4">
      <w:pPr>
        <w:pStyle w:val="DipnotMetni"/>
        <w:jc w:val="both"/>
        <w:rPr>
          <w:rFonts w:ascii="Times New Roman" w:hAnsi="Times New Roman" w:cs="Times New Roman"/>
        </w:rPr>
      </w:pPr>
      <w:r w:rsidRPr="00940DBB">
        <w:rPr>
          <w:rStyle w:val="DipnotBavurusu"/>
          <w:rFonts w:ascii="Times New Roman" w:hAnsi="Times New Roman" w:cs="Times New Roman"/>
        </w:rPr>
        <w:footnoteRef/>
      </w:r>
      <w:r w:rsidRPr="00940DBB">
        <w:rPr>
          <w:rFonts w:ascii="Times New Roman" w:hAnsi="Times New Roman" w:cs="Times New Roman"/>
          <w:lang w:val="en-US"/>
        </w:rPr>
        <w:t xml:space="preserve">Selcuk University, Department of Public Finance, e-mail: ibrahimozmen@selcuk.edu.tr, </w:t>
      </w:r>
      <w:r w:rsidRPr="00F220E7">
        <w:rPr>
          <w:rFonts w:ascii="Times New Roman" w:hAnsi="Times New Roman" w:cs="Times New Roman"/>
        </w:rPr>
        <w:t>O</w:t>
      </w:r>
      <w:r>
        <w:rPr>
          <w:rFonts w:ascii="Times New Roman" w:hAnsi="Times New Roman" w:cs="Times New Roman"/>
        </w:rPr>
        <w:t>RCID No:</w:t>
      </w:r>
      <w:r>
        <w:rPr>
          <w:rFonts w:ascii="Times New Roman" w:hAnsi="Times New Roman" w:cs="Times New Roman"/>
          <w:lang w:val="en-US"/>
        </w:rPr>
        <w:t xml:space="preserve"> </w:t>
      </w:r>
      <w:r w:rsidRPr="004C042F">
        <w:rPr>
          <w:rFonts w:ascii="Times New Roman" w:hAnsi="Times New Roman" w:cs="Times New Roman"/>
          <w:lang w:val="en-US"/>
        </w:rPr>
        <w:t>0000-0003-2632-4217</w:t>
      </w:r>
    </w:p>
  </w:footnote>
  <w:footnote w:id="3">
    <w:p w:rsidR="00F64317" w:rsidRDefault="00F64317">
      <w:pPr>
        <w:pStyle w:val="DipnotMetni"/>
      </w:pPr>
      <w:r w:rsidRPr="00940DBB">
        <w:rPr>
          <w:rStyle w:val="DipnotBavurusu"/>
          <w:rFonts w:ascii="Times New Roman" w:hAnsi="Times New Roman" w:cs="Times New Roman"/>
        </w:rPr>
        <w:footnoteRef/>
      </w:r>
      <w:r w:rsidRPr="00940DBB">
        <w:rPr>
          <w:rFonts w:ascii="Times New Roman" w:hAnsi="Times New Roman" w:cs="Times New Roman"/>
          <w:lang w:val="en-US"/>
        </w:rPr>
        <w:t>Selcuk University, Department of Public Finance,</w:t>
      </w:r>
      <w:r>
        <w:rPr>
          <w:rFonts w:ascii="Times New Roman" w:hAnsi="Times New Roman" w:cs="Times New Roman"/>
          <w:lang w:val="en-US"/>
        </w:rPr>
        <w:t xml:space="preserve"> </w:t>
      </w:r>
      <w:r>
        <w:rPr>
          <w:rFonts w:ascii="Times New Roman" w:hAnsi="Times New Roman"/>
          <w:lang w:val="en-US"/>
        </w:rPr>
        <w:t>e-mail: selcukbali@selcuk.edu.tr</w:t>
      </w:r>
      <w:r w:rsidRPr="0012786C">
        <w:rPr>
          <w:rFonts w:ascii="Times New Roman" w:hAnsi="Times New Roman"/>
          <w:lang w:val="en-US"/>
        </w:rPr>
        <w:t xml:space="preserve">, </w:t>
      </w:r>
      <w:r w:rsidRPr="00F220E7">
        <w:rPr>
          <w:rFonts w:ascii="Times New Roman" w:hAnsi="Times New Roman" w:cs="Times New Roman"/>
        </w:rPr>
        <w:t>O</w:t>
      </w:r>
      <w:r>
        <w:rPr>
          <w:rFonts w:ascii="Times New Roman" w:hAnsi="Times New Roman" w:cs="Times New Roman"/>
        </w:rPr>
        <w:t>RCID No</w:t>
      </w:r>
      <w:r w:rsidRPr="00F220E7">
        <w:rPr>
          <w:rFonts w:ascii="Times New Roman" w:hAnsi="Times New Roman" w:cs="Times New Roman"/>
        </w:rPr>
        <w:t>: 0000-0001-5</w:t>
      </w:r>
      <w:r>
        <w:rPr>
          <w:rFonts w:ascii="Times New Roman" w:hAnsi="Times New Roman" w:cs="Times New Roman"/>
        </w:rPr>
        <w:t>117</w:t>
      </w:r>
      <w:r w:rsidRPr="00F220E7">
        <w:rPr>
          <w:rFonts w:ascii="Times New Roman" w:hAnsi="Times New Roman" w:cs="Times New Roman"/>
        </w:rPr>
        <w:t>-</w:t>
      </w:r>
      <w:r>
        <w:rPr>
          <w:rFonts w:ascii="Times New Roman" w:hAnsi="Times New Roman" w:cs="Times New Roman"/>
        </w:rPr>
        <w:t>8720</w:t>
      </w:r>
      <w:r w:rsidRPr="001D01FF">
        <w:rPr>
          <w:rFonts w:ascii="Times New Roman" w:hAnsi="Times New Roman"/>
          <w:highlight w:val="yellow"/>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50550"/>
    <w:multiLevelType w:val="hybridMultilevel"/>
    <w:tmpl w:val="715E9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0DDD"/>
    <w:rsid w:val="00002752"/>
    <w:rsid w:val="0000703B"/>
    <w:rsid w:val="0004185B"/>
    <w:rsid w:val="0004488E"/>
    <w:rsid w:val="000522AF"/>
    <w:rsid w:val="0005479E"/>
    <w:rsid w:val="00067768"/>
    <w:rsid w:val="00082644"/>
    <w:rsid w:val="000907BC"/>
    <w:rsid w:val="000A2316"/>
    <w:rsid w:val="000A4E77"/>
    <w:rsid w:val="000A61FA"/>
    <w:rsid w:val="000A6848"/>
    <w:rsid w:val="000A7C4E"/>
    <w:rsid w:val="000D0763"/>
    <w:rsid w:val="000D6AE7"/>
    <w:rsid w:val="000F3F5F"/>
    <w:rsid w:val="00100F08"/>
    <w:rsid w:val="00111E86"/>
    <w:rsid w:val="00116C2E"/>
    <w:rsid w:val="00120E52"/>
    <w:rsid w:val="00123665"/>
    <w:rsid w:val="001269D4"/>
    <w:rsid w:val="0012786C"/>
    <w:rsid w:val="0014456C"/>
    <w:rsid w:val="0015448C"/>
    <w:rsid w:val="001547C7"/>
    <w:rsid w:val="00157814"/>
    <w:rsid w:val="00165996"/>
    <w:rsid w:val="00173B53"/>
    <w:rsid w:val="00176556"/>
    <w:rsid w:val="0017699D"/>
    <w:rsid w:val="0018687C"/>
    <w:rsid w:val="001903C3"/>
    <w:rsid w:val="00191AB7"/>
    <w:rsid w:val="0019358F"/>
    <w:rsid w:val="001A1B2F"/>
    <w:rsid w:val="001A45A0"/>
    <w:rsid w:val="001A7EBD"/>
    <w:rsid w:val="001B4425"/>
    <w:rsid w:val="001B4E06"/>
    <w:rsid w:val="001C1AA3"/>
    <w:rsid w:val="001C2C6A"/>
    <w:rsid w:val="001C648B"/>
    <w:rsid w:val="001D01FF"/>
    <w:rsid w:val="001D4456"/>
    <w:rsid w:val="001D6C50"/>
    <w:rsid w:val="001D6EB0"/>
    <w:rsid w:val="001D70AE"/>
    <w:rsid w:val="001D79B8"/>
    <w:rsid w:val="001E45BA"/>
    <w:rsid w:val="001F74BD"/>
    <w:rsid w:val="00204957"/>
    <w:rsid w:val="00213059"/>
    <w:rsid w:val="00223A61"/>
    <w:rsid w:val="002309B4"/>
    <w:rsid w:val="00231CD9"/>
    <w:rsid w:val="0023273C"/>
    <w:rsid w:val="0023378D"/>
    <w:rsid w:val="00245E6B"/>
    <w:rsid w:val="00246318"/>
    <w:rsid w:val="002531F4"/>
    <w:rsid w:val="0027308B"/>
    <w:rsid w:val="002947F2"/>
    <w:rsid w:val="00294CE9"/>
    <w:rsid w:val="002A528F"/>
    <w:rsid w:val="002B75D6"/>
    <w:rsid w:val="002C2668"/>
    <w:rsid w:val="002D21F4"/>
    <w:rsid w:val="002E7463"/>
    <w:rsid w:val="00303BBF"/>
    <w:rsid w:val="00320B9F"/>
    <w:rsid w:val="00325660"/>
    <w:rsid w:val="00325D95"/>
    <w:rsid w:val="00332ECE"/>
    <w:rsid w:val="00353FBB"/>
    <w:rsid w:val="00375FF2"/>
    <w:rsid w:val="00390184"/>
    <w:rsid w:val="00392429"/>
    <w:rsid w:val="003A5E75"/>
    <w:rsid w:val="003D0892"/>
    <w:rsid w:val="003E0E40"/>
    <w:rsid w:val="003E34FD"/>
    <w:rsid w:val="003F45F8"/>
    <w:rsid w:val="00403D2D"/>
    <w:rsid w:val="00407A4F"/>
    <w:rsid w:val="00424ED6"/>
    <w:rsid w:val="00430434"/>
    <w:rsid w:val="00440BD3"/>
    <w:rsid w:val="00444453"/>
    <w:rsid w:val="0045334E"/>
    <w:rsid w:val="00457387"/>
    <w:rsid w:val="004621AC"/>
    <w:rsid w:val="00477BE0"/>
    <w:rsid w:val="00480FE4"/>
    <w:rsid w:val="00496072"/>
    <w:rsid w:val="004B010D"/>
    <w:rsid w:val="004B2F1A"/>
    <w:rsid w:val="004B4E53"/>
    <w:rsid w:val="004C042F"/>
    <w:rsid w:val="004C75E6"/>
    <w:rsid w:val="004D4DD9"/>
    <w:rsid w:val="004E14C4"/>
    <w:rsid w:val="004E3F57"/>
    <w:rsid w:val="004F5DD1"/>
    <w:rsid w:val="00526C9A"/>
    <w:rsid w:val="00537F88"/>
    <w:rsid w:val="0054160A"/>
    <w:rsid w:val="005438CB"/>
    <w:rsid w:val="00544E8E"/>
    <w:rsid w:val="00544FAC"/>
    <w:rsid w:val="0055522C"/>
    <w:rsid w:val="0055769C"/>
    <w:rsid w:val="00573A4D"/>
    <w:rsid w:val="00583501"/>
    <w:rsid w:val="00587C7D"/>
    <w:rsid w:val="0059004B"/>
    <w:rsid w:val="005A1E87"/>
    <w:rsid w:val="005A1F16"/>
    <w:rsid w:val="005A1FF9"/>
    <w:rsid w:val="005A6422"/>
    <w:rsid w:val="005B2E7B"/>
    <w:rsid w:val="005B6D94"/>
    <w:rsid w:val="005C33A8"/>
    <w:rsid w:val="005D3266"/>
    <w:rsid w:val="005D7FAA"/>
    <w:rsid w:val="005E4695"/>
    <w:rsid w:val="005E53D5"/>
    <w:rsid w:val="00604668"/>
    <w:rsid w:val="00607007"/>
    <w:rsid w:val="00612511"/>
    <w:rsid w:val="00621CFB"/>
    <w:rsid w:val="00626789"/>
    <w:rsid w:val="00631C13"/>
    <w:rsid w:val="00656754"/>
    <w:rsid w:val="006731A3"/>
    <w:rsid w:val="00677D4C"/>
    <w:rsid w:val="00691046"/>
    <w:rsid w:val="00694492"/>
    <w:rsid w:val="006A0BA8"/>
    <w:rsid w:val="006A4459"/>
    <w:rsid w:val="006B270F"/>
    <w:rsid w:val="006B5E7A"/>
    <w:rsid w:val="006B62C4"/>
    <w:rsid w:val="006C1E57"/>
    <w:rsid w:val="006E0210"/>
    <w:rsid w:val="006E6776"/>
    <w:rsid w:val="0070323D"/>
    <w:rsid w:val="00707D5A"/>
    <w:rsid w:val="00713A57"/>
    <w:rsid w:val="007150D4"/>
    <w:rsid w:val="007214B9"/>
    <w:rsid w:val="00724562"/>
    <w:rsid w:val="00732A3F"/>
    <w:rsid w:val="00743175"/>
    <w:rsid w:val="0074387E"/>
    <w:rsid w:val="007558BA"/>
    <w:rsid w:val="00770779"/>
    <w:rsid w:val="00773639"/>
    <w:rsid w:val="00784325"/>
    <w:rsid w:val="007843DC"/>
    <w:rsid w:val="007A0FDB"/>
    <w:rsid w:val="007A2AAB"/>
    <w:rsid w:val="007A777E"/>
    <w:rsid w:val="007B1261"/>
    <w:rsid w:val="007B2493"/>
    <w:rsid w:val="007B567E"/>
    <w:rsid w:val="007C51F0"/>
    <w:rsid w:val="007D2518"/>
    <w:rsid w:val="007D6EE9"/>
    <w:rsid w:val="007E7679"/>
    <w:rsid w:val="007F2FC5"/>
    <w:rsid w:val="007F402F"/>
    <w:rsid w:val="00803CDF"/>
    <w:rsid w:val="00813C96"/>
    <w:rsid w:val="00817FFD"/>
    <w:rsid w:val="00825CC5"/>
    <w:rsid w:val="00846167"/>
    <w:rsid w:val="00866021"/>
    <w:rsid w:val="00871B94"/>
    <w:rsid w:val="00873EEC"/>
    <w:rsid w:val="0088573F"/>
    <w:rsid w:val="00886130"/>
    <w:rsid w:val="0088785A"/>
    <w:rsid w:val="0089384A"/>
    <w:rsid w:val="008A0D36"/>
    <w:rsid w:val="008B64F2"/>
    <w:rsid w:val="008C5088"/>
    <w:rsid w:val="008C7E65"/>
    <w:rsid w:val="008F6CF8"/>
    <w:rsid w:val="00905D8C"/>
    <w:rsid w:val="00907BC9"/>
    <w:rsid w:val="00910A10"/>
    <w:rsid w:val="00920876"/>
    <w:rsid w:val="00924B05"/>
    <w:rsid w:val="00932D66"/>
    <w:rsid w:val="00935A25"/>
    <w:rsid w:val="00936398"/>
    <w:rsid w:val="00940DBB"/>
    <w:rsid w:val="00942D4E"/>
    <w:rsid w:val="00957F47"/>
    <w:rsid w:val="00967279"/>
    <w:rsid w:val="009709C1"/>
    <w:rsid w:val="00970C40"/>
    <w:rsid w:val="00973678"/>
    <w:rsid w:val="00983005"/>
    <w:rsid w:val="009A2493"/>
    <w:rsid w:val="009A3CF5"/>
    <w:rsid w:val="009B6835"/>
    <w:rsid w:val="009C00DC"/>
    <w:rsid w:val="009C61CF"/>
    <w:rsid w:val="009D7D03"/>
    <w:rsid w:val="009E3FE9"/>
    <w:rsid w:val="009E58FA"/>
    <w:rsid w:val="009F00B5"/>
    <w:rsid w:val="00A1024A"/>
    <w:rsid w:val="00A14A32"/>
    <w:rsid w:val="00A20835"/>
    <w:rsid w:val="00A21EC0"/>
    <w:rsid w:val="00A300FA"/>
    <w:rsid w:val="00A3095A"/>
    <w:rsid w:val="00A33F9F"/>
    <w:rsid w:val="00A52202"/>
    <w:rsid w:val="00A55675"/>
    <w:rsid w:val="00A61C67"/>
    <w:rsid w:val="00A62A49"/>
    <w:rsid w:val="00A6355B"/>
    <w:rsid w:val="00A635EA"/>
    <w:rsid w:val="00A64B9F"/>
    <w:rsid w:val="00A75805"/>
    <w:rsid w:val="00A9072F"/>
    <w:rsid w:val="00A95208"/>
    <w:rsid w:val="00A9735B"/>
    <w:rsid w:val="00AA7AEE"/>
    <w:rsid w:val="00AB10B4"/>
    <w:rsid w:val="00AB13E0"/>
    <w:rsid w:val="00AB2CE8"/>
    <w:rsid w:val="00AB785B"/>
    <w:rsid w:val="00AB7869"/>
    <w:rsid w:val="00AC2896"/>
    <w:rsid w:val="00AC4064"/>
    <w:rsid w:val="00AD16AA"/>
    <w:rsid w:val="00AD1BAA"/>
    <w:rsid w:val="00AD55BC"/>
    <w:rsid w:val="00AE7F62"/>
    <w:rsid w:val="00AF24FC"/>
    <w:rsid w:val="00B042B3"/>
    <w:rsid w:val="00B057B8"/>
    <w:rsid w:val="00B21754"/>
    <w:rsid w:val="00B409C0"/>
    <w:rsid w:val="00B4393D"/>
    <w:rsid w:val="00B47650"/>
    <w:rsid w:val="00B509E1"/>
    <w:rsid w:val="00B63476"/>
    <w:rsid w:val="00B67EA5"/>
    <w:rsid w:val="00B72227"/>
    <w:rsid w:val="00B80325"/>
    <w:rsid w:val="00B969C3"/>
    <w:rsid w:val="00B96C8A"/>
    <w:rsid w:val="00BA1867"/>
    <w:rsid w:val="00BA3177"/>
    <w:rsid w:val="00BB2E31"/>
    <w:rsid w:val="00BB2FFB"/>
    <w:rsid w:val="00BC1501"/>
    <w:rsid w:val="00BC2099"/>
    <w:rsid w:val="00BC337C"/>
    <w:rsid w:val="00BC666A"/>
    <w:rsid w:val="00BD5F2F"/>
    <w:rsid w:val="00BD627D"/>
    <w:rsid w:val="00BF0ABC"/>
    <w:rsid w:val="00BF1D2A"/>
    <w:rsid w:val="00BF766C"/>
    <w:rsid w:val="00C04CE3"/>
    <w:rsid w:val="00C13A33"/>
    <w:rsid w:val="00C16DD3"/>
    <w:rsid w:val="00C32CF6"/>
    <w:rsid w:val="00C62972"/>
    <w:rsid w:val="00C63663"/>
    <w:rsid w:val="00C65E85"/>
    <w:rsid w:val="00C743A8"/>
    <w:rsid w:val="00C74D01"/>
    <w:rsid w:val="00C773BF"/>
    <w:rsid w:val="00CA2780"/>
    <w:rsid w:val="00CA424A"/>
    <w:rsid w:val="00CA708D"/>
    <w:rsid w:val="00CB09DA"/>
    <w:rsid w:val="00CB6774"/>
    <w:rsid w:val="00CB7385"/>
    <w:rsid w:val="00CB7AD0"/>
    <w:rsid w:val="00CC2E76"/>
    <w:rsid w:val="00CC2F98"/>
    <w:rsid w:val="00CE16F6"/>
    <w:rsid w:val="00CF1797"/>
    <w:rsid w:val="00CF68F8"/>
    <w:rsid w:val="00D05A6D"/>
    <w:rsid w:val="00D223F4"/>
    <w:rsid w:val="00D26B4C"/>
    <w:rsid w:val="00D27004"/>
    <w:rsid w:val="00D2794A"/>
    <w:rsid w:val="00D334E0"/>
    <w:rsid w:val="00D54A85"/>
    <w:rsid w:val="00D608CE"/>
    <w:rsid w:val="00D747FF"/>
    <w:rsid w:val="00D77F3F"/>
    <w:rsid w:val="00D8119C"/>
    <w:rsid w:val="00D95798"/>
    <w:rsid w:val="00DB2091"/>
    <w:rsid w:val="00DB24B7"/>
    <w:rsid w:val="00DC20E5"/>
    <w:rsid w:val="00DC2DA1"/>
    <w:rsid w:val="00DC5176"/>
    <w:rsid w:val="00DD0B60"/>
    <w:rsid w:val="00DD17D4"/>
    <w:rsid w:val="00DF03A9"/>
    <w:rsid w:val="00DF0582"/>
    <w:rsid w:val="00E137A2"/>
    <w:rsid w:val="00E17439"/>
    <w:rsid w:val="00E30FDB"/>
    <w:rsid w:val="00E35931"/>
    <w:rsid w:val="00E40DDD"/>
    <w:rsid w:val="00E42422"/>
    <w:rsid w:val="00E439AF"/>
    <w:rsid w:val="00E52C07"/>
    <w:rsid w:val="00E734B3"/>
    <w:rsid w:val="00E76841"/>
    <w:rsid w:val="00E7694F"/>
    <w:rsid w:val="00E812E9"/>
    <w:rsid w:val="00E813D1"/>
    <w:rsid w:val="00E83686"/>
    <w:rsid w:val="00E83A46"/>
    <w:rsid w:val="00E8400A"/>
    <w:rsid w:val="00E86F02"/>
    <w:rsid w:val="00E92634"/>
    <w:rsid w:val="00EA12E2"/>
    <w:rsid w:val="00EA6A71"/>
    <w:rsid w:val="00EB45DF"/>
    <w:rsid w:val="00EC1A11"/>
    <w:rsid w:val="00EC3DCE"/>
    <w:rsid w:val="00EC7AFE"/>
    <w:rsid w:val="00EC7FC0"/>
    <w:rsid w:val="00EE5E3F"/>
    <w:rsid w:val="00EF25EF"/>
    <w:rsid w:val="00F0163B"/>
    <w:rsid w:val="00F12BB8"/>
    <w:rsid w:val="00F231DF"/>
    <w:rsid w:val="00F3153C"/>
    <w:rsid w:val="00F327CB"/>
    <w:rsid w:val="00F35B05"/>
    <w:rsid w:val="00F47CDF"/>
    <w:rsid w:val="00F47EE4"/>
    <w:rsid w:val="00F572DF"/>
    <w:rsid w:val="00F62C59"/>
    <w:rsid w:val="00F64317"/>
    <w:rsid w:val="00F64F29"/>
    <w:rsid w:val="00F729BD"/>
    <w:rsid w:val="00F72E6A"/>
    <w:rsid w:val="00F80329"/>
    <w:rsid w:val="00F80BE6"/>
    <w:rsid w:val="00F929BC"/>
    <w:rsid w:val="00F9316E"/>
    <w:rsid w:val="00F93BFB"/>
    <w:rsid w:val="00FA6108"/>
    <w:rsid w:val="00FB5A86"/>
    <w:rsid w:val="00FF492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DDD"/>
    <w:rPr>
      <w:rFonts w:eastAsiaTheme="minorEastAsia"/>
      <w:lang w:eastAsia="tr-TR"/>
    </w:rPr>
  </w:style>
  <w:style w:type="paragraph" w:styleId="Balk2">
    <w:name w:val="heading 2"/>
    <w:basedOn w:val="Normal"/>
    <w:link w:val="Balk2Char"/>
    <w:uiPriority w:val="9"/>
    <w:qFormat/>
    <w:rsid w:val="009C00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40DB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40DBB"/>
    <w:rPr>
      <w:rFonts w:eastAsiaTheme="minorEastAsia"/>
      <w:sz w:val="20"/>
      <w:szCs w:val="20"/>
      <w:lang w:eastAsia="tr-TR"/>
    </w:rPr>
  </w:style>
  <w:style w:type="character" w:styleId="DipnotBavurusu">
    <w:name w:val="footnote reference"/>
    <w:basedOn w:val="VarsaylanParagrafYazTipi"/>
    <w:uiPriority w:val="99"/>
    <w:semiHidden/>
    <w:unhideWhenUsed/>
    <w:rsid w:val="00940DBB"/>
    <w:rPr>
      <w:vertAlign w:val="superscript"/>
    </w:rPr>
  </w:style>
  <w:style w:type="table" w:styleId="TabloKlavuzu">
    <w:name w:val="Table Grid"/>
    <w:basedOn w:val="NormalTablo"/>
    <w:uiPriority w:val="39"/>
    <w:rsid w:val="009C0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9"/>
    <w:rsid w:val="009C00DC"/>
    <w:rPr>
      <w:rFonts w:ascii="Times New Roman" w:eastAsia="Times New Roman" w:hAnsi="Times New Roman" w:cs="Times New Roman"/>
      <w:b/>
      <w:bCs/>
      <w:sz w:val="36"/>
      <w:szCs w:val="36"/>
      <w:lang w:eastAsia="tr-TR"/>
    </w:rPr>
  </w:style>
  <w:style w:type="character" w:customStyle="1" w:styleId="chart-title">
    <w:name w:val="chart-title"/>
    <w:basedOn w:val="VarsaylanParagrafYazTipi"/>
    <w:rsid w:val="009C00DC"/>
  </w:style>
  <w:style w:type="character" w:customStyle="1" w:styleId="chart-subtitle">
    <w:name w:val="chart-subtitle"/>
    <w:basedOn w:val="VarsaylanParagrafYazTipi"/>
    <w:rsid w:val="009C00DC"/>
  </w:style>
  <w:style w:type="character" w:customStyle="1" w:styleId="chart-subtitle-subjects">
    <w:name w:val="chart-subtitle-subjects"/>
    <w:basedOn w:val="VarsaylanParagrafYazTipi"/>
    <w:rsid w:val="009C00DC"/>
  </w:style>
  <w:style w:type="character" w:customStyle="1" w:styleId="chart-subtitle-measure">
    <w:name w:val="chart-subtitle-measure"/>
    <w:basedOn w:val="VarsaylanParagrafYazTipi"/>
    <w:rsid w:val="009C00DC"/>
  </w:style>
  <w:style w:type="character" w:styleId="YerTutucuMetni">
    <w:name w:val="Placeholder Text"/>
    <w:basedOn w:val="VarsaylanParagrafYazTipi"/>
    <w:uiPriority w:val="99"/>
    <w:semiHidden/>
    <w:rsid w:val="007A777E"/>
    <w:rPr>
      <w:color w:val="808080"/>
    </w:rPr>
  </w:style>
  <w:style w:type="character" w:styleId="AklamaBavurusu">
    <w:name w:val="annotation reference"/>
    <w:basedOn w:val="VarsaylanParagrafYazTipi"/>
    <w:uiPriority w:val="99"/>
    <w:semiHidden/>
    <w:unhideWhenUsed/>
    <w:rsid w:val="00F0163B"/>
    <w:rPr>
      <w:sz w:val="16"/>
      <w:szCs w:val="16"/>
    </w:rPr>
  </w:style>
  <w:style w:type="paragraph" w:styleId="AklamaMetni">
    <w:name w:val="annotation text"/>
    <w:basedOn w:val="Normal"/>
    <w:link w:val="AklamaMetniChar"/>
    <w:uiPriority w:val="99"/>
    <w:semiHidden/>
    <w:unhideWhenUsed/>
    <w:rsid w:val="00F0163B"/>
    <w:pPr>
      <w:spacing w:line="240" w:lineRule="auto"/>
    </w:pPr>
    <w:rPr>
      <w:rFonts w:eastAsiaTheme="minorHAnsi"/>
      <w:sz w:val="20"/>
      <w:szCs w:val="20"/>
      <w:lang w:eastAsia="en-US"/>
    </w:rPr>
  </w:style>
  <w:style w:type="character" w:customStyle="1" w:styleId="AklamaMetniChar">
    <w:name w:val="Açıklama Metni Char"/>
    <w:basedOn w:val="VarsaylanParagrafYazTipi"/>
    <w:link w:val="AklamaMetni"/>
    <w:uiPriority w:val="99"/>
    <w:semiHidden/>
    <w:rsid w:val="00F0163B"/>
    <w:rPr>
      <w:sz w:val="20"/>
      <w:szCs w:val="20"/>
    </w:rPr>
  </w:style>
  <w:style w:type="table" w:customStyle="1" w:styleId="PlainTable2">
    <w:name w:val="Plain Table 2"/>
    <w:basedOn w:val="NormalTablo"/>
    <w:uiPriority w:val="42"/>
    <w:rsid w:val="00CE16F6"/>
    <w:pPr>
      <w:spacing w:after="0" w:line="240" w:lineRule="auto"/>
    </w:pPr>
    <w:rPr>
      <w:rFonts w:eastAsiaTheme="minorEastAsia" w:cs="Times New Roman"/>
      <w:lang w:eastAsia="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styleId="Kpr">
    <w:name w:val="Hyperlink"/>
    <w:basedOn w:val="VarsaylanParagrafYazTipi"/>
    <w:uiPriority w:val="99"/>
    <w:unhideWhenUsed/>
    <w:rsid w:val="00353FBB"/>
    <w:rPr>
      <w:color w:val="0563C1" w:themeColor="hyperlink"/>
      <w:u w:val="single"/>
    </w:rPr>
  </w:style>
  <w:style w:type="character" w:customStyle="1" w:styleId="UnresolvedMention">
    <w:name w:val="Unresolved Mention"/>
    <w:basedOn w:val="VarsaylanParagrafYazTipi"/>
    <w:uiPriority w:val="99"/>
    <w:semiHidden/>
    <w:unhideWhenUsed/>
    <w:rsid w:val="00C773BF"/>
    <w:rPr>
      <w:color w:val="605E5C"/>
      <w:shd w:val="clear" w:color="auto" w:fill="E1DFDD"/>
    </w:rPr>
  </w:style>
  <w:style w:type="paragraph" w:styleId="ListeParagraf">
    <w:name w:val="List Paragraph"/>
    <w:basedOn w:val="Normal"/>
    <w:uiPriority w:val="34"/>
    <w:qFormat/>
    <w:rsid w:val="00002752"/>
    <w:pPr>
      <w:ind w:left="720"/>
      <w:contextualSpacing/>
    </w:pPr>
  </w:style>
  <w:style w:type="paragraph" w:styleId="AklamaKonusu">
    <w:name w:val="annotation subject"/>
    <w:basedOn w:val="AklamaMetni"/>
    <w:next w:val="AklamaMetni"/>
    <w:link w:val="AklamaKonusuChar"/>
    <w:uiPriority w:val="99"/>
    <w:semiHidden/>
    <w:unhideWhenUsed/>
    <w:rsid w:val="00E30FDB"/>
    <w:rPr>
      <w:rFonts w:eastAsiaTheme="minorEastAsia"/>
      <w:b/>
      <w:bCs/>
      <w:lang w:eastAsia="tr-TR"/>
    </w:rPr>
  </w:style>
  <w:style w:type="character" w:customStyle="1" w:styleId="AklamaKonusuChar">
    <w:name w:val="Açıklama Konusu Char"/>
    <w:basedOn w:val="AklamaMetniChar"/>
    <w:link w:val="AklamaKonusu"/>
    <w:uiPriority w:val="99"/>
    <w:semiHidden/>
    <w:rsid w:val="00E30FDB"/>
    <w:rPr>
      <w:rFonts w:eastAsiaTheme="minorEastAsia"/>
      <w:b/>
      <w:bCs/>
      <w:sz w:val="20"/>
      <w:szCs w:val="20"/>
      <w:lang w:eastAsia="tr-TR"/>
    </w:rPr>
  </w:style>
  <w:style w:type="paragraph" w:styleId="stbilgi">
    <w:name w:val="header"/>
    <w:basedOn w:val="Normal"/>
    <w:link w:val="stbilgiChar"/>
    <w:uiPriority w:val="99"/>
    <w:unhideWhenUsed/>
    <w:rsid w:val="006B5E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5E7A"/>
    <w:rPr>
      <w:rFonts w:eastAsiaTheme="minorEastAsia"/>
      <w:lang w:eastAsia="tr-TR"/>
    </w:rPr>
  </w:style>
  <w:style w:type="paragraph" w:styleId="Altbilgi">
    <w:name w:val="footer"/>
    <w:basedOn w:val="Normal"/>
    <w:link w:val="AltbilgiChar"/>
    <w:uiPriority w:val="99"/>
    <w:unhideWhenUsed/>
    <w:rsid w:val="006B5E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5E7A"/>
    <w:rPr>
      <w:rFonts w:eastAsiaTheme="minorEastAsia"/>
      <w:lang w:eastAsia="tr-TR"/>
    </w:rPr>
  </w:style>
  <w:style w:type="paragraph" w:styleId="BalonMetni">
    <w:name w:val="Balloon Text"/>
    <w:basedOn w:val="Normal"/>
    <w:link w:val="BalonMetniChar"/>
    <w:uiPriority w:val="99"/>
    <w:semiHidden/>
    <w:unhideWhenUsed/>
    <w:rsid w:val="001278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786C"/>
    <w:rPr>
      <w:rFonts w:ascii="Tahoma" w:eastAsiaTheme="minorEastAsi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1177886630">
      <w:bodyDiv w:val="1"/>
      <w:marLeft w:val="0"/>
      <w:marRight w:val="0"/>
      <w:marTop w:val="0"/>
      <w:marBottom w:val="0"/>
      <w:divBdr>
        <w:top w:val="none" w:sz="0" w:space="0" w:color="auto"/>
        <w:left w:val="none" w:sz="0" w:space="0" w:color="auto"/>
        <w:bottom w:val="none" w:sz="0" w:space="0" w:color="auto"/>
        <w:right w:val="none" w:sz="0" w:space="0" w:color="auto"/>
      </w:divBdr>
    </w:div>
    <w:div w:id="15920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s://gml.noaa.gov/aggi/aggi.html" TargetMode="Externa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yperlink" Target="https://doi.org/10.18637/jss.v079.i03"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yperlink" Target="https://doi.org/10.1016/j.ecolecon.2007.06.0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doi.org/10.1016/j.%20ecolind.2014.11.026" TargetMode="Externa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hyperlink" Target="https://doi.org/10.1016/j.enpol.2014.03.029" TargetMode="Externa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hyperlink" Target="https://doi.org/10.1016/j.eneco.2011.12.008" TargetMode="Externa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99788-3FCB-4185-8180-741A0E31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3835</Words>
  <Characters>21862</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Özmen</dc:creator>
  <cp:lastModifiedBy>Acer</cp:lastModifiedBy>
  <cp:revision>6</cp:revision>
  <dcterms:created xsi:type="dcterms:W3CDTF">2022-10-20T16:16:00Z</dcterms:created>
  <dcterms:modified xsi:type="dcterms:W3CDTF">2022-10-20T18:34:00Z</dcterms:modified>
</cp:coreProperties>
</file>