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DA" w:rsidRPr="00C309DA" w:rsidRDefault="00C309DA" w:rsidP="00C309DA">
      <w:pPr>
        <w:jc w:val="center"/>
        <w:rPr>
          <w:rFonts w:ascii="Times New Roman" w:hAnsi="Times New Roman" w:cs="Times New Roman"/>
          <w:b/>
          <w:sz w:val="24"/>
        </w:rPr>
      </w:pPr>
      <w:r w:rsidRPr="00C309DA">
        <w:rPr>
          <w:rFonts w:ascii="Times New Roman" w:hAnsi="Times New Roman" w:cs="Times New Roman"/>
          <w:b/>
          <w:sz w:val="24"/>
        </w:rPr>
        <w:t>KORONAVİRÜS HASTALIĞI (COVID-19) SÜRECİNDE SOSYAL HARCAMALAR</w:t>
      </w:r>
    </w:p>
    <w:p w:rsidR="0070452A" w:rsidRDefault="0070452A" w:rsidP="0070452A">
      <w:pPr>
        <w:jc w:val="center"/>
        <w:rPr>
          <w:rFonts w:ascii="Times New Roman" w:hAnsi="Times New Roman" w:cs="Times New Roman"/>
          <w:b/>
        </w:rPr>
      </w:pPr>
      <w:proofErr w:type="spellStart"/>
      <w:r>
        <w:rPr>
          <w:rFonts w:ascii="Times New Roman" w:hAnsi="Times New Roman" w:cs="Times New Roman"/>
          <w:b/>
        </w:rPr>
        <w:t>Araş</w:t>
      </w:r>
      <w:proofErr w:type="spellEnd"/>
      <w:r>
        <w:rPr>
          <w:rFonts w:ascii="Times New Roman" w:hAnsi="Times New Roman" w:cs="Times New Roman"/>
          <w:b/>
        </w:rPr>
        <w:t>. Gör. Dr. İnc</w:t>
      </w:r>
      <w:r w:rsidRPr="00AC30DF">
        <w:rPr>
          <w:rFonts w:ascii="Times New Roman" w:hAnsi="Times New Roman" w:cs="Times New Roman"/>
          <w:b/>
        </w:rPr>
        <w:t>i SANDALCI</w:t>
      </w:r>
      <w:r>
        <w:rPr>
          <w:rStyle w:val="DipnotBavurusu"/>
          <w:rFonts w:ascii="Times New Roman" w:hAnsi="Times New Roman" w:cs="Times New Roman"/>
          <w:b/>
        </w:rPr>
        <w:footnoteReference w:id="1"/>
      </w:r>
    </w:p>
    <w:p w:rsidR="0070452A" w:rsidRPr="0070452A" w:rsidRDefault="0070452A" w:rsidP="0070452A">
      <w:pPr>
        <w:jc w:val="center"/>
        <w:rPr>
          <w:rFonts w:ascii="Times New Roman" w:hAnsi="Times New Roman" w:cs="Times New Roman"/>
          <w:b/>
        </w:rPr>
      </w:pPr>
      <w:proofErr w:type="spellStart"/>
      <w:r>
        <w:rPr>
          <w:rFonts w:ascii="Times New Roman" w:hAnsi="Times New Roman" w:cs="Times New Roman"/>
          <w:b/>
        </w:rPr>
        <w:t>Araş</w:t>
      </w:r>
      <w:proofErr w:type="spellEnd"/>
      <w:r>
        <w:rPr>
          <w:rFonts w:ascii="Times New Roman" w:hAnsi="Times New Roman" w:cs="Times New Roman"/>
          <w:b/>
        </w:rPr>
        <w:t xml:space="preserve">. Gör. Dr. </w:t>
      </w:r>
      <w:r w:rsidRPr="00AC30DF">
        <w:rPr>
          <w:rFonts w:ascii="Times New Roman" w:hAnsi="Times New Roman" w:cs="Times New Roman"/>
          <w:b/>
        </w:rPr>
        <w:t>Ulvi SANDALCI</w:t>
      </w:r>
      <w:r>
        <w:rPr>
          <w:rStyle w:val="DipnotBavurusu"/>
          <w:rFonts w:ascii="Times New Roman" w:hAnsi="Times New Roman" w:cs="Times New Roman"/>
          <w:b/>
        </w:rPr>
        <w:footnoteReference w:id="2"/>
      </w:r>
    </w:p>
    <w:p w:rsidR="0070452A" w:rsidRDefault="00E841A3" w:rsidP="00C309DA">
      <w:pPr>
        <w:jc w:val="both"/>
        <w:rPr>
          <w:rFonts w:ascii="Times New Roman" w:hAnsi="Times New Roman" w:cs="Times New Roman"/>
          <w:b/>
          <w:sz w:val="24"/>
        </w:rPr>
      </w:pPr>
      <w:r w:rsidRPr="0013194C">
        <w:rPr>
          <w:rFonts w:ascii="Times New Roman" w:hAnsi="Times New Roman" w:cs="Times New Roman"/>
          <w:b/>
          <w:sz w:val="24"/>
        </w:rPr>
        <w:t>ÖZET</w:t>
      </w:r>
    </w:p>
    <w:p w:rsidR="0070452A" w:rsidRPr="00C01F92" w:rsidRDefault="00D21B82" w:rsidP="0070452A">
      <w:pPr>
        <w:jc w:val="both"/>
        <w:rPr>
          <w:rFonts w:ascii="Times New Roman" w:hAnsi="Times New Roman" w:cs="Times New Roman"/>
          <w:sz w:val="24"/>
        </w:rPr>
      </w:pPr>
      <w:r w:rsidRPr="00C01F92">
        <w:rPr>
          <w:rFonts w:ascii="Times New Roman" w:hAnsi="Times New Roman" w:cs="Times New Roman"/>
          <w:sz w:val="24"/>
        </w:rPr>
        <w:t>Çin’in Vuhan Eyal</w:t>
      </w:r>
      <w:r w:rsidR="00725D10">
        <w:rPr>
          <w:rFonts w:ascii="Times New Roman" w:hAnsi="Times New Roman" w:cs="Times New Roman"/>
          <w:sz w:val="24"/>
        </w:rPr>
        <w:t>eti’nde aralık ayında</w:t>
      </w:r>
      <w:r w:rsidRPr="00C01F92">
        <w:rPr>
          <w:rFonts w:ascii="Times New Roman" w:hAnsi="Times New Roman" w:cs="Times New Roman"/>
          <w:sz w:val="24"/>
        </w:rPr>
        <w:t xml:space="preserve"> görülmeye başlayan </w:t>
      </w:r>
      <w:proofErr w:type="spellStart"/>
      <w:r w:rsidRPr="00C01F92">
        <w:rPr>
          <w:rFonts w:ascii="Times New Roman" w:hAnsi="Times New Roman" w:cs="Times New Roman"/>
          <w:sz w:val="24"/>
        </w:rPr>
        <w:t>Koronavirüs</w:t>
      </w:r>
      <w:proofErr w:type="spellEnd"/>
      <w:r w:rsidRPr="00C01F92">
        <w:rPr>
          <w:rFonts w:ascii="Times New Roman" w:hAnsi="Times New Roman" w:cs="Times New Roman"/>
          <w:sz w:val="24"/>
        </w:rPr>
        <w:t xml:space="preserve"> Hastalığı (</w:t>
      </w:r>
      <w:r w:rsidR="00725D10">
        <w:rPr>
          <w:rFonts w:ascii="Times New Roman" w:hAnsi="Times New Roman" w:cs="Times New Roman"/>
          <w:sz w:val="24"/>
        </w:rPr>
        <w:t>Covid</w:t>
      </w:r>
      <w:r w:rsidRPr="00C01F92">
        <w:rPr>
          <w:rFonts w:ascii="Times New Roman" w:hAnsi="Times New Roman" w:cs="Times New Roman"/>
          <w:sz w:val="24"/>
        </w:rPr>
        <w:t>-19) kısa bir sürede tüm dünyayı etkisi altına almıştır. Salgın başta sağlık olmak üzere ekonomi</w:t>
      </w:r>
      <w:r w:rsidR="00725D10">
        <w:rPr>
          <w:rFonts w:ascii="Times New Roman" w:hAnsi="Times New Roman" w:cs="Times New Roman"/>
          <w:sz w:val="24"/>
        </w:rPr>
        <w:t>k</w:t>
      </w:r>
      <w:r w:rsidRPr="00C01F92">
        <w:rPr>
          <w:rFonts w:ascii="Times New Roman" w:hAnsi="Times New Roman" w:cs="Times New Roman"/>
          <w:sz w:val="24"/>
        </w:rPr>
        <w:t>, sosyal,</w:t>
      </w:r>
      <w:r w:rsidR="008B3716" w:rsidRPr="00C01F92">
        <w:rPr>
          <w:rFonts w:ascii="Times New Roman" w:hAnsi="Times New Roman" w:cs="Times New Roman"/>
          <w:sz w:val="24"/>
        </w:rPr>
        <w:t xml:space="preserve"> mali,</w:t>
      </w:r>
      <w:r w:rsidRPr="00C01F92">
        <w:rPr>
          <w:rFonts w:ascii="Times New Roman" w:hAnsi="Times New Roman" w:cs="Times New Roman"/>
          <w:sz w:val="24"/>
        </w:rPr>
        <w:t xml:space="preserve"> kültürel vb. birçok alanda </w:t>
      </w:r>
      <w:r w:rsidR="008B3716" w:rsidRPr="00C01F92">
        <w:rPr>
          <w:rFonts w:ascii="Times New Roman" w:hAnsi="Times New Roman" w:cs="Times New Roman"/>
          <w:sz w:val="24"/>
        </w:rPr>
        <w:t xml:space="preserve">sorunların yaşanmasına neden olmuştur. </w:t>
      </w:r>
      <w:r w:rsidR="0070452A" w:rsidRPr="00C01F92">
        <w:rPr>
          <w:rFonts w:ascii="Times New Roman" w:hAnsi="Times New Roman" w:cs="Times New Roman"/>
          <w:sz w:val="24"/>
        </w:rPr>
        <w:t xml:space="preserve">Sosyal devlet anlayışı kapsamında birçok devlet </w:t>
      </w:r>
      <w:r w:rsidRPr="00C01F92">
        <w:rPr>
          <w:rFonts w:ascii="Times New Roman" w:hAnsi="Times New Roman" w:cs="Times New Roman"/>
          <w:sz w:val="24"/>
        </w:rPr>
        <w:t xml:space="preserve">Covid-19 </w:t>
      </w:r>
      <w:r w:rsidR="0070452A" w:rsidRPr="00C01F92">
        <w:rPr>
          <w:rFonts w:ascii="Times New Roman" w:hAnsi="Times New Roman" w:cs="Times New Roman"/>
          <w:sz w:val="24"/>
        </w:rPr>
        <w:t>salgının toplumsal yapıda oluşturduğu tahribatı en aza indirmek, bozulan toplumsal düzeni yeniden tesis etmek ve sosyal refahı artırmak için birçok alanda sosyal harcamalara başvurmuştur. Bu kapsamda birçok ülkede sağlık harcamalarına ayrıla</w:t>
      </w:r>
      <w:r w:rsidR="00E616C3" w:rsidRPr="00C01F92">
        <w:rPr>
          <w:rFonts w:ascii="Times New Roman" w:hAnsi="Times New Roman" w:cs="Times New Roman"/>
          <w:sz w:val="24"/>
        </w:rPr>
        <w:t>n pay daha da artmış, özellikle</w:t>
      </w:r>
      <w:r w:rsidR="0070452A" w:rsidRPr="00C01F92">
        <w:rPr>
          <w:rFonts w:ascii="Times New Roman" w:hAnsi="Times New Roman" w:cs="Times New Roman"/>
          <w:sz w:val="24"/>
        </w:rPr>
        <w:t xml:space="preserve"> gelir düzeyi düşük kesimin uzaktan eğitime katılımlarının sağlanması başta olmak üzere diğer birçok kalemde eğitim harcaması yapılmış, salgının getirmiş olduğu </w:t>
      </w:r>
      <w:proofErr w:type="gramStart"/>
      <w:r w:rsidR="0070452A" w:rsidRPr="00C01F92">
        <w:rPr>
          <w:rFonts w:ascii="Times New Roman" w:hAnsi="Times New Roman" w:cs="Times New Roman"/>
          <w:sz w:val="24"/>
        </w:rPr>
        <w:t xml:space="preserve">yeni </w:t>
      </w:r>
      <w:r w:rsidR="00E616C3" w:rsidRPr="00C01F92">
        <w:rPr>
          <w:rFonts w:ascii="Times New Roman" w:hAnsi="Times New Roman" w:cs="Times New Roman"/>
          <w:sz w:val="24"/>
        </w:rPr>
        <w:t xml:space="preserve"> </w:t>
      </w:r>
      <w:r w:rsidR="0070452A" w:rsidRPr="00C01F92">
        <w:rPr>
          <w:rFonts w:ascii="Times New Roman" w:hAnsi="Times New Roman" w:cs="Times New Roman"/>
          <w:sz w:val="24"/>
        </w:rPr>
        <w:t>ve</w:t>
      </w:r>
      <w:proofErr w:type="gramEnd"/>
      <w:r w:rsidR="0070452A" w:rsidRPr="00C01F92">
        <w:rPr>
          <w:rFonts w:ascii="Times New Roman" w:hAnsi="Times New Roman" w:cs="Times New Roman"/>
          <w:sz w:val="24"/>
        </w:rPr>
        <w:t xml:space="preserve"> farklı türde birçok sosyal hizmet bireyler sunulmuş, sosyal yardımların kapsamı ve büyüklüğü artırılarak birçok kesime ulaşılması sağlanmış ve genel itibariyle sosyal koruma harcamalarında önemli düzeylerde artışlar yaşanmıştır. Çalışmada Covid-19 salgını ile mücadele kapsamında alınan yasak ve kısıtlama tedbirlerinin neden olduğu toplumsal yapıdaki tahribatı en aza indirmek için dünyada ve Türkiye’de sosyal devlet anlayışına uygun olarak yapılan sosyal harcamalar incelenmiştir. Çalışma sonucunda dünyadaki birçok devlet ile birlikte Türkiye’nin salgın döneminde toplumun ihtiyaç duyduğu birçok alanda sosyal hizmet sunumu yaparak sosyal refahı artırmaya yönelik harcamalara ağırlık verdiğine ulaşılmıştır.</w:t>
      </w:r>
      <w:r w:rsidR="00386FEC" w:rsidRPr="00C01F92">
        <w:rPr>
          <w:rFonts w:ascii="Times New Roman" w:hAnsi="Times New Roman" w:cs="Times New Roman"/>
          <w:sz w:val="24"/>
        </w:rPr>
        <w:t xml:space="preserve"> Bununla birlikte bu harcamalar gelişmiş ülkelerde daha yüksek seviyede iken az gelişmiş veya gelişmekte olan ülkelerde daha düşük düzeyde olduğu da ulaşılan bir diğer sonuçtur. </w:t>
      </w:r>
    </w:p>
    <w:p w:rsidR="0070452A" w:rsidRPr="0070452A" w:rsidRDefault="0070452A" w:rsidP="00C309DA">
      <w:pPr>
        <w:jc w:val="both"/>
        <w:rPr>
          <w:rFonts w:ascii="Times New Roman" w:hAnsi="Times New Roman" w:cs="Times New Roman"/>
          <w:sz w:val="24"/>
        </w:rPr>
      </w:pPr>
      <w:r w:rsidRPr="00682FAB">
        <w:rPr>
          <w:rFonts w:ascii="Times New Roman" w:hAnsi="Times New Roman" w:cs="Times New Roman"/>
          <w:b/>
          <w:sz w:val="24"/>
        </w:rPr>
        <w:t>Anahtar Kelimeler:</w:t>
      </w:r>
      <w:r>
        <w:rPr>
          <w:rFonts w:ascii="Times New Roman" w:hAnsi="Times New Roman" w:cs="Times New Roman"/>
          <w:sz w:val="24"/>
        </w:rPr>
        <w:t xml:space="preserve"> Covid-19, Sosyal Devlet, Sosyal Harcamalar</w:t>
      </w:r>
    </w:p>
    <w:p w:rsidR="00632E08" w:rsidRDefault="00632E08" w:rsidP="00F53CC1">
      <w:pPr>
        <w:jc w:val="center"/>
        <w:rPr>
          <w:rFonts w:ascii="Times New Roman" w:hAnsi="Times New Roman" w:cs="Times New Roman"/>
          <w:b/>
          <w:sz w:val="24"/>
        </w:rPr>
      </w:pPr>
      <w:r w:rsidRPr="00632E08">
        <w:rPr>
          <w:rFonts w:ascii="Times New Roman" w:hAnsi="Times New Roman" w:cs="Times New Roman"/>
          <w:b/>
          <w:sz w:val="24"/>
        </w:rPr>
        <w:t>SOCIAL EXPENDITURES DURING THE CORONAVIRUS DISEASE (COVID-19)</w:t>
      </w:r>
    </w:p>
    <w:p w:rsidR="00C309DA" w:rsidRPr="0013194C" w:rsidRDefault="00E841A3" w:rsidP="00C309DA">
      <w:pPr>
        <w:jc w:val="both"/>
        <w:rPr>
          <w:rFonts w:ascii="Times New Roman" w:hAnsi="Times New Roman" w:cs="Times New Roman"/>
          <w:b/>
          <w:sz w:val="24"/>
        </w:rPr>
      </w:pPr>
      <w:r w:rsidRPr="0013194C">
        <w:rPr>
          <w:rFonts w:ascii="Times New Roman" w:hAnsi="Times New Roman" w:cs="Times New Roman"/>
          <w:b/>
          <w:sz w:val="24"/>
        </w:rPr>
        <w:t>ABSTRACT</w:t>
      </w:r>
    </w:p>
    <w:p w:rsidR="00632E08" w:rsidRDefault="00E616C3" w:rsidP="00C309DA">
      <w:pPr>
        <w:jc w:val="both"/>
        <w:rPr>
          <w:rFonts w:ascii="Times New Roman" w:hAnsi="Times New Roman" w:cs="Times New Roman"/>
          <w:sz w:val="24"/>
        </w:rPr>
      </w:pP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Coronavirus</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Disease</w:t>
      </w:r>
      <w:proofErr w:type="spellEnd"/>
      <w:r w:rsidRPr="00E616C3">
        <w:rPr>
          <w:rFonts w:ascii="Times New Roman" w:hAnsi="Times New Roman" w:cs="Times New Roman"/>
          <w:sz w:val="24"/>
        </w:rPr>
        <w:t xml:space="preserve"> (</w:t>
      </w:r>
      <w:r w:rsidR="00725D10">
        <w:rPr>
          <w:rFonts w:ascii="Times New Roman" w:hAnsi="Times New Roman" w:cs="Times New Roman"/>
          <w:sz w:val="24"/>
        </w:rPr>
        <w:t>Covid</w:t>
      </w:r>
      <w:r w:rsidRPr="00E616C3">
        <w:rPr>
          <w:rFonts w:ascii="Times New Roman" w:hAnsi="Times New Roman" w:cs="Times New Roman"/>
          <w:sz w:val="24"/>
        </w:rPr>
        <w:t xml:space="preserve">-19), </w:t>
      </w:r>
      <w:proofErr w:type="spellStart"/>
      <w:r w:rsidRPr="00E616C3">
        <w:rPr>
          <w:rFonts w:ascii="Times New Roman" w:hAnsi="Times New Roman" w:cs="Times New Roman"/>
          <w:sz w:val="24"/>
        </w:rPr>
        <w:t>which</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started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to</w:t>
      </w:r>
      <w:proofErr w:type="spellEnd"/>
      <w:r w:rsidRPr="00E616C3">
        <w:rPr>
          <w:rFonts w:ascii="Times New Roman" w:hAnsi="Times New Roman" w:cs="Times New Roman"/>
          <w:sz w:val="24"/>
        </w:rPr>
        <w:t xml:space="preserve"> be </w:t>
      </w:r>
      <w:proofErr w:type="spellStart"/>
      <w:r w:rsidRPr="00E616C3">
        <w:rPr>
          <w:rFonts w:ascii="Times New Roman" w:hAnsi="Times New Roman" w:cs="Times New Roman"/>
          <w:sz w:val="24"/>
        </w:rPr>
        <w:t>seen</w:t>
      </w:r>
      <w:proofErr w:type="spellEnd"/>
      <w:r w:rsidRPr="00E616C3">
        <w:rPr>
          <w:rFonts w:ascii="Times New Roman" w:hAnsi="Times New Roman" w:cs="Times New Roman"/>
          <w:sz w:val="24"/>
        </w:rPr>
        <w:t xml:space="preserve"> in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Wuhan</w:t>
      </w:r>
      <w:proofErr w:type="spellEnd"/>
      <w:r w:rsidRPr="00E616C3">
        <w:rPr>
          <w:rFonts w:ascii="Times New Roman" w:hAnsi="Times New Roman" w:cs="Times New Roman"/>
          <w:sz w:val="24"/>
        </w:rPr>
        <w:t xml:space="preserve"> </w:t>
      </w:r>
      <w:proofErr w:type="spellStart"/>
      <w:r w:rsidR="00725D10">
        <w:rPr>
          <w:rFonts w:ascii="Times New Roman" w:hAnsi="Times New Roman" w:cs="Times New Roman"/>
          <w:sz w:val="24"/>
        </w:rPr>
        <w:t>Province</w:t>
      </w:r>
      <w:proofErr w:type="spellEnd"/>
      <w:r w:rsidR="00725D10">
        <w:rPr>
          <w:rFonts w:ascii="Times New Roman" w:hAnsi="Times New Roman" w:cs="Times New Roman"/>
          <w:sz w:val="24"/>
        </w:rPr>
        <w:t xml:space="preserve"> of </w:t>
      </w:r>
      <w:proofErr w:type="spellStart"/>
      <w:r w:rsidR="00725D10">
        <w:rPr>
          <w:rFonts w:ascii="Times New Roman" w:hAnsi="Times New Roman" w:cs="Times New Roman"/>
          <w:sz w:val="24"/>
        </w:rPr>
        <w:t>China</w:t>
      </w:r>
      <w:proofErr w:type="spellEnd"/>
      <w:r w:rsidR="00725D10">
        <w:rPr>
          <w:rFonts w:ascii="Times New Roman" w:hAnsi="Times New Roman" w:cs="Times New Roman"/>
          <w:sz w:val="24"/>
        </w:rPr>
        <w:t xml:space="preserve"> in</w:t>
      </w:r>
      <w:r w:rsidRPr="00E616C3">
        <w:rPr>
          <w:rFonts w:ascii="Times New Roman" w:hAnsi="Times New Roman" w:cs="Times New Roman"/>
          <w:sz w:val="24"/>
        </w:rPr>
        <w:t xml:space="preserve"> </w:t>
      </w:r>
      <w:proofErr w:type="spellStart"/>
      <w:r w:rsidRPr="00E616C3">
        <w:rPr>
          <w:rFonts w:ascii="Times New Roman" w:hAnsi="Times New Roman" w:cs="Times New Roman"/>
          <w:sz w:val="24"/>
        </w:rPr>
        <w:t>December</w:t>
      </w:r>
      <w:proofErr w:type="spellEnd"/>
      <w:r w:rsidRPr="00E616C3">
        <w:rPr>
          <w:rFonts w:ascii="Times New Roman" w:hAnsi="Times New Roman" w:cs="Times New Roman"/>
          <w:sz w:val="24"/>
        </w:rPr>
        <w:t xml:space="preserve">, has </w:t>
      </w:r>
      <w:proofErr w:type="spellStart"/>
      <w:r w:rsidRPr="00E616C3">
        <w:rPr>
          <w:rFonts w:ascii="Times New Roman" w:hAnsi="Times New Roman" w:cs="Times New Roman"/>
          <w:sz w:val="24"/>
        </w:rPr>
        <w:t>affected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whole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world</w:t>
      </w:r>
      <w:proofErr w:type="spellEnd"/>
      <w:r w:rsidRPr="00E616C3">
        <w:rPr>
          <w:rFonts w:ascii="Times New Roman" w:hAnsi="Times New Roman" w:cs="Times New Roman"/>
          <w:sz w:val="24"/>
        </w:rPr>
        <w:t xml:space="preserve"> in a </w:t>
      </w:r>
      <w:proofErr w:type="spellStart"/>
      <w:r w:rsidRPr="00E616C3">
        <w:rPr>
          <w:rFonts w:ascii="Times New Roman" w:hAnsi="Times New Roman" w:cs="Times New Roman"/>
          <w:sz w:val="24"/>
        </w:rPr>
        <w:t>short</w:t>
      </w:r>
      <w:proofErr w:type="spellEnd"/>
      <w:r w:rsidRPr="00E616C3">
        <w:rPr>
          <w:rFonts w:ascii="Times New Roman" w:hAnsi="Times New Roman" w:cs="Times New Roman"/>
          <w:sz w:val="24"/>
        </w:rPr>
        <w:t xml:space="preserve"> time.</w:t>
      </w:r>
      <w:r w:rsidRPr="00E616C3">
        <w:t xml:space="preserv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epidemic</w:t>
      </w:r>
      <w:proofErr w:type="spellEnd"/>
      <w:r w:rsidRPr="00E616C3">
        <w:rPr>
          <w:rFonts w:ascii="Times New Roman" w:hAnsi="Times New Roman" w:cs="Times New Roman"/>
          <w:sz w:val="24"/>
        </w:rPr>
        <w:t xml:space="preserve"> has </w:t>
      </w:r>
      <w:proofErr w:type="spellStart"/>
      <w:r w:rsidRPr="00E616C3">
        <w:rPr>
          <w:rFonts w:ascii="Times New Roman" w:hAnsi="Times New Roman" w:cs="Times New Roman"/>
          <w:sz w:val="24"/>
        </w:rPr>
        <w:t>caused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problems</w:t>
      </w:r>
      <w:proofErr w:type="spellEnd"/>
      <w:r w:rsidRPr="00E616C3">
        <w:rPr>
          <w:rFonts w:ascii="Times New Roman" w:hAnsi="Times New Roman" w:cs="Times New Roman"/>
          <w:sz w:val="24"/>
        </w:rPr>
        <w:t xml:space="preserve"> in </w:t>
      </w:r>
      <w:proofErr w:type="spellStart"/>
      <w:r w:rsidRPr="00E616C3">
        <w:rPr>
          <w:rFonts w:ascii="Times New Roman" w:hAnsi="Times New Roman" w:cs="Times New Roman"/>
          <w:sz w:val="24"/>
        </w:rPr>
        <w:t>many</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areas</w:t>
      </w:r>
      <w:proofErr w:type="spellEnd"/>
      <w:r w:rsidRPr="00E616C3">
        <w:rPr>
          <w:rFonts w:ascii="Times New Roman" w:hAnsi="Times New Roman" w:cs="Times New Roman"/>
          <w:sz w:val="24"/>
        </w:rPr>
        <w:t xml:space="preserve"> of </w:t>
      </w:r>
      <w:proofErr w:type="spellStart"/>
      <w:r w:rsidRPr="00E616C3">
        <w:rPr>
          <w:rFonts w:ascii="Times New Roman" w:hAnsi="Times New Roman" w:cs="Times New Roman"/>
          <w:sz w:val="24"/>
        </w:rPr>
        <w:t>economy</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social</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financial</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and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cultural</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especially</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health</w:t>
      </w:r>
      <w:proofErr w:type="spellEnd"/>
      <w:r w:rsidRPr="00E616C3">
        <w:rPr>
          <w:rFonts w:ascii="Times New Roman" w:hAnsi="Times New Roman" w:cs="Times New Roman"/>
          <w:sz w:val="24"/>
        </w:rPr>
        <w:t>.</w:t>
      </w:r>
      <w:r w:rsidRPr="00E616C3">
        <w:t xml:space="preserve"> </w:t>
      </w:r>
      <w:proofErr w:type="spellStart"/>
      <w:r w:rsidRPr="00E616C3">
        <w:rPr>
          <w:rFonts w:ascii="Times New Roman" w:hAnsi="Times New Roman" w:cs="Times New Roman"/>
          <w:sz w:val="24"/>
        </w:rPr>
        <w:t>Within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scope</w:t>
      </w:r>
      <w:proofErr w:type="spellEnd"/>
      <w:r w:rsidRPr="00E616C3">
        <w:rPr>
          <w:rFonts w:ascii="Times New Roman" w:hAnsi="Times New Roman" w:cs="Times New Roman"/>
          <w:sz w:val="24"/>
        </w:rPr>
        <w:t xml:space="preserve"> of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social</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state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understanding</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many</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states</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have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resorted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to</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social</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expenditures</w:t>
      </w:r>
      <w:proofErr w:type="spellEnd"/>
      <w:r w:rsidRPr="00E616C3">
        <w:rPr>
          <w:rFonts w:ascii="Times New Roman" w:hAnsi="Times New Roman" w:cs="Times New Roman"/>
          <w:sz w:val="24"/>
        </w:rPr>
        <w:t xml:space="preserve"> in </w:t>
      </w:r>
      <w:proofErr w:type="spellStart"/>
      <w:r w:rsidRPr="00E616C3">
        <w:rPr>
          <w:rFonts w:ascii="Times New Roman" w:hAnsi="Times New Roman" w:cs="Times New Roman"/>
          <w:sz w:val="24"/>
        </w:rPr>
        <w:t>many</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areas</w:t>
      </w:r>
      <w:proofErr w:type="spellEnd"/>
      <w:r w:rsidRPr="00E616C3">
        <w:rPr>
          <w:rFonts w:ascii="Times New Roman" w:hAnsi="Times New Roman" w:cs="Times New Roman"/>
          <w:sz w:val="24"/>
        </w:rPr>
        <w:t xml:space="preserve"> in </w:t>
      </w:r>
      <w:proofErr w:type="spellStart"/>
      <w:r w:rsidRPr="00E616C3">
        <w:rPr>
          <w:rFonts w:ascii="Times New Roman" w:hAnsi="Times New Roman" w:cs="Times New Roman"/>
          <w:sz w:val="24"/>
        </w:rPr>
        <w:t>order</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to</w:t>
      </w:r>
      <w:proofErr w:type="spellEnd"/>
      <w:r w:rsidRPr="00E616C3">
        <w:rPr>
          <w:rFonts w:ascii="Times New Roman" w:hAnsi="Times New Roman" w:cs="Times New Roman"/>
          <w:sz w:val="24"/>
        </w:rPr>
        <w:t xml:space="preserve"> minimize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damage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caused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by</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Covid-19 </w:t>
      </w:r>
      <w:proofErr w:type="spellStart"/>
      <w:r w:rsidRPr="00E616C3">
        <w:rPr>
          <w:rFonts w:ascii="Times New Roman" w:hAnsi="Times New Roman" w:cs="Times New Roman"/>
          <w:sz w:val="24"/>
        </w:rPr>
        <w:t>epidemic</w:t>
      </w:r>
      <w:proofErr w:type="spellEnd"/>
      <w:r w:rsidRPr="00E616C3">
        <w:rPr>
          <w:rFonts w:ascii="Times New Roman" w:hAnsi="Times New Roman" w:cs="Times New Roman"/>
          <w:sz w:val="24"/>
        </w:rPr>
        <w:t xml:space="preserve"> in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social</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structure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to</w:t>
      </w:r>
      <w:proofErr w:type="spellEnd"/>
      <w:r w:rsidRPr="00E616C3">
        <w:rPr>
          <w:rFonts w:ascii="Times New Roman" w:hAnsi="Times New Roman" w:cs="Times New Roman"/>
          <w:sz w:val="24"/>
        </w:rPr>
        <w:t xml:space="preserve"> restore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deteriorated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social</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order</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and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to</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increase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social</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welfare</w:t>
      </w:r>
      <w:proofErr w:type="spellEnd"/>
      <w:r w:rsidRPr="00E616C3">
        <w:rPr>
          <w:rFonts w:ascii="Times New Roman" w:hAnsi="Times New Roman" w:cs="Times New Roman"/>
          <w:sz w:val="24"/>
        </w:rPr>
        <w:t>.</w:t>
      </w:r>
      <w:r w:rsidRPr="00E616C3">
        <w:t xml:space="preserve"> </w:t>
      </w:r>
      <w:proofErr w:type="spellStart"/>
      <w:proofErr w:type="gramStart"/>
      <w:r w:rsidRPr="00E616C3">
        <w:rPr>
          <w:rFonts w:ascii="Times New Roman" w:hAnsi="Times New Roman" w:cs="Times New Roman"/>
          <w:sz w:val="24"/>
        </w:rPr>
        <w:t>In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this</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context</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share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allocated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to</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health</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expenditures</w:t>
      </w:r>
      <w:proofErr w:type="spellEnd"/>
      <w:r w:rsidRPr="00E616C3">
        <w:rPr>
          <w:rFonts w:ascii="Times New Roman" w:hAnsi="Times New Roman" w:cs="Times New Roman"/>
          <w:sz w:val="24"/>
        </w:rPr>
        <w:t xml:space="preserve"> has </w:t>
      </w:r>
      <w:proofErr w:type="spellStart"/>
      <w:r w:rsidRPr="00E616C3">
        <w:rPr>
          <w:rFonts w:ascii="Times New Roman" w:hAnsi="Times New Roman" w:cs="Times New Roman"/>
          <w:sz w:val="24"/>
        </w:rPr>
        <w:t>increased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even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more</w:t>
      </w:r>
      <w:proofErr w:type="spellEnd"/>
      <w:r w:rsidRPr="00E616C3">
        <w:rPr>
          <w:rFonts w:ascii="Times New Roman" w:hAnsi="Times New Roman" w:cs="Times New Roman"/>
          <w:sz w:val="24"/>
        </w:rPr>
        <w:t xml:space="preserve"> in </w:t>
      </w:r>
      <w:proofErr w:type="spellStart"/>
      <w:r w:rsidRPr="00E616C3">
        <w:rPr>
          <w:rFonts w:ascii="Times New Roman" w:hAnsi="Times New Roman" w:cs="Times New Roman"/>
          <w:sz w:val="24"/>
        </w:rPr>
        <w:t>many</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countries</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education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expenditures</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have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been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made</w:t>
      </w:r>
      <w:proofErr w:type="spellEnd"/>
      <w:r w:rsidRPr="00E616C3">
        <w:rPr>
          <w:rFonts w:ascii="Times New Roman" w:hAnsi="Times New Roman" w:cs="Times New Roman"/>
          <w:sz w:val="24"/>
        </w:rPr>
        <w:t xml:space="preserve"> in </w:t>
      </w:r>
      <w:proofErr w:type="spellStart"/>
      <w:r w:rsidRPr="00E616C3">
        <w:rPr>
          <w:rFonts w:ascii="Times New Roman" w:hAnsi="Times New Roman" w:cs="Times New Roman"/>
          <w:sz w:val="24"/>
        </w:rPr>
        <w:t>many</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other</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items</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especially</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ensuring</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participation</w:t>
      </w:r>
      <w:proofErr w:type="spellEnd"/>
      <w:r w:rsidRPr="00E616C3">
        <w:rPr>
          <w:rFonts w:ascii="Times New Roman" w:hAnsi="Times New Roman" w:cs="Times New Roman"/>
          <w:sz w:val="24"/>
        </w:rPr>
        <w:t xml:space="preserve"> of </w:t>
      </w:r>
      <w:proofErr w:type="spellStart"/>
      <w:r w:rsidRPr="00E616C3">
        <w:rPr>
          <w:rFonts w:ascii="Times New Roman" w:hAnsi="Times New Roman" w:cs="Times New Roman"/>
          <w:sz w:val="24"/>
        </w:rPr>
        <w:t>low-income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groups</w:t>
      </w:r>
      <w:proofErr w:type="spellEnd"/>
      <w:r w:rsidRPr="00E616C3">
        <w:rPr>
          <w:rFonts w:ascii="Times New Roman" w:hAnsi="Times New Roman" w:cs="Times New Roman"/>
          <w:sz w:val="24"/>
        </w:rPr>
        <w:t xml:space="preserve"> in </w:t>
      </w:r>
      <w:proofErr w:type="spellStart"/>
      <w:r w:rsidRPr="00E616C3">
        <w:rPr>
          <w:rFonts w:ascii="Times New Roman" w:hAnsi="Times New Roman" w:cs="Times New Roman"/>
          <w:sz w:val="24"/>
        </w:rPr>
        <w:t>distance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education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many</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new</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and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different</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types</w:t>
      </w:r>
      <w:proofErr w:type="spellEnd"/>
      <w:r w:rsidRPr="00E616C3">
        <w:rPr>
          <w:rFonts w:ascii="Times New Roman" w:hAnsi="Times New Roman" w:cs="Times New Roman"/>
          <w:sz w:val="24"/>
        </w:rPr>
        <w:t xml:space="preserve"> of </w:t>
      </w:r>
      <w:proofErr w:type="spellStart"/>
      <w:r w:rsidRPr="00E616C3">
        <w:rPr>
          <w:rFonts w:ascii="Times New Roman" w:hAnsi="Times New Roman" w:cs="Times New Roman"/>
          <w:sz w:val="24"/>
        </w:rPr>
        <w:t>social</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services</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have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been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provided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by</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epidemic</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scope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and</w:t>
      </w:r>
      <w:proofErr w:type="spellEnd"/>
      <w:r w:rsidRPr="00E616C3">
        <w:rPr>
          <w:rFonts w:ascii="Times New Roman" w:hAnsi="Times New Roman" w:cs="Times New Roman"/>
          <w:sz w:val="24"/>
        </w:rPr>
        <w:t xml:space="preserve"> size of </w:t>
      </w:r>
      <w:proofErr w:type="spellStart"/>
      <w:r w:rsidRPr="00E616C3">
        <w:rPr>
          <w:rFonts w:ascii="Times New Roman" w:hAnsi="Times New Roman" w:cs="Times New Roman"/>
          <w:sz w:val="24"/>
        </w:rPr>
        <w:t>social</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assistance</w:t>
      </w:r>
      <w:proofErr w:type="spellEnd"/>
      <w:r w:rsidRPr="00E616C3">
        <w:rPr>
          <w:rFonts w:ascii="Times New Roman" w:hAnsi="Times New Roman" w:cs="Times New Roman"/>
          <w:sz w:val="24"/>
        </w:rPr>
        <w:t xml:space="preserve"> has </w:t>
      </w:r>
      <w:proofErr w:type="spellStart"/>
      <w:r w:rsidRPr="00E616C3">
        <w:rPr>
          <w:rFonts w:ascii="Times New Roman" w:hAnsi="Times New Roman" w:cs="Times New Roman"/>
          <w:sz w:val="24"/>
        </w:rPr>
        <w:t>been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increased</w:t>
      </w:r>
      <w:proofErr w:type="spellEnd"/>
      <w:r w:rsidRPr="00E616C3">
        <w:rPr>
          <w:rFonts w:ascii="Times New Roman" w:hAnsi="Times New Roman" w:cs="Times New Roman"/>
          <w:sz w:val="24"/>
        </w:rPr>
        <w:t xml:space="preserve">. </w:t>
      </w:r>
      <w:proofErr w:type="gramEnd"/>
      <w:r w:rsidRPr="00E616C3">
        <w:rPr>
          <w:rFonts w:ascii="Times New Roman" w:hAnsi="Times New Roman" w:cs="Times New Roman"/>
          <w:sz w:val="24"/>
        </w:rPr>
        <w:t xml:space="preserve">Access </w:t>
      </w:r>
      <w:proofErr w:type="spellStart"/>
      <w:r w:rsidRPr="00E616C3">
        <w:rPr>
          <w:rFonts w:ascii="Times New Roman" w:hAnsi="Times New Roman" w:cs="Times New Roman"/>
          <w:sz w:val="24"/>
        </w:rPr>
        <w:t>to</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many</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segments</w:t>
      </w:r>
      <w:proofErr w:type="spellEnd"/>
      <w:r w:rsidRPr="00E616C3">
        <w:rPr>
          <w:rFonts w:ascii="Times New Roman" w:hAnsi="Times New Roman" w:cs="Times New Roman"/>
          <w:sz w:val="24"/>
        </w:rPr>
        <w:t xml:space="preserve"> has </w:t>
      </w:r>
      <w:proofErr w:type="spellStart"/>
      <w:r w:rsidRPr="00E616C3">
        <w:rPr>
          <w:rFonts w:ascii="Times New Roman" w:hAnsi="Times New Roman" w:cs="Times New Roman"/>
          <w:sz w:val="24"/>
        </w:rPr>
        <w:t>been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achieved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and</w:t>
      </w:r>
      <w:proofErr w:type="spellEnd"/>
      <w:r w:rsidRPr="00E616C3">
        <w:rPr>
          <w:rFonts w:ascii="Times New Roman" w:hAnsi="Times New Roman" w:cs="Times New Roman"/>
          <w:sz w:val="24"/>
        </w:rPr>
        <w:t xml:space="preserve">, in general, </w:t>
      </w:r>
      <w:proofErr w:type="spellStart"/>
      <w:r w:rsidRPr="00E616C3">
        <w:rPr>
          <w:rFonts w:ascii="Times New Roman" w:hAnsi="Times New Roman" w:cs="Times New Roman"/>
          <w:sz w:val="24"/>
        </w:rPr>
        <w:t>significant</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increases</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have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been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experienced</w:t>
      </w:r>
      <w:proofErr w:type="spellEnd"/>
      <w:r w:rsidRPr="00E616C3">
        <w:rPr>
          <w:rFonts w:ascii="Times New Roman" w:hAnsi="Times New Roman" w:cs="Times New Roman"/>
          <w:sz w:val="24"/>
        </w:rPr>
        <w:t xml:space="preserve"> in </w:t>
      </w:r>
      <w:proofErr w:type="spellStart"/>
      <w:r w:rsidRPr="00E616C3">
        <w:rPr>
          <w:rFonts w:ascii="Times New Roman" w:hAnsi="Times New Roman" w:cs="Times New Roman"/>
          <w:sz w:val="24"/>
        </w:rPr>
        <w:t>social</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protection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expenditures</w:t>
      </w:r>
      <w:proofErr w:type="spellEnd"/>
      <w:r w:rsidRPr="00E616C3">
        <w:rPr>
          <w:rFonts w:ascii="Times New Roman" w:hAnsi="Times New Roman" w:cs="Times New Roman"/>
          <w:sz w:val="24"/>
        </w:rPr>
        <w:t>.</w:t>
      </w:r>
      <w:r w:rsidRPr="00E616C3">
        <w:t xml:space="preserve"> </w:t>
      </w:r>
      <w:proofErr w:type="spellStart"/>
      <w:r w:rsidRPr="00E616C3">
        <w:rPr>
          <w:rFonts w:ascii="Times New Roman" w:hAnsi="Times New Roman" w:cs="Times New Roman"/>
          <w:sz w:val="24"/>
        </w:rPr>
        <w:t>In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study</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social</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expenditures</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made</w:t>
      </w:r>
      <w:proofErr w:type="spellEnd"/>
      <w:r w:rsidRPr="00E616C3">
        <w:rPr>
          <w:rFonts w:ascii="Times New Roman" w:hAnsi="Times New Roman" w:cs="Times New Roman"/>
          <w:sz w:val="24"/>
        </w:rPr>
        <w:t xml:space="preserve"> in </w:t>
      </w:r>
      <w:proofErr w:type="spellStart"/>
      <w:r w:rsidRPr="00E616C3">
        <w:rPr>
          <w:rFonts w:ascii="Times New Roman" w:hAnsi="Times New Roman" w:cs="Times New Roman"/>
          <w:sz w:val="24"/>
        </w:rPr>
        <w:t>accordance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with</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social</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state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understanding</w:t>
      </w:r>
      <w:proofErr w:type="spellEnd"/>
      <w:r w:rsidRPr="00E616C3">
        <w:rPr>
          <w:rFonts w:ascii="Times New Roman" w:hAnsi="Times New Roman" w:cs="Times New Roman"/>
          <w:sz w:val="24"/>
        </w:rPr>
        <w:t xml:space="preserve"> in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world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and</w:t>
      </w:r>
      <w:proofErr w:type="spellEnd"/>
      <w:r w:rsidRPr="00E616C3">
        <w:rPr>
          <w:rFonts w:ascii="Times New Roman" w:hAnsi="Times New Roman" w:cs="Times New Roman"/>
          <w:sz w:val="24"/>
        </w:rPr>
        <w:t xml:space="preserve"> in </w:t>
      </w:r>
      <w:proofErr w:type="spellStart"/>
      <w:r w:rsidRPr="00E616C3">
        <w:rPr>
          <w:rFonts w:ascii="Times New Roman" w:hAnsi="Times New Roman" w:cs="Times New Roman"/>
          <w:sz w:val="24"/>
        </w:rPr>
        <w:t>Turkey</w:t>
      </w:r>
      <w:proofErr w:type="spellEnd"/>
      <w:r w:rsidRPr="00E616C3">
        <w:rPr>
          <w:rFonts w:ascii="Times New Roman" w:hAnsi="Times New Roman" w:cs="Times New Roman"/>
          <w:sz w:val="24"/>
        </w:rPr>
        <w:t xml:space="preserve"> in </w:t>
      </w:r>
      <w:proofErr w:type="spellStart"/>
      <w:r w:rsidRPr="00E616C3">
        <w:rPr>
          <w:rFonts w:ascii="Times New Roman" w:hAnsi="Times New Roman" w:cs="Times New Roman"/>
          <w:sz w:val="24"/>
        </w:rPr>
        <w:t>order</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to</w:t>
      </w:r>
      <w:proofErr w:type="spellEnd"/>
      <w:r w:rsidRPr="00E616C3">
        <w:rPr>
          <w:rFonts w:ascii="Times New Roman" w:hAnsi="Times New Roman" w:cs="Times New Roman"/>
          <w:sz w:val="24"/>
        </w:rPr>
        <w:t xml:space="preserve"> minimize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damage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to</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social</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structure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caused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by</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prohibition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and</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restriction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measures</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taken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within</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scope</w:t>
      </w:r>
      <w:proofErr w:type="spellEnd"/>
      <w:r w:rsidRPr="00E616C3">
        <w:rPr>
          <w:rFonts w:ascii="Times New Roman" w:hAnsi="Times New Roman" w:cs="Times New Roman"/>
          <w:sz w:val="24"/>
        </w:rPr>
        <w:t xml:space="preserve"> of </w:t>
      </w:r>
      <w:proofErr w:type="spellStart"/>
      <w:r w:rsidRPr="00E616C3">
        <w:rPr>
          <w:rFonts w:ascii="Times New Roman" w:hAnsi="Times New Roman" w:cs="Times New Roman"/>
          <w:sz w:val="24"/>
        </w:rPr>
        <w:lastRenderedPageBreak/>
        <w:t>combating</w:t>
      </w:r>
      <w:proofErr w:type="spellEnd"/>
      <w:r w:rsidRPr="00E616C3">
        <w:rPr>
          <w:rFonts w:ascii="Times New Roman" w:hAnsi="Times New Roman" w:cs="Times New Roman"/>
          <w:sz w:val="24"/>
        </w:rPr>
        <w:t xml:space="preserve"> </w:t>
      </w:r>
      <w:proofErr w:type="spellStart"/>
      <w:r w:rsidRPr="00E616C3">
        <w:rPr>
          <w:rFonts w:ascii="Times New Roman" w:hAnsi="Times New Roman" w:cs="Times New Roman"/>
          <w:sz w:val="24"/>
        </w:rPr>
        <w:t>the</w:t>
      </w:r>
      <w:proofErr w:type="spellEnd"/>
      <w:r w:rsidRPr="00E616C3">
        <w:rPr>
          <w:rFonts w:ascii="Times New Roman" w:hAnsi="Times New Roman" w:cs="Times New Roman"/>
          <w:sz w:val="24"/>
        </w:rPr>
        <w:t xml:space="preserve"> Covid-19 </w:t>
      </w:r>
      <w:proofErr w:type="spellStart"/>
      <w:r w:rsidRPr="00E616C3">
        <w:rPr>
          <w:rFonts w:ascii="Times New Roman" w:hAnsi="Times New Roman" w:cs="Times New Roman"/>
          <w:sz w:val="24"/>
        </w:rPr>
        <w:t>epidemic</w:t>
      </w:r>
      <w:proofErr w:type="spellEnd"/>
      <w:r w:rsidRPr="00E616C3">
        <w:rPr>
          <w:rFonts w:ascii="Times New Roman" w:hAnsi="Times New Roman" w:cs="Times New Roman"/>
          <w:sz w:val="24"/>
        </w:rPr>
        <w:t>.</w:t>
      </w:r>
      <w:r w:rsidR="00C01F92" w:rsidRPr="00C01F92">
        <w:t xml:space="preserve"> </w:t>
      </w:r>
      <w:r w:rsidR="00C01F92" w:rsidRPr="00C01F92">
        <w:rPr>
          <w:rFonts w:ascii="Times New Roman" w:hAnsi="Times New Roman" w:cs="Times New Roman"/>
          <w:sz w:val="24"/>
        </w:rPr>
        <w:t xml:space="preserve">As a </w:t>
      </w:r>
      <w:proofErr w:type="spellStart"/>
      <w:r w:rsidR="00C01F92" w:rsidRPr="00C01F92">
        <w:rPr>
          <w:rFonts w:ascii="Times New Roman" w:hAnsi="Times New Roman" w:cs="Times New Roman"/>
          <w:sz w:val="24"/>
        </w:rPr>
        <w:t>result</w:t>
      </w:r>
      <w:proofErr w:type="spellEnd"/>
      <w:r w:rsidR="00C01F92" w:rsidRPr="00C01F92">
        <w:rPr>
          <w:rFonts w:ascii="Times New Roman" w:hAnsi="Times New Roman" w:cs="Times New Roman"/>
          <w:sz w:val="24"/>
        </w:rPr>
        <w:t xml:space="preserve"> of </w:t>
      </w:r>
      <w:proofErr w:type="spellStart"/>
      <w:r w:rsidR="00C01F92" w:rsidRPr="00C01F92">
        <w:rPr>
          <w:rFonts w:ascii="Times New Roman" w:hAnsi="Times New Roman" w:cs="Times New Roman"/>
          <w:sz w:val="24"/>
        </w:rPr>
        <w:t>the</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study</w:t>
      </w:r>
      <w:proofErr w:type="spellEnd"/>
      <w:r w:rsidR="00C01F92" w:rsidRPr="00C01F92">
        <w:rPr>
          <w:rFonts w:ascii="Times New Roman" w:hAnsi="Times New Roman" w:cs="Times New Roman"/>
          <w:sz w:val="24"/>
        </w:rPr>
        <w:t xml:space="preserve">, it </w:t>
      </w:r>
      <w:proofErr w:type="spellStart"/>
      <w:r w:rsidR="00C01F92" w:rsidRPr="00C01F92">
        <w:rPr>
          <w:rFonts w:ascii="Times New Roman" w:hAnsi="Times New Roman" w:cs="Times New Roman"/>
          <w:sz w:val="24"/>
        </w:rPr>
        <w:t>was</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found</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that</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Turkey</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along</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with</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many</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countries</w:t>
      </w:r>
      <w:proofErr w:type="spellEnd"/>
      <w:r w:rsidR="00C01F92" w:rsidRPr="00C01F92">
        <w:rPr>
          <w:rFonts w:ascii="Times New Roman" w:hAnsi="Times New Roman" w:cs="Times New Roman"/>
          <w:sz w:val="24"/>
        </w:rPr>
        <w:t xml:space="preserve"> in </w:t>
      </w:r>
      <w:proofErr w:type="spellStart"/>
      <w:r w:rsidR="00C01F92" w:rsidRPr="00C01F92">
        <w:rPr>
          <w:rFonts w:ascii="Times New Roman" w:hAnsi="Times New Roman" w:cs="Times New Roman"/>
          <w:sz w:val="24"/>
        </w:rPr>
        <w:t>the</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world</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focused</w:t>
      </w:r>
      <w:proofErr w:type="spellEnd"/>
      <w:r w:rsidR="00C01F92" w:rsidRPr="00C01F92">
        <w:rPr>
          <w:rFonts w:ascii="Times New Roman" w:hAnsi="Times New Roman" w:cs="Times New Roman"/>
          <w:sz w:val="24"/>
        </w:rPr>
        <w:t xml:space="preserve"> on </w:t>
      </w:r>
      <w:proofErr w:type="spellStart"/>
      <w:r w:rsidR="00C01F92" w:rsidRPr="00C01F92">
        <w:rPr>
          <w:rFonts w:ascii="Times New Roman" w:hAnsi="Times New Roman" w:cs="Times New Roman"/>
          <w:sz w:val="24"/>
        </w:rPr>
        <w:t>spending</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to</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increase</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social</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welfare</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by</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providing</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social</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services</w:t>
      </w:r>
      <w:proofErr w:type="spellEnd"/>
      <w:r w:rsidR="00C01F92" w:rsidRPr="00C01F92">
        <w:rPr>
          <w:rFonts w:ascii="Times New Roman" w:hAnsi="Times New Roman" w:cs="Times New Roman"/>
          <w:sz w:val="24"/>
        </w:rPr>
        <w:t xml:space="preserve"> in </w:t>
      </w:r>
      <w:proofErr w:type="spellStart"/>
      <w:r w:rsidR="00C01F92" w:rsidRPr="00C01F92">
        <w:rPr>
          <w:rFonts w:ascii="Times New Roman" w:hAnsi="Times New Roman" w:cs="Times New Roman"/>
          <w:sz w:val="24"/>
        </w:rPr>
        <w:t>many</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areas</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needed</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by</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the</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society</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during</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the</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epidemic</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period</w:t>
      </w:r>
      <w:proofErr w:type="spellEnd"/>
      <w:r w:rsidR="00C01F92" w:rsidRPr="00C01F92">
        <w:rPr>
          <w:rFonts w:ascii="Times New Roman" w:hAnsi="Times New Roman" w:cs="Times New Roman"/>
          <w:sz w:val="24"/>
        </w:rPr>
        <w:t>.</w:t>
      </w:r>
      <w:r w:rsidR="00C01F92" w:rsidRPr="00C01F92">
        <w:t xml:space="preserve"> </w:t>
      </w:r>
      <w:proofErr w:type="spellStart"/>
      <w:r w:rsidR="00C01F92" w:rsidRPr="00C01F92">
        <w:rPr>
          <w:rFonts w:ascii="Times New Roman" w:hAnsi="Times New Roman" w:cs="Times New Roman"/>
          <w:sz w:val="24"/>
        </w:rPr>
        <w:t>However</w:t>
      </w:r>
      <w:proofErr w:type="spellEnd"/>
      <w:r w:rsidR="00C01F92" w:rsidRPr="00C01F92">
        <w:rPr>
          <w:rFonts w:ascii="Times New Roman" w:hAnsi="Times New Roman" w:cs="Times New Roman"/>
          <w:sz w:val="24"/>
        </w:rPr>
        <w:t xml:space="preserve">, it is </w:t>
      </w:r>
      <w:proofErr w:type="spellStart"/>
      <w:r w:rsidR="00C01F92" w:rsidRPr="00C01F92">
        <w:rPr>
          <w:rFonts w:ascii="Times New Roman" w:hAnsi="Times New Roman" w:cs="Times New Roman"/>
          <w:sz w:val="24"/>
        </w:rPr>
        <w:t>another</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result</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that</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these</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expenditures</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are</w:t>
      </w:r>
      <w:proofErr w:type="spellEnd"/>
      <w:r w:rsidR="00C01F92" w:rsidRPr="00C01F92">
        <w:rPr>
          <w:rFonts w:ascii="Times New Roman" w:hAnsi="Times New Roman" w:cs="Times New Roman"/>
          <w:sz w:val="24"/>
        </w:rPr>
        <w:t xml:space="preserve"> at a </w:t>
      </w:r>
      <w:proofErr w:type="spellStart"/>
      <w:r w:rsidR="00C01F92" w:rsidRPr="00C01F92">
        <w:rPr>
          <w:rFonts w:ascii="Times New Roman" w:hAnsi="Times New Roman" w:cs="Times New Roman"/>
          <w:sz w:val="24"/>
        </w:rPr>
        <w:t>higher</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level</w:t>
      </w:r>
      <w:proofErr w:type="spellEnd"/>
      <w:r w:rsidR="00C01F92" w:rsidRPr="00C01F92">
        <w:rPr>
          <w:rFonts w:ascii="Times New Roman" w:hAnsi="Times New Roman" w:cs="Times New Roman"/>
          <w:sz w:val="24"/>
        </w:rPr>
        <w:t xml:space="preserve"> in </w:t>
      </w:r>
      <w:proofErr w:type="spellStart"/>
      <w:r w:rsidR="00C01F92" w:rsidRPr="00C01F92">
        <w:rPr>
          <w:rFonts w:ascii="Times New Roman" w:hAnsi="Times New Roman" w:cs="Times New Roman"/>
          <w:sz w:val="24"/>
        </w:rPr>
        <w:t>developed</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countries</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and</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lower</w:t>
      </w:r>
      <w:proofErr w:type="spellEnd"/>
      <w:r w:rsidR="00C01F92" w:rsidRPr="00C01F92">
        <w:rPr>
          <w:rFonts w:ascii="Times New Roman" w:hAnsi="Times New Roman" w:cs="Times New Roman"/>
          <w:sz w:val="24"/>
        </w:rPr>
        <w:t xml:space="preserve"> in </w:t>
      </w:r>
      <w:proofErr w:type="spellStart"/>
      <w:r w:rsidR="00C01F92" w:rsidRPr="00C01F92">
        <w:rPr>
          <w:rFonts w:ascii="Times New Roman" w:hAnsi="Times New Roman" w:cs="Times New Roman"/>
          <w:sz w:val="24"/>
        </w:rPr>
        <w:t>underdeveloped</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or</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developing</w:t>
      </w:r>
      <w:proofErr w:type="spellEnd"/>
      <w:r w:rsidR="00C01F92" w:rsidRPr="00C01F92">
        <w:rPr>
          <w:rFonts w:ascii="Times New Roman" w:hAnsi="Times New Roman" w:cs="Times New Roman"/>
          <w:sz w:val="24"/>
        </w:rPr>
        <w:t xml:space="preserve"> </w:t>
      </w:r>
      <w:proofErr w:type="spellStart"/>
      <w:r w:rsidR="00C01F92" w:rsidRPr="00C01F92">
        <w:rPr>
          <w:rFonts w:ascii="Times New Roman" w:hAnsi="Times New Roman" w:cs="Times New Roman"/>
          <w:sz w:val="24"/>
        </w:rPr>
        <w:t>countries</w:t>
      </w:r>
      <w:proofErr w:type="spellEnd"/>
      <w:r w:rsidR="00C01F92" w:rsidRPr="00C01F92">
        <w:rPr>
          <w:rFonts w:ascii="Times New Roman" w:hAnsi="Times New Roman" w:cs="Times New Roman"/>
          <w:sz w:val="24"/>
        </w:rPr>
        <w:t>.</w:t>
      </w:r>
    </w:p>
    <w:p w:rsidR="005945B0" w:rsidRPr="00632E08" w:rsidRDefault="005945B0" w:rsidP="00C309DA">
      <w:pPr>
        <w:jc w:val="both"/>
        <w:rPr>
          <w:rFonts w:ascii="Times New Roman" w:hAnsi="Times New Roman" w:cs="Times New Roman"/>
          <w:sz w:val="24"/>
        </w:rPr>
      </w:pPr>
      <w:proofErr w:type="spellStart"/>
      <w:r w:rsidRPr="005945B0">
        <w:rPr>
          <w:rFonts w:ascii="Times New Roman" w:hAnsi="Times New Roman" w:cs="Times New Roman"/>
          <w:b/>
          <w:sz w:val="24"/>
        </w:rPr>
        <w:t>Keywords</w:t>
      </w:r>
      <w:proofErr w:type="spellEnd"/>
      <w:r w:rsidRPr="005945B0">
        <w:rPr>
          <w:rFonts w:ascii="Times New Roman" w:hAnsi="Times New Roman" w:cs="Times New Roman"/>
          <w:b/>
          <w:sz w:val="24"/>
        </w:rPr>
        <w:t>:</w:t>
      </w:r>
      <w:r w:rsidRPr="005945B0">
        <w:rPr>
          <w:rFonts w:ascii="Times New Roman" w:hAnsi="Times New Roman" w:cs="Times New Roman"/>
          <w:sz w:val="24"/>
        </w:rPr>
        <w:t xml:space="preserve"> Covid-19, </w:t>
      </w:r>
      <w:proofErr w:type="spellStart"/>
      <w:r w:rsidRPr="005945B0">
        <w:rPr>
          <w:rFonts w:ascii="Times New Roman" w:hAnsi="Times New Roman" w:cs="Times New Roman"/>
          <w:sz w:val="24"/>
        </w:rPr>
        <w:t>Social</w:t>
      </w:r>
      <w:proofErr w:type="spellEnd"/>
      <w:r w:rsidRPr="005945B0">
        <w:rPr>
          <w:rFonts w:ascii="Times New Roman" w:hAnsi="Times New Roman" w:cs="Times New Roman"/>
          <w:sz w:val="24"/>
        </w:rPr>
        <w:t xml:space="preserve"> </w:t>
      </w:r>
      <w:proofErr w:type="spellStart"/>
      <w:r w:rsidRPr="005945B0">
        <w:rPr>
          <w:rFonts w:ascii="Times New Roman" w:hAnsi="Times New Roman" w:cs="Times New Roman"/>
          <w:sz w:val="24"/>
        </w:rPr>
        <w:t>State</w:t>
      </w:r>
      <w:proofErr w:type="spellEnd"/>
      <w:r w:rsidRPr="005945B0">
        <w:rPr>
          <w:rFonts w:ascii="Times New Roman" w:hAnsi="Times New Roman" w:cs="Times New Roman"/>
          <w:sz w:val="24"/>
        </w:rPr>
        <w:t xml:space="preserve">, </w:t>
      </w:r>
      <w:proofErr w:type="spellStart"/>
      <w:r w:rsidRPr="005945B0">
        <w:rPr>
          <w:rFonts w:ascii="Times New Roman" w:hAnsi="Times New Roman" w:cs="Times New Roman"/>
          <w:sz w:val="24"/>
        </w:rPr>
        <w:t>Social</w:t>
      </w:r>
      <w:proofErr w:type="spellEnd"/>
      <w:r w:rsidRPr="005945B0">
        <w:rPr>
          <w:rFonts w:ascii="Times New Roman" w:hAnsi="Times New Roman" w:cs="Times New Roman"/>
          <w:sz w:val="24"/>
        </w:rPr>
        <w:t xml:space="preserve"> </w:t>
      </w:r>
      <w:proofErr w:type="spellStart"/>
      <w:r w:rsidRPr="005945B0">
        <w:rPr>
          <w:rFonts w:ascii="Times New Roman" w:hAnsi="Times New Roman" w:cs="Times New Roman"/>
          <w:sz w:val="24"/>
        </w:rPr>
        <w:t>Expenditures</w:t>
      </w:r>
      <w:proofErr w:type="spellEnd"/>
    </w:p>
    <w:p w:rsidR="00C309DA" w:rsidRPr="0013194C" w:rsidRDefault="00DD2BE3" w:rsidP="00C309DA">
      <w:pPr>
        <w:jc w:val="both"/>
        <w:rPr>
          <w:rFonts w:ascii="Times New Roman" w:hAnsi="Times New Roman" w:cs="Times New Roman"/>
          <w:b/>
          <w:sz w:val="24"/>
        </w:rPr>
      </w:pPr>
      <w:r>
        <w:rPr>
          <w:rFonts w:ascii="Times New Roman" w:hAnsi="Times New Roman" w:cs="Times New Roman"/>
          <w:b/>
          <w:sz w:val="24"/>
        </w:rPr>
        <w:t xml:space="preserve">1. </w:t>
      </w:r>
      <w:r w:rsidRPr="0013194C">
        <w:rPr>
          <w:rFonts w:ascii="Times New Roman" w:hAnsi="Times New Roman" w:cs="Times New Roman"/>
          <w:b/>
          <w:sz w:val="24"/>
        </w:rPr>
        <w:t>GİRİŞ</w:t>
      </w:r>
    </w:p>
    <w:p w:rsidR="0070452A" w:rsidRPr="0070452A" w:rsidRDefault="009355F2" w:rsidP="00C309DA">
      <w:pPr>
        <w:jc w:val="both"/>
        <w:rPr>
          <w:rFonts w:ascii="Times New Roman" w:hAnsi="Times New Roman" w:cs="Times New Roman"/>
          <w:sz w:val="24"/>
        </w:rPr>
      </w:pPr>
      <w:r w:rsidRPr="00482D75">
        <w:rPr>
          <w:rFonts w:ascii="Times New Roman" w:hAnsi="Times New Roman" w:cs="Times New Roman"/>
          <w:sz w:val="24"/>
        </w:rPr>
        <w:t>Çin’in V</w:t>
      </w:r>
      <w:r w:rsidR="00725D10">
        <w:rPr>
          <w:rFonts w:ascii="Times New Roman" w:hAnsi="Times New Roman" w:cs="Times New Roman"/>
          <w:sz w:val="24"/>
        </w:rPr>
        <w:t>uhan Eyaleti’nde Aralık ayında</w:t>
      </w:r>
      <w:r w:rsidRPr="00482D75">
        <w:rPr>
          <w:rFonts w:ascii="Times New Roman" w:hAnsi="Times New Roman" w:cs="Times New Roman"/>
          <w:sz w:val="24"/>
        </w:rPr>
        <w:t xml:space="preserve"> </w:t>
      </w:r>
      <w:r w:rsidR="00D21B82">
        <w:rPr>
          <w:rFonts w:ascii="Times New Roman" w:hAnsi="Times New Roman" w:cs="Times New Roman"/>
          <w:sz w:val="24"/>
        </w:rPr>
        <w:t>i</w:t>
      </w:r>
      <w:r w:rsidR="00D21B82" w:rsidRPr="00482D75">
        <w:rPr>
          <w:rFonts w:ascii="Times New Roman" w:hAnsi="Times New Roman" w:cs="Times New Roman"/>
          <w:sz w:val="24"/>
        </w:rPr>
        <w:t xml:space="preserve">lk olarak </w:t>
      </w:r>
      <w:r w:rsidRPr="00482D75">
        <w:rPr>
          <w:rFonts w:ascii="Times New Roman" w:hAnsi="Times New Roman" w:cs="Times New Roman"/>
          <w:sz w:val="24"/>
        </w:rPr>
        <w:t xml:space="preserve">ortaya çıkan Yeni </w:t>
      </w:r>
      <w:proofErr w:type="spellStart"/>
      <w:r w:rsidRPr="00482D75">
        <w:rPr>
          <w:rFonts w:ascii="Times New Roman" w:hAnsi="Times New Roman" w:cs="Times New Roman"/>
          <w:sz w:val="24"/>
        </w:rPr>
        <w:t>Koronavirüs</w:t>
      </w:r>
      <w:proofErr w:type="spellEnd"/>
      <w:r w:rsidRPr="00482D75">
        <w:rPr>
          <w:rFonts w:ascii="Times New Roman" w:hAnsi="Times New Roman" w:cs="Times New Roman"/>
          <w:sz w:val="24"/>
        </w:rPr>
        <w:t xml:space="preserve"> Hastalığı (</w:t>
      </w:r>
      <w:r w:rsidR="00725D10">
        <w:rPr>
          <w:rFonts w:ascii="Times New Roman" w:hAnsi="Times New Roman" w:cs="Times New Roman"/>
          <w:sz w:val="24"/>
        </w:rPr>
        <w:t>Covid</w:t>
      </w:r>
      <w:r w:rsidRPr="00482D75">
        <w:rPr>
          <w:rFonts w:ascii="Times New Roman" w:hAnsi="Times New Roman" w:cs="Times New Roman"/>
          <w:sz w:val="24"/>
        </w:rPr>
        <w:t>-19) kısa bir sürede tüm dünyayı etkisi altına almıştır. Ülke sınırlarının ortadan kalkarak dünyanın küresel bir yer haline gelmesi hastalığın yayılma hızını artırarak toplumsal bir sağlık sorunu haline dönüştürmüştür. Bunun bir neticesi olarak da ülke sınırlarını aşan hastalık salgın konumuna yükselmiştir. Tedavisine yönelik aşının uygulanma sürecinin zaman alması, ölümcül derecede birçok sağlık sorununa neden olması ve tüm dünyada yayılma hızının giderek artış göstermesi birçok ülkenin Dünya Sağlık Örgütü tavsiyeleri doğrultusunda salgınla mücadelede yasaklama ve kısıtlamalar gibi tedbirlere başvurmalarına neden olmuştur.</w:t>
      </w:r>
      <w:r>
        <w:rPr>
          <w:rFonts w:ascii="Times New Roman" w:hAnsi="Times New Roman" w:cs="Times New Roman"/>
          <w:sz w:val="24"/>
        </w:rPr>
        <w:t xml:space="preserve"> Söz konusu salgın ile mücadele kapsamında alınan tedbirler nedeniyle hemen hemen her ülkede başta ekonomik hayat olmak üzere, sosyal, kültürel, idari ve mali alanda sorunlar ortaya çıkmıştır. Bu sorunlar neticesinde de vatandaşların ekonomik ve mali durumları bozularak d</w:t>
      </w:r>
      <w:r w:rsidR="00725D10">
        <w:rPr>
          <w:rFonts w:ascii="Times New Roman" w:hAnsi="Times New Roman" w:cs="Times New Roman"/>
          <w:sz w:val="24"/>
        </w:rPr>
        <w:t xml:space="preserve">evlet yardımına duyulan ihtiyaç </w:t>
      </w:r>
      <w:r>
        <w:rPr>
          <w:rFonts w:ascii="Times New Roman" w:hAnsi="Times New Roman" w:cs="Times New Roman"/>
          <w:sz w:val="24"/>
        </w:rPr>
        <w:t>artmıştır. Buna göre söz konusu olağanüstü dönemde bireyler çalışamadığı ve dolayısıyla da gelir elde edemediği veya yasak ve kısıtlamalar nedeniyle hayatlarını idame ettirecek temel ihtiyaçları ile eğitim, sağlık gibi diğer hizmetlere ulaşmada zorluk yaşadıkları için devletlerin yardımlarına muhtaç duruma gelmişlerdir. Bundan dolayı devletler vatandaşların ekonomik ve mali durumunun düzeltilmesi, topluma muhtaç duruma düşmemeleri, temel kamu hizmetlerini alabilmeleri ve temel ihtiyaçlarını karşılayabilmeleri amacıyla, yani aslında toplumsal denge ve refahın sağlanmasına yönelik çeşitli sosyal harcama politikaları devreye sokmuştur.</w:t>
      </w:r>
      <w:r w:rsidR="00D21B82">
        <w:rPr>
          <w:rFonts w:ascii="Times New Roman" w:hAnsi="Times New Roman" w:cs="Times New Roman"/>
          <w:sz w:val="24"/>
        </w:rPr>
        <w:t xml:space="preserve"> Covid-19 sürecinde devletler tarafından yapılan sosyal harcamalarının konu edindiği bu çalışmada öncelikli olarak Covid-19 salgını ve sağlık etkileri hakkında bilgi verilmiştir. Sonrasında kamu harcamalarının bir türünü oluşturan sosyal harcanmalarının </w:t>
      </w:r>
      <w:r w:rsidR="00C01F92">
        <w:rPr>
          <w:rFonts w:ascii="Times New Roman" w:hAnsi="Times New Roman" w:cs="Times New Roman"/>
          <w:sz w:val="24"/>
        </w:rPr>
        <w:t>teorik</w:t>
      </w:r>
      <w:r w:rsidR="00D21B82">
        <w:rPr>
          <w:rFonts w:ascii="Times New Roman" w:hAnsi="Times New Roman" w:cs="Times New Roman"/>
          <w:sz w:val="24"/>
        </w:rPr>
        <w:t xml:space="preserve"> altyapısına değinilmiştir. Son bölümde ise dünyada ve Türkiye’de Covid-19 sürecinde yapılan sosyal harcamalar incel</w:t>
      </w:r>
      <w:r w:rsidR="00725D10">
        <w:rPr>
          <w:rFonts w:ascii="Times New Roman" w:hAnsi="Times New Roman" w:cs="Times New Roman"/>
          <w:sz w:val="24"/>
        </w:rPr>
        <w:t>en</w:t>
      </w:r>
      <w:r w:rsidR="00D21B82">
        <w:rPr>
          <w:rFonts w:ascii="Times New Roman" w:hAnsi="Times New Roman" w:cs="Times New Roman"/>
          <w:sz w:val="24"/>
        </w:rPr>
        <w:t xml:space="preserve">miştir. </w:t>
      </w:r>
    </w:p>
    <w:p w:rsidR="00C309DA" w:rsidRPr="00B65B1E" w:rsidRDefault="00DD2BE3" w:rsidP="00C309DA">
      <w:pPr>
        <w:jc w:val="both"/>
        <w:rPr>
          <w:rFonts w:ascii="Times New Roman" w:hAnsi="Times New Roman" w:cs="Times New Roman"/>
          <w:b/>
          <w:sz w:val="24"/>
        </w:rPr>
      </w:pPr>
      <w:r>
        <w:rPr>
          <w:rFonts w:ascii="Times New Roman" w:hAnsi="Times New Roman" w:cs="Times New Roman"/>
          <w:b/>
          <w:sz w:val="24"/>
        </w:rPr>
        <w:t>2</w:t>
      </w:r>
      <w:r w:rsidRPr="00B65B1E">
        <w:rPr>
          <w:rFonts w:ascii="Times New Roman" w:hAnsi="Times New Roman" w:cs="Times New Roman"/>
          <w:b/>
          <w:sz w:val="24"/>
        </w:rPr>
        <w:t>. YENİ KORANVİRÜS (COV</w:t>
      </w:r>
      <w:r w:rsidR="00E841A3">
        <w:rPr>
          <w:rFonts w:ascii="Times New Roman" w:hAnsi="Times New Roman" w:cs="Times New Roman"/>
          <w:b/>
          <w:sz w:val="24"/>
        </w:rPr>
        <w:t>I</w:t>
      </w:r>
      <w:bookmarkStart w:id="0" w:name="_GoBack"/>
      <w:bookmarkEnd w:id="0"/>
      <w:r w:rsidRPr="00B65B1E">
        <w:rPr>
          <w:rFonts w:ascii="Times New Roman" w:hAnsi="Times New Roman" w:cs="Times New Roman"/>
          <w:b/>
          <w:sz w:val="24"/>
        </w:rPr>
        <w:t>D-19)</w:t>
      </w:r>
    </w:p>
    <w:p w:rsidR="007B5E57" w:rsidRPr="005A15B3" w:rsidRDefault="007B5E57" w:rsidP="007B5E57">
      <w:pPr>
        <w:jc w:val="both"/>
        <w:rPr>
          <w:rFonts w:ascii="Times New Roman" w:hAnsi="Times New Roman" w:cs="Times New Roman"/>
          <w:sz w:val="24"/>
        </w:rPr>
      </w:pPr>
      <w:proofErr w:type="spellStart"/>
      <w:r w:rsidRPr="003E6F23">
        <w:rPr>
          <w:rFonts w:ascii="Times New Roman" w:hAnsi="Times New Roman" w:cs="Times New Roman"/>
          <w:sz w:val="24"/>
        </w:rPr>
        <w:t>Koronavirüs</w:t>
      </w:r>
      <w:proofErr w:type="spellEnd"/>
      <w:r w:rsidRPr="003E6F23">
        <w:rPr>
          <w:rFonts w:ascii="Times New Roman" w:hAnsi="Times New Roman" w:cs="Times New Roman"/>
          <w:sz w:val="24"/>
        </w:rPr>
        <w:t xml:space="preserve"> (</w:t>
      </w:r>
      <w:r w:rsidR="00725D10">
        <w:rPr>
          <w:rFonts w:ascii="Times New Roman" w:hAnsi="Times New Roman" w:cs="Times New Roman"/>
          <w:sz w:val="24"/>
        </w:rPr>
        <w:t>Covid</w:t>
      </w:r>
      <w:r w:rsidRPr="003E6F23">
        <w:rPr>
          <w:rFonts w:ascii="Times New Roman" w:hAnsi="Times New Roman" w:cs="Times New Roman"/>
          <w:sz w:val="24"/>
        </w:rPr>
        <w:t xml:space="preserve">-19), 2019 yılı Aralık ayının sonlarına doğru Çin’in Vuhan Eyaleti’nde ateş, öksürük, nefes darlığı gibi solunum yolu belirtileri ile kendini göstermiş, bir grup hastada yapılan incelemeler neticesinde 13 Ocak 2020’de tanımlanmıştır. </w:t>
      </w:r>
      <w:r>
        <w:rPr>
          <w:rFonts w:ascii="Times New Roman" w:hAnsi="Times New Roman" w:cs="Times New Roman"/>
          <w:sz w:val="24"/>
        </w:rPr>
        <w:t>İlk başlarda deniz ürünleri ve hayvan pazarlarındaki bireylerde tespit edilen virüs, Vuhan başta olmak üzere Çin’in diğer eyaletlerine ve nihayetinde Dünya’ya yayılm</w:t>
      </w:r>
      <w:r w:rsidR="00DD2BE3">
        <w:rPr>
          <w:rFonts w:ascii="Times New Roman" w:hAnsi="Times New Roman" w:cs="Times New Roman"/>
          <w:sz w:val="24"/>
        </w:rPr>
        <w:t xml:space="preserve">ıştır </w:t>
      </w:r>
      <w:r>
        <w:rPr>
          <w:rFonts w:ascii="Times New Roman" w:hAnsi="Times New Roman" w:cs="Times New Roman"/>
          <w:sz w:val="24"/>
        </w:rPr>
        <w:t>(</w:t>
      </w:r>
      <w:hyperlink r:id="rId7" w:history="1">
        <w:r w:rsidRPr="00CE7429">
          <w:rPr>
            <w:rStyle w:val="Kpr"/>
            <w:rFonts w:ascii="Times New Roman" w:hAnsi="Times New Roman" w:cs="Times New Roman"/>
            <w:sz w:val="24"/>
          </w:rPr>
          <w:t>www.covid19bilgi.saglik.gov.tr</w:t>
        </w:r>
      </w:hyperlink>
      <w:r>
        <w:rPr>
          <w:rFonts w:ascii="Times New Roman" w:hAnsi="Times New Roman" w:cs="Times New Roman"/>
          <w:sz w:val="24"/>
        </w:rPr>
        <w:t xml:space="preserve">, 2021). </w:t>
      </w:r>
      <w:proofErr w:type="gramStart"/>
      <w:r>
        <w:rPr>
          <w:rFonts w:ascii="Times New Roman" w:hAnsi="Times New Roman" w:cs="Times New Roman"/>
          <w:sz w:val="24"/>
        </w:rPr>
        <w:t xml:space="preserve">Virüsün insandan insana çok hızlı yayılması, özellikle kronik rahatsızlığı olanlarda ve yaşlılarda önemli derecede sağlık sorunlarına yol açması ve ölüme neden olması, kesin tedavi yönteminin henüz bulunamamış olması ve tüm dünyaya hızla yayılması nedeniyle </w:t>
      </w:r>
      <w:r w:rsidRPr="003E6F23">
        <w:rPr>
          <w:rFonts w:ascii="Times New Roman" w:hAnsi="Times New Roman" w:cs="Times New Roman"/>
          <w:sz w:val="24"/>
        </w:rPr>
        <w:t xml:space="preserve">Dünya Sağlık Örgütü tarafından bu durum </w:t>
      </w:r>
      <w:proofErr w:type="spellStart"/>
      <w:r w:rsidRPr="003E6F23">
        <w:rPr>
          <w:rFonts w:ascii="Times New Roman" w:hAnsi="Times New Roman" w:cs="Times New Roman"/>
          <w:sz w:val="24"/>
        </w:rPr>
        <w:t>pandemi</w:t>
      </w:r>
      <w:proofErr w:type="spellEnd"/>
      <w:r w:rsidRPr="003E6F23">
        <w:rPr>
          <w:rFonts w:ascii="Times New Roman" w:hAnsi="Times New Roman" w:cs="Times New Roman"/>
          <w:sz w:val="24"/>
        </w:rPr>
        <w:t xml:space="preserve"> olarak ilan edilmiş ve tüm dünyaya bu virüsle başa çıkma çağrısı yapılmıştır. </w:t>
      </w:r>
      <w:proofErr w:type="gramEnd"/>
      <w:r>
        <w:rPr>
          <w:rFonts w:ascii="Times New Roman" w:hAnsi="Times New Roman" w:cs="Times New Roman"/>
          <w:sz w:val="24"/>
        </w:rPr>
        <w:t xml:space="preserve">Virüs çok kısa bir sürede tüm dünyayı etkisi altına alan küresel bir sağlık sorunu halini almış ve salgınla mücadele için tüm ülkelerde çalışmalar başlatılmıştır. </w:t>
      </w:r>
      <w:r w:rsidRPr="001D4D01">
        <w:rPr>
          <w:rFonts w:ascii="Times New Roman" w:hAnsi="Times New Roman" w:cs="Times New Roman"/>
          <w:color w:val="0070C0"/>
          <w:sz w:val="24"/>
        </w:rPr>
        <w:t xml:space="preserve"> </w:t>
      </w:r>
      <w:r>
        <w:rPr>
          <w:rFonts w:ascii="Times New Roman" w:hAnsi="Times New Roman" w:cs="Times New Roman"/>
          <w:sz w:val="24"/>
        </w:rPr>
        <w:t xml:space="preserve">(Sandalcı, 2020: 110). </w:t>
      </w:r>
      <w:proofErr w:type="gramStart"/>
      <w:r>
        <w:rPr>
          <w:rFonts w:ascii="Times New Roman" w:hAnsi="Times New Roman" w:cs="Times New Roman"/>
          <w:sz w:val="24"/>
        </w:rPr>
        <w:t xml:space="preserve">Tüm dünyayı etkisi altına alan bu virüsle mücadele yöntemleri arasında, seyahat kısıtlaması, eğitime bir süre ara verilmesi, sokağa çıkma kısıtlaması/yasağı, eğlence </w:t>
      </w:r>
      <w:r>
        <w:rPr>
          <w:rFonts w:ascii="Times New Roman" w:hAnsi="Times New Roman" w:cs="Times New Roman"/>
          <w:sz w:val="24"/>
        </w:rPr>
        <w:lastRenderedPageBreak/>
        <w:t xml:space="preserve">merkezleri, lokantalar, kafeler vb. işletmelerin kapatılması, kamuda esnek çalışma sistemine geçilmesi, </w:t>
      </w:r>
      <w:r w:rsidRPr="00123D09">
        <w:rPr>
          <w:rFonts w:ascii="Times New Roman" w:hAnsi="Times New Roman" w:cs="Times New Roman"/>
          <w:sz w:val="24"/>
        </w:rPr>
        <w:t>alış veriş merkezlerinin kapatılması, ibadethanelerin kapatılması</w:t>
      </w:r>
      <w:r>
        <w:rPr>
          <w:rFonts w:ascii="Times New Roman" w:hAnsi="Times New Roman" w:cs="Times New Roman"/>
          <w:sz w:val="24"/>
        </w:rPr>
        <w:t xml:space="preserve">, spor müsabakaları gibi birçok toplu faaliyetin ertelenmesi veya kişi sayısı ile sınırlandırılması yer almaktadır </w:t>
      </w:r>
      <w:r>
        <w:rPr>
          <w:rFonts w:ascii="Times New Roman" w:hAnsi="Times New Roman" w:cs="Times New Roman"/>
          <w:color w:val="0070C0"/>
          <w:sz w:val="24"/>
        </w:rPr>
        <w:t xml:space="preserve"> </w:t>
      </w:r>
      <w:r>
        <w:rPr>
          <w:rFonts w:ascii="Times New Roman" w:hAnsi="Times New Roman" w:cs="Times New Roman"/>
          <w:sz w:val="24"/>
        </w:rPr>
        <w:t>(Sandalcı, 2020: 110-111)</w:t>
      </w:r>
      <w:r w:rsidRPr="00352262">
        <w:rPr>
          <w:rFonts w:ascii="Times New Roman" w:hAnsi="Times New Roman" w:cs="Times New Roman"/>
          <w:sz w:val="24"/>
        </w:rPr>
        <w:t xml:space="preserve">. </w:t>
      </w:r>
      <w:proofErr w:type="gramEnd"/>
      <w:r w:rsidRPr="005A15B3">
        <w:rPr>
          <w:rFonts w:ascii="Times New Roman" w:hAnsi="Times New Roman" w:cs="Times New Roman"/>
          <w:sz w:val="24"/>
        </w:rPr>
        <w:t xml:space="preserve">Tüm bu önlemlere rağmen salgının başından itibaren günümüze kadar olan süreçte Dünya genelinde </w:t>
      </w:r>
      <w:r w:rsidRPr="00DD2BE3">
        <w:rPr>
          <w:rFonts w:ascii="Times New Roman" w:hAnsi="Times New Roman" w:cs="Times New Roman"/>
          <w:sz w:val="24"/>
        </w:rPr>
        <w:t>159 milyondan fazla kişi hastalığa yakalanmış ve</w:t>
      </w:r>
      <w:r w:rsidRPr="005A15B3">
        <w:rPr>
          <w:rFonts w:ascii="Times New Roman" w:hAnsi="Times New Roman" w:cs="Times New Roman"/>
          <w:sz w:val="24"/>
        </w:rPr>
        <w:t xml:space="preserve"> 3 milyondan fazla kişi yaşımı yitirmiş</w:t>
      </w:r>
      <w:r>
        <w:rPr>
          <w:rFonts w:ascii="Times New Roman" w:hAnsi="Times New Roman" w:cs="Times New Roman"/>
          <w:sz w:val="24"/>
        </w:rPr>
        <w:t>tir</w:t>
      </w:r>
      <w:r w:rsidR="00DD2BE3">
        <w:rPr>
          <w:rFonts w:ascii="Times New Roman" w:hAnsi="Times New Roman" w:cs="Times New Roman"/>
          <w:sz w:val="24"/>
        </w:rPr>
        <w:t xml:space="preserve">.  Tablo 1’de </w:t>
      </w:r>
      <w:r w:rsidRPr="005A15B3">
        <w:rPr>
          <w:rFonts w:ascii="Times New Roman" w:hAnsi="Times New Roman" w:cs="Times New Roman"/>
          <w:sz w:val="24"/>
        </w:rPr>
        <w:t xml:space="preserve">Dünyanın çeşitli bölgelerinde Covid-19 </w:t>
      </w:r>
      <w:proofErr w:type="spellStart"/>
      <w:r w:rsidRPr="005A15B3">
        <w:rPr>
          <w:rFonts w:ascii="Times New Roman" w:hAnsi="Times New Roman" w:cs="Times New Roman"/>
          <w:sz w:val="24"/>
        </w:rPr>
        <w:t>Pandemisine</w:t>
      </w:r>
      <w:proofErr w:type="spellEnd"/>
      <w:r w:rsidRPr="005A15B3">
        <w:rPr>
          <w:rFonts w:ascii="Times New Roman" w:hAnsi="Times New Roman" w:cs="Times New Roman"/>
          <w:sz w:val="24"/>
        </w:rPr>
        <w:t xml:space="preserve"> </w:t>
      </w:r>
      <w:r w:rsidR="00DD2BE3">
        <w:rPr>
          <w:rFonts w:ascii="Times New Roman" w:hAnsi="Times New Roman" w:cs="Times New Roman"/>
          <w:sz w:val="24"/>
        </w:rPr>
        <w:t>ilişkin bilgiler yer almaktadır</w:t>
      </w:r>
      <w:r w:rsidRPr="005A15B3">
        <w:rPr>
          <w:rFonts w:ascii="Times New Roman" w:hAnsi="Times New Roman" w:cs="Times New Roman"/>
          <w:sz w:val="24"/>
        </w:rPr>
        <w:t xml:space="preserve">. </w:t>
      </w:r>
    </w:p>
    <w:p w:rsidR="007B5E57" w:rsidRDefault="007B5E57" w:rsidP="007B5E57">
      <w:pPr>
        <w:jc w:val="both"/>
        <w:rPr>
          <w:rFonts w:ascii="Times New Roman" w:hAnsi="Times New Roman" w:cs="Times New Roman"/>
          <w:sz w:val="24"/>
        </w:rPr>
      </w:pPr>
      <w:r w:rsidRPr="004F48EB">
        <w:rPr>
          <w:rFonts w:ascii="Times New Roman" w:hAnsi="Times New Roman" w:cs="Times New Roman"/>
          <w:b/>
          <w:sz w:val="24"/>
        </w:rPr>
        <w:t>Tablo 1</w:t>
      </w:r>
      <w:r w:rsidR="004F48EB">
        <w:rPr>
          <w:rFonts w:ascii="Times New Roman" w:hAnsi="Times New Roman" w:cs="Times New Roman"/>
          <w:sz w:val="24"/>
        </w:rPr>
        <w:t>:</w:t>
      </w:r>
      <w:r>
        <w:rPr>
          <w:rFonts w:ascii="Times New Roman" w:hAnsi="Times New Roman" w:cs="Times New Roman"/>
          <w:sz w:val="24"/>
        </w:rPr>
        <w:t xml:space="preserve"> Dünya’da COVID-19 </w:t>
      </w:r>
      <w:proofErr w:type="spellStart"/>
      <w:r>
        <w:rPr>
          <w:rFonts w:ascii="Times New Roman" w:hAnsi="Times New Roman" w:cs="Times New Roman"/>
          <w:sz w:val="24"/>
        </w:rPr>
        <w:t>Pandemi</w:t>
      </w:r>
      <w:proofErr w:type="spellEnd"/>
      <w:r w:rsidRPr="00C01629">
        <w:rPr>
          <w:rFonts w:ascii="Times New Roman" w:hAnsi="Times New Roman" w:cs="Times New Roman"/>
          <w:sz w:val="24"/>
        </w:rPr>
        <w:t xml:space="preserve"> </w:t>
      </w:r>
      <w:r>
        <w:rPr>
          <w:rFonts w:ascii="Times New Roman" w:hAnsi="Times New Roman" w:cs="Times New Roman"/>
          <w:sz w:val="24"/>
        </w:rPr>
        <w:t>İstatistikleri</w:t>
      </w:r>
      <w:r w:rsidR="00DD2BE3">
        <w:rPr>
          <w:rStyle w:val="DipnotBavurusu"/>
          <w:rFonts w:ascii="Times New Roman" w:hAnsi="Times New Roman" w:cs="Times New Roman"/>
          <w:sz w:val="24"/>
        </w:rPr>
        <w:footnoteReference w:id="3"/>
      </w:r>
      <w:r>
        <w:rPr>
          <w:rFonts w:ascii="Times New Roman" w:hAnsi="Times New Roman" w:cs="Times New Roman"/>
          <w:sz w:val="24"/>
        </w:rPr>
        <w:t xml:space="preserve"> </w:t>
      </w:r>
    </w:p>
    <w:tbl>
      <w:tblPr>
        <w:tblStyle w:val="TabloKlavuzu"/>
        <w:tblW w:w="9067" w:type="dxa"/>
        <w:tblLook w:val="04A0" w:firstRow="1" w:lastRow="0" w:firstColumn="1" w:lastColumn="0" w:noHBand="0" w:noVBand="1"/>
      </w:tblPr>
      <w:tblGrid>
        <w:gridCol w:w="2547"/>
        <w:gridCol w:w="2268"/>
        <w:gridCol w:w="1984"/>
        <w:gridCol w:w="2268"/>
      </w:tblGrid>
      <w:tr w:rsidR="007B5E57" w:rsidRPr="004F48EB" w:rsidTr="000F6E2A">
        <w:tc>
          <w:tcPr>
            <w:tcW w:w="2547" w:type="dxa"/>
          </w:tcPr>
          <w:p w:rsidR="007B5E57" w:rsidRPr="004F48EB" w:rsidRDefault="007B5E57" w:rsidP="000F6E2A">
            <w:pPr>
              <w:spacing w:line="259" w:lineRule="auto"/>
              <w:jc w:val="both"/>
              <w:rPr>
                <w:rFonts w:ascii="Times New Roman" w:hAnsi="Times New Roman" w:cs="Times New Roman"/>
                <w:iCs/>
                <w:sz w:val="20"/>
              </w:rPr>
            </w:pPr>
          </w:p>
        </w:tc>
        <w:tc>
          <w:tcPr>
            <w:tcW w:w="2268"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Toplam Vaka Sayısı</w:t>
            </w:r>
          </w:p>
        </w:tc>
        <w:tc>
          <w:tcPr>
            <w:tcW w:w="1984"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Toplam Ölüm Sayısı</w:t>
            </w:r>
          </w:p>
        </w:tc>
        <w:tc>
          <w:tcPr>
            <w:tcW w:w="2268"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Toplam İyileşen Sayısı</w:t>
            </w:r>
          </w:p>
        </w:tc>
      </w:tr>
      <w:tr w:rsidR="007B5E57" w:rsidRPr="004F48EB" w:rsidTr="000F6E2A">
        <w:tc>
          <w:tcPr>
            <w:tcW w:w="2547"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Avrupa</w:t>
            </w:r>
          </w:p>
        </w:tc>
        <w:tc>
          <w:tcPr>
            <w:tcW w:w="2268" w:type="dxa"/>
          </w:tcPr>
          <w:p w:rsidR="007B5E57" w:rsidRPr="004F48EB" w:rsidRDefault="0022395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45.612.740</w:t>
            </w:r>
          </w:p>
        </w:tc>
        <w:tc>
          <w:tcPr>
            <w:tcW w:w="1984" w:type="dxa"/>
          </w:tcPr>
          <w:p w:rsidR="007B5E57" w:rsidRPr="004F48EB" w:rsidRDefault="0022395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1.038.226</w:t>
            </w:r>
          </w:p>
        </w:tc>
        <w:tc>
          <w:tcPr>
            <w:tcW w:w="2268" w:type="dxa"/>
          </w:tcPr>
          <w:p w:rsidR="007B5E57" w:rsidRPr="004F48EB" w:rsidRDefault="0022395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41.021.955</w:t>
            </w:r>
          </w:p>
        </w:tc>
      </w:tr>
      <w:tr w:rsidR="007B5E57" w:rsidRPr="004F48EB" w:rsidTr="000F6E2A">
        <w:tc>
          <w:tcPr>
            <w:tcW w:w="2547"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Kuzey Amerika</w:t>
            </w:r>
          </w:p>
        </w:tc>
        <w:tc>
          <w:tcPr>
            <w:tcW w:w="2268" w:type="dxa"/>
          </w:tcPr>
          <w:p w:rsidR="007B5E57" w:rsidRPr="004F48EB" w:rsidRDefault="0022395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38.910.059</w:t>
            </w:r>
          </w:p>
        </w:tc>
        <w:tc>
          <w:tcPr>
            <w:tcW w:w="1984" w:type="dxa"/>
          </w:tcPr>
          <w:p w:rsidR="007B5E57" w:rsidRPr="004F48EB" w:rsidRDefault="007B5E57" w:rsidP="00223951">
            <w:pPr>
              <w:spacing w:line="259" w:lineRule="auto"/>
              <w:jc w:val="both"/>
              <w:rPr>
                <w:rFonts w:ascii="Times New Roman" w:hAnsi="Times New Roman" w:cs="Times New Roman"/>
                <w:iCs/>
                <w:sz w:val="20"/>
              </w:rPr>
            </w:pPr>
            <w:r w:rsidRPr="004F48EB">
              <w:rPr>
                <w:rFonts w:ascii="Times New Roman" w:hAnsi="Times New Roman" w:cs="Times New Roman"/>
                <w:iCs/>
                <w:sz w:val="20"/>
              </w:rPr>
              <w:t>872</w:t>
            </w:r>
            <w:r w:rsidR="00223951" w:rsidRPr="004F48EB">
              <w:rPr>
                <w:rFonts w:ascii="Times New Roman" w:hAnsi="Times New Roman" w:cs="Times New Roman"/>
                <w:iCs/>
                <w:sz w:val="20"/>
              </w:rPr>
              <w:t>.</w:t>
            </w:r>
            <w:r w:rsidRPr="004F48EB">
              <w:rPr>
                <w:rFonts w:ascii="Times New Roman" w:hAnsi="Times New Roman" w:cs="Times New Roman"/>
                <w:iCs/>
                <w:sz w:val="20"/>
              </w:rPr>
              <w:t>330</w:t>
            </w:r>
          </w:p>
        </w:tc>
        <w:tc>
          <w:tcPr>
            <w:tcW w:w="2268" w:type="dxa"/>
          </w:tcPr>
          <w:p w:rsidR="007B5E57" w:rsidRPr="004F48EB" w:rsidRDefault="0022395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30.980.333</w:t>
            </w:r>
          </w:p>
        </w:tc>
      </w:tr>
      <w:tr w:rsidR="007B5E57" w:rsidRPr="004F48EB" w:rsidTr="000F6E2A">
        <w:tc>
          <w:tcPr>
            <w:tcW w:w="2547"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Asya</w:t>
            </w:r>
          </w:p>
        </w:tc>
        <w:tc>
          <w:tcPr>
            <w:tcW w:w="2268" w:type="dxa"/>
          </w:tcPr>
          <w:p w:rsidR="007B5E57" w:rsidRPr="004F48EB" w:rsidRDefault="0022395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44.443.696</w:t>
            </w:r>
          </w:p>
        </w:tc>
        <w:tc>
          <w:tcPr>
            <w:tcW w:w="1984" w:type="dxa"/>
          </w:tcPr>
          <w:p w:rsidR="007B5E57" w:rsidRPr="004F48EB" w:rsidRDefault="007B5E57" w:rsidP="00223951">
            <w:pPr>
              <w:spacing w:line="259" w:lineRule="auto"/>
              <w:jc w:val="both"/>
              <w:rPr>
                <w:rFonts w:ascii="Times New Roman" w:hAnsi="Times New Roman" w:cs="Times New Roman"/>
                <w:iCs/>
                <w:sz w:val="20"/>
              </w:rPr>
            </w:pPr>
            <w:r w:rsidRPr="004F48EB">
              <w:rPr>
                <w:rFonts w:ascii="Times New Roman" w:hAnsi="Times New Roman" w:cs="Times New Roman"/>
                <w:iCs/>
                <w:sz w:val="20"/>
              </w:rPr>
              <w:t>576</w:t>
            </w:r>
            <w:r w:rsidR="00223951" w:rsidRPr="004F48EB">
              <w:rPr>
                <w:rFonts w:ascii="Times New Roman" w:hAnsi="Times New Roman" w:cs="Times New Roman"/>
                <w:iCs/>
                <w:sz w:val="20"/>
              </w:rPr>
              <w:t>.</w:t>
            </w:r>
            <w:r w:rsidRPr="004F48EB">
              <w:rPr>
                <w:rFonts w:ascii="Times New Roman" w:hAnsi="Times New Roman" w:cs="Times New Roman"/>
                <w:iCs/>
                <w:sz w:val="20"/>
              </w:rPr>
              <w:t>149</w:t>
            </w:r>
          </w:p>
        </w:tc>
        <w:tc>
          <w:tcPr>
            <w:tcW w:w="2268" w:type="dxa"/>
          </w:tcPr>
          <w:p w:rsidR="007B5E57" w:rsidRPr="004F48EB" w:rsidRDefault="0022395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38.476.054</w:t>
            </w:r>
          </w:p>
        </w:tc>
      </w:tr>
      <w:tr w:rsidR="007B5E57" w:rsidRPr="004F48EB" w:rsidTr="000F6E2A">
        <w:tc>
          <w:tcPr>
            <w:tcW w:w="2547"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Güney Amerika</w:t>
            </w:r>
          </w:p>
        </w:tc>
        <w:tc>
          <w:tcPr>
            <w:tcW w:w="2268" w:type="dxa"/>
          </w:tcPr>
          <w:p w:rsidR="007B5E57" w:rsidRPr="004F48EB" w:rsidRDefault="0022395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25.999.378</w:t>
            </w:r>
          </w:p>
        </w:tc>
        <w:tc>
          <w:tcPr>
            <w:tcW w:w="1984" w:type="dxa"/>
          </w:tcPr>
          <w:p w:rsidR="007B5E57" w:rsidRPr="004F48EB" w:rsidRDefault="007B5E57" w:rsidP="00223951">
            <w:pPr>
              <w:spacing w:line="259" w:lineRule="auto"/>
              <w:jc w:val="both"/>
              <w:rPr>
                <w:rFonts w:ascii="Times New Roman" w:hAnsi="Times New Roman" w:cs="Times New Roman"/>
                <w:iCs/>
                <w:sz w:val="20"/>
              </w:rPr>
            </w:pPr>
            <w:r w:rsidRPr="004F48EB">
              <w:rPr>
                <w:rFonts w:ascii="Times New Roman" w:hAnsi="Times New Roman" w:cs="Times New Roman"/>
                <w:iCs/>
                <w:sz w:val="20"/>
              </w:rPr>
              <w:t>707</w:t>
            </w:r>
            <w:r w:rsidR="00223951" w:rsidRPr="004F48EB">
              <w:rPr>
                <w:rFonts w:ascii="Times New Roman" w:hAnsi="Times New Roman" w:cs="Times New Roman"/>
                <w:iCs/>
                <w:sz w:val="20"/>
              </w:rPr>
              <w:t>.</w:t>
            </w:r>
            <w:r w:rsidRPr="004F48EB">
              <w:rPr>
                <w:rFonts w:ascii="Times New Roman" w:hAnsi="Times New Roman" w:cs="Times New Roman"/>
                <w:iCs/>
                <w:sz w:val="20"/>
              </w:rPr>
              <w:t>095</w:t>
            </w:r>
          </w:p>
        </w:tc>
        <w:tc>
          <w:tcPr>
            <w:tcW w:w="2268" w:type="dxa"/>
          </w:tcPr>
          <w:p w:rsidR="007B5E57" w:rsidRPr="004F48EB" w:rsidRDefault="0022395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23.613.445</w:t>
            </w:r>
          </w:p>
        </w:tc>
      </w:tr>
      <w:tr w:rsidR="007B5E57" w:rsidRPr="004F48EB" w:rsidTr="000F6E2A">
        <w:tc>
          <w:tcPr>
            <w:tcW w:w="2547"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 xml:space="preserve">Afrika </w:t>
            </w:r>
          </w:p>
        </w:tc>
        <w:tc>
          <w:tcPr>
            <w:tcW w:w="2268" w:type="dxa"/>
          </w:tcPr>
          <w:p w:rsidR="007B5E57" w:rsidRPr="004F48EB" w:rsidRDefault="0022395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4.682.902</w:t>
            </w:r>
          </w:p>
        </w:tc>
        <w:tc>
          <w:tcPr>
            <w:tcW w:w="1984" w:type="dxa"/>
          </w:tcPr>
          <w:p w:rsidR="007B5E57" w:rsidRPr="004F48EB" w:rsidRDefault="007B5E57" w:rsidP="00223951">
            <w:pPr>
              <w:spacing w:line="259" w:lineRule="auto"/>
              <w:jc w:val="both"/>
              <w:rPr>
                <w:rFonts w:ascii="Times New Roman" w:hAnsi="Times New Roman" w:cs="Times New Roman"/>
                <w:iCs/>
                <w:sz w:val="20"/>
              </w:rPr>
            </w:pPr>
            <w:r w:rsidRPr="004F48EB">
              <w:rPr>
                <w:rFonts w:ascii="Times New Roman" w:hAnsi="Times New Roman" w:cs="Times New Roman"/>
                <w:iCs/>
                <w:sz w:val="20"/>
              </w:rPr>
              <w:t>125</w:t>
            </w:r>
            <w:r w:rsidR="00223951" w:rsidRPr="004F48EB">
              <w:rPr>
                <w:rFonts w:ascii="Times New Roman" w:hAnsi="Times New Roman" w:cs="Times New Roman"/>
                <w:iCs/>
                <w:sz w:val="20"/>
              </w:rPr>
              <w:t>.</w:t>
            </w:r>
            <w:r w:rsidRPr="004F48EB">
              <w:rPr>
                <w:rFonts w:ascii="Times New Roman" w:hAnsi="Times New Roman" w:cs="Times New Roman"/>
                <w:iCs/>
                <w:sz w:val="20"/>
              </w:rPr>
              <w:t>075</w:t>
            </w:r>
          </w:p>
        </w:tc>
        <w:tc>
          <w:tcPr>
            <w:tcW w:w="2268" w:type="dxa"/>
          </w:tcPr>
          <w:p w:rsidR="007B5E57" w:rsidRPr="004F48EB" w:rsidRDefault="0022395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4.217.604</w:t>
            </w:r>
          </w:p>
        </w:tc>
      </w:tr>
      <w:tr w:rsidR="007B5E57" w:rsidRPr="004F48EB" w:rsidTr="000F6E2A">
        <w:tc>
          <w:tcPr>
            <w:tcW w:w="2547"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 xml:space="preserve">Okyanusya </w:t>
            </w:r>
          </w:p>
        </w:tc>
        <w:tc>
          <w:tcPr>
            <w:tcW w:w="2268" w:type="dxa"/>
          </w:tcPr>
          <w:p w:rsidR="007B5E57" w:rsidRPr="004F48EB" w:rsidRDefault="007B5E57" w:rsidP="00223951">
            <w:pPr>
              <w:spacing w:line="259" w:lineRule="auto"/>
              <w:jc w:val="both"/>
              <w:rPr>
                <w:rFonts w:ascii="Times New Roman" w:hAnsi="Times New Roman" w:cs="Times New Roman"/>
                <w:iCs/>
                <w:sz w:val="20"/>
              </w:rPr>
            </w:pPr>
            <w:r w:rsidRPr="004F48EB">
              <w:rPr>
                <w:rFonts w:ascii="Times New Roman" w:hAnsi="Times New Roman" w:cs="Times New Roman"/>
                <w:iCs/>
                <w:sz w:val="20"/>
              </w:rPr>
              <w:t>64</w:t>
            </w:r>
            <w:r w:rsidR="00223951" w:rsidRPr="004F48EB">
              <w:rPr>
                <w:rFonts w:ascii="Times New Roman" w:hAnsi="Times New Roman" w:cs="Times New Roman"/>
                <w:iCs/>
                <w:sz w:val="20"/>
              </w:rPr>
              <w:t>.</w:t>
            </w:r>
            <w:r w:rsidRPr="004F48EB">
              <w:rPr>
                <w:rFonts w:ascii="Times New Roman" w:hAnsi="Times New Roman" w:cs="Times New Roman"/>
                <w:iCs/>
                <w:sz w:val="20"/>
              </w:rPr>
              <w:t>217</w:t>
            </w:r>
          </w:p>
        </w:tc>
        <w:tc>
          <w:tcPr>
            <w:tcW w:w="1984" w:type="dxa"/>
          </w:tcPr>
          <w:p w:rsidR="007B5E57" w:rsidRPr="004F48EB" w:rsidRDefault="007B5E57" w:rsidP="00223951">
            <w:pPr>
              <w:spacing w:line="259" w:lineRule="auto"/>
              <w:jc w:val="both"/>
              <w:rPr>
                <w:rFonts w:ascii="Times New Roman" w:hAnsi="Times New Roman" w:cs="Times New Roman"/>
                <w:iCs/>
                <w:sz w:val="20"/>
              </w:rPr>
            </w:pPr>
            <w:r w:rsidRPr="004F48EB">
              <w:rPr>
                <w:rFonts w:ascii="Times New Roman" w:hAnsi="Times New Roman" w:cs="Times New Roman"/>
                <w:iCs/>
                <w:sz w:val="20"/>
              </w:rPr>
              <w:t>1</w:t>
            </w:r>
            <w:r w:rsidR="00223951" w:rsidRPr="004F48EB">
              <w:rPr>
                <w:rFonts w:ascii="Times New Roman" w:hAnsi="Times New Roman" w:cs="Times New Roman"/>
                <w:iCs/>
                <w:sz w:val="20"/>
              </w:rPr>
              <w:t>.</w:t>
            </w:r>
            <w:r w:rsidRPr="004F48EB">
              <w:rPr>
                <w:rFonts w:ascii="Times New Roman" w:hAnsi="Times New Roman" w:cs="Times New Roman"/>
                <w:iCs/>
                <w:sz w:val="20"/>
              </w:rPr>
              <w:t>209</w:t>
            </w:r>
          </w:p>
        </w:tc>
        <w:tc>
          <w:tcPr>
            <w:tcW w:w="2268" w:type="dxa"/>
          </w:tcPr>
          <w:p w:rsidR="007B5E57" w:rsidRPr="004F48EB" w:rsidRDefault="007B5E57" w:rsidP="00223951">
            <w:pPr>
              <w:spacing w:line="259" w:lineRule="auto"/>
              <w:jc w:val="both"/>
              <w:rPr>
                <w:rFonts w:ascii="Times New Roman" w:hAnsi="Times New Roman" w:cs="Times New Roman"/>
                <w:iCs/>
                <w:sz w:val="20"/>
              </w:rPr>
            </w:pPr>
            <w:r w:rsidRPr="004F48EB">
              <w:rPr>
                <w:rFonts w:ascii="Times New Roman" w:hAnsi="Times New Roman" w:cs="Times New Roman"/>
                <w:iCs/>
                <w:sz w:val="20"/>
              </w:rPr>
              <w:t>60</w:t>
            </w:r>
            <w:r w:rsidR="00223951" w:rsidRPr="004F48EB">
              <w:rPr>
                <w:rFonts w:ascii="Times New Roman" w:hAnsi="Times New Roman" w:cs="Times New Roman"/>
                <w:iCs/>
                <w:sz w:val="20"/>
              </w:rPr>
              <w:t>.</w:t>
            </w:r>
            <w:r w:rsidRPr="004F48EB">
              <w:rPr>
                <w:rFonts w:ascii="Times New Roman" w:hAnsi="Times New Roman" w:cs="Times New Roman"/>
                <w:iCs/>
                <w:sz w:val="20"/>
              </w:rPr>
              <w:t>855</w:t>
            </w:r>
          </w:p>
        </w:tc>
      </w:tr>
      <w:tr w:rsidR="007B5E57" w:rsidRPr="004F48EB" w:rsidTr="000F6E2A">
        <w:tc>
          <w:tcPr>
            <w:tcW w:w="2547"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Dünya</w:t>
            </w:r>
          </w:p>
        </w:tc>
        <w:tc>
          <w:tcPr>
            <w:tcW w:w="2268" w:type="dxa"/>
          </w:tcPr>
          <w:p w:rsidR="007B5E57" w:rsidRPr="004F48EB" w:rsidRDefault="0022395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159.713.713</w:t>
            </w:r>
          </w:p>
        </w:tc>
        <w:tc>
          <w:tcPr>
            <w:tcW w:w="1984" w:type="dxa"/>
          </w:tcPr>
          <w:p w:rsidR="007B5E57" w:rsidRPr="004F48EB" w:rsidRDefault="007B5E57" w:rsidP="00223951">
            <w:pPr>
              <w:spacing w:line="259" w:lineRule="auto"/>
              <w:jc w:val="both"/>
              <w:rPr>
                <w:rFonts w:ascii="Times New Roman" w:hAnsi="Times New Roman" w:cs="Times New Roman"/>
                <w:iCs/>
                <w:sz w:val="20"/>
              </w:rPr>
            </w:pPr>
            <w:r w:rsidRPr="004F48EB">
              <w:rPr>
                <w:rFonts w:ascii="Times New Roman" w:hAnsi="Times New Roman" w:cs="Times New Roman"/>
                <w:iCs/>
                <w:sz w:val="20"/>
              </w:rPr>
              <w:t>3</w:t>
            </w:r>
            <w:r w:rsidR="00223951" w:rsidRPr="004F48EB">
              <w:rPr>
                <w:rFonts w:ascii="Times New Roman" w:hAnsi="Times New Roman" w:cs="Times New Roman"/>
                <w:iCs/>
                <w:sz w:val="20"/>
              </w:rPr>
              <w:t>.</w:t>
            </w:r>
            <w:r w:rsidRPr="004F48EB">
              <w:rPr>
                <w:rFonts w:ascii="Times New Roman" w:hAnsi="Times New Roman" w:cs="Times New Roman"/>
                <w:iCs/>
                <w:sz w:val="20"/>
              </w:rPr>
              <w:t>320</w:t>
            </w:r>
            <w:r w:rsidR="00223951" w:rsidRPr="004F48EB">
              <w:rPr>
                <w:rFonts w:ascii="Times New Roman" w:hAnsi="Times New Roman" w:cs="Times New Roman"/>
                <w:iCs/>
                <w:sz w:val="20"/>
              </w:rPr>
              <w:t>.</w:t>
            </w:r>
            <w:r w:rsidRPr="004F48EB">
              <w:rPr>
                <w:rFonts w:ascii="Times New Roman" w:hAnsi="Times New Roman" w:cs="Times New Roman"/>
                <w:iCs/>
                <w:sz w:val="20"/>
              </w:rPr>
              <w:t>099</w:t>
            </w:r>
          </w:p>
        </w:tc>
        <w:tc>
          <w:tcPr>
            <w:tcW w:w="2268" w:type="dxa"/>
          </w:tcPr>
          <w:p w:rsidR="007B5E57" w:rsidRPr="004F48EB" w:rsidRDefault="0022395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138.370.952</w:t>
            </w:r>
          </w:p>
        </w:tc>
      </w:tr>
    </w:tbl>
    <w:p w:rsidR="007B5E57" w:rsidRPr="004F48EB" w:rsidRDefault="007B5E57" w:rsidP="007B5E57">
      <w:pPr>
        <w:jc w:val="both"/>
        <w:rPr>
          <w:rFonts w:ascii="Times New Roman" w:hAnsi="Times New Roman" w:cs="Times New Roman"/>
          <w:sz w:val="20"/>
        </w:rPr>
      </w:pPr>
      <w:r w:rsidRPr="004F48EB">
        <w:rPr>
          <w:rFonts w:ascii="Times New Roman" w:hAnsi="Times New Roman" w:cs="Times New Roman"/>
          <w:b/>
          <w:sz w:val="20"/>
        </w:rPr>
        <w:t xml:space="preserve">Kaynak: </w:t>
      </w:r>
      <w:proofErr w:type="spellStart"/>
      <w:r w:rsidRPr="00DD2BE3">
        <w:rPr>
          <w:rFonts w:ascii="Times New Roman" w:hAnsi="Times New Roman" w:cs="Times New Roman"/>
          <w:sz w:val="20"/>
        </w:rPr>
        <w:t>worldomet</w:t>
      </w:r>
      <w:r w:rsidR="00DD2BE3">
        <w:rPr>
          <w:rFonts w:ascii="Times New Roman" w:hAnsi="Times New Roman" w:cs="Times New Roman"/>
          <w:sz w:val="20"/>
        </w:rPr>
        <w:t>ers</w:t>
      </w:r>
      <w:proofErr w:type="spellEnd"/>
      <w:r w:rsidR="00DD2BE3">
        <w:rPr>
          <w:rFonts w:ascii="Times New Roman" w:hAnsi="Times New Roman" w:cs="Times New Roman"/>
          <w:sz w:val="20"/>
        </w:rPr>
        <w:t>, 2021</w:t>
      </w:r>
    </w:p>
    <w:p w:rsidR="007B5E57" w:rsidRPr="00C01629" w:rsidRDefault="007B5E57" w:rsidP="007B5E57">
      <w:pPr>
        <w:jc w:val="both"/>
        <w:rPr>
          <w:rFonts w:ascii="Times New Roman" w:hAnsi="Times New Roman" w:cs="Times New Roman"/>
          <w:sz w:val="24"/>
        </w:rPr>
      </w:pPr>
      <w:r w:rsidRPr="00C01629">
        <w:rPr>
          <w:rFonts w:ascii="Times New Roman" w:hAnsi="Times New Roman" w:cs="Times New Roman"/>
          <w:sz w:val="24"/>
        </w:rPr>
        <w:t xml:space="preserve">Dünya’da COVID-19 </w:t>
      </w:r>
      <w:proofErr w:type="spellStart"/>
      <w:r w:rsidRPr="00C01629">
        <w:rPr>
          <w:rFonts w:ascii="Times New Roman" w:hAnsi="Times New Roman" w:cs="Times New Roman"/>
          <w:sz w:val="24"/>
        </w:rPr>
        <w:t>Pandemisi</w:t>
      </w:r>
      <w:proofErr w:type="spellEnd"/>
      <w:r w:rsidRPr="00C01629">
        <w:rPr>
          <w:rFonts w:ascii="Times New Roman" w:hAnsi="Times New Roman" w:cs="Times New Roman"/>
          <w:sz w:val="24"/>
        </w:rPr>
        <w:t xml:space="preserve"> </w:t>
      </w:r>
      <w:r w:rsidR="00725D10">
        <w:rPr>
          <w:rFonts w:ascii="Times New Roman" w:hAnsi="Times New Roman" w:cs="Times New Roman"/>
          <w:sz w:val="24"/>
        </w:rPr>
        <w:t>i</w:t>
      </w:r>
      <w:r w:rsidRPr="00C01629">
        <w:rPr>
          <w:rFonts w:ascii="Times New Roman" w:hAnsi="Times New Roman" w:cs="Times New Roman"/>
          <w:sz w:val="24"/>
        </w:rPr>
        <w:t>statistiklerine</w:t>
      </w:r>
      <w:r>
        <w:rPr>
          <w:rFonts w:ascii="Times New Roman" w:hAnsi="Times New Roman" w:cs="Times New Roman"/>
          <w:sz w:val="24"/>
        </w:rPr>
        <w:t xml:space="preserve"> ilişkin bilgilerin yer aldığı Tablo 1’de 11 Mayıs</w:t>
      </w:r>
      <w:r w:rsidRPr="00C01629">
        <w:rPr>
          <w:rFonts w:ascii="Times New Roman" w:hAnsi="Times New Roman" w:cs="Times New Roman"/>
          <w:sz w:val="24"/>
        </w:rPr>
        <w:t xml:space="preserve"> tarihi itiba</w:t>
      </w:r>
      <w:r>
        <w:rPr>
          <w:rFonts w:ascii="Times New Roman" w:hAnsi="Times New Roman" w:cs="Times New Roman"/>
          <w:sz w:val="24"/>
        </w:rPr>
        <w:t>riyle Dünya’da vaka sayısının 159</w:t>
      </w:r>
      <w:r w:rsidR="00725D10">
        <w:rPr>
          <w:rFonts w:ascii="Times New Roman" w:hAnsi="Times New Roman" w:cs="Times New Roman"/>
          <w:sz w:val="24"/>
        </w:rPr>
        <w:t xml:space="preserve"> milyon, toplam ölüm sayısının 3.</w:t>
      </w:r>
      <w:r>
        <w:rPr>
          <w:rFonts w:ascii="Times New Roman" w:hAnsi="Times New Roman" w:cs="Times New Roman"/>
          <w:sz w:val="24"/>
        </w:rPr>
        <w:t>3</w:t>
      </w:r>
      <w:r w:rsidR="00725D10">
        <w:rPr>
          <w:rFonts w:ascii="Times New Roman" w:hAnsi="Times New Roman" w:cs="Times New Roman"/>
          <w:sz w:val="24"/>
        </w:rPr>
        <w:t xml:space="preserve"> milyon </w:t>
      </w:r>
      <w:r>
        <w:rPr>
          <w:rFonts w:ascii="Times New Roman" w:hAnsi="Times New Roman" w:cs="Times New Roman"/>
          <w:sz w:val="24"/>
        </w:rPr>
        <w:t>ve iyileşen sayısının ise 138</w:t>
      </w:r>
      <w:r w:rsidRPr="00C01629">
        <w:rPr>
          <w:rFonts w:ascii="Times New Roman" w:hAnsi="Times New Roman" w:cs="Times New Roman"/>
          <w:sz w:val="24"/>
        </w:rPr>
        <w:t xml:space="preserve"> milyonun üzerinde </w:t>
      </w:r>
      <w:proofErr w:type="gramStart"/>
      <w:r w:rsidRPr="00C01629">
        <w:rPr>
          <w:rFonts w:ascii="Times New Roman" w:hAnsi="Times New Roman" w:cs="Times New Roman"/>
          <w:sz w:val="24"/>
        </w:rPr>
        <w:t>olduğu  görülmektedir</w:t>
      </w:r>
      <w:proofErr w:type="gramEnd"/>
      <w:r w:rsidRPr="00C01629">
        <w:rPr>
          <w:rFonts w:ascii="Times New Roman" w:hAnsi="Times New Roman" w:cs="Times New Roman"/>
          <w:sz w:val="24"/>
        </w:rPr>
        <w:t xml:space="preserve">. Bölgesel </w:t>
      </w:r>
      <w:proofErr w:type="gramStart"/>
      <w:r w:rsidRPr="00C01629">
        <w:rPr>
          <w:rFonts w:ascii="Times New Roman" w:hAnsi="Times New Roman" w:cs="Times New Roman"/>
          <w:sz w:val="24"/>
        </w:rPr>
        <w:t>bazda</w:t>
      </w:r>
      <w:proofErr w:type="gramEnd"/>
      <w:r w:rsidRPr="00C01629">
        <w:rPr>
          <w:rFonts w:ascii="Times New Roman" w:hAnsi="Times New Roman" w:cs="Times New Roman"/>
          <w:sz w:val="24"/>
        </w:rPr>
        <w:t xml:space="preserve"> bakıldığında ise en fazla vaka sayısının Avrupa bölgesinde görüldüğü ve </w:t>
      </w:r>
      <w:r w:rsidR="00725D10">
        <w:rPr>
          <w:rFonts w:ascii="Times New Roman" w:hAnsi="Times New Roman" w:cs="Times New Roman"/>
          <w:sz w:val="24"/>
        </w:rPr>
        <w:t>bu bölgeyi</w:t>
      </w:r>
      <w:r w:rsidRPr="00C01629">
        <w:rPr>
          <w:rFonts w:ascii="Times New Roman" w:hAnsi="Times New Roman" w:cs="Times New Roman"/>
          <w:sz w:val="24"/>
        </w:rPr>
        <w:t xml:space="preserve"> ise sırasıyla, Asya, Kuzey Amerika</w:t>
      </w:r>
      <w:r w:rsidR="00725D10">
        <w:rPr>
          <w:rFonts w:ascii="Times New Roman" w:hAnsi="Times New Roman" w:cs="Times New Roman"/>
          <w:sz w:val="24"/>
        </w:rPr>
        <w:t>,</w:t>
      </w:r>
      <w:r w:rsidRPr="00C01629">
        <w:rPr>
          <w:rFonts w:ascii="Times New Roman" w:hAnsi="Times New Roman" w:cs="Times New Roman"/>
          <w:sz w:val="24"/>
        </w:rPr>
        <w:t xml:space="preserve"> Güney Amerika, Afrika ve Okyanusya bölgeleri izlemektedir.</w:t>
      </w:r>
    </w:p>
    <w:p w:rsidR="007B5E57" w:rsidRPr="00C01629" w:rsidRDefault="007B5E57" w:rsidP="007B5E57">
      <w:pPr>
        <w:jc w:val="both"/>
        <w:rPr>
          <w:rFonts w:ascii="Times New Roman" w:hAnsi="Times New Roman" w:cs="Times New Roman"/>
          <w:sz w:val="24"/>
        </w:rPr>
      </w:pPr>
      <w:r w:rsidRPr="00C01629">
        <w:rPr>
          <w:rFonts w:ascii="Times New Roman" w:hAnsi="Times New Roman" w:cs="Times New Roman"/>
          <w:sz w:val="24"/>
        </w:rPr>
        <w:t>Dünyada en fazla vaka sayısına sahip 10 ülkeye ait istatistiklerin yer aldığı Tablo 2’ye göre ise Dünya’da en fazla vaka sayısına sahip ülkeler arasında başta ABD olmak üzere sırasıyla, Hindistan,</w:t>
      </w:r>
      <w:r w:rsidRPr="00F36CB0">
        <w:rPr>
          <w:rFonts w:ascii="Times New Roman" w:hAnsi="Times New Roman" w:cs="Times New Roman"/>
          <w:sz w:val="24"/>
        </w:rPr>
        <w:t xml:space="preserve"> </w:t>
      </w:r>
      <w:r w:rsidRPr="00C01629">
        <w:rPr>
          <w:rFonts w:ascii="Times New Roman" w:hAnsi="Times New Roman" w:cs="Times New Roman"/>
          <w:sz w:val="24"/>
        </w:rPr>
        <w:t>Brezilya</w:t>
      </w:r>
      <w:r>
        <w:rPr>
          <w:rFonts w:ascii="Times New Roman" w:hAnsi="Times New Roman" w:cs="Times New Roman"/>
          <w:sz w:val="24"/>
        </w:rPr>
        <w:t>, Fransa, Türkiye,</w:t>
      </w:r>
      <w:r w:rsidRPr="00C01629">
        <w:rPr>
          <w:rFonts w:ascii="Times New Roman" w:hAnsi="Times New Roman" w:cs="Times New Roman"/>
          <w:sz w:val="24"/>
        </w:rPr>
        <w:t xml:space="preserve"> Rusya, </w:t>
      </w:r>
      <w:r>
        <w:rPr>
          <w:rFonts w:ascii="Times New Roman" w:hAnsi="Times New Roman" w:cs="Times New Roman"/>
          <w:sz w:val="24"/>
        </w:rPr>
        <w:t>Birleşik Krallık</w:t>
      </w:r>
      <w:r w:rsidRPr="00C01629">
        <w:rPr>
          <w:rFonts w:ascii="Times New Roman" w:hAnsi="Times New Roman" w:cs="Times New Roman"/>
          <w:sz w:val="24"/>
        </w:rPr>
        <w:t xml:space="preserve">, </w:t>
      </w:r>
      <w:r>
        <w:rPr>
          <w:rFonts w:ascii="Times New Roman" w:hAnsi="Times New Roman" w:cs="Times New Roman"/>
          <w:sz w:val="24"/>
        </w:rPr>
        <w:t>İtalya, İspanya ve</w:t>
      </w:r>
      <w:r w:rsidRPr="00C01629">
        <w:rPr>
          <w:rFonts w:ascii="Times New Roman" w:hAnsi="Times New Roman" w:cs="Times New Roman"/>
          <w:sz w:val="24"/>
        </w:rPr>
        <w:t xml:space="preserve"> </w:t>
      </w:r>
      <w:r>
        <w:rPr>
          <w:rFonts w:ascii="Times New Roman" w:hAnsi="Times New Roman" w:cs="Times New Roman"/>
          <w:sz w:val="24"/>
        </w:rPr>
        <w:t>Almanya</w:t>
      </w:r>
      <w:r w:rsidRPr="00C01629">
        <w:rPr>
          <w:rFonts w:ascii="Times New Roman" w:hAnsi="Times New Roman" w:cs="Times New Roman"/>
          <w:sz w:val="24"/>
        </w:rPr>
        <w:t xml:space="preserve"> yer almaktadır. En fazla ölümün gerçekleştiği ülkeler arasında sırasıyla ABD, Brezilya</w:t>
      </w:r>
      <w:r>
        <w:rPr>
          <w:rFonts w:ascii="Times New Roman" w:hAnsi="Times New Roman" w:cs="Times New Roman"/>
          <w:sz w:val="24"/>
        </w:rPr>
        <w:t>,</w:t>
      </w:r>
      <w:r w:rsidRPr="00C01629">
        <w:rPr>
          <w:rFonts w:ascii="Times New Roman" w:hAnsi="Times New Roman" w:cs="Times New Roman"/>
          <w:sz w:val="24"/>
        </w:rPr>
        <w:t xml:space="preserve"> Hindistan ve İngiltere yer alırken toplam iyileşen sayısına bakıldığında ise sırasıyla ABD, Hindistan </w:t>
      </w:r>
      <w:r>
        <w:rPr>
          <w:rFonts w:ascii="Times New Roman" w:hAnsi="Times New Roman" w:cs="Times New Roman"/>
          <w:sz w:val="24"/>
        </w:rPr>
        <w:t xml:space="preserve">ve </w:t>
      </w:r>
      <w:r w:rsidRPr="00C01629">
        <w:rPr>
          <w:rFonts w:ascii="Times New Roman" w:hAnsi="Times New Roman" w:cs="Times New Roman"/>
          <w:sz w:val="24"/>
        </w:rPr>
        <w:t>Brezilya sıralarda yer almaktadır.</w:t>
      </w:r>
    </w:p>
    <w:p w:rsidR="007B5E57" w:rsidRDefault="007B5E57" w:rsidP="007B5E57">
      <w:pPr>
        <w:jc w:val="both"/>
        <w:rPr>
          <w:rFonts w:ascii="Times New Roman" w:hAnsi="Times New Roman" w:cs="Times New Roman"/>
          <w:sz w:val="24"/>
        </w:rPr>
      </w:pPr>
      <w:r w:rsidRPr="004F48EB">
        <w:rPr>
          <w:rFonts w:ascii="Times New Roman" w:hAnsi="Times New Roman" w:cs="Times New Roman"/>
          <w:b/>
          <w:sz w:val="24"/>
        </w:rPr>
        <w:t>Tablo 2:</w:t>
      </w:r>
      <w:r w:rsidRPr="00C01629">
        <w:rPr>
          <w:rFonts w:ascii="Times New Roman" w:hAnsi="Times New Roman" w:cs="Times New Roman"/>
          <w:sz w:val="24"/>
        </w:rPr>
        <w:t xml:space="preserve"> Dünya’da En Yüksek Vaka Sayısına Sahip 10 Ülkeye Ait İstatistikler</w:t>
      </w:r>
      <w:r w:rsidR="00237425">
        <w:rPr>
          <w:rStyle w:val="DipnotBavurusu"/>
          <w:rFonts w:ascii="Times New Roman" w:hAnsi="Times New Roman" w:cs="Times New Roman"/>
          <w:sz w:val="24"/>
        </w:rPr>
        <w:footnoteReference w:id="4"/>
      </w:r>
      <w:r w:rsidRPr="00C01629">
        <w:rPr>
          <w:rFonts w:ascii="Times New Roman" w:hAnsi="Times New Roman" w:cs="Times New Roman"/>
          <w:sz w:val="24"/>
        </w:rPr>
        <w:t xml:space="preserve"> </w:t>
      </w:r>
    </w:p>
    <w:tbl>
      <w:tblPr>
        <w:tblStyle w:val="TabloKlavuzu"/>
        <w:tblW w:w="9067" w:type="dxa"/>
        <w:tblLook w:val="04A0" w:firstRow="1" w:lastRow="0" w:firstColumn="1" w:lastColumn="0" w:noHBand="0" w:noVBand="1"/>
      </w:tblPr>
      <w:tblGrid>
        <w:gridCol w:w="2122"/>
        <w:gridCol w:w="2268"/>
        <w:gridCol w:w="2268"/>
        <w:gridCol w:w="2409"/>
      </w:tblGrid>
      <w:tr w:rsidR="007B5E57" w:rsidRPr="004F48EB" w:rsidTr="000F6E2A">
        <w:tc>
          <w:tcPr>
            <w:tcW w:w="2122"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Ülkeler</w:t>
            </w:r>
          </w:p>
        </w:tc>
        <w:tc>
          <w:tcPr>
            <w:tcW w:w="2268"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Toplam Vaka Sayısı</w:t>
            </w:r>
          </w:p>
        </w:tc>
        <w:tc>
          <w:tcPr>
            <w:tcW w:w="2268"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Toplam Ölüm Sayısı</w:t>
            </w:r>
          </w:p>
          <w:p w:rsidR="007B5E57" w:rsidRPr="004F48EB" w:rsidRDefault="007B5E57" w:rsidP="000F6E2A">
            <w:pPr>
              <w:spacing w:line="259" w:lineRule="auto"/>
              <w:jc w:val="both"/>
              <w:rPr>
                <w:rFonts w:ascii="Times New Roman" w:hAnsi="Times New Roman" w:cs="Times New Roman"/>
                <w:b/>
                <w:iCs/>
                <w:sz w:val="20"/>
              </w:rPr>
            </w:pPr>
          </w:p>
        </w:tc>
        <w:tc>
          <w:tcPr>
            <w:tcW w:w="2409"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Toplam İyileşen Sayısı</w:t>
            </w:r>
          </w:p>
        </w:tc>
      </w:tr>
      <w:tr w:rsidR="007B5E57" w:rsidRPr="004F48EB" w:rsidTr="000F6E2A">
        <w:tc>
          <w:tcPr>
            <w:tcW w:w="2122"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ABD</w:t>
            </w:r>
          </w:p>
        </w:tc>
        <w:tc>
          <w:tcPr>
            <w:tcW w:w="2268"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33.515.546</w:t>
            </w:r>
          </w:p>
        </w:tc>
        <w:tc>
          <w:tcPr>
            <w:tcW w:w="2268" w:type="dxa"/>
          </w:tcPr>
          <w:p w:rsidR="007B5E57" w:rsidRPr="004F48EB" w:rsidRDefault="007B5E57" w:rsidP="00C40081">
            <w:pPr>
              <w:spacing w:line="259" w:lineRule="auto"/>
              <w:jc w:val="both"/>
              <w:rPr>
                <w:rFonts w:ascii="Times New Roman" w:hAnsi="Times New Roman" w:cs="Times New Roman"/>
                <w:iCs/>
                <w:sz w:val="20"/>
              </w:rPr>
            </w:pPr>
            <w:r w:rsidRPr="004F48EB">
              <w:rPr>
                <w:rFonts w:ascii="Times New Roman" w:hAnsi="Times New Roman" w:cs="Times New Roman"/>
                <w:iCs/>
                <w:sz w:val="20"/>
              </w:rPr>
              <w:t>596</w:t>
            </w:r>
            <w:r w:rsidR="00C40081" w:rsidRPr="004F48EB">
              <w:rPr>
                <w:rFonts w:ascii="Times New Roman" w:hAnsi="Times New Roman" w:cs="Times New Roman"/>
                <w:iCs/>
                <w:sz w:val="20"/>
              </w:rPr>
              <w:t>.</w:t>
            </w:r>
            <w:r w:rsidRPr="004F48EB">
              <w:rPr>
                <w:rFonts w:ascii="Times New Roman" w:hAnsi="Times New Roman" w:cs="Times New Roman"/>
                <w:iCs/>
                <w:sz w:val="20"/>
              </w:rPr>
              <w:t>181</w:t>
            </w:r>
          </w:p>
        </w:tc>
        <w:tc>
          <w:tcPr>
            <w:tcW w:w="2409"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26.507.427</w:t>
            </w:r>
          </w:p>
        </w:tc>
      </w:tr>
      <w:tr w:rsidR="007B5E57" w:rsidRPr="004F48EB" w:rsidTr="000F6E2A">
        <w:tc>
          <w:tcPr>
            <w:tcW w:w="2122"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Hindistan</w:t>
            </w:r>
          </w:p>
        </w:tc>
        <w:tc>
          <w:tcPr>
            <w:tcW w:w="2268"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22.992.517</w:t>
            </w:r>
          </w:p>
        </w:tc>
        <w:tc>
          <w:tcPr>
            <w:tcW w:w="2268" w:type="dxa"/>
          </w:tcPr>
          <w:p w:rsidR="007B5E57" w:rsidRPr="004F48EB" w:rsidRDefault="007B5E57" w:rsidP="00C40081">
            <w:pPr>
              <w:spacing w:line="259" w:lineRule="auto"/>
              <w:jc w:val="both"/>
              <w:rPr>
                <w:rFonts w:ascii="Times New Roman" w:hAnsi="Times New Roman" w:cs="Times New Roman"/>
                <w:iCs/>
                <w:sz w:val="20"/>
              </w:rPr>
            </w:pPr>
            <w:r w:rsidRPr="004F48EB">
              <w:rPr>
                <w:rFonts w:ascii="Times New Roman" w:hAnsi="Times New Roman" w:cs="Times New Roman"/>
                <w:iCs/>
                <w:sz w:val="20"/>
              </w:rPr>
              <w:t>250</w:t>
            </w:r>
            <w:r w:rsidR="00C40081" w:rsidRPr="004F48EB">
              <w:rPr>
                <w:rFonts w:ascii="Times New Roman" w:hAnsi="Times New Roman" w:cs="Times New Roman"/>
                <w:iCs/>
                <w:sz w:val="20"/>
              </w:rPr>
              <w:t>.</w:t>
            </w:r>
            <w:r w:rsidRPr="004F48EB">
              <w:rPr>
                <w:rFonts w:ascii="Times New Roman" w:hAnsi="Times New Roman" w:cs="Times New Roman"/>
                <w:iCs/>
                <w:sz w:val="20"/>
              </w:rPr>
              <w:t>025</w:t>
            </w:r>
          </w:p>
        </w:tc>
        <w:tc>
          <w:tcPr>
            <w:tcW w:w="2409"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19.027.304</w:t>
            </w:r>
          </w:p>
        </w:tc>
      </w:tr>
      <w:tr w:rsidR="007B5E57" w:rsidRPr="004F48EB" w:rsidTr="000F6E2A">
        <w:tc>
          <w:tcPr>
            <w:tcW w:w="2122"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Brezilya</w:t>
            </w:r>
          </w:p>
        </w:tc>
        <w:tc>
          <w:tcPr>
            <w:tcW w:w="2268"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15.214.030</w:t>
            </w:r>
          </w:p>
        </w:tc>
        <w:tc>
          <w:tcPr>
            <w:tcW w:w="2268" w:type="dxa"/>
          </w:tcPr>
          <w:p w:rsidR="007B5E57" w:rsidRPr="004F48EB" w:rsidRDefault="007B5E57" w:rsidP="00C40081">
            <w:pPr>
              <w:spacing w:line="259" w:lineRule="auto"/>
              <w:jc w:val="both"/>
              <w:rPr>
                <w:rFonts w:ascii="Times New Roman" w:hAnsi="Times New Roman" w:cs="Times New Roman"/>
                <w:iCs/>
                <w:sz w:val="20"/>
              </w:rPr>
            </w:pPr>
            <w:r w:rsidRPr="004F48EB">
              <w:rPr>
                <w:rFonts w:ascii="Times New Roman" w:hAnsi="Times New Roman" w:cs="Times New Roman"/>
                <w:iCs/>
                <w:sz w:val="20"/>
              </w:rPr>
              <w:t>423</w:t>
            </w:r>
            <w:r w:rsidR="00C40081" w:rsidRPr="004F48EB">
              <w:rPr>
                <w:rFonts w:ascii="Times New Roman" w:hAnsi="Times New Roman" w:cs="Times New Roman"/>
                <w:iCs/>
                <w:sz w:val="20"/>
              </w:rPr>
              <w:t>.</w:t>
            </w:r>
            <w:r w:rsidRPr="004F48EB">
              <w:rPr>
                <w:rFonts w:ascii="Times New Roman" w:hAnsi="Times New Roman" w:cs="Times New Roman"/>
                <w:iCs/>
                <w:sz w:val="20"/>
              </w:rPr>
              <w:t>436</w:t>
            </w:r>
          </w:p>
        </w:tc>
        <w:tc>
          <w:tcPr>
            <w:tcW w:w="2409"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13.759.125</w:t>
            </w:r>
          </w:p>
        </w:tc>
      </w:tr>
      <w:tr w:rsidR="007B5E57" w:rsidRPr="004F48EB" w:rsidTr="000F6E2A">
        <w:tc>
          <w:tcPr>
            <w:tcW w:w="2122"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Fransa</w:t>
            </w:r>
          </w:p>
        </w:tc>
        <w:tc>
          <w:tcPr>
            <w:tcW w:w="2268"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5.780.379</w:t>
            </w:r>
          </w:p>
        </w:tc>
        <w:tc>
          <w:tcPr>
            <w:tcW w:w="2268" w:type="dxa"/>
          </w:tcPr>
          <w:p w:rsidR="007B5E57" w:rsidRPr="004F48EB" w:rsidRDefault="007B5E57" w:rsidP="00C40081">
            <w:pPr>
              <w:spacing w:line="259" w:lineRule="auto"/>
              <w:jc w:val="both"/>
              <w:rPr>
                <w:rFonts w:ascii="Times New Roman" w:hAnsi="Times New Roman" w:cs="Times New Roman"/>
                <w:iCs/>
                <w:sz w:val="20"/>
              </w:rPr>
            </w:pPr>
            <w:r w:rsidRPr="004F48EB">
              <w:rPr>
                <w:rFonts w:ascii="Times New Roman" w:hAnsi="Times New Roman" w:cs="Times New Roman"/>
                <w:iCs/>
                <w:sz w:val="20"/>
              </w:rPr>
              <w:t>106</w:t>
            </w:r>
            <w:r w:rsidR="00C40081" w:rsidRPr="004F48EB">
              <w:rPr>
                <w:rFonts w:ascii="Times New Roman" w:hAnsi="Times New Roman" w:cs="Times New Roman"/>
                <w:iCs/>
                <w:sz w:val="20"/>
              </w:rPr>
              <w:t>.</w:t>
            </w:r>
            <w:r w:rsidRPr="004F48EB">
              <w:rPr>
                <w:rFonts w:ascii="Times New Roman" w:hAnsi="Times New Roman" w:cs="Times New Roman"/>
                <w:iCs/>
                <w:sz w:val="20"/>
              </w:rPr>
              <w:t>684</w:t>
            </w:r>
          </w:p>
        </w:tc>
        <w:tc>
          <w:tcPr>
            <w:tcW w:w="2409"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4.917.101</w:t>
            </w:r>
          </w:p>
        </w:tc>
      </w:tr>
      <w:tr w:rsidR="007B5E57" w:rsidRPr="004F48EB" w:rsidTr="000F6E2A">
        <w:tc>
          <w:tcPr>
            <w:tcW w:w="2122"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Türkiye</w:t>
            </w:r>
          </w:p>
        </w:tc>
        <w:tc>
          <w:tcPr>
            <w:tcW w:w="2268"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5.044.936</w:t>
            </w:r>
          </w:p>
        </w:tc>
        <w:tc>
          <w:tcPr>
            <w:tcW w:w="2268" w:type="dxa"/>
          </w:tcPr>
          <w:p w:rsidR="007B5E57" w:rsidRPr="004F48EB" w:rsidRDefault="007B5E57" w:rsidP="00C40081">
            <w:pPr>
              <w:spacing w:line="259" w:lineRule="auto"/>
              <w:jc w:val="both"/>
              <w:rPr>
                <w:rFonts w:ascii="Times New Roman" w:hAnsi="Times New Roman" w:cs="Times New Roman"/>
                <w:iCs/>
                <w:sz w:val="20"/>
              </w:rPr>
            </w:pPr>
            <w:r w:rsidRPr="004F48EB">
              <w:rPr>
                <w:rFonts w:ascii="Times New Roman" w:hAnsi="Times New Roman" w:cs="Times New Roman"/>
                <w:iCs/>
                <w:sz w:val="20"/>
              </w:rPr>
              <w:t>43</w:t>
            </w:r>
            <w:r w:rsidR="00C40081" w:rsidRPr="004F48EB">
              <w:rPr>
                <w:rFonts w:ascii="Times New Roman" w:hAnsi="Times New Roman" w:cs="Times New Roman"/>
                <w:iCs/>
                <w:sz w:val="20"/>
              </w:rPr>
              <w:t>.</w:t>
            </w:r>
            <w:r w:rsidRPr="004F48EB">
              <w:rPr>
                <w:rFonts w:ascii="Times New Roman" w:hAnsi="Times New Roman" w:cs="Times New Roman"/>
                <w:iCs/>
                <w:sz w:val="20"/>
              </w:rPr>
              <w:t>311</w:t>
            </w:r>
          </w:p>
        </w:tc>
        <w:tc>
          <w:tcPr>
            <w:tcW w:w="2409"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4.743.871</w:t>
            </w:r>
          </w:p>
        </w:tc>
      </w:tr>
      <w:tr w:rsidR="007B5E57" w:rsidRPr="004F48EB" w:rsidTr="000F6E2A">
        <w:tc>
          <w:tcPr>
            <w:tcW w:w="2122"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Rusya</w:t>
            </w:r>
          </w:p>
        </w:tc>
        <w:tc>
          <w:tcPr>
            <w:tcW w:w="2268"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4.896.842</w:t>
            </w:r>
          </w:p>
        </w:tc>
        <w:tc>
          <w:tcPr>
            <w:tcW w:w="2268" w:type="dxa"/>
          </w:tcPr>
          <w:p w:rsidR="007B5E57" w:rsidRPr="004F48EB" w:rsidRDefault="007B5E57" w:rsidP="00C40081">
            <w:pPr>
              <w:spacing w:line="259" w:lineRule="auto"/>
              <w:jc w:val="both"/>
              <w:rPr>
                <w:rFonts w:ascii="Times New Roman" w:hAnsi="Times New Roman" w:cs="Times New Roman"/>
                <w:iCs/>
                <w:sz w:val="20"/>
              </w:rPr>
            </w:pPr>
            <w:r w:rsidRPr="004F48EB">
              <w:rPr>
                <w:rFonts w:ascii="Times New Roman" w:hAnsi="Times New Roman" w:cs="Times New Roman"/>
                <w:iCs/>
                <w:sz w:val="20"/>
              </w:rPr>
              <w:t>113</w:t>
            </w:r>
            <w:r w:rsidR="00C40081" w:rsidRPr="004F48EB">
              <w:rPr>
                <w:rFonts w:ascii="Times New Roman" w:hAnsi="Times New Roman" w:cs="Times New Roman"/>
                <w:iCs/>
                <w:sz w:val="20"/>
              </w:rPr>
              <w:t>.</w:t>
            </w:r>
            <w:r w:rsidRPr="004F48EB">
              <w:rPr>
                <w:rFonts w:ascii="Times New Roman" w:hAnsi="Times New Roman" w:cs="Times New Roman"/>
                <w:iCs/>
                <w:sz w:val="20"/>
              </w:rPr>
              <w:t>976</w:t>
            </w:r>
          </w:p>
        </w:tc>
        <w:tc>
          <w:tcPr>
            <w:tcW w:w="2409"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4.509.915</w:t>
            </w:r>
          </w:p>
        </w:tc>
      </w:tr>
      <w:tr w:rsidR="007B5E57" w:rsidRPr="004F48EB" w:rsidTr="000F6E2A">
        <w:tc>
          <w:tcPr>
            <w:tcW w:w="2122"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Birleşik Krallık</w:t>
            </w:r>
          </w:p>
        </w:tc>
        <w:tc>
          <w:tcPr>
            <w:tcW w:w="2268"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4.437.217</w:t>
            </w:r>
          </w:p>
        </w:tc>
        <w:tc>
          <w:tcPr>
            <w:tcW w:w="2268" w:type="dxa"/>
          </w:tcPr>
          <w:p w:rsidR="007B5E57" w:rsidRPr="004F48EB" w:rsidRDefault="007B5E57" w:rsidP="00C40081">
            <w:pPr>
              <w:spacing w:line="259" w:lineRule="auto"/>
              <w:jc w:val="both"/>
              <w:rPr>
                <w:rFonts w:ascii="Times New Roman" w:hAnsi="Times New Roman" w:cs="Times New Roman"/>
                <w:iCs/>
                <w:sz w:val="20"/>
              </w:rPr>
            </w:pPr>
            <w:r w:rsidRPr="004F48EB">
              <w:rPr>
                <w:rFonts w:ascii="Times New Roman" w:hAnsi="Times New Roman" w:cs="Times New Roman"/>
                <w:iCs/>
                <w:sz w:val="20"/>
              </w:rPr>
              <w:t>127</w:t>
            </w:r>
            <w:r w:rsidR="00C40081" w:rsidRPr="004F48EB">
              <w:rPr>
                <w:rFonts w:ascii="Times New Roman" w:hAnsi="Times New Roman" w:cs="Times New Roman"/>
                <w:iCs/>
                <w:sz w:val="20"/>
              </w:rPr>
              <w:t>.</w:t>
            </w:r>
            <w:r w:rsidRPr="004F48EB">
              <w:rPr>
                <w:rFonts w:ascii="Times New Roman" w:hAnsi="Times New Roman" w:cs="Times New Roman"/>
                <w:iCs/>
                <w:sz w:val="20"/>
              </w:rPr>
              <w:t>609</w:t>
            </w:r>
          </w:p>
        </w:tc>
        <w:tc>
          <w:tcPr>
            <w:tcW w:w="2409"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4.250.699</w:t>
            </w:r>
          </w:p>
        </w:tc>
      </w:tr>
      <w:tr w:rsidR="007B5E57" w:rsidRPr="004F48EB" w:rsidTr="000F6E2A">
        <w:tc>
          <w:tcPr>
            <w:tcW w:w="2122"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İtalya</w:t>
            </w:r>
          </w:p>
        </w:tc>
        <w:tc>
          <w:tcPr>
            <w:tcW w:w="2268"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4.116.287</w:t>
            </w:r>
          </w:p>
        </w:tc>
        <w:tc>
          <w:tcPr>
            <w:tcW w:w="2268" w:type="dxa"/>
          </w:tcPr>
          <w:p w:rsidR="007B5E57" w:rsidRPr="004F48EB" w:rsidRDefault="007B5E57" w:rsidP="00C40081">
            <w:pPr>
              <w:spacing w:line="259" w:lineRule="auto"/>
              <w:jc w:val="both"/>
              <w:rPr>
                <w:rFonts w:ascii="Times New Roman" w:hAnsi="Times New Roman" w:cs="Times New Roman"/>
                <w:iCs/>
                <w:sz w:val="20"/>
              </w:rPr>
            </w:pPr>
            <w:r w:rsidRPr="004F48EB">
              <w:rPr>
                <w:rFonts w:ascii="Times New Roman" w:hAnsi="Times New Roman" w:cs="Times New Roman"/>
                <w:iCs/>
                <w:sz w:val="20"/>
              </w:rPr>
              <w:t>123</w:t>
            </w:r>
            <w:r w:rsidR="00C40081" w:rsidRPr="004F48EB">
              <w:rPr>
                <w:rFonts w:ascii="Times New Roman" w:hAnsi="Times New Roman" w:cs="Times New Roman"/>
                <w:iCs/>
                <w:sz w:val="20"/>
              </w:rPr>
              <w:t>.</w:t>
            </w:r>
            <w:r w:rsidRPr="004F48EB">
              <w:rPr>
                <w:rFonts w:ascii="Times New Roman" w:hAnsi="Times New Roman" w:cs="Times New Roman"/>
                <w:iCs/>
                <w:sz w:val="20"/>
              </w:rPr>
              <w:t>031</w:t>
            </w:r>
          </w:p>
        </w:tc>
        <w:tc>
          <w:tcPr>
            <w:tcW w:w="2409"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3.619.586</w:t>
            </w:r>
          </w:p>
        </w:tc>
      </w:tr>
      <w:tr w:rsidR="007B5E57" w:rsidRPr="004F48EB" w:rsidTr="000F6E2A">
        <w:tc>
          <w:tcPr>
            <w:tcW w:w="2122"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İspanya</w:t>
            </w:r>
          </w:p>
        </w:tc>
        <w:tc>
          <w:tcPr>
            <w:tcW w:w="2268"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3.581.392</w:t>
            </w:r>
          </w:p>
        </w:tc>
        <w:tc>
          <w:tcPr>
            <w:tcW w:w="2268" w:type="dxa"/>
          </w:tcPr>
          <w:p w:rsidR="007B5E57" w:rsidRPr="004F48EB" w:rsidRDefault="007B5E57" w:rsidP="00C40081">
            <w:pPr>
              <w:spacing w:line="259" w:lineRule="auto"/>
              <w:jc w:val="both"/>
              <w:rPr>
                <w:rFonts w:ascii="Times New Roman" w:hAnsi="Times New Roman" w:cs="Times New Roman"/>
                <w:iCs/>
                <w:sz w:val="20"/>
              </w:rPr>
            </w:pPr>
            <w:r w:rsidRPr="004F48EB">
              <w:rPr>
                <w:rFonts w:ascii="Times New Roman" w:hAnsi="Times New Roman" w:cs="Times New Roman"/>
                <w:iCs/>
                <w:sz w:val="20"/>
              </w:rPr>
              <w:t>78</w:t>
            </w:r>
            <w:r w:rsidR="00C40081" w:rsidRPr="004F48EB">
              <w:rPr>
                <w:rFonts w:ascii="Times New Roman" w:hAnsi="Times New Roman" w:cs="Times New Roman"/>
                <w:iCs/>
                <w:sz w:val="20"/>
              </w:rPr>
              <w:t>.</w:t>
            </w:r>
            <w:r w:rsidRPr="004F48EB">
              <w:rPr>
                <w:rFonts w:ascii="Times New Roman" w:hAnsi="Times New Roman" w:cs="Times New Roman"/>
                <w:iCs/>
                <w:sz w:val="20"/>
              </w:rPr>
              <w:t>895</w:t>
            </w:r>
          </w:p>
        </w:tc>
        <w:tc>
          <w:tcPr>
            <w:tcW w:w="2409"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3.274.808</w:t>
            </w:r>
          </w:p>
        </w:tc>
      </w:tr>
      <w:tr w:rsidR="007B5E57" w:rsidRPr="004F48EB" w:rsidTr="000F6E2A">
        <w:tc>
          <w:tcPr>
            <w:tcW w:w="2122" w:type="dxa"/>
          </w:tcPr>
          <w:p w:rsidR="007B5E57" w:rsidRPr="004F48EB" w:rsidRDefault="007B5E57" w:rsidP="000F6E2A">
            <w:pPr>
              <w:spacing w:line="259" w:lineRule="auto"/>
              <w:jc w:val="both"/>
              <w:rPr>
                <w:rFonts w:ascii="Times New Roman" w:hAnsi="Times New Roman" w:cs="Times New Roman"/>
                <w:b/>
                <w:iCs/>
                <w:sz w:val="20"/>
              </w:rPr>
            </w:pPr>
            <w:r w:rsidRPr="004F48EB">
              <w:rPr>
                <w:rFonts w:ascii="Times New Roman" w:hAnsi="Times New Roman" w:cs="Times New Roman"/>
                <w:b/>
                <w:iCs/>
                <w:sz w:val="20"/>
              </w:rPr>
              <w:t>Almanya</w:t>
            </w:r>
          </w:p>
        </w:tc>
        <w:tc>
          <w:tcPr>
            <w:tcW w:w="2268"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3.535.354</w:t>
            </w:r>
          </w:p>
        </w:tc>
        <w:tc>
          <w:tcPr>
            <w:tcW w:w="2268" w:type="dxa"/>
          </w:tcPr>
          <w:p w:rsidR="007B5E57" w:rsidRPr="004F48EB" w:rsidRDefault="007B5E57" w:rsidP="00C40081">
            <w:pPr>
              <w:spacing w:line="259" w:lineRule="auto"/>
              <w:jc w:val="both"/>
              <w:rPr>
                <w:rFonts w:ascii="Times New Roman" w:hAnsi="Times New Roman" w:cs="Times New Roman"/>
                <w:iCs/>
                <w:sz w:val="20"/>
              </w:rPr>
            </w:pPr>
            <w:r w:rsidRPr="004F48EB">
              <w:rPr>
                <w:rFonts w:ascii="Times New Roman" w:hAnsi="Times New Roman" w:cs="Times New Roman"/>
                <w:iCs/>
                <w:sz w:val="20"/>
              </w:rPr>
              <w:t>85</w:t>
            </w:r>
            <w:r w:rsidR="00C40081" w:rsidRPr="004F48EB">
              <w:rPr>
                <w:rFonts w:ascii="Times New Roman" w:hAnsi="Times New Roman" w:cs="Times New Roman"/>
                <w:iCs/>
                <w:sz w:val="20"/>
              </w:rPr>
              <w:t>.</w:t>
            </w:r>
            <w:r w:rsidRPr="004F48EB">
              <w:rPr>
                <w:rFonts w:ascii="Times New Roman" w:hAnsi="Times New Roman" w:cs="Times New Roman"/>
                <w:iCs/>
                <w:sz w:val="20"/>
              </w:rPr>
              <w:t>481</w:t>
            </w:r>
          </w:p>
        </w:tc>
        <w:tc>
          <w:tcPr>
            <w:tcW w:w="2409" w:type="dxa"/>
          </w:tcPr>
          <w:p w:rsidR="007B5E57" w:rsidRPr="004F48EB" w:rsidRDefault="00C40081" w:rsidP="000F6E2A">
            <w:pPr>
              <w:spacing w:line="259" w:lineRule="auto"/>
              <w:jc w:val="both"/>
              <w:rPr>
                <w:rFonts w:ascii="Times New Roman" w:hAnsi="Times New Roman" w:cs="Times New Roman"/>
                <w:iCs/>
                <w:sz w:val="20"/>
              </w:rPr>
            </w:pPr>
            <w:r w:rsidRPr="004F48EB">
              <w:rPr>
                <w:rFonts w:ascii="Times New Roman" w:hAnsi="Times New Roman" w:cs="Times New Roman"/>
                <w:iCs/>
                <w:sz w:val="20"/>
              </w:rPr>
              <w:t>3.196.900</w:t>
            </w:r>
          </w:p>
        </w:tc>
      </w:tr>
    </w:tbl>
    <w:p w:rsidR="007B5E57" w:rsidRPr="004F48EB" w:rsidRDefault="007B5E57" w:rsidP="007B5E57">
      <w:pPr>
        <w:jc w:val="both"/>
        <w:rPr>
          <w:rFonts w:ascii="Times New Roman" w:hAnsi="Times New Roman" w:cs="Times New Roman"/>
          <w:sz w:val="20"/>
        </w:rPr>
      </w:pPr>
      <w:r w:rsidRPr="004F48EB">
        <w:rPr>
          <w:rFonts w:ascii="Times New Roman" w:hAnsi="Times New Roman" w:cs="Times New Roman"/>
          <w:b/>
          <w:sz w:val="20"/>
        </w:rPr>
        <w:t>Kaynak:</w:t>
      </w:r>
      <w:r w:rsidRPr="004F48EB">
        <w:rPr>
          <w:rFonts w:ascii="Times New Roman" w:hAnsi="Times New Roman" w:cs="Times New Roman"/>
          <w:sz w:val="20"/>
        </w:rPr>
        <w:t xml:space="preserve"> </w:t>
      </w:r>
      <w:proofErr w:type="spellStart"/>
      <w:r w:rsidR="00DD2BE3" w:rsidRPr="00DD2BE3">
        <w:rPr>
          <w:rFonts w:ascii="Times New Roman" w:hAnsi="Times New Roman" w:cs="Times New Roman"/>
          <w:sz w:val="20"/>
        </w:rPr>
        <w:t>worldomet</w:t>
      </w:r>
      <w:r w:rsidR="00DD2BE3">
        <w:rPr>
          <w:rFonts w:ascii="Times New Roman" w:hAnsi="Times New Roman" w:cs="Times New Roman"/>
          <w:sz w:val="20"/>
        </w:rPr>
        <w:t>ers</w:t>
      </w:r>
      <w:proofErr w:type="spellEnd"/>
      <w:r w:rsidR="00DD2BE3">
        <w:rPr>
          <w:rFonts w:ascii="Times New Roman" w:hAnsi="Times New Roman" w:cs="Times New Roman"/>
          <w:sz w:val="20"/>
        </w:rPr>
        <w:t>, 2021</w:t>
      </w:r>
    </w:p>
    <w:p w:rsidR="007B5E57" w:rsidRPr="00352262" w:rsidRDefault="007B5E57" w:rsidP="007B5E57">
      <w:pPr>
        <w:jc w:val="both"/>
        <w:rPr>
          <w:rFonts w:ascii="Times New Roman" w:hAnsi="Times New Roman" w:cs="Times New Roman"/>
          <w:sz w:val="24"/>
        </w:rPr>
      </w:pPr>
      <w:proofErr w:type="spellStart"/>
      <w:r>
        <w:rPr>
          <w:rFonts w:ascii="Times New Roman" w:hAnsi="Times New Roman" w:cs="Times New Roman"/>
          <w:sz w:val="24"/>
        </w:rPr>
        <w:lastRenderedPageBreak/>
        <w:t>Covid</w:t>
      </w:r>
      <w:proofErr w:type="spellEnd"/>
      <w:r>
        <w:rPr>
          <w:rFonts w:ascii="Times New Roman" w:hAnsi="Times New Roman" w:cs="Times New Roman"/>
          <w:sz w:val="24"/>
        </w:rPr>
        <w:t xml:space="preserve"> 19 hastalığının ölümcül derecede ciddi sağlık sorunlarına neden olması ve bu kapsamda hemen hemen dünyanın her yerinde yasak ve kısıtlama tedbirlerinin alınması insan hayatının her yönünü etkilemesiyle birlikte özellikle ekonomik hayat üzerinde ciddi tahribatlar oluşturmuştur. </w:t>
      </w:r>
      <w:proofErr w:type="gramStart"/>
      <w:r>
        <w:rPr>
          <w:rFonts w:ascii="Times New Roman" w:hAnsi="Times New Roman" w:cs="Times New Roman"/>
          <w:sz w:val="24"/>
        </w:rPr>
        <w:t>Buna göre yaklaşık bir buçuk yıldır dünyanın hemen hemen her yerin</w:t>
      </w:r>
      <w:r w:rsidR="00725D10">
        <w:rPr>
          <w:rFonts w:ascii="Times New Roman" w:hAnsi="Times New Roman" w:cs="Times New Roman"/>
          <w:sz w:val="24"/>
        </w:rPr>
        <w:t>d</w:t>
      </w:r>
      <w:r>
        <w:rPr>
          <w:rFonts w:ascii="Times New Roman" w:hAnsi="Times New Roman" w:cs="Times New Roman"/>
          <w:sz w:val="24"/>
        </w:rPr>
        <w:t xml:space="preserve">e alınan önlem ve tedbirler kapsamında birçok ekonomik birimin faaliyetine ara vermesi veya kısıtlı şekilde yürütmesi, bireylerin de çeşitli derecelerde kısıtlamaya tabi olarak piyasayı canlı tutacak herhangi bir faaliyette bulunmamaları birçok sektörün zor durumumda kalmasına, ekonomik ve mali olarak sorunlar ile karşılaşmasına neden olmuştur. </w:t>
      </w:r>
      <w:proofErr w:type="gramEnd"/>
      <w:r>
        <w:rPr>
          <w:rFonts w:ascii="Times New Roman" w:hAnsi="Times New Roman" w:cs="Times New Roman"/>
          <w:sz w:val="24"/>
        </w:rPr>
        <w:t>Ekonomik ve mali olarak zor durumda kalan ekonomik birimler devletler tarafından verilen teşviklere rağmen küçülmeye giderek faaliyetlerini yavaşlatmıştır. Bu da dünya genelinde işsizliğin artmasına, salgın nedeniyle zaten zor günler geçiren bireylerin daha da zor duruma düşmesine, devlete olan ihtiyacın ise daha artmasına neden olmuştur.</w:t>
      </w:r>
    </w:p>
    <w:p w:rsidR="00C309DA" w:rsidRPr="00B65B1E" w:rsidRDefault="005945B0" w:rsidP="00C309DA">
      <w:pPr>
        <w:jc w:val="both"/>
        <w:rPr>
          <w:rFonts w:ascii="Times New Roman" w:hAnsi="Times New Roman" w:cs="Times New Roman"/>
          <w:b/>
          <w:sz w:val="24"/>
        </w:rPr>
      </w:pPr>
      <w:r>
        <w:rPr>
          <w:rFonts w:ascii="Times New Roman" w:hAnsi="Times New Roman" w:cs="Times New Roman"/>
          <w:b/>
          <w:sz w:val="24"/>
        </w:rPr>
        <w:t>3</w:t>
      </w:r>
      <w:r w:rsidRPr="00B65B1E">
        <w:rPr>
          <w:rFonts w:ascii="Times New Roman" w:hAnsi="Times New Roman" w:cs="Times New Roman"/>
          <w:b/>
          <w:sz w:val="24"/>
        </w:rPr>
        <w:t>. SOSYAL HARCAMALAR</w:t>
      </w:r>
    </w:p>
    <w:p w:rsidR="007B5E57" w:rsidRDefault="007B5E57" w:rsidP="007B5E57">
      <w:pPr>
        <w:jc w:val="both"/>
        <w:rPr>
          <w:rFonts w:ascii="Times New Roman" w:hAnsi="Times New Roman" w:cs="Times New Roman"/>
          <w:sz w:val="24"/>
        </w:rPr>
      </w:pPr>
      <w:r w:rsidRPr="00D62470">
        <w:rPr>
          <w:rFonts w:ascii="Times New Roman" w:hAnsi="Times New Roman" w:cs="Times New Roman"/>
          <w:sz w:val="24"/>
        </w:rPr>
        <w:t xml:space="preserve">Kamu harcamalarının çeşitli tanımları bulunmaktadır. Şüphesiz bu tanımların çeşitlenmesinin sebeplerinden biri devlet kavramı ve devlete yüklenen fonksiyonların farklı yorumlanmasından kaynaklanmaktadır. </w:t>
      </w:r>
      <w:r>
        <w:rPr>
          <w:rFonts w:ascii="Times New Roman" w:hAnsi="Times New Roman" w:cs="Times New Roman"/>
          <w:sz w:val="24"/>
        </w:rPr>
        <w:t>Genel olarak dar ve geniş anlamda kamu harcaması tanımı yapılmaktadır. Dar anlamda kamu harcaması denildiğinde merkezi ve özel bütçeden yapılan harcamalar ifade edilirken, geniş anlamda kamu harcaması denildiğinde devlet bütçesi kapsamındaki tüm harcamalarla birlikte bütçe dışında kalan diğer tüm harcamalar da anlaşılmaktadır (</w:t>
      </w:r>
      <w:proofErr w:type="spellStart"/>
      <w:r>
        <w:rPr>
          <w:rFonts w:ascii="Times New Roman" w:hAnsi="Times New Roman" w:cs="Times New Roman"/>
          <w:sz w:val="24"/>
        </w:rPr>
        <w:t>Taraktaş</w:t>
      </w:r>
      <w:proofErr w:type="spellEnd"/>
      <w:r>
        <w:rPr>
          <w:rFonts w:ascii="Times New Roman" w:hAnsi="Times New Roman" w:cs="Times New Roman"/>
          <w:sz w:val="24"/>
        </w:rPr>
        <w:t>, 2018: 93-94). Kamu harcamalarının en önemli özelliği önceden belirlenmiş yasal sınırlar ve süreler içerisinde kamusal hizmetlerin yerine getirilmesidir. Kamusal hizmetlerin sunumunda temel amaç kamusal refahın artırılmasıdır. Bu kapsamda kamu harcamalarının birincil amacı kamusal ve yarı kamusal mal ve hizmetlerin üretiminin sağlanmasıdır. Ancak toplumsal refahın yükselmesi için sadece bunlar yeterli değildir. Kamusal ve yarı kamusal malların üretiminin yanı sıra toplumdaki bireylerin yoksulluk sınırının üzerinde gelire sahip olmaları gerekmektedir. Bu nedenle toplumsal refahın artırılması, toplumda yaşayan bireylerin hayat standardının artması ve geleceklerinin güvence altına alınması amacıyla devlete bir takım fonksiyonlar yüklenmiştir. Devlete yüklenen fonksiyonların gerçekleştirilmesi de kamusal harcamala</w:t>
      </w:r>
      <w:r w:rsidR="00A660E4">
        <w:rPr>
          <w:rFonts w:ascii="Times New Roman" w:hAnsi="Times New Roman" w:cs="Times New Roman"/>
          <w:sz w:val="24"/>
        </w:rPr>
        <w:t>rın artmasına neden olmaktadır</w:t>
      </w:r>
      <w:r>
        <w:rPr>
          <w:rFonts w:ascii="Times New Roman" w:hAnsi="Times New Roman" w:cs="Times New Roman"/>
          <w:sz w:val="24"/>
        </w:rPr>
        <w:t xml:space="preserve"> (Pehlivan, 2006: 70).</w:t>
      </w:r>
    </w:p>
    <w:p w:rsidR="007B5E57" w:rsidRDefault="007B5E57" w:rsidP="007B5E57">
      <w:pPr>
        <w:jc w:val="both"/>
        <w:rPr>
          <w:rFonts w:ascii="Times New Roman" w:hAnsi="Times New Roman" w:cs="Times New Roman"/>
          <w:sz w:val="24"/>
        </w:rPr>
      </w:pPr>
      <w:r w:rsidRPr="00446D7C">
        <w:rPr>
          <w:rFonts w:ascii="Times New Roman" w:hAnsi="Times New Roman" w:cs="Times New Roman"/>
          <w:sz w:val="24"/>
        </w:rPr>
        <w:t xml:space="preserve">Kamu harcamaları, iktisadi etkileri dikkate alındığında reel ve transfer harcamaları olmak üzere ikiye ayrılmaktadır. Ekonomide reel olarak kaynak kullanımını gerektiren reel harcamalarda kendi içerisinde cari ve yatırım harcamaları olmak üzere ikiye ayrılmaktadır. </w:t>
      </w:r>
      <w:r>
        <w:rPr>
          <w:rFonts w:ascii="Times New Roman" w:hAnsi="Times New Roman" w:cs="Times New Roman"/>
          <w:sz w:val="24"/>
        </w:rPr>
        <w:t xml:space="preserve">Transfer harcamaları ise ekonomide kaynak yaratmayan, mevcut kaynakların bir kesimden diğerine aktarımını sağlayan harcamalardır. Transfer harcamalarının iktisadi, mali ve sosyal olmak üzere üç çeşidi bulunmaktadır. İktisadi transfer harcamaları belirli sektörlere verilen transfer ödemeleri iken, faiz ödemeleri ise büyük oranda </w:t>
      </w:r>
      <w:r w:rsidRPr="007A0410">
        <w:rPr>
          <w:rFonts w:ascii="Times New Roman" w:hAnsi="Times New Roman" w:cs="Times New Roman"/>
          <w:sz w:val="24"/>
        </w:rPr>
        <w:t xml:space="preserve">mali transferleri oluşturmaktadır </w:t>
      </w:r>
      <w:r>
        <w:rPr>
          <w:rFonts w:ascii="Times New Roman" w:hAnsi="Times New Roman" w:cs="Times New Roman"/>
          <w:sz w:val="24"/>
        </w:rPr>
        <w:t>(</w:t>
      </w:r>
      <w:proofErr w:type="spellStart"/>
      <w:r>
        <w:rPr>
          <w:rFonts w:ascii="Times New Roman" w:hAnsi="Times New Roman" w:cs="Times New Roman"/>
          <w:sz w:val="24"/>
        </w:rPr>
        <w:t>Kirmanoğlu</w:t>
      </w:r>
      <w:proofErr w:type="spellEnd"/>
      <w:r>
        <w:rPr>
          <w:rFonts w:ascii="Times New Roman" w:hAnsi="Times New Roman" w:cs="Times New Roman"/>
          <w:sz w:val="24"/>
        </w:rPr>
        <w:t>, 2007: 37-38). Değişen toplumsal ihtiyaçlar karşısında günümüze kadar olan süreçte kamu harcamalarının karşılıksız olarak sadece sosyal amaçla yapılabileceği düşüncesi önem kazanmış ve bu düşünce doğrultusunda devlete sosyal fonksiyonlar yüklenmiştir. Böylelikle toplumda ortaya çıkan sosyal sorunların (gelir dağılımında adaletin sağlanması, toplumda refah farklılıklarının azaltılması, asgari refah ve güvenliğin sağlanması vb. )</w:t>
      </w:r>
      <w:r w:rsidR="002F3097">
        <w:rPr>
          <w:rFonts w:ascii="Times New Roman" w:hAnsi="Times New Roman" w:cs="Times New Roman"/>
          <w:sz w:val="24"/>
        </w:rPr>
        <w:t xml:space="preserve"> </w:t>
      </w:r>
      <w:r>
        <w:rPr>
          <w:rFonts w:ascii="Times New Roman" w:hAnsi="Times New Roman" w:cs="Times New Roman"/>
          <w:sz w:val="24"/>
        </w:rPr>
        <w:t xml:space="preserve">giderilmesi amacıyla mali araçlar kullanılmaya başlanmıştır. Sosyal harcamalar hiçbir üretim faktörünün kullanılmadığı, sadece vergilerden elde edilen gelirin kişilere veya belirli gruplara dağıtılmasıyla milli gelirin yer değiştirdiği harcamalardır. </w:t>
      </w:r>
      <w:r w:rsidRPr="00975E4B">
        <w:rPr>
          <w:rFonts w:ascii="Times New Roman" w:hAnsi="Times New Roman" w:cs="Times New Roman"/>
          <w:sz w:val="24"/>
        </w:rPr>
        <w:t>Sos</w:t>
      </w:r>
      <w:r>
        <w:rPr>
          <w:rFonts w:ascii="Times New Roman" w:hAnsi="Times New Roman" w:cs="Times New Roman"/>
          <w:sz w:val="24"/>
        </w:rPr>
        <w:t xml:space="preserve">yal amaçlı transfer harcamaları </w:t>
      </w:r>
      <w:r>
        <w:rPr>
          <w:rFonts w:ascii="Times New Roman" w:hAnsi="Times New Roman" w:cs="Times New Roman"/>
          <w:sz w:val="24"/>
        </w:rPr>
        <w:lastRenderedPageBreak/>
        <w:t>olarak bilinen bu harcamalara;</w:t>
      </w:r>
      <w:r w:rsidRPr="00975E4B">
        <w:rPr>
          <w:rFonts w:ascii="Times New Roman" w:hAnsi="Times New Roman" w:cs="Times New Roman"/>
          <w:sz w:val="24"/>
        </w:rPr>
        <w:t xml:space="preserve"> </w:t>
      </w:r>
      <w:r w:rsidR="002F3097">
        <w:rPr>
          <w:rFonts w:ascii="Times New Roman" w:hAnsi="Times New Roman" w:cs="Times New Roman"/>
          <w:sz w:val="24"/>
        </w:rPr>
        <w:t>e</w:t>
      </w:r>
      <w:r w:rsidRPr="00376C44">
        <w:rPr>
          <w:rFonts w:ascii="Times New Roman" w:hAnsi="Times New Roman" w:cs="Times New Roman"/>
          <w:sz w:val="24"/>
        </w:rPr>
        <w:t xml:space="preserve">mekli maaşları, işsizlik ödemeleri gibi kişilere yapılan karşılıksız ayni veya nakdî ödemeler </w:t>
      </w:r>
      <w:r>
        <w:rPr>
          <w:rFonts w:ascii="Times New Roman" w:hAnsi="Times New Roman" w:cs="Times New Roman"/>
          <w:sz w:val="24"/>
        </w:rPr>
        <w:t xml:space="preserve">örnek olarak </w:t>
      </w:r>
      <w:r w:rsidR="00A660E4">
        <w:rPr>
          <w:rFonts w:ascii="Times New Roman" w:hAnsi="Times New Roman" w:cs="Times New Roman"/>
          <w:sz w:val="24"/>
        </w:rPr>
        <w:t>gösterilebilmektedir (</w:t>
      </w:r>
      <w:proofErr w:type="spellStart"/>
      <w:r w:rsidR="00A660E4">
        <w:rPr>
          <w:rFonts w:ascii="Times New Roman" w:hAnsi="Times New Roman" w:cs="Times New Roman"/>
          <w:sz w:val="24"/>
        </w:rPr>
        <w:t>Oktayer</w:t>
      </w:r>
      <w:proofErr w:type="spellEnd"/>
      <w:r w:rsidR="00A660E4">
        <w:rPr>
          <w:rFonts w:ascii="Times New Roman" w:hAnsi="Times New Roman" w:cs="Times New Roman"/>
          <w:sz w:val="24"/>
        </w:rPr>
        <w:t>, 2010</w:t>
      </w:r>
      <w:r>
        <w:rPr>
          <w:rFonts w:ascii="Times New Roman" w:hAnsi="Times New Roman" w:cs="Times New Roman"/>
          <w:sz w:val="24"/>
        </w:rPr>
        <w:t xml:space="preserve">:134). </w:t>
      </w:r>
    </w:p>
    <w:p w:rsidR="00A660E4" w:rsidRDefault="007B5E57" w:rsidP="007B5E57">
      <w:pPr>
        <w:jc w:val="both"/>
      </w:pPr>
      <w:r>
        <w:rPr>
          <w:rFonts w:ascii="Times New Roman" w:hAnsi="Times New Roman" w:cs="Times New Roman"/>
          <w:sz w:val="24"/>
        </w:rPr>
        <w:t xml:space="preserve">20. yüzyılın ikinci yarısından itibaren özellikle sosyal refah devleti anlayışının yaygınlaşmaya başlamasıyla birlikte devletler sosyal yardıma muhtaç durumda olan vatandaşlarına çeşitli tür ve niteliklerde sosyal harcamalar yapmaktadır. Sosyal devlet anlayışının bir gereği olarak yapılan bu harcamalar ile eğitim, sağlık veya diğer kamu hizmetlerine ulaşamayan veya diğer nedenlerle temel ihtiyaçları başta olmak üzere birçok ihtiyacını yerine getiremeyen birey veya gruplara yardım edilerek toplumsal huzur ve barışın temin edilmesi için uğraşılmaktadır. Söz konusu sosyal yardımların türü, niteliği, büyüklüğü gibi özellikleri ve kapsamı ülkelerden ülkelere farklılık göstermekle birlikte hemen hemen hepsi aynı amaç çerçevesinde birleşmektedir. </w:t>
      </w:r>
      <w:proofErr w:type="spellStart"/>
      <w:r w:rsidRPr="008C7854">
        <w:rPr>
          <w:rFonts w:ascii="Times New Roman" w:hAnsi="Times New Roman" w:cs="Times New Roman"/>
          <w:sz w:val="24"/>
        </w:rPr>
        <w:t>TÜİK’in</w:t>
      </w:r>
      <w:proofErr w:type="spellEnd"/>
      <w:r w:rsidRPr="008C7854">
        <w:rPr>
          <w:rFonts w:ascii="Times New Roman" w:hAnsi="Times New Roman" w:cs="Times New Roman"/>
          <w:sz w:val="24"/>
        </w:rPr>
        <w:t xml:space="preserve"> tanımında sosyal harcamalar kapsamına eğitim, sağlık harcamaları ve sosyal koruma harcamaları girmektedir. Eğitim ve sağlık harcamaları, genel yönetim kapsamındaki tüm kamu kurum ve kuruluşlarının harcamalarını kapsamaktadır. Sosyal yardım harcamaları ise emekli maaşları, sosyal yardım ve primsiz ödemeler ve doğrudan gelir desteği ödemeleri ve benzeri harcamalar</w:t>
      </w:r>
      <w:r>
        <w:rPr>
          <w:rFonts w:ascii="Times New Roman" w:hAnsi="Times New Roman" w:cs="Times New Roman"/>
          <w:sz w:val="24"/>
        </w:rPr>
        <w:t xml:space="preserve">dan </w:t>
      </w:r>
      <w:r w:rsidRPr="00A660E4">
        <w:rPr>
          <w:rFonts w:ascii="Times New Roman" w:hAnsi="Times New Roman" w:cs="Times New Roman"/>
          <w:sz w:val="24"/>
        </w:rPr>
        <w:t>oluşmaktadır (Arısoy vd</w:t>
      </w:r>
      <w:proofErr w:type="gramStart"/>
      <w:r w:rsidRPr="00A660E4">
        <w:rPr>
          <w:rFonts w:ascii="Times New Roman" w:hAnsi="Times New Roman" w:cs="Times New Roman"/>
          <w:sz w:val="24"/>
        </w:rPr>
        <w:t>.,</w:t>
      </w:r>
      <w:proofErr w:type="gramEnd"/>
      <w:r w:rsidRPr="00A660E4">
        <w:rPr>
          <w:rFonts w:ascii="Times New Roman" w:hAnsi="Times New Roman" w:cs="Times New Roman"/>
          <w:sz w:val="24"/>
        </w:rPr>
        <w:t xml:space="preserve"> 2010: 400).</w:t>
      </w:r>
      <w:r w:rsidRPr="00A660E4">
        <w:t xml:space="preserve"> </w:t>
      </w:r>
    </w:p>
    <w:p w:rsidR="007B5E57" w:rsidRPr="00363E9A" w:rsidRDefault="007B5E57" w:rsidP="007B5E57">
      <w:pPr>
        <w:jc w:val="both"/>
        <w:rPr>
          <w:rFonts w:ascii="Times New Roman" w:hAnsi="Times New Roman" w:cs="Times New Roman"/>
          <w:color w:val="0070C0"/>
          <w:sz w:val="24"/>
          <w:szCs w:val="24"/>
        </w:rPr>
      </w:pPr>
      <w:r>
        <w:rPr>
          <w:rFonts w:ascii="Times New Roman" w:hAnsi="Times New Roman" w:cs="Times New Roman"/>
          <w:sz w:val="24"/>
          <w:szCs w:val="24"/>
        </w:rPr>
        <w:t>OECD</w:t>
      </w:r>
      <w:r w:rsidRPr="008C7854">
        <w:rPr>
          <w:rFonts w:ascii="Times New Roman" w:hAnsi="Times New Roman" w:cs="Times New Roman"/>
          <w:sz w:val="24"/>
          <w:szCs w:val="24"/>
        </w:rPr>
        <w:t xml:space="preserve"> sosyal harcamalar </w:t>
      </w:r>
      <w:r>
        <w:rPr>
          <w:rFonts w:ascii="Times New Roman" w:hAnsi="Times New Roman" w:cs="Times New Roman"/>
          <w:sz w:val="24"/>
          <w:szCs w:val="24"/>
        </w:rPr>
        <w:t xml:space="preserve">kapsamını geniş tutmakta, bu tanıma </w:t>
      </w:r>
      <w:r w:rsidRPr="008C7854">
        <w:rPr>
          <w:rFonts w:ascii="Times New Roman" w:hAnsi="Times New Roman" w:cs="Times New Roman"/>
          <w:sz w:val="24"/>
          <w:szCs w:val="24"/>
        </w:rPr>
        <w:t>nakit ödemeler ve ayni mal ve hizmetlerin sunumu ile sosyal amaçlı uygulanan</w:t>
      </w:r>
      <w:r>
        <w:rPr>
          <w:rFonts w:ascii="Times New Roman" w:hAnsi="Times New Roman" w:cs="Times New Roman"/>
          <w:sz w:val="24"/>
          <w:szCs w:val="24"/>
        </w:rPr>
        <w:t xml:space="preserve"> vergi muafiyet ve istisnalarını</w:t>
      </w:r>
      <w:r w:rsidRPr="008C7854">
        <w:rPr>
          <w:rFonts w:ascii="Times New Roman" w:hAnsi="Times New Roman" w:cs="Times New Roman"/>
          <w:sz w:val="24"/>
          <w:szCs w:val="24"/>
        </w:rPr>
        <w:t xml:space="preserve"> da </w:t>
      </w:r>
      <w:proofErr w:type="gramStart"/>
      <w:r w:rsidRPr="008C7854">
        <w:rPr>
          <w:rFonts w:ascii="Times New Roman" w:hAnsi="Times New Roman" w:cs="Times New Roman"/>
          <w:sz w:val="24"/>
          <w:szCs w:val="24"/>
        </w:rPr>
        <w:t>dahil</w:t>
      </w:r>
      <w:proofErr w:type="gramEnd"/>
      <w:r w:rsidRPr="008C7854">
        <w:rPr>
          <w:rFonts w:ascii="Times New Roman" w:hAnsi="Times New Roman" w:cs="Times New Roman"/>
          <w:sz w:val="24"/>
          <w:szCs w:val="24"/>
        </w:rPr>
        <w:t xml:space="preserve"> etmektedir.</w:t>
      </w:r>
      <w:r>
        <w:rPr>
          <w:rFonts w:ascii="Times New Roman" w:hAnsi="Times New Roman" w:cs="Times New Roman"/>
          <w:sz w:val="24"/>
          <w:szCs w:val="24"/>
        </w:rPr>
        <w:t xml:space="preserve"> </w:t>
      </w:r>
      <w:r w:rsidRPr="00363E9A">
        <w:rPr>
          <w:rFonts w:ascii="Times New Roman" w:hAnsi="Times New Roman" w:cs="Times New Roman"/>
          <w:sz w:val="24"/>
          <w:szCs w:val="24"/>
        </w:rPr>
        <w:t xml:space="preserve">Buna </w:t>
      </w:r>
      <w:r>
        <w:rPr>
          <w:rFonts w:ascii="Times New Roman" w:hAnsi="Times New Roman" w:cs="Times New Roman"/>
          <w:sz w:val="24"/>
          <w:szCs w:val="24"/>
        </w:rPr>
        <w:t>göre sosyal harcamalar kapsamında</w:t>
      </w:r>
      <w:r w:rsidRPr="00363E9A">
        <w:rPr>
          <w:rFonts w:ascii="Times New Roman" w:hAnsi="Times New Roman" w:cs="Times New Roman"/>
          <w:sz w:val="24"/>
          <w:szCs w:val="24"/>
        </w:rPr>
        <w:t xml:space="preserve">, yaşlılık aylıkları, emekli aylıkları, </w:t>
      </w:r>
      <w:r w:rsidRPr="00363E9A">
        <w:rPr>
          <w:rFonts w:ascii="Times New Roman" w:hAnsi="Times New Roman" w:cs="Times New Roman"/>
          <w:sz w:val="24"/>
        </w:rPr>
        <w:t>yaşlılara evde bakım hizmetleri, yoksullara gelir desteği, gider desteği, işsizlik tazminatı, aile yardımı, çocuk bakım desteği, sakatlık yardımları, cenaze masraflarının karşılanması, iş göremezlik ödeneği, işçi hastalık ödemeleri ve mesleki yaralanmalar, iş kazası ödemeleri, eğitimi, istihdam teşvikleri, engellilerin istihdama yöneltilmesi gibi istidama yönelik yapılan harcamalar, iş yeri açma destekleri, kont kira yardımları ve diğer benzeri teşvik ve harcamalar yer almaktadır</w:t>
      </w:r>
      <w:r w:rsidR="00A660E4">
        <w:rPr>
          <w:rFonts w:ascii="Times New Roman" w:hAnsi="Times New Roman" w:cs="Times New Roman"/>
          <w:sz w:val="24"/>
        </w:rPr>
        <w:t xml:space="preserve"> </w:t>
      </w:r>
      <w:r>
        <w:rPr>
          <w:rFonts w:ascii="Times New Roman" w:hAnsi="Times New Roman" w:cs="Times New Roman"/>
          <w:sz w:val="24"/>
        </w:rPr>
        <w:t>(Küçükoğlu vd</w:t>
      </w:r>
      <w:proofErr w:type="gramStart"/>
      <w:r>
        <w:rPr>
          <w:rFonts w:ascii="Times New Roman" w:hAnsi="Times New Roman" w:cs="Times New Roman"/>
          <w:sz w:val="24"/>
        </w:rPr>
        <w:t>.,</w:t>
      </w:r>
      <w:proofErr w:type="gramEnd"/>
      <w:r>
        <w:rPr>
          <w:rFonts w:ascii="Times New Roman" w:hAnsi="Times New Roman" w:cs="Times New Roman"/>
          <w:sz w:val="24"/>
        </w:rPr>
        <w:t xml:space="preserve"> 2018: 451). Sosyal harcamalar her dönem önemli bir işlev görmekle birlikte özellikle salgın, savaş, afet gibi bireylerin devlete ve dolayısıyla sosyal yardımlara ihtiyaç duyduğu olağanüstü dönemlerde daha fazla bir önem kazanmaktadır. Nitekim bu tür dönemlerde yardıma muhtaç vatandaşların sayısı artmakta ve ihtiyaçlar genişlemektedir. Bu yardım ihtiyaçlarının bir gereği olarak da devletler sosyal devlet kimliği altında sosyal harcamalarda bulunarak vatandaşların ihtiyaçlarını gidermektedir. Şüphesiz bu harcamalar devletlerin ekonomik, mali, idari ve siyasi anlayışına/durumuna bağlı olarak değişiklik göstermektedir.</w:t>
      </w:r>
    </w:p>
    <w:p w:rsidR="00C309DA" w:rsidRPr="00B65B1E" w:rsidRDefault="005945B0" w:rsidP="00C309DA">
      <w:pPr>
        <w:jc w:val="both"/>
        <w:rPr>
          <w:rFonts w:ascii="Times New Roman" w:hAnsi="Times New Roman" w:cs="Times New Roman"/>
          <w:b/>
          <w:sz w:val="24"/>
        </w:rPr>
      </w:pPr>
      <w:r>
        <w:rPr>
          <w:rFonts w:ascii="Times New Roman" w:hAnsi="Times New Roman" w:cs="Times New Roman"/>
          <w:b/>
          <w:sz w:val="24"/>
        </w:rPr>
        <w:t>4</w:t>
      </w:r>
      <w:r w:rsidRPr="00B65B1E">
        <w:rPr>
          <w:rFonts w:ascii="Times New Roman" w:hAnsi="Times New Roman" w:cs="Times New Roman"/>
          <w:b/>
          <w:sz w:val="24"/>
        </w:rPr>
        <w:t>. COV</w:t>
      </w:r>
      <w:r w:rsidR="00F76013">
        <w:rPr>
          <w:rFonts w:ascii="Times New Roman" w:hAnsi="Times New Roman" w:cs="Times New Roman"/>
          <w:b/>
          <w:sz w:val="24"/>
        </w:rPr>
        <w:t>I</w:t>
      </w:r>
      <w:r w:rsidRPr="00B65B1E">
        <w:rPr>
          <w:rFonts w:ascii="Times New Roman" w:hAnsi="Times New Roman" w:cs="Times New Roman"/>
          <w:b/>
          <w:sz w:val="24"/>
        </w:rPr>
        <w:t xml:space="preserve">D-19 SÜRECİNDE </w:t>
      </w:r>
      <w:r>
        <w:rPr>
          <w:rFonts w:ascii="Times New Roman" w:hAnsi="Times New Roman" w:cs="Times New Roman"/>
          <w:b/>
          <w:sz w:val="24"/>
        </w:rPr>
        <w:t xml:space="preserve">TÜRKİYE VE DÜNYADA </w:t>
      </w:r>
      <w:r w:rsidRPr="00B65B1E">
        <w:rPr>
          <w:rFonts w:ascii="Times New Roman" w:hAnsi="Times New Roman" w:cs="Times New Roman"/>
          <w:b/>
          <w:sz w:val="24"/>
        </w:rPr>
        <w:t>SOSYAL HARCAMALAR</w:t>
      </w:r>
    </w:p>
    <w:p w:rsidR="0070452A" w:rsidRDefault="007B5E57" w:rsidP="00C309DA">
      <w:pPr>
        <w:jc w:val="both"/>
        <w:rPr>
          <w:rFonts w:ascii="Times New Roman" w:hAnsi="Times New Roman" w:cs="Times New Roman"/>
          <w:sz w:val="24"/>
        </w:rPr>
      </w:pPr>
      <w:r>
        <w:rPr>
          <w:rFonts w:ascii="Times New Roman" w:hAnsi="Times New Roman" w:cs="Times New Roman"/>
          <w:sz w:val="24"/>
        </w:rPr>
        <w:t xml:space="preserve">Temel olarak yapısı itibariyle bir sağlık sorunu olan </w:t>
      </w:r>
      <w:r w:rsidR="00AA6D19">
        <w:rPr>
          <w:rFonts w:ascii="Times New Roman" w:hAnsi="Times New Roman" w:cs="Times New Roman"/>
          <w:sz w:val="24"/>
        </w:rPr>
        <w:t>Covid</w:t>
      </w:r>
      <w:r>
        <w:rPr>
          <w:rFonts w:ascii="Times New Roman" w:hAnsi="Times New Roman" w:cs="Times New Roman"/>
          <w:sz w:val="24"/>
        </w:rPr>
        <w:t xml:space="preserve">-19 </w:t>
      </w:r>
      <w:r w:rsidR="00AA6D19">
        <w:rPr>
          <w:rFonts w:ascii="Times New Roman" w:hAnsi="Times New Roman" w:cs="Times New Roman"/>
          <w:sz w:val="24"/>
        </w:rPr>
        <w:t>h</w:t>
      </w:r>
      <w:r>
        <w:rPr>
          <w:rFonts w:ascii="Times New Roman" w:hAnsi="Times New Roman" w:cs="Times New Roman"/>
          <w:sz w:val="24"/>
        </w:rPr>
        <w:t xml:space="preserve">astalığı dünyada yaşanan teknolojik ilerlemeler ve bunun yansıması olarak iletişim ve ulaşım ağının gelişmesiyle birlikte etki alanını genişleterek birçok farklı alanlarda sorunların ortaya çıkmasına neden olmuştur. İlk başlarda tek bir eyalette görünen bu hastalık ölümcül derecede sağlık sorunlarına neden olması, küreselleşme ile birlikte tüm dünyaya yayılma ve bulaşma hızının artması ve tedavi aşısının bulunmasının zaman alması gibi nedenlerden dolayı salgın halini almıştır. Küresel çapta bir sağlık sorunu halini alan bu hastalıkla mücadelede dünya sağlık örgütü tavsiyeleri ile her ülke yasaklama ve kısıtlamalar gibi çeşitli tedbirler hayata geçirmiştir. Söz konusu tedbirler de başta ekonomik olmak üzere birçok alanda farklı sorunların oluşmasına neden olmuştur. Devletlerin uygulamış oldukları sokağa çıkma yasağı, </w:t>
      </w:r>
      <w:r w:rsidRPr="0071781F">
        <w:rPr>
          <w:rFonts w:ascii="Times New Roman" w:hAnsi="Times New Roman" w:cs="Times New Roman"/>
          <w:sz w:val="24"/>
        </w:rPr>
        <w:t xml:space="preserve">belirli sektörlerde faaliyet gösteren iş yerlerinin faaliyetlerine ara verilmesi, alış </w:t>
      </w:r>
      <w:r>
        <w:rPr>
          <w:rFonts w:ascii="Times New Roman" w:hAnsi="Times New Roman" w:cs="Times New Roman"/>
          <w:sz w:val="24"/>
        </w:rPr>
        <w:t xml:space="preserve">veriş merkezlerinin kapatılması, </w:t>
      </w:r>
      <w:r w:rsidRPr="0071781F">
        <w:rPr>
          <w:rFonts w:ascii="Times New Roman" w:hAnsi="Times New Roman" w:cs="Times New Roman"/>
          <w:sz w:val="24"/>
        </w:rPr>
        <w:t>seyahat kısıtlaması</w:t>
      </w:r>
      <w:r>
        <w:rPr>
          <w:rFonts w:ascii="Times New Roman" w:hAnsi="Times New Roman" w:cs="Times New Roman"/>
          <w:sz w:val="24"/>
        </w:rPr>
        <w:t xml:space="preserve">, turizm sektör faaliyetlerinin kısıtlanması, </w:t>
      </w:r>
      <w:r w:rsidRPr="0071781F">
        <w:rPr>
          <w:rFonts w:ascii="Times New Roman" w:hAnsi="Times New Roman" w:cs="Times New Roman"/>
          <w:sz w:val="24"/>
        </w:rPr>
        <w:t>eğlence merkezilerinin kapatılması,</w:t>
      </w:r>
      <w:r>
        <w:rPr>
          <w:rFonts w:ascii="Times New Roman" w:hAnsi="Times New Roman" w:cs="Times New Roman"/>
          <w:sz w:val="24"/>
        </w:rPr>
        <w:t xml:space="preserve"> spor müsabakalarına ara </w:t>
      </w:r>
      <w:r>
        <w:rPr>
          <w:rFonts w:ascii="Times New Roman" w:hAnsi="Times New Roman" w:cs="Times New Roman"/>
          <w:sz w:val="24"/>
        </w:rPr>
        <w:lastRenderedPageBreak/>
        <w:t xml:space="preserve">verilmesi gibi yasak ve kısıtlamalar ekonominin temel dinamiklerini sarsmıştır.  Devletler salgının neden olduğu sağlık sorunlarının yanı sıra özellikle bu dönemde ortaya çıkan </w:t>
      </w:r>
      <w:r w:rsidRPr="00363E9A">
        <w:rPr>
          <w:rFonts w:ascii="Times New Roman" w:hAnsi="Times New Roman" w:cs="Times New Roman"/>
          <w:sz w:val="24"/>
        </w:rPr>
        <w:t xml:space="preserve">işsizlik, </w:t>
      </w:r>
      <w:proofErr w:type="gramStart"/>
      <w:r w:rsidRPr="00363E9A">
        <w:rPr>
          <w:rFonts w:ascii="Times New Roman" w:hAnsi="Times New Roman" w:cs="Times New Roman"/>
          <w:sz w:val="24"/>
        </w:rPr>
        <w:t>resesyon</w:t>
      </w:r>
      <w:proofErr w:type="gramEnd"/>
      <w:r w:rsidRPr="00363E9A">
        <w:rPr>
          <w:rFonts w:ascii="Times New Roman" w:hAnsi="Times New Roman" w:cs="Times New Roman"/>
          <w:sz w:val="24"/>
        </w:rPr>
        <w:t xml:space="preserve">, deflasyon, </w:t>
      </w:r>
      <w:proofErr w:type="spellStart"/>
      <w:r w:rsidRPr="00363E9A">
        <w:rPr>
          <w:rFonts w:ascii="Times New Roman" w:hAnsi="Times New Roman" w:cs="Times New Roman"/>
          <w:sz w:val="24"/>
        </w:rPr>
        <w:t>slumpflasyon</w:t>
      </w:r>
      <w:proofErr w:type="spellEnd"/>
      <w:r w:rsidRPr="00363E9A">
        <w:rPr>
          <w:rFonts w:ascii="Times New Roman" w:hAnsi="Times New Roman" w:cs="Times New Roman"/>
          <w:sz w:val="24"/>
        </w:rPr>
        <w:t xml:space="preserve"> </w:t>
      </w:r>
      <w:r>
        <w:rPr>
          <w:rFonts w:ascii="Times New Roman" w:hAnsi="Times New Roman" w:cs="Times New Roman"/>
          <w:sz w:val="24"/>
        </w:rPr>
        <w:t xml:space="preserve">gibi </w:t>
      </w:r>
      <w:proofErr w:type="spellStart"/>
      <w:r>
        <w:rPr>
          <w:rFonts w:ascii="Times New Roman" w:hAnsi="Times New Roman" w:cs="Times New Roman"/>
          <w:sz w:val="24"/>
        </w:rPr>
        <w:t>konjonktürel</w:t>
      </w:r>
      <w:proofErr w:type="spellEnd"/>
      <w:r>
        <w:rPr>
          <w:rFonts w:ascii="Times New Roman" w:hAnsi="Times New Roman" w:cs="Times New Roman"/>
          <w:sz w:val="24"/>
        </w:rPr>
        <w:t xml:space="preserve"> dalgalanmalarla mücadele etmek, ekonomik sorunların derinleşmesini önlemek amacıyla tedbirlere başvurmaktadırlar. Bu tedbirlerin başından salgından en çok etkilen sektörlere doğru gerçekleştirilen teşvikler, ayni ve nakdi ya</w:t>
      </w:r>
      <w:r w:rsidR="00AA6D19">
        <w:rPr>
          <w:rFonts w:ascii="Times New Roman" w:hAnsi="Times New Roman" w:cs="Times New Roman"/>
          <w:sz w:val="24"/>
        </w:rPr>
        <w:t>rdımlar ve vergisel kolaylıklar</w:t>
      </w:r>
      <w:r>
        <w:rPr>
          <w:rFonts w:ascii="Times New Roman" w:hAnsi="Times New Roman" w:cs="Times New Roman"/>
          <w:color w:val="806000" w:themeColor="accent4" w:themeShade="80"/>
          <w:sz w:val="24"/>
          <w:szCs w:val="24"/>
        </w:rPr>
        <w:t xml:space="preserve"> </w:t>
      </w:r>
      <w:r>
        <w:rPr>
          <w:rFonts w:ascii="Times New Roman" w:hAnsi="Times New Roman" w:cs="Times New Roman"/>
          <w:sz w:val="24"/>
          <w:szCs w:val="24"/>
        </w:rPr>
        <w:t>(Sandalcı, 2020: 111)</w:t>
      </w:r>
      <w:r w:rsidRPr="000E1561">
        <w:rPr>
          <w:rFonts w:ascii="Times New Roman" w:hAnsi="Times New Roman" w:cs="Times New Roman"/>
          <w:sz w:val="24"/>
          <w:szCs w:val="24"/>
        </w:rPr>
        <w:t xml:space="preserve"> ile </w:t>
      </w:r>
      <w:r>
        <w:rPr>
          <w:rFonts w:ascii="Times New Roman" w:hAnsi="Times New Roman" w:cs="Times New Roman"/>
          <w:sz w:val="24"/>
          <w:szCs w:val="24"/>
        </w:rPr>
        <w:t>sosyal transfer harcamaları gelmektedir. Covid-19 olağanüstü döneminde zor duruma düşen, ekonomik ve mali olarak sıkıntılar yaşayan, devlete ihtiyaç duyan yardım ve bakıma muhtaç b</w:t>
      </w:r>
      <w:r w:rsidR="008559CE">
        <w:rPr>
          <w:rFonts w:ascii="Times New Roman" w:hAnsi="Times New Roman" w:cs="Times New Roman"/>
          <w:sz w:val="24"/>
          <w:szCs w:val="24"/>
        </w:rPr>
        <w:t>ireyler ile temel ihtiyaçlarını</w:t>
      </w:r>
      <w:r>
        <w:rPr>
          <w:rFonts w:ascii="Times New Roman" w:hAnsi="Times New Roman" w:cs="Times New Roman"/>
          <w:sz w:val="24"/>
          <w:szCs w:val="24"/>
        </w:rPr>
        <w:t xml:space="preserve"> karşılayamayan, eğitim ve sağlık hizmetlerine yeterince ulaşamayan toplumdaki diğer bireylere göre biraz daha geride kalan vatandaşlara sosyal harcamalar yapılarak sosyal devlet anlayışının gereği yerine getirilmeye çalışılmaktadır. Nitekim devletin var olma ve varlığını sürdürme gerekçelerinden en önemlisi vatandaşların ihtiyaçlarını gidererek toplumsal huzur ve dengenin sağlamasıdır. Bu amaç kapsamında Dünyada ve Türkiye’de Covid-19 sürecinde çeşitli sosyal harcamalara başvurulmuştur.</w:t>
      </w:r>
      <w:r>
        <w:rPr>
          <w:rFonts w:ascii="Times New Roman" w:hAnsi="Times New Roman" w:cs="Times New Roman"/>
          <w:sz w:val="24"/>
        </w:rPr>
        <w:t xml:space="preserve"> </w:t>
      </w:r>
      <w:r w:rsidR="0095399B">
        <w:rPr>
          <w:rFonts w:ascii="Times New Roman" w:hAnsi="Times New Roman" w:cs="Times New Roman"/>
          <w:sz w:val="24"/>
        </w:rPr>
        <w:t xml:space="preserve">Covid-19 döneminde yapılan sosyal harcamalara geçmeden önce bundan önceki dönemde kamunun yapmış olduğu sosyal harcamaların Gayrisafi Yurtiçi </w:t>
      </w:r>
      <w:proofErr w:type="gramStart"/>
      <w:r w:rsidR="0095399B">
        <w:rPr>
          <w:rFonts w:ascii="Times New Roman" w:hAnsi="Times New Roman" w:cs="Times New Roman"/>
          <w:sz w:val="24"/>
        </w:rPr>
        <w:t>Hasıla</w:t>
      </w:r>
      <w:proofErr w:type="gramEnd"/>
      <w:r w:rsidR="0095399B">
        <w:rPr>
          <w:rFonts w:ascii="Times New Roman" w:hAnsi="Times New Roman" w:cs="Times New Roman"/>
          <w:sz w:val="24"/>
        </w:rPr>
        <w:t xml:space="preserve"> İçindeki Payları </w:t>
      </w:r>
      <w:r w:rsidR="00B52659">
        <w:rPr>
          <w:rFonts w:ascii="Times New Roman" w:hAnsi="Times New Roman" w:cs="Times New Roman"/>
          <w:sz w:val="24"/>
        </w:rPr>
        <w:t>OECD</w:t>
      </w:r>
      <w:r w:rsidR="0049775E">
        <w:rPr>
          <w:rFonts w:ascii="Times New Roman" w:hAnsi="Times New Roman" w:cs="Times New Roman"/>
          <w:sz w:val="24"/>
        </w:rPr>
        <w:t xml:space="preserve"> ülkeler</w:t>
      </w:r>
      <w:r w:rsidR="0095399B">
        <w:rPr>
          <w:rFonts w:ascii="Times New Roman" w:hAnsi="Times New Roman" w:cs="Times New Roman"/>
          <w:sz w:val="24"/>
        </w:rPr>
        <w:t xml:space="preserve"> itibariyle Grafik 1’de gösterilmektedir.</w:t>
      </w:r>
    </w:p>
    <w:p w:rsidR="0095399B" w:rsidRPr="0070452A" w:rsidRDefault="0095399B" w:rsidP="00C309DA">
      <w:pPr>
        <w:jc w:val="both"/>
        <w:rPr>
          <w:rFonts w:ascii="Times New Roman" w:hAnsi="Times New Roman" w:cs="Times New Roman"/>
          <w:sz w:val="24"/>
        </w:rPr>
      </w:pPr>
      <w:r w:rsidRPr="00223951">
        <w:rPr>
          <w:rFonts w:ascii="Times New Roman" w:hAnsi="Times New Roman" w:cs="Times New Roman"/>
          <w:b/>
          <w:sz w:val="24"/>
        </w:rPr>
        <w:t>Grafik 1:</w:t>
      </w:r>
      <w:r>
        <w:rPr>
          <w:rFonts w:ascii="Times New Roman" w:hAnsi="Times New Roman" w:cs="Times New Roman"/>
          <w:sz w:val="24"/>
        </w:rPr>
        <w:t xml:space="preserve"> </w:t>
      </w:r>
      <w:r w:rsidR="00B52659">
        <w:rPr>
          <w:rFonts w:ascii="Times New Roman" w:hAnsi="Times New Roman" w:cs="Times New Roman"/>
          <w:sz w:val="24"/>
        </w:rPr>
        <w:t xml:space="preserve">OECD </w:t>
      </w:r>
      <w:r w:rsidR="00417906">
        <w:rPr>
          <w:rFonts w:ascii="Times New Roman" w:hAnsi="Times New Roman" w:cs="Times New Roman"/>
          <w:sz w:val="24"/>
        </w:rPr>
        <w:t>Ülkeleri</w:t>
      </w:r>
      <w:r>
        <w:rPr>
          <w:rFonts w:ascii="Times New Roman" w:hAnsi="Times New Roman" w:cs="Times New Roman"/>
          <w:sz w:val="24"/>
        </w:rPr>
        <w:t xml:space="preserve"> Kamu Sosyal Harcamaları (1990-2019)</w:t>
      </w:r>
      <w:r w:rsidR="00B52659" w:rsidRPr="00B52659">
        <w:t xml:space="preserve"> </w:t>
      </w:r>
      <w:r w:rsidR="00B52659" w:rsidRPr="00B52659">
        <w:rPr>
          <w:rFonts w:ascii="Times New Roman" w:hAnsi="Times New Roman" w:cs="Times New Roman"/>
          <w:sz w:val="24"/>
        </w:rPr>
        <w:t>(GSYH, %)</w:t>
      </w:r>
    </w:p>
    <w:p w:rsidR="0070452A" w:rsidRPr="0070452A" w:rsidRDefault="0095399B" w:rsidP="00C309DA">
      <w:pPr>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extent cx="5486400" cy="5227320"/>
            <wp:effectExtent l="0" t="0" r="0" b="1143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452A" w:rsidRPr="0049775E" w:rsidRDefault="00417906" w:rsidP="00C309DA">
      <w:pPr>
        <w:jc w:val="both"/>
        <w:rPr>
          <w:rFonts w:ascii="Times New Roman" w:hAnsi="Times New Roman" w:cs="Times New Roman"/>
          <w:sz w:val="20"/>
        </w:rPr>
      </w:pPr>
      <w:r w:rsidRPr="0049775E">
        <w:rPr>
          <w:rFonts w:ascii="Times New Roman" w:hAnsi="Times New Roman" w:cs="Times New Roman"/>
          <w:b/>
          <w:sz w:val="20"/>
        </w:rPr>
        <w:lastRenderedPageBreak/>
        <w:t>Kaynak:</w:t>
      </w:r>
      <w:r w:rsidRPr="0049775E">
        <w:rPr>
          <w:rFonts w:ascii="Times New Roman" w:hAnsi="Times New Roman" w:cs="Times New Roman"/>
          <w:sz w:val="20"/>
        </w:rPr>
        <w:t xml:space="preserve"> OECD, 2021</w:t>
      </w:r>
    </w:p>
    <w:p w:rsidR="00417906" w:rsidRDefault="00CA06FA" w:rsidP="00C309DA">
      <w:pPr>
        <w:jc w:val="both"/>
        <w:rPr>
          <w:rFonts w:ascii="Times New Roman" w:hAnsi="Times New Roman" w:cs="Times New Roman"/>
          <w:sz w:val="24"/>
        </w:rPr>
      </w:pPr>
      <w:r>
        <w:rPr>
          <w:rFonts w:ascii="Times New Roman" w:hAnsi="Times New Roman" w:cs="Times New Roman"/>
          <w:sz w:val="24"/>
        </w:rPr>
        <w:t>Grafik</w:t>
      </w:r>
      <w:r w:rsidR="00417906">
        <w:rPr>
          <w:rFonts w:ascii="Times New Roman" w:hAnsi="Times New Roman" w:cs="Times New Roman"/>
          <w:sz w:val="24"/>
        </w:rPr>
        <w:t xml:space="preserve"> 1’de yer alan OECD ülkelerinin 1990-2019 dönemi kamu sosyal harcamalarının gayrisafi yurtiçi </w:t>
      </w:r>
      <w:proofErr w:type="gramStart"/>
      <w:r w:rsidR="00417906">
        <w:rPr>
          <w:rFonts w:ascii="Times New Roman" w:hAnsi="Times New Roman" w:cs="Times New Roman"/>
          <w:sz w:val="24"/>
        </w:rPr>
        <w:t>hasıla</w:t>
      </w:r>
      <w:proofErr w:type="gramEnd"/>
      <w:r w:rsidR="00417906">
        <w:rPr>
          <w:rFonts w:ascii="Times New Roman" w:hAnsi="Times New Roman" w:cs="Times New Roman"/>
          <w:sz w:val="24"/>
        </w:rPr>
        <w:t xml:space="preserve"> içindeki oranlarına bakıldığında genel itibariyle dönem içinde bir yükseliş olduğu ortaya çıkmaktadır. Buna göre hemen hemen her ülke 1990 yılı verileri kıyaslandığında 2019 dönemine kadar kamu sosyal harcamalarında artışlar yaşanmıştır.</w:t>
      </w:r>
      <w:r>
        <w:rPr>
          <w:rFonts w:ascii="Times New Roman" w:hAnsi="Times New Roman" w:cs="Times New Roman"/>
          <w:sz w:val="24"/>
        </w:rPr>
        <w:t xml:space="preserve"> Söz konusu artış trendi Türkiye’de </w:t>
      </w:r>
      <w:r w:rsidR="00F523B4">
        <w:rPr>
          <w:rFonts w:ascii="Times New Roman" w:hAnsi="Times New Roman" w:cs="Times New Roman"/>
          <w:sz w:val="24"/>
        </w:rPr>
        <w:t xml:space="preserve">de </w:t>
      </w:r>
      <w:r>
        <w:rPr>
          <w:rFonts w:ascii="Times New Roman" w:hAnsi="Times New Roman" w:cs="Times New Roman"/>
          <w:sz w:val="24"/>
        </w:rPr>
        <w:t xml:space="preserve">görülmüş ve 1990 yılında gayrisafi yurtiçi hasılanın %3,8’i olan sosyal harcamalar 2019 dönemine gelindiğinde </w:t>
      </w:r>
      <w:r w:rsidR="00D6409F">
        <w:rPr>
          <w:rFonts w:ascii="Times New Roman" w:hAnsi="Times New Roman" w:cs="Times New Roman"/>
          <w:sz w:val="24"/>
        </w:rPr>
        <w:t>yaklaşık 3 kat artarak %12 seviyesine yükselmiştir. Bu durum OECD ülkeleri ortalaması için de geçerlidir. Buna göre 1990 yılında OECD ülkeleri ortalama sosyal harcamalar gayrisafi yurtiçi hasılanın %16,5’</w:t>
      </w:r>
      <w:r w:rsidR="00F523B4">
        <w:rPr>
          <w:rFonts w:ascii="Times New Roman" w:hAnsi="Times New Roman" w:cs="Times New Roman"/>
          <w:sz w:val="24"/>
        </w:rPr>
        <w:t xml:space="preserve">i </w:t>
      </w:r>
      <w:r w:rsidR="00D6409F">
        <w:rPr>
          <w:rFonts w:ascii="Times New Roman" w:hAnsi="Times New Roman" w:cs="Times New Roman"/>
          <w:sz w:val="24"/>
        </w:rPr>
        <w:t>iken, 2019 yılında 5 puanlık bir artışla %20’ye yükselmiştir. Bu da genel olarak OECD ülkelerinde 1990-2019 döneminde kamu sosyal harcamalarında bir artış trendi olduğunu göstermektedir.</w:t>
      </w:r>
    </w:p>
    <w:p w:rsidR="00D6409F" w:rsidRDefault="008F4E44" w:rsidP="00C309DA">
      <w:pPr>
        <w:jc w:val="both"/>
        <w:rPr>
          <w:rFonts w:ascii="Times New Roman" w:hAnsi="Times New Roman" w:cs="Times New Roman"/>
          <w:sz w:val="24"/>
        </w:rPr>
      </w:pPr>
      <w:r>
        <w:rPr>
          <w:rFonts w:ascii="Times New Roman" w:hAnsi="Times New Roman" w:cs="Times New Roman"/>
          <w:sz w:val="24"/>
        </w:rPr>
        <w:t>Covid-19 salgını nedeniyle bireylerin ekonomik ve mali yönden zor duruma düşmeleri neticesinde devlete</w:t>
      </w:r>
      <w:r w:rsidR="00F523B4">
        <w:rPr>
          <w:rFonts w:ascii="Times New Roman" w:hAnsi="Times New Roman" w:cs="Times New Roman"/>
          <w:sz w:val="24"/>
        </w:rPr>
        <w:t xml:space="preserve"> olan</w:t>
      </w:r>
      <w:r>
        <w:rPr>
          <w:rFonts w:ascii="Times New Roman" w:hAnsi="Times New Roman" w:cs="Times New Roman"/>
          <w:sz w:val="24"/>
        </w:rPr>
        <w:t xml:space="preserve"> ihtiyaçların artması ve sosyal devlet anlayışının bir gereği olarak ülkeler farklı tür ve kapsamda çeşitli sosyal koruma harcamaları ya</w:t>
      </w:r>
      <w:r w:rsidR="00223951">
        <w:rPr>
          <w:rFonts w:ascii="Times New Roman" w:hAnsi="Times New Roman" w:cs="Times New Roman"/>
          <w:sz w:val="24"/>
        </w:rPr>
        <w:t>p</w:t>
      </w:r>
      <w:r>
        <w:rPr>
          <w:rFonts w:ascii="Times New Roman" w:hAnsi="Times New Roman" w:cs="Times New Roman"/>
          <w:sz w:val="24"/>
        </w:rPr>
        <w:t>mıştır. To</w:t>
      </w:r>
      <w:r w:rsidR="00F523B4">
        <w:rPr>
          <w:rFonts w:ascii="Times New Roman" w:hAnsi="Times New Roman" w:cs="Times New Roman"/>
          <w:sz w:val="24"/>
        </w:rPr>
        <w:t xml:space="preserve">plumdaki gelir adaletsizliğini azaltmak </w:t>
      </w:r>
      <w:r>
        <w:rPr>
          <w:rFonts w:ascii="Times New Roman" w:hAnsi="Times New Roman" w:cs="Times New Roman"/>
          <w:sz w:val="24"/>
        </w:rPr>
        <w:t>ve toplumsal huzur ve güvenin tesisi amacı</w:t>
      </w:r>
      <w:r w:rsidR="00F523B4">
        <w:rPr>
          <w:rFonts w:ascii="Times New Roman" w:hAnsi="Times New Roman" w:cs="Times New Roman"/>
          <w:sz w:val="24"/>
        </w:rPr>
        <w:t>yla Covid-19 döneminde ülkeler tarafından</w:t>
      </w:r>
      <w:r>
        <w:rPr>
          <w:rFonts w:ascii="Times New Roman" w:hAnsi="Times New Roman" w:cs="Times New Roman"/>
          <w:sz w:val="24"/>
        </w:rPr>
        <w:t xml:space="preserve"> çeşitli gruplara yapılan sosyal har</w:t>
      </w:r>
      <w:r w:rsidR="00223951">
        <w:rPr>
          <w:rFonts w:ascii="Times New Roman" w:hAnsi="Times New Roman" w:cs="Times New Roman"/>
          <w:sz w:val="24"/>
        </w:rPr>
        <w:t>camalar genel itibariyle Tablo 3</w:t>
      </w:r>
      <w:r>
        <w:rPr>
          <w:rFonts w:ascii="Times New Roman" w:hAnsi="Times New Roman" w:cs="Times New Roman"/>
          <w:sz w:val="24"/>
        </w:rPr>
        <w:t>’de verilmektedir.</w:t>
      </w:r>
    </w:p>
    <w:p w:rsidR="008F4E44" w:rsidRDefault="00223951" w:rsidP="00C309DA">
      <w:pPr>
        <w:jc w:val="both"/>
        <w:rPr>
          <w:rFonts w:ascii="Times New Roman" w:hAnsi="Times New Roman" w:cs="Times New Roman"/>
          <w:sz w:val="24"/>
        </w:rPr>
      </w:pPr>
      <w:r>
        <w:rPr>
          <w:rFonts w:ascii="Times New Roman" w:hAnsi="Times New Roman" w:cs="Times New Roman"/>
          <w:b/>
          <w:sz w:val="24"/>
        </w:rPr>
        <w:t>Tablo 3</w:t>
      </w:r>
      <w:r w:rsidR="008F4E44">
        <w:rPr>
          <w:rFonts w:ascii="Times New Roman" w:hAnsi="Times New Roman" w:cs="Times New Roman"/>
          <w:sz w:val="24"/>
        </w:rPr>
        <w:t>: Ülkelerin Sosyal Koruma Tedbirleri/Harcamaları</w:t>
      </w:r>
    </w:p>
    <w:tbl>
      <w:tblPr>
        <w:tblStyle w:val="TabloKlavuzu"/>
        <w:tblW w:w="0" w:type="auto"/>
        <w:tblLook w:val="04A0" w:firstRow="1" w:lastRow="0" w:firstColumn="1" w:lastColumn="0" w:noHBand="0" w:noVBand="1"/>
      </w:tblPr>
      <w:tblGrid>
        <w:gridCol w:w="1352"/>
        <w:gridCol w:w="7710"/>
      </w:tblGrid>
      <w:tr w:rsidR="009C5175" w:rsidRPr="005D3B2C" w:rsidTr="005D3B2C">
        <w:tc>
          <w:tcPr>
            <w:tcW w:w="0" w:type="auto"/>
          </w:tcPr>
          <w:p w:rsidR="008F4E44" w:rsidRPr="005D3B2C" w:rsidRDefault="008F4E44" w:rsidP="00830A54">
            <w:pPr>
              <w:jc w:val="center"/>
              <w:rPr>
                <w:rFonts w:ascii="Times New Roman" w:hAnsi="Times New Roman" w:cs="Times New Roman"/>
                <w:b/>
                <w:sz w:val="20"/>
                <w:szCs w:val="20"/>
              </w:rPr>
            </w:pPr>
            <w:r w:rsidRPr="005D3B2C">
              <w:rPr>
                <w:rFonts w:ascii="Times New Roman" w:hAnsi="Times New Roman" w:cs="Times New Roman"/>
                <w:b/>
                <w:sz w:val="20"/>
                <w:szCs w:val="20"/>
              </w:rPr>
              <w:t>Ülke</w:t>
            </w:r>
          </w:p>
        </w:tc>
        <w:tc>
          <w:tcPr>
            <w:tcW w:w="0" w:type="auto"/>
          </w:tcPr>
          <w:p w:rsidR="008F4E44" w:rsidRPr="005D3B2C" w:rsidRDefault="008F4E44" w:rsidP="00830A54">
            <w:pPr>
              <w:jc w:val="center"/>
              <w:rPr>
                <w:rFonts w:ascii="Times New Roman" w:hAnsi="Times New Roman" w:cs="Times New Roman"/>
                <w:b/>
                <w:sz w:val="20"/>
                <w:szCs w:val="20"/>
              </w:rPr>
            </w:pPr>
            <w:r w:rsidRPr="005D3B2C">
              <w:rPr>
                <w:rFonts w:ascii="Times New Roman" w:hAnsi="Times New Roman" w:cs="Times New Roman"/>
                <w:b/>
                <w:sz w:val="20"/>
                <w:szCs w:val="20"/>
              </w:rPr>
              <w:t>Alınan Tedbir</w:t>
            </w:r>
          </w:p>
        </w:tc>
      </w:tr>
      <w:tr w:rsidR="009C5175" w:rsidRPr="005D3B2C" w:rsidTr="005D3B2C">
        <w:tc>
          <w:tcPr>
            <w:tcW w:w="0" w:type="auto"/>
          </w:tcPr>
          <w:p w:rsidR="008F4E44" w:rsidRPr="005D3B2C" w:rsidRDefault="008F4E44" w:rsidP="00C309DA">
            <w:pPr>
              <w:jc w:val="both"/>
              <w:rPr>
                <w:rFonts w:ascii="Times New Roman" w:hAnsi="Times New Roman" w:cs="Times New Roman"/>
                <w:sz w:val="20"/>
                <w:szCs w:val="20"/>
              </w:rPr>
            </w:pPr>
            <w:r w:rsidRPr="005D3B2C">
              <w:rPr>
                <w:rFonts w:ascii="Times New Roman" w:hAnsi="Times New Roman" w:cs="Times New Roman"/>
                <w:sz w:val="20"/>
                <w:szCs w:val="20"/>
              </w:rPr>
              <w:t>İspanya</w:t>
            </w:r>
          </w:p>
        </w:tc>
        <w:tc>
          <w:tcPr>
            <w:tcW w:w="0" w:type="auto"/>
          </w:tcPr>
          <w:p w:rsidR="007B5E57" w:rsidRPr="005D3B2C" w:rsidRDefault="007B5E57" w:rsidP="007B5E57">
            <w:pPr>
              <w:jc w:val="both"/>
              <w:rPr>
                <w:rFonts w:ascii="Times New Roman" w:hAnsi="Times New Roman" w:cs="Times New Roman"/>
                <w:sz w:val="20"/>
                <w:szCs w:val="20"/>
              </w:rPr>
            </w:pPr>
            <w:r w:rsidRPr="005D3B2C">
              <w:rPr>
                <w:rFonts w:ascii="Times New Roman" w:hAnsi="Times New Roman" w:cs="Times New Roman"/>
                <w:sz w:val="20"/>
                <w:szCs w:val="20"/>
              </w:rPr>
              <w:t xml:space="preserve">Evi olmayanlar için güvenli bölgeler oluşturularak, buralarda bakım, beslenme ve </w:t>
            </w:r>
            <w:proofErr w:type="gramStart"/>
            <w:r w:rsidRPr="005D3B2C">
              <w:rPr>
                <w:rFonts w:ascii="Times New Roman" w:hAnsi="Times New Roman" w:cs="Times New Roman"/>
                <w:sz w:val="20"/>
                <w:szCs w:val="20"/>
              </w:rPr>
              <w:t>hijyenin</w:t>
            </w:r>
            <w:proofErr w:type="gramEnd"/>
            <w:r w:rsidRPr="005D3B2C">
              <w:rPr>
                <w:rFonts w:ascii="Times New Roman" w:hAnsi="Times New Roman" w:cs="Times New Roman"/>
                <w:sz w:val="20"/>
                <w:szCs w:val="20"/>
              </w:rPr>
              <w:t xml:space="preserve"> tesis edilmesi</w:t>
            </w:r>
          </w:p>
          <w:p w:rsidR="00CA6386" w:rsidRPr="005D3B2C" w:rsidRDefault="00223951" w:rsidP="00223951">
            <w:pPr>
              <w:jc w:val="both"/>
              <w:rPr>
                <w:rFonts w:ascii="Times New Roman" w:hAnsi="Times New Roman" w:cs="Times New Roman"/>
                <w:color w:val="0070C0"/>
                <w:sz w:val="20"/>
                <w:szCs w:val="20"/>
              </w:rPr>
            </w:pPr>
            <w:proofErr w:type="spellStart"/>
            <w:r w:rsidRPr="005D3B2C">
              <w:rPr>
                <w:rFonts w:ascii="Times New Roman" w:hAnsi="Times New Roman" w:cs="Times New Roman"/>
                <w:sz w:val="20"/>
                <w:szCs w:val="20"/>
              </w:rPr>
              <w:t>Koronavirüs</w:t>
            </w:r>
            <w:proofErr w:type="spellEnd"/>
            <w:r w:rsidRPr="005D3B2C">
              <w:rPr>
                <w:rFonts w:ascii="Times New Roman" w:hAnsi="Times New Roman" w:cs="Times New Roman"/>
                <w:sz w:val="20"/>
                <w:szCs w:val="20"/>
              </w:rPr>
              <w:t xml:space="preserve"> nedeniyle yardıma muhtaç olan kiracıların kira ödemleri</w:t>
            </w:r>
            <w:r w:rsidR="00D62DB0" w:rsidRPr="005D3B2C">
              <w:rPr>
                <w:rFonts w:ascii="Times New Roman" w:hAnsi="Times New Roman" w:cs="Times New Roman"/>
                <w:sz w:val="20"/>
                <w:szCs w:val="20"/>
              </w:rPr>
              <w:t>nin</w:t>
            </w:r>
            <w:r w:rsidRPr="005D3B2C">
              <w:rPr>
                <w:rFonts w:ascii="Times New Roman" w:hAnsi="Times New Roman" w:cs="Times New Roman"/>
                <w:sz w:val="20"/>
                <w:szCs w:val="20"/>
              </w:rPr>
              <w:t xml:space="preserve"> ertelenmesi </w:t>
            </w:r>
          </w:p>
        </w:tc>
      </w:tr>
      <w:tr w:rsidR="009C5175" w:rsidRPr="005D3B2C" w:rsidTr="005D3B2C">
        <w:tc>
          <w:tcPr>
            <w:tcW w:w="0" w:type="auto"/>
          </w:tcPr>
          <w:p w:rsidR="008F4E44" w:rsidRPr="005D3B2C" w:rsidRDefault="008F4E44" w:rsidP="00C309DA">
            <w:pPr>
              <w:jc w:val="both"/>
              <w:rPr>
                <w:rFonts w:ascii="Times New Roman" w:hAnsi="Times New Roman" w:cs="Times New Roman"/>
                <w:sz w:val="20"/>
                <w:szCs w:val="20"/>
              </w:rPr>
            </w:pPr>
            <w:r w:rsidRPr="005D3B2C">
              <w:rPr>
                <w:rFonts w:ascii="Times New Roman" w:hAnsi="Times New Roman" w:cs="Times New Roman"/>
                <w:sz w:val="20"/>
                <w:szCs w:val="20"/>
              </w:rPr>
              <w:t>Şili</w:t>
            </w:r>
          </w:p>
        </w:tc>
        <w:tc>
          <w:tcPr>
            <w:tcW w:w="0" w:type="auto"/>
          </w:tcPr>
          <w:p w:rsidR="007B5E57" w:rsidRPr="005D3B2C" w:rsidRDefault="007B5E57" w:rsidP="007B5E57">
            <w:pPr>
              <w:jc w:val="both"/>
              <w:rPr>
                <w:rFonts w:ascii="Times New Roman" w:hAnsi="Times New Roman" w:cs="Times New Roman"/>
                <w:sz w:val="20"/>
                <w:szCs w:val="20"/>
              </w:rPr>
            </w:pPr>
            <w:r w:rsidRPr="005D3B2C">
              <w:rPr>
                <w:rFonts w:ascii="Times New Roman" w:hAnsi="Times New Roman" w:cs="Times New Roman"/>
                <w:sz w:val="20"/>
                <w:szCs w:val="20"/>
              </w:rPr>
              <w:t xml:space="preserve">Özel sağlık </w:t>
            </w:r>
            <w:r w:rsidR="00FA51B8">
              <w:rPr>
                <w:rFonts w:ascii="Times New Roman" w:hAnsi="Times New Roman" w:cs="Times New Roman"/>
                <w:sz w:val="20"/>
                <w:szCs w:val="20"/>
              </w:rPr>
              <w:t>sigortası</w:t>
            </w:r>
            <w:r w:rsidRPr="005D3B2C">
              <w:rPr>
                <w:rFonts w:ascii="Times New Roman" w:hAnsi="Times New Roman" w:cs="Times New Roman"/>
                <w:sz w:val="20"/>
                <w:szCs w:val="20"/>
              </w:rPr>
              <w:t xml:space="preserve"> fiyat artışlarının ertelenmesi</w:t>
            </w:r>
          </w:p>
          <w:p w:rsidR="008F4E44" w:rsidRPr="005D3B2C" w:rsidRDefault="007B5E57" w:rsidP="007B5E57">
            <w:pPr>
              <w:jc w:val="both"/>
              <w:rPr>
                <w:rFonts w:ascii="Times New Roman" w:hAnsi="Times New Roman" w:cs="Times New Roman"/>
                <w:color w:val="0070C0"/>
                <w:sz w:val="20"/>
                <w:szCs w:val="20"/>
              </w:rPr>
            </w:pPr>
            <w:r w:rsidRPr="005D3B2C">
              <w:rPr>
                <w:rFonts w:ascii="Times New Roman" w:hAnsi="Times New Roman" w:cs="Times New Roman"/>
                <w:sz w:val="20"/>
                <w:szCs w:val="20"/>
              </w:rPr>
              <w:t>Salgın nedeniyle işsiz kalan yaklaşık 2 milyon kişiye muhtaçlık tespiti yapılarak aile başına 50 bin peso yardım yapılması</w:t>
            </w:r>
          </w:p>
        </w:tc>
      </w:tr>
      <w:tr w:rsidR="009C5175" w:rsidRPr="005D3B2C" w:rsidTr="005D3B2C">
        <w:tc>
          <w:tcPr>
            <w:tcW w:w="0" w:type="auto"/>
          </w:tcPr>
          <w:p w:rsidR="008F4E44" w:rsidRPr="005D3B2C" w:rsidRDefault="008F4E44" w:rsidP="00C309DA">
            <w:pPr>
              <w:jc w:val="both"/>
              <w:rPr>
                <w:rFonts w:ascii="Times New Roman" w:hAnsi="Times New Roman" w:cs="Times New Roman"/>
                <w:sz w:val="20"/>
                <w:szCs w:val="20"/>
              </w:rPr>
            </w:pPr>
            <w:r w:rsidRPr="005D3B2C">
              <w:rPr>
                <w:rFonts w:ascii="Times New Roman" w:hAnsi="Times New Roman" w:cs="Times New Roman"/>
                <w:sz w:val="20"/>
                <w:szCs w:val="20"/>
              </w:rPr>
              <w:t>İtalya</w:t>
            </w:r>
          </w:p>
        </w:tc>
        <w:tc>
          <w:tcPr>
            <w:tcW w:w="0" w:type="auto"/>
          </w:tcPr>
          <w:p w:rsidR="008F4E44" w:rsidRPr="005D3B2C" w:rsidRDefault="008F4E44" w:rsidP="00C309DA">
            <w:pPr>
              <w:jc w:val="both"/>
              <w:rPr>
                <w:rFonts w:ascii="Times New Roman" w:hAnsi="Times New Roman" w:cs="Times New Roman"/>
                <w:sz w:val="20"/>
                <w:szCs w:val="20"/>
              </w:rPr>
            </w:pPr>
            <w:r w:rsidRPr="005D3B2C">
              <w:rPr>
                <w:rFonts w:ascii="Times New Roman" w:hAnsi="Times New Roman" w:cs="Times New Roman"/>
                <w:sz w:val="20"/>
                <w:szCs w:val="20"/>
              </w:rPr>
              <w:t>Sağlık harcamalarının (yoğun bakım üniteleri, vb.) artırılması</w:t>
            </w:r>
          </w:p>
          <w:p w:rsidR="00594AE1" w:rsidRPr="005D3B2C" w:rsidRDefault="00D62DB0" w:rsidP="00D62DB0">
            <w:pPr>
              <w:jc w:val="both"/>
              <w:rPr>
                <w:rFonts w:ascii="Times New Roman" w:hAnsi="Times New Roman" w:cs="Times New Roman"/>
                <w:color w:val="0070C0"/>
                <w:sz w:val="20"/>
                <w:szCs w:val="20"/>
              </w:rPr>
            </w:pPr>
            <w:r w:rsidRPr="005D3B2C">
              <w:rPr>
                <w:rFonts w:ascii="Times New Roman" w:hAnsi="Times New Roman" w:cs="Times New Roman"/>
                <w:sz w:val="20"/>
                <w:szCs w:val="20"/>
              </w:rPr>
              <w:t xml:space="preserve">Gelir düzeyi düşük ailelere </w:t>
            </w:r>
            <w:r w:rsidR="00594AE1" w:rsidRPr="005D3B2C">
              <w:rPr>
                <w:rFonts w:ascii="Times New Roman" w:hAnsi="Times New Roman" w:cs="Times New Roman"/>
                <w:sz w:val="20"/>
                <w:szCs w:val="20"/>
              </w:rPr>
              <w:t>400 avrodan başlamak üzere iki yeni Ac</w:t>
            </w:r>
            <w:r w:rsidRPr="005D3B2C">
              <w:rPr>
                <w:rFonts w:ascii="Times New Roman" w:hAnsi="Times New Roman" w:cs="Times New Roman"/>
                <w:sz w:val="20"/>
                <w:szCs w:val="20"/>
              </w:rPr>
              <w:t>il Gelir (KEP) taksiti ödenmesi</w:t>
            </w:r>
          </w:p>
        </w:tc>
      </w:tr>
      <w:tr w:rsidR="009C5175" w:rsidRPr="005D3B2C" w:rsidTr="005D3B2C">
        <w:tc>
          <w:tcPr>
            <w:tcW w:w="0" w:type="auto"/>
          </w:tcPr>
          <w:p w:rsidR="008F4E44" w:rsidRPr="005D3B2C" w:rsidRDefault="008F4E44" w:rsidP="00C309DA">
            <w:pPr>
              <w:jc w:val="both"/>
              <w:rPr>
                <w:rFonts w:ascii="Times New Roman" w:hAnsi="Times New Roman" w:cs="Times New Roman"/>
                <w:sz w:val="20"/>
                <w:szCs w:val="20"/>
              </w:rPr>
            </w:pPr>
            <w:r w:rsidRPr="005D3B2C">
              <w:rPr>
                <w:rFonts w:ascii="Times New Roman" w:hAnsi="Times New Roman" w:cs="Times New Roman"/>
                <w:sz w:val="20"/>
                <w:szCs w:val="20"/>
              </w:rPr>
              <w:t>Çin</w:t>
            </w:r>
          </w:p>
        </w:tc>
        <w:tc>
          <w:tcPr>
            <w:tcW w:w="0" w:type="auto"/>
          </w:tcPr>
          <w:p w:rsidR="007B5E57" w:rsidRPr="005D3B2C" w:rsidRDefault="007B5E57" w:rsidP="007B5E57">
            <w:pPr>
              <w:jc w:val="both"/>
              <w:rPr>
                <w:rFonts w:ascii="Times New Roman" w:hAnsi="Times New Roman" w:cs="Times New Roman"/>
                <w:sz w:val="20"/>
                <w:szCs w:val="20"/>
              </w:rPr>
            </w:pPr>
            <w:r w:rsidRPr="005D3B2C">
              <w:rPr>
                <w:rFonts w:ascii="Times New Roman" w:hAnsi="Times New Roman" w:cs="Times New Roman"/>
                <w:sz w:val="20"/>
                <w:szCs w:val="20"/>
              </w:rPr>
              <w:t>Covid-19 pozitif kişilerin tedavi için yaptıkları masrafların geri ödenmesi</w:t>
            </w:r>
          </w:p>
          <w:p w:rsidR="00FE7A35" w:rsidRPr="005D3B2C" w:rsidRDefault="007B5E57" w:rsidP="00C309DA">
            <w:pPr>
              <w:jc w:val="both"/>
              <w:rPr>
                <w:rFonts w:ascii="Times New Roman" w:hAnsi="Times New Roman" w:cs="Times New Roman"/>
                <w:color w:val="0070C0"/>
                <w:sz w:val="20"/>
                <w:szCs w:val="20"/>
              </w:rPr>
            </w:pPr>
            <w:r w:rsidRPr="005D3B2C">
              <w:rPr>
                <w:rFonts w:ascii="Times New Roman" w:hAnsi="Times New Roman" w:cs="Times New Roman"/>
                <w:sz w:val="20"/>
                <w:szCs w:val="20"/>
              </w:rPr>
              <w:t>İ</w:t>
            </w:r>
            <w:r w:rsidR="00FE7A35" w:rsidRPr="005D3B2C">
              <w:rPr>
                <w:rFonts w:ascii="Times New Roman" w:hAnsi="Times New Roman" w:cs="Times New Roman"/>
                <w:sz w:val="20"/>
                <w:szCs w:val="20"/>
              </w:rPr>
              <w:t>şsizlik sigortası prim oranlarının aşamalı olarak düşürülmesi ve iş kazası sigortası 30 Nisan 2022'ye k</w:t>
            </w:r>
            <w:r w:rsidR="00D62DB0" w:rsidRPr="005D3B2C">
              <w:rPr>
                <w:rFonts w:ascii="Times New Roman" w:hAnsi="Times New Roman" w:cs="Times New Roman"/>
                <w:sz w:val="20"/>
                <w:szCs w:val="20"/>
              </w:rPr>
              <w:t>adar bir yıl daha uzatılması</w:t>
            </w:r>
          </w:p>
        </w:tc>
      </w:tr>
      <w:tr w:rsidR="009C5175" w:rsidRPr="005D3B2C" w:rsidTr="005D3B2C">
        <w:tc>
          <w:tcPr>
            <w:tcW w:w="0" w:type="auto"/>
          </w:tcPr>
          <w:p w:rsidR="008F4E44" w:rsidRPr="005D3B2C" w:rsidRDefault="00013927" w:rsidP="00C309DA">
            <w:pPr>
              <w:jc w:val="both"/>
              <w:rPr>
                <w:rFonts w:ascii="Times New Roman" w:hAnsi="Times New Roman" w:cs="Times New Roman"/>
                <w:sz w:val="20"/>
                <w:szCs w:val="20"/>
              </w:rPr>
            </w:pPr>
            <w:r w:rsidRPr="005D3B2C">
              <w:rPr>
                <w:rFonts w:ascii="Times New Roman" w:hAnsi="Times New Roman" w:cs="Times New Roman"/>
                <w:sz w:val="20"/>
                <w:szCs w:val="20"/>
              </w:rPr>
              <w:t>Arjantin</w:t>
            </w:r>
          </w:p>
        </w:tc>
        <w:tc>
          <w:tcPr>
            <w:tcW w:w="0" w:type="auto"/>
          </w:tcPr>
          <w:p w:rsidR="005975DE" w:rsidRPr="005D3B2C" w:rsidRDefault="00D62DB0" w:rsidP="00C309DA">
            <w:pPr>
              <w:jc w:val="both"/>
              <w:rPr>
                <w:rFonts w:ascii="Times New Roman" w:hAnsi="Times New Roman" w:cs="Times New Roman"/>
                <w:sz w:val="20"/>
                <w:szCs w:val="20"/>
              </w:rPr>
            </w:pPr>
            <w:r w:rsidRPr="005D3B2C">
              <w:rPr>
                <w:rFonts w:ascii="Times New Roman" w:hAnsi="Times New Roman" w:cs="Times New Roman"/>
                <w:sz w:val="20"/>
                <w:szCs w:val="20"/>
              </w:rPr>
              <w:t>E</w:t>
            </w:r>
            <w:r w:rsidR="00013927" w:rsidRPr="005D3B2C">
              <w:rPr>
                <w:rFonts w:ascii="Times New Roman" w:hAnsi="Times New Roman" w:cs="Times New Roman"/>
                <w:sz w:val="20"/>
                <w:szCs w:val="20"/>
              </w:rPr>
              <w:t>mekliler için ilaç fiyatlarının 31 Ekim</w:t>
            </w:r>
            <w:r w:rsidRPr="005D3B2C">
              <w:rPr>
                <w:rFonts w:ascii="Times New Roman" w:hAnsi="Times New Roman" w:cs="Times New Roman"/>
                <w:sz w:val="20"/>
                <w:szCs w:val="20"/>
              </w:rPr>
              <w:t>'e kadar dondurulması</w:t>
            </w:r>
          </w:p>
          <w:p w:rsidR="005975DE" w:rsidRPr="005D3B2C" w:rsidRDefault="005975DE" w:rsidP="00D62DB0">
            <w:pPr>
              <w:jc w:val="both"/>
              <w:rPr>
                <w:rFonts w:ascii="Times New Roman" w:hAnsi="Times New Roman" w:cs="Times New Roman"/>
                <w:sz w:val="20"/>
                <w:szCs w:val="20"/>
              </w:rPr>
            </w:pPr>
            <w:r w:rsidRPr="005D3B2C">
              <w:rPr>
                <w:rFonts w:ascii="Times New Roman" w:hAnsi="Times New Roman" w:cs="Times New Roman"/>
                <w:sz w:val="20"/>
                <w:szCs w:val="20"/>
              </w:rPr>
              <w:t xml:space="preserve">Elektrik enerjisi, gaz, şebeke ve akan su, sabit veya mobil telefon ve internet ve kablolu </w:t>
            </w:r>
            <w:proofErr w:type="spellStart"/>
            <w:r w:rsidRPr="005D3B2C">
              <w:rPr>
                <w:rFonts w:ascii="Times New Roman" w:hAnsi="Times New Roman" w:cs="Times New Roman"/>
                <w:sz w:val="20"/>
                <w:szCs w:val="20"/>
              </w:rPr>
              <w:t>tv</w:t>
            </w:r>
            <w:proofErr w:type="spellEnd"/>
            <w:r w:rsidRPr="005D3B2C">
              <w:rPr>
                <w:rFonts w:ascii="Times New Roman" w:hAnsi="Times New Roman" w:cs="Times New Roman"/>
                <w:sz w:val="20"/>
                <w:szCs w:val="20"/>
              </w:rPr>
              <w:t xml:space="preserve"> hizmetlerini radyoelektrik veya uydu bağlantısı ile sağlayan firmalar, </w:t>
            </w:r>
            <w:r w:rsidR="00D62DB0" w:rsidRPr="005D3B2C">
              <w:rPr>
                <w:rFonts w:ascii="Times New Roman" w:hAnsi="Times New Roman" w:cs="Times New Roman"/>
                <w:sz w:val="20"/>
                <w:szCs w:val="20"/>
              </w:rPr>
              <w:t xml:space="preserve">fatura ödemediği takdirde </w:t>
            </w:r>
            <w:r w:rsidRPr="005D3B2C">
              <w:rPr>
                <w:rFonts w:ascii="Times New Roman" w:hAnsi="Times New Roman" w:cs="Times New Roman"/>
                <w:sz w:val="20"/>
                <w:szCs w:val="20"/>
              </w:rPr>
              <w:t xml:space="preserve">ilgili kullanıcıların hizmetlerinin </w:t>
            </w:r>
            <w:r w:rsidR="00D62DB0" w:rsidRPr="005D3B2C">
              <w:rPr>
                <w:rFonts w:ascii="Times New Roman" w:hAnsi="Times New Roman" w:cs="Times New Roman"/>
                <w:sz w:val="20"/>
                <w:szCs w:val="20"/>
              </w:rPr>
              <w:t>kesilmemesi</w:t>
            </w:r>
          </w:p>
        </w:tc>
      </w:tr>
      <w:tr w:rsidR="009C5175" w:rsidRPr="005D3B2C" w:rsidTr="005D3B2C">
        <w:tc>
          <w:tcPr>
            <w:tcW w:w="0" w:type="auto"/>
          </w:tcPr>
          <w:p w:rsidR="008F4E44" w:rsidRPr="005D3B2C" w:rsidRDefault="008F4E44" w:rsidP="00C309DA">
            <w:pPr>
              <w:jc w:val="both"/>
              <w:rPr>
                <w:rFonts w:ascii="Times New Roman" w:hAnsi="Times New Roman" w:cs="Times New Roman"/>
                <w:sz w:val="20"/>
                <w:szCs w:val="20"/>
              </w:rPr>
            </w:pPr>
            <w:r w:rsidRPr="005D3B2C">
              <w:rPr>
                <w:rFonts w:ascii="Times New Roman" w:hAnsi="Times New Roman" w:cs="Times New Roman"/>
                <w:sz w:val="20"/>
                <w:szCs w:val="20"/>
              </w:rPr>
              <w:t>ABD</w:t>
            </w:r>
          </w:p>
        </w:tc>
        <w:tc>
          <w:tcPr>
            <w:tcW w:w="0" w:type="auto"/>
          </w:tcPr>
          <w:p w:rsidR="007B5E57" w:rsidRPr="005D3B2C" w:rsidRDefault="007B5E57" w:rsidP="007B5E57">
            <w:pPr>
              <w:jc w:val="both"/>
              <w:rPr>
                <w:rFonts w:ascii="Times New Roman" w:hAnsi="Times New Roman" w:cs="Times New Roman"/>
                <w:sz w:val="20"/>
                <w:szCs w:val="20"/>
              </w:rPr>
            </w:pPr>
            <w:r w:rsidRPr="005D3B2C">
              <w:rPr>
                <w:rFonts w:ascii="Times New Roman" w:hAnsi="Times New Roman" w:cs="Times New Roman"/>
                <w:sz w:val="20"/>
                <w:szCs w:val="20"/>
              </w:rPr>
              <w:t>Sağlık sigortası olmayanlarla gazilerin Covid-19 harcamalarının (testlerine/hizmet vb.)  geri ödenmesi</w:t>
            </w:r>
          </w:p>
          <w:p w:rsidR="008F4E44" w:rsidRPr="005D3B2C" w:rsidRDefault="008F4E44" w:rsidP="008F4E44">
            <w:pPr>
              <w:jc w:val="both"/>
              <w:rPr>
                <w:rFonts w:ascii="Times New Roman" w:hAnsi="Times New Roman" w:cs="Times New Roman"/>
                <w:sz w:val="20"/>
                <w:szCs w:val="20"/>
              </w:rPr>
            </w:pPr>
            <w:r w:rsidRPr="005D3B2C">
              <w:rPr>
                <w:rFonts w:ascii="Times New Roman" w:hAnsi="Times New Roman" w:cs="Times New Roman"/>
                <w:sz w:val="20"/>
                <w:szCs w:val="20"/>
              </w:rPr>
              <w:t xml:space="preserve">Evde </w:t>
            </w:r>
            <w:r w:rsidR="00D62DB0" w:rsidRPr="005D3B2C">
              <w:rPr>
                <w:rFonts w:ascii="Times New Roman" w:hAnsi="Times New Roman" w:cs="Times New Roman"/>
                <w:sz w:val="20"/>
                <w:szCs w:val="20"/>
              </w:rPr>
              <w:t>sağlık hizmeti imkânı sağlanarak s</w:t>
            </w:r>
            <w:r w:rsidRPr="005D3B2C">
              <w:rPr>
                <w:rFonts w:ascii="Times New Roman" w:hAnsi="Times New Roman" w:cs="Times New Roman"/>
                <w:sz w:val="20"/>
                <w:szCs w:val="20"/>
              </w:rPr>
              <w:t>ağlık çalışanlarının ve çocuk bakımı sağlayıcılarının desteklenmesi</w:t>
            </w:r>
          </w:p>
          <w:p w:rsidR="000141CB" w:rsidRPr="005D3B2C" w:rsidRDefault="000141CB" w:rsidP="008F4E44">
            <w:pPr>
              <w:jc w:val="both"/>
              <w:rPr>
                <w:rFonts w:ascii="Times New Roman" w:hAnsi="Times New Roman" w:cs="Times New Roman"/>
                <w:sz w:val="20"/>
                <w:szCs w:val="20"/>
              </w:rPr>
            </w:pPr>
            <w:r w:rsidRPr="005D3B2C">
              <w:rPr>
                <w:rFonts w:ascii="Times New Roman" w:hAnsi="Times New Roman" w:cs="Times New Roman"/>
                <w:sz w:val="20"/>
                <w:szCs w:val="20"/>
              </w:rPr>
              <w:t xml:space="preserve">2021 tarihli </w:t>
            </w:r>
            <w:proofErr w:type="spellStart"/>
            <w:r w:rsidRPr="005D3B2C">
              <w:rPr>
                <w:rFonts w:ascii="Times New Roman" w:hAnsi="Times New Roman" w:cs="Times New Roman"/>
                <w:sz w:val="20"/>
                <w:szCs w:val="20"/>
              </w:rPr>
              <w:t>Koronavirüs</w:t>
            </w:r>
            <w:proofErr w:type="spellEnd"/>
            <w:r w:rsidRPr="005D3B2C">
              <w:rPr>
                <w:rFonts w:ascii="Times New Roman" w:hAnsi="Times New Roman" w:cs="Times New Roman"/>
                <w:sz w:val="20"/>
                <w:szCs w:val="20"/>
              </w:rPr>
              <w:t xml:space="preserve"> Müdahale ve Yardım Ek Ödenek Yasası</w:t>
            </w:r>
            <w:r w:rsidR="00D62DB0" w:rsidRPr="005D3B2C">
              <w:rPr>
                <w:rFonts w:ascii="Times New Roman" w:hAnsi="Times New Roman" w:cs="Times New Roman"/>
                <w:sz w:val="20"/>
                <w:szCs w:val="20"/>
              </w:rPr>
              <w:t>na göre</w:t>
            </w:r>
            <w:r w:rsidRPr="005D3B2C">
              <w:rPr>
                <w:rFonts w:ascii="Times New Roman" w:hAnsi="Times New Roman" w:cs="Times New Roman"/>
                <w:sz w:val="20"/>
                <w:szCs w:val="20"/>
              </w:rPr>
              <w:t>, yetişkin başına 600 ABD dolarına kadar ve hak kazanan her çocuk için 600 ABD doların</w:t>
            </w:r>
            <w:r w:rsidR="00D62DB0" w:rsidRPr="005D3B2C">
              <w:rPr>
                <w:rFonts w:ascii="Times New Roman" w:hAnsi="Times New Roman" w:cs="Times New Roman"/>
                <w:sz w:val="20"/>
                <w:szCs w:val="20"/>
              </w:rPr>
              <w:t>a kadar ek ödemeler sağlanması</w:t>
            </w:r>
          </w:p>
          <w:p w:rsidR="00FE7A35" w:rsidRPr="005D3B2C" w:rsidRDefault="00D62DB0" w:rsidP="008F4E44">
            <w:pPr>
              <w:jc w:val="both"/>
              <w:rPr>
                <w:rFonts w:ascii="Times New Roman" w:hAnsi="Times New Roman" w:cs="Times New Roman"/>
                <w:sz w:val="20"/>
                <w:szCs w:val="20"/>
              </w:rPr>
            </w:pPr>
            <w:proofErr w:type="spellStart"/>
            <w:r w:rsidRPr="005D3B2C">
              <w:rPr>
                <w:rFonts w:ascii="Times New Roman" w:hAnsi="Times New Roman" w:cs="Times New Roman"/>
                <w:sz w:val="20"/>
                <w:szCs w:val="20"/>
              </w:rPr>
              <w:t>K</w:t>
            </w:r>
            <w:r w:rsidR="00FE7A35" w:rsidRPr="005D3B2C">
              <w:rPr>
                <w:rFonts w:ascii="Times New Roman" w:hAnsi="Times New Roman" w:cs="Times New Roman"/>
                <w:sz w:val="20"/>
                <w:szCs w:val="20"/>
              </w:rPr>
              <w:t>oronavirüs</w:t>
            </w:r>
            <w:proofErr w:type="spellEnd"/>
            <w:r w:rsidR="00FE7A35" w:rsidRPr="005D3B2C">
              <w:rPr>
                <w:rFonts w:ascii="Times New Roman" w:hAnsi="Times New Roman" w:cs="Times New Roman"/>
                <w:sz w:val="20"/>
                <w:szCs w:val="20"/>
              </w:rPr>
              <w:t xml:space="preserve"> salgını </w:t>
            </w:r>
            <w:r w:rsidRPr="005D3B2C">
              <w:rPr>
                <w:rFonts w:ascii="Times New Roman" w:hAnsi="Times New Roman" w:cs="Times New Roman"/>
                <w:sz w:val="20"/>
                <w:szCs w:val="20"/>
              </w:rPr>
              <w:t xml:space="preserve">nedeniyle işsiz kalanlar </w:t>
            </w:r>
            <w:r w:rsidR="00FE7A35" w:rsidRPr="005D3B2C">
              <w:rPr>
                <w:rFonts w:ascii="Times New Roman" w:hAnsi="Times New Roman" w:cs="Times New Roman"/>
                <w:sz w:val="20"/>
                <w:szCs w:val="20"/>
              </w:rPr>
              <w:t>için işsizlik yardımlarını</w:t>
            </w:r>
            <w:r w:rsidRPr="005D3B2C">
              <w:rPr>
                <w:rFonts w:ascii="Times New Roman" w:hAnsi="Times New Roman" w:cs="Times New Roman"/>
                <w:sz w:val="20"/>
                <w:szCs w:val="20"/>
              </w:rPr>
              <w:t>n haftada 300 dolara çıkarılması</w:t>
            </w:r>
            <w:r w:rsidR="00FE7A35" w:rsidRPr="005D3B2C">
              <w:rPr>
                <w:rFonts w:ascii="Times New Roman" w:hAnsi="Times New Roman" w:cs="Times New Roman"/>
                <w:sz w:val="20"/>
                <w:szCs w:val="20"/>
              </w:rPr>
              <w:t>.</w:t>
            </w:r>
          </w:p>
          <w:p w:rsidR="006F7C71" w:rsidRPr="005D3B2C" w:rsidRDefault="006F7C71" w:rsidP="008F4E44">
            <w:pPr>
              <w:jc w:val="both"/>
              <w:rPr>
                <w:rFonts w:ascii="Times New Roman" w:hAnsi="Times New Roman" w:cs="Times New Roman"/>
                <w:sz w:val="20"/>
                <w:szCs w:val="20"/>
              </w:rPr>
            </w:pPr>
            <w:r w:rsidRPr="005D3B2C">
              <w:rPr>
                <w:rFonts w:ascii="Times New Roman" w:hAnsi="Times New Roman" w:cs="Times New Roman"/>
                <w:sz w:val="20"/>
                <w:szCs w:val="20"/>
              </w:rPr>
              <w:t>6 yaşından</w:t>
            </w:r>
            <w:r w:rsidR="00D62DB0" w:rsidRPr="005D3B2C">
              <w:rPr>
                <w:rFonts w:ascii="Times New Roman" w:hAnsi="Times New Roman" w:cs="Times New Roman"/>
                <w:sz w:val="20"/>
                <w:szCs w:val="20"/>
              </w:rPr>
              <w:t xml:space="preserve"> küçük çocuk başına ayda 300,</w:t>
            </w:r>
            <w:r w:rsidRPr="005D3B2C">
              <w:rPr>
                <w:rFonts w:ascii="Times New Roman" w:hAnsi="Times New Roman" w:cs="Times New Roman"/>
                <w:sz w:val="20"/>
                <w:szCs w:val="20"/>
              </w:rPr>
              <w:t xml:space="preserve"> 6-17 yaş arası çocuk başına </w:t>
            </w:r>
            <w:r w:rsidR="00D62DB0" w:rsidRPr="005D3B2C">
              <w:rPr>
                <w:rFonts w:ascii="Times New Roman" w:hAnsi="Times New Roman" w:cs="Times New Roman"/>
                <w:sz w:val="20"/>
                <w:szCs w:val="20"/>
              </w:rPr>
              <w:t>ise 250 ABD doları</w:t>
            </w:r>
            <w:r w:rsidRPr="005D3B2C">
              <w:rPr>
                <w:rFonts w:ascii="Times New Roman" w:hAnsi="Times New Roman" w:cs="Times New Roman"/>
                <w:sz w:val="20"/>
                <w:szCs w:val="20"/>
              </w:rPr>
              <w:t xml:space="preserve"> </w:t>
            </w:r>
            <w:r w:rsidR="00D62DB0" w:rsidRPr="005D3B2C">
              <w:rPr>
                <w:rFonts w:ascii="Times New Roman" w:hAnsi="Times New Roman" w:cs="Times New Roman"/>
                <w:sz w:val="20"/>
                <w:szCs w:val="20"/>
              </w:rPr>
              <w:t>çocuk parası ödenmesi</w:t>
            </w:r>
          </w:p>
          <w:p w:rsidR="00013EEA" w:rsidRPr="005D3B2C" w:rsidRDefault="00632E31" w:rsidP="008F4E44">
            <w:pPr>
              <w:jc w:val="both"/>
              <w:rPr>
                <w:rFonts w:ascii="Times New Roman" w:hAnsi="Times New Roman" w:cs="Times New Roman"/>
                <w:sz w:val="20"/>
                <w:szCs w:val="20"/>
              </w:rPr>
            </w:pPr>
            <w:r>
              <w:rPr>
                <w:rFonts w:ascii="Times New Roman" w:hAnsi="Times New Roman" w:cs="Times New Roman"/>
                <w:sz w:val="20"/>
                <w:szCs w:val="20"/>
              </w:rPr>
              <w:t>Covid-19</w:t>
            </w:r>
            <w:r w:rsidR="00013EEA" w:rsidRPr="005D3B2C">
              <w:rPr>
                <w:rFonts w:ascii="Times New Roman" w:hAnsi="Times New Roman" w:cs="Times New Roman"/>
                <w:sz w:val="20"/>
                <w:szCs w:val="20"/>
              </w:rPr>
              <w:t xml:space="preserve"> salgını nedeniyle kira ve kamu hizmetleri ödeyemeyen hanelere yardımcı olmak içi</w:t>
            </w:r>
            <w:r w:rsidR="00D62DB0" w:rsidRPr="005D3B2C">
              <w:rPr>
                <w:rFonts w:ascii="Times New Roman" w:hAnsi="Times New Roman" w:cs="Times New Roman"/>
                <w:sz w:val="20"/>
                <w:szCs w:val="20"/>
              </w:rPr>
              <w:t>n 25 milyar ABD doları ayırılması</w:t>
            </w:r>
          </w:p>
        </w:tc>
      </w:tr>
      <w:tr w:rsidR="009C5175" w:rsidRPr="005D3B2C" w:rsidTr="005D3B2C">
        <w:tc>
          <w:tcPr>
            <w:tcW w:w="0" w:type="auto"/>
          </w:tcPr>
          <w:p w:rsidR="008F4E44" w:rsidRPr="005D3B2C" w:rsidRDefault="008F4E44" w:rsidP="00C309DA">
            <w:pPr>
              <w:jc w:val="both"/>
              <w:rPr>
                <w:rFonts w:ascii="Times New Roman" w:hAnsi="Times New Roman" w:cs="Times New Roman"/>
                <w:sz w:val="20"/>
                <w:szCs w:val="20"/>
              </w:rPr>
            </w:pPr>
            <w:r w:rsidRPr="005D3B2C">
              <w:rPr>
                <w:rFonts w:ascii="Times New Roman" w:hAnsi="Times New Roman" w:cs="Times New Roman"/>
                <w:sz w:val="20"/>
                <w:szCs w:val="20"/>
              </w:rPr>
              <w:t>Hindistan</w:t>
            </w:r>
          </w:p>
        </w:tc>
        <w:tc>
          <w:tcPr>
            <w:tcW w:w="0" w:type="auto"/>
          </w:tcPr>
          <w:p w:rsidR="008F4E44" w:rsidRPr="005D3B2C" w:rsidRDefault="00D62DB0" w:rsidP="00D62DB0">
            <w:pPr>
              <w:jc w:val="both"/>
              <w:rPr>
                <w:rFonts w:ascii="Times New Roman" w:hAnsi="Times New Roman" w:cs="Times New Roman"/>
                <w:sz w:val="20"/>
                <w:szCs w:val="20"/>
              </w:rPr>
            </w:pPr>
            <w:r w:rsidRPr="005D3B2C">
              <w:rPr>
                <w:rFonts w:ascii="Times New Roman" w:hAnsi="Times New Roman" w:cs="Times New Roman"/>
                <w:sz w:val="20"/>
                <w:szCs w:val="20"/>
              </w:rPr>
              <w:t xml:space="preserve">Covid-19’a bağlı harcamalarda kullanılmak şartıyla </w:t>
            </w:r>
            <w:r w:rsidR="008F4E44" w:rsidRPr="005D3B2C">
              <w:rPr>
                <w:rFonts w:ascii="Times New Roman" w:hAnsi="Times New Roman" w:cs="Times New Roman"/>
                <w:sz w:val="20"/>
                <w:szCs w:val="20"/>
              </w:rPr>
              <w:t xml:space="preserve">Ulusal sağlık </w:t>
            </w:r>
            <w:r w:rsidRPr="005D3B2C">
              <w:rPr>
                <w:rFonts w:ascii="Times New Roman" w:hAnsi="Times New Roman" w:cs="Times New Roman"/>
                <w:sz w:val="20"/>
                <w:szCs w:val="20"/>
              </w:rPr>
              <w:t>sistemine yatırılmış primlerin bir kısmının</w:t>
            </w:r>
            <w:r w:rsidR="008F4E44" w:rsidRPr="005D3B2C">
              <w:rPr>
                <w:rFonts w:ascii="Times New Roman" w:hAnsi="Times New Roman" w:cs="Times New Roman"/>
                <w:sz w:val="20"/>
                <w:szCs w:val="20"/>
              </w:rPr>
              <w:t xml:space="preserve"> iade alınabilmesi</w:t>
            </w:r>
            <w:r w:rsidR="00106531" w:rsidRPr="005D3B2C">
              <w:rPr>
                <w:rFonts w:ascii="Times New Roman" w:hAnsi="Times New Roman" w:cs="Times New Roman"/>
                <w:sz w:val="20"/>
                <w:szCs w:val="20"/>
              </w:rPr>
              <w:t xml:space="preserve"> </w:t>
            </w:r>
          </w:p>
        </w:tc>
      </w:tr>
      <w:tr w:rsidR="009C5175" w:rsidRPr="005D3B2C" w:rsidTr="005D3B2C">
        <w:tc>
          <w:tcPr>
            <w:tcW w:w="0" w:type="auto"/>
          </w:tcPr>
          <w:p w:rsidR="008F4E44" w:rsidRPr="005D3B2C" w:rsidRDefault="00FE7A35" w:rsidP="00C309DA">
            <w:pPr>
              <w:jc w:val="both"/>
              <w:rPr>
                <w:rFonts w:ascii="Times New Roman" w:hAnsi="Times New Roman" w:cs="Times New Roman"/>
                <w:sz w:val="20"/>
                <w:szCs w:val="20"/>
              </w:rPr>
            </w:pPr>
            <w:r w:rsidRPr="005D3B2C">
              <w:rPr>
                <w:rFonts w:ascii="Times New Roman" w:hAnsi="Times New Roman" w:cs="Times New Roman"/>
                <w:sz w:val="20"/>
                <w:szCs w:val="20"/>
              </w:rPr>
              <w:lastRenderedPageBreak/>
              <w:t>Brezilya</w:t>
            </w:r>
          </w:p>
        </w:tc>
        <w:tc>
          <w:tcPr>
            <w:tcW w:w="0" w:type="auto"/>
          </w:tcPr>
          <w:p w:rsidR="008F4E44" w:rsidRPr="005D3B2C" w:rsidRDefault="00632E31" w:rsidP="00C309DA">
            <w:pPr>
              <w:jc w:val="both"/>
              <w:rPr>
                <w:rFonts w:ascii="Times New Roman" w:hAnsi="Times New Roman" w:cs="Times New Roman"/>
                <w:sz w:val="20"/>
                <w:szCs w:val="20"/>
              </w:rPr>
            </w:pPr>
            <w:r>
              <w:rPr>
                <w:rFonts w:ascii="Times New Roman" w:hAnsi="Times New Roman" w:cs="Times New Roman"/>
                <w:sz w:val="20"/>
                <w:szCs w:val="20"/>
              </w:rPr>
              <w:t>Covid-19</w:t>
            </w:r>
            <w:r w:rsidR="00FE7A35" w:rsidRPr="005D3B2C">
              <w:rPr>
                <w:rFonts w:ascii="Times New Roman" w:hAnsi="Times New Roman" w:cs="Times New Roman"/>
                <w:sz w:val="20"/>
                <w:szCs w:val="20"/>
              </w:rPr>
              <w:t xml:space="preserve"> salgını</w:t>
            </w:r>
            <w:r w:rsidR="00D62DB0" w:rsidRPr="005D3B2C">
              <w:rPr>
                <w:rFonts w:ascii="Times New Roman" w:hAnsi="Times New Roman" w:cs="Times New Roman"/>
                <w:sz w:val="20"/>
                <w:szCs w:val="20"/>
              </w:rPr>
              <w:t>ndan etkilenen</w:t>
            </w:r>
            <w:r w:rsidR="00FE7A35" w:rsidRPr="005D3B2C">
              <w:rPr>
                <w:rFonts w:ascii="Times New Roman" w:hAnsi="Times New Roman" w:cs="Times New Roman"/>
                <w:sz w:val="20"/>
                <w:szCs w:val="20"/>
              </w:rPr>
              <w:t xml:space="preserve"> milyonlarca yoksul aileye yardım etmek için düşük gelirli Brezilyalılara toplam 44 milyar </w:t>
            </w:r>
            <w:proofErr w:type="spellStart"/>
            <w:r w:rsidR="00FE7A35" w:rsidRPr="005D3B2C">
              <w:rPr>
                <w:rFonts w:ascii="Times New Roman" w:hAnsi="Times New Roman" w:cs="Times New Roman"/>
                <w:sz w:val="20"/>
                <w:szCs w:val="20"/>
              </w:rPr>
              <w:t>reais</w:t>
            </w:r>
            <w:proofErr w:type="spellEnd"/>
            <w:r w:rsidR="00FE7A35" w:rsidRPr="005D3B2C">
              <w:rPr>
                <w:rFonts w:ascii="Times New Roman" w:hAnsi="Times New Roman" w:cs="Times New Roman"/>
                <w:sz w:val="20"/>
                <w:szCs w:val="20"/>
              </w:rPr>
              <w:t xml:space="preserve"> (7.96 milyar $) tutarın</w:t>
            </w:r>
            <w:r w:rsidR="00D62DB0" w:rsidRPr="005D3B2C">
              <w:rPr>
                <w:rFonts w:ascii="Times New Roman" w:hAnsi="Times New Roman" w:cs="Times New Roman"/>
                <w:sz w:val="20"/>
                <w:szCs w:val="20"/>
              </w:rPr>
              <w:t>da acil durum ödeneği ödenmesi ve</w:t>
            </w:r>
            <w:r w:rsidR="00FE7A35" w:rsidRPr="005D3B2C">
              <w:rPr>
                <w:rFonts w:ascii="Times New Roman" w:hAnsi="Times New Roman" w:cs="Times New Roman"/>
                <w:sz w:val="20"/>
                <w:szCs w:val="20"/>
              </w:rPr>
              <w:t xml:space="preserve"> </w:t>
            </w:r>
            <w:r w:rsidR="00D62DB0" w:rsidRPr="005D3B2C">
              <w:rPr>
                <w:rFonts w:ascii="Times New Roman" w:hAnsi="Times New Roman" w:cs="Times New Roman"/>
                <w:sz w:val="20"/>
                <w:szCs w:val="20"/>
              </w:rPr>
              <w:t>bu kesimin</w:t>
            </w:r>
            <w:r w:rsidR="00FE7A35" w:rsidRPr="005D3B2C">
              <w:rPr>
                <w:rFonts w:ascii="Times New Roman" w:hAnsi="Times New Roman" w:cs="Times New Roman"/>
                <w:sz w:val="20"/>
                <w:szCs w:val="20"/>
              </w:rPr>
              <w:t xml:space="preserve"> ayda ortal</w:t>
            </w:r>
            <w:r w:rsidR="00D62DB0" w:rsidRPr="005D3B2C">
              <w:rPr>
                <w:rFonts w:ascii="Times New Roman" w:hAnsi="Times New Roman" w:cs="Times New Roman"/>
                <w:sz w:val="20"/>
                <w:szCs w:val="20"/>
              </w:rPr>
              <w:t xml:space="preserve">ama 250 </w:t>
            </w:r>
            <w:proofErr w:type="spellStart"/>
            <w:r w:rsidR="00D62DB0" w:rsidRPr="005D3B2C">
              <w:rPr>
                <w:rFonts w:ascii="Times New Roman" w:hAnsi="Times New Roman" w:cs="Times New Roman"/>
                <w:sz w:val="20"/>
                <w:szCs w:val="20"/>
              </w:rPr>
              <w:t>reais</w:t>
            </w:r>
            <w:proofErr w:type="spellEnd"/>
            <w:r w:rsidR="00D62DB0" w:rsidRPr="005D3B2C">
              <w:rPr>
                <w:rFonts w:ascii="Times New Roman" w:hAnsi="Times New Roman" w:cs="Times New Roman"/>
                <w:sz w:val="20"/>
                <w:szCs w:val="20"/>
              </w:rPr>
              <w:t xml:space="preserve"> alması</w:t>
            </w:r>
          </w:p>
          <w:p w:rsidR="004C0633" w:rsidRPr="005D3B2C" w:rsidRDefault="00D62DB0" w:rsidP="00C309DA">
            <w:pPr>
              <w:jc w:val="both"/>
              <w:rPr>
                <w:rFonts w:ascii="Times New Roman" w:hAnsi="Times New Roman" w:cs="Times New Roman"/>
                <w:sz w:val="20"/>
                <w:szCs w:val="20"/>
              </w:rPr>
            </w:pPr>
            <w:r w:rsidRPr="005D3B2C">
              <w:rPr>
                <w:rFonts w:ascii="Times New Roman" w:hAnsi="Times New Roman" w:cs="Times New Roman"/>
                <w:sz w:val="20"/>
                <w:szCs w:val="20"/>
              </w:rPr>
              <w:t>Ya</w:t>
            </w:r>
            <w:r w:rsidR="009A4FE2" w:rsidRPr="005D3B2C">
              <w:rPr>
                <w:rFonts w:ascii="Times New Roman" w:hAnsi="Times New Roman" w:cs="Times New Roman"/>
                <w:sz w:val="20"/>
                <w:szCs w:val="20"/>
              </w:rPr>
              <w:t>rdıma muhtaç bireylere</w:t>
            </w:r>
            <w:r w:rsidR="007B5E57" w:rsidRPr="005D3B2C">
              <w:rPr>
                <w:rFonts w:ascii="Times New Roman" w:hAnsi="Times New Roman" w:cs="Times New Roman"/>
                <w:sz w:val="20"/>
                <w:szCs w:val="20"/>
              </w:rPr>
              <w:t xml:space="preserve"> (323400 paket) gıda yardımı</w:t>
            </w:r>
          </w:p>
        </w:tc>
      </w:tr>
      <w:tr w:rsidR="009C5175" w:rsidRPr="005D3B2C" w:rsidTr="005D3B2C">
        <w:tc>
          <w:tcPr>
            <w:tcW w:w="0" w:type="auto"/>
          </w:tcPr>
          <w:p w:rsidR="008F4E44" w:rsidRPr="005D3B2C" w:rsidRDefault="001E2C4E" w:rsidP="00C309DA">
            <w:pPr>
              <w:jc w:val="both"/>
              <w:rPr>
                <w:rFonts w:ascii="Times New Roman" w:hAnsi="Times New Roman" w:cs="Times New Roman"/>
                <w:sz w:val="20"/>
                <w:szCs w:val="20"/>
              </w:rPr>
            </w:pPr>
            <w:r w:rsidRPr="005D3B2C">
              <w:rPr>
                <w:rFonts w:ascii="Times New Roman" w:hAnsi="Times New Roman" w:cs="Times New Roman"/>
                <w:sz w:val="20"/>
                <w:szCs w:val="20"/>
              </w:rPr>
              <w:t>Meksika</w:t>
            </w:r>
          </w:p>
        </w:tc>
        <w:tc>
          <w:tcPr>
            <w:tcW w:w="0" w:type="auto"/>
          </w:tcPr>
          <w:p w:rsidR="008F4E44" w:rsidRPr="005D3B2C" w:rsidRDefault="00962AFE" w:rsidP="00962AFE">
            <w:pPr>
              <w:jc w:val="both"/>
              <w:rPr>
                <w:rFonts w:ascii="Times New Roman" w:hAnsi="Times New Roman" w:cs="Times New Roman"/>
                <w:sz w:val="20"/>
                <w:szCs w:val="20"/>
              </w:rPr>
            </w:pPr>
            <w:r w:rsidRPr="005D3B2C">
              <w:rPr>
                <w:rFonts w:ascii="Times New Roman" w:hAnsi="Times New Roman" w:cs="Times New Roman"/>
                <w:sz w:val="20"/>
                <w:szCs w:val="20"/>
              </w:rPr>
              <w:t>D</w:t>
            </w:r>
            <w:r w:rsidR="001E2C4E" w:rsidRPr="005D3B2C">
              <w:rPr>
                <w:rFonts w:ascii="Times New Roman" w:hAnsi="Times New Roman" w:cs="Times New Roman"/>
                <w:sz w:val="20"/>
                <w:szCs w:val="20"/>
              </w:rPr>
              <w:t xml:space="preserve">okuz milyondan fazla yaşlı ve kalıcı engelli kişiye </w:t>
            </w:r>
            <w:r w:rsidRPr="005D3B2C">
              <w:rPr>
                <w:rFonts w:ascii="Times New Roman" w:hAnsi="Times New Roman" w:cs="Times New Roman"/>
                <w:sz w:val="20"/>
                <w:szCs w:val="20"/>
              </w:rPr>
              <w:t>avans verilmesi</w:t>
            </w:r>
          </w:p>
        </w:tc>
      </w:tr>
      <w:tr w:rsidR="009C5175" w:rsidRPr="005D3B2C" w:rsidTr="005D3B2C">
        <w:tc>
          <w:tcPr>
            <w:tcW w:w="0" w:type="auto"/>
          </w:tcPr>
          <w:p w:rsidR="008F4E44" w:rsidRPr="005D3B2C" w:rsidRDefault="00766D0A" w:rsidP="00C309DA">
            <w:pPr>
              <w:jc w:val="both"/>
              <w:rPr>
                <w:rFonts w:ascii="Times New Roman" w:hAnsi="Times New Roman" w:cs="Times New Roman"/>
                <w:sz w:val="20"/>
                <w:szCs w:val="20"/>
              </w:rPr>
            </w:pPr>
            <w:r w:rsidRPr="005D3B2C">
              <w:rPr>
                <w:rFonts w:ascii="Times New Roman" w:hAnsi="Times New Roman" w:cs="Times New Roman"/>
                <w:sz w:val="20"/>
                <w:szCs w:val="20"/>
              </w:rPr>
              <w:t>İngiltere</w:t>
            </w:r>
          </w:p>
        </w:tc>
        <w:tc>
          <w:tcPr>
            <w:tcW w:w="0" w:type="auto"/>
          </w:tcPr>
          <w:p w:rsidR="008F4E44" w:rsidRPr="005D3B2C" w:rsidRDefault="00962AFE" w:rsidP="00962AFE">
            <w:pPr>
              <w:jc w:val="both"/>
              <w:rPr>
                <w:rFonts w:ascii="Times New Roman" w:hAnsi="Times New Roman" w:cs="Times New Roman"/>
                <w:sz w:val="20"/>
                <w:szCs w:val="20"/>
              </w:rPr>
            </w:pPr>
            <w:r w:rsidRPr="005D3B2C">
              <w:rPr>
                <w:rFonts w:ascii="Times New Roman" w:hAnsi="Times New Roman" w:cs="Times New Roman"/>
                <w:sz w:val="20"/>
                <w:szCs w:val="20"/>
              </w:rPr>
              <w:t>Y</w:t>
            </w:r>
            <w:r w:rsidR="00766D0A" w:rsidRPr="005D3B2C">
              <w:rPr>
                <w:rFonts w:ascii="Times New Roman" w:hAnsi="Times New Roman" w:cs="Times New Roman"/>
                <w:sz w:val="20"/>
                <w:szCs w:val="20"/>
              </w:rPr>
              <w:t>üz binlerce insanı</w:t>
            </w:r>
            <w:r w:rsidRPr="005D3B2C">
              <w:rPr>
                <w:rFonts w:ascii="Times New Roman" w:hAnsi="Times New Roman" w:cs="Times New Roman"/>
                <w:sz w:val="20"/>
                <w:szCs w:val="20"/>
              </w:rPr>
              <w:t>n gelir düzeyini korumak için</w:t>
            </w:r>
            <w:r w:rsidR="00766D0A" w:rsidRPr="005D3B2C">
              <w:rPr>
                <w:rFonts w:ascii="Times New Roman" w:hAnsi="Times New Roman" w:cs="Times New Roman"/>
                <w:sz w:val="20"/>
                <w:szCs w:val="20"/>
              </w:rPr>
              <w:t xml:space="preserve"> Evrensel Kredideki haftalık 20 sterlinlik artışın en az bir yıl uzatılması</w:t>
            </w:r>
          </w:p>
        </w:tc>
      </w:tr>
      <w:tr w:rsidR="009C5175" w:rsidRPr="005D3B2C" w:rsidTr="005D3B2C">
        <w:tc>
          <w:tcPr>
            <w:tcW w:w="0" w:type="auto"/>
          </w:tcPr>
          <w:p w:rsidR="00766D0A" w:rsidRPr="005D3B2C" w:rsidRDefault="001A148B" w:rsidP="00C309DA">
            <w:pPr>
              <w:jc w:val="both"/>
              <w:rPr>
                <w:rFonts w:ascii="Times New Roman" w:hAnsi="Times New Roman" w:cs="Times New Roman"/>
                <w:sz w:val="20"/>
                <w:szCs w:val="20"/>
              </w:rPr>
            </w:pPr>
            <w:r w:rsidRPr="005D3B2C">
              <w:rPr>
                <w:rFonts w:ascii="Times New Roman" w:hAnsi="Times New Roman" w:cs="Times New Roman"/>
                <w:sz w:val="20"/>
                <w:szCs w:val="20"/>
              </w:rPr>
              <w:t>Fransa</w:t>
            </w:r>
          </w:p>
        </w:tc>
        <w:tc>
          <w:tcPr>
            <w:tcW w:w="0" w:type="auto"/>
          </w:tcPr>
          <w:p w:rsidR="00FB1213" w:rsidRPr="005D3B2C" w:rsidRDefault="00FB1213" w:rsidP="00C309DA">
            <w:pPr>
              <w:jc w:val="both"/>
              <w:rPr>
                <w:rFonts w:ascii="Times New Roman" w:hAnsi="Times New Roman" w:cs="Times New Roman"/>
                <w:sz w:val="20"/>
                <w:szCs w:val="20"/>
              </w:rPr>
            </w:pPr>
            <w:r w:rsidRPr="005D3B2C">
              <w:rPr>
                <w:rFonts w:ascii="Times New Roman" w:hAnsi="Times New Roman" w:cs="Times New Roman"/>
                <w:sz w:val="20"/>
                <w:szCs w:val="20"/>
              </w:rPr>
              <w:t xml:space="preserve">Asgari aktivite geliri, denizaşırı dayanışma geliri, konut yardımı veya </w:t>
            </w:r>
            <w:proofErr w:type="spellStart"/>
            <w:r w:rsidRPr="005D3B2C">
              <w:rPr>
                <w:rFonts w:ascii="Times New Roman" w:hAnsi="Times New Roman" w:cs="Times New Roman"/>
                <w:sz w:val="20"/>
                <w:szCs w:val="20"/>
              </w:rPr>
              <w:t>Pôle</w:t>
            </w:r>
            <w:proofErr w:type="spellEnd"/>
            <w:r w:rsidRPr="005D3B2C">
              <w:rPr>
                <w:rFonts w:ascii="Times New Roman" w:hAnsi="Times New Roman" w:cs="Times New Roman"/>
                <w:sz w:val="20"/>
                <w:szCs w:val="20"/>
              </w:rPr>
              <w:t xml:space="preserve"> çalışanları taraf</w:t>
            </w:r>
            <w:r w:rsidR="00962AFE" w:rsidRPr="005D3B2C">
              <w:rPr>
                <w:rFonts w:ascii="Times New Roman" w:hAnsi="Times New Roman" w:cs="Times New Roman"/>
                <w:sz w:val="20"/>
                <w:szCs w:val="20"/>
              </w:rPr>
              <w:t>ından ödenen belirli yardım m</w:t>
            </w:r>
            <w:r w:rsidRPr="005D3B2C">
              <w:rPr>
                <w:rFonts w:ascii="Times New Roman" w:hAnsi="Times New Roman" w:cs="Times New Roman"/>
                <w:sz w:val="20"/>
                <w:szCs w:val="20"/>
              </w:rPr>
              <w:t>iktar</w:t>
            </w:r>
            <w:r w:rsidR="00962AFE" w:rsidRPr="005D3B2C">
              <w:rPr>
                <w:rFonts w:ascii="Times New Roman" w:hAnsi="Times New Roman" w:cs="Times New Roman"/>
                <w:sz w:val="20"/>
                <w:szCs w:val="20"/>
              </w:rPr>
              <w:t>ının</w:t>
            </w:r>
            <w:r w:rsidRPr="005D3B2C">
              <w:rPr>
                <w:rFonts w:ascii="Times New Roman" w:hAnsi="Times New Roman" w:cs="Times New Roman"/>
                <w:sz w:val="20"/>
                <w:szCs w:val="20"/>
              </w:rPr>
              <w:t xml:space="preserve"> yetişkin başına 15</w:t>
            </w:r>
            <w:r w:rsidR="00962AFE" w:rsidRPr="005D3B2C">
              <w:rPr>
                <w:rFonts w:ascii="Times New Roman" w:hAnsi="Times New Roman" w:cs="Times New Roman"/>
                <w:sz w:val="20"/>
                <w:szCs w:val="20"/>
              </w:rPr>
              <w:t>0 € ve çocuk başına 100 € olması</w:t>
            </w:r>
          </w:p>
          <w:p w:rsidR="005B2B62" w:rsidRPr="005D3B2C" w:rsidRDefault="005B2B62" w:rsidP="00C309DA">
            <w:pPr>
              <w:jc w:val="both"/>
              <w:rPr>
                <w:rFonts w:ascii="Times New Roman" w:hAnsi="Times New Roman" w:cs="Times New Roman"/>
                <w:sz w:val="20"/>
                <w:szCs w:val="20"/>
              </w:rPr>
            </w:pPr>
            <w:r w:rsidRPr="005D3B2C">
              <w:rPr>
                <w:rFonts w:ascii="Times New Roman" w:hAnsi="Times New Roman" w:cs="Times New Roman"/>
                <w:sz w:val="20"/>
                <w:szCs w:val="20"/>
              </w:rPr>
              <w:t xml:space="preserve">Covid-19 </w:t>
            </w:r>
            <w:r w:rsidR="00962AFE" w:rsidRPr="005D3B2C">
              <w:rPr>
                <w:rFonts w:ascii="Times New Roman" w:hAnsi="Times New Roman" w:cs="Times New Roman"/>
                <w:sz w:val="20"/>
                <w:szCs w:val="20"/>
              </w:rPr>
              <w:t>testi pozitif çıkan</w:t>
            </w:r>
            <w:r w:rsidRPr="005D3B2C">
              <w:rPr>
                <w:rFonts w:ascii="Times New Roman" w:hAnsi="Times New Roman" w:cs="Times New Roman"/>
                <w:sz w:val="20"/>
                <w:szCs w:val="20"/>
              </w:rPr>
              <w:t xml:space="preserve"> </w:t>
            </w:r>
            <w:r w:rsidR="00962AFE" w:rsidRPr="005D3B2C">
              <w:rPr>
                <w:rFonts w:ascii="Times New Roman" w:hAnsi="Times New Roman" w:cs="Times New Roman"/>
                <w:sz w:val="20"/>
                <w:szCs w:val="20"/>
              </w:rPr>
              <w:t>veya karantinada olan çalışanların</w:t>
            </w:r>
            <w:r w:rsidRPr="005D3B2C">
              <w:rPr>
                <w:rFonts w:ascii="Times New Roman" w:hAnsi="Times New Roman" w:cs="Times New Roman"/>
                <w:sz w:val="20"/>
                <w:szCs w:val="20"/>
              </w:rPr>
              <w:t xml:space="preserve"> günlük ödeneklerden ve işve</w:t>
            </w:r>
            <w:r w:rsidR="00962AFE" w:rsidRPr="005D3B2C">
              <w:rPr>
                <w:rFonts w:ascii="Times New Roman" w:hAnsi="Times New Roman" w:cs="Times New Roman"/>
                <w:sz w:val="20"/>
                <w:szCs w:val="20"/>
              </w:rPr>
              <w:t>ren ek</w:t>
            </w:r>
            <w:r w:rsidR="00632E31">
              <w:rPr>
                <w:rFonts w:ascii="Times New Roman" w:hAnsi="Times New Roman" w:cs="Times New Roman"/>
                <w:sz w:val="20"/>
                <w:szCs w:val="20"/>
              </w:rPr>
              <w:t>inden yararlanabilmeye devam et</w:t>
            </w:r>
            <w:r w:rsidR="00962AFE" w:rsidRPr="005D3B2C">
              <w:rPr>
                <w:rFonts w:ascii="Times New Roman" w:hAnsi="Times New Roman" w:cs="Times New Roman"/>
                <w:sz w:val="20"/>
                <w:szCs w:val="20"/>
              </w:rPr>
              <w:t>m</w:t>
            </w:r>
            <w:r w:rsidR="00632E31">
              <w:rPr>
                <w:rFonts w:ascii="Times New Roman" w:hAnsi="Times New Roman" w:cs="Times New Roman"/>
                <w:sz w:val="20"/>
                <w:szCs w:val="20"/>
              </w:rPr>
              <w:t>e</w:t>
            </w:r>
            <w:r w:rsidR="00962AFE" w:rsidRPr="005D3B2C">
              <w:rPr>
                <w:rFonts w:ascii="Times New Roman" w:hAnsi="Times New Roman" w:cs="Times New Roman"/>
                <w:sz w:val="20"/>
                <w:szCs w:val="20"/>
              </w:rPr>
              <w:t>leri</w:t>
            </w:r>
          </w:p>
          <w:p w:rsidR="002D79B8" w:rsidRPr="005D3B2C" w:rsidRDefault="002D79B8" w:rsidP="00C309DA">
            <w:pPr>
              <w:jc w:val="both"/>
              <w:rPr>
                <w:rFonts w:ascii="Times New Roman" w:hAnsi="Times New Roman" w:cs="Times New Roman"/>
                <w:sz w:val="20"/>
                <w:szCs w:val="20"/>
              </w:rPr>
            </w:pPr>
            <w:r w:rsidRPr="005D3B2C">
              <w:rPr>
                <w:rFonts w:ascii="Times New Roman" w:hAnsi="Times New Roman" w:cs="Times New Roman"/>
                <w:sz w:val="20"/>
                <w:szCs w:val="20"/>
              </w:rPr>
              <w:t xml:space="preserve">Covid-19 salgını </w:t>
            </w:r>
            <w:r w:rsidR="00962AFE" w:rsidRPr="005D3B2C">
              <w:rPr>
                <w:rFonts w:ascii="Times New Roman" w:hAnsi="Times New Roman" w:cs="Times New Roman"/>
                <w:sz w:val="20"/>
                <w:szCs w:val="20"/>
              </w:rPr>
              <w:t>nedeniyle yardıma muhtaç kalan ailelerin temel gıda ihtiyaçlarının veya kiralarının karşılaması amacıyla acil mali destek sağlaması</w:t>
            </w:r>
          </w:p>
          <w:p w:rsidR="00351F0E" w:rsidRPr="005D3B2C" w:rsidRDefault="00962AFE" w:rsidP="00962AFE">
            <w:pPr>
              <w:jc w:val="both"/>
              <w:rPr>
                <w:rFonts w:ascii="Times New Roman" w:hAnsi="Times New Roman" w:cs="Times New Roman"/>
                <w:sz w:val="20"/>
                <w:szCs w:val="20"/>
              </w:rPr>
            </w:pPr>
            <w:r w:rsidRPr="005D3B2C">
              <w:rPr>
                <w:rFonts w:ascii="Times New Roman" w:hAnsi="Times New Roman" w:cs="Times New Roman"/>
                <w:sz w:val="20"/>
                <w:szCs w:val="20"/>
              </w:rPr>
              <w:t>D</w:t>
            </w:r>
            <w:r w:rsidR="00351F0E" w:rsidRPr="005D3B2C">
              <w:rPr>
                <w:rFonts w:ascii="Times New Roman" w:hAnsi="Times New Roman" w:cs="Times New Roman"/>
                <w:sz w:val="20"/>
                <w:szCs w:val="20"/>
              </w:rPr>
              <w:t>üşük gelire sahip ailelere ve okul çağındaki çocuk</w:t>
            </w:r>
            <w:r w:rsidRPr="005D3B2C">
              <w:rPr>
                <w:rFonts w:ascii="Times New Roman" w:hAnsi="Times New Roman" w:cs="Times New Roman"/>
                <w:sz w:val="20"/>
                <w:szCs w:val="20"/>
              </w:rPr>
              <w:t xml:space="preserve">lara ödenen okula dönüş ödeneğinin </w:t>
            </w:r>
            <w:r w:rsidR="00351F0E" w:rsidRPr="005D3B2C">
              <w:rPr>
                <w:rFonts w:ascii="Times New Roman" w:hAnsi="Times New Roman" w:cs="Times New Roman"/>
                <w:sz w:val="20"/>
                <w:szCs w:val="20"/>
              </w:rPr>
              <w:t>ç</w:t>
            </w:r>
            <w:r w:rsidRPr="005D3B2C">
              <w:rPr>
                <w:rFonts w:ascii="Times New Roman" w:hAnsi="Times New Roman" w:cs="Times New Roman"/>
                <w:sz w:val="20"/>
                <w:szCs w:val="20"/>
              </w:rPr>
              <w:t>ocuk başına 100 € artırılması</w:t>
            </w:r>
          </w:p>
        </w:tc>
      </w:tr>
      <w:tr w:rsidR="006C51CC" w:rsidRPr="005D3B2C" w:rsidTr="005D3B2C">
        <w:tc>
          <w:tcPr>
            <w:tcW w:w="0" w:type="auto"/>
          </w:tcPr>
          <w:p w:rsidR="006C51CC" w:rsidRPr="005D3B2C" w:rsidRDefault="006C51CC" w:rsidP="00C309DA">
            <w:pPr>
              <w:jc w:val="both"/>
              <w:rPr>
                <w:rFonts w:ascii="Times New Roman" w:hAnsi="Times New Roman" w:cs="Times New Roman"/>
                <w:sz w:val="20"/>
                <w:szCs w:val="20"/>
              </w:rPr>
            </w:pPr>
            <w:r>
              <w:rPr>
                <w:rFonts w:ascii="Times New Roman" w:hAnsi="Times New Roman" w:cs="Times New Roman"/>
                <w:sz w:val="20"/>
                <w:szCs w:val="20"/>
              </w:rPr>
              <w:t>Fas</w:t>
            </w:r>
          </w:p>
        </w:tc>
        <w:tc>
          <w:tcPr>
            <w:tcW w:w="0" w:type="auto"/>
          </w:tcPr>
          <w:p w:rsidR="006C51CC" w:rsidRPr="005D3B2C" w:rsidRDefault="006C51CC" w:rsidP="00632E31">
            <w:pPr>
              <w:jc w:val="both"/>
              <w:rPr>
                <w:rFonts w:ascii="Times New Roman" w:hAnsi="Times New Roman" w:cs="Times New Roman"/>
                <w:sz w:val="20"/>
                <w:szCs w:val="20"/>
              </w:rPr>
            </w:pPr>
            <w:r w:rsidRPr="00632E31">
              <w:rPr>
                <w:rFonts w:ascii="Times New Roman" w:hAnsi="Times New Roman" w:cs="Times New Roman"/>
                <w:sz w:val="20"/>
                <w:szCs w:val="20"/>
              </w:rPr>
              <w:t>Ulusal</w:t>
            </w:r>
            <w:r w:rsidRPr="00632E31">
              <w:rPr>
                <w:rFonts w:ascii="Times New Roman" w:hAnsi="Times New Roman" w:cs="Times New Roman"/>
                <w:sz w:val="20"/>
                <w:szCs w:val="20"/>
              </w:rPr>
              <w:t xml:space="preserve"> so</w:t>
            </w:r>
            <w:r w:rsidRPr="00632E31">
              <w:rPr>
                <w:rFonts w:ascii="Times New Roman" w:hAnsi="Times New Roman" w:cs="Times New Roman"/>
                <w:sz w:val="20"/>
                <w:szCs w:val="20"/>
              </w:rPr>
              <w:t xml:space="preserve">syal güvenlik idaresinin sosyal </w:t>
            </w:r>
            <w:r w:rsidRPr="00632E31">
              <w:rPr>
                <w:rFonts w:ascii="Times New Roman" w:hAnsi="Times New Roman" w:cs="Times New Roman"/>
                <w:sz w:val="20"/>
                <w:szCs w:val="20"/>
              </w:rPr>
              <w:t>sigortası kap</w:t>
            </w:r>
            <w:r w:rsidRPr="00632E31">
              <w:rPr>
                <w:rFonts w:ascii="Times New Roman" w:hAnsi="Times New Roman" w:cs="Times New Roman"/>
                <w:sz w:val="20"/>
                <w:szCs w:val="20"/>
              </w:rPr>
              <w:t>samında yer alan hasta ve işsiz işçiler</w:t>
            </w:r>
            <w:r w:rsidR="00632E31" w:rsidRPr="00632E31">
              <w:rPr>
                <w:rFonts w:ascii="Times New Roman" w:hAnsi="Times New Roman" w:cs="Times New Roman"/>
                <w:sz w:val="20"/>
                <w:szCs w:val="20"/>
              </w:rPr>
              <w:t>e</w:t>
            </w:r>
            <w:r w:rsidRPr="00632E31">
              <w:rPr>
                <w:rFonts w:ascii="Times New Roman" w:hAnsi="Times New Roman" w:cs="Times New Roman"/>
                <w:sz w:val="20"/>
                <w:szCs w:val="20"/>
              </w:rPr>
              <w:t xml:space="preserve"> </w:t>
            </w:r>
            <w:r w:rsidRPr="00632E31">
              <w:rPr>
                <w:rFonts w:ascii="Times New Roman" w:hAnsi="Times New Roman" w:cs="Times New Roman"/>
                <w:sz w:val="20"/>
                <w:szCs w:val="20"/>
              </w:rPr>
              <w:t>Mart-Haziran ara</w:t>
            </w:r>
            <w:r w:rsidRPr="00632E31">
              <w:rPr>
                <w:rFonts w:ascii="Times New Roman" w:hAnsi="Times New Roman" w:cs="Times New Roman"/>
                <w:sz w:val="20"/>
                <w:szCs w:val="20"/>
              </w:rPr>
              <w:t xml:space="preserve">sında aylık 2.000 Dirhem (204$) yardım </w:t>
            </w:r>
            <w:r w:rsidR="00632E31" w:rsidRPr="00632E31">
              <w:rPr>
                <w:rFonts w:ascii="Times New Roman" w:hAnsi="Times New Roman" w:cs="Times New Roman"/>
                <w:sz w:val="20"/>
                <w:szCs w:val="20"/>
              </w:rPr>
              <w:t>verilmesi</w:t>
            </w:r>
          </w:p>
        </w:tc>
      </w:tr>
      <w:tr w:rsidR="009C5175" w:rsidRPr="005D3B2C" w:rsidTr="005D3B2C">
        <w:tc>
          <w:tcPr>
            <w:tcW w:w="0" w:type="auto"/>
          </w:tcPr>
          <w:p w:rsidR="00766D0A" w:rsidRPr="005D3B2C" w:rsidRDefault="001A148B" w:rsidP="00C309DA">
            <w:pPr>
              <w:jc w:val="both"/>
              <w:rPr>
                <w:rFonts w:ascii="Times New Roman" w:hAnsi="Times New Roman" w:cs="Times New Roman"/>
                <w:sz w:val="20"/>
                <w:szCs w:val="20"/>
              </w:rPr>
            </w:pPr>
            <w:r w:rsidRPr="005D3B2C">
              <w:rPr>
                <w:rFonts w:ascii="Times New Roman" w:hAnsi="Times New Roman" w:cs="Times New Roman"/>
                <w:sz w:val="20"/>
                <w:szCs w:val="20"/>
              </w:rPr>
              <w:t>Litvanya</w:t>
            </w:r>
          </w:p>
        </w:tc>
        <w:tc>
          <w:tcPr>
            <w:tcW w:w="0" w:type="auto"/>
          </w:tcPr>
          <w:p w:rsidR="002A4B2B" w:rsidRPr="005D3B2C" w:rsidRDefault="001A148B" w:rsidP="002A4B2B">
            <w:pPr>
              <w:jc w:val="both"/>
              <w:rPr>
                <w:rFonts w:ascii="Times New Roman" w:hAnsi="Times New Roman" w:cs="Times New Roman"/>
                <w:sz w:val="20"/>
                <w:szCs w:val="20"/>
              </w:rPr>
            </w:pPr>
            <w:r w:rsidRPr="005D3B2C">
              <w:rPr>
                <w:rFonts w:ascii="Times New Roman" w:hAnsi="Times New Roman" w:cs="Times New Roman"/>
                <w:sz w:val="20"/>
                <w:szCs w:val="20"/>
              </w:rPr>
              <w:t xml:space="preserve">Mali </w:t>
            </w:r>
            <w:r w:rsidR="002A4B2B" w:rsidRPr="005D3B2C">
              <w:rPr>
                <w:rFonts w:ascii="Times New Roman" w:hAnsi="Times New Roman" w:cs="Times New Roman"/>
                <w:sz w:val="20"/>
                <w:szCs w:val="20"/>
              </w:rPr>
              <w:t xml:space="preserve">durumu zorda olan birey ve ailelere </w:t>
            </w:r>
            <w:r w:rsidRPr="005D3B2C">
              <w:rPr>
                <w:rFonts w:ascii="Times New Roman" w:hAnsi="Times New Roman" w:cs="Times New Roman"/>
                <w:sz w:val="20"/>
                <w:szCs w:val="20"/>
              </w:rPr>
              <w:t xml:space="preserve">konut ısıtma ve su masrafları </w:t>
            </w:r>
            <w:r w:rsidR="002A4B2B" w:rsidRPr="005D3B2C">
              <w:rPr>
                <w:rFonts w:ascii="Times New Roman" w:hAnsi="Times New Roman" w:cs="Times New Roman"/>
                <w:sz w:val="20"/>
                <w:szCs w:val="20"/>
              </w:rPr>
              <w:t>gibi sosyal yardımlar yapılması</w:t>
            </w:r>
          </w:p>
          <w:p w:rsidR="00766D0A" w:rsidRPr="005D3B2C" w:rsidRDefault="001A148B" w:rsidP="002A4B2B">
            <w:pPr>
              <w:jc w:val="both"/>
              <w:rPr>
                <w:rFonts w:ascii="Times New Roman" w:hAnsi="Times New Roman" w:cs="Times New Roman"/>
                <w:sz w:val="20"/>
                <w:szCs w:val="20"/>
              </w:rPr>
            </w:pPr>
            <w:r w:rsidRPr="005D3B2C">
              <w:rPr>
                <w:rFonts w:ascii="Times New Roman" w:hAnsi="Times New Roman" w:cs="Times New Roman"/>
                <w:sz w:val="20"/>
                <w:szCs w:val="20"/>
              </w:rPr>
              <w:t>2021 yılında kişi başı aylık ortalama geliri 140,8 Avroyu geçmeyen kişiler</w:t>
            </w:r>
            <w:r w:rsidR="002A4B2B" w:rsidRPr="005D3B2C">
              <w:rPr>
                <w:rFonts w:ascii="Times New Roman" w:hAnsi="Times New Roman" w:cs="Times New Roman"/>
                <w:sz w:val="20"/>
                <w:szCs w:val="20"/>
              </w:rPr>
              <w:t>in</w:t>
            </w:r>
            <w:r w:rsidR="00632E31">
              <w:rPr>
                <w:rFonts w:ascii="Times New Roman" w:hAnsi="Times New Roman" w:cs="Times New Roman"/>
                <w:sz w:val="20"/>
                <w:szCs w:val="20"/>
              </w:rPr>
              <w:t xml:space="preserve"> sosyal yardım alma</w:t>
            </w:r>
            <w:r w:rsidR="002A4B2B" w:rsidRPr="005D3B2C">
              <w:rPr>
                <w:rFonts w:ascii="Times New Roman" w:hAnsi="Times New Roman" w:cs="Times New Roman"/>
                <w:sz w:val="20"/>
                <w:szCs w:val="20"/>
              </w:rPr>
              <w:t>sı</w:t>
            </w:r>
          </w:p>
        </w:tc>
      </w:tr>
      <w:tr w:rsidR="009C5175" w:rsidRPr="005D3B2C" w:rsidTr="005D3B2C">
        <w:tc>
          <w:tcPr>
            <w:tcW w:w="0" w:type="auto"/>
          </w:tcPr>
          <w:p w:rsidR="00766D0A" w:rsidRPr="005D3B2C" w:rsidRDefault="00773677" w:rsidP="00C309DA">
            <w:pPr>
              <w:jc w:val="both"/>
              <w:rPr>
                <w:rFonts w:ascii="Times New Roman" w:hAnsi="Times New Roman" w:cs="Times New Roman"/>
                <w:sz w:val="20"/>
                <w:szCs w:val="20"/>
              </w:rPr>
            </w:pPr>
            <w:r w:rsidRPr="005D3B2C">
              <w:rPr>
                <w:rFonts w:ascii="Times New Roman" w:hAnsi="Times New Roman" w:cs="Times New Roman"/>
                <w:sz w:val="20"/>
                <w:szCs w:val="20"/>
              </w:rPr>
              <w:t>Çek Cumhuriyeti</w:t>
            </w:r>
          </w:p>
        </w:tc>
        <w:tc>
          <w:tcPr>
            <w:tcW w:w="0" w:type="auto"/>
          </w:tcPr>
          <w:p w:rsidR="00766D0A" w:rsidRPr="005D3B2C" w:rsidRDefault="002A4B2B" w:rsidP="00632E31">
            <w:pPr>
              <w:jc w:val="both"/>
              <w:rPr>
                <w:rFonts w:ascii="Times New Roman" w:hAnsi="Times New Roman" w:cs="Times New Roman"/>
                <w:sz w:val="20"/>
                <w:szCs w:val="20"/>
              </w:rPr>
            </w:pPr>
            <w:r w:rsidRPr="005D3B2C">
              <w:rPr>
                <w:rFonts w:ascii="Times New Roman" w:hAnsi="Times New Roman" w:cs="Times New Roman"/>
                <w:sz w:val="20"/>
                <w:szCs w:val="20"/>
              </w:rPr>
              <w:t>Y</w:t>
            </w:r>
            <w:r w:rsidR="00773677" w:rsidRPr="005D3B2C">
              <w:rPr>
                <w:rFonts w:ascii="Times New Roman" w:hAnsi="Times New Roman" w:cs="Times New Roman"/>
                <w:sz w:val="20"/>
                <w:szCs w:val="20"/>
              </w:rPr>
              <w:t>asal emeklilik</w:t>
            </w:r>
            <w:r w:rsidRPr="005D3B2C">
              <w:rPr>
                <w:rFonts w:ascii="Times New Roman" w:hAnsi="Times New Roman" w:cs="Times New Roman"/>
                <w:sz w:val="20"/>
                <w:szCs w:val="20"/>
              </w:rPr>
              <w:t xml:space="preserve"> (yaşlılık, engelli, dul ve yetim)</w:t>
            </w:r>
            <w:r w:rsidR="00773677" w:rsidRPr="005D3B2C">
              <w:rPr>
                <w:rFonts w:ascii="Times New Roman" w:hAnsi="Times New Roman" w:cs="Times New Roman"/>
                <w:sz w:val="20"/>
                <w:szCs w:val="20"/>
              </w:rPr>
              <w:t xml:space="preserve"> maaşından yararlananlara CSSA aracılığıyla bir defaya mahsus olmak üzere 5000 CZK tut</w:t>
            </w:r>
            <w:r w:rsidRPr="005D3B2C">
              <w:rPr>
                <w:rFonts w:ascii="Times New Roman" w:hAnsi="Times New Roman" w:cs="Times New Roman"/>
                <w:sz w:val="20"/>
                <w:szCs w:val="20"/>
              </w:rPr>
              <w:t>arında yeni bir ek</w:t>
            </w:r>
            <w:r w:rsidR="00632E31">
              <w:rPr>
                <w:rFonts w:ascii="Times New Roman" w:hAnsi="Times New Roman" w:cs="Times New Roman"/>
                <w:sz w:val="20"/>
                <w:szCs w:val="20"/>
              </w:rPr>
              <w:t xml:space="preserve"> gelir </w:t>
            </w:r>
            <w:r w:rsidRPr="005D3B2C">
              <w:rPr>
                <w:rFonts w:ascii="Times New Roman" w:hAnsi="Times New Roman" w:cs="Times New Roman"/>
                <w:sz w:val="20"/>
                <w:szCs w:val="20"/>
              </w:rPr>
              <w:t>sağlanması</w:t>
            </w:r>
          </w:p>
        </w:tc>
      </w:tr>
      <w:tr w:rsidR="009C5175" w:rsidRPr="005D3B2C" w:rsidTr="005D3B2C">
        <w:tc>
          <w:tcPr>
            <w:tcW w:w="0" w:type="auto"/>
          </w:tcPr>
          <w:p w:rsidR="00766D0A" w:rsidRPr="005D3B2C" w:rsidRDefault="00691FB5" w:rsidP="00C309DA">
            <w:pPr>
              <w:jc w:val="both"/>
              <w:rPr>
                <w:rFonts w:ascii="Times New Roman" w:hAnsi="Times New Roman" w:cs="Times New Roman"/>
                <w:sz w:val="20"/>
                <w:szCs w:val="20"/>
              </w:rPr>
            </w:pPr>
            <w:r w:rsidRPr="005D3B2C">
              <w:rPr>
                <w:rFonts w:ascii="Times New Roman" w:hAnsi="Times New Roman" w:cs="Times New Roman"/>
                <w:sz w:val="20"/>
                <w:szCs w:val="20"/>
              </w:rPr>
              <w:t>Avusturya</w:t>
            </w:r>
          </w:p>
        </w:tc>
        <w:tc>
          <w:tcPr>
            <w:tcW w:w="0" w:type="auto"/>
          </w:tcPr>
          <w:p w:rsidR="002A4B2B" w:rsidRPr="005D3B2C" w:rsidRDefault="00691FB5" w:rsidP="00C309DA">
            <w:pPr>
              <w:jc w:val="both"/>
              <w:rPr>
                <w:rFonts w:ascii="Times New Roman" w:hAnsi="Times New Roman" w:cs="Times New Roman"/>
                <w:sz w:val="20"/>
                <w:szCs w:val="20"/>
              </w:rPr>
            </w:pPr>
            <w:r w:rsidRPr="005D3B2C">
              <w:rPr>
                <w:rFonts w:ascii="Times New Roman" w:hAnsi="Times New Roman" w:cs="Times New Roman"/>
                <w:sz w:val="20"/>
                <w:szCs w:val="20"/>
              </w:rPr>
              <w:t>Devam</w:t>
            </w:r>
            <w:r w:rsidR="002A4B2B" w:rsidRPr="005D3B2C">
              <w:rPr>
                <w:rFonts w:ascii="Times New Roman" w:hAnsi="Times New Roman" w:cs="Times New Roman"/>
                <w:sz w:val="20"/>
                <w:szCs w:val="20"/>
              </w:rPr>
              <w:t xml:space="preserve"> eden </w:t>
            </w:r>
            <w:r w:rsidR="00632E31" w:rsidRPr="005D3B2C">
              <w:rPr>
                <w:rFonts w:ascii="Times New Roman" w:hAnsi="Times New Roman" w:cs="Times New Roman"/>
                <w:sz w:val="20"/>
                <w:szCs w:val="20"/>
              </w:rPr>
              <w:t xml:space="preserve">Covid-19 </w:t>
            </w:r>
            <w:r w:rsidR="002A4B2B" w:rsidRPr="005D3B2C">
              <w:rPr>
                <w:rFonts w:ascii="Times New Roman" w:hAnsi="Times New Roman" w:cs="Times New Roman"/>
                <w:sz w:val="20"/>
                <w:szCs w:val="20"/>
              </w:rPr>
              <w:t>krizi nedeniyle 200.000 kişinin yaralandığı Aralık 2020’de biten acil durum yardımının Mart 2021'e kadar uzatılması</w:t>
            </w:r>
          </w:p>
          <w:p w:rsidR="00691FB5" w:rsidRPr="005D3B2C" w:rsidRDefault="002A4B2B" w:rsidP="00C309DA">
            <w:pPr>
              <w:jc w:val="both"/>
              <w:rPr>
                <w:rFonts w:ascii="Times New Roman" w:hAnsi="Times New Roman" w:cs="Times New Roman"/>
                <w:sz w:val="20"/>
                <w:szCs w:val="20"/>
              </w:rPr>
            </w:pPr>
            <w:r w:rsidRPr="005D3B2C">
              <w:rPr>
                <w:rFonts w:ascii="Times New Roman" w:hAnsi="Times New Roman" w:cs="Times New Roman"/>
                <w:sz w:val="20"/>
                <w:szCs w:val="20"/>
              </w:rPr>
              <w:t xml:space="preserve">Uzaktan çalışma </w:t>
            </w:r>
            <w:proofErr w:type="gramStart"/>
            <w:r w:rsidRPr="005D3B2C">
              <w:rPr>
                <w:rFonts w:ascii="Times New Roman" w:hAnsi="Times New Roman" w:cs="Times New Roman"/>
                <w:sz w:val="20"/>
                <w:szCs w:val="20"/>
              </w:rPr>
              <w:t>imkanı</w:t>
            </w:r>
            <w:proofErr w:type="gramEnd"/>
            <w:r w:rsidRPr="005D3B2C">
              <w:rPr>
                <w:rFonts w:ascii="Times New Roman" w:hAnsi="Times New Roman" w:cs="Times New Roman"/>
                <w:sz w:val="20"/>
                <w:szCs w:val="20"/>
              </w:rPr>
              <w:t xml:space="preserve"> olamayan ve hamileler için ücretli izinlerin uzatılması</w:t>
            </w:r>
          </w:p>
        </w:tc>
      </w:tr>
      <w:tr w:rsidR="009C5175" w:rsidRPr="005D3B2C" w:rsidTr="005D3B2C">
        <w:tc>
          <w:tcPr>
            <w:tcW w:w="0" w:type="auto"/>
          </w:tcPr>
          <w:p w:rsidR="00773677" w:rsidRPr="005D3B2C" w:rsidRDefault="005B2B62" w:rsidP="00C309DA">
            <w:pPr>
              <w:jc w:val="both"/>
              <w:rPr>
                <w:rFonts w:ascii="Times New Roman" w:hAnsi="Times New Roman" w:cs="Times New Roman"/>
                <w:sz w:val="20"/>
                <w:szCs w:val="20"/>
              </w:rPr>
            </w:pPr>
            <w:r w:rsidRPr="005D3B2C">
              <w:rPr>
                <w:rFonts w:ascii="Times New Roman" w:hAnsi="Times New Roman" w:cs="Times New Roman"/>
                <w:sz w:val="20"/>
                <w:szCs w:val="20"/>
              </w:rPr>
              <w:t>Norveç</w:t>
            </w:r>
          </w:p>
        </w:tc>
        <w:tc>
          <w:tcPr>
            <w:tcW w:w="0" w:type="auto"/>
          </w:tcPr>
          <w:p w:rsidR="00773677" w:rsidRPr="005D3B2C" w:rsidRDefault="005B2B62" w:rsidP="00830A54">
            <w:pPr>
              <w:jc w:val="both"/>
              <w:rPr>
                <w:rFonts w:ascii="Times New Roman" w:hAnsi="Times New Roman" w:cs="Times New Roman"/>
                <w:sz w:val="20"/>
                <w:szCs w:val="20"/>
              </w:rPr>
            </w:pPr>
            <w:proofErr w:type="spellStart"/>
            <w:r w:rsidRPr="005D3B2C">
              <w:rPr>
                <w:rFonts w:ascii="Times New Roman" w:hAnsi="Times New Roman" w:cs="Times New Roman"/>
                <w:sz w:val="20"/>
                <w:szCs w:val="20"/>
              </w:rPr>
              <w:t>Koronavirüs</w:t>
            </w:r>
            <w:proofErr w:type="spellEnd"/>
            <w:r w:rsidRPr="005D3B2C">
              <w:rPr>
                <w:rFonts w:ascii="Times New Roman" w:hAnsi="Times New Roman" w:cs="Times New Roman"/>
                <w:sz w:val="20"/>
                <w:szCs w:val="20"/>
              </w:rPr>
              <w:t xml:space="preserve"> nedeniyle bakım ödeneği önlemi</w:t>
            </w:r>
            <w:r w:rsidR="00830A54" w:rsidRPr="005D3B2C">
              <w:rPr>
                <w:rFonts w:ascii="Times New Roman" w:hAnsi="Times New Roman" w:cs="Times New Roman"/>
                <w:sz w:val="20"/>
                <w:szCs w:val="20"/>
              </w:rPr>
              <w:t>nin 2021'de devam etmesi</w:t>
            </w:r>
          </w:p>
        </w:tc>
      </w:tr>
      <w:tr w:rsidR="006C51CC" w:rsidRPr="005D3B2C" w:rsidTr="005D3B2C">
        <w:tc>
          <w:tcPr>
            <w:tcW w:w="0" w:type="auto"/>
          </w:tcPr>
          <w:p w:rsidR="006C51CC" w:rsidRPr="00632E31" w:rsidRDefault="006C51CC" w:rsidP="00C309DA">
            <w:pPr>
              <w:jc w:val="both"/>
              <w:rPr>
                <w:rFonts w:ascii="Times New Roman" w:hAnsi="Times New Roman" w:cs="Times New Roman"/>
                <w:sz w:val="20"/>
                <w:szCs w:val="20"/>
              </w:rPr>
            </w:pPr>
            <w:r w:rsidRPr="00632E31">
              <w:rPr>
                <w:rFonts w:ascii="Times New Roman" w:hAnsi="Times New Roman" w:cs="Times New Roman"/>
                <w:sz w:val="20"/>
                <w:szCs w:val="20"/>
              </w:rPr>
              <w:t>Ekvator</w:t>
            </w:r>
          </w:p>
        </w:tc>
        <w:tc>
          <w:tcPr>
            <w:tcW w:w="0" w:type="auto"/>
          </w:tcPr>
          <w:p w:rsidR="006C51CC" w:rsidRPr="00632E31" w:rsidRDefault="00632E31" w:rsidP="00632E31">
            <w:pPr>
              <w:jc w:val="both"/>
              <w:rPr>
                <w:rFonts w:ascii="Times New Roman" w:hAnsi="Times New Roman" w:cs="Times New Roman"/>
                <w:sz w:val="20"/>
                <w:szCs w:val="20"/>
              </w:rPr>
            </w:pPr>
            <w:proofErr w:type="spellStart"/>
            <w:r w:rsidRPr="00632E31">
              <w:rPr>
                <w:rFonts w:ascii="Times New Roman" w:hAnsi="Times New Roman" w:cs="Times New Roman"/>
                <w:sz w:val="20"/>
                <w:szCs w:val="20"/>
              </w:rPr>
              <w:t>K</w:t>
            </w:r>
            <w:r w:rsidR="006C51CC" w:rsidRPr="00632E31">
              <w:rPr>
                <w:rFonts w:ascii="Times New Roman" w:hAnsi="Times New Roman" w:cs="Times New Roman"/>
                <w:sz w:val="20"/>
                <w:szCs w:val="20"/>
              </w:rPr>
              <w:t>ayıtdışı</w:t>
            </w:r>
            <w:proofErr w:type="spellEnd"/>
            <w:r w:rsidR="006C51CC" w:rsidRPr="00632E31">
              <w:rPr>
                <w:rFonts w:ascii="Times New Roman" w:hAnsi="Times New Roman" w:cs="Times New Roman"/>
                <w:sz w:val="20"/>
                <w:szCs w:val="20"/>
              </w:rPr>
              <w:t xml:space="preserve"> ekonomide çalışan ve </w:t>
            </w:r>
            <w:r w:rsidR="006C51CC" w:rsidRPr="00632E31">
              <w:rPr>
                <w:rFonts w:ascii="Times New Roman" w:hAnsi="Times New Roman" w:cs="Times New Roman"/>
                <w:sz w:val="20"/>
                <w:szCs w:val="20"/>
              </w:rPr>
              <w:t>hem hastalanan h</w:t>
            </w:r>
            <w:r w:rsidR="006C51CC" w:rsidRPr="00632E31">
              <w:rPr>
                <w:rFonts w:ascii="Times New Roman" w:hAnsi="Times New Roman" w:cs="Times New Roman"/>
                <w:sz w:val="20"/>
                <w:szCs w:val="20"/>
              </w:rPr>
              <w:t xml:space="preserve">em de hastalıktan başka şekilde </w:t>
            </w:r>
            <w:r w:rsidR="006C51CC" w:rsidRPr="00632E31">
              <w:rPr>
                <w:rFonts w:ascii="Times New Roman" w:hAnsi="Times New Roman" w:cs="Times New Roman"/>
                <w:sz w:val="20"/>
                <w:szCs w:val="20"/>
              </w:rPr>
              <w:t>etkilenen işçiler ve a</w:t>
            </w:r>
            <w:r w:rsidRPr="00632E31">
              <w:rPr>
                <w:rFonts w:ascii="Times New Roman" w:hAnsi="Times New Roman" w:cs="Times New Roman"/>
                <w:sz w:val="20"/>
                <w:szCs w:val="20"/>
              </w:rPr>
              <w:t>ilelere</w:t>
            </w:r>
            <w:r w:rsidR="006C51CC" w:rsidRPr="00632E31">
              <w:rPr>
                <w:rFonts w:ascii="Times New Roman" w:hAnsi="Times New Roman" w:cs="Times New Roman"/>
                <w:sz w:val="20"/>
                <w:szCs w:val="20"/>
              </w:rPr>
              <w:t xml:space="preserve"> özel bir </w:t>
            </w:r>
            <w:r w:rsidRPr="00632E31">
              <w:rPr>
                <w:rFonts w:ascii="Times New Roman" w:hAnsi="Times New Roman" w:cs="Times New Roman"/>
                <w:sz w:val="20"/>
                <w:szCs w:val="20"/>
              </w:rPr>
              <w:t xml:space="preserve">Covid-19 </w:t>
            </w:r>
            <w:r w:rsidR="006C51CC" w:rsidRPr="00632E31">
              <w:rPr>
                <w:rFonts w:ascii="Times New Roman" w:hAnsi="Times New Roman" w:cs="Times New Roman"/>
                <w:sz w:val="20"/>
                <w:szCs w:val="20"/>
              </w:rPr>
              <w:t xml:space="preserve">“acil </w:t>
            </w:r>
            <w:r w:rsidR="006C51CC" w:rsidRPr="00632E31">
              <w:rPr>
                <w:rFonts w:ascii="Times New Roman" w:hAnsi="Times New Roman" w:cs="Times New Roman"/>
                <w:sz w:val="20"/>
                <w:szCs w:val="20"/>
              </w:rPr>
              <w:t>durum yardımı”</w:t>
            </w:r>
            <w:r w:rsidRPr="00632E31">
              <w:rPr>
                <w:rFonts w:ascii="Times New Roman" w:hAnsi="Times New Roman" w:cs="Times New Roman"/>
                <w:sz w:val="20"/>
                <w:szCs w:val="20"/>
              </w:rPr>
              <w:t xml:space="preserve"> sağlanması</w:t>
            </w:r>
          </w:p>
        </w:tc>
      </w:tr>
      <w:tr w:rsidR="009C5175" w:rsidRPr="005D3B2C" w:rsidTr="005D3B2C">
        <w:tc>
          <w:tcPr>
            <w:tcW w:w="0" w:type="auto"/>
          </w:tcPr>
          <w:p w:rsidR="00773677" w:rsidRPr="005D3B2C" w:rsidRDefault="002D79B8" w:rsidP="00C309DA">
            <w:pPr>
              <w:jc w:val="both"/>
              <w:rPr>
                <w:rFonts w:ascii="Times New Roman" w:hAnsi="Times New Roman" w:cs="Times New Roman"/>
                <w:sz w:val="20"/>
                <w:szCs w:val="20"/>
              </w:rPr>
            </w:pPr>
            <w:r w:rsidRPr="005D3B2C">
              <w:rPr>
                <w:rFonts w:ascii="Times New Roman" w:hAnsi="Times New Roman" w:cs="Times New Roman"/>
                <w:sz w:val="20"/>
                <w:szCs w:val="20"/>
              </w:rPr>
              <w:t>İrlanda</w:t>
            </w:r>
          </w:p>
        </w:tc>
        <w:tc>
          <w:tcPr>
            <w:tcW w:w="0" w:type="auto"/>
          </w:tcPr>
          <w:p w:rsidR="00773677" w:rsidRPr="005D3B2C" w:rsidRDefault="002D79B8" w:rsidP="00C309DA">
            <w:pPr>
              <w:jc w:val="both"/>
              <w:rPr>
                <w:rFonts w:ascii="Times New Roman" w:hAnsi="Times New Roman" w:cs="Times New Roman"/>
                <w:sz w:val="20"/>
                <w:szCs w:val="20"/>
              </w:rPr>
            </w:pPr>
            <w:r w:rsidRPr="005D3B2C">
              <w:rPr>
                <w:rFonts w:ascii="Times New Roman" w:hAnsi="Times New Roman" w:cs="Times New Roman"/>
                <w:sz w:val="20"/>
                <w:szCs w:val="20"/>
              </w:rPr>
              <w:t>Bakmakla yükümlü olunan nitelikli çocuklara ödenen ödemeler 12 yaş ve üstü çocuklar için 5 € ve 12 yaşına ka</w:t>
            </w:r>
            <w:r w:rsidR="00632E31">
              <w:rPr>
                <w:rFonts w:ascii="Times New Roman" w:hAnsi="Times New Roman" w:cs="Times New Roman"/>
                <w:sz w:val="20"/>
                <w:szCs w:val="20"/>
              </w:rPr>
              <w:t>dar çocuklar için 2 € artırılması</w:t>
            </w:r>
            <w:r w:rsidRPr="005D3B2C">
              <w:rPr>
                <w:rFonts w:ascii="Times New Roman" w:hAnsi="Times New Roman" w:cs="Times New Roman"/>
                <w:sz w:val="20"/>
                <w:szCs w:val="20"/>
              </w:rPr>
              <w:t xml:space="preserve">, yani haftalık sosyal yardım ödemeleri alan ebeveynler haftalık ödeme </w:t>
            </w:r>
            <w:r w:rsidR="00632E31">
              <w:rPr>
                <w:rFonts w:ascii="Times New Roman" w:hAnsi="Times New Roman" w:cs="Times New Roman"/>
                <w:sz w:val="20"/>
                <w:szCs w:val="20"/>
              </w:rPr>
              <w:t>oranlarında bir artış sağlanması</w:t>
            </w:r>
          </w:p>
        </w:tc>
      </w:tr>
      <w:tr w:rsidR="009C5175" w:rsidRPr="005D3B2C" w:rsidTr="005D3B2C">
        <w:tc>
          <w:tcPr>
            <w:tcW w:w="0" w:type="auto"/>
          </w:tcPr>
          <w:p w:rsidR="00773677" w:rsidRPr="005D3B2C" w:rsidRDefault="006C51CC" w:rsidP="00C309DA">
            <w:pPr>
              <w:jc w:val="both"/>
              <w:rPr>
                <w:rFonts w:ascii="Times New Roman" w:hAnsi="Times New Roman" w:cs="Times New Roman"/>
                <w:sz w:val="20"/>
                <w:szCs w:val="20"/>
              </w:rPr>
            </w:pPr>
            <w:r w:rsidRPr="005D3B2C">
              <w:rPr>
                <w:rFonts w:ascii="Times New Roman" w:hAnsi="Times New Roman" w:cs="Times New Roman"/>
                <w:sz w:val="20"/>
                <w:szCs w:val="20"/>
              </w:rPr>
              <w:t>Finlandiya</w:t>
            </w:r>
          </w:p>
        </w:tc>
        <w:tc>
          <w:tcPr>
            <w:tcW w:w="0" w:type="auto"/>
          </w:tcPr>
          <w:p w:rsidR="00773677" w:rsidRPr="005D3B2C" w:rsidRDefault="00351F0E" w:rsidP="00C309DA">
            <w:pPr>
              <w:jc w:val="both"/>
              <w:rPr>
                <w:rFonts w:ascii="Times New Roman" w:hAnsi="Times New Roman" w:cs="Times New Roman"/>
                <w:sz w:val="20"/>
                <w:szCs w:val="20"/>
              </w:rPr>
            </w:pPr>
            <w:r w:rsidRPr="005D3B2C">
              <w:rPr>
                <w:rFonts w:ascii="Times New Roman" w:hAnsi="Times New Roman" w:cs="Times New Roman"/>
                <w:sz w:val="20"/>
                <w:szCs w:val="20"/>
              </w:rPr>
              <w:t>İşsizlik parası kanunlarında yapılan bazı geçici değişiklikler</w:t>
            </w:r>
            <w:r w:rsidR="00632E31">
              <w:rPr>
                <w:rFonts w:ascii="Times New Roman" w:hAnsi="Times New Roman" w:cs="Times New Roman"/>
                <w:sz w:val="20"/>
                <w:szCs w:val="20"/>
              </w:rPr>
              <w:t>in</w:t>
            </w:r>
            <w:r w:rsidRPr="005D3B2C">
              <w:rPr>
                <w:rFonts w:ascii="Times New Roman" w:hAnsi="Times New Roman" w:cs="Times New Roman"/>
                <w:sz w:val="20"/>
                <w:szCs w:val="20"/>
              </w:rPr>
              <w:t xml:space="preserve"> Mar</w:t>
            </w:r>
            <w:r w:rsidR="00632E31">
              <w:rPr>
                <w:rFonts w:ascii="Times New Roman" w:hAnsi="Times New Roman" w:cs="Times New Roman"/>
                <w:sz w:val="20"/>
                <w:szCs w:val="20"/>
              </w:rPr>
              <w:t>t 2021'in sonuna kadar uzatılması</w:t>
            </w:r>
          </w:p>
        </w:tc>
      </w:tr>
      <w:tr w:rsidR="009C5175" w:rsidRPr="005D3B2C" w:rsidTr="005D3B2C">
        <w:tc>
          <w:tcPr>
            <w:tcW w:w="0" w:type="auto"/>
          </w:tcPr>
          <w:p w:rsidR="00773677" w:rsidRPr="005D3B2C" w:rsidRDefault="00E84CC5" w:rsidP="00C309DA">
            <w:pPr>
              <w:jc w:val="both"/>
              <w:rPr>
                <w:rFonts w:ascii="Times New Roman" w:hAnsi="Times New Roman" w:cs="Times New Roman"/>
                <w:sz w:val="20"/>
                <w:szCs w:val="20"/>
              </w:rPr>
            </w:pPr>
            <w:r w:rsidRPr="005D3B2C">
              <w:rPr>
                <w:rFonts w:ascii="Times New Roman" w:hAnsi="Times New Roman" w:cs="Times New Roman"/>
                <w:sz w:val="20"/>
                <w:szCs w:val="20"/>
              </w:rPr>
              <w:t>Letonya</w:t>
            </w:r>
          </w:p>
        </w:tc>
        <w:tc>
          <w:tcPr>
            <w:tcW w:w="0" w:type="auto"/>
          </w:tcPr>
          <w:p w:rsidR="00773677" w:rsidRPr="005D3B2C" w:rsidRDefault="00E84CC5" w:rsidP="00830A54">
            <w:pPr>
              <w:jc w:val="both"/>
              <w:rPr>
                <w:rFonts w:ascii="Times New Roman" w:hAnsi="Times New Roman" w:cs="Times New Roman"/>
                <w:sz w:val="20"/>
                <w:szCs w:val="20"/>
              </w:rPr>
            </w:pPr>
            <w:r w:rsidRPr="005D3B2C">
              <w:rPr>
                <w:rFonts w:ascii="Times New Roman" w:hAnsi="Times New Roman" w:cs="Times New Roman"/>
                <w:sz w:val="20"/>
                <w:szCs w:val="20"/>
              </w:rPr>
              <w:t xml:space="preserve">Sosyal ve İstihdam Meseleleri Komitesi tarafından onaylanan Annelik ve Hastalık Sigortası Yasasında yapılan değişikliklerle öngörüldüğü üzere, </w:t>
            </w:r>
            <w:r w:rsidR="00632E31" w:rsidRPr="00632E31">
              <w:rPr>
                <w:rFonts w:ascii="Times New Roman" w:hAnsi="Times New Roman" w:cs="Times New Roman"/>
                <w:sz w:val="20"/>
                <w:szCs w:val="20"/>
              </w:rPr>
              <w:t xml:space="preserve">Covid-19 </w:t>
            </w:r>
            <w:r w:rsidRPr="005D3B2C">
              <w:rPr>
                <w:rFonts w:ascii="Times New Roman" w:hAnsi="Times New Roman" w:cs="Times New Roman"/>
                <w:sz w:val="20"/>
                <w:szCs w:val="20"/>
              </w:rPr>
              <w:t xml:space="preserve">salgını sırasında çocuk bakımı ödeneği Haziran 2021’e kadar </w:t>
            </w:r>
            <w:r w:rsidR="00632E31">
              <w:rPr>
                <w:rFonts w:ascii="Times New Roman" w:hAnsi="Times New Roman" w:cs="Times New Roman"/>
                <w:sz w:val="20"/>
                <w:szCs w:val="20"/>
              </w:rPr>
              <w:t>uzatılması</w:t>
            </w:r>
          </w:p>
        </w:tc>
      </w:tr>
      <w:tr w:rsidR="009C5175" w:rsidRPr="005D3B2C" w:rsidTr="005D3B2C">
        <w:tc>
          <w:tcPr>
            <w:tcW w:w="0" w:type="auto"/>
          </w:tcPr>
          <w:p w:rsidR="00773677" w:rsidRPr="005D3B2C" w:rsidRDefault="00E84CC5" w:rsidP="00C309DA">
            <w:pPr>
              <w:jc w:val="both"/>
              <w:rPr>
                <w:rFonts w:ascii="Times New Roman" w:hAnsi="Times New Roman" w:cs="Times New Roman"/>
                <w:sz w:val="20"/>
                <w:szCs w:val="20"/>
              </w:rPr>
            </w:pPr>
            <w:r w:rsidRPr="005D3B2C">
              <w:rPr>
                <w:rFonts w:ascii="Times New Roman" w:hAnsi="Times New Roman" w:cs="Times New Roman"/>
                <w:sz w:val="20"/>
                <w:szCs w:val="20"/>
              </w:rPr>
              <w:t>Kanada</w:t>
            </w:r>
          </w:p>
        </w:tc>
        <w:tc>
          <w:tcPr>
            <w:tcW w:w="0" w:type="auto"/>
          </w:tcPr>
          <w:p w:rsidR="00773677" w:rsidRPr="005D3B2C" w:rsidRDefault="00E84CC5" w:rsidP="00E84CC5">
            <w:pPr>
              <w:jc w:val="both"/>
              <w:rPr>
                <w:rFonts w:ascii="Times New Roman" w:hAnsi="Times New Roman" w:cs="Times New Roman"/>
                <w:sz w:val="20"/>
                <w:szCs w:val="20"/>
              </w:rPr>
            </w:pPr>
            <w:r w:rsidRPr="005D3B2C">
              <w:rPr>
                <w:rFonts w:ascii="Times New Roman" w:hAnsi="Times New Roman" w:cs="Times New Roman"/>
                <w:sz w:val="20"/>
                <w:szCs w:val="20"/>
              </w:rPr>
              <w:t>COVID-19 nedeniyle çalışmayı bırakmış veya istihdam / serbest meslek gelirleri en az</w:t>
            </w:r>
            <w:r w:rsidR="00830A54" w:rsidRPr="005D3B2C">
              <w:rPr>
                <w:rFonts w:ascii="Times New Roman" w:hAnsi="Times New Roman" w:cs="Times New Roman"/>
                <w:sz w:val="20"/>
                <w:szCs w:val="20"/>
              </w:rPr>
              <w:t xml:space="preserve"> %</w:t>
            </w:r>
            <w:r w:rsidRPr="005D3B2C">
              <w:rPr>
                <w:rFonts w:ascii="Times New Roman" w:hAnsi="Times New Roman" w:cs="Times New Roman"/>
                <w:sz w:val="20"/>
                <w:szCs w:val="20"/>
              </w:rPr>
              <w:t>50 azalmış işçilere 26 haf</w:t>
            </w:r>
            <w:r w:rsidR="00830A54" w:rsidRPr="005D3B2C">
              <w:rPr>
                <w:rFonts w:ascii="Times New Roman" w:hAnsi="Times New Roman" w:cs="Times New Roman"/>
                <w:sz w:val="20"/>
                <w:szCs w:val="20"/>
              </w:rPr>
              <w:t>taya kadar haftada 500 $ sağlanması</w:t>
            </w:r>
          </w:p>
          <w:p w:rsidR="00020365" w:rsidRPr="005D3B2C" w:rsidRDefault="00830A54" w:rsidP="00E84CC5">
            <w:pPr>
              <w:jc w:val="both"/>
              <w:rPr>
                <w:rFonts w:ascii="Times New Roman" w:hAnsi="Times New Roman" w:cs="Times New Roman"/>
                <w:sz w:val="20"/>
                <w:szCs w:val="20"/>
              </w:rPr>
            </w:pPr>
            <w:r w:rsidRPr="005D3B2C">
              <w:rPr>
                <w:rFonts w:ascii="Times New Roman" w:hAnsi="Times New Roman" w:cs="Times New Roman"/>
                <w:sz w:val="20"/>
                <w:szCs w:val="20"/>
              </w:rPr>
              <w:t>K</w:t>
            </w:r>
            <w:r w:rsidR="00020365" w:rsidRPr="005D3B2C">
              <w:rPr>
                <w:rFonts w:ascii="Times New Roman" w:hAnsi="Times New Roman" w:cs="Times New Roman"/>
                <w:sz w:val="20"/>
                <w:szCs w:val="20"/>
              </w:rPr>
              <w:t xml:space="preserve">ronik </w:t>
            </w:r>
            <w:r w:rsidRPr="005D3B2C">
              <w:rPr>
                <w:rFonts w:ascii="Times New Roman" w:hAnsi="Times New Roman" w:cs="Times New Roman"/>
                <w:sz w:val="20"/>
                <w:szCs w:val="20"/>
              </w:rPr>
              <w:t>rahatsızlığı olan insanların</w:t>
            </w:r>
            <w:r w:rsidR="00020365" w:rsidRPr="005D3B2C">
              <w:rPr>
                <w:rFonts w:ascii="Times New Roman" w:hAnsi="Times New Roman" w:cs="Times New Roman"/>
                <w:sz w:val="20"/>
                <w:szCs w:val="20"/>
              </w:rPr>
              <w:t xml:space="preserve"> destek ve bakıma erişim sağlanmasına yardımcı olacak üç proje için yaklaşık 3,5 milyon dol</w:t>
            </w:r>
            <w:r w:rsidRPr="005D3B2C">
              <w:rPr>
                <w:rFonts w:ascii="Times New Roman" w:hAnsi="Times New Roman" w:cs="Times New Roman"/>
                <w:sz w:val="20"/>
                <w:szCs w:val="20"/>
              </w:rPr>
              <w:t>arlık fon sağlanması</w:t>
            </w:r>
          </w:p>
          <w:p w:rsidR="007B5E57" w:rsidRPr="005D3B2C" w:rsidRDefault="007B5E57" w:rsidP="007B5E57">
            <w:pPr>
              <w:jc w:val="both"/>
              <w:rPr>
                <w:rFonts w:ascii="Times New Roman" w:hAnsi="Times New Roman" w:cs="Times New Roman"/>
                <w:sz w:val="20"/>
                <w:szCs w:val="20"/>
              </w:rPr>
            </w:pPr>
            <w:r w:rsidRPr="005D3B2C">
              <w:rPr>
                <w:rFonts w:ascii="Times New Roman" w:hAnsi="Times New Roman" w:cs="Times New Roman"/>
                <w:sz w:val="20"/>
                <w:szCs w:val="20"/>
              </w:rPr>
              <w:t>Yaşlılara yönelik yardım (tek sefer olma üzere yaşlılık aylığı alanlara 300 dolar, garantili gelir eki kapsamında olan yaşlılara ek 200 dolar)</w:t>
            </w:r>
          </w:p>
          <w:p w:rsidR="00FC525A" w:rsidRPr="005D3B2C" w:rsidRDefault="00FC525A" w:rsidP="00E84CC5">
            <w:pPr>
              <w:jc w:val="both"/>
              <w:rPr>
                <w:rFonts w:ascii="Times New Roman" w:hAnsi="Times New Roman" w:cs="Times New Roman"/>
                <w:sz w:val="20"/>
                <w:szCs w:val="20"/>
              </w:rPr>
            </w:pPr>
            <w:r w:rsidRPr="005D3B2C">
              <w:rPr>
                <w:rFonts w:ascii="Times New Roman" w:hAnsi="Times New Roman" w:cs="Times New Roman"/>
                <w:sz w:val="20"/>
                <w:szCs w:val="20"/>
              </w:rPr>
              <w:t>12 yaşın altındaki bir çocuğa veya gözetim altında bakıma ihtiyaç duyan, okula gidemeyen veya okula gidemeyen diğer aile üyelerine bakmaları gerektiğinden çalışamayan uygun kişiler için hane başına 26 haf</w:t>
            </w:r>
            <w:r w:rsidR="006C6017" w:rsidRPr="005D3B2C">
              <w:rPr>
                <w:rFonts w:ascii="Times New Roman" w:hAnsi="Times New Roman" w:cs="Times New Roman"/>
                <w:sz w:val="20"/>
                <w:szCs w:val="20"/>
              </w:rPr>
              <w:t>taya kadar haftada 500 $ sağlanması</w:t>
            </w:r>
          </w:p>
        </w:tc>
      </w:tr>
      <w:tr w:rsidR="00646234" w:rsidRPr="005D3B2C" w:rsidTr="005D3B2C">
        <w:tc>
          <w:tcPr>
            <w:tcW w:w="0" w:type="auto"/>
          </w:tcPr>
          <w:p w:rsidR="00646234" w:rsidRPr="005D3B2C" w:rsidRDefault="00646234" w:rsidP="00C309DA">
            <w:pPr>
              <w:jc w:val="both"/>
              <w:rPr>
                <w:rFonts w:ascii="Times New Roman" w:hAnsi="Times New Roman" w:cs="Times New Roman"/>
                <w:sz w:val="20"/>
                <w:szCs w:val="20"/>
              </w:rPr>
            </w:pPr>
            <w:r w:rsidRPr="00646234">
              <w:rPr>
                <w:rFonts w:ascii="Times New Roman" w:hAnsi="Times New Roman" w:cs="Times New Roman"/>
                <w:sz w:val="20"/>
                <w:szCs w:val="20"/>
              </w:rPr>
              <w:t>Jamaika</w:t>
            </w:r>
          </w:p>
        </w:tc>
        <w:tc>
          <w:tcPr>
            <w:tcW w:w="0" w:type="auto"/>
          </w:tcPr>
          <w:p w:rsidR="00646234" w:rsidRPr="005D3B2C" w:rsidRDefault="00632E31" w:rsidP="00646234">
            <w:pPr>
              <w:jc w:val="both"/>
              <w:rPr>
                <w:rFonts w:ascii="Times New Roman" w:hAnsi="Times New Roman" w:cs="Times New Roman"/>
                <w:sz w:val="20"/>
                <w:szCs w:val="20"/>
              </w:rPr>
            </w:pPr>
            <w:r w:rsidRPr="00632E31">
              <w:rPr>
                <w:rFonts w:ascii="Times New Roman" w:hAnsi="Times New Roman" w:cs="Times New Roman"/>
                <w:sz w:val="20"/>
                <w:szCs w:val="20"/>
              </w:rPr>
              <w:t>O</w:t>
            </w:r>
            <w:r w:rsidR="00646234" w:rsidRPr="00632E31">
              <w:rPr>
                <w:rFonts w:ascii="Times New Roman" w:hAnsi="Times New Roman" w:cs="Times New Roman"/>
                <w:sz w:val="20"/>
                <w:szCs w:val="20"/>
              </w:rPr>
              <w:t>kull</w:t>
            </w:r>
            <w:r w:rsidR="00646234" w:rsidRPr="00632E31">
              <w:rPr>
                <w:rFonts w:ascii="Times New Roman" w:hAnsi="Times New Roman" w:cs="Times New Roman"/>
                <w:sz w:val="20"/>
                <w:szCs w:val="20"/>
              </w:rPr>
              <w:t xml:space="preserve">arın kapalı olduğu süre boyunca </w:t>
            </w:r>
            <w:r w:rsidR="00646234" w:rsidRPr="00632E31">
              <w:rPr>
                <w:rFonts w:ascii="Times New Roman" w:hAnsi="Times New Roman" w:cs="Times New Roman"/>
                <w:sz w:val="20"/>
                <w:szCs w:val="20"/>
              </w:rPr>
              <w:t>programdaki öğrenci</w:t>
            </w:r>
            <w:r w:rsidRPr="00632E31">
              <w:rPr>
                <w:rFonts w:ascii="Times New Roman" w:hAnsi="Times New Roman" w:cs="Times New Roman"/>
                <w:sz w:val="20"/>
                <w:szCs w:val="20"/>
              </w:rPr>
              <w:t>lere gıda desteği sağlaması</w:t>
            </w:r>
          </w:p>
        </w:tc>
      </w:tr>
      <w:tr w:rsidR="009C5175" w:rsidRPr="005D3B2C" w:rsidTr="005D3B2C">
        <w:tc>
          <w:tcPr>
            <w:tcW w:w="0" w:type="auto"/>
          </w:tcPr>
          <w:p w:rsidR="00E84CC5" w:rsidRPr="005D3B2C" w:rsidRDefault="006E3BF0" w:rsidP="00C309DA">
            <w:pPr>
              <w:jc w:val="both"/>
              <w:rPr>
                <w:rFonts w:ascii="Times New Roman" w:hAnsi="Times New Roman" w:cs="Times New Roman"/>
                <w:sz w:val="20"/>
                <w:szCs w:val="20"/>
              </w:rPr>
            </w:pPr>
            <w:r w:rsidRPr="005D3B2C">
              <w:rPr>
                <w:rFonts w:ascii="Times New Roman" w:hAnsi="Times New Roman" w:cs="Times New Roman"/>
                <w:sz w:val="20"/>
                <w:szCs w:val="20"/>
              </w:rPr>
              <w:t>Avustralya</w:t>
            </w:r>
          </w:p>
        </w:tc>
        <w:tc>
          <w:tcPr>
            <w:tcW w:w="0" w:type="auto"/>
          </w:tcPr>
          <w:p w:rsidR="00E84CC5" w:rsidRPr="005D3B2C" w:rsidRDefault="006C6017" w:rsidP="00E84CC5">
            <w:pPr>
              <w:jc w:val="both"/>
              <w:rPr>
                <w:rFonts w:ascii="Times New Roman" w:hAnsi="Times New Roman" w:cs="Times New Roman"/>
                <w:sz w:val="20"/>
                <w:szCs w:val="20"/>
              </w:rPr>
            </w:pPr>
            <w:r w:rsidRPr="005D3B2C">
              <w:rPr>
                <w:rFonts w:ascii="Times New Roman" w:hAnsi="Times New Roman" w:cs="Times New Roman"/>
                <w:sz w:val="20"/>
                <w:szCs w:val="20"/>
              </w:rPr>
              <w:t>Sosyal yardım alan y</w:t>
            </w:r>
            <w:r w:rsidR="006E3BF0" w:rsidRPr="005D3B2C">
              <w:rPr>
                <w:rFonts w:ascii="Times New Roman" w:hAnsi="Times New Roman" w:cs="Times New Roman"/>
                <w:sz w:val="20"/>
                <w:szCs w:val="20"/>
              </w:rPr>
              <w:t>aşlı, bakıcı, aile ve engelliler</w:t>
            </w:r>
            <w:r w:rsidRPr="005D3B2C">
              <w:rPr>
                <w:rFonts w:ascii="Times New Roman" w:hAnsi="Times New Roman" w:cs="Times New Roman"/>
                <w:sz w:val="20"/>
                <w:szCs w:val="20"/>
              </w:rPr>
              <w:t>e</w:t>
            </w:r>
            <w:r w:rsidR="006E3BF0" w:rsidRPr="005D3B2C">
              <w:rPr>
                <w:rFonts w:ascii="Times New Roman" w:hAnsi="Times New Roman" w:cs="Times New Roman"/>
                <w:sz w:val="20"/>
                <w:szCs w:val="20"/>
              </w:rPr>
              <w:t xml:space="preserve"> </w:t>
            </w:r>
            <w:r w:rsidRPr="005D3B2C">
              <w:rPr>
                <w:rFonts w:ascii="Times New Roman" w:hAnsi="Times New Roman" w:cs="Times New Roman"/>
                <w:sz w:val="20"/>
                <w:szCs w:val="20"/>
              </w:rPr>
              <w:t>beş ay içinde 500 $ nakit ödeme verilmesi</w:t>
            </w:r>
          </w:p>
          <w:p w:rsidR="00FC1A78" w:rsidRPr="005D3B2C" w:rsidRDefault="00FC1A78" w:rsidP="006C6017">
            <w:pPr>
              <w:jc w:val="both"/>
              <w:rPr>
                <w:rFonts w:ascii="Times New Roman" w:hAnsi="Times New Roman" w:cs="Times New Roman"/>
                <w:sz w:val="20"/>
                <w:szCs w:val="20"/>
              </w:rPr>
            </w:pPr>
            <w:r w:rsidRPr="005D3B2C">
              <w:rPr>
                <w:rFonts w:ascii="Times New Roman" w:hAnsi="Times New Roman" w:cs="Times New Roman"/>
                <w:sz w:val="20"/>
                <w:szCs w:val="20"/>
              </w:rPr>
              <w:t xml:space="preserve">13 Temmuz itibarıyla, </w:t>
            </w:r>
            <w:r w:rsidR="00632E31" w:rsidRPr="00632E31">
              <w:rPr>
                <w:rFonts w:ascii="Times New Roman" w:hAnsi="Times New Roman" w:cs="Times New Roman"/>
                <w:sz w:val="20"/>
                <w:szCs w:val="20"/>
              </w:rPr>
              <w:t xml:space="preserve">Covid-19 </w:t>
            </w:r>
            <w:r w:rsidRPr="005D3B2C">
              <w:rPr>
                <w:rFonts w:ascii="Times New Roman" w:hAnsi="Times New Roman" w:cs="Times New Roman"/>
                <w:sz w:val="20"/>
                <w:szCs w:val="20"/>
              </w:rPr>
              <w:t xml:space="preserve">nedeniyle mali olarak </w:t>
            </w:r>
            <w:r w:rsidR="006C6017" w:rsidRPr="005D3B2C">
              <w:rPr>
                <w:rFonts w:ascii="Times New Roman" w:hAnsi="Times New Roman" w:cs="Times New Roman"/>
                <w:sz w:val="20"/>
                <w:szCs w:val="20"/>
              </w:rPr>
              <w:t>zor duruma düşen</w:t>
            </w:r>
            <w:r w:rsidRPr="005D3B2C">
              <w:rPr>
                <w:rFonts w:ascii="Times New Roman" w:hAnsi="Times New Roman" w:cs="Times New Roman"/>
                <w:sz w:val="20"/>
                <w:szCs w:val="20"/>
              </w:rPr>
              <w:t xml:space="preserve"> düşük </w:t>
            </w:r>
            <w:r w:rsidR="006C6017" w:rsidRPr="005D3B2C">
              <w:rPr>
                <w:rFonts w:ascii="Times New Roman" w:hAnsi="Times New Roman" w:cs="Times New Roman"/>
                <w:sz w:val="20"/>
                <w:szCs w:val="20"/>
              </w:rPr>
              <w:t>gelirli Avustralyalılara 750 $ ekonomik destek ödemesi</w:t>
            </w:r>
          </w:p>
        </w:tc>
      </w:tr>
      <w:tr w:rsidR="009C5175" w:rsidRPr="005D3B2C" w:rsidTr="005D3B2C">
        <w:tc>
          <w:tcPr>
            <w:tcW w:w="0" w:type="auto"/>
          </w:tcPr>
          <w:p w:rsidR="00E84CC5" w:rsidRPr="005D3B2C" w:rsidRDefault="00D00F47" w:rsidP="00C309DA">
            <w:pPr>
              <w:jc w:val="both"/>
              <w:rPr>
                <w:rFonts w:ascii="Times New Roman" w:hAnsi="Times New Roman" w:cs="Times New Roman"/>
                <w:sz w:val="20"/>
                <w:szCs w:val="20"/>
              </w:rPr>
            </w:pPr>
            <w:r w:rsidRPr="005D3B2C">
              <w:rPr>
                <w:rFonts w:ascii="Times New Roman" w:hAnsi="Times New Roman" w:cs="Times New Roman"/>
                <w:sz w:val="20"/>
                <w:szCs w:val="20"/>
              </w:rPr>
              <w:t>Polonya</w:t>
            </w:r>
          </w:p>
        </w:tc>
        <w:tc>
          <w:tcPr>
            <w:tcW w:w="0" w:type="auto"/>
          </w:tcPr>
          <w:p w:rsidR="00D00F47" w:rsidRPr="005D3B2C" w:rsidRDefault="00D00F47" w:rsidP="006C6017">
            <w:pPr>
              <w:jc w:val="both"/>
              <w:rPr>
                <w:rFonts w:ascii="Times New Roman" w:hAnsi="Times New Roman" w:cs="Times New Roman"/>
                <w:sz w:val="20"/>
                <w:szCs w:val="20"/>
              </w:rPr>
            </w:pPr>
            <w:r w:rsidRPr="005D3B2C">
              <w:rPr>
                <w:rFonts w:ascii="Times New Roman" w:hAnsi="Times New Roman" w:cs="Times New Roman"/>
                <w:sz w:val="20"/>
                <w:szCs w:val="20"/>
              </w:rPr>
              <w:t>Karantina veya tecrit altında bulunan sigortalı kişiler hastal</w:t>
            </w:r>
            <w:r w:rsidR="006C6017" w:rsidRPr="005D3B2C">
              <w:rPr>
                <w:rFonts w:ascii="Times New Roman" w:hAnsi="Times New Roman" w:cs="Times New Roman"/>
                <w:sz w:val="20"/>
                <w:szCs w:val="20"/>
              </w:rPr>
              <w:t>ık parası alma hakkına sahip olması</w:t>
            </w:r>
          </w:p>
        </w:tc>
      </w:tr>
      <w:tr w:rsidR="0060221D" w:rsidRPr="005D3B2C" w:rsidTr="005D3B2C">
        <w:tc>
          <w:tcPr>
            <w:tcW w:w="0" w:type="auto"/>
          </w:tcPr>
          <w:p w:rsidR="0060221D" w:rsidRPr="005D3B2C" w:rsidRDefault="0060221D" w:rsidP="00C309DA">
            <w:pPr>
              <w:jc w:val="both"/>
              <w:rPr>
                <w:rFonts w:ascii="Times New Roman" w:hAnsi="Times New Roman" w:cs="Times New Roman"/>
                <w:sz w:val="20"/>
                <w:szCs w:val="20"/>
              </w:rPr>
            </w:pPr>
            <w:r w:rsidRPr="0060221D">
              <w:rPr>
                <w:rFonts w:ascii="Times New Roman" w:hAnsi="Times New Roman" w:cs="Times New Roman"/>
                <w:sz w:val="20"/>
                <w:szCs w:val="20"/>
              </w:rPr>
              <w:t>Somali</w:t>
            </w:r>
          </w:p>
        </w:tc>
        <w:tc>
          <w:tcPr>
            <w:tcW w:w="0" w:type="auto"/>
          </w:tcPr>
          <w:p w:rsidR="0060221D" w:rsidRPr="005D3B2C" w:rsidRDefault="0060221D" w:rsidP="0060221D">
            <w:pPr>
              <w:jc w:val="both"/>
              <w:rPr>
                <w:rFonts w:ascii="Times New Roman" w:hAnsi="Times New Roman" w:cs="Times New Roman"/>
                <w:sz w:val="20"/>
                <w:szCs w:val="20"/>
              </w:rPr>
            </w:pPr>
            <w:r w:rsidRPr="00632E31">
              <w:rPr>
                <w:rFonts w:ascii="Times New Roman" w:hAnsi="Times New Roman" w:cs="Times New Roman"/>
                <w:sz w:val="20"/>
                <w:szCs w:val="20"/>
              </w:rPr>
              <w:t xml:space="preserve">1,3 milyon yoksul ve kırılgan </w:t>
            </w:r>
            <w:r w:rsidRPr="00632E31">
              <w:rPr>
                <w:rFonts w:ascii="Times New Roman" w:hAnsi="Times New Roman" w:cs="Times New Roman"/>
                <w:sz w:val="20"/>
                <w:szCs w:val="20"/>
              </w:rPr>
              <w:t>aileye nakit</w:t>
            </w:r>
            <w:r w:rsidRPr="00632E31">
              <w:rPr>
                <w:rFonts w:ascii="Times New Roman" w:hAnsi="Times New Roman" w:cs="Times New Roman"/>
                <w:sz w:val="20"/>
                <w:szCs w:val="20"/>
              </w:rPr>
              <w:t xml:space="preserve"> transfer sağlamak için </w:t>
            </w:r>
            <w:proofErr w:type="spellStart"/>
            <w:r w:rsidRPr="00632E31">
              <w:rPr>
                <w:rFonts w:ascii="Times New Roman" w:hAnsi="Times New Roman" w:cs="Times New Roman"/>
                <w:sz w:val="20"/>
                <w:szCs w:val="20"/>
              </w:rPr>
              <w:t>Baxnano</w:t>
            </w:r>
            <w:proofErr w:type="spellEnd"/>
            <w:r w:rsidRPr="00632E31">
              <w:rPr>
                <w:rFonts w:ascii="Times New Roman" w:hAnsi="Times New Roman" w:cs="Times New Roman"/>
                <w:sz w:val="20"/>
                <w:szCs w:val="20"/>
              </w:rPr>
              <w:t xml:space="preserve"> </w:t>
            </w:r>
            <w:r w:rsidRPr="00632E31">
              <w:rPr>
                <w:rFonts w:ascii="Times New Roman" w:hAnsi="Times New Roman" w:cs="Times New Roman"/>
                <w:sz w:val="20"/>
                <w:szCs w:val="20"/>
              </w:rPr>
              <w:t>programını</w:t>
            </w:r>
            <w:r w:rsidR="00632E31" w:rsidRPr="00632E31">
              <w:rPr>
                <w:rFonts w:ascii="Times New Roman" w:hAnsi="Times New Roman" w:cs="Times New Roman"/>
                <w:sz w:val="20"/>
                <w:szCs w:val="20"/>
              </w:rPr>
              <w:t>n başlatılması</w:t>
            </w:r>
          </w:p>
        </w:tc>
      </w:tr>
      <w:tr w:rsidR="009C5175" w:rsidRPr="005D3B2C" w:rsidTr="005D3B2C">
        <w:tc>
          <w:tcPr>
            <w:tcW w:w="0" w:type="auto"/>
          </w:tcPr>
          <w:p w:rsidR="00E84CC5" w:rsidRPr="005D3B2C" w:rsidRDefault="002C4368" w:rsidP="00C309DA">
            <w:pPr>
              <w:jc w:val="both"/>
              <w:rPr>
                <w:rFonts w:ascii="Times New Roman" w:hAnsi="Times New Roman" w:cs="Times New Roman"/>
                <w:sz w:val="20"/>
                <w:szCs w:val="20"/>
              </w:rPr>
            </w:pPr>
            <w:r w:rsidRPr="005D3B2C">
              <w:rPr>
                <w:rFonts w:ascii="Times New Roman" w:hAnsi="Times New Roman" w:cs="Times New Roman"/>
                <w:sz w:val="20"/>
                <w:szCs w:val="20"/>
              </w:rPr>
              <w:t>İsveç</w:t>
            </w:r>
          </w:p>
        </w:tc>
        <w:tc>
          <w:tcPr>
            <w:tcW w:w="0" w:type="auto"/>
          </w:tcPr>
          <w:p w:rsidR="00E84CC5" w:rsidRPr="005D3B2C" w:rsidRDefault="00632E31" w:rsidP="006C6017">
            <w:pPr>
              <w:jc w:val="both"/>
              <w:rPr>
                <w:rFonts w:ascii="Times New Roman" w:hAnsi="Times New Roman" w:cs="Times New Roman"/>
                <w:sz w:val="20"/>
                <w:szCs w:val="20"/>
              </w:rPr>
            </w:pPr>
            <w:r w:rsidRPr="00632E31">
              <w:rPr>
                <w:rFonts w:ascii="Times New Roman" w:hAnsi="Times New Roman" w:cs="Times New Roman"/>
                <w:sz w:val="20"/>
                <w:szCs w:val="20"/>
              </w:rPr>
              <w:t xml:space="preserve">Covid-19 </w:t>
            </w:r>
            <w:r w:rsidR="002C4368" w:rsidRPr="005D3B2C">
              <w:rPr>
                <w:rFonts w:ascii="Times New Roman" w:hAnsi="Times New Roman" w:cs="Times New Roman"/>
                <w:sz w:val="20"/>
                <w:szCs w:val="20"/>
              </w:rPr>
              <w:t xml:space="preserve">hastalarıyla çalışan sağlık ve yaşlı bakımı personeline </w:t>
            </w:r>
            <w:r w:rsidR="006C6017" w:rsidRPr="005D3B2C">
              <w:rPr>
                <w:rFonts w:ascii="Times New Roman" w:hAnsi="Times New Roman" w:cs="Times New Roman"/>
                <w:sz w:val="20"/>
                <w:szCs w:val="20"/>
              </w:rPr>
              <w:t>destek sağlamak amacıyla fon kurulması</w:t>
            </w:r>
          </w:p>
        </w:tc>
      </w:tr>
      <w:tr w:rsidR="009C5175" w:rsidRPr="005D3B2C" w:rsidTr="005D3B2C">
        <w:tc>
          <w:tcPr>
            <w:tcW w:w="0" w:type="auto"/>
          </w:tcPr>
          <w:p w:rsidR="00E84CC5" w:rsidRPr="005D3B2C" w:rsidRDefault="002C4368" w:rsidP="00C309DA">
            <w:pPr>
              <w:jc w:val="both"/>
              <w:rPr>
                <w:rFonts w:ascii="Times New Roman" w:hAnsi="Times New Roman" w:cs="Times New Roman"/>
                <w:sz w:val="20"/>
                <w:szCs w:val="20"/>
              </w:rPr>
            </w:pPr>
            <w:r w:rsidRPr="005D3B2C">
              <w:rPr>
                <w:rFonts w:ascii="Times New Roman" w:hAnsi="Times New Roman" w:cs="Times New Roman"/>
                <w:sz w:val="20"/>
                <w:szCs w:val="20"/>
              </w:rPr>
              <w:t>İsviçre</w:t>
            </w:r>
          </w:p>
        </w:tc>
        <w:tc>
          <w:tcPr>
            <w:tcW w:w="0" w:type="auto"/>
          </w:tcPr>
          <w:p w:rsidR="00E84CC5" w:rsidRPr="005D3B2C" w:rsidRDefault="002C4368" w:rsidP="006C6017">
            <w:pPr>
              <w:jc w:val="both"/>
              <w:rPr>
                <w:rFonts w:ascii="Times New Roman" w:hAnsi="Times New Roman" w:cs="Times New Roman"/>
                <w:sz w:val="20"/>
                <w:szCs w:val="20"/>
              </w:rPr>
            </w:pPr>
            <w:r w:rsidRPr="005D3B2C">
              <w:rPr>
                <w:rFonts w:ascii="Times New Roman" w:hAnsi="Times New Roman" w:cs="Times New Roman"/>
                <w:sz w:val="20"/>
                <w:szCs w:val="20"/>
              </w:rPr>
              <w:t xml:space="preserve">Covid-19 </w:t>
            </w:r>
            <w:r w:rsidR="006C6017" w:rsidRPr="005D3B2C">
              <w:rPr>
                <w:rFonts w:ascii="Times New Roman" w:hAnsi="Times New Roman" w:cs="Times New Roman"/>
                <w:sz w:val="20"/>
                <w:szCs w:val="20"/>
              </w:rPr>
              <w:t>nedeniyle işçilerin</w:t>
            </w:r>
            <w:r w:rsidRPr="005D3B2C">
              <w:rPr>
                <w:rFonts w:ascii="Times New Roman" w:hAnsi="Times New Roman" w:cs="Times New Roman"/>
                <w:sz w:val="20"/>
                <w:szCs w:val="20"/>
              </w:rPr>
              <w:t xml:space="preserve"> azalan çalışma saatleri </w:t>
            </w:r>
            <w:r w:rsidR="006C6017" w:rsidRPr="005D3B2C">
              <w:rPr>
                <w:rFonts w:ascii="Times New Roman" w:hAnsi="Times New Roman" w:cs="Times New Roman"/>
                <w:sz w:val="20"/>
                <w:szCs w:val="20"/>
              </w:rPr>
              <w:t>için tazminat hakkı tanınması</w:t>
            </w:r>
          </w:p>
        </w:tc>
      </w:tr>
      <w:tr w:rsidR="009C5175" w:rsidRPr="005D3B2C" w:rsidTr="005D3B2C">
        <w:tc>
          <w:tcPr>
            <w:tcW w:w="0" w:type="auto"/>
          </w:tcPr>
          <w:p w:rsidR="002C4368" w:rsidRPr="005D3B2C" w:rsidRDefault="00185094" w:rsidP="00C309DA">
            <w:pPr>
              <w:jc w:val="both"/>
              <w:rPr>
                <w:rFonts w:ascii="Times New Roman" w:hAnsi="Times New Roman" w:cs="Times New Roman"/>
                <w:sz w:val="20"/>
                <w:szCs w:val="20"/>
              </w:rPr>
            </w:pPr>
            <w:r w:rsidRPr="005D3B2C">
              <w:rPr>
                <w:rFonts w:ascii="Times New Roman" w:hAnsi="Times New Roman" w:cs="Times New Roman"/>
                <w:sz w:val="20"/>
                <w:szCs w:val="20"/>
              </w:rPr>
              <w:t>Slovenya</w:t>
            </w:r>
          </w:p>
        </w:tc>
        <w:tc>
          <w:tcPr>
            <w:tcW w:w="0" w:type="auto"/>
          </w:tcPr>
          <w:p w:rsidR="002C4368" w:rsidRPr="005D3B2C" w:rsidRDefault="006C6017" w:rsidP="006C6017">
            <w:pPr>
              <w:jc w:val="both"/>
              <w:rPr>
                <w:rFonts w:ascii="Times New Roman" w:hAnsi="Times New Roman" w:cs="Times New Roman"/>
                <w:sz w:val="20"/>
                <w:szCs w:val="20"/>
              </w:rPr>
            </w:pPr>
            <w:r w:rsidRPr="005D3B2C">
              <w:rPr>
                <w:rFonts w:ascii="Times New Roman" w:hAnsi="Times New Roman" w:cs="Times New Roman"/>
                <w:sz w:val="20"/>
                <w:szCs w:val="20"/>
              </w:rPr>
              <w:t>Salgın ilan edilen bölgelerde b</w:t>
            </w:r>
            <w:r w:rsidR="00185094" w:rsidRPr="005D3B2C">
              <w:rPr>
                <w:rFonts w:ascii="Times New Roman" w:hAnsi="Times New Roman" w:cs="Times New Roman"/>
                <w:sz w:val="20"/>
                <w:szCs w:val="20"/>
              </w:rPr>
              <w:t>akım evi çalışanları için</w:t>
            </w:r>
            <w:r w:rsidRPr="005D3B2C">
              <w:rPr>
                <w:rFonts w:ascii="Times New Roman" w:hAnsi="Times New Roman" w:cs="Times New Roman"/>
                <w:sz w:val="20"/>
                <w:szCs w:val="20"/>
              </w:rPr>
              <w:t xml:space="preserve"> yüksek ikramiyeler sağlanması</w:t>
            </w:r>
          </w:p>
        </w:tc>
      </w:tr>
      <w:tr w:rsidR="009C5175" w:rsidRPr="005D3B2C" w:rsidTr="005D3B2C">
        <w:tc>
          <w:tcPr>
            <w:tcW w:w="0" w:type="auto"/>
          </w:tcPr>
          <w:p w:rsidR="00185094" w:rsidRPr="005D3B2C" w:rsidRDefault="00D32F2A" w:rsidP="00C309DA">
            <w:pPr>
              <w:jc w:val="both"/>
              <w:rPr>
                <w:rFonts w:ascii="Times New Roman" w:hAnsi="Times New Roman" w:cs="Times New Roman"/>
                <w:sz w:val="20"/>
                <w:szCs w:val="20"/>
              </w:rPr>
            </w:pPr>
            <w:r w:rsidRPr="005D3B2C">
              <w:rPr>
                <w:rFonts w:ascii="Times New Roman" w:hAnsi="Times New Roman" w:cs="Times New Roman"/>
                <w:sz w:val="20"/>
                <w:szCs w:val="20"/>
              </w:rPr>
              <w:lastRenderedPageBreak/>
              <w:t>Belçika</w:t>
            </w:r>
          </w:p>
        </w:tc>
        <w:tc>
          <w:tcPr>
            <w:tcW w:w="0" w:type="auto"/>
          </w:tcPr>
          <w:p w:rsidR="00185094" w:rsidRPr="005D3B2C" w:rsidRDefault="00632E31" w:rsidP="006C6017">
            <w:pPr>
              <w:jc w:val="both"/>
              <w:rPr>
                <w:rFonts w:ascii="Times New Roman" w:hAnsi="Times New Roman" w:cs="Times New Roman"/>
                <w:sz w:val="20"/>
                <w:szCs w:val="20"/>
              </w:rPr>
            </w:pPr>
            <w:r w:rsidRPr="00632E31">
              <w:rPr>
                <w:rFonts w:ascii="Times New Roman" w:hAnsi="Times New Roman" w:cs="Times New Roman"/>
                <w:sz w:val="20"/>
                <w:szCs w:val="20"/>
              </w:rPr>
              <w:t>Covid-</w:t>
            </w:r>
            <w:proofErr w:type="gramStart"/>
            <w:r w:rsidRPr="00632E31">
              <w:rPr>
                <w:rFonts w:ascii="Times New Roman" w:hAnsi="Times New Roman" w:cs="Times New Roman"/>
                <w:sz w:val="20"/>
                <w:szCs w:val="20"/>
              </w:rPr>
              <w:t xml:space="preserve">19 </w:t>
            </w:r>
            <w:r w:rsidR="00D32F2A" w:rsidRPr="005D3B2C">
              <w:rPr>
                <w:rFonts w:ascii="Times New Roman" w:hAnsi="Times New Roman" w:cs="Times New Roman"/>
                <w:sz w:val="20"/>
                <w:szCs w:val="20"/>
              </w:rPr>
              <w:t xml:space="preserve"> ile</w:t>
            </w:r>
            <w:proofErr w:type="gramEnd"/>
            <w:r w:rsidR="00D32F2A" w:rsidRPr="005D3B2C">
              <w:rPr>
                <w:rFonts w:ascii="Times New Roman" w:hAnsi="Times New Roman" w:cs="Times New Roman"/>
                <w:sz w:val="20"/>
                <w:szCs w:val="20"/>
              </w:rPr>
              <w:t xml:space="preserve"> ilgili tedbirler nedeniyle okul, kreş veya </w:t>
            </w:r>
            <w:r w:rsidR="006C6017" w:rsidRPr="005D3B2C">
              <w:rPr>
                <w:rFonts w:ascii="Times New Roman" w:hAnsi="Times New Roman" w:cs="Times New Roman"/>
                <w:sz w:val="20"/>
                <w:szCs w:val="20"/>
              </w:rPr>
              <w:t>engelli çocuklar</w:t>
            </w:r>
            <w:r w:rsidR="00D32F2A" w:rsidRPr="005D3B2C">
              <w:rPr>
                <w:rFonts w:ascii="Times New Roman" w:hAnsi="Times New Roman" w:cs="Times New Roman"/>
                <w:sz w:val="20"/>
                <w:szCs w:val="20"/>
              </w:rPr>
              <w:t xml:space="preserve"> için </w:t>
            </w:r>
            <w:r w:rsidR="006C6017" w:rsidRPr="005D3B2C">
              <w:rPr>
                <w:rFonts w:ascii="Times New Roman" w:hAnsi="Times New Roman" w:cs="Times New Roman"/>
                <w:sz w:val="20"/>
                <w:szCs w:val="20"/>
              </w:rPr>
              <w:t>rehabilitasyon</w:t>
            </w:r>
            <w:r w:rsidR="00D32F2A" w:rsidRPr="005D3B2C">
              <w:rPr>
                <w:rFonts w:ascii="Times New Roman" w:hAnsi="Times New Roman" w:cs="Times New Roman"/>
                <w:sz w:val="20"/>
                <w:szCs w:val="20"/>
              </w:rPr>
              <w:t xml:space="preserve"> merkezinin kapatılması nedeniyl</w:t>
            </w:r>
            <w:r w:rsidR="006C6017" w:rsidRPr="005D3B2C">
              <w:rPr>
                <w:rFonts w:ascii="Times New Roman" w:hAnsi="Times New Roman" w:cs="Times New Roman"/>
                <w:sz w:val="20"/>
                <w:szCs w:val="20"/>
              </w:rPr>
              <w:t xml:space="preserve">e işe gelemeyen işçilerin </w:t>
            </w:r>
            <w:r w:rsidR="00D32F2A" w:rsidRPr="005D3B2C">
              <w:rPr>
                <w:rFonts w:ascii="Times New Roman" w:hAnsi="Times New Roman" w:cs="Times New Roman"/>
                <w:sz w:val="20"/>
                <w:szCs w:val="20"/>
              </w:rPr>
              <w:t>geçici işsizl</w:t>
            </w:r>
            <w:r w:rsidR="006C6017" w:rsidRPr="005D3B2C">
              <w:rPr>
                <w:rFonts w:ascii="Times New Roman" w:hAnsi="Times New Roman" w:cs="Times New Roman"/>
                <w:sz w:val="20"/>
                <w:szCs w:val="20"/>
              </w:rPr>
              <w:t>ik ödeneği alma hakkına sahip olması</w:t>
            </w:r>
          </w:p>
        </w:tc>
      </w:tr>
      <w:tr w:rsidR="009C5175" w:rsidRPr="005D3B2C" w:rsidTr="005D3B2C">
        <w:tc>
          <w:tcPr>
            <w:tcW w:w="0" w:type="auto"/>
          </w:tcPr>
          <w:p w:rsidR="00185094" w:rsidRPr="005D3B2C" w:rsidRDefault="000914FC" w:rsidP="00C309DA">
            <w:pPr>
              <w:jc w:val="both"/>
              <w:rPr>
                <w:rFonts w:ascii="Times New Roman" w:hAnsi="Times New Roman" w:cs="Times New Roman"/>
                <w:sz w:val="20"/>
                <w:szCs w:val="20"/>
              </w:rPr>
            </w:pPr>
            <w:r w:rsidRPr="005D3B2C">
              <w:rPr>
                <w:rFonts w:ascii="Times New Roman" w:hAnsi="Times New Roman" w:cs="Times New Roman"/>
                <w:sz w:val="20"/>
                <w:szCs w:val="20"/>
              </w:rPr>
              <w:t>Venezüella</w:t>
            </w:r>
          </w:p>
        </w:tc>
        <w:tc>
          <w:tcPr>
            <w:tcW w:w="0" w:type="auto"/>
          </w:tcPr>
          <w:p w:rsidR="00185094" w:rsidRPr="005D3B2C" w:rsidRDefault="000914FC" w:rsidP="006C6017">
            <w:pPr>
              <w:jc w:val="both"/>
              <w:rPr>
                <w:rFonts w:ascii="Times New Roman" w:hAnsi="Times New Roman" w:cs="Times New Roman"/>
                <w:sz w:val="20"/>
                <w:szCs w:val="20"/>
              </w:rPr>
            </w:pPr>
            <w:r w:rsidRPr="005D3B2C">
              <w:rPr>
                <w:rFonts w:ascii="Times New Roman" w:hAnsi="Times New Roman" w:cs="Times New Roman"/>
                <w:sz w:val="20"/>
                <w:szCs w:val="20"/>
              </w:rPr>
              <w:t xml:space="preserve">Ekonomik krizle </w:t>
            </w:r>
            <w:r w:rsidR="006C6017" w:rsidRPr="005D3B2C">
              <w:rPr>
                <w:rFonts w:ascii="Times New Roman" w:hAnsi="Times New Roman" w:cs="Times New Roman"/>
                <w:sz w:val="20"/>
                <w:szCs w:val="20"/>
              </w:rPr>
              <w:t>mücadele edebilmeleri</w:t>
            </w:r>
            <w:r w:rsidRPr="005D3B2C">
              <w:rPr>
                <w:rFonts w:ascii="Times New Roman" w:hAnsi="Times New Roman" w:cs="Times New Roman"/>
                <w:sz w:val="20"/>
                <w:szCs w:val="20"/>
              </w:rPr>
              <w:t xml:space="preserve"> için ailelere tek seferlik </w:t>
            </w:r>
            <w:r w:rsidR="006C6017" w:rsidRPr="005D3B2C">
              <w:rPr>
                <w:rFonts w:ascii="Times New Roman" w:hAnsi="Times New Roman" w:cs="Times New Roman"/>
                <w:sz w:val="20"/>
                <w:szCs w:val="20"/>
              </w:rPr>
              <w:t>1.690.000</w:t>
            </w:r>
            <w:r w:rsidRPr="005D3B2C">
              <w:rPr>
                <w:rFonts w:ascii="Times New Roman" w:hAnsi="Times New Roman" w:cs="Times New Roman"/>
                <w:sz w:val="20"/>
                <w:szCs w:val="20"/>
              </w:rPr>
              <w:t xml:space="preserve"> </w:t>
            </w:r>
            <w:proofErr w:type="spellStart"/>
            <w:r w:rsidRPr="005D3B2C">
              <w:rPr>
                <w:rFonts w:ascii="Times New Roman" w:hAnsi="Times New Roman" w:cs="Times New Roman"/>
                <w:sz w:val="20"/>
                <w:szCs w:val="20"/>
              </w:rPr>
              <w:t>bolivar</w:t>
            </w:r>
            <w:proofErr w:type="spellEnd"/>
            <w:r w:rsidRPr="005D3B2C">
              <w:rPr>
                <w:rFonts w:ascii="Times New Roman" w:hAnsi="Times New Roman" w:cs="Times New Roman"/>
                <w:sz w:val="20"/>
                <w:szCs w:val="20"/>
              </w:rPr>
              <w:t xml:space="preserve"> (yaklaşık 4 USD) tutarında Bono "</w:t>
            </w:r>
            <w:proofErr w:type="spellStart"/>
            <w:r w:rsidRPr="005D3B2C">
              <w:rPr>
                <w:rFonts w:ascii="Times New Roman" w:hAnsi="Times New Roman" w:cs="Times New Roman"/>
                <w:sz w:val="20"/>
                <w:szCs w:val="20"/>
              </w:rPr>
              <w:t>Unidos</w:t>
            </w:r>
            <w:proofErr w:type="spellEnd"/>
            <w:r w:rsidRPr="005D3B2C">
              <w:rPr>
                <w:rFonts w:ascii="Times New Roman" w:hAnsi="Times New Roman" w:cs="Times New Roman"/>
                <w:sz w:val="20"/>
                <w:szCs w:val="20"/>
              </w:rPr>
              <w:t xml:space="preserve"> </w:t>
            </w:r>
            <w:proofErr w:type="spellStart"/>
            <w:r w:rsidR="006C6017" w:rsidRPr="005D3B2C">
              <w:rPr>
                <w:rFonts w:ascii="Times New Roman" w:hAnsi="Times New Roman" w:cs="Times New Roman"/>
                <w:sz w:val="20"/>
                <w:szCs w:val="20"/>
              </w:rPr>
              <w:t>por</w:t>
            </w:r>
            <w:proofErr w:type="spellEnd"/>
            <w:r w:rsidR="006C6017" w:rsidRPr="005D3B2C">
              <w:rPr>
                <w:rFonts w:ascii="Times New Roman" w:hAnsi="Times New Roman" w:cs="Times New Roman"/>
                <w:sz w:val="20"/>
                <w:szCs w:val="20"/>
              </w:rPr>
              <w:t xml:space="preserve"> la Vida" verilmesi</w:t>
            </w:r>
          </w:p>
        </w:tc>
      </w:tr>
      <w:tr w:rsidR="009C5175" w:rsidRPr="005D3B2C" w:rsidTr="005D3B2C">
        <w:tc>
          <w:tcPr>
            <w:tcW w:w="0" w:type="auto"/>
          </w:tcPr>
          <w:p w:rsidR="00BA1AAD" w:rsidRPr="005D3B2C" w:rsidRDefault="00013927" w:rsidP="00C309DA">
            <w:pPr>
              <w:jc w:val="both"/>
              <w:rPr>
                <w:rFonts w:ascii="Times New Roman" w:hAnsi="Times New Roman" w:cs="Times New Roman"/>
                <w:sz w:val="20"/>
                <w:szCs w:val="20"/>
              </w:rPr>
            </w:pPr>
            <w:r w:rsidRPr="005D3B2C">
              <w:rPr>
                <w:rFonts w:ascii="Times New Roman" w:hAnsi="Times New Roman" w:cs="Times New Roman"/>
                <w:sz w:val="20"/>
                <w:szCs w:val="20"/>
              </w:rPr>
              <w:t>Almanya</w:t>
            </w:r>
          </w:p>
        </w:tc>
        <w:tc>
          <w:tcPr>
            <w:tcW w:w="0" w:type="auto"/>
          </w:tcPr>
          <w:p w:rsidR="00BA1AAD" w:rsidRPr="005D3B2C" w:rsidRDefault="005D3B2C" w:rsidP="005D3B2C">
            <w:pPr>
              <w:jc w:val="both"/>
              <w:rPr>
                <w:rFonts w:ascii="Times New Roman" w:hAnsi="Times New Roman" w:cs="Times New Roman"/>
                <w:sz w:val="20"/>
                <w:szCs w:val="20"/>
              </w:rPr>
            </w:pPr>
            <w:r w:rsidRPr="005D3B2C">
              <w:rPr>
                <w:rFonts w:ascii="Times New Roman" w:hAnsi="Times New Roman" w:cs="Times New Roman"/>
                <w:sz w:val="20"/>
                <w:szCs w:val="20"/>
              </w:rPr>
              <w:t>E</w:t>
            </w:r>
            <w:r w:rsidR="00013927" w:rsidRPr="005D3B2C">
              <w:rPr>
                <w:rFonts w:ascii="Times New Roman" w:hAnsi="Times New Roman" w:cs="Times New Roman"/>
                <w:sz w:val="20"/>
                <w:szCs w:val="20"/>
              </w:rPr>
              <w:t xml:space="preserve">ngelli </w:t>
            </w:r>
            <w:r w:rsidRPr="005D3B2C">
              <w:rPr>
                <w:rFonts w:ascii="Times New Roman" w:hAnsi="Times New Roman" w:cs="Times New Roman"/>
                <w:sz w:val="20"/>
                <w:szCs w:val="20"/>
              </w:rPr>
              <w:t xml:space="preserve">bireylerin </w:t>
            </w:r>
            <w:r w:rsidR="00013927" w:rsidRPr="005D3B2C">
              <w:rPr>
                <w:rFonts w:ascii="Times New Roman" w:hAnsi="Times New Roman" w:cs="Times New Roman"/>
                <w:sz w:val="20"/>
                <w:szCs w:val="20"/>
              </w:rPr>
              <w:t>öğle yemeğini</w:t>
            </w:r>
            <w:r w:rsidRPr="005D3B2C">
              <w:rPr>
                <w:rFonts w:ascii="Times New Roman" w:hAnsi="Times New Roman" w:cs="Times New Roman"/>
                <w:sz w:val="20"/>
                <w:szCs w:val="20"/>
              </w:rPr>
              <w:t>n finanse edilmesinde ek kaynaklar sağlanması</w:t>
            </w:r>
          </w:p>
        </w:tc>
      </w:tr>
      <w:tr w:rsidR="009C5175" w:rsidRPr="005D3B2C" w:rsidTr="005D3B2C">
        <w:tc>
          <w:tcPr>
            <w:tcW w:w="0" w:type="auto"/>
          </w:tcPr>
          <w:p w:rsidR="00013927" w:rsidRPr="005D3B2C" w:rsidRDefault="00013927" w:rsidP="00C309DA">
            <w:pPr>
              <w:jc w:val="both"/>
              <w:rPr>
                <w:rFonts w:ascii="Times New Roman" w:hAnsi="Times New Roman" w:cs="Times New Roman"/>
                <w:sz w:val="20"/>
                <w:szCs w:val="20"/>
              </w:rPr>
            </w:pPr>
            <w:r w:rsidRPr="005D3B2C">
              <w:rPr>
                <w:rFonts w:ascii="Times New Roman" w:hAnsi="Times New Roman" w:cs="Times New Roman"/>
                <w:sz w:val="20"/>
                <w:szCs w:val="20"/>
              </w:rPr>
              <w:t>Singapur</w:t>
            </w:r>
          </w:p>
        </w:tc>
        <w:tc>
          <w:tcPr>
            <w:tcW w:w="0" w:type="auto"/>
          </w:tcPr>
          <w:p w:rsidR="00013927" w:rsidRPr="005D3B2C" w:rsidRDefault="00013927" w:rsidP="00E84CC5">
            <w:pPr>
              <w:jc w:val="both"/>
              <w:rPr>
                <w:rFonts w:ascii="Times New Roman" w:hAnsi="Times New Roman" w:cs="Times New Roman"/>
                <w:sz w:val="20"/>
                <w:szCs w:val="20"/>
              </w:rPr>
            </w:pPr>
            <w:r w:rsidRPr="005D3B2C">
              <w:rPr>
                <w:rFonts w:ascii="Times New Roman" w:hAnsi="Times New Roman" w:cs="Times New Roman"/>
                <w:sz w:val="20"/>
                <w:szCs w:val="20"/>
              </w:rPr>
              <w:t xml:space="preserve">Ağustos ve Ekim 2020 arasında sona erecek olan 6.000 düşük gelirli hane için </w:t>
            </w:r>
            <w:proofErr w:type="spellStart"/>
            <w:r w:rsidRPr="005D3B2C">
              <w:rPr>
                <w:rFonts w:ascii="Times New Roman" w:hAnsi="Times New Roman" w:cs="Times New Roman"/>
                <w:sz w:val="20"/>
                <w:szCs w:val="20"/>
              </w:rPr>
              <w:t>ComCare</w:t>
            </w:r>
            <w:proofErr w:type="spellEnd"/>
            <w:r w:rsidRPr="005D3B2C">
              <w:rPr>
                <w:rFonts w:ascii="Times New Roman" w:hAnsi="Times New Roman" w:cs="Times New Roman"/>
                <w:sz w:val="20"/>
                <w:szCs w:val="20"/>
              </w:rPr>
              <w:t xml:space="preserve"> yardımı</w:t>
            </w:r>
            <w:r w:rsidR="005D3B2C" w:rsidRPr="005D3B2C">
              <w:rPr>
                <w:rFonts w:ascii="Times New Roman" w:hAnsi="Times New Roman" w:cs="Times New Roman"/>
                <w:sz w:val="20"/>
                <w:szCs w:val="20"/>
              </w:rPr>
              <w:t>nın</w:t>
            </w:r>
            <w:r w:rsidRPr="005D3B2C">
              <w:rPr>
                <w:rFonts w:ascii="Times New Roman" w:hAnsi="Times New Roman" w:cs="Times New Roman"/>
                <w:sz w:val="20"/>
                <w:szCs w:val="20"/>
              </w:rPr>
              <w:t xml:space="preserve"> oto</w:t>
            </w:r>
            <w:r w:rsidR="005D3B2C" w:rsidRPr="005D3B2C">
              <w:rPr>
                <w:rFonts w:ascii="Times New Roman" w:hAnsi="Times New Roman" w:cs="Times New Roman"/>
                <w:sz w:val="20"/>
                <w:szCs w:val="20"/>
              </w:rPr>
              <w:t>matik olarak 6 ay daha uzatılması</w:t>
            </w:r>
          </w:p>
        </w:tc>
      </w:tr>
      <w:tr w:rsidR="009C5175" w:rsidRPr="005D3B2C" w:rsidTr="005D3B2C">
        <w:tc>
          <w:tcPr>
            <w:tcW w:w="0" w:type="auto"/>
          </w:tcPr>
          <w:p w:rsidR="005975DE" w:rsidRPr="005D3B2C" w:rsidRDefault="005975DE" w:rsidP="00C309DA">
            <w:pPr>
              <w:jc w:val="both"/>
              <w:rPr>
                <w:rFonts w:ascii="Times New Roman" w:hAnsi="Times New Roman" w:cs="Times New Roman"/>
                <w:sz w:val="20"/>
                <w:szCs w:val="20"/>
              </w:rPr>
            </w:pPr>
            <w:r w:rsidRPr="005D3B2C">
              <w:rPr>
                <w:rFonts w:ascii="Times New Roman" w:hAnsi="Times New Roman" w:cs="Times New Roman"/>
                <w:sz w:val="20"/>
                <w:szCs w:val="20"/>
              </w:rPr>
              <w:t>Japonya</w:t>
            </w:r>
          </w:p>
        </w:tc>
        <w:tc>
          <w:tcPr>
            <w:tcW w:w="0" w:type="auto"/>
          </w:tcPr>
          <w:p w:rsidR="005D3B2C" w:rsidRPr="005D3B2C" w:rsidRDefault="005975DE" w:rsidP="00E84CC5">
            <w:pPr>
              <w:jc w:val="both"/>
              <w:rPr>
                <w:rFonts w:ascii="Times New Roman" w:hAnsi="Times New Roman" w:cs="Times New Roman"/>
                <w:sz w:val="20"/>
                <w:szCs w:val="20"/>
              </w:rPr>
            </w:pPr>
            <w:r w:rsidRPr="005D3B2C">
              <w:rPr>
                <w:rFonts w:ascii="Times New Roman" w:hAnsi="Times New Roman" w:cs="Times New Roman"/>
                <w:sz w:val="20"/>
                <w:szCs w:val="20"/>
              </w:rPr>
              <w:t>Çocuk yetiştirme ödeneği alan tek ebeveynli hanelere 50.000 yenlik tek ebev</w:t>
            </w:r>
            <w:r w:rsidR="005D3B2C" w:rsidRPr="005D3B2C">
              <w:rPr>
                <w:rFonts w:ascii="Times New Roman" w:hAnsi="Times New Roman" w:cs="Times New Roman"/>
                <w:sz w:val="20"/>
                <w:szCs w:val="20"/>
              </w:rPr>
              <w:t>eynli geçici özel ödenek ödenmesi</w:t>
            </w:r>
            <w:r w:rsidRPr="005D3B2C">
              <w:rPr>
                <w:rFonts w:ascii="Times New Roman" w:hAnsi="Times New Roman" w:cs="Times New Roman"/>
                <w:sz w:val="20"/>
                <w:szCs w:val="20"/>
              </w:rPr>
              <w:t xml:space="preserve"> </w:t>
            </w:r>
          </w:p>
          <w:p w:rsidR="005975DE" w:rsidRPr="005D3B2C" w:rsidRDefault="005975DE" w:rsidP="005D3B2C">
            <w:pPr>
              <w:jc w:val="both"/>
              <w:rPr>
                <w:rFonts w:ascii="Times New Roman" w:hAnsi="Times New Roman" w:cs="Times New Roman"/>
                <w:sz w:val="20"/>
                <w:szCs w:val="20"/>
              </w:rPr>
            </w:pPr>
            <w:r w:rsidRPr="005D3B2C">
              <w:rPr>
                <w:rFonts w:ascii="Times New Roman" w:hAnsi="Times New Roman" w:cs="Times New Roman"/>
                <w:sz w:val="20"/>
                <w:szCs w:val="20"/>
              </w:rPr>
              <w:t>İkinci ve sonraki çocuk için çocuk başına 30.000 yen ve Covid-19 nedeniyle geliri düşen bir hane halkı iç</w:t>
            </w:r>
            <w:r w:rsidR="005D3B2C" w:rsidRPr="005D3B2C">
              <w:rPr>
                <w:rFonts w:ascii="Times New Roman" w:hAnsi="Times New Roman" w:cs="Times New Roman"/>
                <w:sz w:val="20"/>
                <w:szCs w:val="20"/>
              </w:rPr>
              <w:t>in ek bir 50.000 yen verilmesi</w:t>
            </w:r>
          </w:p>
        </w:tc>
      </w:tr>
      <w:tr w:rsidR="009C5175" w:rsidRPr="005D3B2C" w:rsidTr="005D3B2C">
        <w:tc>
          <w:tcPr>
            <w:tcW w:w="0" w:type="auto"/>
          </w:tcPr>
          <w:p w:rsidR="004C0633" w:rsidRPr="005D3B2C" w:rsidRDefault="004C0633" w:rsidP="00C309DA">
            <w:pPr>
              <w:jc w:val="both"/>
              <w:rPr>
                <w:rFonts w:ascii="Times New Roman" w:hAnsi="Times New Roman" w:cs="Times New Roman"/>
                <w:sz w:val="20"/>
                <w:szCs w:val="20"/>
              </w:rPr>
            </w:pPr>
            <w:r w:rsidRPr="005D3B2C">
              <w:rPr>
                <w:rFonts w:ascii="Times New Roman" w:hAnsi="Times New Roman" w:cs="Times New Roman"/>
                <w:sz w:val="20"/>
                <w:szCs w:val="20"/>
              </w:rPr>
              <w:t>Romanya</w:t>
            </w:r>
          </w:p>
        </w:tc>
        <w:tc>
          <w:tcPr>
            <w:tcW w:w="0" w:type="auto"/>
          </w:tcPr>
          <w:p w:rsidR="004C0633" w:rsidRPr="005D3B2C" w:rsidRDefault="007B5E57" w:rsidP="00E84CC5">
            <w:pPr>
              <w:jc w:val="both"/>
              <w:rPr>
                <w:rFonts w:ascii="Times New Roman" w:hAnsi="Times New Roman" w:cs="Times New Roman"/>
                <w:sz w:val="20"/>
                <w:szCs w:val="20"/>
              </w:rPr>
            </w:pPr>
            <w:r w:rsidRPr="005D3B2C">
              <w:rPr>
                <w:rFonts w:ascii="Times New Roman" w:hAnsi="Times New Roman" w:cs="Times New Roman"/>
                <w:sz w:val="20"/>
                <w:szCs w:val="20"/>
              </w:rPr>
              <w:t xml:space="preserve">12 yaşından küçük çocuğu olup, uzaktan çalışma </w:t>
            </w:r>
            <w:proofErr w:type="gramStart"/>
            <w:r w:rsidRPr="005D3B2C">
              <w:rPr>
                <w:rFonts w:ascii="Times New Roman" w:hAnsi="Times New Roman" w:cs="Times New Roman"/>
                <w:sz w:val="20"/>
                <w:szCs w:val="20"/>
              </w:rPr>
              <w:t>imkanı</w:t>
            </w:r>
            <w:proofErr w:type="gramEnd"/>
            <w:r w:rsidRPr="005D3B2C">
              <w:rPr>
                <w:rFonts w:ascii="Times New Roman" w:hAnsi="Times New Roman" w:cs="Times New Roman"/>
                <w:sz w:val="20"/>
                <w:szCs w:val="20"/>
              </w:rPr>
              <w:t xml:space="preserve"> bulunmayan ve çocuğuna bakmak zorundan olan aile bireylerinden birinin ücretinin %75’inin karşılanması</w:t>
            </w:r>
          </w:p>
        </w:tc>
      </w:tr>
      <w:tr w:rsidR="00232CF2" w:rsidRPr="005D3B2C" w:rsidTr="005D3B2C">
        <w:tc>
          <w:tcPr>
            <w:tcW w:w="0" w:type="auto"/>
          </w:tcPr>
          <w:p w:rsidR="00232CF2" w:rsidRPr="001A2B08" w:rsidRDefault="00232CF2" w:rsidP="00C309DA">
            <w:pPr>
              <w:jc w:val="both"/>
              <w:rPr>
                <w:rFonts w:ascii="Times New Roman" w:hAnsi="Times New Roman" w:cs="Times New Roman"/>
                <w:sz w:val="20"/>
                <w:szCs w:val="20"/>
              </w:rPr>
            </w:pPr>
            <w:r w:rsidRPr="001A2B08">
              <w:rPr>
                <w:rFonts w:ascii="Times New Roman" w:hAnsi="Times New Roman" w:cs="Times New Roman"/>
                <w:sz w:val="20"/>
                <w:szCs w:val="20"/>
              </w:rPr>
              <w:t>Vietnam</w:t>
            </w:r>
          </w:p>
        </w:tc>
        <w:tc>
          <w:tcPr>
            <w:tcW w:w="0" w:type="auto"/>
          </w:tcPr>
          <w:p w:rsidR="00232CF2" w:rsidRPr="001A2B08" w:rsidRDefault="002E15C9" w:rsidP="00232CF2">
            <w:pPr>
              <w:jc w:val="both"/>
              <w:rPr>
                <w:rFonts w:ascii="Times New Roman" w:hAnsi="Times New Roman" w:cs="Times New Roman"/>
                <w:sz w:val="20"/>
                <w:szCs w:val="20"/>
              </w:rPr>
            </w:pPr>
            <w:r w:rsidRPr="001A2B08">
              <w:rPr>
                <w:rFonts w:ascii="Times New Roman" w:hAnsi="Times New Roman" w:cs="Times New Roman"/>
                <w:sz w:val="20"/>
                <w:szCs w:val="20"/>
              </w:rPr>
              <w:t>S</w:t>
            </w:r>
            <w:r w:rsidR="00232CF2" w:rsidRPr="001A2B08">
              <w:rPr>
                <w:rFonts w:ascii="Times New Roman" w:hAnsi="Times New Roman" w:cs="Times New Roman"/>
                <w:sz w:val="20"/>
                <w:szCs w:val="20"/>
              </w:rPr>
              <w:t xml:space="preserve">okak satıcıları </w:t>
            </w:r>
            <w:r w:rsidR="00232CF2" w:rsidRPr="001A2B08">
              <w:rPr>
                <w:rFonts w:ascii="Times New Roman" w:hAnsi="Times New Roman" w:cs="Times New Roman"/>
                <w:sz w:val="20"/>
                <w:szCs w:val="20"/>
              </w:rPr>
              <w:t>veya atık toplayıcılar gibi yüksek dere</w:t>
            </w:r>
            <w:r w:rsidR="00232CF2" w:rsidRPr="001A2B08">
              <w:rPr>
                <w:rFonts w:ascii="Times New Roman" w:hAnsi="Times New Roman" w:cs="Times New Roman"/>
                <w:sz w:val="20"/>
                <w:szCs w:val="20"/>
              </w:rPr>
              <w:t xml:space="preserve">cede </w:t>
            </w:r>
            <w:proofErr w:type="spellStart"/>
            <w:r w:rsidR="00232CF2" w:rsidRPr="001A2B08">
              <w:rPr>
                <w:rFonts w:ascii="Times New Roman" w:hAnsi="Times New Roman" w:cs="Times New Roman"/>
                <w:sz w:val="20"/>
                <w:szCs w:val="20"/>
              </w:rPr>
              <w:t>kayıtdışılık</w:t>
            </w:r>
            <w:proofErr w:type="spellEnd"/>
            <w:r w:rsidR="00232CF2" w:rsidRPr="001A2B08">
              <w:rPr>
                <w:rFonts w:ascii="Times New Roman" w:hAnsi="Times New Roman" w:cs="Times New Roman"/>
                <w:sz w:val="20"/>
                <w:szCs w:val="20"/>
              </w:rPr>
              <w:t xml:space="preserve"> </w:t>
            </w:r>
            <w:r w:rsidR="00232CF2" w:rsidRPr="001A2B08">
              <w:rPr>
                <w:rFonts w:ascii="Times New Roman" w:hAnsi="Times New Roman" w:cs="Times New Roman"/>
                <w:sz w:val="20"/>
                <w:szCs w:val="20"/>
              </w:rPr>
              <w:t>içeren işçi kateg</w:t>
            </w:r>
            <w:r w:rsidR="00232CF2" w:rsidRPr="001A2B08">
              <w:rPr>
                <w:rFonts w:ascii="Times New Roman" w:hAnsi="Times New Roman" w:cs="Times New Roman"/>
                <w:sz w:val="20"/>
                <w:szCs w:val="20"/>
              </w:rPr>
              <w:t xml:space="preserve">orileri </w:t>
            </w:r>
            <w:proofErr w:type="gramStart"/>
            <w:r w:rsidR="00232CF2" w:rsidRPr="001A2B08">
              <w:rPr>
                <w:rFonts w:ascii="Times New Roman" w:hAnsi="Times New Roman" w:cs="Times New Roman"/>
                <w:sz w:val="20"/>
                <w:szCs w:val="20"/>
              </w:rPr>
              <w:t>dahil</w:t>
            </w:r>
            <w:proofErr w:type="gramEnd"/>
            <w:r w:rsidR="00232CF2" w:rsidRPr="001A2B08">
              <w:rPr>
                <w:rFonts w:ascii="Times New Roman" w:hAnsi="Times New Roman" w:cs="Times New Roman"/>
                <w:sz w:val="20"/>
                <w:szCs w:val="20"/>
              </w:rPr>
              <w:t xml:space="preserve"> olmak üzere işini </w:t>
            </w:r>
            <w:r w:rsidR="00232CF2" w:rsidRPr="001A2B08">
              <w:rPr>
                <w:rFonts w:ascii="Times New Roman" w:hAnsi="Times New Roman" w:cs="Times New Roman"/>
                <w:sz w:val="20"/>
                <w:szCs w:val="20"/>
              </w:rPr>
              <w:t>kaybeden fakat işsizl</w:t>
            </w:r>
            <w:r w:rsidR="00232CF2" w:rsidRPr="001A2B08">
              <w:rPr>
                <w:rFonts w:ascii="Times New Roman" w:hAnsi="Times New Roman" w:cs="Times New Roman"/>
                <w:sz w:val="20"/>
                <w:szCs w:val="20"/>
              </w:rPr>
              <w:t xml:space="preserve">ik sigortasından yararlanamayan </w:t>
            </w:r>
            <w:r w:rsidR="00232CF2" w:rsidRPr="001A2B08">
              <w:rPr>
                <w:rFonts w:ascii="Times New Roman" w:hAnsi="Times New Roman" w:cs="Times New Roman"/>
                <w:sz w:val="20"/>
                <w:szCs w:val="20"/>
              </w:rPr>
              <w:t>bireylere nakit trans</w:t>
            </w:r>
            <w:r w:rsidRPr="001A2B08">
              <w:rPr>
                <w:rFonts w:ascii="Times New Roman" w:hAnsi="Times New Roman" w:cs="Times New Roman"/>
                <w:sz w:val="20"/>
                <w:szCs w:val="20"/>
              </w:rPr>
              <w:t>fer sağlanması</w:t>
            </w:r>
          </w:p>
        </w:tc>
      </w:tr>
      <w:tr w:rsidR="009C5175" w:rsidRPr="005D3B2C" w:rsidTr="005D3B2C">
        <w:tc>
          <w:tcPr>
            <w:tcW w:w="0" w:type="auto"/>
          </w:tcPr>
          <w:p w:rsidR="00B139E2" w:rsidRPr="005D3B2C" w:rsidRDefault="00B139E2" w:rsidP="00C309DA">
            <w:pPr>
              <w:jc w:val="both"/>
              <w:rPr>
                <w:rFonts w:ascii="Times New Roman" w:hAnsi="Times New Roman" w:cs="Times New Roman"/>
                <w:sz w:val="20"/>
                <w:szCs w:val="20"/>
              </w:rPr>
            </w:pPr>
            <w:r w:rsidRPr="005D3B2C">
              <w:rPr>
                <w:rFonts w:ascii="Times New Roman" w:hAnsi="Times New Roman" w:cs="Times New Roman"/>
                <w:sz w:val="20"/>
                <w:szCs w:val="20"/>
              </w:rPr>
              <w:t>Türkiye</w:t>
            </w:r>
          </w:p>
        </w:tc>
        <w:tc>
          <w:tcPr>
            <w:tcW w:w="0" w:type="auto"/>
          </w:tcPr>
          <w:p w:rsidR="007B5E57" w:rsidRPr="008C462F" w:rsidRDefault="007B5E57" w:rsidP="007B5E57">
            <w:pPr>
              <w:jc w:val="both"/>
              <w:rPr>
                <w:rFonts w:ascii="Times New Roman" w:hAnsi="Times New Roman" w:cs="Times New Roman"/>
                <w:sz w:val="20"/>
                <w:szCs w:val="20"/>
              </w:rPr>
            </w:pPr>
            <w:r w:rsidRPr="008C462F">
              <w:rPr>
                <w:rFonts w:ascii="Times New Roman" w:hAnsi="Times New Roman" w:cs="Times New Roman"/>
                <w:sz w:val="20"/>
                <w:szCs w:val="20"/>
              </w:rPr>
              <w:t xml:space="preserve">Kısa çalışma ödeneği ile üretime ara veren işyerlerinde çalışanlara </w:t>
            </w:r>
            <w:r w:rsidR="005D3B2C" w:rsidRPr="008C462F">
              <w:rPr>
                <w:rFonts w:ascii="Times New Roman" w:hAnsi="Times New Roman" w:cs="Times New Roman"/>
                <w:sz w:val="20"/>
                <w:szCs w:val="20"/>
              </w:rPr>
              <w:t>geçici gelir desteği sağlanması</w:t>
            </w:r>
          </w:p>
          <w:p w:rsidR="007B5E57" w:rsidRPr="008C462F" w:rsidRDefault="007B5E57" w:rsidP="007B5E57">
            <w:pPr>
              <w:jc w:val="both"/>
              <w:rPr>
                <w:rFonts w:ascii="Times New Roman" w:hAnsi="Times New Roman" w:cs="Times New Roman"/>
                <w:sz w:val="20"/>
                <w:szCs w:val="20"/>
              </w:rPr>
            </w:pPr>
            <w:r w:rsidRPr="008C462F">
              <w:rPr>
                <w:rFonts w:ascii="Times New Roman" w:hAnsi="Times New Roman" w:cs="Times New Roman"/>
                <w:sz w:val="20"/>
                <w:szCs w:val="20"/>
              </w:rPr>
              <w:t>Ücretsiz izne ayrılan, kısa çalışma ödeneğinden yararlanamayan veya işten çıkarıldığında işsizlik ödeneğine hak kazanamayan işçilere g</w:t>
            </w:r>
            <w:r w:rsidR="005D3B2C" w:rsidRPr="008C462F">
              <w:rPr>
                <w:rFonts w:ascii="Times New Roman" w:hAnsi="Times New Roman" w:cs="Times New Roman"/>
                <w:sz w:val="20"/>
                <w:szCs w:val="20"/>
              </w:rPr>
              <w:t>ünlük 39,24 TL destek sağlanması</w:t>
            </w:r>
          </w:p>
          <w:p w:rsidR="007B5E57" w:rsidRPr="008C462F" w:rsidRDefault="007B5E57" w:rsidP="007B5E57">
            <w:pPr>
              <w:jc w:val="both"/>
              <w:rPr>
                <w:rFonts w:ascii="Times New Roman" w:hAnsi="Times New Roman" w:cs="Times New Roman"/>
                <w:sz w:val="20"/>
                <w:szCs w:val="20"/>
              </w:rPr>
            </w:pPr>
            <w:r w:rsidRPr="008C462F">
              <w:rPr>
                <w:rFonts w:ascii="Times New Roman" w:hAnsi="Times New Roman" w:cs="Times New Roman"/>
                <w:sz w:val="20"/>
                <w:szCs w:val="20"/>
              </w:rPr>
              <w:t>Geçici iş kaybı veya gelir durumu düşük olan hanelere doğru</w:t>
            </w:r>
            <w:r w:rsidR="005D3B2C" w:rsidRPr="008C462F">
              <w:rPr>
                <w:rFonts w:ascii="Times New Roman" w:hAnsi="Times New Roman" w:cs="Times New Roman"/>
                <w:sz w:val="20"/>
                <w:szCs w:val="20"/>
              </w:rPr>
              <w:t>dan gelir desteği sağlanması</w:t>
            </w:r>
          </w:p>
          <w:p w:rsidR="005D3B2C" w:rsidRPr="008C462F" w:rsidRDefault="007B5E57" w:rsidP="007B5E57">
            <w:pPr>
              <w:jc w:val="both"/>
              <w:rPr>
                <w:rFonts w:ascii="Times New Roman" w:hAnsi="Times New Roman" w:cs="Times New Roman"/>
                <w:sz w:val="20"/>
                <w:szCs w:val="20"/>
              </w:rPr>
            </w:pPr>
            <w:r w:rsidRPr="008C462F">
              <w:rPr>
                <w:rFonts w:ascii="Times New Roman" w:hAnsi="Times New Roman" w:cs="Times New Roman"/>
                <w:sz w:val="20"/>
                <w:szCs w:val="20"/>
              </w:rPr>
              <w:t>Aylık hane halkı geliri 5</w:t>
            </w:r>
            <w:r w:rsidR="001A2B08">
              <w:rPr>
                <w:rFonts w:ascii="Times New Roman" w:hAnsi="Times New Roman" w:cs="Times New Roman"/>
                <w:sz w:val="20"/>
                <w:szCs w:val="20"/>
              </w:rPr>
              <w:t>.</w:t>
            </w:r>
            <w:r w:rsidRPr="008C462F">
              <w:rPr>
                <w:rFonts w:ascii="Times New Roman" w:hAnsi="Times New Roman" w:cs="Times New Roman"/>
                <w:sz w:val="20"/>
                <w:szCs w:val="20"/>
              </w:rPr>
              <w:t>000 TL altında olan ücretliler, asgari ücretliler, emekliler, serbest meslek mensupları ve diğer orta ve düşük gelir grubunda yer alanlar için kamu bankaları aracılığı ile temel ihtiy</w:t>
            </w:r>
            <w:r w:rsidR="005D3B2C" w:rsidRPr="008C462F">
              <w:rPr>
                <w:rFonts w:ascii="Times New Roman" w:hAnsi="Times New Roman" w:cs="Times New Roman"/>
                <w:sz w:val="20"/>
                <w:szCs w:val="20"/>
              </w:rPr>
              <w:t>aç desteği sağlanması</w:t>
            </w:r>
          </w:p>
          <w:p w:rsidR="005D3B2C" w:rsidRPr="008C462F" w:rsidRDefault="007B5E57" w:rsidP="005D3B2C">
            <w:pPr>
              <w:jc w:val="both"/>
              <w:rPr>
                <w:rFonts w:ascii="Times New Roman" w:hAnsi="Times New Roman" w:cs="Times New Roman"/>
                <w:sz w:val="20"/>
                <w:szCs w:val="20"/>
              </w:rPr>
            </w:pPr>
            <w:r w:rsidRPr="008C462F">
              <w:rPr>
                <w:rFonts w:ascii="Times New Roman" w:hAnsi="Times New Roman" w:cs="Times New Roman"/>
                <w:sz w:val="20"/>
                <w:szCs w:val="20"/>
              </w:rPr>
              <w:t xml:space="preserve">Asgari ücret desteğinin devam ettirilmesi </w:t>
            </w:r>
          </w:p>
          <w:p w:rsidR="005D3B2C" w:rsidRPr="008C462F" w:rsidRDefault="007B5E57" w:rsidP="005D3B2C">
            <w:pPr>
              <w:jc w:val="both"/>
              <w:rPr>
                <w:rFonts w:ascii="Times New Roman" w:hAnsi="Times New Roman" w:cs="Times New Roman"/>
                <w:sz w:val="20"/>
                <w:szCs w:val="20"/>
              </w:rPr>
            </w:pPr>
            <w:r w:rsidRPr="008C462F">
              <w:rPr>
                <w:rFonts w:ascii="Times New Roman" w:hAnsi="Times New Roman" w:cs="Times New Roman"/>
                <w:sz w:val="20"/>
                <w:szCs w:val="20"/>
              </w:rPr>
              <w:t>En düşük emekli maaşının 1</w:t>
            </w:r>
            <w:r w:rsidR="001A2B08">
              <w:rPr>
                <w:rFonts w:ascii="Times New Roman" w:hAnsi="Times New Roman" w:cs="Times New Roman"/>
                <w:sz w:val="20"/>
                <w:szCs w:val="20"/>
              </w:rPr>
              <w:t>.</w:t>
            </w:r>
            <w:r w:rsidRPr="008C462F">
              <w:rPr>
                <w:rFonts w:ascii="Times New Roman" w:hAnsi="Times New Roman" w:cs="Times New Roman"/>
                <w:sz w:val="20"/>
                <w:szCs w:val="20"/>
              </w:rPr>
              <w:t>500 TL’ye y</w:t>
            </w:r>
            <w:r w:rsidR="005D3B2C" w:rsidRPr="008C462F">
              <w:rPr>
                <w:rFonts w:ascii="Times New Roman" w:hAnsi="Times New Roman" w:cs="Times New Roman"/>
                <w:sz w:val="20"/>
                <w:szCs w:val="20"/>
              </w:rPr>
              <w:t>ükseltilmesi</w:t>
            </w:r>
          </w:p>
          <w:p w:rsidR="00B139E2" w:rsidRPr="005D3B2C" w:rsidRDefault="007B5E57" w:rsidP="005D3B2C">
            <w:pPr>
              <w:jc w:val="both"/>
              <w:rPr>
                <w:rFonts w:ascii="Times New Roman" w:hAnsi="Times New Roman" w:cs="Times New Roman"/>
                <w:sz w:val="20"/>
                <w:szCs w:val="20"/>
                <w:highlight w:val="yellow"/>
              </w:rPr>
            </w:pPr>
            <w:r w:rsidRPr="008C462F">
              <w:rPr>
                <w:rFonts w:ascii="Times New Roman" w:hAnsi="Times New Roman" w:cs="Times New Roman"/>
                <w:sz w:val="20"/>
                <w:szCs w:val="20"/>
              </w:rPr>
              <w:t>Sosyal destek programı kapsamında 3 Fazda 6.310.104 kişiye kişi başı 1</w:t>
            </w:r>
            <w:r w:rsidR="001A2B08">
              <w:rPr>
                <w:rFonts w:ascii="Times New Roman" w:hAnsi="Times New Roman" w:cs="Times New Roman"/>
                <w:sz w:val="20"/>
                <w:szCs w:val="20"/>
              </w:rPr>
              <w:t>.</w:t>
            </w:r>
            <w:r w:rsidRPr="008C462F">
              <w:rPr>
                <w:rFonts w:ascii="Times New Roman" w:hAnsi="Times New Roman" w:cs="Times New Roman"/>
                <w:sz w:val="20"/>
                <w:szCs w:val="20"/>
              </w:rPr>
              <w:t>0</w:t>
            </w:r>
            <w:r w:rsidR="005D3B2C" w:rsidRPr="008C462F">
              <w:rPr>
                <w:rFonts w:ascii="Times New Roman" w:hAnsi="Times New Roman" w:cs="Times New Roman"/>
                <w:sz w:val="20"/>
                <w:szCs w:val="20"/>
              </w:rPr>
              <w:t>00 TL nakit destek verilmesi</w:t>
            </w:r>
          </w:p>
        </w:tc>
      </w:tr>
    </w:tbl>
    <w:p w:rsidR="008F4E44" w:rsidRPr="005D3B2C" w:rsidRDefault="00FE7A35" w:rsidP="00C309DA">
      <w:pPr>
        <w:jc w:val="both"/>
        <w:rPr>
          <w:rFonts w:ascii="Times New Roman" w:hAnsi="Times New Roman" w:cs="Times New Roman"/>
          <w:sz w:val="20"/>
        </w:rPr>
      </w:pPr>
      <w:r w:rsidRPr="005D3B2C">
        <w:rPr>
          <w:rFonts w:ascii="Times New Roman" w:hAnsi="Times New Roman" w:cs="Times New Roman"/>
          <w:b/>
          <w:sz w:val="20"/>
        </w:rPr>
        <w:t>Kaynak:</w:t>
      </w:r>
      <w:r w:rsidRPr="005D3B2C">
        <w:rPr>
          <w:rFonts w:ascii="Times New Roman" w:hAnsi="Times New Roman" w:cs="Times New Roman"/>
          <w:sz w:val="20"/>
        </w:rPr>
        <w:t xml:space="preserve"> </w:t>
      </w:r>
      <w:r w:rsidR="00CD3F99" w:rsidRPr="005D3B2C">
        <w:rPr>
          <w:rFonts w:ascii="Times New Roman" w:hAnsi="Times New Roman" w:cs="Times New Roman"/>
          <w:sz w:val="20"/>
        </w:rPr>
        <w:t xml:space="preserve">Aslan (2020), </w:t>
      </w:r>
      <w:r w:rsidRPr="005D3B2C">
        <w:rPr>
          <w:rFonts w:ascii="Times New Roman" w:hAnsi="Times New Roman" w:cs="Times New Roman"/>
          <w:sz w:val="20"/>
        </w:rPr>
        <w:t xml:space="preserve">Kumar, (2020), ISSA (2021), </w:t>
      </w:r>
      <w:proofErr w:type="spellStart"/>
      <w:r w:rsidR="00CD3F99" w:rsidRPr="005D3B2C">
        <w:rPr>
          <w:rFonts w:ascii="Times New Roman" w:hAnsi="Times New Roman" w:cs="Times New Roman"/>
          <w:sz w:val="20"/>
        </w:rPr>
        <w:t>Government</w:t>
      </w:r>
      <w:proofErr w:type="spellEnd"/>
      <w:r w:rsidR="00CD3F99" w:rsidRPr="005D3B2C">
        <w:rPr>
          <w:rFonts w:ascii="Times New Roman" w:hAnsi="Times New Roman" w:cs="Times New Roman"/>
          <w:sz w:val="20"/>
        </w:rPr>
        <w:t xml:space="preserve"> of </w:t>
      </w:r>
      <w:proofErr w:type="spellStart"/>
      <w:r w:rsidR="00CD3F99" w:rsidRPr="005D3B2C">
        <w:rPr>
          <w:rFonts w:ascii="Times New Roman" w:hAnsi="Times New Roman" w:cs="Times New Roman"/>
          <w:sz w:val="20"/>
        </w:rPr>
        <w:t>Canada</w:t>
      </w:r>
      <w:proofErr w:type="spellEnd"/>
      <w:r w:rsidR="00CD3F99" w:rsidRPr="005D3B2C">
        <w:rPr>
          <w:rFonts w:ascii="Times New Roman" w:hAnsi="Times New Roman" w:cs="Times New Roman"/>
          <w:sz w:val="20"/>
        </w:rPr>
        <w:t>, (2021</w:t>
      </w:r>
      <w:r w:rsidR="005D3B2C">
        <w:rPr>
          <w:rFonts w:ascii="Times New Roman" w:hAnsi="Times New Roman" w:cs="Times New Roman"/>
          <w:sz w:val="20"/>
        </w:rPr>
        <w:t>)</w:t>
      </w:r>
      <w:r w:rsidR="00282FAF">
        <w:rPr>
          <w:rFonts w:ascii="Times New Roman" w:hAnsi="Times New Roman" w:cs="Times New Roman"/>
          <w:sz w:val="20"/>
        </w:rPr>
        <w:t xml:space="preserve">, </w:t>
      </w:r>
      <w:proofErr w:type="spellStart"/>
      <w:r w:rsidR="00282FAF" w:rsidRPr="00282FAF">
        <w:rPr>
          <w:rFonts w:ascii="Times New Roman" w:hAnsi="Times New Roman" w:cs="Times New Roman"/>
          <w:sz w:val="20"/>
        </w:rPr>
        <w:t>Yardımcıoğlu</w:t>
      </w:r>
      <w:proofErr w:type="spellEnd"/>
      <w:r w:rsidR="00282FAF">
        <w:rPr>
          <w:rFonts w:ascii="Times New Roman" w:hAnsi="Times New Roman" w:cs="Times New Roman"/>
          <w:sz w:val="20"/>
        </w:rPr>
        <w:t xml:space="preserve"> ve </w:t>
      </w:r>
      <w:r w:rsidR="00282FAF" w:rsidRPr="00282FAF">
        <w:rPr>
          <w:rFonts w:ascii="Times New Roman" w:hAnsi="Times New Roman" w:cs="Times New Roman"/>
          <w:sz w:val="20"/>
        </w:rPr>
        <w:t>Koç</w:t>
      </w:r>
      <w:r w:rsidR="00282FAF">
        <w:rPr>
          <w:rFonts w:ascii="Times New Roman" w:hAnsi="Times New Roman" w:cs="Times New Roman"/>
          <w:sz w:val="20"/>
        </w:rPr>
        <w:t xml:space="preserve"> (2020)</w:t>
      </w:r>
      <w:r w:rsidR="00CD050C">
        <w:rPr>
          <w:rFonts w:ascii="Times New Roman" w:hAnsi="Times New Roman" w:cs="Times New Roman"/>
          <w:sz w:val="20"/>
        </w:rPr>
        <w:t>, ILO (2020)</w:t>
      </w:r>
    </w:p>
    <w:p w:rsidR="008F4E44" w:rsidRDefault="005D3B2C" w:rsidP="00C309DA">
      <w:pPr>
        <w:jc w:val="both"/>
        <w:rPr>
          <w:rFonts w:ascii="Times New Roman" w:hAnsi="Times New Roman" w:cs="Times New Roman"/>
          <w:sz w:val="24"/>
        </w:rPr>
      </w:pPr>
      <w:r>
        <w:rPr>
          <w:rFonts w:ascii="Times New Roman" w:hAnsi="Times New Roman" w:cs="Times New Roman"/>
          <w:sz w:val="24"/>
        </w:rPr>
        <w:t>Tablo 3</w:t>
      </w:r>
      <w:r w:rsidR="00A95292">
        <w:rPr>
          <w:rFonts w:ascii="Times New Roman" w:hAnsi="Times New Roman" w:cs="Times New Roman"/>
          <w:sz w:val="24"/>
        </w:rPr>
        <w:t>’de yer alan sosyal koruma tedbir ve harcamalarına bakıldığında her ülke Covid-19 nedeniyle ekonomik, mali, sosyal vb. noktalarda z</w:t>
      </w:r>
      <w:r w:rsidR="005E5D48">
        <w:rPr>
          <w:rFonts w:ascii="Times New Roman" w:hAnsi="Times New Roman" w:cs="Times New Roman"/>
          <w:sz w:val="24"/>
        </w:rPr>
        <w:t>o</w:t>
      </w:r>
      <w:r w:rsidR="00A95292">
        <w:rPr>
          <w:rFonts w:ascii="Times New Roman" w:hAnsi="Times New Roman" w:cs="Times New Roman"/>
          <w:sz w:val="24"/>
        </w:rPr>
        <w:t xml:space="preserve">r duruma düşmüş vatandaşlara çeşitli yöntem, tür ve büyüklüklerde yardımlarda bulunmuştur. </w:t>
      </w:r>
      <w:r w:rsidR="005E5D48">
        <w:rPr>
          <w:rFonts w:ascii="Times New Roman" w:hAnsi="Times New Roman" w:cs="Times New Roman"/>
          <w:sz w:val="24"/>
        </w:rPr>
        <w:t xml:space="preserve">Söz konusu yardımlar ile vatandaşların </w:t>
      </w:r>
      <w:r w:rsidR="003C0DA8">
        <w:rPr>
          <w:rFonts w:ascii="Times New Roman" w:hAnsi="Times New Roman" w:cs="Times New Roman"/>
          <w:sz w:val="24"/>
        </w:rPr>
        <w:t>ve toplumun sosyal refahının ar</w:t>
      </w:r>
      <w:r w:rsidR="005E5D48">
        <w:rPr>
          <w:rFonts w:ascii="Times New Roman" w:hAnsi="Times New Roman" w:cs="Times New Roman"/>
          <w:sz w:val="24"/>
        </w:rPr>
        <w:t>tı</w:t>
      </w:r>
      <w:r w:rsidR="003C0DA8">
        <w:rPr>
          <w:rFonts w:ascii="Times New Roman" w:hAnsi="Times New Roman" w:cs="Times New Roman"/>
          <w:sz w:val="24"/>
        </w:rPr>
        <w:t>rı</w:t>
      </w:r>
      <w:r w:rsidR="005E5D48">
        <w:rPr>
          <w:rFonts w:ascii="Times New Roman" w:hAnsi="Times New Roman" w:cs="Times New Roman"/>
          <w:sz w:val="24"/>
        </w:rPr>
        <w:t xml:space="preserve">lması, bu salgın sürecinin her alanda tahribatının en aza indirilmesi hedeflenmektedir. Bu kapsamda </w:t>
      </w:r>
      <w:r w:rsidR="002563FD">
        <w:rPr>
          <w:rFonts w:ascii="Times New Roman" w:hAnsi="Times New Roman" w:cs="Times New Roman"/>
          <w:sz w:val="24"/>
        </w:rPr>
        <w:t xml:space="preserve">Grafik </w:t>
      </w:r>
      <w:r w:rsidR="006824C5">
        <w:rPr>
          <w:rFonts w:ascii="Times New Roman" w:hAnsi="Times New Roman" w:cs="Times New Roman"/>
          <w:sz w:val="24"/>
        </w:rPr>
        <w:t>2’de Covid</w:t>
      </w:r>
      <w:r w:rsidR="00E4720D">
        <w:rPr>
          <w:rFonts w:ascii="Times New Roman" w:hAnsi="Times New Roman" w:cs="Times New Roman"/>
          <w:sz w:val="24"/>
        </w:rPr>
        <w:t>-19 süre</w:t>
      </w:r>
      <w:r w:rsidR="001B7F2C">
        <w:rPr>
          <w:rFonts w:ascii="Times New Roman" w:hAnsi="Times New Roman" w:cs="Times New Roman"/>
          <w:sz w:val="24"/>
        </w:rPr>
        <w:t>c</w:t>
      </w:r>
      <w:r w:rsidR="00E4720D">
        <w:rPr>
          <w:rFonts w:ascii="Times New Roman" w:hAnsi="Times New Roman" w:cs="Times New Roman"/>
          <w:sz w:val="24"/>
        </w:rPr>
        <w:t>inde devletlerin vermiş oldukları nakit harcama ve gelir destekleri</w:t>
      </w:r>
      <w:r w:rsidR="00235DF7">
        <w:rPr>
          <w:rFonts w:ascii="Times New Roman" w:hAnsi="Times New Roman" w:cs="Times New Roman"/>
          <w:sz w:val="24"/>
        </w:rPr>
        <w:t>nin GSYH’ye oranları</w:t>
      </w:r>
      <w:r w:rsidR="00E4720D">
        <w:rPr>
          <w:rFonts w:ascii="Times New Roman" w:hAnsi="Times New Roman" w:cs="Times New Roman"/>
          <w:sz w:val="24"/>
        </w:rPr>
        <w:t xml:space="preserve"> gösterilmektedir.</w:t>
      </w:r>
    </w:p>
    <w:p w:rsidR="00E4720D" w:rsidRDefault="002563FD" w:rsidP="00C309DA">
      <w:pPr>
        <w:jc w:val="both"/>
        <w:rPr>
          <w:rFonts w:ascii="Times New Roman" w:hAnsi="Times New Roman" w:cs="Times New Roman"/>
          <w:sz w:val="24"/>
        </w:rPr>
      </w:pPr>
      <w:r>
        <w:rPr>
          <w:rFonts w:ascii="Times New Roman" w:hAnsi="Times New Roman" w:cs="Times New Roman"/>
          <w:b/>
          <w:sz w:val="24"/>
        </w:rPr>
        <w:t>Grafik 2</w:t>
      </w:r>
      <w:r w:rsidR="00E4720D" w:rsidRPr="002E339A">
        <w:rPr>
          <w:rFonts w:ascii="Times New Roman" w:hAnsi="Times New Roman" w:cs="Times New Roman"/>
          <w:b/>
          <w:sz w:val="24"/>
        </w:rPr>
        <w:t>:</w:t>
      </w:r>
      <w:r w:rsidR="00E4720D">
        <w:rPr>
          <w:rFonts w:ascii="Times New Roman" w:hAnsi="Times New Roman" w:cs="Times New Roman"/>
          <w:sz w:val="24"/>
        </w:rPr>
        <w:t xml:space="preserve"> Gelişmiş Ekonomiler Nakit Harcama ve Gelir Destekleri</w:t>
      </w:r>
      <w:r w:rsidR="006824C5">
        <w:rPr>
          <w:rFonts w:ascii="Times New Roman" w:hAnsi="Times New Roman" w:cs="Times New Roman"/>
          <w:sz w:val="24"/>
        </w:rPr>
        <w:t xml:space="preserve"> (GSYH, %</w:t>
      </w:r>
      <w:r w:rsidR="00235DF7">
        <w:rPr>
          <w:rFonts w:ascii="Times New Roman" w:hAnsi="Times New Roman" w:cs="Times New Roman"/>
          <w:sz w:val="24"/>
        </w:rPr>
        <w:t>)</w:t>
      </w:r>
    </w:p>
    <w:p w:rsidR="00E4720D" w:rsidRDefault="004B45FF" w:rsidP="00C309DA">
      <w:pPr>
        <w:jc w:val="both"/>
        <w:rPr>
          <w:rFonts w:ascii="Times New Roman" w:hAnsi="Times New Roman" w:cs="Times New Roman"/>
          <w:sz w:val="24"/>
        </w:rPr>
      </w:pPr>
      <w:r>
        <w:rPr>
          <w:rFonts w:ascii="Times New Roman" w:hAnsi="Times New Roman" w:cs="Times New Roman"/>
          <w:noProof/>
          <w:sz w:val="24"/>
          <w:lang w:eastAsia="tr-TR"/>
        </w:rPr>
        <w:lastRenderedPageBreak/>
        <w:drawing>
          <wp:inline distT="0" distB="0" distL="0" distR="0">
            <wp:extent cx="5486400" cy="3810000"/>
            <wp:effectExtent l="0" t="0" r="0" b="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5D48" w:rsidRPr="005D4A5F" w:rsidRDefault="00E4720D" w:rsidP="00C309DA">
      <w:pPr>
        <w:jc w:val="both"/>
        <w:rPr>
          <w:rFonts w:ascii="Times New Roman" w:hAnsi="Times New Roman" w:cs="Times New Roman"/>
          <w:sz w:val="20"/>
          <w:szCs w:val="20"/>
        </w:rPr>
      </w:pPr>
      <w:r w:rsidRPr="005D4A5F">
        <w:rPr>
          <w:rFonts w:ascii="Times New Roman" w:hAnsi="Times New Roman" w:cs="Times New Roman"/>
          <w:b/>
          <w:sz w:val="20"/>
          <w:szCs w:val="20"/>
        </w:rPr>
        <w:t>Kaynak:</w:t>
      </w:r>
      <w:r w:rsidRPr="005D4A5F">
        <w:rPr>
          <w:rFonts w:ascii="Times New Roman" w:hAnsi="Times New Roman" w:cs="Times New Roman"/>
          <w:sz w:val="20"/>
          <w:szCs w:val="20"/>
        </w:rPr>
        <w:t xml:space="preserve"> </w:t>
      </w:r>
      <w:r w:rsidR="005D4A5F" w:rsidRPr="005D4A5F">
        <w:rPr>
          <w:rFonts w:ascii="Times New Roman" w:hAnsi="Times New Roman" w:cs="Times New Roman"/>
          <w:sz w:val="20"/>
          <w:szCs w:val="20"/>
        </w:rPr>
        <w:t>IMF, 2021</w:t>
      </w:r>
    </w:p>
    <w:p w:rsidR="00D6409F" w:rsidRPr="0070452A" w:rsidRDefault="00B7630A" w:rsidP="00C309DA">
      <w:pPr>
        <w:jc w:val="both"/>
        <w:rPr>
          <w:rFonts w:ascii="Times New Roman" w:hAnsi="Times New Roman" w:cs="Times New Roman"/>
          <w:sz w:val="24"/>
        </w:rPr>
      </w:pPr>
      <w:r>
        <w:rPr>
          <w:rFonts w:ascii="Times New Roman" w:hAnsi="Times New Roman" w:cs="Times New Roman"/>
          <w:sz w:val="24"/>
        </w:rPr>
        <w:t>Grafik</w:t>
      </w:r>
      <w:r w:rsidR="002563FD">
        <w:rPr>
          <w:rFonts w:ascii="Times New Roman" w:hAnsi="Times New Roman" w:cs="Times New Roman"/>
          <w:sz w:val="24"/>
        </w:rPr>
        <w:t xml:space="preserve"> 2</w:t>
      </w:r>
      <w:r w:rsidR="00235DF7">
        <w:rPr>
          <w:rFonts w:ascii="Times New Roman" w:hAnsi="Times New Roman" w:cs="Times New Roman"/>
          <w:sz w:val="24"/>
        </w:rPr>
        <w:t>’</w:t>
      </w:r>
      <w:r>
        <w:rPr>
          <w:rFonts w:ascii="Times New Roman" w:hAnsi="Times New Roman" w:cs="Times New Roman"/>
          <w:sz w:val="24"/>
        </w:rPr>
        <w:t>de y</w:t>
      </w:r>
      <w:r w:rsidR="00235DF7">
        <w:rPr>
          <w:rFonts w:ascii="Times New Roman" w:hAnsi="Times New Roman" w:cs="Times New Roman"/>
          <w:sz w:val="24"/>
        </w:rPr>
        <w:t xml:space="preserve">er alan gelişmiş ekonomilere sahip ülkelerin nakit harcama ve gelir desteklerinin GSYH’ye oranlarına bakıldığında en fazla desteği ABD vermiş iken en az desteği </w:t>
      </w:r>
      <w:r>
        <w:rPr>
          <w:rFonts w:ascii="Times New Roman" w:hAnsi="Times New Roman" w:cs="Times New Roman"/>
          <w:sz w:val="24"/>
        </w:rPr>
        <w:t xml:space="preserve">Finlandiya vermiştir. Ülkelerin ortalama destek oranlarına bakıldığında ise %16,4 olarak yüksek bir seviyede olduğu görülmektedir. Grafikteki veriler genel olarak değerlendirildiğinde gelişmiş ekonomilere sahip ülkelerin </w:t>
      </w:r>
      <w:r w:rsidR="006824C5">
        <w:rPr>
          <w:rFonts w:ascii="Times New Roman" w:hAnsi="Times New Roman" w:cs="Times New Roman"/>
          <w:sz w:val="24"/>
        </w:rPr>
        <w:t>GSYH’nin</w:t>
      </w:r>
      <w:r>
        <w:rPr>
          <w:rFonts w:ascii="Times New Roman" w:hAnsi="Times New Roman" w:cs="Times New Roman"/>
          <w:sz w:val="24"/>
        </w:rPr>
        <w:t xml:space="preserve"> önemli bir payına denk gelen desteklerini Covid-19 sürecinde verdikleri görülmektedir.</w:t>
      </w:r>
    </w:p>
    <w:p w:rsidR="0070452A" w:rsidRDefault="002563FD" w:rsidP="00C309DA">
      <w:pPr>
        <w:jc w:val="both"/>
        <w:rPr>
          <w:rFonts w:ascii="Times New Roman" w:hAnsi="Times New Roman" w:cs="Times New Roman"/>
          <w:sz w:val="24"/>
        </w:rPr>
      </w:pPr>
      <w:r>
        <w:rPr>
          <w:rFonts w:ascii="Times New Roman" w:hAnsi="Times New Roman" w:cs="Times New Roman"/>
          <w:b/>
          <w:sz w:val="24"/>
        </w:rPr>
        <w:t>Grafik 3</w:t>
      </w:r>
      <w:r w:rsidR="002E339A" w:rsidRPr="001B7F2C">
        <w:rPr>
          <w:rFonts w:ascii="Times New Roman" w:hAnsi="Times New Roman" w:cs="Times New Roman"/>
          <w:b/>
          <w:sz w:val="24"/>
        </w:rPr>
        <w:t>:</w:t>
      </w:r>
      <w:r w:rsidR="002E339A" w:rsidRPr="001B7F2C">
        <w:rPr>
          <w:b/>
        </w:rPr>
        <w:t xml:space="preserve"> </w:t>
      </w:r>
      <w:r w:rsidR="002E339A" w:rsidRPr="002E339A">
        <w:rPr>
          <w:rFonts w:ascii="Times New Roman" w:hAnsi="Times New Roman" w:cs="Times New Roman"/>
          <w:sz w:val="24"/>
        </w:rPr>
        <w:t xml:space="preserve">Gelişmekte </w:t>
      </w:r>
      <w:r w:rsidR="006824C5" w:rsidRPr="002E339A">
        <w:rPr>
          <w:rFonts w:ascii="Times New Roman" w:hAnsi="Times New Roman" w:cs="Times New Roman"/>
          <w:sz w:val="24"/>
        </w:rPr>
        <w:t>Olan Ekonomiler</w:t>
      </w:r>
      <w:r w:rsidR="006824C5">
        <w:rPr>
          <w:rFonts w:ascii="Times New Roman" w:hAnsi="Times New Roman" w:cs="Times New Roman"/>
          <w:sz w:val="24"/>
        </w:rPr>
        <w:t xml:space="preserve"> </w:t>
      </w:r>
      <w:r w:rsidR="002E339A" w:rsidRPr="002E339A">
        <w:rPr>
          <w:rFonts w:ascii="Times New Roman" w:hAnsi="Times New Roman" w:cs="Times New Roman"/>
          <w:sz w:val="24"/>
        </w:rPr>
        <w:t>Nakit Harcama ve Gelir Destekleri</w:t>
      </w:r>
      <w:r w:rsidR="006824C5">
        <w:rPr>
          <w:rFonts w:ascii="Times New Roman" w:hAnsi="Times New Roman" w:cs="Times New Roman"/>
          <w:sz w:val="24"/>
        </w:rPr>
        <w:t xml:space="preserve"> (GSYH, %)</w:t>
      </w:r>
    </w:p>
    <w:p w:rsidR="002E339A" w:rsidRDefault="00161D07" w:rsidP="00C309DA">
      <w:pPr>
        <w:jc w:val="both"/>
        <w:rPr>
          <w:rFonts w:ascii="Times New Roman" w:hAnsi="Times New Roman" w:cs="Times New Roman"/>
          <w:sz w:val="24"/>
        </w:rPr>
      </w:pPr>
      <w:r>
        <w:rPr>
          <w:rFonts w:ascii="Times New Roman" w:hAnsi="Times New Roman" w:cs="Times New Roman"/>
          <w:noProof/>
          <w:sz w:val="24"/>
          <w:lang w:eastAsia="tr-TR"/>
        </w:rPr>
        <w:lastRenderedPageBreak/>
        <w:drawing>
          <wp:inline distT="0" distB="0" distL="0" distR="0">
            <wp:extent cx="5486400" cy="4693920"/>
            <wp:effectExtent l="0" t="0" r="0" b="1143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4A5F" w:rsidRDefault="001B7F2C" w:rsidP="00C309DA">
      <w:pPr>
        <w:jc w:val="both"/>
      </w:pPr>
      <w:r w:rsidRPr="001B7F2C">
        <w:rPr>
          <w:rFonts w:ascii="Times New Roman" w:hAnsi="Times New Roman" w:cs="Times New Roman"/>
          <w:b/>
          <w:sz w:val="20"/>
        </w:rPr>
        <w:t>Kaynak:</w:t>
      </w:r>
      <w:r w:rsidRPr="001B7F2C">
        <w:rPr>
          <w:rFonts w:ascii="Times New Roman" w:hAnsi="Times New Roman" w:cs="Times New Roman"/>
          <w:sz w:val="20"/>
        </w:rPr>
        <w:t xml:space="preserve"> </w:t>
      </w:r>
      <w:r w:rsidR="005D4A5F" w:rsidRPr="005D4A5F">
        <w:rPr>
          <w:rFonts w:ascii="Times New Roman" w:hAnsi="Times New Roman" w:cs="Times New Roman"/>
          <w:sz w:val="20"/>
          <w:szCs w:val="20"/>
        </w:rPr>
        <w:t>IMF, 2021</w:t>
      </w:r>
    </w:p>
    <w:p w:rsidR="001B7F2C" w:rsidRDefault="002563FD" w:rsidP="00C309DA">
      <w:pPr>
        <w:jc w:val="both"/>
        <w:rPr>
          <w:rFonts w:ascii="Times New Roman" w:hAnsi="Times New Roman" w:cs="Times New Roman"/>
          <w:sz w:val="24"/>
        </w:rPr>
      </w:pPr>
      <w:r>
        <w:rPr>
          <w:rFonts w:ascii="Times New Roman" w:hAnsi="Times New Roman" w:cs="Times New Roman"/>
          <w:sz w:val="24"/>
        </w:rPr>
        <w:t>Grafik 3</w:t>
      </w:r>
      <w:r w:rsidR="00B7630A">
        <w:rPr>
          <w:rFonts w:ascii="Times New Roman" w:hAnsi="Times New Roman" w:cs="Times New Roman"/>
          <w:sz w:val="24"/>
        </w:rPr>
        <w:t xml:space="preserve">’de yer alan gelişmekte olan </w:t>
      </w:r>
      <w:r w:rsidR="002D619A">
        <w:rPr>
          <w:rFonts w:ascii="Times New Roman" w:hAnsi="Times New Roman" w:cs="Times New Roman"/>
          <w:sz w:val="24"/>
        </w:rPr>
        <w:t xml:space="preserve">ekonomilerin yer aldığı ülkelerin Covid-19 sürecinde verdikleri nakit harcama ve gelir desteklerine bakıldığında gelişmiş ülkelere nazaran daha az olduğu görülmektedir. Buna göre en fazla desteği Brezilya vermiş iken en az desteği Meksika vermiştir. Ülkelerin ortalama destek oranlarına bakıldığında ise %4 olarak orta düşük bir seviyede olduğu görülmektedir. Grafikteki veriler genel olarak değerlendirildiğinde </w:t>
      </w:r>
      <w:r w:rsidR="006824C5">
        <w:rPr>
          <w:rFonts w:ascii="Times New Roman" w:hAnsi="Times New Roman" w:cs="Times New Roman"/>
          <w:sz w:val="24"/>
        </w:rPr>
        <w:t>gelişmekte</w:t>
      </w:r>
      <w:r w:rsidR="002D619A">
        <w:rPr>
          <w:rFonts w:ascii="Times New Roman" w:hAnsi="Times New Roman" w:cs="Times New Roman"/>
          <w:sz w:val="24"/>
        </w:rPr>
        <w:t xml:space="preserve"> olan ekonomilere sahip ülkelerin </w:t>
      </w:r>
      <w:r w:rsidR="006824C5">
        <w:rPr>
          <w:rFonts w:ascii="Times New Roman" w:hAnsi="Times New Roman" w:cs="Times New Roman"/>
          <w:sz w:val="24"/>
        </w:rPr>
        <w:t>GSYH’nin</w:t>
      </w:r>
      <w:r w:rsidR="002D619A">
        <w:rPr>
          <w:rFonts w:ascii="Times New Roman" w:hAnsi="Times New Roman" w:cs="Times New Roman"/>
          <w:sz w:val="24"/>
        </w:rPr>
        <w:t xml:space="preserve"> orta düşük bir payına denk gelen desteklerini Covid-19 sürecinde verdikleri görülmektedir.</w:t>
      </w:r>
      <w:r w:rsidR="00C54C89">
        <w:rPr>
          <w:rFonts w:ascii="Times New Roman" w:hAnsi="Times New Roman" w:cs="Times New Roman"/>
          <w:sz w:val="24"/>
        </w:rPr>
        <w:t xml:space="preserve"> Grup ülkeleri arasında yer alan Türkiye ise %1,9 oranında bir pay ile </w:t>
      </w:r>
      <w:r w:rsidR="00FA1B2C">
        <w:rPr>
          <w:rFonts w:ascii="Times New Roman" w:hAnsi="Times New Roman" w:cs="Times New Roman"/>
          <w:sz w:val="24"/>
        </w:rPr>
        <w:t xml:space="preserve">ortalamanın yarısı bir orana ve </w:t>
      </w:r>
      <w:r w:rsidR="00C54C89">
        <w:rPr>
          <w:rFonts w:ascii="Times New Roman" w:hAnsi="Times New Roman" w:cs="Times New Roman"/>
          <w:sz w:val="24"/>
        </w:rPr>
        <w:t xml:space="preserve">söz konusu ülkelerin sonunda yer almaktadır. </w:t>
      </w:r>
    </w:p>
    <w:p w:rsidR="001B7F2C" w:rsidRDefault="002563FD" w:rsidP="001B7F2C">
      <w:pPr>
        <w:jc w:val="both"/>
        <w:rPr>
          <w:rFonts w:ascii="Times New Roman" w:hAnsi="Times New Roman" w:cs="Times New Roman"/>
          <w:sz w:val="24"/>
        </w:rPr>
      </w:pPr>
      <w:r>
        <w:rPr>
          <w:rFonts w:ascii="Times New Roman" w:hAnsi="Times New Roman" w:cs="Times New Roman"/>
          <w:b/>
          <w:sz w:val="24"/>
        </w:rPr>
        <w:t>Grafik 4</w:t>
      </w:r>
      <w:r w:rsidR="001B7F2C" w:rsidRPr="001B7F2C">
        <w:rPr>
          <w:rFonts w:ascii="Times New Roman" w:hAnsi="Times New Roman" w:cs="Times New Roman"/>
          <w:b/>
          <w:sz w:val="24"/>
        </w:rPr>
        <w:t>:</w:t>
      </w:r>
      <w:r w:rsidR="001B7F2C" w:rsidRPr="001B7F2C">
        <w:rPr>
          <w:b/>
        </w:rPr>
        <w:t xml:space="preserve"> </w:t>
      </w:r>
      <w:r w:rsidR="001B7F2C">
        <w:rPr>
          <w:rFonts w:ascii="Times New Roman" w:hAnsi="Times New Roman" w:cs="Times New Roman"/>
          <w:sz w:val="24"/>
        </w:rPr>
        <w:t>Az Gelişmiş</w:t>
      </w:r>
      <w:r w:rsidR="001B7F2C" w:rsidRPr="002E339A">
        <w:rPr>
          <w:rFonts w:ascii="Times New Roman" w:hAnsi="Times New Roman" w:cs="Times New Roman"/>
          <w:sz w:val="24"/>
        </w:rPr>
        <w:t xml:space="preserve"> </w:t>
      </w:r>
      <w:r w:rsidR="006824C5">
        <w:rPr>
          <w:rFonts w:ascii="Times New Roman" w:hAnsi="Times New Roman" w:cs="Times New Roman"/>
          <w:sz w:val="24"/>
        </w:rPr>
        <w:t>E</w:t>
      </w:r>
      <w:r w:rsidR="001B7F2C" w:rsidRPr="002E339A">
        <w:rPr>
          <w:rFonts w:ascii="Times New Roman" w:hAnsi="Times New Roman" w:cs="Times New Roman"/>
          <w:sz w:val="24"/>
        </w:rPr>
        <w:t>konomiler</w:t>
      </w:r>
      <w:r w:rsidR="001B7F2C">
        <w:rPr>
          <w:rFonts w:ascii="Times New Roman" w:hAnsi="Times New Roman" w:cs="Times New Roman"/>
          <w:sz w:val="24"/>
        </w:rPr>
        <w:t xml:space="preserve"> </w:t>
      </w:r>
      <w:r w:rsidR="001B7F2C" w:rsidRPr="002E339A">
        <w:rPr>
          <w:rFonts w:ascii="Times New Roman" w:hAnsi="Times New Roman" w:cs="Times New Roman"/>
          <w:sz w:val="24"/>
        </w:rPr>
        <w:t>Nakit Harcama ve Gelir Destekleri</w:t>
      </w:r>
      <w:r w:rsidR="006824C5">
        <w:rPr>
          <w:rFonts w:ascii="Times New Roman" w:hAnsi="Times New Roman" w:cs="Times New Roman"/>
          <w:sz w:val="24"/>
        </w:rPr>
        <w:t xml:space="preserve"> </w:t>
      </w:r>
      <w:r w:rsidR="006824C5" w:rsidRPr="006824C5">
        <w:rPr>
          <w:rFonts w:ascii="Times New Roman" w:hAnsi="Times New Roman" w:cs="Times New Roman"/>
          <w:sz w:val="24"/>
        </w:rPr>
        <w:t>(GSYH, %)</w:t>
      </w:r>
    </w:p>
    <w:p w:rsidR="001B7F2C" w:rsidRDefault="00A20B86" w:rsidP="00C309DA">
      <w:pPr>
        <w:jc w:val="both"/>
        <w:rPr>
          <w:rFonts w:ascii="Times New Roman" w:hAnsi="Times New Roman" w:cs="Times New Roman"/>
          <w:sz w:val="24"/>
        </w:rPr>
      </w:pPr>
      <w:r>
        <w:rPr>
          <w:rFonts w:ascii="Times New Roman" w:hAnsi="Times New Roman" w:cs="Times New Roman"/>
          <w:noProof/>
          <w:sz w:val="24"/>
          <w:lang w:eastAsia="tr-TR"/>
        </w:rPr>
        <w:lastRenderedPageBreak/>
        <w:drawing>
          <wp:inline distT="0" distB="0" distL="0" distR="0">
            <wp:extent cx="5486400" cy="2362200"/>
            <wp:effectExtent l="0" t="0" r="0"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7F2C" w:rsidRDefault="001B7F2C" w:rsidP="001B7F2C">
      <w:pPr>
        <w:jc w:val="both"/>
        <w:rPr>
          <w:rFonts w:ascii="Times New Roman" w:hAnsi="Times New Roman" w:cs="Times New Roman"/>
          <w:sz w:val="24"/>
        </w:rPr>
      </w:pPr>
      <w:r w:rsidRPr="001B7F2C">
        <w:rPr>
          <w:rFonts w:ascii="Times New Roman" w:hAnsi="Times New Roman" w:cs="Times New Roman"/>
          <w:b/>
          <w:sz w:val="20"/>
        </w:rPr>
        <w:t>Kaynak:</w:t>
      </w:r>
      <w:r w:rsidRPr="001B7F2C">
        <w:rPr>
          <w:rFonts w:ascii="Times New Roman" w:hAnsi="Times New Roman" w:cs="Times New Roman"/>
          <w:sz w:val="20"/>
        </w:rPr>
        <w:t xml:space="preserve"> </w:t>
      </w:r>
      <w:r w:rsidR="005D4A5F" w:rsidRPr="005D4A5F">
        <w:rPr>
          <w:rFonts w:ascii="Times New Roman" w:hAnsi="Times New Roman" w:cs="Times New Roman"/>
          <w:sz w:val="20"/>
          <w:szCs w:val="20"/>
        </w:rPr>
        <w:t>IMF, 2021</w:t>
      </w:r>
    </w:p>
    <w:p w:rsidR="002D619A" w:rsidRDefault="002563FD" w:rsidP="002D619A">
      <w:pPr>
        <w:jc w:val="both"/>
        <w:rPr>
          <w:rFonts w:ascii="Times New Roman" w:hAnsi="Times New Roman" w:cs="Times New Roman"/>
          <w:sz w:val="24"/>
        </w:rPr>
      </w:pPr>
      <w:r>
        <w:rPr>
          <w:rFonts w:ascii="Times New Roman" w:hAnsi="Times New Roman" w:cs="Times New Roman"/>
          <w:sz w:val="24"/>
        </w:rPr>
        <w:t>Grafik 4</w:t>
      </w:r>
      <w:r w:rsidR="002D619A">
        <w:rPr>
          <w:rFonts w:ascii="Times New Roman" w:hAnsi="Times New Roman" w:cs="Times New Roman"/>
          <w:sz w:val="24"/>
        </w:rPr>
        <w:t xml:space="preserve">’de yer alan az gelişmiş ekonomilerin yer aldığı ülkelerin Covid-19 sürecinde verdikleri nakit harcama ve gelir desteklerine bakıldığında gelişmiş ve gelişmekte olan ülkelere </w:t>
      </w:r>
      <w:r w:rsidR="00077C55">
        <w:rPr>
          <w:rFonts w:ascii="Times New Roman" w:hAnsi="Times New Roman" w:cs="Times New Roman"/>
          <w:sz w:val="24"/>
        </w:rPr>
        <w:t>oldukça</w:t>
      </w:r>
      <w:r w:rsidR="002D619A">
        <w:rPr>
          <w:rFonts w:ascii="Times New Roman" w:hAnsi="Times New Roman" w:cs="Times New Roman"/>
          <w:sz w:val="24"/>
        </w:rPr>
        <w:t xml:space="preserve"> az olduğu görülmektedir. Buna göre en fazla desteği </w:t>
      </w:r>
      <w:r w:rsidR="00077C55">
        <w:rPr>
          <w:rFonts w:ascii="Times New Roman" w:hAnsi="Times New Roman" w:cs="Times New Roman"/>
          <w:sz w:val="24"/>
        </w:rPr>
        <w:t>Gine</w:t>
      </w:r>
      <w:r w:rsidR="002D619A">
        <w:rPr>
          <w:rFonts w:ascii="Times New Roman" w:hAnsi="Times New Roman" w:cs="Times New Roman"/>
          <w:sz w:val="24"/>
        </w:rPr>
        <w:t xml:space="preserve"> vermiş iken en az desteği </w:t>
      </w:r>
      <w:r w:rsidR="00077C55">
        <w:rPr>
          <w:rFonts w:ascii="Times New Roman" w:hAnsi="Times New Roman" w:cs="Times New Roman"/>
          <w:sz w:val="24"/>
        </w:rPr>
        <w:t xml:space="preserve">Nijerya </w:t>
      </w:r>
      <w:r w:rsidR="002D619A">
        <w:rPr>
          <w:rFonts w:ascii="Times New Roman" w:hAnsi="Times New Roman" w:cs="Times New Roman"/>
          <w:sz w:val="24"/>
        </w:rPr>
        <w:t>vermiştir. Ülkelerin ortalama destek o</w:t>
      </w:r>
      <w:r w:rsidR="00077C55">
        <w:rPr>
          <w:rFonts w:ascii="Times New Roman" w:hAnsi="Times New Roman" w:cs="Times New Roman"/>
          <w:sz w:val="24"/>
        </w:rPr>
        <w:t>ranlarına bakıldığında ise %1,6</w:t>
      </w:r>
      <w:r w:rsidR="002D619A">
        <w:rPr>
          <w:rFonts w:ascii="Times New Roman" w:hAnsi="Times New Roman" w:cs="Times New Roman"/>
          <w:sz w:val="24"/>
        </w:rPr>
        <w:t xml:space="preserve"> olarak düşük bir seviyede olduğu görülmektedir. Grafikteki veriler genel olarak değerlendirildiğinde </w:t>
      </w:r>
      <w:r w:rsidR="00077C55">
        <w:rPr>
          <w:rFonts w:ascii="Times New Roman" w:hAnsi="Times New Roman" w:cs="Times New Roman"/>
          <w:sz w:val="24"/>
        </w:rPr>
        <w:t>az gelişmiş</w:t>
      </w:r>
      <w:r w:rsidR="002D619A">
        <w:rPr>
          <w:rFonts w:ascii="Times New Roman" w:hAnsi="Times New Roman" w:cs="Times New Roman"/>
          <w:sz w:val="24"/>
        </w:rPr>
        <w:t xml:space="preserve"> ekonomilere sahip ülkelerin </w:t>
      </w:r>
      <w:r w:rsidR="00077C55">
        <w:rPr>
          <w:rFonts w:ascii="Times New Roman" w:hAnsi="Times New Roman" w:cs="Times New Roman"/>
          <w:sz w:val="24"/>
        </w:rPr>
        <w:t>GSYH’nin</w:t>
      </w:r>
      <w:r w:rsidR="002D619A">
        <w:rPr>
          <w:rFonts w:ascii="Times New Roman" w:hAnsi="Times New Roman" w:cs="Times New Roman"/>
          <w:sz w:val="24"/>
        </w:rPr>
        <w:t xml:space="preserve"> düşük bir payına denk gelen desteklerini Covid-19 sürecinde verdikleri görülmektedir.</w:t>
      </w:r>
    </w:p>
    <w:p w:rsidR="002E339A" w:rsidRDefault="002563FD" w:rsidP="00C309DA">
      <w:pPr>
        <w:jc w:val="both"/>
        <w:rPr>
          <w:rFonts w:ascii="Times New Roman" w:hAnsi="Times New Roman" w:cs="Times New Roman"/>
          <w:sz w:val="24"/>
        </w:rPr>
      </w:pPr>
      <w:r>
        <w:rPr>
          <w:rFonts w:ascii="Times New Roman" w:hAnsi="Times New Roman" w:cs="Times New Roman"/>
          <w:sz w:val="24"/>
        </w:rPr>
        <w:t>Grafik 5</w:t>
      </w:r>
      <w:r w:rsidR="008E2F8A">
        <w:rPr>
          <w:rFonts w:ascii="Times New Roman" w:hAnsi="Times New Roman" w:cs="Times New Roman"/>
          <w:sz w:val="24"/>
        </w:rPr>
        <w:t xml:space="preserve">’te ise </w:t>
      </w:r>
      <w:r w:rsidR="000600E7">
        <w:rPr>
          <w:rFonts w:ascii="Times New Roman" w:hAnsi="Times New Roman" w:cs="Times New Roman"/>
          <w:sz w:val="24"/>
        </w:rPr>
        <w:t xml:space="preserve">gelişmiş ekonomiler (G20), gelişmekte olan ekonomiler (G20), seçilmiş gelişmiş ekonomiler, seçilmiş gelişmekte olan ekonomiler ve seçilmiş az gelişmiş ekonomilerin </w:t>
      </w:r>
      <w:r w:rsidR="003C0DA8">
        <w:rPr>
          <w:rFonts w:ascii="Times New Roman" w:hAnsi="Times New Roman" w:cs="Times New Roman"/>
          <w:sz w:val="24"/>
        </w:rPr>
        <w:t>n</w:t>
      </w:r>
      <w:r w:rsidR="000600E7" w:rsidRPr="000600E7">
        <w:rPr>
          <w:rFonts w:ascii="Times New Roman" w:hAnsi="Times New Roman" w:cs="Times New Roman"/>
          <w:sz w:val="24"/>
        </w:rPr>
        <w:t>akit harcama ve gelir destekleri</w:t>
      </w:r>
      <w:r w:rsidR="000600E7">
        <w:rPr>
          <w:rFonts w:ascii="Times New Roman" w:hAnsi="Times New Roman" w:cs="Times New Roman"/>
          <w:sz w:val="24"/>
        </w:rPr>
        <w:t xml:space="preserve"> ülke gruplarına göre milyar dolar olarak dağılımı gösterilmektedir.</w:t>
      </w:r>
    </w:p>
    <w:p w:rsidR="008E2F8A" w:rsidRDefault="002563FD" w:rsidP="00C309DA">
      <w:pPr>
        <w:jc w:val="both"/>
        <w:rPr>
          <w:rFonts w:ascii="Times New Roman" w:hAnsi="Times New Roman" w:cs="Times New Roman"/>
          <w:sz w:val="24"/>
        </w:rPr>
      </w:pPr>
      <w:r>
        <w:rPr>
          <w:rFonts w:ascii="Times New Roman" w:hAnsi="Times New Roman" w:cs="Times New Roman"/>
          <w:b/>
          <w:sz w:val="24"/>
        </w:rPr>
        <w:t>Grafik 5</w:t>
      </w:r>
      <w:r w:rsidR="008E2F8A" w:rsidRPr="000E6849">
        <w:rPr>
          <w:rFonts w:ascii="Times New Roman" w:hAnsi="Times New Roman" w:cs="Times New Roman"/>
          <w:b/>
          <w:sz w:val="24"/>
        </w:rPr>
        <w:t>:</w:t>
      </w:r>
      <w:r w:rsidR="000E6849">
        <w:rPr>
          <w:rFonts w:ascii="Times New Roman" w:hAnsi="Times New Roman" w:cs="Times New Roman"/>
          <w:sz w:val="24"/>
        </w:rPr>
        <w:t xml:space="preserve"> </w:t>
      </w:r>
      <w:r w:rsidR="000600E7">
        <w:rPr>
          <w:rFonts w:ascii="Times New Roman" w:hAnsi="Times New Roman" w:cs="Times New Roman"/>
          <w:sz w:val="24"/>
        </w:rPr>
        <w:t xml:space="preserve">Ülke Grupları İtibariyle </w:t>
      </w:r>
      <w:r w:rsidR="000600E7" w:rsidRPr="000600E7">
        <w:rPr>
          <w:rFonts w:ascii="Times New Roman" w:hAnsi="Times New Roman" w:cs="Times New Roman"/>
          <w:sz w:val="24"/>
        </w:rPr>
        <w:t xml:space="preserve">Nakit </w:t>
      </w:r>
      <w:r w:rsidR="006824C5" w:rsidRPr="000600E7">
        <w:rPr>
          <w:rFonts w:ascii="Times New Roman" w:hAnsi="Times New Roman" w:cs="Times New Roman"/>
          <w:sz w:val="24"/>
        </w:rPr>
        <w:t xml:space="preserve">Harcama </w:t>
      </w:r>
      <w:r w:rsidR="00D74753">
        <w:rPr>
          <w:rFonts w:ascii="Times New Roman" w:hAnsi="Times New Roman" w:cs="Times New Roman"/>
          <w:sz w:val="24"/>
        </w:rPr>
        <w:t>v</w:t>
      </w:r>
      <w:r w:rsidR="006824C5" w:rsidRPr="000600E7">
        <w:rPr>
          <w:rFonts w:ascii="Times New Roman" w:hAnsi="Times New Roman" w:cs="Times New Roman"/>
          <w:sz w:val="24"/>
        </w:rPr>
        <w:t>e Gelir Destekleri</w:t>
      </w:r>
      <w:r w:rsidR="006824C5">
        <w:rPr>
          <w:rFonts w:ascii="Times New Roman" w:hAnsi="Times New Roman" w:cs="Times New Roman"/>
          <w:sz w:val="24"/>
        </w:rPr>
        <w:t>nden Alınan</w:t>
      </w:r>
      <w:r w:rsidR="00070A06">
        <w:rPr>
          <w:rFonts w:ascii="Times New Roman" w:hAnsi="Times New Roman" w:cs="Times New Roman"/>
          <w:sz w:val="24"/>
        </w:rPr>
        <w:t xml:space="preserve"> P</w:t>
      </w:r>
      <w:r w:rsidR="000600E7">
        <w:rPr>
          <w:rFonts w:ascii="Times New Roman" w:hAnsi="Times New Roman" w:cs="Times New Roman"/>
          <w:sz w:val="24"/>
        </w:rPr>
        <w:t>aylar (Milyar Dolar)</w:t>
      </w:r>
    </w:p>
    <w:p w:rsidR="008E2F8A" w:rsidRDefault="008E2F8A" w:rsidP="00C309DA">
      <w:pPr>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extent cx="5486400" cy="1981200"/>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00E7" w:rsidRDefault="000600E7" w:rsidP="000600E7">
      <w:pPr>
        <w:jc w:val="both"/>
        <w:rPr>
          <w:rFonts w:ascii="Times New Roman" w:hAnsi="Times New Roman" w:cs="Times New Roman"/>
          <w:sz w:val="24"/>
        </w:rPr>
      </w:pPr>
      <w:r w:rsidRPr="005D4A5F">
        <w:rPr>
          <w:rFonts w:ascii="Times New Roman" w:hAnsi="Times New Roman" w:cs="Times New Roman"/>
          <w:b/>
          <w:sz w:val="20"/>
        </w:rPr>
        <w:t>Kaynak:</w:t>
      </w:r>
      <w:r w:rsidRPr="005D4A5F">
        <w:rPr>
          <w:rFonts w:ascii="Times New Roman" w:hAnsi="Times New Roman" w:cs="Times New Roman"/>
          <w:sz w:val="20"/>
        </w:rPr>
        <w:t xml:space="preserve"> </w:t>
      </w:r>
      <w:r w:rsidR="005D4A5F" w:rsidRPr="005D4A5F">
        <w:rPr>
          <w:rFonts w:ascii="Times New Roman" w:hAnsi="Times New Roman" w:cs="Times New Roman"/>
          <w:sz w:val="20"/>
          <w:szCs w:val="20"/>
        </w:rPr>
        <w:t>IMF, 2021</w:t>
      </w:r>
    </w:p>
    <w:p w:rsidR="002E339A" w:rsidRDefault="002563FD" w:rsidP="00C309DA">
      <w:pPr>
        <w:jc w:val="both"/>
        <w:rPr>
          <w:rFonts w:ascii="Times New Roman" w:hAnsi="Times New Roman" w:cs="Times New Roman"/>
          <w:sz w:val="24"/>
        </w:rPr>
      </w:pPr>
      <w:r>
        <w:rPr>
          <w:rFonts w:ascii="Times New Roman" w:hAnsi="Times New Roman" w:cs="Times New Roman"/>
          <w:sz w:val="24"/>
        </w:rPr>
        <w:t>Grafik 5</w:t>
      </w:r>
      <w:r w:rsidR="00077C55">
        <w:rPr>
          <w:rFonts w:ascii="Times New Roman" w:hAnsi="Times New Roman" w:cs="Times New Roman"/>
          <w:sz w:val="24"/>
        </w:rPr>
        <w:t xml:space="preserve">’te yer alan ülke grupları itibariyle nakit harcama ve gelir desteklerine bakıldığında gelişmiş ve gelişmekte olan ülkelerin yer aldığı G20 ülkelerinin %92 gibi çok yüksek bir paya sahip oldukları görülmektedir. Bunu seçilmiş diğer gelişmiş ekonomiler %5 ile seçilmiş gelişmekte olan ekonomiler ise %3 ile takip etmektedir. Seçilmiş az gelişmiş ekonomilerin payı ise oldukça düşük seviyeler, hatta 0’a çok yakın düzeydedir. Buna göre yüksek gelir düzeyine </w:t>
      </w:r>
      <w:r w:rsidR="00077C55">
        <w:rPr>
          <w:rFonts w:ascii="Times New Roman" w:hAnsi="Times New Roman" w:cs="Times New Roman"/>
          <w:sz w:val="24"/>
        </w:rPr>
        <w:lastRenderedPageBreak/>
        <w:t xml:space="preserve">sahip ekonomisi güçlü olan ülkeler Covid-19 sürecinde nakit ve harcama desteğini en fazla veren ülkeler olmuştur. </w:t>
      </w:r>
    </w:p>
    <w:p w:rsidR="000600E7" w:rsidRDefault="002563FD" w:rsidP="00C309DA">
      <w:pPr>
        <w:jc w:val="both"/>
        <w:rPr>
          <w:rFonts w:ascii="Times New Roman" w:hAnsi="Times New Roman" w:cs="Times New Roman"/>
          <w:sz w:val="24"/>
        </w:rPr>
      </w:pPr>
      <w:r>
        <w:rPr>
          <w:rFonts w:ascii="Times New Roman" w:hAnsi="Times New Roman" w:cs="Times New Roman"/>
          <w:sz w:val="24"/>
        </w:rPr>
        <w:t>Grafik 6</w:t>
      </w:r>
      <w:r w:rsidR="00070A06">
        <w:rPr>
          <w:rFonts w:ascii="Times New Roman" w:hAnsi="Times New Roman" w:cs="Times New Roman"/>
          <w:sz w:val="24"/>
        </w:rPr>
        <w:t>’te ise seçilmiş ülkelerin Covid-19 sürecinde yaptıkları sağlık harcamalarının gayrisafi yurtiçi hasılalara oranları gösterilmektedir.</w:t>
      </w:r>
    </w:p>
    <w:p w:rsidR="00070A06" w:rsidRDefault="002563FD" w:rsidP="00C309DA">
      <w:pPr>
        <w:jc w:val="both"/>
        <w:rPr>
          <w:rFonts w:ascii="Times New Roman" w:hAnsi="Times New Roman" w:cs="Times New Roman"/>
          <w:sz w:val="24"/>
        </w:rPr>
      </w:pPr>
      <w:r>
        <w:rPr>
          <w:rFonts w:ascii="Times New Roman" w:hAnsi="Times New Roman" w:cs="Times New Roman"/>
          <w:b/>
          <w:sz w:val="24"/>
        </w:rPr>
        <w:t>Grafik 6</w:t>
      </w:r>
      <w:r w:rsidR="00070A06" w:rsidRPr="00070A06">
        <w:rPr>
          <w:rFonts w:ascii="Times New Roman" w:hAnsi="Times New Roman" w:cs="Times New Roman"/>
          <w:b/>
          <w:sz w:val="24"/>
        </w:rPr>
        <w:t>:</w:t>
      </w:r>
      <w:r w:rsidR="00070A06">
        <w:rPr>
          <w:rFonts w:ascii="Times New Roman" w:hAnsi="Times New Roman" w:cs="Times New Roman"/>
          <w:sz w:val="24"/>
        </w:rPr>
        <w:t xml:space="preserve"> Seçilmiş</w:t>
      </w:r>
      <w:r w:rsidR="00D74753">
        <w:rPr>
          <w:rFonts w:ascii="Times New Roman" w:hAnsi="Times New Roman" w:cs="Times New Roman"/>
          <w:sz w:val="24"/>
        </w:rPr>
        <w:t xml:space="preserve"> Ülkelerin Sağlık Harcamaları </w:t>
      </w:r>
      <w:r w:rsidR="00D74753" w:rsidRPr="00D74753">
        <w:rPr>
          <w:rFonts w:ascii="Times New Roman" w:hAnsi="Times New Roman" w:cs="Times New Roman"/>
          <w:sz w:val="24"/>
        </w:rPr>
        <w:t>(GSYH, %)</w:t>
      </w:r>
    </w:p>
    <w:p w:rsidR="00070A06" w:rsidRDefault="009F668B" w:rsidP="00C309DA">
      <w:pPr>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extent cx="5143500" cy="7383780"/>
            <wp:effectExtent l="0" t="0" r="0" b="762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650F" w:rsidRPr="00162980" w:rsidRDefault="0093650F" w:rsidP="0093650F">
      <w:pPr>
        <w:jc w:val="both"/>
        <w:rPr>
          <w:rFonts w:ascii="Times New Roman" w:hAnsi="Times New Roman" w:cs="Times New Roman"/>
          <w:sz w:val="20"/>
          <w:szCs w:val="20"/>
        </w:rPr>
      </w:pPr>
      <w:r w:rsidRPr="00162980">
        <w:rPr>
          <w:rFonts w:ascii="Times New Roman" w:hAnsi="Times New Roman" w:cs="Times New Roman"/>
          <w:b/>
          <w:sz w:val="20"/>
          <w:szCs w:val="20"/>
        </w:rPr>
        <w:lastRenderedPageBreak/>
        <w:t>Kaynak:</w:t>
      </w:r>
      <w:r w:rsidRPr="00162980">
        <w:rPr>
          <w:rFonts w:ascii="Times New Roman" w:hAnsi="Times New Roman" w:cs="Times New Roman"/>
          <w:sz w:val="20"/>
          <w:szCs w:val="20"/>
        </w:rPr>
        <w:t xml:space="preserve"> </w:t>
      </w:r>
      <w:r w:rsidR="00162980" w:rsidRPr="00162980">
        <w:rPr>
          <w:rFonts w:ascii="Times New Roman" w:hAnsi="Times New Roman" w:cs="Times New Roman"/>
          <w:sz w:val="20"/>
          <w:szCs w:val="20"/>
        </w:rPr>
        <w:t>IMF, 2021</w:t>
      </w:r>
    </w:p>
    <w:p w:rsidR="00070A06" w:rsidRDefault="00746321" w:rsidP="00C309DA">
      <w:pPr>
        <w:jc w:val="both"/>
        <w:rPr>
          <w:rFonts w:ascii="Times New Roman" w:hAnsi="Times New Roman" w:cs="Times New Roman"/>
          <w:sz w:val="24"/>
        </w:rPr>
      </w:pPr>
      <w:r>
        <w:rPr>
          <w:rFonts w:ascii="Times New Roman" w:hAnsi="Times New Roman" w:cs="Times New Roman"/>
          <w:sz w:val="24"/>
        </w:rPr>
        <w:t>Grafik</w:t>
      </w:r>
      <w:r w:rsidR="002563FD">
        <w:rPr>
          <w:rFonts w:ascii="Times New Roman" w:hAnsi="Times New Roman" w:cs="Times New Roman"/>
          <w:sz w:val="24"/>
        </w:rPr>
        <w:t xml:space="preserve"> 6</w:t>
      </w:r>
      <w:r w:rsidR="00CA0E6A">
        <w:rPr>
          <w:rFonts w:ascii="Times New Roman" w:hAnsi="Times New Roman" w:cs="Times New Roman"/>
          <w:sz w:val="24"/>
        </w:rPr>
        <w:t>’</w:t>
      </w:r>
      <w:r w:rsidR="002563FD">
        <w:rPr>
          <w:rFonts w:ascii="Times New Roman" w:hAnsi="Times New Roman" w:cs="Times New Roman"/>
          <w:sz w:val="24"/>
        </w:rPr>
        <w:t>da</w:t>
      </w:r>
      <w:r w:rsidR="00CA0E6A">
        <w:rPr>
          <w:rFonts w:ascii="Times New Roman" w:hAnsi="Times New Roman" w:cs="Times New Roman"/>
          <w:sz w:val="24"/>
        </w:rPr>
        <w:t xml:space="preserve"> yer alan seçilmiş ülkelerin </w:t>
      </w:r>
      <w:r w:rsidR="00CA0E6A" w:rsidRPr="00CA0E6A">
        <w:rPr>
          <w:rFonts w:ascii="Times New Roman" w:hAnsi="Times New Roman" w:cs="Times New Roman"/>
          <w:sz w:val="24"/>
        </w:rPr>
        <w:t>Covid-19 sürecinde yaptıkları sağlık harcamalarının gayrisafi yurtiçi hasılalara oranları</w:t>
      </w:r>
      <w:r w:rsidR="00CA0E6A">
        <w:rPr>
          <w:rFonts w:ascii="Times New Roman" w:hAnsi="Times New Roman" w:cs="Times New Roman"/>
          <w:sz w:val="24"/>
        </w:rPr>
        <w:t xml:space="preserve">na bakıldığında en fazla harcamayı %7,5 ile birleşik krallık yapmıştır. En az harcamayı ise %0,1 ile Gana, Kenya, </w:t>
      </w:r>
      <w:r>
        <w:rPr>
          <w:rFonts w:ascii="Times New Roman" w:hAnsi="Times New Roman" w:cs="Times New Roman"/>
          <w:sz w:val="24"/>
        </w:rPr>
        <w:t>Bangladeş</w:t>
      </w:r>
      <w:r w:rsidR="00CA0E6A">
        <w:rPr>
          <w:rFonts w:ascii="Times New Roman" w:hAnsi="Times New Roman" w:cs="Times New Roman"/>
          <w:sz w:val="24"/>
        </w:rPr>
        <w:t xml:space="preserve">, Nijerya ve Çin gerçekleştirmiştir. Türkiye’de yapılan sağlık harcamaları ise %0,3 ile düşük bir seviyede gerçekleşmiştir. </w:t>
      </w:r>
    </w:p>
    <w:p w:rsidR="00001E7B" w:rsidRDefault="003D4D98" w:rsidP="00C309DA">
      <w:pPr>
        <w:jc w:val="both"/>
        <w:rPr>
          <w:rFonts w:ascii="Times New Roman" w:hAnsi="Times New Roman" w:cs="Times New Roman"/>
          <w:sz w:val="24"/>
        </w:rPr>
      </w:pPr>
      <w:r>
        <w:rPr>
          <w:rFonts w:ascii="Times New Roman" w:hAnsi="Times New Roman" w:cs="Times New Roman"/>
          <w:sz w:val="24"/>
        </w:rPr>
        <w:t>Uluslararası veriler ile uluslararası karşılaştırmalarda yer verilmekle birlikte Türkiye’de sosyal harcamalarının gelişimini ayrıca ulusal veriler ile birlikte değerlendirmek Türkiye için sosyal harcamaların gelişiminin izlenmesi ve çalışmaya katkı sunması açısından yararlı olacaktır. Nitekim ilk bölümde de ifade edildiği gibi kamu tarafından yapılan sosyal harcamaların tanımı ve kapsamı</w:t>
      </w:r>
      <w:r w:rsidR="00001E7B">
        <w:rPr>
          <w:rFonts w:ascii="Times New Roman" w:hAnsi="Times New Roman" w:cs="Times New Roman"/>
          <w:sz w:val="24"/>
        </w:rPr>
        <w:t>,</w:t>
      </w:r>
      <w:r>
        <w:rPr>
          <w:rFonts w:ascii="Times New Roman" w:hAnsi="Times New Roman" w:cs="Times New Roman"/>
          <w:sz w:val="24"/>
        </w:rPr>
        <w:t xml:space="preserve"> uluslararası kuruluşlar tarafından devletlerarası bir karşılaştırma yapıldığından ve ortak bir tanım yapılması gereği,</w:t>
      </w:r>
      <w:r w:rsidR="00001E7B">
        <w:rPr>
          <w:rFonts w:ascii="Times New Roman" w:hAnsi="Times New Roman" w:cs="Times New Roman"/>
          <w:sz w:val="24"/>
        </w:rPr>
        <w:t xml:space="preserve"> ülkelerin kendi sosyal harcama tanım ve kapsamlarına göre değişiklik gösterebilmektedir. </w:t>
      </w:r>
      <w:r>
        <w:rPr>
          <w:rFonts w:ascii="Times New Roman" w:hAnsi="Times New Roman" w:cs="Times New Roman"/>
          <w:sz w:val="24"/>
        </w:rPr>
        <w:t xml:space="preserve">Bu doğrultuda Türkiye için </w:t>
      </w:r>
      <w:r w:rsidR="00A775F8">
        <w:rPr>
          <w:rFonts w:ascii="Times New Roman" w:hAnsi="Times New Roman" w:cs="Times New Roman"/>
          <w:sz w:val="24"/>
        </w:rPr>
        <w:t>eğitim</w:t>
      </w:r>
      <w:r w:rsidR="00A775F8">
        <w:rPr>
          <w:rStyle w:val="DipnotBavurusu"/>
          <w:rFonts w:ascii="Times New Roman" w:hAnsi="Times New Roman" w:cs="Times New Roman"/>
          <w:sz w:val="24"/>
        </w:rPr>
        <w:footnoteReference w:id="5"/>
      </w:r>
      <w:r w:rsidR="00A775F8">
        <w:rPr>
          <w:rFonts w:ascii="Times New Roman" w:hAnsi="Times New Roman" w:cs="Times New Roman"/>
          <w:sz w:val="24"/>
        </w:rPr>
        <w:t>, sağlık</w:t>
      </w:r>
      <w:r w:rsidR="00A775F8">
        <w:rPr>
          <w:rStyle w:val="DipnotBavurusu"/>
          <w:rFonts w:ascii="Times New Roman" w:hAnsi="Times New Roman" w:cs="Times New Roman"/>
          <w:sz w:val="24"/>
        </w:rPr>
        <w:footnoteReference w:id="6"/>
      </w:r>
      <w:r w:rsidR="00A775F8">
        <w:rPr>
          <w:rFonts w:ascii="Times New Roman" w:hAnsi="Times New Roman" w:cs="Times New Roman"/>
          <w:sz w:val="24"/>
        </w:rPr>
        <w:t xml:space="preserve"> ve sosyal koruma </w:t>
      </w:r>
      <w:r w:rsidR="00A775F8" w:rsidRPr="00A775F8">
        <w:rPr>
          <w:rFonts w:ascii="Times New Roman" w:hAnsi="Times New Roman" w:cs="Times New Roman"/>
          <w:sz w:val="24"/>
        </w:rPr>
        <w:t>(emekli aylıkları ve diğer harcamalar</w:t>
      </w:r>
      <w:r w:rsidR="007235CE">
        <w:rPr>
          <w:rStyle w:val="DipnotBavurusu"/>
          <w:rFonts w:ascii="Times New Roman" w:hAnsi="Times New Roman" w:cs="Times New Roman"/>
          <w:sz w:val="24"/>
        </w:rPr>
        <w:footnoteReference w:id="7"/>
      </w:r>
      <w:r w:rsidR="00A775F8" w:rsidRPr="00A775F8">
        <w:rPr>
          <w:rFonts w:ascii="Times New Roman" w:hAnsi="Times New Roman" w:cs="Times New Roman"/>
          <w:sz w:val="24"/>
        </w:rPr>
        <w:t>, sosyal yardım ve primsiz ödemeler</w:t>
      </w:r>
      <w:r w:rsidR="007235CE">
        <w:rPr>
          <w:rStyle w:val="DipnotBavurusu"/>
          <w:rFonts w:ascii="Times New Roman" w:hAnsi="Times New Roman" w:cs="Times New Roman"/>
          <w:sz w:val="24"/>
        </w:rPr>
        <w:footnoteReference w:id="8"/>
      </w:r>
      <w:r w:rsidR="00A775F8" w:rsidRPr="00A775F8">
        <w:rPr>
          <w:rFonts w:ascii="Times New Roman" w:hAnsi="Times New Roman" w:cs="Times New Roman"/>
          <w:sz w:val="24"/>
        </w:rPr>
        <w:t>, doğrudan gelir desteği ödemeleri)</w:t>
      </w:r>
      <w:r w:rsidR="00A775F8">
        <w:rPr>
          <w:rFonts w:ascii="Times New Roman" w:hAnsi="Times New Roman" w:cs="Times New Roman"/>
          <w:sz w:val="24"/>
        </w:rPr>
        <w:t xml:space="preserve"> harcamalarından oluşan </w:t>
      </w:r>
      <w:r w:rsidR="00BA135D">
        <w:rPr>
          <w:rFonts w:ascii="Times New Roman" w:hAnsi="Times New Roman" w:cs="Times New Roman"/>
          <w:sz w:val="24"/>
        </w:rPr>
        <w:t xml:space="preserve">kamu </w:t>
      </w:r>
      <w:r>
        <w:rPr>
          <w:rFonts w:ascii="Times New Roman" w:hAnsi="Times New Roman" w:cs="Times New Roman"/>
          <w:sz w:val="24"/>
        </w:rPr>
        <w:t xml:space="preserve">sosyal harcamaları </w:t>
      </w:r>
      <w:r w:rsidR="002563FD">
        <w:rPr>
          <w:rFonts w:ascii="Times New Roman" w:hAnsi="Times New Roman" w:cs="Times New Roman"/>
          <w:sz w:val="24"/>
        </w:rPr>
        <w:t>Grafik 7</w:t>
      </w:r>
      <w:r w:rsidR="00001E7B">
        <w:rPr>
          <w:rFonts w:ascii="Times New Roman" w:hAnsi="Times New Roman" w:cs="Times New Roman"/>
          <w:sz w:val="24"/>
        </w:rPr>
        <w:t>’de gösterilmektedir.</w:t>
      </w:r>
    </w:p>
    <w:p w:rsidR="00001E7B" w:rsidRDefault="002563FD" w:rsidP="00C309DA">
      <w:pPr>
        <w:jc w:val="both"/>
        <w:rPr>
          <w:rFonts w:ascii="Times New Roman" w:hAnsi="Times New Roman" w:cs="Times New Roman"/>
          <w:sz w:val="24"/>
        </w:rPr>
      </w:pPr>
      <w:r>
        <w:rPr>
          <w:rFonts w:ascii="Times New Roman" w:hAnsi="Times New Roman" w:cs="Times New Roman"/>
          <w:b/>
          <w:sz w:val="24"/>
        </w:rPr>
        <w:t>Grafik 7</w:t>
      </w:r>
      <w:r w:rsidR="00001E7B" w:rsidRPr="00001E7B">
        <w:rPr>
          <w:rFonts w:ascii="Times New Roman" w:hAnsi="Times New Roman" w:cs="Times New Roman"/>
          <w:b/>
          <w:sz w:val="24"/>
        </w:rPr>
        <w:t>:</w:t>
      </w:r>
      <w:r w:rsidR="00001E7B">
        <w:rPr>
          <w:rFonts w:ascii="Times New Roman" w:hAnsi="Times New Roman" w:cs="Times New Roman"/>
          <w:sz w:val="24"/>
        </w:rPr>
        <w:t xml:space="preserve"> </w:t>
      </w:r>
      <w:r w:rsidR="00BA135D">
        <w:rPr>
          <w:rFonts w:ascii="Times New Roman" w:hAnsi="Times New Roman" w:cs="Times New Roman"/>
          <w:sz w:val="24"/>
        </w:rPr>
        <w:t xml:space="preserve">Kamu </w:t>
      </w:r>
      <w:r w:rsidR="00001E7B">
        <w:rPr>
          <w:rFonts w:ascii="Times New Roman" w:hAnsi="Times New Roman" w:cs="Times New Roman"/>
          <w:sz w:val="24"/>
        </w:rPr>
        <w:t xml:space="preserve">Sosyal </w:t>
      </w:r>
      <w:r w:rsidR="00292645">
        <w:rPr>
          <w:rFonts w:ascii="Times New Roman" w:hAnsi="Times New Roman" w:cs="Times New Roman"/>
          <w:sz w:val="24"/>
        </w:rPr>
        <w:t>Harcamaları (GSYH, %</w:t>
      </w:r>
      <w:r w:rsidR="00BA135D">
        <w:rPr>
          <w:rFonts w:ascii="Times New Roman" w:hAnsi="Times New Roman" w:cs="Times New Roman"/>
          <w:sz w:val="24"/>
        </w:rPr>
        <w:t>)</w:t>
      </w:r>
      <w:r w:rsidR="00E7553C">
        <w:rPr>
          <w:rFonts w:ascii="Times New Roman" w:hAnsi="Times New Roman" w:cs="Times New Roman"/>
          <w:sz w:val="24"/>
        </w:rPr>
        <w:t>(2004-2021)</w:t>
      </w:r>
      <w:r w:rsidR="00E7553C">
        <w:rPr>
          <w:rStyle w:val="DipnotBavurusu"/>
          <w:rFonts w:ascii="Times New Roman" w:hAnsi="Times New Roman" w:cs="Times New Roman"/>
          <w:sz w:val="24"/>
        </w:rPr>
        <w:footnoteReference w:id="9"/>
      </w:r>
    </w:p>
    <w:p w:rsidR="00001E7B" w:rsidRDefault="00A775F8" w:rsidP="00C309DA">
      <w:pPr>
        <w:jc w:val="both"/>
        <w:rPr>
          <w:rFonts w:ascii="Times New Roman" w:hAnsi="Times New Roman" w:cs="Times New Roman"/>
          <w:sz w:val="24"/>
        </w:rPr>
      </w:pPr>
      <w:r>
        <w:rPr>
          <w:rFonts w:ascii="Times New Roman" w:hAnsi="Times New Roman" w:cs="Times New Roman"/>
          <w:noProof/>
          <w:sz w:val="24"/>
          <w:lang w:eastAsia="tr-TR"/>
        </w:rPr>
        <w:lastRenderedPageBreak/>
        <w:drawing>
          <wp:inline distT="0" distB="0" distL="0" distR="0">
            <wp:extent cx="5486400" cy="3512820"/>
            <wp:effectExtent l="0" t="0" r="0" b="1143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1E7B" w:rsidRPr="00292645" w:rsidRDefault="00496A5A" w:rsidP="00C309DA">
      <w:pPr>
        <w:jc w:val="both"/>
        <w:rPr>
          <w:rFonts w:ascii="Times New Roman" w:hAnsi="Times New Roman" w:cs="Times New Roman"/>
          <w:sz w:val="20"/>
        </w:rPr>
      </w:pPr>
      <w:r w:rsidRPr="00292645">
        <w:rPr>
          <w:rFonts w:ascii="Times New Roman" w:hAnsi="Times New Roman" w:cs="Times New Roman"/>
          <w:b/>
          <w:sz w:val="20"/>
        </w:rPr>
        <w:t>Kaynak:</w:t>
      </w:r>
      <w:r w:rsidRPr="00292645">
        <w:rPr>
          <w:rFonts w:ascii="Times New Roman" w:hAnsi="Times New Roman" w:cs="Times New Roman"/>
          <w:sz w:val="20"/>
        </w:rPr>
        <w:t xml:space="preserve"> </w:t>
      </w:r>
      <w:r w:rsidR="00E7553C" w:rsidRPr="00292645">
        <w:rPr>
          <w:rFonts w:ascii="Times New Roman" w:hAnsi="Times New Roman" w:cs="Times New Roman"/>
          <w:sz w:val="20"/>
        </w:rPr>
        <w:t>Türkiye Cumhuriyeti Cumhurbaşkanlığı (Strateji ve Bütçe Başkanlığı), 2021</w:t>
      </w:r>
    </w:p>
    <w:p w:rsidR="006423CD" w:rsidRDefault="002563FD" w:rsidP="00102D5C">
      <w:pPr>
        <w:jc w:val="both"/>
        <w:rPr>
          <w:rFonts w:ascii="Times New Roman" w:hAnsi="Times New Roman" w:cs="Times New Roman"/>
          <w:sz w:val="24"/>
        </w:rPr>
        <w:sectPr w:rsidR="006423CD">
          <w:pgSz w:w="11906" w:h="16838"/>
          <w:pgMar w:top="1417" w:right="1417" w:bottom="1417" w:left="1417" w:header="708" w:footer="708" w:gutter="0"/>
          <w:cols w:space="708"/>
          <w:docGrid w:linePitch="360"/>
        </w:sectPr>
      </w:pPr>
      <w:r>
        <w:rPr>
          <w:rFonts w:ascii="Times New Roman" w:hAnsi="Times New Roman" w:cs="Times New Roman"/>
          <w:sz w:val="24"/>
        </w:rPr>
        <w:t>Grafik 7</w:t>
      </w:r>
      <w:r w:rsidR="00E7553C">
        <w:rPr>
          <w:rFonts w:ascii="Times New Roman" w:hAnsi="Times New Roman" w:cs="Times New Roman"/>
          <w:sz w:val="24"/>
        </w:rPr>
        <w:t xml:space="preserve">’de yer alan </w:t>
      </w:r>
      <w:r w:rsidR="001451BE">
        <w:rPr>
          <w:rFonts w:ascii="Times New Roman" w:hAnsi="Times New Roman" w:cs="Times New Roman"/>
          <w:sz w:val="24"/>
        </w:rPr>
        <w:t xml:space="preserve">kamu </w:t>
      </w:r>
      <w:r w:rsidR="00E7553C">
        <w:rPr>
          <w:rFonts w:ascii="Times New Roman" w:hAnsi="Times New Roman" w:cs="Times New Roman"/>
          <w:sz w:val="24"/>
        </w:rPr>
        <w:t xml:space="preserve">sosyal harcama verilerine bakıldığında </w:t>
      </w:r>
      <w:r w:rsidR="001451BE">
        <w:rPr>
          <w:rFonts w:ascii="Times New Roman" w:hAnsi="Times New Roman" w:cs="Times New Roman"/>
          <w:sz w:val="24"/>
        </w:rPr>
        <w:t xml:space="preserve">toplam sosyal harcamalar ile sosyal koruma, </w:t>
      </w:r>
      <w:r w:rsidR="00DC32E9">
        <w:rPr>
          <w:rFonts w:ascii="Times New Roman" w:hAnsi="Times New Roman" w:cs="Times New Roman"/>
          <w:sz w:val="24"/>
        </w:rPr>
        <w:t>eğitim</w:t>
      </w:r>
      <w:r w:rsidR="001451BE">
        <w:rPr>
          <w:rFonts w:ascii="Times New Roman" w:hAnsi="Times New Roman" w:cs="Times New Roman"/>
          <w:sz w:val="24"/>
        </w:rPr>
        <w:t xml:space="preserve"> ve sağlık harcamalarının GSYH içindeki paylarının 2004 yılına göre arttığı görülmektedir. Bu artışta en fazla pay sosyal koruma harcamalarında iken sonrasında sağlık ve eğitim harcamalarında ortaya çıkmıştır. Buna göre </w:t>
      </w:r>
      <w:r w:rsidR="008029BB">
        <w:rPr>
          <w:rFonts w:ascii="Times New Roman" w:hAnsi="Times New Roman" w:cs="Times New Roman"/>
          <w:sz w:val="24"/>
        </w:rPr>
        <w:t>2004 yılında GSYH’ye oranı %13,6 olan kamu sosyal harcamaları 2019 yılında %17,1’e ulaşmış, 2020’de %18,4 ve 2021’de ise %17 olması hedeflenmektedir. Bu durum bize eğitim, sağlık ve sosyal koruma (</w:t>
      </w:r>
      <w:r w:rsidR="008029BB" w:rsidRPr="008029BB">
        <w:rPr>
          <w:rFonts w:ascii="Times New Roman" w:hAnsi="Times New Roman" w:cs="Times New Roman"/>
          <w:sz w:val="24"/>
        </w:rPr>
        <w:t>emekli aylıkları ve diğer harcamalar, sosyal yardım ve primsiz ödemeler, doğrudan gelir desteği ödemeleri)</w:t>
      </w:r>
      <w:r w:rsidR="008029BB">
        <w:rPr>
          <w:rFonts w:ascii="Times New Roman" w:hAnsi="Times New Roman" w:cs="Times New Roman"/>
          <w:sz w:val="24"/>
        </w:rPr>
        <w:t xml:space="preserve"> harcamalarına dönem boyunca aktarılan kaynaklarda artış olduğu, özellikle de 2008-2009 dünya finansal krizi yıllarında bu artışın daha fazla artmış olduğunu göstermektedir. </w:t>
      </w:r>
      <w:r w:rsidR="00102D5C">
        <w:rPr>
          <w:rFonts w:ascii="Times New Roman" w:hAnsi="Times New Roman" w:cs="Times New Roman"/>
          <w:sz w:val="24"/>
        </w:rPr>
        <w:t xml:space="preserve">Özellikle Covid-19 sürecinde kamu tarafından yapılan sosyal harcamalarının seyrini görebilmek amacıyla </w:t>
      </w:r>
      <w:r w:rsidR="00DC32E9">
        <w:rPr>
          <w:rFonts w:ascii="Times New Roman" w:hAnsi="Times New Roman" w:cs="Times New Roman"/>
          <w:sz w:val="24"/>
        </w:rPr>
        <w:t>Grafik 8’d</w:t>
      </w:r>
      <w:r w:rsidR="00102D5C">
        <w:rPr>
          <w:rFonts w:ascii="Times New Roman" w:hAnsi="Times New Roman" w:cs="Times New Roman"/>
          <w:sz w:val="24"/>
        </w:rPr>
        <w:t>e 2</w:t>
      </w:r>
      <w:r w:rsidR="00746321">
        <w:rPr>
          <w:rFonts w:ascii="Times New Roman" w:hAnsi="Times New Roman" w:cs="Times New Roman"/>
          <w:sz w:val="24"/>
        </w:rPr>
        <w:t xml:space="preserve">018 yılı Ocak ayı ile 2021 yılı Mart ayına ait </w:t>
      </w:r>
      <w:r w:rsidR="00746321" w:rsidRPr="00597925">
        <w:rPr>
          <w:rFonts w:ascii="Times New Roman" w:hAnsi="Times New Roman" w:cs="Times New Roman"/>
          <w:sz w:val="24"/>
        </w:rPr>
        <w:t xml:space="preserve">hazine </w:t>
      </w:r>
      <w:r w:rsidR="00DC32E9" w:rsidRPr="00597925">
        <w:rPr>
          <w:rFonts w:ascii="Times New Roman" w:hAnsi="Times New Roman" w:cs="Times New Roman"/>
          <w:sz w:val="24"/>
        </w:rPr>
        <w:t>yardımları (sağlık, emeklilik ve sosyal yardım giderleri</w:t>
      </w:r>
      <w:r w:rsidR="00746321" w:rsidRPr="00597925">
        <w:rPr>
          <w:rFonts w:ascii="Times New Roman" w:hAnsi="Times New Roman" w:cs="Times New Roman"/>
          <w:sz w:val="24"/>
        </w:rPr>
        <w:t>)</w:t>
      </w:r>
      <w:r w:rsidR="00746321">
        <w:rPr>
          <w:rFonts w:ascii="Times New Roman" w:hAnsi="Times New Roman" w:cs="Times New Roman"/>
          <w:sz w:val="24"/>
        </w:rPr>
        <w:t>,</w:t>
      </w:r>
      <w:r w:rsidR="00746321" w:rsidRPr="00597925">
        <w:rPr>
          <w:rFonts w:ascii="Times New Roman" w:hAnsi="Times New Roman" w:cs="Times New Roman"/>
          <w:sz w:val="24"/>
        </w:rPr>
        <w:tab/>
      </w:r>
      <w:r w:rsidR="00DC32E9" w:rsidRPr="00597925">
        <w:rPr>
          <w:rFonts w:ascii="Times New Roman" w:hAnsi="Times New Roman" w:cs="Times New Roman"/>
          <w:sz w:val="24"/>
        </w:rPr>
        <w:t>h</w:t>
      </w:r>
      <w:r w:rsidR="00DC32E9">
        <w:rPr>
          <w:rFonts w:ascii="Times New Roman" w:hAnsi="Times New Roman" w:cs="Times New Roman"/>
          <w:sz w:val="24"/>
        </w:rPr>
        <w:t xml:space="preserve">ane halkına yapılan transferler ve </w:t>
      </w:r>
      <w:r w:rsidR="00DC32E9" w:rsidRPr="00597925">
        <w:rPr>
          <w:rFonts w:ascii="Times New Roman" w:hAnsi="Times New Roman" w:cs="Times New Roman"/>
          <w:sz w:val="24"/>
        </w:rPr>
        <w:t>sosyal amaçlı transferler</w:t>
      </w:r>
      <w:r w:rsidR="00DC32E9">
        <w:rPr>
          <w:rFonts w:ascii="Times New Roman" w:hAnsi="Times New Roman" w:cs="Times New Roman"/>
          <w:sz w:val="24"/>
        </w:rPr>
        <w:t xml:space="preserve"> aylık bütçe gerçekleşme verileri gösterilmekt</w:t>
      </w:r>
      <w:r w:rsidR="00746321">
        <w:rPr>
          <w:rFonts w:ascii="Times New Roman" w:hAnsi="Times New Roman" w:cs="Times New Roman"/>
          <w:sz w:val="24"/>
        </w:rPr>
        <w:t>edir.</w:t>
      </w:r>
    </w:p>
    <w:p w:rsidR="00102D5C" w:rsidRDefault="00102D5C" w:rsidP="00102D5C">
      <w:pPr>
        <w:jc w:val="both"/>
        <w:rPr>
          <w:rFonts w:ascii="Times New Roman" w:hAnsi="Times New Roman" w:cs="Times New Roman"/>
          <w:sz w:val="24"/>
        </w:rPr>
      </w:pPr>
    </w:p>
    <w:p w:rsidR="00102D5C" w:rsidRDefault="00102D5C" w:rsidP="00102D5C">
      <w:pPr>
        <w:jc w:val="both"/>
        <w:rPr>
          <w:rFonts w:ascii="Times New Roman" w:hAnsi="Times New Roman" w:cs="Times New Roman"/>
          <w:sz w:val="24"/>
        </w:rPr>
      </w:pPr>
      <w:r w:rsidRPr="002563FD">
        <w:rPr>
          <w:rFonts w:ascii="Times New Roman" w:hAnsi="Times New Roman" w:cs="Times New Roman"/>
          <w:b/>
          <w:sz w:val="24"/>
        </w:rPr>
        <w:t>Grafik</w:t>
      </w:r>
      <w:r w:rsidR="002563FD" w:rsidRPr="002563FD">
        <w:rPr>
          <w:rFonts w:ascii="Times New Roman" w:hAnsi="Times New Roman" w:cs="Times New Roman"/>
          <w:b/>
          <w:sz w:val="24"/>
        </w:rPr>
        <w:t xml:space="preserve"> 8</w:t>
      </w:r>
      <w:r w:rsidR="00597925" w:rsidRPr="002563FD">
        <w:rPr>
          <w:rFonts w:ascii="Times New Roman" w:hAnsi="Times New Roman" w:cs="Times New Roman"/>
          <w:b/>
          <w:sz w:val="24"/>
        </w:rPr>
        <w:t>:</w:t>
      </w:r>
      <w:r w:rsidR="00597925">
        <w:rPr>
          <w:rFonts w:ascii="Times New Roman" w:hAnsi="Times New Roman" w:cs="Times New Roman"/>
          <w:sz w:val="24"/>
        </w:rPr>
        <w:t xml:space="preserve"> Kamu Sosyal Harcamaları</w:t>
      </w:r>
      <w:r>
        <w:rPr>
          <w:rFonts w:ascii="Times New Roman" w:hAnsi="Times New Roman" w:cs="Times New Roman"/>
          <w:sz w:val="24"/>
        </w:rPr>
        <w:t xml:space="preserve"> </w:t>
      </w:r>
      <w:r w:rsidR="00537A36">
        <w:rPr>
          <w:rFonts w:ascii="Times New Roman" w:hAnsi="Times New Roman" w:cs="Times New Roman"/>
          <w:sz w:val="24"/>
        </w:rPr>
        <w:t>(Bin TL)</w:t>
      </w:r>
    </w:p>
    <w:p w:rsidR="00102D5C" w:rsidRPr="00102D5C" w:rsidRDefault="00A9162B" w:rsidP="00102D5C">
      <w:pPr>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extent cx="8976360" cy="4678680"/>
            <wp:effectExtent l="0" t="0" r="15240" b="762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4600" w:rsidRPr="00B56A2C" w:rsidRDefault="004F23E8" w:rsidP="00C309DA">
      <w:pPr>
        <w:jc w:val="both"/>
        <w:rPr>
          <w:rFonts w:ascii="Times New Roman" w:hAnsi="Times New Roman" w:cs="Times New Roman"/>
          <w:sz w:val="20"/>
        </w:rPr>
        <w:sectPr w:rsidR="00344600" w:rsidRPr="00B56A2C" w:rsidSect="00344600">
          <w:pgSz w:w="16838" w:h="11906" w:orient="landscape"/>
          <w:pgMar w:top="1417" w:right="1417" w:bottom="1417" w:left="1417" w:header="708" w:footer="708" w:gutter="0"/>
          <w:cols w:space="708"/>
          <w:docGrid w:linePitch="360"/>
        </w:sectPr>
      </w:pPr>
      <w:r w:rsidRPr="00B56A2C">
        <w:rPr>
          <w:rFonts w:ascii="Times New Roman" w:hAnsi="Times New Roman" w:cs="Times New Roman"/>
          <w:b/>
          <w:sz w:val="20"/>
        </w:rPr>
        <w:t>Kaynak</w:t>
      </w:r>
      <w:r w:rsidRPr="00B56A2C">
        <w:rPr>
          <w:rFonts w:ascii="Times New Roman" w:hAnsi="Times New Roman" w:cs="Times New Roman"/>
          <w:sz w:val="20"/>
        </w:rPr>
        <w:t xml:space="preserve">: </w:t>
      </w:r>
      <w:r w:rsidR="00597925" w:rsidRPr="00B56A2C">
        <w:rPr>
          <w:rFonts w:ascii="Times New Roman" w:hAnsi="Times New Roman" w:cs="Times New Roman"/>
          <w:sz w:val="20"/>
        </w:rPr>
        <w:t>Hazine ve</w:t>
      </w:r>
      <w:r w:rsidRPr="00B56A2C">
        <w:rPr>
          <w:rFonts w:ascii="Times New Roman" w:hAnsi="Times New Roman" w:cs="Times New Roman"/>
          <w:sz w:val="20"/>
        </w:rPr>
        <w:t xml:space="preserve"> Maliye Bakanlığı, 2021</w:t>
      </w:r>
    </w:p>
    <w:p w:rsidR="00966B79" w:rsidRDefault="002563FD" w:rsidP="00966B79">
      <w:pPr>
        <w:jc w:val="both"/>
        <w:rPr>
          <w:rFonts w:ascii="Times New Roman" w:hAnsi="Times New Roman" w:cs="Times New Roman"/>
          <w:sz w:val="24"/>
        </w:rPr>
      </w:pPr>
      <w:proofErr w:type="spellStart"/>
      <w:r>
        <w:rPr>
          <w:rFonts w:ascii="Times New Roman" w:hAnsi="Times New Roman" w:cs="Times New Roman"/>
          <w:sz w:val="24"/>
        </w:rPr>
        <w:lastRenderedPageBreak/>
        <w:t>Garfik</w:t>
      </w:r>
      <w:proofErr w:type="spellEnd"/>
      <w:r>
        <w:rPr>
          <w:rFonts w:ascii="Times New Roman" w:hAnsi="Times New Roman" w:cs="Times New Roman"/>
          <w:sz w:val="24"/>
        </w:rPr>
        <w:t xml:space="preserve"> 8’d</w:t>
      </w:r>
      <w:r w:rsidR="00891C64">
        <w:rPr>
          <w:rFonts w:ascii="Times New Roman" w:hAnsi="Times New Roman" w:cs="Times New Roman"/>
          <w:sz w:val="24"/>
        </w:rPr>
        <w:t xml:space="preserve">e yer alan kamu sosyal harcamalarından </w:t>
      </w:r>
      <w:r w:rsidR="00F01381" w:rsidRPr="00F01381">
        <w:rPr>
          <w:rFonts w:ascii="Times New Roman" w:hAnsi="Times New Roman" w:cs="Times New Roman"/>
          <w:sz w:val="24"/>
        </w:rPr>
        <w:t>hazine yardımları (Sağlık, Emeklil</w:t>
      </w:r>
      <w:r w:rsidR="00F01381">
        <w:rPr>
          <w:rFonts w:ascii="Times New Roman" w:hAnsi="Times New Roman" w:cs="Times New Roman"/>
          <w:sz w:val="24"/>
        </w:rPr>
        <w:t xml:space="preserve">ik ve Sosyal Yardım Giderleri), </w:t>
      </w:r>
      <w:r w:rsidR="00F01381" w:rsidRPr="00F01381">
        <w:rPr>
          <w:rFonts w:ascii="Times New Roman" w:hAnsi="Times New Roman" w:cs="Times New Roman"/>
          <w:sz w:val="24"/>
        </w:rPr>
        <w:t>Hane Halkına Yapılan Transferler ve Sosyal Amaçlı Transferler</w:t>
      </w:r>
      <w:r w:rsidR="00F01381">
        <w:rPr>
          <w:rFonts w:ascii="Times New Roman" w:hAnsi="Times New Roman" w:cs="Times New Roman"/>
          <w:sz w:val="24"/>
        </w:rPr>
        <w:t>e Ocak 2018-Mart 2021 dönemi aylık verilerine bakıldığında genel itibariyle her üç harcama kaleminde de ilk aya göre artış gözlenmiştir. Bu artış trendi genel olarak bakıldığında Covid-19 döneminde de devam etmiştir. Buna göre sosyal amaçlı transferler</w:t>
      </w:r>
      <w:r w:rsidR="00F01381" w:rsidRPr="00F01381">
        <w:rPr>
          <w:rFonts w:ascii="Times New Roman" w:hAnsi="Times New Roman" w:cs="Times New Roman"/>
          <w:sz w:val="24"/>
        </w:rPr>
        <w:t xml:space="preserve"> </w:t>
      </w:r>
      <w:r w:rsidR="00F01381">
        <w:rPr>
          <w:rFonts w:ascii="Times New Roman" w:hAnsi="Times New Roman" w:cs="Times New Roman"/>
          <w:sz w:val="24"/>
        </w:rPr>
        <w:t xml:space="preserve">Covid-19’un </w:t>
      </w:r>
      <w:r w:rsidR="00D34439">
        <w:rPr>
          <w:rFonts w:ascii="Times New Roman" w:hAnsi="Times New Roman" w:cs="Times New Roman"/>
          <w:sz w:val="24"/>
        </w:rPr>
        <w:t>Türkiye’de</w:t>
      </w:r>
      <w:r w:rsidR="00F01381">
        <w:rPr>
          <w:rFonts w:ascii="Times New Roman" w:hAnsi="Times New Roman" w:cs="Times New Roman"/>
          <w:sz w:val="24"/>
        </w:rPr>
        <w:t xml:space="preserve"> hissedilmeye başladığı Mart 2020’de 1.842 milyon iken bu rakam Mart 2021’de 2.173 milyona ulaşmıştır. Aynı şekilde Mart 2020’da 13.301 milyon TL olan </w:t>
      </w:r>
      <w:r w:rsidR="00F01381" w:rsidRPr="00F01381">
        <w:rPr>
          <w:rFonts w:ascii="Times New Roman" w:hAnsi="Times New Roman" w:cs="Times New Roman"/>
          <w:sz w:val="24"/>
        </w:rPr>
        <w:t>hazine yardımları (Sağlık, Emeklil</w:t>
      </w:r>
      <w:r w:rsidR="00F01381">
        <w:rPr>
          <w:rFonts w:ascii="Times New Roman" w:hAnsi="Times New Roman" w:cs="Times New Roman"/>
          <w:sz w:val="24"/>
        </w:rPr>
        <w:t>ik ve Sosyal Yardım Giderleri) Mart 2021’de 14.523 milyon TL’ye yükselmiştir. Hane halkına yapılan transferler ise 552 milyon TL’den 614 milyon TL’</w:t>
      </w:r>
      <w:r w:rsidR="00966B79">
        <w:rPr>
          <w:rFonts w:ascii="Times New Roman" w:hAnsi="Times New Roman" w:cs="Times New Roman"/>
          <w:sz w:val="24"/>
        </w:rPr>
        <w:t>ye yükselmiştir</w:t>
      </w:r>
    </w:p>
    <w:p w:rsidR="00966B79" w:rsidRPr="006D5DAA" w:rsidRDefault="005945B0" w:rsidP="00966B79">
      <w:pPr>
        <w:jc w:val="both"/>
        <w:rPr>
          <w:rFonts w:ascii="Times New Roman" w:hAnsi="Times New Roman" w:cs="Times New Roman"/>
          <w:b/>
          <w:sz w:val="24"/>
        </w:rPr>
      </w:pPr>
      <w:r w:rsidRPr="006D5DAA">
        <w:rPr>
          <w:rFonts w:ascii="Times New Roman" w:hAnsi="Times New Roman" w:cs="Times New Roman"/>
          <w:b/>
          <w:sz w:val="24"/>
        </w:rPr>
        <w:t>SONUÇ</w:t>
      </w:r>
    </w:p>
    <w:p w:rsidR="00E470F2" w:rsidRPr="00E470F2" w:rsidRDefault="00D21B82" w:rsidP="00E470F2">
      <w:pPr>
        <w:jc w:val="both"/>
        <w:rPr>
          <w:rFonts w:ascii="Times New Roman" w:hAnsi="Times New Roman" w:cs="Times New Roman"/>
          <w:sz w:val="24"/>
        </w:rPr>
      </w:pPr>
      <w:r w:rsidRPr="00D21B82">
        <w:rPr>
          <w:rFonts w:ascii="Times New Roman" w:hAnsi="Times New Roman" w:cs="Times New Roman"/>
          <w:sz w:val="24"/>
        </w:rPr>
        <w:t xml:space="preserve">Çin’in Vuhan Eyaleti’nde Aralık ayının sonlarında ortaya çıkan Yeni </w:t>
      </w:r>
      <w:proofErr w:type="spellStart"/>
      <w:r w:rsidRPr="00D21B82">
        <w:rPr>
          <w:rFonts w:ascii="Times New Roman" w:hAnsi="Times New Roman" w:cs="Times New Roman"/>
          <w:sz w:val="24"/>
        </w:rPr>
        <w:t>Koronavirüs</w:t>
      </w:r>
      <w:proofErr w:type="spellEnd"/>
      <w:r w:rsidRPr="00D21B82">
        <w:rPr>
          <w:rFonts w:ascii="Times New Roman" w:hAnsi="Times New Roman" w:cs="Times New Roman"/>
          <w:sz w:val="24"/>
        </w:rPr>
        <w:t xml:space="preserve"> Hastalığı (</w:t>
      </w:r>
      <w:r w:rsidR="007537F4" w:rsidRPr="007537F4">
        <w:rPr>
          <w:rFonts w:ascii="Times New Roman" w:hAnsi="Times New Roman" w:cs="Times New Roman"/>
          <w:sz w:val="24"/>
        </w:rPr>
        <w:t>Covid-19</w:t>
      </w:r>
      <w:r w:rsidRPr="00D21B82">
        <w:rPr>
          <w:rFonts w:ascii="Times New Roman" w:hAnsi="Times New Roman" w:cs="Times New Roman"/>
          <w:sz w:val="24"/>
        </w:rPr>
        <w:t xml:space="preserve">) kısa bir sürede tüm dünyayı etkisi altına almıştır. Ülke sınırlarının ortadan kalkarak dünyanın küresel bir yer haline gelmesi hastalığın yayılma hızını artırarak toplumsal bir sağlık sorunu haline dönüştürmüştür. Bunun bir neticesi olarak da ülke sınırlarını aşan hastalık salgın konumuna yükselmiştir. Tedavisine yönelik aşının uygulanma sürecinin zaman alması, ölümcül derecede birçok sağlık sorununa neden olması ve tüm dünyada yayılma hızının giderek artış göstermesi birçok ülkenin Dünya Sağlık Örgütü tavsiyeleri doğrultusunda salgınla mücadelede yasaklama ve kısıtlamalar gibi tedbirlere başvurmalarına neden olmuştur. Bu tedbirler ise toplumların başta ekonomik olmak üzere sosyal, idari, psikolojik, mali vb. birçok sorun ile karşılaşılmasına neden olmuştur. Devletler salgının neden olduğu bu sorunlar ile mücadele kapsamında başta sağlık olmak üzere </w:t>
      </w:r>
      <w:r w:rsidR="00EE6312">
        <w:rPr>
          <w:rFonts w:ascii="Times New Roman" w:hAnsi="Times New Roman" w:cs="Times New Roman"/>
          <w:sz w:val="24"/>
        </w:rPr>
        <w:t xml:space="preserve">eğitim, sosyal koruma gibi </w:t>
      </w:r>
      <w:r w:rsidRPr="00D21B82">
        <w:rPr>
          <w:rFonts w:ascii="Times New Roman" w:hAnsi="Times New Roman" w:cs="Times New Roman"/>
          <w:sz w:val="24"/>
        </w:rPr>
        <w:t xml:space="preserve">birçok alanda önemli miktarlarda </w:t>
      </w:r>
      <w:r w:rsidR="00EE6312">
        <w:rPr>
          <w:rFonts w:ascii="Times New Roman" w:hAnsi="Times New Roman" w:cs="Times New Roman"/>
          <w:sz w:val="24"/>
        </w:rPr>
        <w:t xml:space="preserve">sosyal </w:t>
      </w:r>
      <w:r w:rsidRPr="00D21B82">
        <w:rPr>
          <w:rFonts w:ascii="Times New Roman" w:hAnsi="Times New Roman" w:cs="Times New Roman"/>
          <w:sz w:val="24"/>
        </w:rPr>
        <w:t xml:space="preserve">harcamalar yapmıştır. </w:t>
      </w:r>
      <w:r w:rsidR="008B3716" w:rsidRPr="008B3716">
        <w:rPr>
          <w:rFonts w:ascii="Times New Roman" w:hAnsi="Times New Roman" w:cs="Times New Roman"/>
          <w:sz w:val="24"/>
        </w:rPr>
        <w:t xml:space="preserve">Nitekim sosyal devlet olmanın temel gereği, özellikle eskisinden daha fazla ihtiyaç duyulan bu tür olağanüstü dönemlerde, sınırları içinde veya dışında yaşayan kendisine muhtaç duruma düşen bireylerin ihtiyaçlarını karşılamak, yanlarında olduklarını hissettirmek ve sosyal refahı artırmaktır. </w:t>
      </w:r>
      <w:r w:rsidR="008B3716">
        <w:rPr>
          <w:rFonts w:ascii="Times New Roman" w:hAnsi="Times New Roman" w:cs="Times New Roman"/>
          <w:sz w:val="24"/>
        </w:rPr>
        <w:t>Devletlerin başvurdukları</w:t>
      </w:r>
      <w:r w:rsidRPr="00D21B82">
        <w:rPr>
          <w:rFonts w:ascii="Times New Roman" w:hAnsi="Times New Roman" w:cs="Times New Roman"/>
          <w:sz w:val="24"/>
        </w:rPr>
        <w:t xml:space="preserve"> harcama alanlarının başında salgın nedeniyle alınan yasaklama ve tedbirler kapsamında gelir düzeyi ve dolayısıyla satın alma gücü azalmış, farklı tür ve alanlarda yeni ihtiyaçlar oluşmuş, sağlık ve eğitime ulaşma </w:t>
      </w:r>
      <w:proofErr w:type="gramStart"/>
      <w:r w:rsidRPr="00D21B82">
        <w:rPr>
          <w:rFonts w:ascii="Times New Roman" w:hAnsi="Times New Roman" w:cs="Times New Roman"/>
          <w:sz w:val="24"/>
        </w:rPr>
        <w:t>imkanları</w:t>
      </w:r>
      <w:proofErr w:type="gramEnd"/>
      <w:r w:rsidRPr="00D21B82">
        <w:rPr>
          <w:rFonts w:ascii="Times New Roman" w:hAnsi="Times New Roman" w:cs="Times New Roman"/>
          <w:sz w:val="24"/>
        </w:rPr>
        <w:t xml:space="preserve"> daha da kısıtlanmış ve devlete eskisinden daha fazla muhtaç hale gelmiş topluma yapılan sosyal harcamalar gelmektedir.</w:t>
      </w:r>
    </w:p>
    <w:p w:rsidR="00E470F2" w:rsidRPr="00E470F2" w:rsidRDefault="008517D4" w:rsidP="00E470F2">
      <w:pPr>
        <w:jc w:val="both"/>
        <w:rPr>
          <w:rFonts w:ascii="Times New Roman" w:hAnsi="Times New Roman" w:cs="Times New Roman"/>
          <w:sz w:val="24"/>
        </w:rPr>
      </w:pPr>
      <w:r>
        <w:rPr>
          <w:rFonts w:ascii="Times New Roman" w:hAnsi="Times New Roman" w:cs="Times New Roman"/>
          <w:sz w:val="24"/>
        </w:rPr>
        <w:t xml:space="preserve">Covid-19 sürecinde dünyada ve </w:t>
      </w:r>
      <w:r w:rsidR="0020301E">
        <w:rPr>
          <w:rFonts w:ascii="Times New Roman" w:hAnsi="Times New Roman" w:cs="Times New Roman"/>
          <w:sz w:val="24"/>
        </w:rPr>
        <w:t>Türkiye’de</w:t>
      </w:r>
      <w:r>
        <w:rPr>
          <w:rFonts w:ascii="Times New Roman" w:hAnsi="Times New Roman" w:cs="Times New Roman"/>
          <w:sz w:val="24"/>
        </w:rPr>
        <w:t xml:space="preserve"> uygulamaya koyulan sosyal harcamalarının incelendiği çalışmada öncelikli olarak </w:t>
      </w:r>
      <w:r w:rsidR="0020301E">
        <w:rPr>
          <w:rFonts w:ascii="Times New Roman" w:hAnsi="Times New Roman" w:cs="Times New Roman"/>
          <w:sz w:val="24"/>
        </w:rPr>
        <w:t xml:space="preserve">devletlerin sosyal yardıma ihtiyacı olan ülke vatandaşları için birçok politikayı yürürlüğe koyduğuna ulaşılmıştır. Buna göre birçok devlet salgının kendi ülkelerinde etkilediği gruplara bağlı olarak farklı tür, nitelik ve kapsamda yardım programları açıklamış ve yürürlüğe koymuştur. Söz konusu politikaların bir sonucu olarak da Covid-19 sürecinde gelişmiş ülkeler başta olmak üzere gelişmekte olan ve az gelişmiş ülkeler çeşitli miktarlarda sosyal harcamalara başvurmuşlardır. </w:t>
      </w:r>
      <w:r w:rsidR="00D34439">
        <w:rPr>
          <w:rFonts w:ascii="Times New Roman" w:hAnsi="Times New Roman" w:cs="Times New Roman"/>
          <w:sz w:val="24"/>
        </w:rPr>
        <w:t xml:space="preserve">Buna göre dünyada </w:t>
      </w:r>
      <w:r w:rsidR="00D34439" w:rsidRPr="0020301E">
        <w:rPr>
          <w:rFonts w:ascii="Times New Roman" w:hAnsi="Times New Roman" w:cs="Times New Roman"/>
          <w:sz w:val="24"/>
        </w:rPr>
        <w:t>nakit harcama ve gelir destekleri</w:t>
      </w:r>
      <w:r w:rsidR="00D34439">
        <w:rPr>
          <w:rFonts w:ascii="Times New Roman" w:hAnsi="Times New Roman" w:cs="Times New Roman"/>
          <w:sz w:val="24"/>
        </w:rPr>
        <w:t xml:space="preserve"> başta olmak üzere eğitim, sağlık ve diğer sosyal koruma programlarına yönelik sosyal harcamalar yapılmıştır.  </w:t>
      </w:r>
      <w:r w:rsidR="0020301E">
        <w:rPr>
          <w:rFonts w:ascii="Times New Roman" w:hAnsi="Times New Roman" w:cs="Times New Roman"/>
          <w:sz w:val="24"/>
        </w:rPr>
        <w:t xml:space="preserve">Bu harcamaların çok büyük bir payı gelişmiş ekonomilere sahip ülkeler tarafından yapılmışken orta ve daha düşük pay gelişmekte olan ve az gelişmiş ülkeler tarafından yapılmıştır. </w:t>
      </w:r>
      <w:r w:rsidR="00D34439">
        <w:rPr>
          <w:rFonts w:ascii="Times New Roman" w:hAnsi="Times New Roman" w:cs="Times New Roman"/>
          <w:sz w:val="24"/>
        </w:rPr>
        <w:t xml:space="preserve">Türkiye’de Covid-19 salgını nedeniyle zor duruma düşmüş belirli gruplara sağlık başta olmak üzere eğitim ve diğer sosyal koruma harcamaları yapılmıştır. </w:t>
      </w:r>
      <w:r w:rsidR="00CE3D19">
        <w:rPr>
          <w:rFonts w:ascii="Times New Roman" w:hAnsi="Times New Roman" w:cs="Times New Roman"/>
          <w:sz w:val="24"/>
        </w:rPr>
        <w:t xml:space="preserve">Covid-19 sürecinde yapılan sosyal harcamaların daha net incelenebilmesi amacıyla Ocak 2018- Mart 2021 dönemi verilerine yer verdiğimiz </w:t>
      </w:r>
      <w:r w:rsidR="00CE3D19" w:rsidRPr="00CE3D19">
        <w:rPr>
          <w:rFonts w:ascii="Times New Roman" w:hAnsi="Times New Roman" w:cs="Times New Roman"/>
          <w:sz w:val="24"/>
        </w:rPr>
        <w:t xml:space="preserve">kamu sosyal harcamalarından hazine yardımları (sağlık, emeklilik ve sosyal yardım giderleri), hane halkına yapılan transferler ve sosyal amaçlı transferlere bakıldığında artış </w:t>
      </w:r>
      <w:proofErr w:type="gramStart"/>
      <w:r w:rsidR="00CE3D19" w:rsidRPr="00CE3D19">
        <w:rPr>
          <w:rFonts w:ascii="Times New Roman" w:hAnsi="Times New Roman" w:cs="Times New Roman"/>
          <w:sz w:val="24"/>
        </w:rPr>
        <w:t>trendi</w:t>
      </w:r>
      <w:r w:rsidR="00CE3D19">
        <w:rPr>
          <w:rFonts w:ascii="Times New Roman" w:hAnsi="Times New Roman" w:cs="Times New Roman"/>
          <w:sz w:val="24"/>
        </w:rPr>
        <w:t>nin</w:t>
      </w:r>
      <w:proofErr w:type="gramEnd"/>
      <w:r w:rsidR="00CE3D19">
        <w:rPr>
          <w:rFonts w:ascii="Times New Roman" w:hAnsi="Times New Roman" w:cs="Times New Roman"/>
          <w:sz w:val="24"/>
        </w:rPr>
        <w:t xml:space="preserve"> genel olarak </w:t>
      </w:r>
      <w:r w:rsidR="00CE3D19" w:rsidRPr="00CE3D19">
        <w:rPr>
          <w:rFonts w:ascii="Times New Roman" w:hAnsi="Times New Roman" w:cs="Times New Roman"/>
          <w:sz w:val="24"/>
        </w:rPr>
        <w:t>Covi</w:t>
      </w:r>
      <w:r w:rsidR="00CE3D19">
        <w:rPr>
          <w:rFonts w:ascii="Times New Roman" w:hAnsi="Times New Roman" w:cs="Times New Roman"/>
          <w:sz w:val="24"/>
        </w:rPr>
        <w:t>d-19 döneminde de devam ettiğine ulaşılmıştır</w:t>
      </w:r>
      <w:r w:rsidR="00CE3D19" w:rsidRPr="00CE3D19">
        <w:rPr>
          <w:rFonts w:ascii="Times New Roman" w:hAnsi="Times New Roman" w:cs="Times New Roman"/>
          <w:sz w:val="24"/>
        </w:rPr>
        <w:t>.</w:t>
      </w:r>
      <w:r w:rsidR="00CE3D19">
        <w:rPr>
          <w:rFonts w:ascii="Times New Roman" w:hAnsi="Times New Roman" w:cs="Times New Roman"/>
          <w:sz w:val="24"/>
        </w:rPr>
        <w:t xml:space="preserve"> </w:t>
      </w:r>
      <w:r w:rsidR="00CE3D19">
        <w:rPr>
          <w:rFonts w:ascii="Times New Roman" w:hAnsi="Times New Roman" w:cs="Times New Roman"/>
          <w:sz w:val="24"/>
        </w:rPr>
        <w:lastRenderedPageBreak/>
        <w:t>Dünyada ve Türkiye’de Covid-19 sürecinde yapılan sosyal harcamalar genel olarak değerlendirildiğinde devletlerin salgından etkilenen bireylere</w:t>
      </w:r>
      <w:r w:rsidR="00CE3D19" w:rsidRPr="00CE3D19">
        <w:rPr>
          <w:rFonts w:ascii="Times New Roman" w:hAnsi="Times New Roman" w:cs="Times New Roman"/>
          <w:sz w:val="24"/>
        </w:rPr>
        <w:t xml:space="preserve"> </w:t>
      </w:r>
      <w:r w:rsidR="00CE3D19">
        <w:rPr>
          <w:rFonts w:ascii="Times New Roman" w:hAnsi="Times New Roman" w:cs="Times New Roman"/>
          <w:sz w:val="24"/>
        </w:rPr>
        <w:t>çok boyutlu politikalar yürürlüğe koyarak yardım amaçlı önemli miktarlarda kaynak ayırmıştır. Bu kaynaklar içinde en önemli pay gelişmiş ekonomilere sahip ül</w:t>
      </w:r>
      <w:r w:rsidR="008C4FC1">
        <w:rPr>
          <w:rFonts w:ascii="Times New Roman" w:hAnsi="Times New Roman" w:cs="Times New Roman"/>
          <w:sz w:val="24"/>
        </w:rPr>
        <w:t>kelerde iken sonrasında gelişmekte olan</w:t>
      </w:r>
      <w:r w:rsidR="00CE3D19">
        <w:rPr>
          <w:rFonts w:ascii="Times New Roman" w:hAnsi="Times New Roman" w:cs="Times New Roman"/>
          <w:sz w:val="24"/>
        </w:rPr>
        <w:t xml:space="preserve"> ve az gelişmiş ülkeler gelmektedir.</w:t>
      </w:r>
    </w:p>
    <w:p w:rsidR="00E470F2" w:rsidRPr="00E470F2" w:rsidRDefault="005945B0" w:rsidP="00E470F2">
      <w:pPr>
        <w:jc w:val="both"/>
        <w:rPr>
          <w:rFonts w:ascii="Times New Roman" w:hAnsi="Times New Roman" w:cs="Times New Roman"/>
          <w:b/>
          <w:sz w:val="24"/>
        </w:rPr>
        <w:sectPr w:rsidR="00E470F2" w:rsidRPr="00E470F2" w:rsidSect="004F23E8">
          <w:pgSz w:w="11906" w:h="16838"/>
          <w:pgMar w:top="1417" w:right="1417" w:bottom="1417" w:left="1417" w:header="708" w:footer="708" w:gutter="0"/>
          <w:cols w:space="708"/>
          <w:docGrid w:linePitch="360"/>
        </w:sectPr>
      </w:pPr>
      <w:r>
        <w:rPr>
          <w:rFonts w:ascii="Times New Roman" w:hAnsi="Times New Roman" w:cs="Times New Roman"/>
          <w:b/>
          <w:sz w:val="24"/>
        </w:rPr>
        <w:t>KAYNAKÇA</w:t>
      </w:r>
    </w:p>
    <w:p w:rsidR="00D45B0A" w:rsidRPr="00A1180E" w:rsidRDefault="00D45B0A" w:rsidP="009F740B">
      <w:pPr>
        <w:ind w:left="567" w:hanging="567"/>
        <w:jc w:val="both"/>
        <w:rPr>
          <w:rFonts w:ascii="Times New Roman" w:hAnsi="Times New Roman" w:cs="Times New Roman"/>
          <w:sz w:val="24"/>
          <w:szCs w:val="24"/>
        </w:rPr>
      </w:pPr>
      <w:r w:rsidRPr="00A1180E">
        <w:rPr>
          <w:rFonts w:ascii="Times New Roman" w:hAnsi="Times New Roman" w:cs="Times New Roman"/>
          <w:sz w:val="24"/>
          <w:szCs w:val="24"/>
        </w:rPr>
        <w:lastRenderedPageBreak/>
        <w:t>Arısoy, İ</w:t>
      </w:r>
      <w:proofErr w:type="gramStart"/>
      <w:r w:rsidRPr="00A1180E">
        <w:rPr>
          <w:rFonts w:ascii="Times New Roman" w:hAnsi="Times New Roman" w:cs="Times New Roman"/>
          <w:sz w:val="24"/>
          <w:szCs w:val="24"/>
        </w:rPr>
        <w:t>.,</w:t>
      </w:r>
      <w:proofErr w:type="gramEnd"/>
      <w:r w:rsidRPr="00A1180E">
        <w:rPr>
          <w:rFonts w:ascii="Times New Roman" w:hAnsi="Times New Roman" w:cs="Times New Roman"/>
          <w:sz w:val="24"/>
          <w:szCs w:val="24"/>
        </w:rPr>
        <w:t xml:space="preserve"> </w:t>
      </w:r>
      <w:proofErr w:type="spellStart"/>
      <w:r w:rsidRPr="00A1180E">
        <w:rPr>
          <w:rFonts w:ascii="Times New Roman" w:hAnsi="Times New Roman" w:cs="Times New Roman"/>
          <w:sz w:val="24"/>
          <w:szCs w:val="24"/>
        </w:rPr>
        <w:t>Ünlükaplan</w:t>
      </w:r>
      <w:proofErr w:type="spellEnd"/>
      <w:r w:rsidR="00E0630E">
        <w:rPr>
          <w:rFonts w:ascii="Times New Roman" w:hAnsi="Times New Roman" w:cs="Times New Roman"/>
          <w:sz w:val="24"/>
          <w:szCs w:val="24"/>
        </w:rPr>
        <w:t>, İ. ve Ergen, Z. (2010).</w:t>
      </w:r>
      <w:r w:rsidRPr="00A1180E">
        <w:rPr>
          <w:rFonts w:ascii="Times New Roman" w:hAnsi="Times New Roman" w:cs="Times New Roman"/>
          <w:sz w:val="24"/>
          <w:szCs w:val="24"/>
        </w:rPr>
        <w:t xml:space="preserve"> Sosyal Harcamalar ve İktisadi Büyüme İlişkisi: Türkiye Ekonomisinde 1960 – 2005 Dönemine Yönelik Bir Dinamik Analiz, </w:t>
      </w:r>
      <w:r w:rsidRPr="00A1180E">
        <w:rPr>
          <w:rFonts w:ascii="Times New Roman" w:hAnsi="Times New Roman" w:cs="Times New Roman"/>
          <w:i/>
          <w:sz w:val="24"/>
          <w:szCs w:val="24"/>
        </w:rPr>
        <w:t>Maliye Dergisi</w:t>
      </w:r>
      <w:r w:rsidRPr="00A1180E">
        <w:rPr>
          <w:rFonts w:ascii="Times New Roman" w:hAnsi="Times New Roman" w:cs="Times New Roman"/>
          <w:sz w:val="24"/>
          <w:szCs w:val="24"/>
        </w:rPr>
        <w:t>, Sayı 158, Ocak-Haziran 2010</w:t>
      </w:r>
    </w:p>
    <w:p w:rsidR="00D45B0A" w:rsidRPr="00A1180E" w:rsidRDefault="00D45B0A" w:rsidP="009F740B">
      <w:pPr>
        <w:ind w:left="567" w:hanging="567"/>
        <w:jc w:val="both"/>
        <w:rPr>
          <w:rFonts w:ascii="Times New Roman" w:hAnsi="Times New Roman" w:cs="Times New Roman"/>
          <w:sz w:val="24"/>
          <w:szCs w:val="24"/>
        </w:rPr>
      </w:pPr>
      <w:r w:rsidRPr="00A1180E">
        <w:rPr>
          <w:rFonts w:ascii="Times New Roman" w:hAnsi="Times New Roman" w:cs="Times New Roman"/>
          <w:sz w:val="24"/>
          <w:szCs w:val="24"/>
        </w:rPr>
        <w:t xml:space="preserve">Aslan, H. (2020). Covid-19 </w:t>
      </w:r>
      <w:proofErr w:type="spellStart"/>
      <w:r w:rsidRPr="00A1180E">
        <w:rPr>
          <w:rFonts w:ascii="Times New Roman" w:hAnsi="Times New Roman" w:cs="Times New Roman"/>
          <w:sz w:val="24"/>
          <w:szCs w:val="24"/>
        </w:rPr>
        <w:t>Pandemisine</w:t>
      </w:r>
      <w:proofErr w:type="spellEnd"/>
      <w:r w:rsidRPr="00A1180E">
        <w:rPr>
          <w:rFonts w:ascii="Times New Roman" w:hAnsi="Times New Roman" w:cs="Times New Roman"/>
          <w:sz w:val="24"/>
          <w:szCs w:val="24"/>
        </w:rPr>
        <w:t xml:space="preserve"> Yönelik Hazırlanan Erken Dönem Sosyal Koruma Tedbirlerinin Karşılaştırmalı Bir Analizi. </w:t>
      </w:r>
      <w:r w:rsidRPr="00A1180E">
        <w:rPr>
          <w:rFonts w:ascii="Times New Roman" w:hAnsi="Times New Roman" w:cs="Times New Roman"/>
          <w:i/>
          <w:sz w:val="24"/>
          <w:szCs w:val="24"/>
        </w:rPr>
        <w:t>Yönetim ve Çalışma Dergisi</w:t>
      </w:r>
      <w:r w:rsidRPr="00A1180E">
        <w:rPr>
          <w:rFonts w:ascii="Times New Roman" w:hAnsi="Times New Roman" w:cs="Times New Roman"/>
          <w:sz w:val="24"/>
          <w:szCs w:val="24"/>
        </w:rPr>
        <w:t>. 4(2), 266-291.</w:t>
      </w:r>
    </w:p>
    <w:p w:rsidR="00D45B0A" w:rsidRPr="00A1180E" w:rsidRDefault="00D45B0A" w:rsidP="009F740B">
      <w:pPr>
        <w:ind w:left="567" w:hanging="567"/>
        <w:jc w:val="both"/>
        <w:rPr>
          <w:rFonts w:ascii="Times New Roman" w:hAnsi="Times New Roman" w:cs="Times New Roman"/>
          <w:sz w:val="24"/>
          <w:szCs w:val="24"/>
        </w:rPr>
      </w:pPr>
      <w:proofErr w:type="spellStart"/>
      <w:r w:rsidRPr="00A1180E">
        <w:rPr>
          <w:rFonts w:ascii="Times New Roman" w:hAnsi="Times New Roman" w:cs="Times New Roman"/>
          <w:sz w:val="24"/>
          <w:szCs w:val="24"/>
        </w:rPr>
        <w:t>Government</w:t>
      </w:r>
      <w:proofErr w:type="spellEnd"/>
      <w:r w:rsidRPr="00A1180E">
        <w:rPr>
          <w:rFonts w:ascii="Times New Roman" w:hAnsi="Times New Roman" w:cs="Times New Roman"/>
          <w:sz w:val="24"/>
          <w:szCs w:val="24"/>
        </w:rPr>
        <w:t xml:space="preserve"> of </w:t>
      </w:r>
      <w:proofErr w:type="spellStart"/>
      <w:r w:rsidRPr="00A1180E">
        <w:rPr>
          <w:rFonts w:ascii="Times New Roman" w:hAnsi="Times New Roman" w:cs="Times New Roman"/>
          <w:sz w:val="24"/>
          <w:szCs w:val="24"/>
        </w:rPr>
        <w:t>Canada</w:t>
      </w:r>
      <w:proofErr w:type="spellEnd"/>
      <w:r w:rsidRPr="00A1180E">
        <w:rPr>
          <w:rFonts w:ascii="Times New Roman" w:hAnsi="Times New Roman" w:cs="Times New Roman"/>
          <w:sz w:val="24"/>
          <w:szCs w:val="24"/>
        </w:rPr>
        <w:t xml:space="preserve">, (2021). </w:t>
      </w:r>
      <w:hyperlink r:id="rId16" w:history="1">
        <w:r w:rsidRPr="00A1180E">
          <w:rPr>
            <w:rStyle w:val="Kpr"/>
            <w:rFonts w:ascii="Times New Roman" w:hAnsi="Times New Roman" w:cs="Times New Roman"/>
            <w:sz w:val="24"/>
            <w:szCs w:val="24"/>
          </w:rPr>
          <w:t>https://www.canada.ca/en/sr/srb.html?cdn=canada&amp;st=s&amp;num=10&amp;langs=en&amp;st1rt=1&amp;s5bm3ts21rch=x&amp;q=COVID-19+Spring+2020+notices&amp;_charset_=UTF-8&amp;wb-srch-sub</w:t>
        </w:r>
      </w:hyperlink>
      <w:r w:rsidRPr="00A1180E">
        <w:rPr>
          <w:rFonts w:ascii="Times New Roman" w:hAnsi="Times New Roman" w:cs="Times New Roman"/>
          <w:sz w:val="24"/>
          <w:szCs w:val="24"/>
        </w:rPr>
        <w:t>=, Erişim Tarihi: 10.05.2021</w:t>
      </w:r>
    </w:p>
    <w:p w:rsidR="00D45B0A" w:rsidRDefault="00D45B0A" w:rsidP="009F740B">
      <w:pPr>
        <w:ind w:left="567" w:hanging="567"/>
        <w:jc w:val="both"/>
        <w:rPr>
          <w:rFonts w:ascii="Times New Roman" w:hAnsi="Times New Roman" w:cs="Times New Roman"/>
          <w:sz w:val="24"/>
          <w:szCs w:val="24"/>
        </w:rPr>
      </w:pPr>
      <w:r w:rsidRPr="00A1180E">
        <w:rPr>
          <w:rFonts w:ascii="Times New Roman" w:hAnsi="Times New Roman" w:cs="Times New Roman"/>
          <w:sz w:val="24"/>
          <w:szCs w:val="24"/>
        </w:rPr>
        <w:t xml:space="preserve">Hazine ve Maliye Bakanlığı, (2021). </w:t>
      </w:r>
      <w:hyperlink r:id="rId17" w:history="1">
        <w:r w:rsidRPr="00A1180E">
          <w:rPr>
            <w:rStyle w:val="Kpr"/>
            <w:rFonts w:ascii="Times New Roman" w:hAnsi="Times New Roman" w:cs="Times New Roman"/>
            <w:sz w:val="24"/>
            <w:szCs w:val="24"/>
          </w:rPr>
          <w:t>https://www.hmb.gov.tr/bumko-aylik-butce-bulteni</w:t>
        </w:r>
      </w:hyperlink>
      <w:r w:rsidRPr="00A1180E">
        <w:rPr>
          <w:rFonts w:ascii="Times New Roman" w:hAnsi="Times New Roman" w:cs="Times New Roman"/>
          <w:sz w:val="24"/>
          <w:szCs w:val="24"/>
        </w:rPr>
        <w:t>, 11.05.2021</w:t>
      </w:r>
    </w:p>
    <w:p w:rsidR="00E04D8F" w:rsidRPr="00A1180E" w:rsidRDefault="00E0630E" w:rsidP="009F740B">
      <w:pPr>
        <w:ind w:left="567" w:hanging="567"/>
        <w:jc w:val="both"/>
        <w:rPr>
          <w:rFonts w:ascii="Times New Roman" w:hAnsi="Times New Roman" w:cs="Times New Roman"/>
          <w:sz w:val="24"/>
          <w:szCs w:val="24"/>
        </w:rPr>
      </w:pPr>
      <w:r>
        <w:rPr>
          <w:rFonts w:ascii="Times New Roman" w:hAnsi="Times New Roman" w:cs="Times New Roman"/>
          <w:sz w:val="24"/>
          <w:szCs w:val="24"/>
        </w:rPr>
        <w:t>ILO (2020).</w:t>
      </w:r>
      <w:r w:rsidR="00E04D8F">
        <w:rPr>
          <w:rFonts w:ascii="Times New Roman" w:hAnsi="Times New Roman" w:cs="Times New Roman"/>
          <w:sz w:val="24"/>
          <w:szCs w:val="24"/>
        </w:rPr>
        <w:t xml:space="preserve"> Sosyal Koruma Merceği, </w:t>
      </w:r>
      <w:hyperlink r:id="rId18" w:history="1">
        <w:r w:rsidR="00E04D8F" w:rsidRPr="005C645D">
          <w:rPr>
            <w:rStyle w:val="Kpr"/>
            <w:rFonts w:ascii="Times New Roman" w:hAnsi="Times New Roman" w:cs="Times New Roman"/>
            <w:sz w:val="24"/>
            <w:szCs w:val="24"/>
          </w:rPr>
          <w:t>https://www.ilo.org/wcmsp5/groups/public/---</w:t>
        </w:r>
        <w:proofErr w:type="spellStart"/>
        <w:r w:rsidR="00E04D8F" w:rsidRPr="005C645D">
          <w:rPr>
            <w:rStyle w:val="Kpr"/>
            <w:rFonts w:ascii="Times New Roman" w:hAnsi="Times New Roman" w:cs="Times New Roman"/>
            <w:sz w:val="24"/>
            <w:szCs w:val="24"/>
          </w:rPr>
          <w:t>europe</w:t>
        </w:r>
        <w:proofErr w:type="spellEnd"/>
        <w:r w:rsidR="00E04D8F" w:rsidRPr="005C645D">
          <w:rPr>
            <w:rStyle w:val="Kpr"/>
            <w:rFonts w:ascii="Times New Roman" w:hAnsi="Times New Roman" w:cs="Times New Roman"/>
            <w:sz w:val="24"/>
            <w:szCs w:val="24"/>
          </w:rPr>
          <w:t>/---</w:t>
        </w:r>
        <w:proofErr w:type="spellStart"/>
        <w:r w:rsidR="00E04D8F" w:rsidRPr="005C645D">
          <w:rPr>
            <w:rStyle w:val="Kpr"/>
            <w:rFonts w:ascii="Times New Roman" w:hAnsi="Times New Roman" w:cs="Times New Roman"/>
            <w:sz w:val="24"/>
            <w:szCs w:val="24"/>
          </w:rPr>
          <w:t>ro-geneva</w:t>
        </w:r>
        <w:proofErr w:type="spellEnd"/>
        <w:r w:rsidR="00E04D8F" w:rsidRPr="005C645D">
          <w:rPr>
            <w:rStyle w:val="Kpr"/>
            <w:rFonts w:ascii="Times New Roman" w:hAnsi="Times New Roman" w:cs="Times New Roman"/>
            <w:sz w:val="24"/>
            <w:szCs w:val="24"/>
          </w:rPr>
          <w:t>/---</w:t>
        </w:r>
        <w:proofErr w:type="spellStart"/>
        <w:r w:rsidR="00E04D8F" w:rsidRPr="005C645D">
          <w:rPr>
            <w:rStyle w:val="Kpr"/>
            <w:rFonts w:ascii="Times New Roman" w:hAnsi="Times New Roman" w:cs="Times New Roman"/>
            <w:sz w:val="24"/>
            <w:szCs w:val="24"/>
          </w:rPr>
          <w:t>ilo-ankara</w:t>
        </w:r>
        <w:proofErr w:type="spellEnd"/>
        <w:r w:rsidR="00E04D8F" w:rsidRPr="005C645D">
          <w:rPr>
            <w:rStyle w:val="Kpr"/>
            <w:rFonts w:ascii="Times New Roman" w:hAnsi="Times New Roman" w:cs="Times New Roman"/>
            <w:sz w:val="24"/>
            <w:szCs w:val="24"/>
          </w:rPr>
          <w:t>/</w:t>
        </w:r>
        <w:proofErr w:type="spellStart"/>
        <w:r w:rsidR="00E04D8F" w:rsidRPr="005C645D">
          <w:rPr>
            <w:rStyle w:val="Kpr"/>
            <w:rFonts w:ascii="Times New Roman" w:hAnsi="Times New Roman" w:cs="Times New Roman"/>
            <w:sz w:val="24"/>
            <w:szCs w:val="24"/>
          </w:rPr>
          <w:t>documents</w:t>
        </w:r>
        <w:proofErr w:type="spellEnd"/>
        <w:r w:rsidR="00E04D8F" w:rsidRPr="005C645D">
          <w:rPr>
            <w:rStyle w:val="Kpr"/>
            <w:rFonts w:ascii="Times New Roman" w:hAnsi="Times New Roman" w:cs="Times New Roman"/>
            <w:sz w:val="24"/>
            <w:szCs w:val="24"/>
          </w:rPr>
          <w:t>/</w:t>
        </w:r>
        <w:proofErr w:type="spellStart"/>
        <w:r w:rsidR="00E04D8F" w:rsidRPr="005C645D">
          <w:rPr>
            <w:rStyle w:val="Kpr"/>
            <w:rFonts w:ascii="Times New Roman" w:hAnsi="Times New Roman" w:cs="Times New Roman"/>
            <w:sz w:val="24"/>
            <w:szCs w:val="24"/>
          </w:rPr>
          <w:t>publication</w:t>
        </w:r>
        <w:proofErr w:type="spellEnd"/>
        <w:r w:rsidR="00E04D8F" w:rsidRPr="005C645D">
          <w:rPr>
            <w:rStyle w:val="Kpr"/>
            <w:rFonts w:ascii="Times New Roman" w:hAnsi="Times New Roman" w:cs="Times New Roman"/>
            <w:sz w:val="24"/>
            <w:szCs w:val="24"/>
          </w:rPr>
          <w:t>/wcms_746402.pdf</w:t>
        </w:r>
      </w:hyperlink>
      <w:r w:rsidR="00E04D8F">
        <w:rPr>
          <w:rFonts w:ascii="Times New Roman" w:hAnsi="Times New Roman" w:cs="Times New Roman"/>
          <w:sz w:val="24"/>
          <w:szCs w:val="24"/>
        </w:rPr>
        <w:t xml:space="preserve">, </w:t>
      </w:r>
      <w:r w:rsidR="00E04D8F" w:rsidRPr="00A1180E">
        <w:rPr>
          <w:rFonts w:ascii="Times New Roman" w:hAnsi="Times New Roman" w:cs="Times New Roman"/>
          <w:sz w:val="24"/>
          <w:szCs w:val="24"/>
        </w:rPr>
        <w:t>Erişim Tarihi:</w:t>
      </w:r>
      <w:r w:rsidR="00E04D8F">
        <w:rPr>
          <w:rFonts w:ascii="Times New Roman" w:hAnsi="Times New Roman" w:cs="Times New Roman"/>
          <w:sz w:val="24"/>
          <w:szCs w:val="24"/>
        </w:rPr>
        <w:t xml:space="preserve"> 05.05.2021</w:t>
      </w:r>
    </w:p>
    <w:p w:rsidR="00D45B0A" w:rsidRPr="00A1180E" w:rsidRDefault="00E0630E" w:rsidP="009F740B">
      <w:pPr>
        <w:ind w:left="567" w:hanging="567"/>
        <w:jc w:val="both"/>
        <w:rPr>
          <w:rFonts w:ascii="Times New Roman" w:hAnsi="Times New Roman" w:cs="Times New Roman"/>
          <w:sz w:val="24"/>
          <w:szCs w:val="24"/>
        </w:rPr>
      </w:pPr>
      <w:r>
        <w:rPr>
          <w:rFonts w:ascii="Times New Roman" w:hAnsi="Times New Roman" w:cs="Times New Roman"/>
          <w:sz w:val="24"/>
          <w:szCs w:val="24"/>
        </w:rPr>
        <w:t>IMF</w:t>
      </w:r>
      <w:r w:rsidR="00D45B0A" w:rsidRPr="00A1180E">
        <w:rPr>
          <w:rFonts w:ascii="Times New Roman" w:hAnsi="Times New Roman" w:cs="Times New Roman"/>
          <w:sz w:val="24"/>
          <w:szCs w:val="24"/>
        </w:rPr>
        <w:t xml:space="preserve"> (2021), </w:t>
      </w:r>
      <w:hyperlink r:id="rId19" w:history="1">
        <w:r w:rsidR="00D45B0A" w:rsidRPr="00A1180E">
          <w:rPr>
            <w:rStyle w:val="Kpr"/>
            <w:rFonts w:ascii="Times New Roman" w:hAnsi="Times New Roman" w:cs="Times New Roman"/>
            <w:sz w:val="24"/>
            <w:szCs w:val="24"/>
          </w:rPr>
          <w:t>https://www.imf.org/en/Topics/imf-and-covid19/Fiscal-Policies-Database-in-Response-to-COVID-19</w:t>
        </w:r>
      </w:hyperlink>
      <w:r w:rsidR="00D45B0A" w:rsidRPr="00A1180E">
        <w:rPr>
          <w:rFonts w:ascii="Times New Roman" w:hAnsi="Times New Roman" w:cs="Times New Roman"/>
          <w:sz w:val="24"/>
          <w:szCs w:val="24"/>
        </w:rPr>
        <w:t>, Erişim Tarihi: 10.05.2021</w:t>
      </w:r>
    </w:p>
    <w:p w:rsidR="00D45B0A" w:rsidRPr="00A1180E" w:rsidRDefault="00D45B0A" w:rsidP="009F740B">
      <w:pPr>
        <w:ind w:left="567" w:hanging="567"/>
        <w:jc w:val="both"/>
        <w:rPr>
          <w:rFonts w:ascii="Times New Roman" w:hAnsi="Times New Roman" w:cs="Times New Roman"/>
          <w:sz w:val="24"/>
          <w:szCs w:val="24"/>
        </w:rPr>
      </w:pPr>
      <w:r w:rsidRPr="00A1180E">
        <w:rPr>
          <w:rFonts w:ascii="Times New Roman" w:hAnsi="Times New Roman" w:cs="Times New Roman"/>
          <w:sz w:val="24"/>
          <w:szCs w:val="24"/>
        </w:rPr>
        <w:t xml:space="preserve">ISSA (2021). </w:t>
      </w:r>
      <w:proofErr w:type="spellStart"/>
      <w:r w:rsidRPr="00A1180E">
        <w:rPr>
          <w:rFonts w:ascii="Times New Roman" w:hAnsi="Times New Roman" w:cs="Times New Roman"/>
          <w:i/>
          <w:sz w:val="24"/>
          <w:szCs w:val="24"/>
        </w:rPr>
        <w:t>Coronavirus</w:t>
      </w:r>
      <w:proofErr w:type="spellEnd"/>
      <w:r w:rsidRPr="00A1180E">
        <w:rPr>
          <w:rFonts w:ascii="Times New Roman" w:hAnsi="Times New Roman" w:cs="Times New Roman"/>
          <w:i/>
          <w:sz w:val="24"/>
          <w:szCs w:val="24"/>
        </w:rPr>
        <w:t xml:space="preserve"> </w:t>
      </w:r>
      <w:proofErr w:type="spellStart"/>
      <w:r w:rsidRPr="00A1180E">
        <w:rPr>
          <w:rFonts w:ascii="Times New Roman" w:hAnsi="Times New Roman" w:cs="Times New Roman"/>
          <w:i/>
          <w:sz w:val="24"/>
          <w:szCs w:val="24"/>
        </w:rPr>
        <w:t>country</w:t>
      </w:r>
      <w:proofErr w:type="spellEnd"/>
      <w:r w:rsidRPr="00A1180E">
        <w:rPr>
          <w:rFonts w:ascii="Times New Roman" w:hAnsi="Times New Roman" w:cs="Times New Roman"/>
          <w:i/>
          <w:sz w:val="24"/>
          <w:szCs w:val="24"/>
        </w:rPr>
        <w:t xml:space="preserve"> </w:t>
      </w:r>
      <w:proofErr w:type="spellStart"/>
      <w:r w:rsidRPr="00A1180E">
        <w:rPr>
          <w:rFonts w:ascii="Times New Roman" w:hAnsi="Times New Roman" w:cs="Times New Roman"/>
          <w:i/>
          <w:sz w:val="24"/>
          <w:szCs w:val="24"/>
        </w:rPr>
        <w:t>measures</w:t>
      </w:r>
      <w:proofErr w:type="spellEnd"/>
      <w:r w:rsidRPr="00A1180E">
        <w:rPr>
          <w:rFonts w:ascii="Times New Roman" w:hAnsi="Times New Roman" w:cs="Times New Roman"/>
          <w:sz w:val="24"/>
          <w:szCs w:val="24"/>
        </w:rPr>
        <w:t xml:space="preserve">,  </w:t>
      </w:r>
      <w:hyperlink r:id="rId20" w:history="1">
        <w:r w:rsidRPr="00A1180E">
          <w:rPr>
            <w:rStyle w:val="Kpr"/>
            <w:rFonts w:ascii="Times New Roman" w:hAnsi="Times New Roman" w:cs="Times New Roman"/>
            <w:sz w:val="24"/>
            <w:szCs w:val="24"/>
          </w:rPr>
          <w:t>https://ww1.issa.int/coronavirus/country-measures</w:t>
        </w:r>
      </w:hyperlink>
      <w:r w:rsidRPr="00A1180E">
        <w:rPr>
          <w:rFonts w:ascii="Times New Roman" w:hAnsi="Times New Roman" w:cs="Times New Roman"/>
          <w:sz w:val="24"/>
          <w:szCs w:val="24"/>
        </w:rPr>
        <w:t>, Erişim Tarihi: 10.05.2021</w:t>
      </w:r>
    </w:p>
    <w:p w:rsidR="00D45B0A" w:rsidRPr="00A1180E" w:rsidRDefault="00D45B0A" w:rsidP="009F740B">
      <w:pPr>
        <w:ind w:left="567" w:hanging="567"/>
        <w:jc w:val="both"/>
        <w:rPr>
          <w:rFonts w:ascii="Times New Roman" w:hAnsi="Times New Roman" w:cs="Times New Roman"/>
          <w:sz w:val="24"/>
          <w:szCs w:val="24"/>
        </w:rPr>
      </w:pPr>
      <w:proofErr w:type="spellStart"/>
      <w:r w:rsidRPr="00A1180E">
        <w:rPr>
          <w:rFonts w:ascii="Times New Roman" w:hAnsi="Times New Roman" w:cs="Times New Roman"/>
          <w:sz w:val="24"/>
          <w:szCs w:val="24"/>
        </w:rPr>
        <w:t>Kirmanoğlu</w:t>
      </w:r>
      <w:proofErr w:type="spellEnd"/>
      <w:r w:rsidRPr="00A1180E">
        <w:rPr>
          <w:rFonts w:ascii="Times New Roman" w:hAnsi="Times New Roman" w:cs="Times New Roman"/>
          <w:sz w:val="24"/>
          <w:szCs w:val="24"/>
        </w:rPr>
        <w:t xml:space="preserve">, H. (2007). </w:t>
      </w:r>
      <w:r w:rsidRPr="00A1180E">
        <w:rPr>
          <w:rFonts w:ascii="Times New Roman" w:hAnsi="Times New Roman" w:cs="Times New Roman"/>
          <w:i/>
          <w:sz w:val="24"/>
          <w:szCs w:val="24"/>
        </w:rPr>
        <w:t>Kamu Ekonomisi Analizi</w:t>
      </w:r>
      <w:r w:rsidRPr="00A1180E">
        <w:rPr>
          <w:rFonts w:ascii="Times New Roman" w:hAnsi="Times New Roman" w:cs="Times New Roman"/>
          <w:sz w:val="24"/>
          <w:szCs w:val="24"/>
        </w:rPr>
        <w:t>, Beta Basım Dağıtım, İstanbul</w:t>
      </w:r>
    </w:p>
    <w:p w:rsidR="00D45B0A" w:rsidRPr="00A1180E" w:rsidRDefault="00D45B0A" w:rsidP="009F740B">
      <w:pPr>
        <w:ind w:left="567" w:hanging="567"/>
        <w:jc w:val="both"/>
        <w:rPr>
          <w:rFonts w:ascii="Times New Roman" w:hAnsi="Times New Roman" w:cs="Times New Roman"/>
          <w:sz w:val="24"/>
          <w:szCs w:val="24"/>
        </w:rPr>
      </w:pPr>
      <w:r w:rsidRPr="00A1180E">
        <w:rPr>
          <w:rFonts w:ascii="Times New Roman" w:hAnsi="Times New Roman" w:cs="Times New Roman"/>
          <w:sz w:val="24"/>
          <w:szCs w:val="24"/>
        </w:rPr>
        <w:t xml:space="preserve">Koç, İ. ve </w:t>
      </w:r>
      <w:proofErr w:type="spellStart"/>
      <w:r w:rsidRPr="00A1180E">
        <w:rPr>
          <w:rFonts w:ascii="Times New Roman" w:hAnsi="Times New Roman" w:cs="Times New Roman"/>
          <w:sz w:val="24"/>
          <w:szCs w:val="24"/>
        </w:rPr>
        <w:t>Yardımcıoğlu</w:t>
      </w:r>
      <w:proofErr w:type="spellEnd"/>
      <w:r w:rsidRPr="00A1180E">
        <w:rPr>
          <w:rFonts w:ascii="Times New Roman" w:hAnsi="Times New Roman" w:cs="Times New Roman"/>
          <w:sz w:val="24"/>
          <w:szCs w:val="24"/>
        </w:rPr>
        <w:t xml:space="preserve">, F. (2020). Covid-19 </w:t>
      </w:r>
      <w:proofErr w:type="spellStart"/>
      <w:r w:rsidRPr="00A1180E">
        <w:rPr>
          <w:rFonts w:ascii="Times New Roman" w:hAnsi="Times New Roman" w:cs="Times New Roman"/>
          <w:sz w:val="24"/>
          <w:szCs w:val="24"/>
        </w:rPr>
        <w:t>Pandemi</w:t>
      </w:r>
      <w:proofErr w:type="spellEnd"/>
      <w:r w:rsidRPr="00A1180E">
        <w:rPr>
          <w:rFonts w:ascii="Times New Roman" w:hAnsi="Times New Roman" w:cs="Times New Roman"/>
          <w:sz w:val="24"/>
          <w:szCs w:val="24"/>
        </w:rPr>
        <w:t xml:space="preserve"> Sürecinde Uygulamaya Konulan Mali Tedbir ve Teşviklerin Karşılaştırmalı Analizi: Türkiye ve Seçilmiş AB Ülkeleri Karşılaştırması, </w:t>
      </w:r>
      <w:r w:rsidRPr="00A1180E">
        <w:rPr>
          <w:rFonts w:ascii="Times New Roman" w:hAnsi="Times New Roman" w:cs="Times New Roman"/>
          <w:i/>
          <w:sz w:val="24"/>
          <w:szCs w:val="24"/>
        </w:rPr>
        <w:t>SEYAD</w:t>
      </w:r>
      <w:r w:rsidRPr="00A1180E">
        <w:rPr>
          <w:rFonts w:ascii="Times New Roman" w:hAnsi="Times New Roman" w:cs="Times New Roman"/>
          <w:sz w:val="24"/>
          <w:szCs w:val="24"/>
        </w:rPr>
        <w:t>, Cilt: 8, Sayı: 2.</w:t>
      </w:r>
    </w:p>
    <w:p w:rsidR="00D45B0A" w:rsidRPr="00A1180E" w:rsidRDefault="00D45B0A" w:rsidP="009F740B">
      <w:pPr>
        <w:ind w:left="567" w:hanging="567"/>
        <w:jc w:val="both"/>
        <w:rPr>
          <w:rFonts w:ascii="Times New Roman" w:hAnsi="Times New Roman" w:cs="Times New Roman"/>
          <w:sz w:val="24"/>
          <w:szCs w:val="24"/>
        </w:rPr>
      </w:pPr>
      <w:r w:rsidRPr="00A1180E">
        <w:rPr>
          <w:rFonts w:ascii="Times New Roman" w:hAnsi="Times New Roman" w:cs="Times New Roman"/>
          <w:sz w:val="24"/>
          <w:szCs w:val="24"/>
        </w:rPr>
        <w:t xml:space="preserve">Kumar, R. (2020). </w:t>
      </w:r>
      <w:proofErr w:type="spellStart"/>
      <w:r w:rsidRPr="00A1180E">
        <w:rPr>
          <w:rFonts w:ascii="Times New Roman" w:hAnsi="Times New Roman" w:cs="Times New Roman"/>
          <w:i/>
          <w:sz w:val="24"/>
          <w:szCs w:val="24"/>
        </w:rPr>
        <w:t>National</w:t>
      </w:r>
      <w:proofErr w:type="spellEnd"/>
      <w:r w:rsidRPr="00A1180E">
        <w:rPr>
          <w:rFonts w:ascii="Times New Roman" w:hAnsi="Times New Roman" w:cs="Times New Roman"/>
          <w:i/>
          <w:sz w:val="24"/>
          <w:szCs w:val="24"/>
        </w:rPr>
        <w:t xml:space="preserve"> </w:t>
      </w:r>
      <w:proofErr w:type="spellStart"/>
      <w:r w:rsidRPr="00A1180E">
        <w:rPr>
          <w:rFonts w:ascii="Times New Roman" w:hAnsi="Times New Roman" w:cs="Times New Roman"/>
          <w:i/>
          <w:sz w:val="24"/>
          <w:szCs w:val="24"/>
        </w:rPr>
        <w:t>Pension</w:t>
      </w:r>
      <w:proofErr w:type="spellEnd"/>
      <w:r w:rsidRPr="00A1180E">
        <w:rPr>
          <w:rFonts w:ascii="Times New Roman" w:hAnsi="Times New Roman" w:cs="Times New Roman"/>
          <w:i/>
          <w:sz w:val="24"/>
          <w:szCs w:val="24"/>
        </w:rPr>
        <w:t xml:space="preserve"> </w:t>
      </w:r>
      <w:proofErr w:type="spellStart"/>
      <w:r w:rsidRPr="00A1180E">
        <w:rPr>
          <w:rFonts w:ascii="Times New Roman" w:hAnsi="Times New Roman" w:cs="Times New Roman"/>
          <w:i/>
          <w:sz w:val="24"/>
          <w:szCs w:val="24"/>
        </w:rPr>
        <w:t>System</w:t>
      </w:r>
      <w:proofErr w:type="spellEnd"/>
      <w:r w:rsidRPr="00A1180E">
        <w:rPr>
          <w:rFonts w:ascii="Times New Roman" w:hAnsi="Times New Roman" w:cs="Times New Roman"/>
          <w:i/>
          <w:sz w:val="24"/>
          <w:szCs w:val="24"/>
        </w:rPr>
        <w:t xml:space="preserve"> </w:t>
      </w:r>
      <w:proofErr w:type="spellStart"/>
      <w:r w:rsidRPr="00A1180E">
        <w:rPr>
          <w:rFonts w:ascii="Times New Roman" w:hAnsi="Times New Roman" w:cs="Times New Roman"/>
          <w:i/>
          <w:sz w:val="24"/>
          <w:szCs w:val="24"/>
        </w:rPr>
        <w:t>withdrawal</w:t>
      </w:r>
      <w:proofErr w:type="spellEnd"/>
      <w:r w:rsidRPr="00A1180E">
        <w:rPr>
          <w:rFonts w:ascii="Times New Roman" w:hAnsi="Times New Roman" w:cs="Times New Roman"/>
          <w:i/>
          <w:sz w:val="24"/>
          <w:szCs w:val="24"/>
        </w:rPr>
        <w:t xml:space="preserve"> </w:t>
      </w:r>
      <w:proofErr w:type="spellStart"/>
      <w:r w:rsidRPr="00A1180E">
        <w:rPr>
          <w:rFonts w:ascii="Times New Roman" w:hAnsi="Times New Roman" w:cs="Times New Roman"/>
          <w:i/>
          <w:sz w:val="24"/>
          <w:szCs w:val="24"/>
        </w:rPr>
        <w:t>for</w:t>
      </w:r>
      <w:proofErr w:type="spellEnd"/>
      <w:r w:rsidRPr="00A1180E">
        <w:rPr>
          <w:rFonts w:ascii="Times New Roman" w:hAnsi="Times New Roman" w:cs="Times New Roman"/>
          <w:i/>
          <w:sz w:val="24"/>
          <w:szCs w:val="24"/>
        </w:rPr>
        <w:t xml:space="preserve"> </w:t>
      </w:r>
      <w:proofErr w:type="spellStart"/>
      <w:r w:rsidRPr="00A1180E">
        <w:rPr>
          <w:rFonts w:ascii="Times New Roman" w:hAnsi="Times New Roman" w:cs="Times New Roman"/>
          <w:i/>
          <w:sz w:val="24"/>
          <w:szCs w:val="24"/>
        </w:rPr>
        <w:t>Coronavirus</w:t>
      </w:r>
      <w:proofErr w:type="spellEnd"/>
      <w:r w:rsidRPr="00A1180E">
        <w:rPr>
          <w:rFonts w:ascii="Times New Roman" w:hAnsi="Times New Roman" w:cs="Times New Roman"/>
          <w:i/>
          <w:sz w:val="24"/>
          <w:szCs w:val="24"/>
        </w:rPr>
        <w:t xml:space="preserve">: How </w:t>
      </w:r>
      <w:proofErr w:type="spellStart"/>
      <w:r w:rsidRPr="00A1180E">
        <w:rPr>
          <w:rFonts w:ascii="Times New Roman" w:hAnsi="Times New Roman" w:cs="Times New Roman"/>
          <w:i/>
          <w:sz w:val="24"/>
          <w:szCs w:val="24"/>
        </w:rPr>
        <w:t>to</w:t>
      </w:r>
      <w:proofErr w:type="spellEnd"/>
      <w:r w:rsidRPr="00A1180E">
        <w:rPr>
          <w:rFonts w:ascii="Times New Roman" w:hAnsi="Times New Roman" w:cs="Times New Roman"/>
          <w:i/>
          <w:sz w:val="24"/>
          <w:szCs w:val="24"/>
        </w:rPr>
        <w:t xml:space="preserve"> </w:t>
      </w:r>
      <w:proofErr w:type="spellStart"/>
      <w:r w:rsidRPr="00A1180E">
        <w:rPr>
          <w:rFonts w:ascii="Times New Roman" w:hAnsi="Times New Roman" w:cs="Times New Roman"/>
          <w:i/>
          <w:sz w:val="24"/>
          <w:szCs w:val="24"/>
        </w:rPr>
        <w:t>withdraw</w:t>
      </w:r>
      <w:proofErr w:type="spellEnd"/>
      <w:r w:rsidRPr="00A1180E">
        <w:rPr>
          <w:rFonts w:ascii="Times New Roman" w:hAnsi="Times New Roman" w:cs="Times New Roman"/>
          <w:i/>
          <w:sz w:val="24"/>
          <w:szCs w:val="24"/>
        </w:rPr>
        <w:t xml:space="preserve"> </w:t>
      </w:r>
      <w:proofErr w:type="spellStart"/>
      <w:r w:rsidRPr="00A1180E">
        <w:rPr>
          <w:rFonts w:ascii="Times New Roman" w:hAnsi="Times New Roman" w:cs="Times New Roman"/>
          <w:i/>
          <w:sz w:val="24"/>
          <w:szCs w:val="24"/>
        </w:rPr>
        <w:t>from</w:t>
      </w:r>
      <w:proofErr w:type="spellEnd"/>
      <w:r w:rsidRPr="00A1180E">
        <w:rPr>
          <w:rFonts w:ascii="Times New Roman" w:hAnsi="Times New Roman" w:cs="Times New Roman"/>
          <w:i/>
          <w:sz w:val="24"/>
          <w:szCs w:val="24"/>
        </w:rPr>
        <w:t xml:space="preserve"> NPS </w:t>
      </w:r>
      <w:proofErr w:type="spellStart"/>
      <w:r w:rsidRPr="00A1180E">
        <w:rPr>
          <w:rFonts w:ascii="Times New Roman" w:hAnsi="Times New Roman" w:cs="Times New Roman"/>
          <w:i/>
          <w:sz w:val="24"/>
          <w:szCs w:val="24"/>
        </w:rPr>
        <w:t>due</w:t>
      </w:r>
      <w:proofErr w:type="spellEnd"/>
      <w:r w:rsidRPr="00A1180E">
        <w:rPr>
          <w:rFonts w:ascii="Times New Roman" w:hAnsi="Times New Roman" w:cs="Times New Roman"/>
          <w:i/>
          <w:sz w:val="24"/>
          <w:szCs w:val="24"/>
        </w:rPr>
        <w:t xml:space="preserve"> </w:t>
      </w:r>
      <w:proofErr w:type="spellStart"/>
      <w:r w:rsidRPr="00A1180E">
        <w:rPr>
          <w:rFonts w:ascii="Times New Roman" w:hAnsi="Times New Roman" w:cs="Times New Roman"/>
          <w:i/>
          <w:sz w:val="24"/>
          <w:szCs w:val="24"/>
        </w:rPr>
        <w:t>to</w:t>
      </w:r>
      <w:proofErr w:type="spellEnd"/>
      <w:r w:rsidRPr="00A1180E">
        <w:rPr>
          <w:rFonts w:ascii="Times New Roman" w:hAnsi="Times New Roman" w:cs="Times New Roman"/>
          <w:i/>
          <w:sz w:val="24"/>
          <w:szCs w:val="24"/>
        </w:rPr>
        <w:t xml:space="preserve"> COVID-19 – 5 </w:t>
      </w:r>
      <w:proofErr w:type="spellStart"/>
      <w:r w:rsidRPr="00A1180E">
        <w:rPr>
          <w:rFonts w:ascii="Times New Roman" w:hAnsi="Times New Roman" w:cs="Times New Roman"/>
          <w:i/>
          <w:sz w:val="24"/>
          <w:szCs w:val="24"/>
        </w:rPr>
        <w:t>points</w:t>
      </w:r>
      <w:proofErr w:type="spellEnd"/>
      <w:r w:rsidRPr="00A1180E">
        <w:rPr>
          <w:rFonts w:ascii="Times New Roman" w:hAnsi="Times New Roman" w:cs="Times New Roman"/>
          <w:sz w:val="24"/>
          <w:szCs w:val="24"/>
        </w:rPr>
        <w:t xml:space="preserve">, </w:t>
      </w:r>
      <w:hyperlink r:id="rId21" w:history="1">
        <w:r w:rsidRPr="00A1180E">
          <w:rPr>
            <w:rStyle w:val="Kpr"/>
            <w:rFonts w:ascii="Times New Roman" w:hAnsi="Times New Roman" w:cs="Times New Roman"/>
            <w:sz w:val="24"/>
            <w:szCs w:val="24"/>
          </w:rPr>
          <w:t>https://www.financialexpress.com/money/nps-withdrawal-for-covid-19-how-to-withdraw-from-national-pension-system-due-to-coronavirus-5-rules/1937307/</w:t>
        </w:r>
      </w:hyperlink>
      <w:r w:rsidRPr="00A1180E">
        <w:rPr>
          <w:rFonts w:ascii="Times New Roman" w:hAnsi="Times New Roman" w:cs="Times New Roman"/>
          <w:sz w:val="24"/>
          <w:szCs w:val="24"/>
        </w:rPr>
        <w:t>, Erişim Tarihi:10.05.2021</w:t>
      </w:r>
    </w:p>
    <w:p w:rsidR="00D45B0A" w:rsidRPr="00A1180E" w:rsidRDefault="00D45B0A" w:rsidP="009F740B">
      <w:pPr>
        <w:ind w:left="567" w:hanging="567"/>
        <w:jc w:val="both"/>
        <w:rPr>
          <w:rFonts w:ascii="Times New Roman" w:hAnsi="Times New Roman" w:cs="Times New Roman"/>
          <w:sz w:val="24"/>
          <w:szCs w:val="24"/>
        </w:rPr>
      </w:pPr>
      <w:r w:rsidRPr="00A1180E">
        <w:rPr>
          <w:rFonts w:ascii="Times New Roman" w:hAnsi="Times New Roman" w:cs="Times New Roman"/>
          <w:sz w:val="24"/>
          <w:szCs w:val="24"/>
        </w:rPr>
        <w:t>Küçükoğlu, M</w:t>
      </w:r>
      <w:proofErr w:type="gramStart"/>
      <w:r w:rsidRPr="00A1180E">
        <w:rPr>
          <w:rFonts w:ascii="Times New Roman" w:hAnsi="Times New Roman" w:cs="Times New Roman"/>
          <w:sz w:val="24"/>
          <w:szCs w:val="24"/>
        </w:rPr>
        <w:t>.,</w:t>
      </w:r>
      <w:proofErr w:type="gramEnd"/>
      <w:r w:rsidRPr="00A1180E">
        <w:rPr>
          <w:rFonts w:ascii="Times New Roman" w:hAnsi="Times New Roman" w:cs="Times New Roman"/>
          <w:sz w:val="24"/>
          <w:szCs w:val="24"/>
        </w:rPr>
        <w:t xml:space="preserve"> Taş, H. Y. ve Ercan, H. (2018). Türkiye’de Sosyal Devlet Anlayışı İçerisinde Transfer Harcamalarının Yeri ve Önemi, </w:t>
      </w:r>
      <w:r w:rsidRPr="00A1180E">
        <w:rPr>
          <w:rFonts w:ascii="Times New Roman" w:hAnsi="Times New Roman" w:cs="Times New Roman"/>
          <w:i/>
          <w:sz w:val="24"/>
          <w:szCs w:val="24"/>
        </w:rPr>
        <w:t>HAK-İŞ Uluslararası Emek ve Toplum Dergisi</w:t>
      </w:r>
      <w:r w:rsidRPr="00A1180E">
        <w:rPr>
          <w:rFonts w:ascii="Times New Roman" w:hAnsi="Times New Roman" w:cs="Times New Roman"/>
          <w:sz w:val="24"/>
          <w:szCs w:val="24"/>
        </w:rPr>
        <w:t>, Cilt: 7, Yıl: 7, Sayı:19 (2018/3), ISSN: 2147-3668 – E-ISSN: 2587 – 103X</w:t>
      </w:r>
    </w:p>
    <w:p w:rsidR="00D45B0A" w:rsidRPr="00A1180E" w:rsidRDefault="00E0630E" w:rsidP="009F740B">
      <w:pPr>
        <w:ind w:left="567" w:hanging="567"/>
        <w:jc w:val="both"/>
        <w:rPr>
          <w:rFonts w:ascii="Times New Roman" w:hAnsi="Times New Roman" w:cs="Times New Roman"/>
          <w:sz w:val="24"/>
          <w:szCs w:val="24"/>
        </w:rPr>
      </w:pPr>
      <w:r>
        <w:rPr>
          <w:rFonts w:ascii="Times New Roman" w:hAnsi="Times New Roman" w:cs="Times New Roman"/>
          <w:sz w:val="24"/>
          <w:szCs w:val="24"/>
        </w:rPr>
        <w:t>OECD (2021).</w:t>
      </w:r>
      <w:r w:rsidR="00D45B0A" w:rsidRPr="00A1180E">
        <w:rPr>
          <w:rFonts w:ascii="Times New Roman" w:hAnsi="Times New Roman" w:cs="Times New Roman"/>
          <w:sz w:val="24"/>
          <w:szCs w:val="24"/>
        </w:rPr>
        <w:t xml:space="preserve"> </w:t>
      </w:r>
      <w:hyperlink r:id="rId22" w:history="1">
        <w:r w:rsidR="00D45B0A" w:rsidRPr="00A1180E">
          <w:rPr>
            <w:rStyle w:val="Kpr"/>
            <w:rFonts w:ascii="Times New Roman" w:hAnsi="Times New Roman" w:cs="Times New Roman"/>
            <w:sz w:val="24"/>
            <w:szCs w:val="24"/>
          </w:rPr>
          <w:t>https://www.oecd.org/social/soc/recipients-socr-by-country.htm</w:t>
        </w:r>
      </w:hyperlink>
      <w:r w:rsidR="00D45B0A" w:rsidRPr="00A1180E">
        <w:rPr>
          <w:rFonts w:ascii="Times New Roman" w:hAnsi="Times New Roman" w:cs="Times New Roman"/>
          <w:sz w:val="24"/>
          <w:szCs w:val="24"/>
        </w:rPr>
        <w:t>, Erişim Tarihi: 01.05.2021</w:t>
      </w:r>
    </w:p>
    <w:p w:rsidR="00D45B0A" w:rsidRPr="00A1180E" w:rsidRDefault="00D45B0A" w:rsidP="009F740B">
      <w:pPr>
        <w:ind w:left="567" w:hanging="567"/>
        <w:jc w:val="both"/>
        <w:rPr>
          <w:rFonts w:ascii="Times New Roman" w:hAnsi="Times New Roman" w:cs="Times New Roman"/>
          <w:sz w:val="24"/>
          <w:szCs w:val="24"/>
        </w:rPr>
      </w:pPr>
      <w:proofErr w:type="spellStart"/>
      <w:r w:rsidRPr="00A1180E">
        <w:rPr>
          <w:rFonts w:ascii="Times New Roman" w:hAnsi="Times New Roman" w:cs="Times New Roman"/>
          <w:sz w:val="24"/>
          <w:szCs w:val="24"/>
        </w:rPr>
        <w:t>Oktayer</w:t>
      </w:r>
      <w:proofErr w:type="spellEnd"/>
      <w:r w:rsidRPr="00A1180E">
        <w:rPr>
          <w:rFonts w:ascii="Times New Roman" w:hAnsi="Times New Roman" w:cs="Times New Roman"/>
          <w:sz w:val="24"/>
          <w:szCs w:val="24"/>
        </w:rPr>
        <w:t xml:space="preserve">, N. (2010). </w:t>
      </w:r>
      <w:r w:rsidRPr="00A1180E">
        <w:rPr>
          <w:rFonts w:ascii="Times New Roman" w:hAnsi="Times New Roman" w:cs="Times New Roman"/>
          <w:i/>
          <w:iCs/>
          <w:sz w:val="24"/>
          <w:szCs w:val="24"/>
        </w:rPr>
        <w:t>Kamu Maliyesi (Ortak Ders)</w:t>
      </w:r>
      <w:r w:rsidRPr="00A1180E">
        <w:rPr>
          <w:rFonts w:ascii="Times New Roman" w:hAnsi="Times New Roman" w:cs="Times New Roman"/>
          <w:iCs/>
          <w:sz w:val="24"/>
          <w:szCs w:val="24"/>
        </w:rPr>
        <w:t xml:space="preserve">, </w:t>
      </w:r>
      <w:r w:rsidRPr="00A1180E">
        <w:rPr>
          <w:rFonts w:ascii="Times New Roman" w:hAnsi="Times New Roman" w:cs="Times New Roman"/>
          <w:sz w:val="24"/>
          <w:szCs w:val="24"/>
        </w:rPr>
        <w:t>İstanbul Üniversitesi Açık ve Uzaktan Eğitim Fakültesi, 2010.</w:t>
      </w:r>
    </w:p>
    <w:p w:rsidR="00D45B0A" w:rsidRPr="00A1180E" w:rsidRDefault="00D45B0A" w:rsidP="009F740B">
      <w:pPr>
        <w:ind w:left="567" w:hanging="567"/>
        <w:jc w:val="both"/>
        <w:rPr>
          <w:rFonts w:ascii="Times New Roman" w:hAnsi="Times New Roman" w:cs="Times New Roman"/>
          <w:sz w:val="24"/>
          <w:szCs w:val="24"/>
        </w:rPr>
      </w:pPr>
      <w:r w:rsidRPr="00A1180E">
        <w:rPr>
          <w:rFonts w:ascii="Times New Roman" w:hAnsi="Times New Roman" w:cs="Times New Roman"/>
          <w:sz w:val="24"/>
          <w:szCs w:val="24"/>
        </w:rPr>
        <w:lastRenderedPageBreak/>
        <w:t xml:space="preserve">Pehlivan, O. (2006). </w:t>
      </w:r>
      <w:r w:rsidRPr="00A1180E">
        <w:rPr>
          <w:rFonts w:ascii="Times New Roman" w:hAnsi="Times New Roman" w:cs="Times New Roman"/>
          <w:i/>
          <w:sz w:val="24"/>
          <w:szCs w:val="24"/>
        </w:rPr>
        <w:t>Kamu Maliyesi</w:t>
      </w:r>
      <w:r w:rsidRPr="00A1180E">
        <w:rPr>
          <w:rFonts w:ascii="Times New Roman" w:hAnsi="Times New Roman" w:cs="Times New Roman"/>
          <w:sz w:val="24"/>
          <w:szCs w:val="24"/>
        </w:rPr>
        <w:t>, Derya Kitabevi, Trabzon.</w:t>
      </w:r>
    </w:p>
    <w:p w:rsidR="00D45B0A" w:rsidRPr="00A1180E" w:rsidRDefault="00D45B0A" w:rsidP="009F740B">
      <w:pPr>
        <w:ind w:left="567" w:hanging="567"/>
        <w:jc w:val="both"/>
        <w:rPr>
          <w:rFonts w:ascii="Times New Roman" w:hAnsi="Times New Roman" w:cs="Times New Roman"/>
          <w:sz w:val="24"/>
          <w:szCs w:val="24"/>
        </w:rPr>
      </w:pPr>
      <w:r w:rsidRPr="00A1180E">
        <w:rPr>
          <w:rFonts w:ascii="Times New Roman" w:hAnsi="Times New Roman" w:cs="Times New Roman"/>
          <w:sz w:val="24"/>
          <w:szCs w:val="24"/>
        </w:rPr>
        <w:t xml:space="preserve">Sandalcı, U. (2020). </w:t>
      </w:r>
      <w:proofErr w:type="spellStart"/>
      <w:r w:rsidRPr="00A1180E">
        <w:rPr>
          <w:rFonts w:ascii="Times New Roman" w:hAnsi="Times New Roman" w:cs="Times New Roman"/>
          <w:sz w:val="24"/>
          <w:szCs w:val="24"/>
        </w:rPr>
        <w:t>Koronavirüs</w:t>
      </w:r>
      <w:proofErr w:type="spellEnd"/>
      <w:r w:rsidRPr="00A1180E">
        <w:rPr>
          <w:rFonts w:ascii="Times New Roman" w:hAnsi="Times New Roman" w:cs="Times New Roman"/>
          <w:sz w:val="24"/>
          <w:szCs w:val="24"/>
        </w:rPr>
        <w:t xml:space="preserve"> (COVID-19) ve Vergi Gelirleri, </w:t>
      </w:r>
      <w:r w:rsidRPr="00A1180E">
        <w:rPr>
          <w:rFonts w:ascii="Times New Roman" w:hAnsi="Times New Roman" w:cs="Times New Roman"/>
          <w:i/>
          <w:sz w:val="24"/>
          <w:szCs w:val="24"/>
        </w:rPr>
        <w:t>Vergi Sorunları Dergisi</w:t>
      </w:r>
      <w:r w:rsidRPr="00A1180E">
        <w:rPr>
          <w:rFonts w:ascii="Times New Roman" w:hAnsi="Times New Roman" w:cs="Times New Roman"/>
          <w:sz w:val="24"/>
          <w:szCs w:val="24"/>
        </w:rPr>
        <w:t>, Sayı: 385 Ekim 2020.</w:t>
      </w:r>
    </w:p>
    <w:p w:rsidR="00D45B0A" w:rsidRPr="00A1180E" w:rsidRDefault="00D45B0A" w:rsidP="009F740B">
      <w:pPr>
        <w:ind w:left="567" w:hanging="567"/>
        <w:jc w:val="both"/>
        <w:rPr>
          <w:rFonts w:ascii="Times New Roman" w:hAnsi="Times New Roman" w:cs="Times New Roman"/>
          <w:sz w:val="24"/>
          <w:szCs w:val="24"/>
        </w:rPr>
      </w:pPr>
      <w:proofErr w:type="spellStart"/>
      <w:r w:rsidRPr="00A1180E">
        <w:rPr>
          <w:rFonts w:ascii="Times New Roman" w:hAnsi="Times New Roman" w:cs="Times New Roman"/>
          <w:sz w:val="24"/>
          <w:szCs w:val="24"/>
        </w:rPr>
        <w:t>Taraktaş</w:t>
      </w:r>
      <w:proofErr w:type="spellEnd"/>
      <w:r w:rsidRPr="00A1180E">
        <w:rPr>
          <w:rFonts w:ascii="Times New Roman" w:hAnsi="Times New Roman" w:cs="Times New Roman"/>
          <w:sz w:val="24"/>
          <w:szCs w:val="24"/>
        </w:rPr>
        <w:t xml:space="preserve">, A. (2018). </w:t>
      </w:r>
      <w:r w:rsidRPr="00A1180E">
        <w:rPr>
          <w:rFonts w:ascii="Times New Roman" w:hAnsi="Times New Roman" w:cs="Times New Roman"/>
          <w:i/>
          <w:sz w:val="24"/>
          <w:szCs w:val="24"/>
        </w:rPr>
        <w:t>Kamu Harcamaları</w:t>
      </w:r>
      <w:r w:rsidRPr="00A1180E">
        <w:rPr>
          <w:rFonts w:ascii="Times New Roman" w:hAnsi="Times New Roman" w:cs="Times New Roman"/>
          <w:sz w:val="24"/>
          <w:szCs w:val="24"/>
        </w:rPr>
        <w:t xml:space="preserve">, </w:t>
      </w:r>
      <w:proofErr w:type="spellStart"/>
      <w:r w:rsidRPr="00A1180E">
        <w:rPr>
          <w:rFonts w:ascii="Times New Roman" w:hAnsi="Times New Roman" w:cs="Times New Roman"/>
          <w:sz w:val="24"/>
          <w:szCs w:val="24"/>
        </w:rPr>
        <w:t>Edit</w:t>
      </w:r>
      <w:proofErr w:type="spellEnd"/>
      <w:r w:rsidRPr="00A1180E">
        <w:rPr>
          <w:rFonts w:ascii="Times New Roman" w:hAnsi="Times New Roman" w:cs="Times New Roman"/>
          <w:sz w:val="24"/>
          <w:szCs w:val="24"/>
        </w:rPr>
        <w:t xml:space="preserve">. Şebnem Tosunoğlu ve Yaşar Tamer Ergül, Kamu Maliyesi,  T.C. Anadolu Üniversitesi </w:t>
      </w:r>
      <w:proofErr w:type="spellStart"/>
      <w:r w:rsidRPr="00A1180E">
        <w:rPr>
          <w:rFonts w:ascii="Times New Roman" w:hAnsi="Times New Roman" w:cs="Times New Roman"/>
          <w:sz w:val="24"/>
          <w:szCs w:val="24"/>
        </w:rPr>
        <w:t>Açıköğretim</w:t>
      </w:r>
      <w:proofErr w:type="spellEnd"/>
      <w:r w:rsidRPr="00A1180E">
        <w:rPr>
          <w:rFonts w:ascii="Times New Roman" w:hAnsi="Times New Roman" w:cs="Times New Roman"/>
          <w:sz w:val="24"/>
          <w:szCs w:val="24"/>
        </w:rPr>
        <w:t xml:space="preserve"> Fakültesi.</w:t>
      </w:r>
    </w:p>
    <w:p w:rsidR="00D45B0A" w:rsidRPr="00A1180E" w:rsidRDefault="00E0630E" w:rsidP="009F740B">
      <w:pPr>
        <w:ind w:left="567" w:hanging="567"/>
        <w:jc w:val="both"/>
        <w:rPr>
          <w:rFonts w:ascii="Times New Roman" w:hAnsi="Times New Roman" w:cs="Times New Roman"/>
          <w:sz w:val="24"/>
          <w:szCs w:val="24"/>
        </w:rPr>
      </w:pPr>
      <w:r>
        <w:rPr>
          <w:rFonts w:ascii="Times New Roman" w:hAnsi="Times New Roman" w:cs="Times New Roman"/>
          <w:sz w:val="24"/>
          <w:szCs w:val="24"/>
        </w:rPr>
        <w:t>T.C. Sağlık Bakanlığı, (2021).</w:t>
      </w:r>
      <w:r w:rsidR="00D45B0A" w:rsidRPr="00A1180E">
        <w:rPr>
          <w:rFonts w:ascii="Times New Roman" w:hAnsi="Times New Roman" w:cs="Times New Roman"/>
          <w:sz w:val="24"/>
          <w:szCs w:val="24"/>
        </w:rPr>
        <w:t xml:space="preserve"> </w:t>
      </w:r>
      <w:hyperlink r:id="rId23" w:history="1">
        <w:r w:rsidR="00D45B0A" w:rsidRPr="00A1180E">
          <w:rPr>
            <w:rStyle w:val="Kpr"/>
            <w:rFonts w:ascii="Times New Roman" w:hAnsi="Times New Roman" w:cs="Times New Roman"/>
            <w:sz w:val="24"/>
            <w:szCs w:val="24"/>
          </w:rPr>
          <w:t>https://covid19bilgi.saglik.gov.tr/tr/covid-19-yeni-koronavirus-hastaligi-nedir</w:t>
        </w:r>
      </w:hyperlink>
      <w:r w:rsidR="00D45B0A" w:rsidRPr="00A1180E">
        <w:rPr>
          <w:rFonts w:ascii="Times New Roman" w:hAnsi="Times New Roman" w:cs="Times New Roman"/>
          <w:sz w:val="24"/>
          <w:szCs w:val="24"/>
        </w:rPr>
        <w:t xml:space="preserve"> Erişim Tarihi: 06.05.2021</w:t>
      </w:r>
    </w:p>
    <w:p w:rsidR="00D45B0A" w:rsidRPr="00A1180E" w:rsidRDefault="00E0630E" w:rsidP="009F740B">
      <w:pPr>
        <w:pStyle w:val="DipnotMetni"/>
        <w:ind w:left="567" w:hanging="567"/>
        <w:jc w:val="both"/>
        <w:rPr>
          <w:rFonts w:ascii="Times New Roman" w:hAnsi="Times New Roman" w:cs="Times New Roman"/>
          <w:sz w:val="24"/>
          <w:szCs w:val="24"/>
        </w:rPr>
      </w:pPr>
      <w:r>
        <w:rPr>
          <w:rFonts w:ascii="Times New Roman" w:hAnsi="Times New Roman" w:cs="Times New Roman"/>
          <w:sz w:val="24"/>
          <w:szCs w:val="24"/>
        </w:rPr>
        <w:t>T.C. Sağlık Bakanlığı, (2020).</w:t>
      </w:r>
      <w:r w:rsidR="00D45B0A" w:rsidRPr="00A1180E">
        <w:rPr>
          <w:rFonts w:ascii="Times New Roman" w:hAnsi="Times New Roman" w:cs="Times New Roman"/>
          <w:sz w:val="24"/>
          <w:szCs w:val="24"/>
        </w:rPr>
        <w:t xml:space="preserve"> </w:t>
      </w:r>
      <w:hyperlink r:id="rId24" w:history="1">
        <w:r w:rsidR="00D45B0A" w:rsidRPr="00A1180E">
          <w:rPr>
            <w:rStyle w:val="Kpr"/>
            <w:rFonts w:ascii="Times New Roman" w:hAnsi="Times New Roman" w:cs="Times New Roman"/>
            <w:sz w:val="24"/>
            <w:szCs w:val="24"/>
          </w:rPr>
          <w:t>https://covid19.saglik.gov.tr/</w:t>
        </w:r>
      </w:hyperlink>
      <w:r w:rsidR="00D45B0A" w:rsidRPr="00A1180E">
        <w:rPr>
          <w:rFonts w:ascii="Times New Roman" w:hAnsi="Times New Roman" w:cs="Times New Roman"/>
          <w:sz w:val="24"/>
          <w:szCs w:val="24"/>
        </w:rPr>
        <w:t>, Erişim Tarihi: 25.03.2021</w:t>
      </w:r>
    </w:p>
    <w:p w:rsidR="00D45B0A" w:rsidRPr="00A1180E" w:rsidRDefault="00D45B0A" w:rsidP="009F740B">
      <w:pPr>
        <w:ind w:left="567" w:hanging="567"/>
        <w:jc w:val="both"/>
        <w:rPr>
          <w:rFonts w:ascii="Times New Roman" w:hAnsi="Times New Roman" w:cs="Times New Roman"/>
          <w:sz w:val="24"/>
          <w:szCs w:val="24"/>
        </w:rPr>
      </w:pPr>
      <w:r w:rsidRPr="00A1180E">
        <w:rPr>
          <w:rFonts w:ascii="Times New Roman" w:hAnsi="Times New Roman" w:cs="Times New Roman"/>
          <w:sz w:val="24"/>
          <w:szCs w:val="24"/>
        </w:rPr>
        <w:t xml:space="preserve">Türkiye Cumhuriyeti Cumhurbaşkanlığı Strateji ve Bütçe Başkanlığı, (2021), </w:t>
      </w:r>
      <w:hyperlink r:id="rId25" w:history="1">
        <w:r w:rsidRPr="00A1180E">
          <w:rPr>
            <w:rStyle w:val="Kpr"/>
            <w:rFonts w:ascii="Times New Roman" w:hAnsi="Times New Roman" w:cs="Times New Roman"/>
            <w:sz w:val="24"/>
            <w:szCs w:val="24"/>
          </w:rPr>
          <w:t>https://www.sbb.gov.tr/resmi-istatistik-programina-katkilarimiz/</w:t>
        </w:r>
      </w:hyperlink>
      <w:r w:rsidRPr="00A1180E">
        <w:rPr>
          <w:rFonts w:ascii="Times New Roman" w:hAnsi="Times New Roman" w:cs="Times New Roman"/>
          <w:sz w:val="24"/>
          <w:szCs w:val="24"/>
        </w:rPr>
        <w:t>, Erişim Tarihi: 11.05.2021</w:t>
      </w:r>
    </w:p>
    <w:p w:rsidR="00166B21" w:rsidRPr="00D45B0A" w:rsidRDefault="00D45B0A" w:rsidP="009F740B">
      <w:pPr>
        <w:ind w:left="567" w:hanging="567"/>
        <w:jc w:val="both"/>
        <w:rPr>
          <w:rFonts w:ascii="Times New Roman" w:hAnsi="Times New Roman" w:cs="Times New Roman"/>
          <w:sz w:val="24"/>
          <w:szCs w:val="24"/>
        </w:rPr>
      </w:pPr>
      <w:proofErr w:type="spellStart"/>
      <w:r w:rsidRPr="00A1180E">
        <w:rPr>
          <w:rFonts w:ascii="Times New Roman" w:hAnsi="Times New Roman" w:cs="Times New Roman"/>
          <w:sz w:val="24"/>
          <w:szCs w:val="24"/>
        </w:rPr>
        <w:t>Worldometers</w:t>
      </w:r>
      <w:proofErr w:type="spellEnd"/>
      <w:r w:rsidRPr="00A1180E">
        <w:rPr>
          <w:rFonts w:ascii="Times New Roman" w:hAnsi="Times New Roman" w:cs="Times New Roman"/>
          <w:sz w:val="24"/>
          <w:szCs w:val="24"/>
        </w:rPr>
        <w:t xml:space="preserve">, (2021). </w:t>
      </w:r>
      <w:hyperlink r:id="rId26" w:anchor="countries" w:history="1">
        <w:r w:rsidRPr="00A1180E">
          <w:rPr>
            <w:rStyle w:val="Kpr"/>
            <w:rFonts w:ascii="Times New Roman" w:hAnsi="Times New Roman" w:cs="Times New Roman"/>
            <w:sz w:val="24"/>
            <w:szCs w:val="24"/>
          </w:rPr>
          <w:t>https://www.worldometers.info/coronavirus/#countries</w:t>
        </w:r>
      </w:hyperlink>
      <w:r w:rsidRPr="00A1180E">
        <w:rPr>
          <w:rFonts w:ascii="Times New Roman" w:hAnsi="Times New Roman" w:cs="Times New Roman"/>
          <w:sz w:val="24"/>
          <w:szCs w:val="24"/>
        </w:rPr>
        <w:t xml:space="preserve">, Erişim Tarihi: </w:t>
      </w:r>
      <w:r>
        <w:rPr>
          <w:rFonts w:ascii="Times New Roman" w:hAnsi="Times New Roman" w:cs="Times New Roman"/>
          <w:sz w:val="24"/>
          <w:szCs w:val="24"/>
        </w:rPr>
        <w:t>11.05.2021.</w:t>
      </w:r>
    </w:p>
    <w:sectPr w:rsidR="00166B21" w:rsidRPr="00D45B0A" w:rsidSect="00D45B0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58D" w:rsidRDefault="00AA358D" w:rsidP="001D4D01">
      <w:pPr>
        <w:spacing w:after="0" w:line="240" w:lineRule="auto"/>
      </w:pPr>
      <w:r>
        <w:separator/>
      </w:r>
    </w:p>
  </w:endnote>
  <w:endnote w:type="continuationSeparator" w:id="0">
    <w:p w:rsidR="00AA358D" w:rsidRDefault="00AA358D" w:rsidP="001D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58D" w:rsidRDefault="00AA358D" w:rsidP="001D4D01">
      <w:pPr>
        <w:spacing w:after="0" w:line="240" w:lineRule="auto"/>
      </w:pPr>
      <w:r>
        <w:separator/>
      </w:r>
    </w:p>
  </w:footnote>
  <w:footnote w:type="continuationSeparator" w:id="0">
    <w:p w:rsidR="00AA358D" w:rsidRDefault="00AA358D" w:rsidP="001D4D01">
      <w:pPr>
        <w:spacing w:after="0" w:line="240" w:lineRule="auto"/>
      </w:pPr>
      <w:r>
        <w:continuationSeparator/>
      </w:r>
    </w:p>
  </w:footnote>
  <w:footnote w:id="1">
    <w:p w:rsidR="0070452A" w:rsidRPr="004F258A" w:rsidRDefault="0070452A" w:rsidP="0070452A">
      <w:pPr>
        <w:pStyle w:val="DipnotMetni"/>
        <w:rPr>
          <w:rFonts w:ascii="Times New Roman" w:hAnsi="Times New Roman" w:cs="Times New Roman"/>
        </w:rPr>
      </w:pPr>
      <w:r w:rsidRPr="004F258A">
        <w:rPr>
          <w:rStyle w:val="DipnotBavurusu"/>
          <w:rFonts w:ascii="Times New Roman" w:hAnsi="Times New Roman" w:cs="Times New Roman"/>
        </w:rPr>
        <w:footnoteRef/>
      </w:r>
      <w:r w:rsidRPr="004F258A">
        <w:rPr>
          <w:rFonts w:ascii="Times New Roman" w:hAnsi="Times New Roman" w:cs="Times New Roman"/>
        </w:rPr>
        <w:t xml:space="preserve"> Kütahya Dumlupınar Üniversitesi, İİBF, Maliye, </w:t>
      </w:r>
      <w:hyperlink r:id="rId1" w:history="1">
        <w:r w:rsidRPr="00CB2FA0">
          <w:rPr>
            <w:rStyle w:val="Kpr"/>
            <w:rFonts w:ascii="Times New Roman" w:hAnsi="Times New Roman" w:cs="Times New Roman"/>
          </w:rPr>
          <w:t>inci.agacan@dpu.edu.tr</w:t>
        </w:r>
      </w:hyperlink>
      <w:r w:rsidRPr="004F258A">
        <w:rPr>
          <w:rFonts w:ascii="Times New Roman" w:hAnsi="Times New Roman" w:cs="Times New Roman"/>
        </w:rPr>
        <w:t xml:space="preserve"> </w:t>
      </w:r>
    </w:p>
  </w:footnote>
  <w:footnote w:id="2">
    <w:p w:rsidR="0070452A" w:rsidRPr="004F258A" w:rsidRDefault="0070452A" w:rsidP="0070452A">
      <w:pPr>
        <w:pStyle w:val="DipnotMetni"/>
        <w:rPr>
          <w:rFonts w:ascii="Times New Roman" w:hAnsi="Times New Roman" w:cs="Times New Roman"/>
        </w:rPr>
      </w:pPr>
      <w:r w:rsidRPr="004F258A">
        <w:rPr>
          <w:rStyle w:val="DipnotBavurusu"/>
          <w:rFonts w:ascii="Times New Roman" w:hAnsi="Times New Roman" w:cs="Times New Roman"/>
        </w:rPr>
        <w:footnoteRef/>
      </w:r>
      <w:r w:rsidRPr="004F258A">
        <w:rPr>
          <w:rFonts w:ascii="Times New Roman" w:hAnsi="Times New Roman" w:cs="Times New Roman"/>
        </w:rPr>
        <w:t xml:space="preserve"> Kütahya Dumlupınar Üniversitesi, İİBF, Maliye, </w:t>
      </w:r>
      <w:hyperlink r:id="rId2" w:history="1">
        <w:r w:rsidRPr="004F258A">
          <w:rPr>
            <w:rStyle w:val="Kpr"/>
            <w:rFonts w:ascii="Times New Roman" w:hAnsi="Times New Roman" w:cs="Times New Roman"/>
          </w:rPr>
          <w:t>ulvi.sandalci@dpu.edu.tr</w:t>
        </w:r>
      </w:hyperlink>
      <w:r w:rsidRPr="004F258A">
        <w:rPr>
          <w:rFonts w:ascii="Times New Roman" w:hAnsi="Times New Roman" w:cs="Times New Roman"/>
        </w:rPr>
        <w:t xml:space="preserve"> </w:t>
      </w:r>
    </w:p>
  </w:footnote>
  <w:footnote w:id="3">
    <w:p w:rsidR="00DD2BE3" w:rsidRPr="00DD2BE3" w:rsidRDefault="00DD2BE3" w:rsidP="00DD2BE3">
      <w:pPr>
        <w:pStyle w:val="DipnotMetni"/>
        <w:jc w:val="both"/>
        <w:rPr>
          <w:rFonts w:ascii="Times New Roman" w:hAnsi="Times New Roman" w:cs="Times New Roman"/>
        </w:rPr>
      </w:pPr>
      <w:r w:rsidRPr="00DD2BE3">
        <w:rPr>
          <w:rStyle w:val="DipnotBavurusu"/>
          <w:rFonts w:ascii="Times New Roman" w:hAnsi="Times New Roman" w:cs="Times New Roman"/>
        </w:rPr>
        <w:footnoteRef/>
      </w:r>
      <w:r w:rsidRPr="00DD2BE3">
        <w:rPr>
          <w:rFonts w:ascii="Times New Roman" w:hAnsi="Times New Roman" w:cs="Times New Roman"/>
        </w:rPr>
        <w:t xml:space="preserve"> 11 Mayıs 2021 itibariyle</w:t>
      </w:r>
    </w:p>
  </w:footnote>
  <w:footnote w:id="4">
    <w:p w:rsidR="00237425" w:rsidRDefault="00237425">
      <w:pPr>
        <w:pStyle w:val="DipnotMetni"/>
      </w:pPr>
      <w:r>
        <w:rPr>
          <w:rStyle w:val="DipnotBavurusu"/>
        </w:rPr>
        <w:footnoteRef/>
      </w:r>
      <w:r>
        <w:t xml:space="preserve"> </w:t>
      </w:r>
      <w:r w:rsidRPr="00DD2BE3">
        <w:rPr>
          <w:rFonts w:ascii="Times New Roman" w:hAnsi="Times New Roman" w:cs="Times New Roman"/>
        </w:rPr>
        <w:t>11 Mayıs 2021 itibariyle</w:t>
      </w:r>
    </w:p>
  </w:footnote>
  <w:footnote w:id="5">
    <w:p w:rsidR="00A775F8" w:rsidRPr="007235CE" w:rsidRDefault="00A775F8" w:rsidP="007235CE">
      <w:pPr>
        <w:pStyle w:val="DipnotMetni"/>
        <w:jc w:val="both"/>
        <w:rPr>
          <w:rFonts w:ascii="Times New Roman" w:hAnsi="Times New Roman" w:cs="Times New Roman"/>
        </w:rPr>
      </w:pPr>
      <w:r w:rsidRPr="007235CE">
        <w:rPr>
          <w:rStyle w:val="DipnotBavurusu"/>
          <w:rFonts w:ascii="Times New Roman" w:hAnsi="Times New Roman" w:cs="Times New Roman"/>
        </w:rPr>
        <w:footnoteRef/>
      </w:r>
      <w:r w:rsidRPr="007235CE">
        <w:rPr>
          <w:rFonts w:ascii="Times New Roman" w:hAnsi="Times New Roman" w:cs="Times New Roman"/>
        </w:rPr>
        <w:t xml:space="preserve"> Eğitim harcamaları kapsamında, Merkezi yönetim kapsamındaki kuruluşların, döner sermayelerin, bütçe dışı fonların, sosyal güvenlik kuruluşlarının, mahalli idarelerin ve kamu iktisadi teşebbüslerinin eğitim harcamaları yer almaktadır.</w:t>
      </w:r>
    </w:p>
  </w:footnote>
  <w:footnote w:id="6">
    <w:p w:rsidR="00A775F8" w:rsidRPr="007235CE" w:rsidRDefault="00A775F8" w:rsidP="007235CE">
      <w:pPr>
        <w:pStyle w:val="DipnotMetni"/>
        <w:jc w:val="both"/>
        <w:rPr>
          <w:rFonts w:ascii="Times New Roman" w:hAnsi="Times New Roman" w:cs="Times New Roman"/>
        </w:rPr>
      </w:pPr>
      <w:r w:rsidRPr="007235CE">
        <w:rPr>
          <w:rStyle w:val="DipnotBavurusu"/>
          <w:rFonts w:ascii="Times New Roman" w:hAnsi="Times New Roman" w:cs="Times New Roman"/>
        </w:rPr>
        <w:footnoteRef/>
      </w:r>
      <w:r w:rsidRPr="007235CE">
        <w:rPr>
          <w:rFonts w:ascii="Times New Roman" w:hAnsi="Times New Roman" w:cs="Times New Roman"/>
        </w:rPr>
        <w:t xml:space="preserve"> Sağlık harcamaları kapsamında, Merkezi yönetim kapsamındaki kuruluşların, döner sermayelerin, bütçe dışı fonların, sosyal güvenlik kuruluşlarının, mahalli idarelerin ve kamu iktisadi teşebbüslerinin sağlık harcamaları yer almaktadır. Merkezi yönetim bütçesi sağlık harcamalarında Sağlık Bakanlığı bütçesinin tamamı (yeşil kart harcamaları dâhil) dikkate alınmaktadır. Diğer merkezi yönetim bütçesi kapsamındaki kuruluşlar ve mahalli idarelerin sağlık harcamalarında sağlık fonksiyonunda yer alan tutarlar ile personelleri için kurumları tarafından yapılan sağlık giderleri esas alınmaktadır. Mahalli idarelerin sağlık harcamalarında mükerrerlik olmaması amacıyla Sağlık Bakanlığı tarafından aktarılan tutarlar kullanılarak il özel idareleri tarafından yapılan yatırımlar dikkate alınmamaktadır. Sağlık Bakanlığının yatırımlarına Çevre ve Şehircilik Bakanlığı ile TOKİ’ye aktarılan tutarlar dâhil edilmektedir. SGK sağlık harcamaları hesaplanırken, sağlık hizmeti sunucularına yapılan ödemeler ile sağlık hizmeti sunucularınca tahsil edilen katılım payları dikkate alınmaktadır.</w:t>
      </w:r>
    </w:p>
  </w:footnote>
  <w:footnote w:id="7">
    <w:p w:rsidR="007235CE" w:rsidRPr="007235CE" w:rsidRDefault="007235CE" w:rsidP="007235CE">
      <w:pPr>
        <w:pStyle w:val="DipnotMetni"/>
        <w:jc w:val="both"/>
        <w:rPr>
          <w:rFonts w:ascii="Times New Roman" w:hAnsi="Times New Roman" w:cs="Times New Roman"/>
        </w:rPr>
      </w:pPr>
      <w:r w:rsidRPr="007235CE">
        <w:rPr>
          <w:rStyle w:val="DipnotBavurusu"/>
          <w:rFonts w:ascii="Times New Roman" w:hAnsi="Times New Roman" w:cs="Times New Roman"/>
        </w:rPr>
        <w:footnoteRef/>
      </w:r>
      <w:r w:rsidRPr="007235CE">
        <w:rPr>
          <w:rFonts w:ascii="Times New Roman" w:hAnsi="Times New Roman" w:cs="Times New Roman"/>
        </w:rPr>
        <w:t xml:space="preserve"> </w:t>
      </w:r>
      <w:proofErr w:type="gramStart"/>
      <w:r w:rsidRPr="007235CE">
        <w:rPr>
          <w:rFonts w:ascii="Times New Roman" w:hAnsi="Times New Roman" w:cs="Times New Roman"/>
        </w:rPr>
        <w:t xml:space="preserve">Emekli aylıkları ve diğer harcamalar kapsamında, Sosyal güvenlik kuruluşlarınca ödenen emekli aylıklarının (ek ödeme hariç) yanı sıra, bu kuruluşların diğer giderlerini ve İşsizlik Sigortası Fonunun GAP kapsamındaki yatırımlar öncelikli olmak üzere ekonomik kalkınma ve sosyal gelişmeye yönelik altyapı yatırımlarının finansmanında kullanılmak üzere merkezi yönetim bütçesine aktardığı tutarlar dışındaki giderlerini içermektedir. </w:t>
      </w:r>
      <w:proofErr w:type="gramEnd"/>
      <w:r w:rsidRPr="007235CE">
        <w:rPr>
          <w:rFonts w:ascii="Times New Roman" w:hAnsi="Times New Roman" w:cs="Times New Roman"/>
        </w:rPr>
        <w:t>İşsizlik Sigortası Fonu'na yapılan devlet katkısını içermemektedir.</w:t>
      </w:r>
    </w:p>
  </w:footnote>
  <w:footnote w:id="8">
    <w:p w:rsidR="007235CE" w:rsidRPr="007235CE" w:rsidRDefault="007235CE" w:rsidP="007235CE">
      <w:pPr>
        <w:pStyle w:val="DipnotMetni"/>
        <w:jc w:val="both"/>
        <w:rPr>
          <w:rFonts w:ascii="Times New Roman" w:hAnsi="Times New Roman" w:cs="Times New Roman"/>
        </w:rPr>
      </w:pPr>
      <w:r w:rsidRPr="007235CE">
        <w:rPr>
          <w:rStyle w:val="DipnotBavurusu"/>
          <w:rFonts w:ascii="Times New Roman" w:hAnsi="Times New Roman" w:cs="Times New Roman"/>
        </w:rPr>
        <w:footnoteRef/>
      </w:r>
      <w:r w:rsidRPr="007235CE">
        <w:rPr>
          <w:rFonts w:ascii="Times New Roman" w:hAnsi="Times New Roman" w:cs="Times New Roman"/>
        </w:rPr>
        <w:t xml:space="preserve"> Sosyal yardımlar ve primsiz ödemeler kapsamında </w:t>
      </w:r>
      <w:proofErr w:type="gramStart"/>
      <w:r w:rsidRPr="007235CE">
        <w:rPr>
          <w:rFonts w:ascii="Times New Roman" w:hAnsi="Times New Roman" w:cs="Times New Roman"/>
        </w:rPr>
        <w:t>ise  Merkezi</w:t>
      </w:r>
      <w:proofErr w:type="gramEnd"/>
      <w:r w:rsidRPr="007235CE">
        <w:rPr>
          <w:rFonts w:ascii="Times New Roman" w:hAnsi="Times New Roman" w:cs="Times New Roman"/>
        </w:rPr>
        <w:t xml:space="preserve"> yönetim kapsamındaki kuruluşların sosyal güvenlik ve sosyal yardıma ilişkin harcamaları (sosyal güvenlik kuruluşları ile İşsizlik Sigortası Fonuna yapılan transferler hariç), kömür yardımlarından dolayı TTK ve TKİ’ye aktarılan görev zararı ödemeleri, </w:t>
      </w:r>
      <w:proofErr w:type="spellStart"/>
      <w:r w:rsidRPr="007235CE">
        <w:rPr>
          <w:rFonts w:ascii="Times New Roman" w:hAnsi="Times New Roman" w:cs="Times New Roman"/>
        </w:rPr>
        <w:t>SYDTF’nin</w:t>
      </w:r>
      <w:proofErr w:type="spellEnd"/>
      <w:r w:rsidRPr="007235CE">
        <w:rPr>
          <w:rFonts w:ascii="Times New Roman" w:hAnsi="Times New Roman" w:cs="Times New Roman"/>
        </w:rPr>
        <w:t xml:space="preserve"> sağlık ve eğitim dışı harcamaları ile </w:t>
      </w:r>
      <w:proofErr w:type="spellStart"/>
      <w:r w:rsidRPr="007235CE">
        <w:rPr>
          <w:rFonts w:ascii="Times New Roman" w:hAnsi="Times New Roman" w:cs="Times New Roman"/>
        </w:rPr>
        <w:t>SGK’nın</w:t>
      </w:r>
      <w:proofErr w:type="spellEnd"/>
      <w:r w:rsidRPr="007235CE">
        <w:rPr>
          <w:rFonts w:ascii="Times New Roman" w:hAnsi="Times New Roman" w:cs="Times New Roman"/>
        </w:rPr>
        <w:t xml:space="preserve"> faturalı ödemeler kaleminde yer alan primsiz ödemelere karşılık gelen harcamaları içermektedir. Prim ödeme gücü olmayanların GSS primleri </w:t>
      </w:r>
      <w:proofErr w:type="gramStart"/>
      <w:r w:rsidRPr="007235CE">
        <w:rPr>
          <w:rFonts w:ascii="Times New Roman" w:hAnsi="Times New Roman" w:cs="Times New Roman"/>
        </w:rPr>
        <w:t>dahil</w:t>
      </w:r>
      <w:proofErr w:type="gramEnd"/>
      <w:r w:rsidRPr="007235CE">
        <w:rPr>
          <w:rFonts w:ascii="Times New Roman" w:hAnsi="Times New Roman" w:cs="Times New Roman"/>
        </w:rPr>
        <w:t xml:space="preserve"> edilmemiştir.</w:t>
      </w:r>
    </w:p>
  </w:footnote>
  <w:footnote w:id="9">
    <w:p w:rsidR="00E7553C" w:rsidRPr="007235CE" w:rsidRDefault="00E7553C" w:rsidP="007235CE">
      <w:pPr>
        <w:pStyle w:val="DipnotMetni"/>
        <w:jc w:val="both"/>
        <w:rPr>
          <w:rFonts w:ascii="Times New Roman" w:hAnsi="Times New Roman" w:cs="Times New Roman"/>
        </w:rPr>
      </w:pPr>
      <w:r w:rsidRPr="007235CE">
        <w:rPr>
          <w:rStyle w:val="DipnotBavurusu"/>
          <w:rFonts w:ascii="Times New Roman" w:hAnsi="Times New Roman" w:cs="Times New Roman"/>
        </w:rPr>
        <w:footnoteRef/>
      </w:r>
      <w:r w:rsidRPr="007235CE">
        <w:rPr>
          <w:rFonts w:ascii="Times New Roman" w:hAnsi="Times New Roman" w:cs="Times New Roman"/>
        </w:rPr>
        <w:t xml:space="preserve"> 2020 verisi gerçekleşme tahmini, 2021 ise program oranlarıdır.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F6"/>
    <w:rsid w:val="00001E7B"/>
    <w:rsid w:val="00013927"/>
    <w:rsid w:val="00013EEA"/>
    <w:rsid w:val="000141CB"/>
    <w:rsid w:val="00020365"/>
    <w:rsid w:val="000600E7"/>
    <w:rsid w:val="00070A06"/>
    <w:rsid w:val="00077C55"/>
    <w:rsid w:val="000914FC"/>
    <w:rsid w:val="000C7C97"/>
    <w:rsid w:val="000E6849"/>
    <w:rsid w:val="00102BEA"/>
    <w:rsid w:val="00102D5C"/>
    <w:rsid w:val="00106531"/>
    <w:rsid w:val="0013194C"/>
    <w:rsid w:val="0014239D"/>
    <w:rsid w:val="001451BE"/>
    <w:rsid w:val="00161D07"/>
    <w:rsid w:val="00162980"/>
    <w:rsid w:val="00165DAA"/>
    <w:rsid w:val="00166B21"/>
    <w:rsid w:val="00185094"/>
    <w:rsid w:val="001A148B"/>
    <w:rsid w:val="001A2B08"/>
    <w:rsid w:val="001B7F2C"/>
    <w:rsid w:val="001C6AD0"/>
    <w:rsid w:val="001D4D01"/>
    <w:rsid w:val="001E2C4E"/>
    <w:rsid w:val="0020301E"/>
    <w:rsid w:val="00216A96"/>
    <w:rsid w:val="00221142"/>
    <w:rsid w:val="00223951"/>
    <w:rsid w:val="00226448"/>
    <w:rsid w:val="00232CF2"/>
    <w:rsid w:val="00235DF7"/>
    <w:rsid w:val="00237425"/>
    <w:rsid w:val="002563FD"/>
    <w:rsid w:val="00282FAF"/>
    <w:rsid w:val="00292645"/>
    <w:rsid w:val="00296DFA"/>
    <w:rsid w:val="002A15E3"/>
    <w:rsid w:val="002A4B2B"/>
    <w:rsid w:val="002C4368"/>
    <w:rsid w:val="002D619A"/>
    <w:rsid w:val="002D79B8"/>
    <w:rsid w:val="002E15C9"/>
    <w:rsid w:val="002E339A"/>
    <w:rsid w:val="002F3097"/>
    <w:rsid w:val="00344600"/>
    <w:rsid w:val="00350C0D"/>
    <w:rsid w:val="00351F0E"/>
    <w:rsid w:val="00352262"/>
    <w:rsid w:val="00382821"/>
    <w:rsid w:val="00386FEC"/>
    <w:rsid w:val="003C0DA8"/>
    <w:rsid w:val="003D4D98"/>
    <w:rsid w:val="0040340D"/>
    <w:rsid w:val="00417906"/>
    <w:rsid w:val="00452886"/>
    <w:rsid w:val="00482D75"/>
    <w:rsid w:val="00496A5A"/>
    <w:rsid w:val="0049775E"/>
    <w:rsid w:val="004B45FF"/>
    <w:rsid w:val="004C0633"/>
    <w:rsid w:val="004F23E8"/>
    <w:rsid w:val="004F3FBB"/>
    <w:rsid w:val="004F48EB"/>
    <w:rsid w:val="00537A36"/>
    <w:rsid w:val="005945B0"/>
    <w:rsid w:val="00594AE1"/>
    <w:rsid w:val="005975DE"/>
    <w:rsid w:val="00597925"/>
    <w:rsid w:val="005B2B62"/>
    <w:rsid w:val="005D3B2C"/>
    <w:rsid w:val="005D4A5F"/>
    <w:rsid w:val="005E5D48"/>
    <w:rsid w:val="0060221D"/>
    <w:rsid w:val="00614C26"/>
    <w:rsid w:val="00627C7D"/>
    <w:rsid w:val="00632E08"/>
    <w:rsid w:val="00632E31"/>
    <w:rsid w:val="0063653A"/>
    <w:rsid w:val="006423CD"/>
    <w:rsid w:val="00646234"/>
    <w:rsid w:val="006465E3"/>
    <w:rsid w:val="006824C5"/>
    <w:rsid w:val="00691FB5"/>
    <w:rsid w:val="006C51CC"/>
    <w:rsid w:val="006C6017"/>
    <w:rsid w:val="006D5DAA"/>
    <w:rsid w:val="006E2C90"/>
    <w:rsid w:val="006E3BF0"/>
    <w:rsid w:val="006E68B5"/>
    <w:rsid w:val="006F7C71"/>
    <w:rsid w:val="0070452A"/>
    <w:rsid w:val="00717092"/>
    <w:rsid w:val="007235CE"/>
    <w:rsid w:val="00725D10"/>
    <w:rsid w:val="00746321"/>
    <w:rsid w:val="00750A03"/>
    <w:rsid w:val="007537F4"/>
    <w:rsid w:val="00766D0A"/>
    <w:rsid w:val="00773677"/>
    <w:rsid w:val="0079145D"/>
    <w:rsid w:val="007B5E57"/>
    <w:rsid w:val="007C369E"/>
    <w:rsid w:val="008029BB"/>
    <w:rsid w:val="00830A54"/>
    <w:rsid w:val="008517D4"/>
    <w:rsid w:val="008559CE"/>
    <w:rsid w:val="00891C64"/>
    <w:rsid w:val="008B3716"/>
    <w:rsid w:val="008C462F"/>
    <w:rsid w:val="008C4FC1"/>
    <w:rsid w:val="008C67A4"/>
    <w:rsid w:val="008E2F8A"/>
    <w:rsid w:val="008F4E44"/>
    <w:rsid w:val="009355F2"/>
    <w:rsid w:val="0093650F"/>
    <w:rsid w:val="0095399B"/>
    <w:rsid w:val="0095505E"/>
    <w:rsid w:val="009557E7"/>
    <w:rsid w:val="00962AFE"/>
    <w:rsid w:val="00966B79"/>
    <w:rsid w:val="00975E4B"/>
    <w:rsid w:val="00993427"/>
    <w:rsid w:val="009A4FE2"/>
    <w:rsid w:val="009C5175"/>
    <w:rsid w:val="009E1C3D"/>
    <w:rsid w:val="009E5669"/>
    <w:rsid w:val="009F3E0A"/>
    <w:rsid w:val="009F668B"/>
    <w:rsid w:val="009F740B"/>
    <w:rsid w:val="00A16B5A"/>
    <w:rsid w:val="00A20B86"/>
    <w:rsid w:val="00A23C3D"/>
    <w:rsid w:val="00A660E4"/>
    <w:rsid w:val="00A775F8"/>
    <w:rsid w:val="00A9162B"/>
    <w:rsid w:val="00A95292"/>
    <w:rsid w:val="00AA358D"/>
    <w:rsid w:val="00AA6D19"/>
    <w:rsid w:val="00AE173E"/>
    <w:rsid w:val="00B139E2"/>
    <w:rsid w:val="00B24DB6"/>
    <w:rsid w:val="00B30ED4"/>
    <w:rsid w:val="00B52659"/>
    <w:rsid w:val="00B56A2C"/>
    <w:rsid w:val="00B65B1E"/>
    <w:rsid w:val="00B7630A"/>
    <w:rsid w:val="00BA135D"/>
    <w:rsid w:val="00BA1AAD"/>
    <w:rsid w:val="00BE71F6"/>
    <w:rsid w:val="00C01F92"/>
    <w:rsid w:val="00C309DA"/>
    <w:rsid w:val="00C40081"/>
    <w:rsid w:val="00C54C89"/>
    <w:rsid w:val="00C8505D"/>
    <w:rsid w:val="00CA06FA"/>
    <w:rsid w:val="00CA0E6A"/>
    <w:rsid w:val="00CA6386"/>
    <w:rsid w:val="00CD050C"/>
    <w:rsid w:val="00CD3F99"/>
    <w:rsid w:val="00CE3D19"/>
    <w:rsid w:val="00D00BFC"/>
    <w:rsid w:val="00D00F47"/>
    <w:rsid w:val="00D21B82"/>
    <w:rsid w:val="00D32F2A"/>
    <w:rsid w:val="00D34439"/>
    <w:rsid w:val="00D45B0A"/>
    <w:rsid w:val="00D62DB0"/>
    <w:rsid w:val="00D6409F"/>
    <w:rsid w:val="00D74753"/>
    <w:rsid w:val="00DC0737"/>
    <w:rsid w:val="00DC32E9"/>
    <w:rsid w:val="00DD2BE3"/>
    <w:rsid w:val="00E04D8F"/>
    <w:rsid w:val="00E0630E"/>
    <w:rsid w:val="00E470F2"/>
    <w:rsid w:val="00E4720D"/>
    <w:rsid w:val="00E616C3"/>
    <w:rsid w:val="00E646D1"/>
    <w:rsid w:val="00E7553C"/>
    <w:rsid w:val="00E841A3"/>
    <w:rsid w:val="00E84CC5"/>
    <w:rsid w:val="00EC2CA4"/>
    <w:rsid w:val="00EE0D0D"/>
    <w:rsid w:val="00EE6312"/>
    <w:rsid w:val="00EF61C8"/>
    <w:rsid w:val="00F01381"/>
    <w:rsid w:val="00F12705"/>
    <w:rsid w:val="00F3312C"/>
    <w:rsid w:val="00F523B4"/>
    <w:rsid w:val="00F53CC1"/>
    <w:rsid w:val="00F749FE"/>
    <w:rsid w:val="00F76013"/>
    <w:rsid w:val="00FA1B2C"/>
    <w:rsid w:val="00FA51B8"/>
    <w:rsid w:val="00FB1213"/>
    <w:rsid w:val="00FC1A78"/>
    <w:rsid w:val="00FC525A"/>
    <w:rsid w:val="00FD7835"/>
    <w:rsid w:val="00FE7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B94CF-35C4-45C8-A403-51825222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1D4D01"/>
    <w:pPr>
      <w:spacing w:after="0" w:line="240" w:lineRule="auto"/>
    </w:pPr>
    <w:rPr>
      <w:sz w:val="20"/>
      <w:szCs w:val="20"/>
    </w:rPr>
  </w:style>
  <w:style w:type="character" w:customStyle="1" w:styleId="DipnotMetniChar">
    <w:name w:val="Dipnot Metni Char"/>
    <w:basedOn w:val="VarsaylanParagrafYazTipi"/>
    <w:link w:val="DipnotMetni"/>
    <w:uiPriority w:val="99"/>
    <w:rsid w:val="001D4D01"/>
    <w:rPr>
      <w:sz w:val="20"/>
      <w:szCs w:val="20"/>
    </w:rPr>
  </w:style>
  <w:style w:type="character" w:styleId="DipnotBavurusu">
    <w:name w:val="footnote reference"/>
    <w:basedOn w:val="VarsaylanParagrafYazTipi"/>
    <w:uiPriority w:val="99"/>
    <w:semiHidden/>
    <w:unhideWhenUsed/>
    <w:rsid w:val="001D4D01"/>
    <w:rPr>
      <w:vertAlign w:val="superscript"/>
    </w:rPr>
  </w:style>
  <w:style w:type="character" w:styleId="Kpr">
    <w:name w:val="Hyperlink"/>
    <w:basedOn w:val="VarsaylanParagrafYazTipi"/>
    <w:uiPriority w:val="99"/>
    <w:unhideWhenUsed/>
    <w:rsid w:val="001D4D01"/>
    <w:rPr>
      <w:color w:val="0563C1" w:themeColor="hyperlink"/>
      <w:u w:val="single"/>
    </w:rPr>
  </w:style>
  <w:style w:type="table" w:styleId="TabloKlavuzu">
    <w:name w:val="Table Grid"/>
    <w:basedOn w:val="NormalTablo"/>
    <w:uiPriority w:val="39"/>
    <w:rsid w:val="008F4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2BE3"/>
    <w:pPr>
      <w:ind w:left="720"/>
      <w:contextualSpacing/>
    </w:pPr>
  </w:style>
  <w:style w:type="character" w:styleId="zlenenKpr">
    <w:name w:val="FollowedHyperlink"/>
    <w:basedOn w:val="VarsaylanParagrafYazTipi"/>
    <w:uiPriority w:val="99"/>
    <w:semiHidden/>
    <w:unhideWhenUsed/>
    <w:rsid w:val="00DD2B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www.ilo.org/wcmsp5/groups/public/---europe/---ro-geneva/---ilo-ankara/documents/publication/wcms_746402.pdf" TargetMode="External"/><Relationship Id="rId26" Type="http://schemas.openxmlformats.org/officeDocument/2006/relationships/hyperlink" Target="https://www.worldometers.info/coronavirus/" TargetMode="External"/><Relationship Id="rId3" Type="http://schemas.openxmlformats.org/officeDocument/2006/relationships/settings" Target="settings.xml"/><Relationship Id="rId21" Type="http://schemas.openxmlformats.org/officeDocument/2006/relationships/hyperlink" Target="https://www.financialexpress.com/money/nps-withdrawal-for-covid-19-how-to-withdraw-from-national-pension-system-due-to-coronavirus-5-rules/1937307/" TargetMode="External"/><Relationship Id="rId7" Type="http://schemas.openxmlformats.org/officeDocument/2006/relationships/hyperlink" Target="http://www.covid19bilgi.saglik.gov.tr" TargetMode="External"/><Relationship Id="rId12" Type="http://schemas.openxmlformats.org/officeDocument/2006/relationships/chart" Target="charts/chart5.xml"/><Relationship Id="rId17" Type="http://schemas.openxmlformats.org/officeDocument/2006/relationships/hyperlink" Target="https://www.hmb.gov.tr/bumko-aylik-butce-bulteni" TargetMode="External"/><Relationship Id="rId25" Type="http://schemas.openxmlformats.org/officeDocument/2006/relationships/hyperlink" Target="https://www.sbb.gov.tr/resmi-istatistik-programina-katkilarimiz/" TargetMode="External"/><Relationship Id="rId2" Type="http://schemas.openxmlformats.org/officeDocument/2006/relationships/styles" Target="styles.xml"/><Relationship Id="rId16" Type="http://schemas.openxmlformats.org/officeDocument/2006/relationships/hyperlink" Target="https://www.canada.ca/en/sr/srb.html?cdn=canada&amp;st=s&amp;num=10&amp;langs=en&amp;st1rt=1&amp;s5bm3ts21rch=x&amp;q=COVID-19+Spring+2020+notices&amp;_charset_=UTF-8&amp;wb-srch-sub" TargetMode="External"/><Relationship Id="rId20" Type="http://schemas.openxmlformats.org/officeDocument/2006/relationships/hyperlink" Target="https://ww1.issa.int/coronavirus/country-measur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s://covid19.saglik.gov.tr/" TargetMode="Externa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hyperlink" Target="https://covid19bilgi.saglik.gov.tr/tr/covid-19-yeni-koronavirus-hastaligi-nedir" TargetMode="Externa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www.imf.org/en/Topics/imf-and-covid19/Fiscal-Policies-Database-in-Response-to-COVID-19"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www.oecd.org/social/soc/recipients-socr-by-country.htm"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ulvi.sandalci@dpu.edu.tr" TargetMode="External"/><Relationship Id="rId1" Type="http://schemas.openxmlformats.org/officeDocument/2006/relationships/hyperlink" Target="mailto:inci.agacan@dpu.edu.t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al__ma_Sayfas_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al__ma_Sayfas_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al__ma_Sayfas_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al__ma_Sayfas_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Sayfa1!$B$1</c:f>
              <c:strCache>
                <c:ptCount val="1"/>
                <c:pt idx="0">
                  <c:v>Avustralya</c:v>
                </c:pt>
              </c:strCache>
            </c:strRef>
          </c:tx>
          <c:spPr>
            <a:ln w="28575" cap="rnd">
              <a:solidFill>
                <a:schemeClr val="accent1"/>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Sayfa1!$B$2:$B$31</c:f>
              <c:numCache>
                <c:formatCode>General</c:formatCode>
                <c:ptCount val="30"/>
                <c:pt idx="0">
                  <c:v>13.1</c:v>
                </c:pt>
                <c:pt idx="1">
                  <c:v>14.3</c:v>
                </c:pt>
                <c:pt idx="2">
                  <c:v>15.3</c:v>
                </c:pt>
                <c:pt idx="3">
                  <c:v>15.5</c:v>
                </c:pt>
                <c:pt idx="4">
                  <c:v>15.3</c:v>
                </c:pt>
                <c:pt idx="5">
                  <c:v>16.899999999999999</c:v>
                </c:pt>
                <c:pt idx="6">
                  <c:v>17</c:v>
                </c:pt>
                <c:pt idx="7">
                  <c:v>16.8</c:v>
                </c:pt>
                <c:pt idx="8">
                  <c:v>17.600000000000001</c:v>
                </c:pt>
                <c:pt idx="9">
                  <c:v>17.2</c:v>
                </c:pt>
                <c:pt idx="10">
                  <c:v>18.2</c:v>
                </c:pt>
                <c:pt idx="11">
                  <c:v>17.5</c:v>
                </c:pt>
                <c:pt idx="12">
                  <c:v>17.3</c:v>
                </c:pt>
                <c:pt idx="13">
                  <c:v>17.5</c:v>
                </c:pt>
                <c:pt idx="14">
                  <c:v>17.2</c:v>
                </c:pt>
                <c:pt idx="15">
                  <c:v>16.7</c:v>
                </c:pt>
                <c:pt idx="16">
                  <c:v>15.7</c:v>
                </c:pt>
                <c:pt idx="17">
                  <c:v>15.9</c:v>
                </c:pt>
                <c:pt idx="18">
                  <c:v>17.100000000000001</c:v>
                </c:pt>
                <c:pt idx="19">
                  <c:v>16.899999999999999</c:v>
                </c:pt>
                <c:pt idx="20">
                  <c:v>16.600000000000001</c:v>
                </c:pt>
                <c:pt idx="21">
                  <c:v>17</c:v>
                </c:pt>
                <c:pt idx="22">
                  <c:v>17.3</c:v>
                </c:pt>
                <c:pt idx="23">
                  <c:v>17.2</c:v>
                </c:pt>
                <c:pt idx="24">
                  <c:v>17.8</c:v>
                </c:pt>
                <c:pt idx="25">
                  <c:v>18.100000000000001</c:v>
                </c:pt>
                <c:pt idx="26">
                  <c:v>17.399999999999999</c:v>
                </c:pt>
                <c:pt idx="27">
                  <c:v>16.7</c:v>
                </c:pt>
                <c:pt idx="28">
                  <c:v>0</c:v>
                </c:pt>
                <c:pt idx="29">
                  <c:v>0</c:v>
                </c:pt>
              </c:numCache>
            </c:numRef>
          </c:val>
          <c:smooth val="0"/>
        </c:ser>
        <c:ser>
          <c:idx val="1"/>
          <c:order val="1"/>
          <c:tx>
            <c:strRef>
              <c:f>Sayfa1!$C$1</c:f>
              <c:strCache>
                <c:ptCount val="1"/>
                <c:pt idx="0">
                  <c:v>Avusturya</c:v>
                </c:pt>
              </c:strCache>
            </c:strRef>
          </c:tx>
          <c:spPr>
            <a:ln w="28575" cap="rnd">
              <a:solidFill>
                <a:schemeClr val="accent2"/>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Sayfa1!$C$2:$C$31</c:f>
              <c:numCache>
                <c:formatCode>General</c:formatCode>
                <c:ptCount val="30"/>
                <c:pt idx="0">
                  <c:v>23.1</c:v>
                </c:pt>
                <c:pt idx="1">
                  <c:v>23.5</c:v>
                </c:pt>
                <c:pt idx="2">
                  <c:v>24.2</c:v>
                </c:pt>
                <c:pt idx="3">
                  <c:v>25.5</c:v>
                </c:pt>
                <c:pt idx="4">
                  <c:v>26.3</c:v>
                </c:pt>
                <c:pt idx="5">
                  <c:v>26.3</c:v>
                </c:pt>
                <c:pt idx="6">
                  <c:v>26.4</c:v>
                </c:pt>
                <c:pt idx="7">
                  <c:v>25.9</c:v>
                </c:pt>
                <c:pt idx="8">
                  <c:v>25.6</c:v>
                </c:pt>
                <c:pt idx="9">
                  <c:v>26</c:v>
                </c:pt>
                <c:pt idx="10">
                  <c:v>25.7</c:v>
                </c:pt>
                <c:pt idx="11">
                  <c:v>25.8</c:v>
                </c:pt>
                <c:pt idx="12">
                  <c:v>26</c:v>
                </c:pt>
                <c:pt idx="13">
                  <c:v>26.6</c:v>
                </c:pt>
                <c:pt idx="14">
                  <c:v>26.3</c:v>
                </c:pt>
                <c:pt idx="15">
                  <c:v>26</c:v>
                </c:pt>
                <c:pt idx="16">
                  <c:v>25.7</c:v>
                </c:pt>
                <c:pt idx="17">
                  <c:v>25.1</c:v>
                </c:pt>
                <c:pt idx="18">
                  <c:v>25.5</c:v>
                </c:pt>
                <c:pt idx="19">
                  <c:v>27.5</c:v>
                </c:pt>
                <c:pt idx="20">
                  <c:v>27.6</c:v>
                </c:pt>
                <c:pt idx="21">
                  <c:v>26.7</c:v>
                </c:pt>
                <c:pt idx="22">
                  <c:v>27.1</c:v>
                </c:pt>
                <c:pt idx="23">
                  <c:v>27.5</c:v>
                </c:pt>
                <c:pt idx="24">
                  <c:v>27.7</c:v>
                </c:pt>
                <c:pt idx="25">
                  <c:v>27.7</c:v>
                </c:pt>
                <c:pt idx="26">
                  <c:v>27.7</c:v>
                </c:pt>
                <c:pt idx="27">
                  <c:v>27.3</c:v>
                </c:pt>
                <c:pt idx="28">
                  <c:v>26.9</c:v>
                </c:pt>
                <c:pt idx="29">
                  <c:v>26.9</c:v>
                </c:pt>
              </c:numCache>
            </c:numRef>
          </c:val>
          <c:smooth val="0"/>
        </c:ser>
        <c:ser>
          <c:idx val="2"/>
          <c:order val="2"/>
          <c:tx>
            <c:strRef>
              <c:f>Sayfa1!$D$1</c:f>
              <c:strCache>
                <c:ptCount val="1"/>
                <c:pt idx="0">
                  <c:v>Belçika</c:v>
                </c:pt>
              </c:strCache>
            </c:strRef>
          </c:tx>
          <c:spPr>
            <a:ln w="28575" cap="rnd">
              <a:solidFill>
                <a:schemeClr val="accent3"/>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Sayfa1!$D$2:$D$31</c:f>
              <c:numCache>
                <c:formatCode>General</c:formatCode>
                <c:ptCount val="30"/>
                <c:pt idx="0">
                  <c:v>24.6</c:v>
                </c:pt>
                <c:pt idx="1">
                  <c:v>25.3</c:v>
                </c:pt>
                <c:pt idx="2">
                  <c:v>24.3</c:v>
                </c:pt>
                <c:pt idx="3">
                  <c:v>25.4</c:v>
                </c:pt>
                <c:pt idx="4">
                  <c:v>24.8</c:v>
                </c:pt>
                <c:pt idx="5">
                  <c:v>25.3</c:v>
                </c:pt>
                <c:pt idx="6">
                  <c:v>25.9</c:v>
                </c:pt>
                <c:pt idx="7">
                  <c:v>24.9</c:v>
                </c:pt>
                <c:pt idx="8">
                  <c:v>24.9</c:v>
                </c:pt>
                <c:pt idx="9">
                  <c:v>24.7</c:v>
                </c:pt>
                <c:pt idx="10">
                  <c:v>23.7</c:v>
                </c:pt>
                <c:pt idx="11">
                  <c:v>24.1</c:v>
                </c:pt>
                <c:pt idx="12">
                  <c:v>24.5</c:v>
                </c:pt>
                <c:pt idx="13">
                  <c:v>25.7</c:v>
                </c:pt>
                <c:pt idx="14">
                  <c:v>25.4</c:v>
                </c:pt>
                <c:pt idx="15">
                  <c:v>25.3</c:v>
                </c:pt>
                <c:pt idx="16">
                  <c:v>25.2</c:v>
                </c:pt>
                <c:pt idx="17">
                  <c:v>25</c:v>
                </c:pt>
                <c:pt idx="18">
                  <c:v>26.5</c:v>
                </c:pt>
                <c:pt idx="19">
                  <c:v>28.8</c:v>
                </c:pt>
                <c:pt idx="20">
                  <c:v>28.4</c:v>
                </c:pt>
                <c:pt idx="21">
                  <c:v>28.9</c:v>
                </c:pt>
                <c:pt idx="22">
                  <c:v>28.8</c:v>
                </c:pt>
                <c:pt idx="23">
                  <c:v>29.2</c:v>
                </c:pt>
                <c:pt idx="24">
                  <c:v>29.1</c:v>
                </c:pt>
                <c:pt idx="25">
                  <c:v>29.5</c:v>
                </c:pt>
                <c:pt idx="26">
                  <c:v>28.8</c:v>
                </c:pt>
                <c:pt idx="27">
                  <c:v>28.7</c:v>
                </c:pt>
                <c:pt idx="28">
                  <c:v>28.8</c:v>
                </c:pt>
                <c:pt idx="29">
                  <c:v>28.9</c:v>
                </c:pt>
              </c:numCache>
            </c:numRef>
          </c:val>
          <c:smooth val="0"/>
        </c:ser>
        <c:ser>
          <c:idx val="3"/>
          <c:order val="3"/>
          <c:tx>
            <c:strRef>
              <c:f>Sayfa1!$E$1</c:f>
              <c:strCache>
                <c:ptCount val="1"/>
                <c:pt idx="0">
                  <c:v>Kanada</c:v>
                </c:pt>
              </c:strCache>
            </c:strRef>
          </c:tx>
          <c:spPr>
            <a:ln w="28575" cap="rnd">
              <a:solidFill>
                <a:schemeClr val="accent4"/>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Sayfa1!$E$2:$E$31</c:f>
              <c:numCache>
                <c:formatCode>General</c:formatCode>
                <c:ptCount val="30"/>
                <c:pt idx="0">
                  <c:v>17.5</c:v>
                </c:pt>
                <c:pt idx="1">
                  <c:v>19.7</c:v>
                </c:pt>
                <c:pt idx="2">
                  <c:v>20.399999999999999</c:v>
                </c:pt>
                <c:pt idx="3">
                  <c:v>20.3</c:v>
                </c:pt>
                <c:pt idx="4">
                  <c:v>19.2</c:v>
                </c:pt>
                <c:pt idx="5">
                  <c:v>18.3</c:v>
                </c:pt>
                <c:pt idx="6">
                  <c:v>17.5</c:v>
                </c:pt>
                <c:pt idx="7">
                  <c:v>16.899999999999999</c:v>
                </c:pt>
                <c:pt idx="8">
                  <c:v>17</c:v>
                </c:pt>
                <c:pt idx="9">
                  <c:v>16</c:v>
                </c:pt>
                <c:pt idx="10">
                  <c:v>15.7</c:v>
                </c:pt>
                <c:pt idx="11">
                  <c:v>16.100000000000001</c:v>
                </c:pt>
                <c:pt idx="12">
                  <c:v>16.2</c:v>
                </c:pt>
                <c:pt idx="13">
                  <c:v>16.2</c:v>
                </c:pt>
                <c:pt idx="14">
                  <c:v>16.2</c:v>
                </c:pt>
                <c:pt idx="15">
                  <c:v>16.100000000000001</c:v>
                </c:pt>
                <c:pt idx="16">
                  <c:v>16.3</c:v>
                </c:pt>
                <c:pt idx="17">
                  <c:v>16.3</c:v>
                </c:pt>
                <c:pt idx="18">
                  <c:v>16.3</c:v>
                </c:pt>
                <c:pt idx="19">
                  <c:v>18.100000000000001</c:v>
                </c:pt>
                <c:pt idx="20">
                  <c:v>17.600000000000001</c:v>
                </c:pt>
                <c:pt idx="21">
                  <c:v>17.100000000000001</c:v>
                </c:pt>
                <c:pt idx="22">
                  <c:v>17.2</c:v>
                </c:pt>
                <c:pt idx="23">
                  <c:v>17</c:v>
                </c:pt>
                <c:pt idx="24">
                  <c:v>16.899999999999999</c:v>
                </c:pt>
                <c:pt idx="25">
                  <c:v>17.899999999999999</c:v>
                </c:pt>
                <c:pt idx="26">
                  <c:v>18.3</c:v>
                </c:pt>
                <c:pt idx="27">
                  <c:v>18</c:v>
                </c:pt>
                <c:pt idx="28">
                  <c:v>18</c:v>
                </c:pt>
                <c:pt idx="29">
                  <c:v>0</c:v>
                </c:pt>
              </c:numCache>
            </c:numRef>
          </c:val>
          <c:smooth val="0"/>
        </c:ser>
        <c:ser>
          <c:idx val="4"/>
          <c:order val="4"/>
          <c:tx>
            <c:strRef>
              <c:f>Sayfa1!$F$1</c:f>
              <c:strCache>
                <c:ptCount val="1"/>
                <c:pt idx="0">
                  <c:v>Şili</c:v>
                </c:pt>
              </c:strCache>
            </c:strRef>
          </c:tx>
          <c:spPr>
            <a:ln w="28575" cap="rnd">
              <a:solidFill>
                <a:schemeClr val="accent5"/>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Sayfa1!$F$2:$F$31</c:f>
              <c:numCache>
                <c:formatCode>General</c:formatCode>
                <c:ptCount val="30"/>
                <c:pt idx="0">
                  <c:v>9.8000000000000007</c:v>
                </c:pt>
                <c:pt idx="1">
                  <c:v>9.8000000000000007</c:v>
                </c:pt>
                <c:pt idx="2">
                  <c:v>9.3000000000000007</c:v>
                </c:pt>
                <c:pt idx="3">
                  <c:v>9.5</c:v>
                </c:pt>
                <c:pt idx="4">
                  <c:v>9.1999999999999993</c:v>
                </c:pt>
                <c:pt idx="5">
                  <c:v>11</c:v>
                </c:pt>
                <c:pt idx="6">
                  <c:v>11.9</c:v>
                </c:pt>
                <c:pt idx="7">
                  <c:v>11.6</c:v>
                </c:pt>
                <c:pt idx="8">
                  <c:v>11.9</c:v>
                </c:pt>
                <c:pt idx="9">
                  <c:v>12.7</c:v>
                </c:pt>
                <c:pt idx="10">
                  <c:v>10.4</c:v>
                </c:pt>
                <c:pt idx="11">
                  <c:v>10.1</c:v>
                </c:pt>
                <c:pt idx="12">
                  <c:v>10.199999999999999</c:v>
                </c:pt>
                <c:pt idx="13">
                  <c:v>10</c:v>
                </c:pt>
                <c:pt idx="14">
                  <c:v>9.3000000000000007</c:v>
                </c:pt>
                <c:pt idx="15">
                  <c:v>8.9</c:v>
                </c:pt>
                <c:pt idx="16">
                  <c:v>8.3000000000000007</c:v>
                </c:pt>
                <c:pt idx="17">
                  <c:v>8.4</c:v>
                </c:pt>
                <c:pt idx="18">
                  <c:v>9.6</c:v>
                </c:pt>
                <c:pt idx="19">
                  <c:v>11.5</c:v>
                </c:pt>
                <c:pt idx="20">
                  <c:v>10.6</c:v>
                </c:pt>
                <c:pt idx="21">
                  <c:v>10.1</c:v>
                </c:pt>
                <c:pt idx="22">
                  <c:v>10.199999999999999</c:v>
                </c:pt>
                <c:pt idx="23">
                  <c:v>10.1</c:v>
                </c:pt>
                <c:pt idx="24">
                  <c:v>10.4</c:v>
                </c:pt>
                <c:pt idx="25">
                  <c:v>10.9</c:v>
                </c:pt>
                <c:pt idx="26">
                  <c:v>11.1</c:v>
                </c:pt>
                <c:pt idx="27">
                  <c:v>11.5</c:v>
                </c:pt>
                <c:pt idx="28">
                  <c:v>11.3</c:v>
                </c:pt>
                <c:pt idx="29">
                  <c:v>11.4</c:v>
                </c:pt>
              </c:numCache>
            </c:numRef>
          </c:val>
          <c:smooth val="0"/>
        </c:ser>
        <c:ser>
          <c:idx val="5"/>
          <c:order val="5"/>
          <c:tx>
            <c:strRef>
              <c:f>Sayfa1!$G$1</c:f>
              <c:strCache>
                <c:ptCount val="1"/>
                <c:pt idx="0">
                  <c:v>Çek Cumhuriyet</c:v>
                </c:pt>
              </c:strCache>
            </c:strRef>
          </c:tx>
          <c:spPr>
            <a:ln w="28575" cap="rnd">
              <a:solidFill>
                <a:schemeClr val="accent6"/>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Sayfa1!$G$2:$G$31</c:f>
              <c:numCache>
                <c:formatCode>General</c:formatCode>
                <c:ptCount val="30"/>
                <c:pt idx="0">
                  <c:v>14</c:v>
                </c:pt>
                <c:pt idx="1">
                  <c:v>15.1</c:v>
                </c:pt>
                <c:pt idx="2">
                  <c:v>15.3</c:v>
                </c:pt>
                <c:pt idx="3">
                  <c:v>15.6</c:v>
                </c:pt>
                <c:pt idx="4">
                  <c:v>15.7</c:v>
                </c:pt>
                <c:pt idx="5">
                  <c:v>16</c:v>
                </c:pt>
                <c:pt idx="6">
                  <c:v>16</c:v>
                </c:pt>
                <c:pt idx="7">
                  <c:v>16.7</c:v>
                </c:pt>
                <c:pt idx="8">
                  <c:v>17.100000000000001</c:v>
                </c:pt>
                <c:pt idx="9">
                  <c:v>17.7</c:v>
                </c:pt>
                <c:pt idx="10">
                  <c:v>17.899999999999999</c:v>
                </c:pt>
                <c:pt idx="11">
                  <c:v>17.8</c:v>
                </c:pt>
                <c:pt idx="12">
                  <c:v>18.5</c:v>
                </c:pt>
                <c:pt idx="13">
                  <c:v>18.7</c:v>
                </c:pt>
                <c:pt idx="14">
                  <c:v>17.8</c:v>
                </c:pt>
                <c:pt idx="15">
                  <c:v>18</c:v>
                </c:pt>
                <c:pt idx="16">
                  <c:v>17.600000000000001</c:v>
                </c:pt>
                <c:pt idx="17">
                  <c:v>17.399999999999999</c:v>
                </c:pt>
                <c:pt idx="18">
                  <c:v>17.7</c:v>
                </c:pt>
                <c:pt idx="19">
                  <c:v>20</c:v>
                </c:pt>
                <c:pt idx="20">
                  <c:v>19.600000000000001</c:v>
                </c:pt>
                <c:pt idx="21">
                  <c:v>19.600000000000001</c:v>
                </c:pt>
                <c:pt idx="22">
                  <c:v>19.8</c:v>
                </c:pt>
                <c:pt idx="23">
                  <c:v>20.7</c:v>
                </c:pt>
                <c:pt idx="24">
                  <c:v>20.100000000000001</c:v>
                </c:pt>
                <c:pt idx="25">
                  <c:v>19.3</c:v>
                </c:pt>
                <c:pt idx="26">
                  <c:v>18.899999999999999</c:v>
                </c:pt>
                <c:pt idx="27">
                  <c:v>18.5</c:v>
                </c:pt>
                <c:pt idx="28">
                  <c:v>18.8</c:v>
                </c:pt>
                <c:pt idx="29">
                  <c:v>19.2</c:v>
                </c:pt>
              </c:numCache>
            </c:numRef>
          </c:val>
          <c:smooth val="0"/>
        </c:ser>
        <c:ser>
          <c:idx val="6"/>
          <c:order val="6"/>
          <c:tx>
            <c:strRef>
              <c:f>Sayfa1!$H$1</c:f>
              <c:strCache>
                <c:ptCount val="1"/>
                <c:pt idx="0">
                  <c:v>Danimarka</c:v>
                </c:pt>
              </c:strCache>
            </c:strRef>
          </c:tx>
          <c:spPr>
            <a:ln w="28575" cap="rnd">
              <a:solidFill>
                <a:schemeClr val="accent1">
                  <a:lumMod val="6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Sayfa1!$H$2:$H$31</c:f>
              <c:numCache>
                <c:formatCode>General</c:formatCode>
                <c:ptCount val="30"/>
                <c:pt idx="0">
                  <c:v>21.9</c:v>
                </c:pt>
                <c:pt idx="1">
                  <c:v>22.4</c:v>
                </c:pt>
                <c:pt idx="2">
                  <c:v>22.6</c:v>
                </c:pt>
                <c:pt idx="3">
                  <c:v>23.8</c:v>
                </c:pt>
                <c:pt idx="4">
                  <c:v>25.4</c:v>
                </c:pt>
                <c:pt idx="5">
                  <c:v>25.5</c:v>
                </c:pt>
                <c:pt idx="6">
                  <c:v>24.9</c:v>
                </c:pt>
                <c:pt idx="7">
                  <c:v>24.2</c:v>
                </c:pt>
                <c:pt idx="8">
                  <c:v>23.7</c:v>
                </c:pt>
                <c:pt idx="9">
                  <c:v>24.5</c:v>
                </c:pt>
                <c:pt idx="10">
                  <c:v>23.8</c:v>
                </c:pt>
                <c:pt idx="11">
                  <c:v>24.3</c:v>
                </c:pt>
                <c:pt idx="12">
                  <c:v>24.8</c:v>
                </c:pt>
                <c:pt idx="13">
                  <c:v>25.3</c:v>
                </c:pt>
                <c:pt idx="14">
                  <c:v>25.1</c:v>
                </c:pt>
                <c:pt idx="15">
                  <c:v>25.2</c:v>
                </c:pt>
                <c:pt idx="16">
                  <c:v>25</c:v>
                </c:pt>
                <c:pt idx="17">
                  <c:v>25.9</c:v>
                </c:pt>
                <c:pt idx="18">
                  <c:v>26.3</c:v>
                </c:pt>
                <c:pt idx="19">
                  <c:v>29.3</c:v>
                </c:pt>
                <c:pt idx="20">
                  <c:v>29.6</c:v>
                </c:pt>
                <c:pt idx="21">
                  <c:v>29.8</c:v>
                </c:pt>
                <c:pt idx="22">
                  <c:v>29.9</c:v>
                </c:pt>
                <c:pt idx="23">
                  <c:v>29.9</c:v>
                </c:pt>
                <c:pt idx="24">
                  <c:v>29.9</c:v>
                </c:pt>
                <c:pt idx="25">
                  <c:v>29.9</c:v>
                </c:pt>
                <c:pt idx="26">
                  <c:v>29.3</c:v>
                </c:pt>
                <c:pt idx="27">
                  <c:v>29.2</c:v>
                </c:pt>
                <c:pt idx="28">
                  <c:v>28.7</c:v>
                </c:pt>
                <c:pt idx="29">
                  <c:v>28.3</c:v>
                </c:pt>
              </c:numCache>
            </c:numRef>
          </c:val>
          <c:smooth val="0"/>
        </c:ser>
        <c:ser>
          <c:idx val="7"/>
          <c:order val="7"/>
          <c:tx>
            <c:strRef>
              <c:f>Sayfa1!$I$1</c:f>
              <c:strCache>
                <c:ptCount val="1"/>
                <c:pt idx="0">
                  <c:v>Estonya</c:v>
                </c:pt>
              </c:strCache>
            </c:strRef>
          </c:tx>
          <c:spPr>
            <a:ln w="28575" cap="rnd">
              <a:solidFill>
                <a:schemeClr val="accent2">
                  <a:lumMod val="6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Sayfa1!$I$2:$I$31</c:f>
              <c:numCache>
                <c:formatCode>General</c:formatCode>
                <c:ptCount val="30"/>
                <c:pt idx="0">
                  <c:v>0</c:v>
                </c:pt>
                <c:pt idx="1">
                  <c:v>0</c:v>
                </c:pt>
                <c:pt idx="2">
                  <c:v>0</c:v>
                </c:pt>
                <c:pt idx="3">
                  <c:v>0</c:v>
                </c:pt>
                <c:pt idx="4">
                  <c:v>0</c:v>
                </c:pt>
                <c:pt idx="5">
                  <c:v>0</c:v>
                </c:pt>
                <c:pt idx="6">
                  <c:v>0</c:v>
                </c:pt>
                <c:pt idx="7">
                  <c:v>0</c:v>
                </c:pt>
                <c:pt idx="8">
                  <c:v>0</c:v>
                </c:pt>
                <c:pt idx="9">
                  <c:v>15.2</c:v>
                </c:pt>
                <c:pt idx="10">
                  <c:v>13.9</c:v>
                </c:pt>
                <c:pt idx="11">
                  <c:v>13.1</c:v>
                </c:pt>
                <c:pt idx="12">
                  <c:v>12.8</c:v>
                </c:pt>
                <c:pt idx="13">
                  <c:v>12.9</c:v>
                </c:pt>
                <c:pt idx="14">
                  <c:v>13.3</c:v>
                </c:pt>
                <c:pt idx="15">
                  <c:v>12.8</c:v>
                </c:pt>
                <c:pt idx="16">
                  <c:v>12.5</c:v>
                </c:pt>
                <c:pt idx="17">
                  <c:v>12.4</c:v>
                </c:pt>
                <c:pt idx="18">
                  <c:v>15.1</c:v>
                </c:pt>
                <c:pt idx="19">
                  <c:v>19.3</c:v>
                </c:pt>
                <c:pt idx="20">
                  <c:v>18</c:v>
                </c:pt>
                <c:pt idx="21">
                  <c:v>16</c:v>
                </c:pt>
                <c:pt idx="22">
                  <c:v>15.6</c:v>
                </c:pt>
                <c:pt idx="23">
                  <c:v>15.6</c:v>
                </c:pt>
                <c:pt idx="24">
                  <c:v>15.9</c:v>
                </c:pt>
                <c:pt idx="25">
                  <c:v>17.2</c:v>
                </c:pt>
                <c:pt idx="26">
                  <c:v>17.5</c:v>
                </c:pt>
                <c:pt idx="27">
                  <c:v>17.2</c:v>
                </c:pt>
                <c:pt idx="28">
                  <c:v>17.5</c:v>
                </c:pt>
                <c:pt idx="29">
                  <c:v>17.7</c:v>
                </c:pt>
              </c:numCache>
            </c:numRef>
          </c:val>
          <c:smooth val="0"/>
        </c:ser>
        <c:ser>
          <c:idx val="8"/>
          <c:order val="8"/>
          <c:tx>
            <c:strRef>
              <c:f>Sayfa1!$J$1</c:f>
              <c:strCache>
                <c:ptCount val="1"/>
                <c:pt idx="0">
                  <c:v>Finlandiya</c:v>
                </c:pt>
              </c:strCache>
            </c:strRef>
          </c:tx>
          <c:spPr>
            <a:ln w="28575" cap="rnd">
              <a:solidFill>
                <a:schemeClr val="accent3">
                  <a:lumMod val="6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Sayfa1!$J$2:$J$31</c:f>
              <c:numCache>
                <c:formatCode>General</c:formatCode>
                <c:ptCount val="30"/>
                <c:pt idx="0">
                  <c:v>23.3</c:v>
                </c:pt>
                <c:pt idx="1">
                  <c:v>28.2</c:v>
                </c:pt>
                <c:pt idx="2">
                  <c:v>32.200000000000003</c:v>
                </c:pt>
                <c:pt idx="3">
                  <c:v>32.200000000000003</c:v>
                </c:pt>
                <c:pt idx="4">
                  <c:v>31.5</c:v>
                </c:pt>
                <c:pt idx="5">
                  <c:v>28.8</c:v>
                </c:pt>
                <c:pt idx="6">
                  <c:v>28.7</c:v>
                </c:pt>
                <c:pt idx="7">
                  <c:v>26.6</c:v>
                </c:pt>
                <c:pt idx="8">
                  <c:v>24.5</c:v>
                </c:pt>
                <c:pt idx="9">
                  <c:v>23.8</c:v>
                </c:pt>
                <c:pt idx="10">
                  <c:v>22.6</c:v>
                </c:pt>
                <c:pt idx="11">
                  <c:v>22.4</c:v>
                </c:pt>
                <c:pt idx="12">
                  <c:v>23.2</c:v>
                </c:pt>
                <c:pt idx="13">
                  <c:v>23.8</c:v>
                </c:pt>
                <c:pt idx="14">
                  <c:v>24</c:v>
                </c:pt>
                <c:pt idx="15">
                  <c:v>23.9</c:v>
                </c:pt>
                <c:pt idx="16">
                  <c:v>23.7</c:v>
                </c:pt>
                <c:pt idx="17">
                  <c:v>22.8</c:v>
                </c:pt>
                <c:pt idx="18">
                  <c:v>23.3</c:v>
                </c:pt>
                <c:pt idx="19">
                  <c:v>26.9</c:v>
                </c:pt>
                <c:pt idx="20">
                  <c:v>27.4</c:v>
                </c:pt>
                <c:pt idx="21">
                  <c:v>27</c:v>
                </c:pt>
                <c:pt idx="22">
                  <c:v>28.3</c:v>
                </c:pt>
                <c:pt idx="23">
                  <c:v>29.4</c:v>
                </c:pt>
                <c:pt idx="24">
                  <c:v>30.1</c:v>
                </c:pt>
                <c:pt idx="25">
                  <c:v>30.5</c:v>
                </c:pt>
                <c:pt idx="26">
                  <c:v>30.4</c:v>
                </c:pt>
                <c:pt idx="27">
                  <c:v>29.6</c:v>
                </c:pt>
                <c:pt idx="28">
                  <c:v>29.3</c:v>
                </c:pt>
                <c:pt idx="29">
                  <c:v>29.1</c:v>
                </c:pt>
              </c:numCache>
            </c:numRef>
          </c:val>
          <c:smooth val="0"/>
        </c:ser>
        <c:ser>
          <c:idx val="9"/>
          <c:order val="9"/>
          <c:tx>
            <c:strRef>
              <c:f>Sayfa1!$K$1</c:f>
              <c:strCache>
                <c:ptCount val="1"/>
                <c:pt idx="0">
                  <c:v>Fransa</c:v>
                </c:pt>
              </c:strCache>
            </c:strRef>
          </c:tx>
          <c:spPr>
            <a:ln w="28575" cap="rnd">
              <a:solidFill>
                <a:schemeClr val="accent4">
                  <a:lumMod val="6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Sayfa1!$K$2:$K$31</c:f>
              <c:numCache>
                <c:formatCode>General</c:formatCode>
                <c:ptCount val="30"/>
                <c:pt idx="0">
                  <c:v>24.4</c:v>
                </c:pt>
                <c:pt idx="1">
                  <c:v>25</c:v>
                </c:pt>
                <c:pt idx="2">
                  <c:v>25.8</c:v>
                </c:pt>
                <c:pt idx="3">
                  <c:v>27.2</c:v>
                </c:pt>
                <c:pt idx="4">
                  <c:v>27.2</c:v>
                </c:pt>
                <c:pt idx="5">
                  <c:v>28.5</c:v>
                </c:pt>
                <c:pt idx="6">
                  <c:v>28.8</c:v>
                </c:pt>
                <c:pt idx="7">
                  <c:v>28.6</c:v>
                </c:pt>
                <c:pt idx="8">
                  <c:v>28.9</c:v>
                </c:pt>
                <c:pt idx="9">
                  <c:v>28.8</c:v>
                </c:pt>
                <c:pt idx="10">
                  <c:v>27.7</c:v>
                </c:pt>
                <c:pt idx="11">
                  <c:v>27.7</c:v>
                </c:pt>
                <c:pt idx="12">
                  <c:v>28.4</c:v>
                </c:pt>
                <c:pt idx="13">
                  <c:v>28.8</c:v>
                </c:pt>
                <c:pt idx="14">
                  <c:v>28.9</c:v>
                </c:pt>
                <c:pt idx="15">
                  <c:v>28.8</c:v>
                </c:pt>
                <c:pt idx="16">
                  <c:v>28.4</c:v>
                </c:pt>
                <c:pt idx="17">
                  <c:v>28.3</c:v>
                </c:pt>
                <c:pt idx="18">
                  <c:v>28.5</c:v>
                </c:pt>
                <c:pt idx="19">
                  <c:v>31</c:v>
                </c:pt>
                <c:pt idx="20">
                  <c:v>31.1</c:v>
                </c:pt>
                <c:pt idx="21">
                  <c:v>30.8</c:v>
                </c:pt>
                <c:pt idx="22">
                  <c:v>31.2</c:v>
                </c:pt>
                <c:pt idx="23">
                  <c:v>31.7</c:v>
                </c:pt>
                <c:pt idx="24">
                  <c:v>32</c:v>
                </c:pt>
                <c:pt idx="25">
                  <c:v>31.8</c:v>
                </c:pt>
                <c:pt idx="26">
                  <c:v>31.8</c:v>
                </c:pt>
                <c:pt idx="27">
                  <c:v>31.5</c:v>
                </c:pt>
                <c:pt idx="28">
                  <c:v>31.1</c:v>
                </c:pt>
                <c:pt idx="29">
                  <c:v>31</c:v>
                </c:pt>
              </c:numCache>
            </c:numRef>
          </c:val>
          <c:smooth val="0"/>
        </c:ser>
        <c:ser>
          <c:idx val="10"/>
          <c:order val="10"/>
          <c:tx>
            <c:strRef>
              <c:f>Sayfa1!$L$1</c:f>
              <c:strCache>
                <c:ptCount val="1"/>
                <c:pt idx="0">
                  <c:v>Almanya</c:v>
                </c:pt>
              </c:strCache>
            </c:strRef>
          </c:tx>
          <c:spPr>
            <a:ln w="28575" cap="rnd">
              <a:solidFill>
                <a:schemeClr val="accent5">
                  <a:lumMod val="6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Sayfa1!$L$2:$L$31</c:f>
              <c:numCache>
                <c:formatCode>General</c:formatCode>
                <c:ptCount val="30"/>
                <c:pt idx="0">
                  <c:v>21.4</c:v>
                </c:pt>
                <c:pt idx="1">
                  <c:v>22.3</c:v>
                </c:pt>
                <c:pt idx="2">
                  <c:v>24</c:v>
                </c:pt>
                <c:pt idx="3">
                  <c:v>24.7</c:v>
                </c:pt>
                <c:pt idx="4">
                  <c:v>24.9</c:v>
                </c:pt>
                <c:pt idx="5">
                  <c:v>25.2</c:v>
                </c:pt>
                <c:pt idx="6">
                  <c:v>25.9</c:v>
                </c:pt>
                <c:pt idx="7">
                  <c:v>25.4</c:v>
                </c:pt>
                <c:pt idx="8">
                  <c:v>25.4</c:v>
                </c:pt>
                <c:pt idx="9">
                  <c:v>25.5</c:v>
                </c:pt>
                <c:pt idx="10">
                  <c:v>25.5</c:v>
                </c:pt>
                <c:pt idx="11">
                  <c:v>25.5</c:v>
                </c:pt>
                <c:pt idx="12">
                  <c:v>26.2</c:v>
                </c:pt>
                <c:pt idx="13">
                  <c:v>26.6</c:v>
                </c:pt>
                <c:pt idx="14">
                  <c:v>26</c:v>
                </c:pt>
                <c:pt idx="15">
                  <c:v>26.4</c:v>
                </c:pt>
                <c:pt idx="16">
                  <c:v>25.1</c:v>
                </c:pt>
                <c:pt idx="17">
                  <c:v>24.2</c:v>
                </c:pt>
                <c:pt idx="18">
                  <c:v>24.4</c:v>
                </c:pt>
                <c:pt idx="19">
                  <c:v>26.8</c:v>
                </c:pt>
                <c:pt idx="20">
                  <c:v>26</c:v>
                </c:pt>
                <c:pt idx="21">
                  <c:v>24.7</c:v>
                </c:pt>
                <c:pt idx="22">
                  <c:v>24.7</c:v>
                </c:pt>
                <c:pt idx="23">
                  <c:v>24.8</c:v>
                </c:pt>
                <c:pt idx="24">
                  <c:v>24.8</c:v>
                </c:pt>
                <c:pt idx="25">
                  <c:v>25</c:v>
                </c:pt>
                <c:pt idx="26">
                  <c:v>25.3</c:v>
                </c:pt>
                <c:pt idx="27">
                  <c:v>25.4</c:v>
                </c:pt>
                <c:pt idx="28">
                  <c:v>25.3</c:v>
                </c:pt>
                <c:pt idx="29">
                  <c:v>25.9</c:v>
                </c:pt>
              </c:numCache>
            </c:numRef>
          </c:val>
          <c:smooth val="0"/>
        </c:ser>
        <c:ser>
          <c:idx val="11"/>
          <c:order val="11"/>
          <c:tx>
            <c:strRef>
              <c:f>Sayfa1!$M$1</c:f>
              <c:strCache>
                <c:ptCount val="1"/>
                <c:pt idx="0">
                  <c:v>Yunanistan</c:v>
                </c:pt>
              </c:strCache>
            </c:strRef>
          </c:tx>
          <c:spPr>
            <a:ln w="28575" cap="rnd">
              <a:solidFill>
                <a:schemeClr val="accent6">
                  <a:lumMod val="6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Sayfa1!$M$2:$M$31</c:f>
              <c:numCache>
                <c:formatCode>General</c:formatCode>
                <c:ptCount val="30"/>
                <c:pt idx="0">
                  <c:v>15.7</c:v>
                </c:pt>
                <c:pt idx="1">
                  <c:v>15.2</c:v>
                </c:pt>
                <c:pt idx="2">
                  <c:v>15.4</c:v>
                </c:pt>
                <c:pt idx="3">
                  <c:v>16.2</c:v>
                </c:pt>
                <c:pt idx="4">
                  <c:v>16.3</c:v>
                </c:pt>
                <c:pt idx="5">
                  <c:v>16.600000000000001</c:v>
                </c:pt>
                <c:pt idx="6">
                  <c:v>17</c:v>
                </c:pt>
                <c:pt idx="7">
                  <c:v>16.899999999999999</c:v>
                </c:pt>
                <c:pt idx="8">
                  <c:v>17.5</c:v>
                </c:pt>
                <c:pt idx="9">
                  <c:v>18</c:v>
                </c:pt>
                <c:pt idx="10">
                  <c:v>17.8</c:v>
                </c:pt>
                <c:pt idx="11">
                  <c:v>18.600000000000001</c:v>
                </c:pt>
                <c:pt idx="12">
                  <c:v>18.399999999999999</c:v>
                </c:pt>
                <c:pt idx="13">
                  <c:v>18.2</c:v>
                </c:pt>
                <c:pt idx="14">
                  <c:v>18.3</c:v>
                </c:pt>
                <c:pt idx="15">
                  <c:v>19.5</c:v>
                </c:pt>
                <c:pt idx="16">
                  <c:v>19.399999999999999</c:v>
                </c:pt>
                <c:pt idx="17">
                  <c:v>20.100000000000001</c:v>
                </c:pt>
                <c:pt idx="18">
                  <c:v>21.6</c:v>
                </c:pt>
                <c:pt idx="19">
                  <c:v>23.9</c:v>
                </c:pt>
                <c:pt idx="20">
                  <c:v>24.8</c:v>
                </c:pt>
                <c:pt idx="21">
                  <c:v>26</c:v>
                </c:pt>
                <c:pt idx="22">
                  <c:v>27</c:v>
                </c:pt>
                <c:pt idx="23">
                  <c:v>25.2</c:v>
                </c:pt>
                <c:pt idx="24">
                  <c:v>25.3</c:v>
                </c:pt>
                <c:pt idx="25">
                  <c:v>25.4</c:v>
                </c:pt>
                <c:pt idx="26">
                  <c:v>25.6</c:v>
                </c:pt>
                <c:pt idx="27">
                  <c:v>24.7</c:v>
                </c:pt>
                <c:pt idx="28">
                  <c:v>24.1</c:v>
                </c:pt>
                <c:pt idx="29">
                  <c:v>24</c:v>
                </c:pt>
              </c:numCache>
            </c:numRef>
          </c:val>
          <c:smooth val="0"/>
        </c:ser>
        <c:ser>
          <c:idx val="12"/>
          <c:order val="12"/>
          <c:tx>
            <c:strRef>
              <c:f>Sayfa1!$N$1</c:f>
              <c:strCache>
                <c:ptCount val="1"/>
                <c:pt idx="0">
                  <c:v>Macaristan</c:v>
                </c:pt>
              </c:strCache>
            </c:strRef>
          </c:tx>
          <c:spPr>
            <a:ln w="28575" cap="rnd">
              <a:solidFill>
                <a:schemeClr val="accent1">
                  <a:lumMod val="80000"/>
                  <a:lumOff val="2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Sayfa1!$N$2:$N$31</c:f>
              <c:numCache>
                <c:formatCode>General</c:formatCode>
                <c:ptCount val="30"/>
                <c:pt idx="0">
                  <c:v>0</c:v>
                </c:pt>
                <c:pt idx="1">
                  <c:v>0</c:v>
                </c:pt>
                <c:pt idx="2">
                  <c:v>0</c:v>
                </c:pt>
                <c:pt idx="3">
                  <c:v>0</c:v>
                </c:pt>
                <c:pt idx="4">
                  <c:v>0</c:v>
                </c:pt>
                <c:pt idx="5">
                  <c:v>0</c:v>
                </c:pt>
                <c:pt idx="6">
                  <c:v>0</c:v>
                </c:pt>
                <c:pt idx="7">
                  <c:v>0</c:v>
                </c:pt>
                <c:pt idx="8">
                  <c:v>0</c:v>
                </c:pt>
                <c:pt idx="9">
                  <c:v>20.9</c:v>
                </c:pt>
                <c:pt idx="10">
                  <c:v>20.100000000000001</c:v>
                </c:pt>
                <c:pt idx="11">
                  <c:v>19.8</c:v>
                </c:pt>
                <c:pt idx="12">
                  <c:v>20.8</c:v>
                </c:pt>
                <c:pt idx="13">
                  <c:v>21.8</c:v>
                </c:pt>
                <c:pt idx="14">
                  <c:v>21.1</c:v>
                </c:pt>
                <c:pt idx="15">
                  <c:v>21.9</c:v>
                </c:pt>
                <c:pt idx="16">
                  <c:v>22.1</c:v>
                </c:pt>
                <c:pt idx="17">
                  <c:v>22.4</c:v>
                </c:pt>
                <c:pt idx="18">
                  <c:v>22.7</c:v>
                </c:pt>
                <c:pt idx="19">
                  <c:v>23.3</c:v>
                </c:pt>
                <c:pt idx="20">
                  <c:v>23</c:v>
                </c:pt>
                <c:pt idx="21">
                  <c:v>22.3</c:v>
                </c:pt>
                <c:pt idx="22">
                  <c:v>22.6</c:v>
                </c:pt>
                <c:pt idx="23">
                  <c:v>22.2</c:v>
                </c:pt>
                <c:pt idx="24">
                  <c:v>21.5</c:v>
                </c:pt>
                <c:pt idx="25">
                  <c:v>20.399999999999999</c:v>
                </c:pt>
                <c:pt idx="26">
                  <c:v>20.3</c:v>
                </c:pt>
                <c:pt idx="27">
                  <c:v>19.7</c:v>
                </c:pt>
                <c:pt idx="28">
                  <c:v>18.8</c:v>
                </c:pt>
                <c:pt idx="29">
                  <c:v>18.100000000000001</c:v>
                </c:pt>
              </c:numCache>
            </c:numRef>
          </c:val>
          <c:smooth val="0"/>
        </c:ser>
        <c:ser>
          <c:idx val="13"/>
          <c:order val="13"/>
          <c:tx>
            <c:strRef>
              <c:f>Sayfa1!$O$1</c:f>
              <c:strCache>
                <c:ptCount val="1"/>
                <c:pt idx="0">
                  <c:v>İzlanda</c:v>
                </c:pt>
              </c:strCache>
            </c:strRef>
          </c:tx>
          <c:spPr>
            <a:ln w="28575" cap="rnd">
              <a:solidFill>
                <a:schemeClr val="accent2">
                  <a:lumMod val="80000"/>
                  <a:lumOff val="2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Sayfa1!$O$2:$O$31</c:f>
              <c:numCache>
                <c:formatCode>General</c:formatCode>
                <c:ptCount val="30"/>
                <c:pt idx="0">
                  <c:v>13.3</c:v>
                </c:pt>
                <c:pt idx="1">
                  <c:v>13.7</c:v>
                </c:pt>
                <c:pt idx="2">
                  <c:v>14.3</c:v>
                </c:pt>
                <c:pt idx="3">
                  <c:v>14.6</c:v>
                </c:pt>
                <c:pt idx="4">
                  <c:v>14.4</c:v>
                </c:pt>
                <c:pt idx="5">
                  <c:v>14.7</c:v>
                </c:pt>
                <c:pt idx="6">
                  <c:v>14.5</c:v>
                </c:pt>
                <c:pt idx="7">
                  <c:v>14.1</c:v>
                </c:pt>
                <c:pt idx="8">
                  <c:v>14.2</c:v>
                </c:pt>
                <c:pt idx="9">
                  <c:v>14.4</c:v>
                </c:pt>
                <c:pt idx="10">
                  <c:v>14.5</c:v>
                </c:pt>
                <c:pt idx="11">
                  <c:v>14.5</c:v>
                </c:pt>
                <c:pt idx="12">
                  <c:v>15.9</c:v>
                </c:pt>
                <c:pt idx="13">
                  <c:v>17</c:v>
                </c:pt>
                <c:pt idx="14">
                  <c:v>16.600000000000001</c:v>
                </c:pt>
                <c:pt idx="15">
                  <c:v>15.8</c:v>
                </c:pt>
                <c:pt idx="16">
                  <c:v>15.3</c:v>
                </c:pt>
                <c:pt idx="17">
                  <c:v>14.5</c:v>
                </c:pt>
                <c:pt idx="18">
                  <c:v>14.9</c:v>
                </c:pt>
                <c:pt idx="19">
                  <c:v>17</c:v>
                </c:pt>
                <c:pt idx="20">
                  <c:v>16.399999999999999</c:v>
                </c:pt>
                <c:pt idx="21">
                  <c:v>16.5</c:v>
                </c:pt>
                <c:pt idx="22">
                  <c:v>16.2</c:v>
                </c:pt>
                <c:pt idx="23">
                  <c:v>15.7</c:v>
                </c:pt>
                <c:pt idx="24">
                  <c:v>15.9</c:v>
                </c:pt>
                <c:pt idx="25">
                  <c:v>15.1</c:v>
                </c:pt>
                <c:pt idx="26">
                  <c:v>15</c:v>
                </c:pt>
                <c:pt idx="27">
                  <c:v>16</c:v>
                </c:pt>
                <c:pt idx="28">
                  <c:v>16.399999999999999</c:v>
                </c:pt>
                <c:pt idx="29">
                  <c:v>17.399999999999999</c:v>
                </c:pt>
              </c:numCache>
            </c:numRef>
          </c:val>
          <c:smooth val="0"/>
        </c:ser>
        <c:ser>
          <c:idx val="14"/>
          <c:order val="14"/>
          <c:tx>
            <c:strRef>
              <c:f>Sayfa1!$P$1</c:f>
              <c:strCache>
                <c:ptCount val="1"/>
                <c:pt idx="0">
                  <c:v>İrlanda</c:v>
                </c:pt>
              </c:strCache>
            </c:strRef>
          </c:tx>
          <c:spPr>
            <a:ln w="28575" cap="rnd">
              <a:solidFill>
                <a:schemeClr val="accent3">
                  <a:lumMod val="80000"/>
                  <a:lumOff val="2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Sayfa1!$P$2:$P$31</c:f>
              <c:numCache>
                <c:formatCode>General</c:formatCode>
                <c:ptCount val="30"/>
                <c:pt idx="0">
                  <c:v>16.8</c:v>
                </c:pt>
                <c:pt idx="1">
                  <c:v>17.7</c:v>
                </c:pt>
                <c:pt idx="2">
                  <c:v>18.5</c:v>
                </c:pt>
                <c:pt idx="3">
                  <c:v>18.5</c:v>
                </c:pt>
                <c:pt idx="4">
                  <c:v>18.100000000000001</c:v>
                </c:pt>
                <c:pt idx="5">
                  <c:v>17.5</c:v>
                </c:pt>
                <c:pt idx="6">
                  <c:v>16.600000000000001</c:v>
                </c:pt>
                <c:pt idx="7">
                  <c:v>15.5</c:v>
                </c:pt>
                <c:pt idx="8">
                  <c:v>14.6</c:v>
                </c:pt>
                <c:pt idx="9">
                  <c:v>13.7</c:v>
                </c:pt>
                <c:pt idx="10">
                  <c:v>12.8</c:v>
                </c:pt>
                <c:pt idx="11">
                  <c:v>13.5</c:v>
                </c:pt>
                <c:pt idx="12">
                  <c:v>14.4</c:v>
                </c:pt>
                <c:pt idx="13">
                  <c:v>14.9</c:v>
                </c:pt>
                <c:pt idx="14">
                  <c:v>15.2</c:v>
                </c:pt>
                <c:pt idx="15">
                  <c:v>15.4</c:v>
                </c:pt>
                <c:pt idx="16">
                  <c:v>15.4</c:v>
                </c:pt>
                <c:pt idx="17">
                  <c:v>16.2</c:v>
                </c:pt>
                <c:pt idx="18">
                  <c:v>19.2</c:v>
                </c:pt>
                <c:pt idx="19">
                  <c:v>23.1</c:v>
                </c:pt>
                <c:pt idx="20">
                  <c:v>23.8</c:v>
                </c:pt>
                <c:pt idx="21">
                  <c:v>23</c:v>
                </c:pt>
                <c:pt idx="22">
                  <c:v>22.6</c:v>
                </c:pt>
                <c:pt idx="23">
                  <c:v>21.5</c:v>
                </c:pt>
                <c:pt idx="24">
                  <c:v>19.600000000000001</c:v>
                </c:pt>
                <c:pt idx="25">
                  <c:v>14.9</c:v>
                </c:pt>
                <c:pt idx="26">
                  <c:v>15.1</c:v>
                </c:pt>
                <c:pt idx="27">
                  <c:v>14.2</c:v>
                </c:pt>
                <c:pt idx="28">
                  <c:v>13.6</c:v>
                </c:pt>
                <c:pt idx="29">
                  <c:v>13.4</c:v>
                </c:pt>
              </c:numCache>
            </c:numRef>
          </c:val>
          <c:smooth val="0"/>
        </c:ser>
        <c:ser>
          <c:idx val="15"/>
          <c:order val="15"/>
          <c:tx>
            <c:strRef>
              <c:f>Sayfa1!$Q$1</c:f>
              <c:strCache>
                <c:ptCount val="1"/>
                <c:pt idx="0">
                  <c:v>İsrail</c:v>
                </c:pt>
              </c:strCache>
            </c:strRef>
          </c:tx>
          <c:spPr>
            <a:ln w="28575" cap="rnd">
              <a:solidFill>
                <a:schemeClr val="accent4">
                  <a:lumMod val="80000"/>
                  <a:lumOff val="2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Sayfa1!$Q$2:$Q$31</c:f>
              <c:numCache>
                <c:formatCode>General</c:formatCode>
                <c:ptCount val="30"/>
                <c:pt idx="0">
                  <c:v>0</c:v>
                </c:pt>
                <c:pt idx="1">
                  <c:v>0</c:v>
                </c:pt>
                <c:pt idx="2">
                  <c:v>0</c:v>
                </c:pt>
                <c:pt idx="3">
                  <c:v>0</c:v>
                </c:pt>
                <c:pt idx="4">
                  <c:v>0</c:v>
                </c:pt>
                <c:pt idx="5">
                  <c:v>16.3</c:v>
                </c:pt>
                <c:pt idx="6">
                  <c:v>16.7</c:v>
                </c:pt>
                <c:pt idx="7">
                  <c:v>16.8</c:v>
                </c:pt>
                <c:pt idx="8">
                  <c:v>16.5</c:v>
                </c:pt>
                <c:pt idx="9">
                  <c:v>16.399999999999999</c:v>
                </c:pt>
                <c:pt idx="10">
                  <c:v>16.2</c:v>
                </c:pt>
                <c:pt idx="11">
                  <c:v>17.399999999999999</c:v>
                </c:pt>
                <c:pt idx="12">
                  <c:v>17.399999999999999</c:v>
                </c:pt>
                <c:pt idx="13">
                  <c:v>16.899999999999999</c:v>
                </c:pt>
                <c:pt idx="14">
                  <c:v>15.9</c:v>
                </c:pt>
                <c:pt idx="15">
                  <c:v>15.4</c:v>
                </c:pt>
                <c:pt idx="16">
                  <c:v>15.2</c:v>
                </c:pt>
                <c:pt idx="17">
                  <c:v>14.7</c:v>
                </c:pt>
                <c:pt idx="18">
                  <c:v>14.8</c:v>
                </c:pt>
                <c:pt idx="19">
                  <c:v>15.4</c:v>
                </c:pt>
                <c:pt idx="20">
                  <c:v>15.5</c:v>
                </c:pt>
                <c:pt idx="21">
                  <c:v>15.2</c:v>
                </c:pt>
                <c:pt idx="22">
                  <c:v>15.5</c:v>
                </c:pt>
                <c:pt idx="23">
                  <c:v>15.5</c:v>
                </c:pt>
                <c:pt idx="24">
                  <c:v>15.4</c:v>
                </c:pt>
                <c:pt idx="25">
                  <c:v>15.4</c:v>
                </c:pt>
                <c:pt idx="26">
                  <c:v>15.4</c:v>
                </c:pt>
                <c:pt idx="27">
                  <c:v>16.2</c:v>
                </c:pt>
                <c:pt idx="28">
                  <c:v>16.3</c:v>
                </c:pt>
                <c:pt idx="29">
                  <c:v>16.3</c:v>
                </c:pt>
              </c:numCache>
            </c:numRef>
          </c:val>
          <c:smooth val="0"/>
        </c:ser>
        <c:ser>
          <c:idx val="16"/>
          <c:order val="16"/>
          <c:tx>
            <c:strRef>
              <c:f>Sayfa1!$R$1</c:f>
              <c:strCache>
                <c:ptCount val="1"/>
                <c:pt idx="0">
                  <c:v>İtalya</c:v>
                </c:pt>
              </c:strCache>
            </c:strRef>
          </c:tx>
          <c:spPr>
            <a:ln w="28575" cap="rnd">
              <a:solidFill>
                <a:schemeClr val="accent5">
                  <a:lumMod val="80000"/>
                  <a:lumOff val="2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Sayfa1!$R$2:$R$31</c:f>
              <c:numCache>
                <c:formatCode>General</c:formatCode>
                <c:ptCount val="30"/>
                <c:pt idx="0">
                  <c:v>20.6</c:v>
                </c:pt>
                <c:pt idx="1">
                  <c:v>21</c:v>
                </c:pt>
                <c:pt idx="2">
                  <c:v>21.7</c:v>
                </c:pt>
                <c:pt idx="3">
                  <c:v>22</c:v>
                </c:pt>
                <c:pt idx="4">
                  <c:v>22</c:v>
                </c:pt>
                <c:pt idx="5">
                  <c:v>21.1</c:v>
                </c:pt>
                <c:pt idx="6">
                  <c:v>21.5</c:v>
                </c:pt>
                <c:pt idx="7">
                  <c:v>22.2</c:v>
                </c:pt>
                <c:pt idx="8">
                  <c:v>22.3</c:v>
                </c:pt>
                <c:pt idx="9">
                  <c:v>22.7</c:v>
                </c:pt>
                <c:pt idx="10">
                  <c:v>22.6</c:v>
                </c:pt>
                <c:pt idx="11">
                  <c:v>22.8</c:v>
                </c:pt>
                <c:pt idx="12">
                  <c:v>23.3</c:v>
                </c:pt>
                <c:pt idx="13">
                  <c:v>23.6</c:v>
                </c:pt>
                <c:pt idx="14">
                  <c:v>23.9</c:v>
                </c:pt>
                <c:pt idx="15">
                  <c:v>24.1</c:v>
                </c:pt>
                <c:pt idx="16">
                  <c:v>24.2</c:v>
                </c:pt>
                <c:pt idx="17">
                  <c:v>24.1</c:v>
                </c:pt>
                <c:pt idx="18">
                  <c:v>25</c:v>
                </c:pt>
                <c:pt idx="19">
                  <c:v>27</c:v>
                </c:pt>
                <c:pt idx="20">
                  <c:v>27</c:v>
                </c:pt>
                <c:pt idx="21">
                  <c:v>26.6</c:v>
                </c:pt>
                <c:pt idx="22">
                  <c:v>27.3</c:v>
                </c:pt>
                <c:pt idx="23">
                  <c:v>27.9</c:v>
                </c:pt>
                <c:pt idx="24">
                  <c:v>28.2</c:v>
                </c:pt>
                <c:pt idx="25">
                  <c:v>28.3</c:v>
                </c:pt>
                <c:pt idx="26">
                  <c:v>27.9</c:v>
                </c:pt>
                <c:pt idx="27">
                  <c:v>27.6</c:v>
                </c:pt>
                <c:pt idx="28">
                  <c:v>27.8</c:v>
                </c:pt>
                <c:pt idx="29">
                  <c:v>28.2</c:v>
                </c:pt>
              </c:numCache>
            </c:numRef>
          </c:val>
          <c:smooth val="0"/>
        </c:ser>
        <c:ser>
          <c:idx val="17"/>
          <c:order val="17"/>
          <c:tx>
            <c:strRef>
              <c:f>Sayfa1!$S$1</c:f>
              <c:strCache>
                <c:ptCount val="1"/>
                <c:pt idx="0">
                  <c:v>Japonya</c:v>
                </c:pt>
              </c:strCache>
            </c:strRef>
          </c:tx>
          <c:spPr>
            <a:ln w="28575" cap="rnd">
              <a:solidFill>
                <a:schemeClr val="accent6">
                  <a:lumMod val="80000"/>
                  <a:lumOff val="2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Sayfa1!$S$2:$S$31</c:f>
              <c:numCache>
                <c:formatCode>General</c:formatCode>
                <c:ptCount val="30"/>
                <c:pt idx="0">
                  <c:v>10.9</c:v>
                </c:pt>
                <c:pt idx="1">
                  <c:v>11</c:v>
                </c:pt>
                <c:pt idx="2">
                  <c:v>11.6</c:v>
                </c:pt>
                <c:pt idx="3">
                  <c:v>12.4</c:v>
                </c:pt>
                <c:pt idx="4">
                  <c:v>12.9</c:v>
                </c:pt>
                <c:pt idx="5">
                  <c:v>13.2</c:v>
                </c:pt>
                <c:pt idx="6">
                  <c:v>13.2</c:v>
                </c:pt>
                <c:pt idx="7">
                  <c:v>13.6</c:v>
                </c:pt>
                <c:pt idx="8">
                  <c:v>14.3</c:v>
                </c:pt>
                <c:pt idx="9">
                  <c:v>15.1</c:v>
                </c:pt>
                <c:pt idx="10">
                  <c:v>15.4</c:v>
                </c:pt>
                <c:pt idx="11">
                  <c:v>16.100000000000001</c:v>
                </c:pt>
                <c:pt idx="12">
                  <c:v>16.399999999999999</c:v>
                </c:pt>
                <c:pt idx="13">
                  <c:v>16.600000000000001</c:v>
                </c:pt>
                <c:pt idx="14">
                  <c:v>16.8</c:v>
                </c:pt>
                <c:pt idx="15">
                  <c:v>17.100000000000001</c:v>
                </c:pt>
                <c:pt idx="16">
                  <c:v>17.2</c:v>
                </c:pt>
                <c:pt idx="17">
                  <c:v>17.600000000000001</c:v>
                </c:pt>
                <c:pt idx="18">
                  <c:v>18.600000000000001</c:v>
                </c:pt>
                <c:pt idx="19">
                  <c:v>20.8</c:v>
                </c:pt>
                <c:pt idx="20">
                  <c:v>21.2</c:v>
                </c:pt>
                <c:pt idx="21">
                  <c:v>22.2</c:v>
                </c:pt>
                <c:pt idx="22">
                  <c:v>22.1</c:v>
                </c:pt>
                <c:pt idx="23">
                  <c:v>22.1</c:v>
                </c:pt>
                <c:pt idx="24">
                  <c:v>21.8</c:v>
                </c:pt>
                <c:pt idx="25">
                  <c:v>22.2</c:v>
                </c:pt>
                <c:pt idx="26">
                  <c:v>22.3</c:v>
                </c:pt>
                <c:pt idx="27">
                  <c:v>22.3</c:v>
                </c:pt>
                <c:pt idx="28">
                  <c:v>0</c:v>
                </c:pt>
                <c:pt idx="29">
                  <c:v>0</c:v>
                </c:pt>
              </c:numCache>
            </c:numRef>
          </c:val>
          <c:smooth val="0"/>
        </c:ser>
        <c:ser>
          <c:idx val="18"/>
          <c:order val="18"/>
          <c:tx>
            <c:strRef>
              <c:f>Sayfa1!$T$1</c:f>
              <c:strCache>
                <c:ptCount val="1"/>
                <c:pt idx="0">
                  <c:v>Kore</c:v>
                </c:pt>
              </c:strCache>
            </c:strRef>
          </c:tx>
          <c:spPr>
            <a:ln w="28575" cap="rnd">
              <a:solidFill>
                <a:schemeClr val="accent1">
                  <a:lumMod val="8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Sayfa1!$T$2:$T$31</c:f>
              <c:numCache>
                <c:formatCode>General</c:formatCode>
                <c:ptCount val="30"/>
                <c:pt idx="0">
                  <c:v>2.6</c:v>
                </c:pt>
                <c:pt idx="1">
                  <c:v>2.5</c:v>
                </c:pt>
                <c:pt idx="2">
                  <c:v>2.7</c:v>
                </c:pt>
                <c:pt idx="3">
                  <c:v>2.8</c:v>
                </c:pt>
                <c:pt idx="4">
                  <c:v>2.8</c:v>
                </c:pt>
                <c:pt idx="5">
                  <c:v>3</c:v>
                </c:pt>
                <c:pt idx="6">
                  <c:v>3.1</c:v>
                </c:pt>
                <c:pt idx="7">
                  <c:v>3.4</c:v>
                </c:pt>
                <c:pt idx="8">
                  <c:v>4.7</c:v>
                </c:pt>
                <c:pt idx="9">
                  <c:v>5.6</c:v>
                </c:pt>
                <c:pt idx="10">
                  <c:v>4.4000000000000004</c:v>
                </c:pt>
                <c:pt idx="11">
                  <c:v>4.8</c:v>
                </c:pt>
                <c:pt idx="12">
                  <c:v>4.7</c:v>
                </c:pt>
                <c:pt idx="13">
                  <c:v>4.9000000000000004</c:v>
                </c:pt>
                <c:pt idx="14">
                  <c:v>5.5</c:v>
                </c:pt>
                <c:pt idx="15">
                  <c:v>5.9</c:v>
                </c:pt>
                <c:pt idx="16">
                  <c:v>6.7</c:v>
                </c:pt>
                <c:pt idx="17">
                  <c:v>6.8</c:v>
                </c:pt>
                <c:pt idx="18">
                  <c:v>7.3</c:v>
                </c:pt>
                <c:pt idx="19">
                  <c:v>8.1</c:v>
                </c:pt>
                <c:pt idx="20">
                  <c:v>7.9</c:v>
                </c:pt>
                <c:pt idx="21">
                  <c:v>7.8</c:v>
                </c:pt>
                <c:pt idx="22">
                  <c:v>8.3000000000000007</c:v>
                </c:pt>
                <c:pt idx="23">
                  <c:v>8.8000000000000007</c:v>
                </c:pt>
                <c:pt idx="24">
                  <c:v>9.1999999999999993</c:v>
                </c:pt>
                <c:pt idx="25">
                  <c:v>9.6</c:v>
                </c:pt>
                <c:pt idx="26">
                  <c:v>9.9</c:v>
                </c:pt>
                <c:pt idx="27">
                  <c:v>10.1</c:v>
                </c:pt>
                <c:pt idx="28">
                  <c:v>10.8</c:v>
                </c:pt>
                <c:pt idx="29">
                  <c:v>12.2</c:v>
                </c:pt>
              </c:numCache>
            </c:numRef>
          </c:val>
          <c:smooth val="0"/>
        </c:ser>
        <c:ser>
          <c:idx val="19"/>
          <c:order val="19"/>
          <c:tx>
            <c:strRef>
              <c:f>Sayfa1!$U$1</c:f>
              <c:strCache>
                <c:ptCount val="1"/>
                <c:pt idx="0">
                  <c:v>Letonya</c:v>
                </c:pt>
              </c:strCache>
            </c:strRef>
          </c:tx>
          <c:spPr>
            <a:ln w="28575" cap="rnd">
              <a:solidFill>
                <a:schemeClr val="accent2">
                  <a:lumMod val="8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Sayfa1!$U$2:$U$31</c:f>
              <c:numCache>
                <c:formatCode>General</c:formatCode>
                <c:ptCount val="30"/>
                <c:pt idx="0">
                  <c:v>0</c:v>
                </c:pt>
                <c:pt idx="1">
                  <c:v>0</c:v>
                </c:pt>
                <c:pt idx="2">
                  <c:v>0</c:v>
                </c:pt>
                <c:pt idx="3">
                  <c:v>0</c:v>
                </c:pt>
                <c:pt idx="4">
                  <c:v>0</c:v>
                </c:pt>
                <c:pt idx="5">
                  <c:v>0</c:v>
                </c:pt>
                <c:pt idx="6">
                  <c:v>0</c:v>
                </c:pt>
                <c:pt idx="7">
                  <c:v>14.3</c:v>
                </c:pt>
                <c:pt idx="8">
                  <c:v>15</c:v>
                </c:pt>
                <c:pt idx="9">
                  <c:v>16.399999999999999</c:v>
                </c:pt>
                <c:pt idx="10">
                  <c:v>15.4</c:v>
                </c:pt>
                <c:pt idx="11">
                  <c:v>14.4</c:v>
                </c:pt>
                <c:pt idx="12">
                  <c:v>13.8</c:v>
                </c:pt>
                <c:pt idx="13">
                  <c:v>12.9</c:v>
                </c:pt>
                <c:pt idx="14">
                  <c:v>13.1</c:v>
                </c:pt>
                <c:pt idx="15">
                  <c:v>12.3</c:v>
                </c:pt>
                <c:pt idx="16">
                  <c:v>12.2</c:v>
                </c:pt>
                <c:pt idx="17">
                  <c:v>11.1</c:v>
                </c:pt>
                <c:pt idx="18">
                  <c:v>13</c:v>
                </c:pt>
                <c:pt idx="19">
                  <c:v>18.100000000000001</c:v>
                </c:pt>
                <c:pt idx="20">
                  <c:v>19.5</c:v>
                </c:pt>
                <c:pt idx="21">
                  <c:v>16.600000000000001</c:v>
                </c:pt>
                <c:pt idx="22">
                  <c:v>15.4</c:v>
                </c:pt>
                <c:pt idx="23">
                  <c:v>15.5</c:v>
                </c:pt>
                <c:pt idx="24">
                  <c:v>15.4</c:v>
                </c:pt>
                <c:pt idx="25">
                  <c:v>15.8</c:v>
                </c:pt>
                <c:pt idx="26">
                  <c:v>16.100000000000001</c:v>
                </c:pt>
                <c:pt idx="27">
                  <c:v>15.9</c:v>
                </c:pt>
                <c:pt idx="28">
                  <c:v>15.8</c:v>
                </c:pt>
                <c:pt idx="29">
                  <c:v>16.399999999999999</c:v>
                </c:pt>
              </c:numCache>
            </c:numRef>
          </c:val>
          <c:smooth val="0"/>
        </c:ser>
        <c:ser>
          <c:idx val="20"/>
          <c:order val="20"/>
          <c:tx>
            <c:strRef>
              <c:f>Sayfa1!$V$1</c:f>
              <c:strCache>
                <c:ptCount val="1"/>
                <c:pt idx="0">
                  <c:v>Litvanya</c:v>
                </c:pt>
              </c:strCache>
            </c:strRef>
          </c:tx>
          <c:spPr>
            <a:ln w="28575" cap="rnd">
              <a:solidFill>
                <a:schemeClr val="accent3">
                  <a:lumMod val="8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Sayfa1!$V$2:$V$31</c:f>
              <c:numCache>
                <c:formatCode>General</c:formatCode>
                <c:ptCount val="30"/>
                <c:pt idx="0">
                  <c:v>0</c:v>
                </c:pt>
                <c:pt idx="1">
                  <c:v>0</c:v>
                </c:pt>
                <c:pt idx="2">
                  <c:v>0</c:v>
                </c:pt>
                <c:pt idx="3">
                  <c:v>0</c:v>
                </c:pt>
                <c:pt idx="4">
                  <c:v>0</c:v>
                </c:pt>
                <c:pt idx="5">
                  <c:v>0</c:v>
                </c:pt>
                <c:pt idx="6">
                  <c:v>13.1</c:v>
                </c:pt>
                <c:pt idx="7">
                  <c:v>13.8</c:v>
                </c:pt>
                <c:pt idx="8">
                  <c:v>15</c:v>
                </c:pt>
                <c:pt idx="9">
                  <c:v>16.2</c:v>
                </c:pt>
                <c:pt idx="10">
                  <c:v>15.4</c:v>
                </c:pt>
                <c:pt idx="11">
                  <c:v>14.5</c:v>
                </c:pt>
                <c:pt idx="12">
                  <c:v>14.3</c:v>
                </c:pt>
                <c:pt idx="13">
                  <c:v>14.3</c:v>
                </c:pt>
                <c:pt idx="14">
                  <c:v>13.2</c:v>
                </c:pt>
                <c:pt idx="15">
                  <c:v>13.7</c:v>
                </c:pt>
                <c:pt idx="16">
                  <c:v>13.7</c:v>
                </c:pt>
                <c:pt idx="17">
                  <c:v>14.8</c:v>
                </c:pt>
                <c:pt idx="18">
                  <c:v>16.600000000000001</c:v>
                </c:pt>
                <c:pt idx="19">
                  <c:v>21.8</c:v>
                </c:pt>
                <c:pt idx="20">
                  <c:v>19.5</c:v>
                </c:pt>
                <c:pt idx="21">
                  <c:v>17.399999999999999</c:v>
                </c:pt>
                <c:pt idx="22">
                  <c:v>16.5</c:v>
                </c:pt>
                <c:pt idx="23">
                  <c:v>15.5</c:v>
                </c:pt>
                <c:pt idx="24">
                  <c:v>15.6</c:v>
                </c:pt>
                <c:pt idx="25">
                  <c:v>15.9</c:v>
                </c:pt>
                <c:pt idx="26">
                  <c:v>15.6</c:v>
                </c:pt>
                <c:pt idx="27">
                  <c:v>15.3</c:v>
                </c:pt>
                <c:pt idx="28">
                  <c:v>16.2</c:v>
                </c:pt>
                <c:pt idx="29">
                  <c:v>16.7</c:v>
                </c:pt>
              </c:numCache>
            </c:numRef>
          </c:val>
          <c:smooth val="0"/>
        </c:ser>
        <c:ser>
          <c:idx val="21"/>
          <c:order val="21"/>
          <c:tx>
            <c:strRef>
              <c:f>Sayfa1!$W$1</c:f>
              <c:strCache>
                <c:ptCount val="1"/>
                <c:pt idx="0">
                  <c:v>Lüksemburg</c:v>
                </c:pt>
              </c:strCache>
            </c:strRef>
          </c:tx>
          <c:spPr>
            <a:ln w="28575" cap="rnd">
              <a:solidFill>
                <a:schemeClr val="accent4">
                  <a:lumMod val="8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Sayfa1!$W$2:$W$31</c:f>
              <c:numCache>
                <c:formatCode>General</c:formatCode>
                <c:ptCount val="30"/>
                <c:pt idx="0">
                  <c:v>18.3</c:v>
                </c:pt>
                <c:pt idx="1">
                  <c:v>18.600000000000001</c:v>
                </c:pt>
                <c:pt idx="2">
                  <c:v>19</c:v>
                </c:pt>
                <c:pt idx="3">
                  <c:v>19.3</c:v>
                </c:pt>
                <c:pt idx="4">
                  <c:v>19.100000000000001</c:v>
                </c:pt>
                <c:pt idx="5">
                  <c:v>19.899999999999999</c:v>
                </c:pt>
                <c:pt idx="6">
                  <c:v>19.7</c:v>
                </c:pt>
                <c:pt idx="7">
                  <c:v>19.899999999999999</c:v>
                </c:pt>
                <c:pt idx="8">
                  <c:v>20.2</c:v>
                </c:pt>
                <c:pt idx="9">
                  <c:v>19.5</c:v>
                </c:pt>
                <c:pt idx="10">
                  <c:v>18.7</c:v>
                </c:pt>
                <c:pt idx="11">
                  <c:v>20.399999999999999</c:v>
                </c:pt>
                <c:pt idx="12">
                  <c:v>21.4</c:v>
                </c:pt>
                <c:pt idx="13">
                  <c:v>22.8</c:v>
                </c:pt>
                <c:pt idx="14">
                  <c:v>23.1</c:v>
                </c:pt>
                <c:pt idx="15">
                  <c:v>22.8</c:v>
                </c:pt>
                <c:pt idx="16">
                  <c:v>21.4</c:v>
                </c:pt>
                <c:pt idx="17">
                  <c:v>20.2</c:v>
                </c:pt>
                <c:pt idx="18">
                  <c:v>21.9</c:v>
                </c:pt>
                <c:pt idx="19">
                  <c:v>24</c:v>
                </c:pt>
                <c:pt idx="20">
                  <c:v>23.1</c:v>
                </c:pt>
                <c:pt idx="21">
                  <c:v>21.2</c:v>
                </c:pt>
                <c:pt idx="22">
                  <c:v>22.1</c:v>
                </c:pt>
                <c:pt idx="23">
                  <c:v>22.3</c:v>
                </c:pt>
                <c:pt idx="24">
                  <c:v>21.9</c:v>
                </c:pt>
                <c:pt idx="25">
                  <c:v>21.6</c:v>
                </c:pt>
                <c:pt idx="26">
                  <c:v>21</c:v>
                </c:pt>
                <c:pt idx="27">
                  <c:v>21.5</c:v>
                </c:pt>
                <c:pt idx="28">
                  <c:v>21.5</c:v>
                </c:pt>
                <c:pt idx="29">
                  <c:v>21.6</c:v>
                </c:pt>
              </c:numCache>
            </c:numRef>
          </c:val>
          <c:smooth val="0"/>
        </c:ser>
        <c:ser>
          <c:idx val="22"/>
          <c:order val="22"/>
          <c:tx>
            <c:strRef>
              <c:f>Sayfa1!$X$1</c:f>
              <c:strCache>
                <c:ptCount val="1"/>
                <c:pt idx="0">
                  <c:v>Meksika</c:v>
                </c:pt>
              </c:strCache>
            </c:strRef>
          </c:tx>
          <c:spPr>
            <a:ln w="28575" cap="rnd">
              <a:solidFill>
                <a:schemeClr val="accent5">
                  <a:lumMod val="8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Sayfa1!$X$2:$X$31</c:f>
              <c:numCache>
                <c:formatCode>General</c:formatCode>
                <c:ptCount val="30"/>
                <c:pt idx="0">
                  <c:v>3.1</c:v>
                </c:pt>
                <c:pt idx="1">
                  <c:v>3.5</c:v>
                </c:pt>
                <c:pt idx="2">
                  <c:v>3.9</c:v>
                </c:pt>
                <c:pt idx="3">
                  <c:v>3.8</c:v>
                </c:pt>
                <c:pt idx="4">
                  <c:v>4.0999999999999996</c:v>
                </c:pt>
                <c:pt idx="5">
                  <c:v>3.7</c:v>
                </c:pt>
                <c:pt idx="6">
                  <c:v>3.4</c:v>
                </c:pt>
                <c:pt idx="7">
                  <c:v>3.4</c:v>
                </c:pt>
                <c:pt idx="8">
                  <c:v>3.8</c:v>
                </c:pt>
                <c:pt idx="9">
                  <c:v>4.3</c:v>
                </c:pt>
                <c:pt idx="10">
                  <c:v>4.4000000000000004</c:v>
                </c:pt>
                <c:pt idx="11">
                  <c:v>5</c:v>
                </c:pt>
                <c:pt idx="12">
                  <c:v>5.3</c:v>
                </c:pt>
                <c:pt idx="13">
                  <c:v>6</c:v>
                </c:pt>
                <c:pt idx="14">
                  <c:v>6</c:v>
                </c:pt>
                <c:pt idx="15">
                  <c:v>6.1</c:v>
                </c:pt>
                <c:pt idx="16">
                  <c:v>6.3</c:v>
                </c:pt>
                <c:pt idx="17">
                  <c:v>6.3</c:v>
                </c:pt>
                <c:pt idx="18">
                  <c:v>6.7</c:v>
                </c:pt>
                <c:pt idx="19">
                  <c:v>7.3</c:v>
                </c:pt>
                <c:pt idx="20">
                  <c:v>7.4</c:v>
                </c:pt>
                <c:pt idx="21">
                  <c:v>7.2</c:v>
                </c:pt>
                <c:pt idx="22">
                  <c:v>7.2</c:v>
                </c:pt>
                <c:pt idx="23">
                  <c:v>7.6</c:v>
                </c:pt>
                <c:pt idx="24">
                  <c:v>7.6</c:v>
                </c:pt>
                <c:pt idx="25">
                  <c:v>7.7</c:v>
                </c:pt>
                <c:pt idx="26">
                  <c:v>7.5</c:v>
                </c:pt>
                <c:pt idx="27">
                  <c:v>7.5</c:v>
                </c:pt>
                <c:pt idx="28">
                  <c:v>7.2</c:v>
                </c:pt>
                <c:pt idx="29">
                  <c:v>7.5</c:v>
                </c:pt>
              </c:numCache>
            </c:numRef>
          </c:val>
          <c:smooth val="0"/>
        </c:ser>
        <c:ser>
          <c:idx val="23"/>
          <c:order val="23"/>
          <c:tx>
            <c:strRef>
              <c:f>Sayfa1!$Y$1</c:f>
              <c:strCache>
                <c:ptCount val="1"/>
                <c:pt idx="0">
                  <c:v>Hollanda</c:v>
                </c:pt>
              </c:strCache>
            </c:strRef>
          </c:tx>
          <c:spPr>
            <a:ln w="28575" cap="rnd">
              <a:solidFill>
                <a:schemeClr val="accent6">
                  <a:lumMod val="8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Sayfa1!$Y$2:$Y$31</c:f>
              <c:numCache>
                <c:formatCode>General</c:formatCode>
                <c:ptCount val="30"/>
                <c:pt idx="0">
                  <c:v>23.7</c:v>
                </c:pt>
                <c:pt idx="1">
                  <c:v>23.6</c:v>
                </c:pt>
                <c:pt idx="2">
                  <c:v>24.1</c:v>
                </c:pt>
                <c:pt idx="3">
                  <c:v>24.2</c:v>
                </c:pt>
                <c:pt idx="4">
                  <c:v>22.8</c:v>
                </c:pt>
                <c:pt idx="5">
                  <c:v>22.1</c:v>
                </c:pt>
                <c:pt idx="6">
                  <c:v>21</c:v>
                </c:pt>
                <c:pt idx="7">
                  <c:v>20.3</c:v>
                </c:pt>
                <c:pt idx="8">
                  <c:v>20.3</c:v>
                </c:pt>
                <c:pt idx="9">
                  <c:v>19.600000000000001</c:v>
                </c:pt>
                <c:pt idx="10">
                  <c:v>19</c:v>
                </c:pt>
                <c:pt idx="11">
                  <c:v>19.100000000000001</c:v>
                </c:pt>
                <c:pt idx="12">
                  <c:v>19.899999999999999</c:v>
                </c:pt>
                <c:pt idx="13">
                  <c:v>20.6</c:v>
                </c:pt>
                <c:pt idx="14">
                  <c:v>20.399999999999999</c:v>
                </c:pt>
                <c:pt idx="15">
                  <c:v>19.899999999999999</c:v>
                </c:pt>
                <c:pt idx="16">
                  <c:v>16.399999999999999</c:v>
                </c:pt>
                <c:pt idx="17">
                  <c:v>15.7</c:v>
                </c:pt>
                <c:pt idx="18">
                  <c:v>15.5</c:v>
                </c:pt>
                <c:pt idx="19">
                  <c:v>17.100000000000001</c:v>
                </c:pt>
                <c:pt idx="20">
                  <c:v>17.5</c:v>
                </c:pt>
                <c:pt idx="21">
                  <c:v>17.5</c:v>
                </c:pt>
                <c:pt idx="22">
                  <c:v>17.899999999999999</c:v>
                </c:pt>
                <c:pt idx="23">
                  <c:v>18.100000000000001</c:v>
                </c:pt>
                <c:pt idx="24">
                  <c:v>17.899999999999999</c:v>
                </c:pt>
                <c:pt idx="25">
                  <c:v>17.600000000000001</c:v>
                </c:pt>
                <c:pt idx="26">
                  <c:v>17.5</c:v>
                </c:pt>
                <c:pt idx="27">
                  <c:v>16.600000000000001</c:v>
                </c:pt>
                <c:pt idx="28">
                  <c:v>16.2</c:v>
                </c:pt>
                <c:pt idx="29">
                  <c:v>16.100000000000001</c:v>
                </c:pt>
              </c:numCache>
            </c:numRef>
          </c:val>
          <c:smooth val="0"/>
        </c:ser>
        <c:ser>
          <c:idx val="24"/>
          <c:order val="24"/>
          <c:tx>
            <c:strRef>
              <c:f>Sayfa1!$Z$1</c:f>
              <c:strCache>
                <c:ptCount val="1"/>
                <c:pt idx="0">
                  <c:v>Yeni Zellanda</c:v>
                </c:pt>
              </c:strCache>
            </c:strRef>
          </c:tx>
          <c:spPr>
            <a:ln w="28575" cap="rnd">
              <a:solidFill>
                <a:schemeClr val="accent1">
                  <a:lumMod val="60000"/>
                  <a:lumOff val="4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Sayfa1!$Z$2:$Z$31</c:f>
              <c:numCache>
                <c:formatCode>General</c:formatCode>
                <c:ptCount val="30"/>
                <c:pt idx="0">
                  <c:v>20.399999999999999</c:v>
                </c:pt>
                <c:pt idx="1">
                  <c:v>20.8</c:v>
                </c:pt>
                <c:pt idx="2">
                  <c:v>20.5</c:v>
                </c:pt>
                <c:pt idx="3">
                  <c:v>19</c:v>
                </c:pt>
                <c:pt idx="4">
                  <c:v>18.399999999999999</c:v>
                </c:pt>
                <c:pt idx="5">
                  <c:v>17.8</c:v>
                </c:pt>
                <c:pt idx="6">
                  <c:v>17.8</c:v>
                </c:pt>
                <c:pt idx="7">
                  <c:v>18.7</c:v>
                </c:pt>
                <c:pt idx="8">
                  <c:v>19.3</c:v>
                </c:pt>
                <c:pt idx="9">
                  <c:v>18.600000000000001</c:v>
                </c:pt>
                <c:pt idx="10">
                  <c:v>18.399999999999999</c:v>
                </c:pt>
                <c:pt idx="11">
                  <c:v>17.8</c:v>
                </c:pt>
                <c:pt idx="12">
                  <c:v>18.2</c:v>
                </c:pt>
                <c:pt idx="13">
                  <c:v>17.7</c:v>
                </c:pt>
                <c:pt idx="14">
                  <c:v>17.399999999999999</c:v>
                </c:pt>
                <c:pt idx="15">
                  <c:v>18</c:v>
                </c:pt>
                <c:pt idx="16">
                  <c:v>18.7</c:v>
                </c:pt>
                <c:pt idx="17">
                  <c:v>18.5</c:v>
                </c:pt>
                <c:pt idx="18">
                  <c:v>19.8</c:v>
                </c:pt>
                <c:pt idx="19">
                  <c:v>20.9</c:v>
                </c:pt>
                <c:pt idx="20">
                  <c:v>20.6</c:v>
                </c:pt>
                <c:pt idx="21">
                  <c:v>20.2</c:v>
                </c:pt>
                <c:pt idx="22">
                  <c:v>20.399999999999999</c:v>
                </c:pt>
                <c:pt idx="23">
                  <c:v>19.7</c:v>
                </c:pt>
                <c:pt idx="24">
                  <c:v>19.7</c:v>
                </c:pt>
                <c:pt idx="25">
                  <c:v>19.399999999999999</c:v>
                </c:pt>
                <c:pt idx="26">
                  <c:v>19</c:v>
                </c:pt>
                <c:pt idx="27">
                  <c:v>18.600000000000001</c:v>
                </c:pt>
                <c:pt idx="28">
                  <c:v>19.399999999999999</c:v>
                </c:pt>
                <c:pt idx="29">
                  <c:v>0</c:v>
                </c:pt>
              </c:numCache>
            </c:numRef>
          </c:val>
          <c:smooth val="0"/>
        </c:ser>
        <c:ser>
          <c:idx val="25"/>
          <c:order val="25"/>
          <c:tx>
            <c:strRef>
              <c:f>Sayfa1!$AA$1</c:f>
              <c:strCache>
                <c:ptCount val="1"/>
                <c:pt idx="0">
                  <c:v>Norveç</c:v>
                </c:pt>
              </c:strCache>
            </c:strRef>
          </c:tx>
          <c:spPr>
            <a:ln w="28575" cap="rnd">
              <a:solidFill>
                <a:schemeClr val="accent2">
                  <a:lumMod val="60000"/>
                  <a:lumOff val="4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Sayfa1!$AA$2:$AA$31</c:f>
              <c:numCache>
                <c:formatCode>General</c:formatCode>
                <c:ptCount val="30"/>
                <c:pt idx="0">
                  <c:v>21.6</c:v>
                </c:pt>
                <c:pt idx="1">
                  <c:v>22.5</c:v>
                </c:pt>
                <c:pt idx="2">
                  <c:v>23.3</c:v>
                </c:pt>
                <c:pt idx="3">
                  <c:v>23.3</c:v>
                </c:pt>
                <c:pt idx="4">
                  <c:v>23.1</c:v>
                </c:pt>
                <c:pt idx="5">
                  <c:v>22.5</c:v>
                </c:pt>
                <c:pt idx="6">
                  <c:v>21.7</c:v>
                </c:pt>
                <c:pt idx="7">
                  <c:v>21.2</c:v>
                </c:pt>
                <c:pt idx="8">
                  <c:v>22.6</c:v>
                </c:pt>
                <c:pt idx="9">
                  <c:v>22.6</c:v>
                </c:pt>
                <c:pt idx="10">
                  <c:v>20.399999999999999</c:v>
                </c:pt>
                <c:pt idx="11">
                  <c:v>21.2</c:v>
                </c:pt>
                <c:pt idx="12">
                  <c:v>22.7</c:v>
                </c:pt>
                <c:pt idx="13">
                  <c:v>23.6</c:v>
                </c:pt>
                <c:pt idx="14">
                  <c:v>22.3</c:v>
                </c:pt>
                <c:pt idx="15">
                  <c:v>20.7</c:v>
                </c:pt>
                <c:pt idx="16">
                  <c:v>19.5</c:v>
                </c:pt>
                <c:pt idx="17">
                  <c:v>19.600000000000001</c:v>
                </c:pt>
                <c:pt idx="18">
                  <c:v>19.3</c:v>
                </c:pt>
                <c:pt idx="19">
                  <c:v>22.5</c:v>
                </c:pt>
                <c:pt idx="20">
                  <c:v>22.1</c:v>
                </c:pt>
                <c:pt idx="21">
                  <c:v>21.6</c:v>
                </c:pt>
                <c:pt idx="22">
                  <c:v>21.5</c:v>
                </c:pt>
                <c:pt idx="23">
                  <c:v>22</c:v>
                </c:pt>
                <c:pt idx="24">
                  <c:v>22.9</c:v>
                </c:pt>
                <c:pt idx="25">
                  <c:v>24.8</c:v>
                </c:pt>
                <c:pt idx="26">
                  <c:v>26</c:v>
                </c:pt>
                <c:pt idx="27">
                  <c:v>25.2</c:v>
                </c:pt>
                <c:pt idx="28">
                  <c:v>24.4</c:v>
                </c:pt>
                <c:pt idx="29">
                  <c:v>25.3</c:v>
                </c:pt>
              </c:numCache>
            </c:numRef>
          </c:val>
          <c:smooth val="0"/>
        </c:ser>
        <c:ser>
          <c:idx val="26"/>
          <c:order val="26"/>
          <c:tx>
            <c:strRef>
              <c:f>Sayfa1!$AB$1</c:f>
              <c:strCache>
                <c:ptCount val="1"/>
                <c:pt idx="0">
                  <c:v>OECD</c:v>
                </c:pt>
              </c:strCache>
            </c:strRef>
          </c:tx>
          <c:spPr>
            <a:ln w="28575" cap="rnd">
              <a:solidFill>
                <a:schemeClr val="accent3">
                  <a:lumMod val="60000"/>
                  <a:lumOff val="4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Sayfa1!$AB$2:$AB$31</c:f>
              <c:numCache>
                <c:formatCode>General</c:formatCode>
                <c:ptCount val="30"/>
                <c:pt idx="0">
                  <c:v>16.5</c:v>
                </c:pt>
                <c:pt idx="1">
                  <c:v>17.399999999999999</c:v>
                </c:pt>
                <c:pt idx="2">
                  <c:v>18.2</c:v>
                </c:pt>
                <c:pt idx="3">
                  <c:v>18.7</c:v>
                </c:pt>
                <c:pt idx="4">
                  <c:v>18.399999999999999</c:v>
                </c:pt>
                <c:pt idx="5">
                  <c:v>18.2</c:v>
                </c:pt>
                <c:pt idx="6">
                  <c:v>18.100000000000001</c:v>
                </c:pt>
                <c:pt idx="7">
                  <c:v>17.8</c:v>
                </c:pt>
                <c:pt idx="8">
                  <c:v>17.899999999999999</c:v>
                </c:pt>
                <c:pt idx="9">
                  <c:v>17.8</c:v>
                </c:pt>
                <c:pt idx="10">
                  <c:v>17.5</c:v>
                </c:pt>
                <c:pt idx="11">
                  <c:v>17.7</c:v>
                </c:pt>
                <c:pt idx="12">
                  <c:v>18.2</c:v>
                </c:pt>
                <c:pt idx="13">
                  <c:v>18.5</c:v>
                </c:pt>
                <c:pt idx="14">
                  <c:v>18.3</c:v>
                </c:pt>
                <c:pt idx="15">
                  <c:v>18.3</c:v>
                </c:pt>
                <c:pt idx="16">
                  <c:v>18</c:v>
                </c:pt>
                <c:pt idx="17">
                  <c:v>17.8</c:v>
                </c:pt>
                <c:pt idx="18">
                  <c:v>18.5</c:v>
                </c:pt>
                <c:pt idx="19">
                  <c:v>20.8</c:v>
                </c:pt>
                <c:pt idx="20">
                  <c:v>20.6</c:v>
                </c:pt>
                <c:pt idx="21">
                  <c:v>20.2</c:v>
                </c:pt>
                <c:pt idx="22">
                  <c:v>20.3</c:v>
                </c:pt>
                <c:pt idx="23">
                  <c:v>20.399999999999999</c:v>
                </c:pt>
                <c:pt idx="24">
                  <c:v>20.3</c:v>
                </c:pt>
                <c:pt idx="25">
                  <c:v>20.2</c:v>
                </c:pt>
                <c:pt idx="26">
                  <c:v>20.2</c:v>
                </c:pt>
                <c:pt idx="27">
                  <c:v>19.899999999999999</c:v>
                </c:pt>
                <c:pt idx="28">
                  <c:v>19.8</c:v>
                </c:pt>
                <c:pt idx="29">
                  <c:v>20</c:v>
                </c:pt>
              </c:numCache>
            </c:numRef>
          </c:val>
          <c:smooth val="0"/>
        </c:ser>
        <c:ser>
          <c:idx val="27"/>
          <c:order val="27"/>
          <c:tx>
            <c:strRef>
              <c:f>Sayfa1!$AC$1</c:f>
              <c:strCache>
                <c:ptCount val="1"/>
                <c:pt idx="0">
                  <c:v>Polanya</c:v>
                </c:pt>
              </c:strCache>
            </c:strRef>
          </c:tx>
          <c:spPr>
            <a:ln w="28575" cap="rnd">
              <a:solidFill>
                <a:schemeClr val="accent4">
                  <a:lumMod val="60000"/>
                  <a:lumOff val="4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Sayfa1!$AC$2:$AC$31</c:f>
              <c:numCache>
                <c:formatCode>General</c:formatCode>
                <c:ptCount val="30"/>
                <c:pt idx="0">
                  <c:v>14.2</c:v>
                </c:pt>
                <c:pt idx="1">
                  <c:v>20.5</c:v>
                </c:pt>
                <c:pt idx="2">
                  <c:v>24.1</c:v>
                </c:pt>
                <c:pt idx="3">
                  <c:v>23.6</c:v>
                </c:pt>
                <c:pt idx="4">
                  <c:v>22.5</c:v>
                </c:pt>
                <c:pt idx="5">
                  <c:v>21.8</c:v>
                </c:pt>
                <c:pt idx="6">
                  <c:v>22</c:v>
                </c:pt>
                <c:pt idx="7">
                  <c:v>21.5</c:v>
                </c:pt>
                <c:pt idx="8">
                  <c:v>20.8</c:v>
                </c:pt>
                <c:pt idx="9">
                  <c:v>21.2</c:v>
                </c:pt>
                <c:pt idx="10">
                  <c:v>20.2</c:v>
                </c:pt>
                <c:pt idx="11">
                  <c:v>21.7</c:v>
                </c:pt>
                <c:pt idx="12">
                  <c:v>21.9</c:v>
                </c:pt>
                <c:pt idx="13">
                  <c:v>22</c:v>
                </c:pt>
                <c:pt idx="14">
                  <c:v>21.2</c:v>
                </c:pt>
                <c:pt idx="15">
                  <c:v>20.9</c:v>
                </c:pt>
                <c:pt idx="16">
                  <c:v>20.6</c:v>
                </c:pt>
                <c:pt idx="17">
                  <c:v>19.5</c:v>
                </c:pt>
                <c:pt idx="18">
                  <c:v>20.2</c:v>
                </c:pt>
                <c:pt idx="19">
                  <c:v>21.3</c:v>
                </c:pt>
                <c:pt idx="20">
                  <c:v>20.7</c:v>
                </c:pt>
                <c:pt idx="21">
                  <c:v>19.600000000000001</c:v>
                </c:pt>
                <c:pt idx="22">
                  <c:v>19.8</c:v>
                </c:pt>
                <c:pt idx="23">
                  <c:v>20.5</c:v>
                </c:pt>
                <c:pt idx="24">
                  <c:v>20.2</c:v>
                </c:pt>
                <c:pt idx="25">
                  <c:v>20.2</c:v>
                </c:pt>
                <c:pt idx="26">
                  <c:v>21.2</c:v>
                </c:pt>
                <c:pt idx="27">
                  <c:v>20.8</c:v>
                </c:pt>
                <c:pt idx="28">
                  <c:v>20.6</c:v>
                </c:pt>
                <c:pt idx="29">
                  <c:v>21.3</c:v>
                </c:pt>
              </c:numCache>
            </c:numRef>
          </c:val>
          <c:smooth val="0"/>
        </c:ser>
        <c:ser>
          <c:idx val="28"/>
          <c:order val="28"/>
          <c:tx>
            <c:strRef>
              <c:f>Sayfa1!$AD$1</c:f>
              <c:strCache>
                <c:ptCount val="1"/>
                <c:pt idx="0">
                  <c:v>Portekiz</c:v>
                </c:pt>
              </c:strCache>
            </c:strRef>
          </c:tx>
          <c:spPr>
            <a:ln w="28575" cap="rnd">
              <a:solidFill>
                <a:schemeClr val="accent5">
                  <a:lumMod val="60000"/>
                  <a:lumOff val="4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Sayfa1!$AD$2:$AD$31</c:f>
              <c:numCache>
                <c:formatCode>General</c:formatCode>
                <c:ptCount val="30"/>
                <c:pt idx="0">
                  <c:v>12.2</c:v>
                </c:pt>
                <c:pt idx="1">
                  <c:v>13.1</c:v>
                </c:pt>
                <c:pt idx="2">
                  <c:v>13.8</c:v>
                </c:pt>
                <c:pt idx="3">
                  <c:v>15.1</c:v>
                </c:pt>
                <c:pt idx="4">
                  <c:v>15.2</c:v>
                </c:pt>
                <c:pt idx="5">
                  <c:v>16</c:v>
                </c:pt>
                <c:pt idx="6">
                  <c:v>16.600000000000001</c:v>
                </c:pt>
                <c:pt idx="7">
                  <c:v>16.399999999999999</c:v>
                </c:pt>
                <c:pt idx="8">
                  <c:v>16.8</c:v>
                </c:pt>
                <c:pt idx="9">
                  <c:v>17.2</c:v>
                </c:pt>
                <c:pt idx="10">
                  <c:v>18.5</c:v>
                </c:pt>
                <c:pt idx="11">
                  <c:v>19</c:v>
                </c:pt>
                <c:pt idx="12">
                  <c:v>20.3</c:v>
                </c:pt>
                <c:pt idx="13">
                  <c:v>21.3</c:v>
                </c:pt>
                <c:pt idx="14">
                  <c:v>21.7</c:v>
                </c:pt>
                <c:pt idx="15">
                  <c:v>22.3</c:v>
                </c:pt>
                <c:pt idx="16">
                  <c:v>22</c:v>
                </c:pt>
                <c:pt idx="17">
                  <c:v>21.7</c:v>
                </c:pt>
                <c:pt idx="18">
                  <c:v>22.2</c:v>
                </c:pt>
                <c:pt idx="19">
                  <c:v>24.6</c:v>
                </c:pt>
                <c:pt idx="20">
                  <c:v>24.5</c:v>
                </c:pt>
                <c:pt idx="21">
                  <c:v>24.4</c:v>
                </c:pt>
                <c:pt idx="22">
                  <c:v>24.5</c:v>
                </c:pt>
                <c:pt idx="23">
                  <c:v>25.5</c:v>
                </c:pt>
                <c:pt idx="24">
                  <c:v>25.1</c:v>
                </c:pt>
                <c:pt idx="25">
                  <c:v>24</c:v>
                </c:pt>
                <c:pt idx="26">
                  <c:v>23.4</c:v>
                </c:pt>
                <c:pt idx="27">
                  <c:v>22.7</c:v>
                </c:pt>
                <c:pt idx="28">
                  <c:v>22.5</c:v>
                </c:pt>
                <c:pt idx="29">
                  <c:v>22.6</c:v>
                </c:pt>
              </c:numCache>
            </c:numRef>
          </c:val>
          <c:smooth val="0"/>
        </c:ser>
        <c:ser>
          <c:idx val="29"/>
          <c:order val="29"/>
          <c:tx>
            <c:strRef>
              <c:f>Sayfa1!$AE$1</c:f>
              <c:strCache>
                <c:ptCount val="1"/>
                <c:pt idx="0">
                  <c:v>Slovak Cumhuriyeti</c:v>
                </c:pt>
              </c:strCache>
            </c:strRef>
          </c:tx>
          <c:spPr>
            <a:ln w="28575" cap="rnd">
              <a:solidFill>
                <a:schemeClr val="accent6">
                  <a:lumMod val="60000"/>
                  <a:lumOff val="4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Sayfa1!$AE$2:$AE$31</c:f>
              <c:numCache>
                <c:formatCode>General</c:formatCode>
                <c:ptCount val="30"/>
                <c:pt idx="0">
                  <c:v>0</c:v>
                </c:pt>
                <c:pt idx="1">
                  <c:v>0</c:v>
                </c:pt>
                <c:pt idx="2">
                  <c:v>0</c:v>
                </c:pt>
                <c:pt idx="3">
                  <c:v>0</c:v>
                </c:pt>
                <c:pt idx="4">
                  <c:v>0</c:v>
                </c:pt>
                <c:pt idx="5">
                  <c:v>18.2</c:v>
                </c:pt>
                <c:pt idx="6">
                  <c:v>17.899999999999999</c:v>
                </c:pt>
                <c:pt idx="7">
                  <c:v>17.5</c:v>
                </c:pt>
                <c:pt idx="8">
                  <c:v>17.600000000000001</c:v>
                </c:pt>
                <c:pt idx="9">
                  <c:v>18.100000000000001</c:v>
                </c:pt>
                <c:pt idx="10">
                  <c:v>17.5</c:v>
                </c:pt>
                <c:pt idx="11">
                  <c:v>17.2</c:v>
                </c:pt>
                <c:pt idx="12">
                  <c:v>17.3</c:v>
                </c:pt>
                <c:pt idx="13">
                  <c:v>16.600000000000001</c:v>
                </c:pt>
                <c:pt idx="14">
                  <c:v>15.8</c:v>
                </c:pt>
                <c:pt idx="15">
                  <c:v>15.3</c:v>
                </c:pt>
                <c:pt idx="16">
                  <c:v>15</c:v>
                </c:pt>
                <c:pt idx="17">
                  <c:v>14.8</c:v>
                </c:pt>
                <c:pt idx="18">
                  <c:v>14.9</c:v>
                </c:pt>
                <c:pt idx="19">
                  <c:v>17.7</c:v>
                </c:pt>
                <c:pt idx="20">
                  <c:v>17.399999999999999</c:v>
                </c:pt>
                <c:pt idx="21">
                  <c:v>17.100000000000001</c:v>
                </c:pt>
                <c:pt idx="22">
                  <c:v>17.2</c:v>
                </c:pt>
                <c:pt idx="23">
                  <c:v>17.600000000000001</c:v>
                </c:pt>
                <c:pt idx="24">
                  <c:v>17.7</c:v>
                </c:pt>
                <c:pt idx="25">
                  <c:v>17.2</c:v>
                </c:pt>
                <c:pt idx="26">
                  <c:v>17.600000000000001</c:v>
                </c:pt>
                <c:pt idx="27">
                  <c:v>17.5</c:v>
                </c:pt>
                <c:pt idx="28">
                  <c:v>17.2</c:v>
                </c:pt>
                <c:pt idx="29">
                  <c:v>17.7</c:v>
                </c:pt>
              </c:numCache>
            </c:numRef>
          </c:val>
          <c:smooth val="0"/>
        </c:ser>
        <c:ser>
          <c:idx val="30"/>
          <c:order val="30"/>
          <c:tx>
            <c:strRef>
              <c:f>Sayfa1!$AF$1</c:f>
              <c:strCache>
                <c:ptCount val="1"/>
                <c:pt idx="0">
                  <c:v>Slovenya</c:v>
                </c:pt>
              </c:strCache>
            </c:strRef>
          </c:tx>
          <c:spPr>
            <a:ln w="28575" cap="rnd">
              <a:solidFill>
                <a:schemeClr val="accent1">
                  <a:lumMod val="5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Sayfa1!$AF$2:$AF$31</c:f>
              <c:numCache>
                <c:formatCode>General</c:formatCode>
                <c:ptCount val="30"/>
                <c:pt idx="0">
                  <c:v>0</c:v>
                </c:pt>
                <c:pt idx="1">
                  <c:v>0</c:v>
                </c:pt>
                <c:pt idx="2">
                  <c:v>0</c:v>
                </c:pt>
                <c:pt idx="3">
                  <c:v>0</c:v>
                </c:pt>
                <c:pt idx="4">
                  <c:v>0</c:v>
                </c:pt>
                <c:pt idx="5">
                  <c:v>5.7</c:v>
                </c:pt>
                <c:pt idx="6">
                  <c:v>21.9</c:v>
                </c:pt>
                <c:pt idx="7">
                  <c:v>22.3</c:v>
                </c:pt>
                <c:pt idx="8">
                  <c:v>22.3</c:v>
                </c:pt>
                <c:pt idx="9">
                  <c:v>22.3</c:v>
                </c:pt>
                <c:pt idx="10">
                  <c:v>22.1</c:v>
                </c:pt>
                <c:pt idx="11">
                  <c:v>22</c:v>
                </c:pt>
                <c:pt idx="12">
                  <c:v>22.3</c:v>
                </c:pt>
                <c:pt idx="13">
                  <c:v>21.9</c:v>
                </c:pt>
                <c:pt idx="14">
                  <c:v>21.6</c:v>
                </c:pt>
                <c:pt idx="15">
                  <c:v>21.5</c:v>
                </c:pt>
                <c:pt idx="16">
                  <c:v>21.1</c:v>
                </c:pt>
                <c:pt idx="17">
                  <c:v>19.8</c:v>
                </c:pt>
                <c:pt idx="18">
                  <c:v>19.899999999999999</c:v>
                </c:pt>
                <c:pt idx="19">
                  <c:v>22.4</c:v>
                </c:pt>
                <c:pt idx="20">
                  <c:v>23.4</c:v>
                </c:pt>
                <c:pt idx="21">
                  <c:v>23.4</c:v>
                </c:pt>
                <c:pt idx="22">
                  <c:v>23.5</c:v>
                </c:pt>
                <c:pt idx="23">
                  <c:v>23.8</c:v>
                </c:pt>
                <c:pt idx="24">
                  <c:v>23.1</c:v>
                </c:pt>
                <c:pt idx="25">
                  <c:v>22.7</c:v>
                </c:pt>
                <c:pt idx="26">
                  <c:v>22.3</c:v>
                </c:pt>
                <c:pt idx="27">
                  <c:v>21.5</c:v>
                </c:pt>
                <c:pt idx="28">
                  <c:v>21</c:v>
                </c:pt>
                <c:pt idx="29">
                  <c:v>21.1</c:v>
                </c:pt>
              </c:numCache>
            </c:numRef>
          </c:val>
          <c:smooth val="0"/>
        </c:ser>
        <c:ser>
          <c:idx val="31"/>
          <c:order val="31"/>
          <c:tx>
            <c:strRef>
              <c:f>Sayfa1!$AG$1</c:f>
              <c:strCache>
                <c:ptCount val="1"/>
                <c:pt idx="0">
                  <c:v>İspanya</c:v>
                </c:pt>
              </c:strCache>
            </c:strRef>
          </c:tx>
          <c:spPr>
            <a:ln w="28575" cap="rnd">
              <a:solidFill>
                <a:schemeClr val="accent2">
                  <a:lumMod val="5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Sayfa1!$AG$2:$AG$31</c:f>
              <c:numCache>
                <c:formatCode>General</c:formatCode>
                <c:ptCount val="30"/>
                <c:pt idx="0">
                  <c:v>19.100000000000001</c:v>
                </c:pt>
                <c:pt idx="1">
                  <c:v>19.899999999999999</c:v>
                </c:pt>
                <c:pt idx="2">
                  <c:v>21</c:v>
                </c:pt>
                <c:pt idx="3">
                  <c:v>22.3</c:v>
                </c:pt>
                <c:pt idx="4">
                  <c:v>21.3</c:v>
                </c:pt>
                <c:pt idx="5">
                  <c:v>20.6</c:v>
                </c:pt>
                <c:pt idx="6">
                  <c:v>20.5</c:v>
                </c:pt>
                <c:pt idx="7">
                  <c:v>20</c:v>
                </c:pt>
                <c:pt idx="8">
                  <c:v>19.899999999999999</c:v>
                </c:pt>
                <c:pt idx="9">
                  <c:v>19.7</c:v>
                </c:pt>
                <c:pt idx="10">
                  <c:v>19.5</c:v>
                </c:pt>
                <c:pt idx="11">
                  <c:v>19.100000000000001</c:v>
                </c:pt>
                <c:pt idx="12">
                  <c:v>19.399999999999999</c:v>
                </c:pt>
                <c:pt idx="13">
                  <c:v>20</c:v>
                </c:pt>
                <c:pt idx="14">
                  <c:v>20.2</c:v>
                </c:pt>
                <c:pt idx="15">
                  <c:v>20.5</c:v>
                </c:pt>
                <c:pt idx="16">
                  <c:v>20.5</c:v>
                </c:pt>
                <c:pt idx="17">
                  <c:v>20.9</c:v>
                </c:pt>
                <c:pt idx="18">
                  <c:v>22.3</c:v>
                </c:pt>
                <c:pt idx="19">
                  <c:v>25.6</c:v>
                </c:pt>
                <c:pt idx="20">
                  <c:v>24.9</c:v>
                </c:pt>
                <c:pt idx="21">
                  <c:v>25.5</c:v>
                </c:pt>
                <c:pt idx="22">
                  <c:v>25.5</c:v>
                </c:pt>
                <c:pt idx="23">
                  <c:v>25.7</c:v>
                </c:pt>
                <c:pt idx="24">
                  <c:v>25.4</c:v>
                </c:pt>
                <c:pt idx="25">
                  <c:v>24.7</c:v>
                </c:pt>
                <c:pt idx="26">
                  <c:v>24.2</c:v>
                </c:pt>
                <c:pt idx="27">
                  <c:v>23.9</c:v>
                </c:pt>
                <c:pt idx="28">
                  <c:v>24.2</c:v>
                </c:pt>
                <c:pt idx="29">
                  <c:v>24.7</c:v>
                </c:pt>
              </c:numCache>
            </c:numRef>
          </c:val>
          <c:smooth val="0"/>
        </c:ser>
        <c:ser>
          <c:idx val="32"/>
          <c:order val="32"/>
          <c:tx>
            <c:strRef>
              <c:f>Sayfa1!$AH$1</c:f>
              <c:strCache>
                <c:ptCount val="1"/>
                <c:pt idx="0">
                  <c:v>İsveç</c:v>
                </c:pt>
              </c:strCache>
            </c:strRef>
          </c:tx>
          <c:spPr>
            <a:ln w="28575" cap="rnd">
              <a:solidFill>
                <a:schemeClr val="accent3">
                  <a:lumMod val="5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Sayfa1!$AH$2:$AH$31</c:f>
              <c:numCache>
                <c:formatCode>General</c:formatCode>
                <c:ptCount val="30"/>
                <c:pt idx="0">
                  <c:v>26.9</c:v>
                </c:pt>
                <c:pt idx="1">
                  <c:v>28.7</c:v>
                </c:pt>
                <c:pt idx="2">
                  <c:v>32.200000000000003</c:v>
                </c:pt>
                <c:pt idx="3">
                  <c:v>33.700000000000003</c:v>
                </c:pt>
                <c:pt idx="4">
                  <c:v>32.5</c:v>
                </c:pt>
                <c:pt idx="5">
                  <c:v>30.2</c:v>
                </c:pt>
                <c:pt idx="6">
                  <c:v>29.7</c:v>
                </c:pt>
                <c:pt idx="7">
                  <c:v>28.5</c:v>
                </c:pt>
                <c:pt idx="8">
                  <c:v>28.2</c:v>
                </c:pt>
                <c:pt idx="9">
                  <c:v>27.7</c:v>
                </c:pt>
                <c:pt idx="10">
                  <c:v>26.5</c:v>
                </c:pt>
                <c:pt idx="11">
                  <c:v>26.6</c:v>
                </c:pt>
                <c:pt idx="12">
                  <c:v>27.3</c:v>
                </c:pt>
                <c:pt idx="13">
                  <c:v>28</c:v>
                </c:pt>
                <c:pt idx="14">
                  <c:v>27.5</c:v>
                </c:pt>
                <c:pt idx="15">
                  <c:v>27.1</c:v>
                </c:pt>
                <c:pt idx="16">
                  <c:v>26.5</c:v>
                </c:pt>
                <c:pt idx="17">
                  <c:v>25.4</c:v>
                </c:pt>
                <c:pt idx="18">
                  <c:v>25.4</c:v>
                </c:pt>
                <c:pt idx="19">
                  <c:v>27.2</c:v>
                </c:pt>
                <c:pt idx="20">
                  <c:v>25.9</c:v>
                </c:pt>
                <c:pt idx="21">
                  <c:v>25.3</c:v>
                </c:pt>
                <c:pt idx="22">
                  <c:v>26.3</c:v>
                </c:pt>
                <c:pt idx="23">
                  <c:v>27</c:v>
                </c:pt>
                <c:pt idx="24">
                  <c:v>26.6</c:v>
                </c:pt>
                <c:pt idx="25">
                  <c:v>26.2</c:v>
                </c:pt>
                <c:pt idx="26">
                  <c:v>26.6</c:v>
                </c:pt>
                <c:pt idx="27">
                  <c:v>26</c:v>
                </c:pt>
                <c:pt idx="28">
                  <c:v>25.8</c:v>
                </c:pt>
                <c:pt idx="29">
                  <c:v>25.5</c:v>
                </c:pt>
              </c:numCache>
            </c:numRef>
          </c:val>
          <c:smooth val="0"/>
        </c:ser>
        <c:ser>
          <c:idx val="33"/>
          <c:order val="33"/>
          <c:tx>
            <c:strRef>
              <c:f>Sayfa1!$AI$1</c:f>
              <c:strCache>
                <c:ptCount val="1"/>
                <c:pt idx="0">
                  <c:v>İsviçre</c:v>
                </c:pt>
              </c:strCache>
            </c:strRef>
          </c:tx>
          <c:spPr>
            <a:ln w="28575" cap="rnd">
              <a:solidFill>
                <a:schemeClr val="accent4">
                  <a:lumMod val="5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Sayfa1!$AI$2:$AI$31</c:f>
              <c:numCache>
                <c:formatCode>General</c:formatCode>
                <c:ptCount val="30"/>
                <c:pt idx="0">
                  <c:v>13</c:v>
                </c:pt>
                <c:pt idx="1">
                  <c:v>13.8</c:v>
                </c:pt>
                <c:pt idx="2">
                  <c:v>15.2</c:v>
                </c:pt>
                <c:pt idx="3">
                  <c:v>16.600000000000001</c:v>
                </c:pt>
                <c:pt idx="4">
                  <c:v>16.600000000000001</c:v>
                </c:pt>
                <c:pt idx="5">
                  <c:v>14.8</c:v>
                </c:pt>
                <c:pt idx="6">
                  <c:v>15.1</c:v>
                </c:pt>
                <c:pt idx="7">
                  <c:v>15.5</c:v>
                </c:pt>
                <c:pt idx="8">
                  <c:v>15.5</c:v>
                </c:pt>
                <c:pt idx="9">
                  <c:v>15.3</c:v>
                </c:pt>
                <c:pt idx="10">
                  <c:v>14.5</c:v>
                </c:pt>
                <c:pt idx="11">
                  <c:v>14.8</c:v>
                </c:pt>
                <c:pt idx="12">
                  <c:v>15.8</c:v>
                </c:pt>
                <c:pt idx="13">
                  <c:v>16.399999999999999</c:v>
                </c:pt>
                <c:pt idx="14">
                  <c:v>16.3</c:v>
                </c:pt>
                <c:pt idx="15">
                  <c:v>16.100000000000001</c:v>
                </c:pt>
                <c:pt idx="16">
                  <c:v>15.4</c:v>
                </c:pt>
                <c:pt idx="17">
                  <c:v>14.8</c:v>
                </c:pt>
                <c:pt idx="18">
                  <c:v>14.5</c:v>
                </c:pt>
                <c:pt idx="19">
                  <c:v>16</c:v>
                </c:pt>
                <c:pt idx="20">
                  <c:v>15.7</c:v>
                </c:pt>
                <c:pt idx="21">
                  <c:v>15.6</c:v>
                </c:pt>
                <c:pt idx="22">
                  <c:v>15.9</c:v>
                </c:pt>
                <c:pt idx="23">
                  <c:v>16.2</c:v>
                </c:pt>
                <c:pt idx="24">
                  <c:v>16.100000000000001</c:v>
                </c:pt>
                <c:pt idx="25">
                  <c:v>16.600000000000001</c:v>
                </c:pt>
                <c:pt idx="26">
                  <c:v>16.8</c:v>
                </c:pt>
                <c:pt idx="27">
                  <c:v>17</c:v>
                </c:pt>
                <c:pt idx="28">
                  <c:v>16.7</c:v>
                </c:pt>
                <c:pt idx="29">
                  <c:v>0</c:v>
                </c:pt>
              </c:numCache>
            </c:numRef>
          </c:val>
          <c:smooth val="0"/>
        </c:ser>
        <c:ser>
          <c:idx val="34"/>
          <c:order val="34"/>
          <c:tx>
            <c:strRef>
              <c:f>Sayfa1!$AJ$1</c:f>
              <c:strCache>
                <c:ptCount val="1"/>
                <c:pt idx="0">
                  <c:v>Türkiye</c:v>
                </c:pt>
              </c:strCache>
            </c:strRef>
          </c:tx>
          <c:spPr>
            <a:ln w="28575" cap="rnd">
              <a:solidFill>
                <a:schemeClr val="accent5">
                  <a:lumMod val="5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Sayfa1!$AJ$2:$AJ$31</c:f>
              <c:numCache>
                <c:formatCode>General</c:formatCode>
                <c:ptCount val="30"/>
                <c:pt idx="0">
                  <c:v>3.8</c:v>
                </c:pt>
                <c:pt idx="1">
                  <c:v>4.0999999999999996</c:v>
                </c:pt>
                <c:pt idx="2">
                  <c:v>4.2</c:v>
                </c:pt>
                <c:pt idx="3">
                  <c:v>4</c:v>
                </c:pt>
                <c:pt idx="4">
                  <c:v>3.6</c:v>
                </c:pt>
                <c:pt idx="5">
                  <c:v>3.4</c:v>
                </c:pt>
                <c:pt idx="6">
                  <c:v>4.5999999999999996</c:v>
                </c:pt>
                <c:pt idx="7">
                  <c:v>4.8</c:v>
                </c:pt>
                <c:pt idx="8">
                  <c:v>5</c:v>
                </c:pt>
                <c:pt idx="9">
                  <c:v>5.7</c:v>
                </c:pt>
                <c:pt idx="10">
                  <c:v>7.5</c:v>
                </c:pt>
                <c:pt idx="11">
                  <c:v>8.1999999999999993</c:v>
                </c:pt>
                <c:pt idx="12">
                  <c:v>8.8000000000000007</c:v>
                </c:pt>
                <c:pt idx="13">
                  <c:v>9.8000000000000007</c:v>
                </c:pt>
                <c:pt idx="14">
                  <c:v>10.1</c:v>
                </c:pt>
                <c:pt idx="15">
                  <c:v>10.1</c:v>
                </c:pt>
                <c:pt idx="16">
                  <c:v>10.4</c:v>
                </c:pt>
                <c:pt idx="17">
                  <c:v>10.9</c:v>
                </c:pt>
                <c:pt idx="18">
                  <c:v>11.1</c:v>
                </c:pt>
                <c:pt idx="19">
                  <c:v>13</c:v>
                </c:pt>
                <c:pt idx="20">
                  <c:v>12.3</c:v>
                </c:pt>
                <c:pt idx="21">
                  <c:v>11.9</c:v>
                </c:pt>
                <c:pt idx="22">
                  <c:v>12</c:v>
                </c:pt>
                <c:pt idx="23">
                  <c:v>11.8</c:v>
                </c:pt>
                <c:pt idx="24">
                  <c:v>11.7</c:v>
                </c:pt>
                <c:pt idx="25">
                  <c:v>11.6</c:v>
                </c:pt>
                <c:pt idx="26">
                  <c:v>12.6</c:v>
                </c:pt>
                <c:pt idx="27">
                  <c:v>12.1</c:v>
                </c:pt>
                <c:pt idx="28">
                  <c:v>12.2</c:v>
                </c:pt>
                <c:pt idx="29">
                  <c:v>12</c:v>
                </c:pt>
              </c:numCache>
            </c:numRef>
          </c:val>
          <c:smooth val="0"/>
        </c:ser>
        <c:ser>
          <c:idx val="35"/>
          <c:order val="35"/>
          <c:tx>
            <c:strRef>
              <c:f>Sayfa1!$AK$1</c:f>
              <c:strCache>
                <c:ptCount val="1"/>
                <c:pt idx="0">
                  <c:v>Birleşik Krallık</c:v>
                </c:pt>
              </c:strCache>
            </c:strRef>
          </c:tx>
          <c:spPr>
            <a:ln w="28575" cap="rnd">
              <a:solidFill>
                <a:schemeClr val="accent6">
                  <a:lumMod val="5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Sayfa1!$AK$2:$AK$31</c:f>
              <c:numCache>
                <c:formatCode>General</c:formatCode>
                <c:ptCount val="30"/>
                <c:pt idx="0">
                  <c:v>14.9</c:v>
                </c:pt>
                <c:pt idx="1">
                  <c:v>16.399999999999999</c:v>
                </c:pt>
                <c:pt idx="2">
                  <c:v>17.8</c:v>
                </c:pt>
                <c:pt idx="3">
                  <c:v>18.399999999999999</c:v>
                </c:pt>
                <c:pt idx="4">
                  <c:v>17.7</c:v>
                </c:pt>
                <c:pt idx="5">
                  <c:v>16.600000000000001</c:v>
                </c:pt>
                <c:pt idx="6">
                  <c:v>16.399999999999999</c:v>
                </c:pt>
                <c:pt idx="7">
                  <c:v>16.600000000000001</c:v>
                </c:pt>
                <c:pt idx="8">
                  <c:v>17</c:v>
                </c:pt>
                <c:pt idx="9">
                  <c:v>16.8</c:v>
                </c:pt>
                <c:pt idx="10">
                  <c:v>16.899999999999999</c:v>
                </c:pt>
                <c:pt idx="11">
                  <c:v>17.7</c:v>
                </c:pt>
                <c:pt idx="12">
                  <c:v>18</c:v>
                </c:pt>
                <c:pt idx="13">
                  <c:v>18.7</c:v>
                </c:pt>
                <c:pt idx="14">
                  <c:v>19.3</c:v>
                </c:pt>
                <c:pt idx="15">
                  <c:v>19.3</c:v>
                </c:pt>
                <c:pt idx="16">
                  <c:v>19.2</c:v>
                </c:pt>
                <c:pt idx="17">
                  <c:v>19.7</c:v>
                </c:pt>
                <c:pt idx="18">
                  <c:v>21.1</c:v>
                </c:pt>
                <c:pt idx="19">
                  <c:v>23.2</c:v>
                </c:pt>
                <c:pt idx="20">
                  <c:v>23.3</c:v>
                </c:pt>
                <c:pt idx="21">
                  <c:v>23.1</c:v>
                </c:pt>
                <c:pt idx="22">
                  <c:v>23.2</c:v>
                </c:pt>
                <c:pt idx="23">
                  <c:v>22.4</c:v>
                </c:pt>
                <c:pt idx="24">
                  <c:v>21.9</c:v>
                </c:pt>
                <c:pt idx="25">
                  <c:v>21.5</c:v>
                </c:pt>
                <c:pt idx="26">
                  <c:v>20.8</c:v>
                </c:pt>
                <c:pt idx="27">
                  <c:v>20.5</c:v>
                </c:pt>
                <c:pt idx="28">
                  <c:v>20.3</c:v>
                </c:pt>
                <c:pt idx="29">
                  <c:v>20.6</c:v>
                </c:pt>
              </c:numCache>
            </c:numRef>
          </c:val>
          <c:smooth val="0"/>
        </c:ser>
        <c:ser>
          <c:idx val="36"/>
          <c:order val="36"/>
          <c:tx>
            <c:strRef>
              <c:f>Sayfa1!$AL$1</c:f>
              <c:strCache>
                <c:ptCount val="1"/>
                <c:pt idx="0">
                  <c:v>ABD</c:v>
                </c:pt>
              </c:strCache>
            </c:strRef>
          </c:tx>
          <c:spPr>
            <a:ln w="28575" cap="rnd">
              <a:solidFill>
                <a:schemeClr val="accent1">
                  <a:lumMod val="70000"/>
                  <a:lumOff val="30000"/>
                </a:schemeClr>
              </a:solidFill>
              <a:round/>
            </a:ln>
            <a:effectLst/>
          </c:spPr>
          <c:marker>
            <c:symbol val="none"/>
          </c:marker>
          <c:cat>
            <c:numRef>
              <c:f>Sayfa1!$A$2:$A$31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Sayfa1!$AL$2:$AL$31</c:f>
              <c:numCache>
                <c:formatCode>General</c:formatCode>
                <c:ptCount val="30"/>
                <c:pt idx="0">
                  <c:v>13.2</c:v>
                </c:pt>
                <c:pt idx="1">
                  <c:v>14.2</c:v>
                </c:pt>
                <c:pt idx="2">
                  <c:v>14.8</c:v>
                </c:pt>
                <c:pt idx="3">
                  <c:v>15.1</c:v>
                </c:pt>
                <c:pt idx="4">
                  <c:v>15.1</c:v>
                </c:pt>
                <c:pt idx="5">
                  <c:v>14.9</c:v>
                </c:pt>
                <c:pt idx="6">
                  <c:v>14.7</c:v>
                </c:pt>
                <c:pt idx="7">
                  <c:v>14.3</c:v>
                </c:pt>
                <c:pt idx="8">
                  <c:v>14.4</c:v>
                </c:pt>
                <c:pt idx="9">
                  <c:v>14.1</c:v>
                </c:pt>
                <c:pt idx="10">
                  <c:v>14.1</c:v>
                </c:pt>
                <c:pt idx="11">
                  <c:v>14.7</c:v>
                </c:pt>
                <c:pt idx="12">
                  <c:v>15.5</c:v>
                </c:pt>
                <c:pt idx="13">
                  <c:v>15.8</c:v>
                </c:pt>
                <c:pt idx="14">
                  <c:v>15.7</c:v>
                </c:pt>
                <c:pt idx="15">
                  <c:v>15.5</c:v>
                </c:pt>
                <c:pt idx="16">
                  <c:v>15.5</c:v>
                </c:pt>
                <c:pt idx="17">
                  <c:v>15.7</c:v>
                </c:pt>
                <c:pt idx="18">
                  <c:v>16.3</c:v>
                </c:pt>
                <c:pt idx="19">
                  <c:v>18.399999999999999</c:v>
                </c:pt>
                <c:pt idx="20">
                  <c:v>19.100000000000001</c:v>
                </c:pt>
                <c:pt idx="21">
                  <c:v>18.8</c:v>
                </c:pt>
                <c:pt idx="22">
                  <c:v>18.5</c:v>
                </c:pt>
                <c:pt idx="23">
                  <c:v>18.5</c:v>
                </c:pt>
                <c:pt idx="24">
                  <c:v>18.5</c:v>
                </c:pt>
                <c:pt idx="25">
                  <c:v>18.5</c:v>
                </c:pt>
                <c:pt idx="26">
                  <c:v>18.600000000000001</c:v>
                </c:pt>
                <c:pt idx="27">
                  <c:v>18.399999999999999</c:v>
                </c:pt>
                <c:pt idx="28">
                  <c:v>18.2</c:v>
                </c:pt>
                <c:pt idx="29">
                  <c:v>18.7</c:v>
                </c:pt>
              </c:numCache>
            </c:numRef>
          </c:val>
          <c:smooth val="0"/>
        </c:ser>
        <c:dLbls>
          <c:showLegendKey val="0"/>
          <c:showVal val="0"/>
          <c:showCatName val="0"/>
          <c:showSerName val="0"/>
          <c:showPercent val="0"/>
          <c:showBubbleSize val="0"/>
        </c:dLbls>
        <c:smooth val="0"/>
        <c:axId val="370837312"/>
        <c:axId val="370836136"/>
      </c:lineChart>
      <c:catAx>
        <c:axId val="370837312"/>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0836136"/>
        <c:crosses val="autoZero"/>
        <c:auto val="1"/>
        <c:lblAlgn val="ctr"/>
        <c:lblOffset val="100"/>
        <c:noMultiLvlLbl val="0"/>
      </c:catAx>
      <c:valAx>
        <c:axId val="370836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0837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tx>
            <c:strRef>
              <c:f>Sayfa1!$B$1</c:f>
              <c:strCache>
                <c:ptCount val="1"/>
                <c:pt idx="0">
                  <c:v>Nakit Harcama ve Gelir Destekleri (GSYH’ye Oran)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Sayfa1!$A$2:$A$22</c:f>
              <c:strCache>
                <c:ptCount val="21"/>
                <c:pt idx="0">
                  <c:v>Finlandiya</c:v>
                </c:pt>
                <c:pt idx="1">
                  <c:v>Norveç</c:v>
                </c:pt>
                <c:pt idx="2">
                  <c:v>İsveç</c:v>
                </c:pt>
                <c:pt idx="3">
                  <c:v>Kore</c:v>
                </c:pt>
                <c:pt idx="4">
                  <c:v>Hollanda</c:v>
                </c:pt>
                <c:pt idx="5">
                  <c:v>Danimarka</c:v>
                </c:pt>
                <c:pt idx="6">
                  <c:v>Çek Cumhuriyeti</c:v>
                </c:pt>
                <c:pt idx="7">
                  <c:v>İsviçre</c:v>
                </c:pt>
                <c:pt idx="8">
                  <c:v>İspanya</c:v>
                </c:pt>
                <c:pt idx="9">
                  <c:v>Fransa</c:v>
                </c:pt>
                <c:pt idx="10">
                  <c:v>Belçika</c:v>
                </c:pt>
                <c:pt idx="11">
                  <c:v>İtalya</c:v>
                </c:pt>
                <c:pt idx="12">
                  <c:v>Almanya</c:v>
                </c:pt>
                <c:pt idx="13">
                  <c:v>Kanada</c:v>
                </c:pt>
                <c:pt idx="14">
                  <c:v>Japonya</c:v>
                </c:pt>
                <c:pt idx="15">
                  <c:v>Singapur</c:v>
                </c:pt>
                <c:pt idx="16">
                  <c:v>Avusrtalya</c:v>
                </c:pt>
                <c:pt idx="17">
                  <c:v>Birleşik Krallık</c:v>
                </c:pt>
                <c:pt idx="18">
                  <c:v>Ortalama</c:v>
                </c:pt>
                <c:pt idx="19">
                  <c:v>Yeni Zellanda</c:v>
                </c:pt>
                <c:pt idx="20">
                  <c:v>ABD</c:v>
                </c:pt>
              </c:strCache>
            </c:strRef>
          </c:cat>
          <c:val>
            <c:numRef>
              <c:f>Sayfa1!$B$2:$B$22</c:f>
              <c:numCache>
                <c:formatCode>General</c:formatCode>
                <c:ptCount val="21"/>
                <c:pt idx="0">
                  <c:v>2.5</c:v>
                </c:pt>
                <c:pt idx="1">
                  <c:v>4.2</c:v>
                </c:pt>
                <c:pt idx="2">
                  <c:v>4.2</c:v>
                </c:pt>
                <c:pt idx="3">
                  <c:v>4.5</c:v>
                </c:pt>
                <c:pt idx="4">
                  <c:v>4.5</c:v>
                </c:pt>
                <c:pt idx="5">
                  <c:v>5.0999999999999996</c:v>
                </c:pt>
                <c:pt idx="6">
                  <c:v>5.4</c:v>
                </c:pt>
                <c:pt idx="7">
                  <c:v>7.3</c:v>
                </c:pt>
                <c:pt idx="8">
                  <c:v>7.6</c:v>
                </c:pt>
                <c:pt idx="9">
                  <c:v>7.6</c:v>
                </c:pt>
                <c:pt idx="10">
                  <c:v>8</c:v>
                </c:pt>
                <c:pt idx="11">
                  <c:v>8.5</c:v>
                </c:pt>
                <c:pt idx="12">
                  <c:v>11.01</c:v>
                </c:pt>
                <c:pt idx="13">
                  <c:v>14.6</c:v>
                </c:pt>
                <c:pt idx="14">
                  <c:v>15.9</c:v>
                </c:pt>
                <c:pt idx="15">
                  <c:v>16</c:v>
                </c:pt>
                <c:pt idx="16">
                  <c:v>16.100000000000001</c:v>
                </c:pt>
                <c:pt idx="17">
                  <c:v>16.2</c:v>
                </c:pt>
                <c:pt idx="18">
                  <c:v>16.399999999999999</c:v>
                </c:pt>
                <c:pt idx="19">
                  <c:v>19.3</c:v>
                </c:pt>
                <c:pt idx="20">
                  <c:v>25.5</c:v>
                </c:pt>
              </c:numCache>
            </c:numRef>
          </c:val>
        </c:ser>
        <c:dLbls>
          <c:dLblPos val="outEnd"/>
          <c:showLegendKey val="0"/>
          <c:showVal val="1"/>
          <c:showCatName val="0"/>
          <c:showSerName val="0"/>
          <c:showPercent val="0"/>
          <c:showBubbleSize val="0"/>
        </c:dLbls>
        <c:gapWidth val="219"/>
        <c:axId val="370837704"/>
        <c:axId val="370847504"/>
      </c:barChart>
      <c:catAx>
        <c:axId val="370837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0847504"/>
        <c:crosses val="autoZero"/>
        <c:auto val="1"/>
        <c:lblAlgn val="ctr"/>
        <c:lblOffset val="100"/>
        <c:noMultiLvlLbl val="0"/>
      </c:catAx>
      <c:valAx>
        <c:axId val="370847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0837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Sayfa1!$B$1</c:f>
              <c:strCache>
                <c:ptCount val="1"/>
                <c:pt idx="0">
                  <c:v>Nakit Harcama ve Gelir Destekleri</c:v>
                </c:pt>
              </c:strCache>
            </c:strRef>
          </c:tx>
          <c:spPr>
            <a:solidFill>
              <a:schemeClr val="accent4"/>
            </a:solidFill>
            <a:ln>
              <a:noFill/>
            </a:ln>
            <a:effectLst/>
          </c:spPr>
          <c:invertIfNegative val="0"/>
          <c:cat>
            <c:strRef>
              <c:f>Sayfa1!$A$2:$A$27</c:f>
              <c:strCache>
                <c:ptCount val="26"/>
                <c:pt idx="0">
                  <c:v>Meksika</c:v>
                </c:pt>
                <c:pt idx="1">
                  <c:v>Mısır</c:v>
                </c:pt>
                <c:pt idx="2">
                  <c:v>Türkiye</c:v>
                </c:pt>
                <c:pt idx="3">
                  <c:v>Pakistan</c:v>
                </c:pt>
                <c:pt idx="4">
                  <c:v>Arnavutluk</c:v>
                </c:pt>
                <c:pt idx="5">
                  <c:v>Suudi Arabistan</c:v>
                </c:pt>
                <c:pt idx="6">
                  <c:v>Romanya</c:v>
                </c:pt>
                <c:pt idx="7">
                  <c:v>Kazakistan</c:v>
                </c:pt>
                <c:pt idx="8">
                  <c:v>Birleşik Arap Emirlikleri</c:v>
                </c:pt>
                <c:pt idx="9">
                  <c:v>Tunus</c:v>
                </c:pt>
                <c:pt idx="10">
                  <c:v>Filipinler</c:v>
                </c:pt>
                <c:pt idx="11">
                  <c:v>Hindistan</c:v>
                </c:pt>
                <c:pt idx="12">
                  <c:v>Arjantin</c:v>
                </c:pt>
                <c:pt idx="13">
                  <c:v>Ortalama</c:v>
                </c:pt>
                <c:pt idx="14">
                  <c:v>Kolombita</c:v>
                </c:pt>
                <c:pt idx="15">
                  <c:v>Rusya</c:v>
                </c:pt>
                <c:pt idx="16">
                  <c:v>Bulgaristan</c:v>
                </c:pt>
                <c:pt idx="17">
                  <c:v>Endonezya</c:v>
                </c:pt>
                <c:pt idx="18">
                  <c:v>Çin</c:v>
                </c:pt>
                <c:pt idx="19">
                  <c:v>Güney Afr,ka</c:v>
                </c:pt>
                <c:pt idx="20">
                  <c:v>Gürcistan</c:v>
                </c:pt>
                <c:pt idx="21">
                  <c:v>Peru</c:v>
                </c:pt>
                <c:pt idx="22">
                  <c:v>Polanya</c:v>
                </c:pt>
                <c:pt idx="23">
                  <c:v>Şili</c:v>
                </c:pt>
                <c:pt idx="24">
                  <c:v>Tayland</c:v>
                </c:pt>
                <c:pt idx="25">
                  <c:v>Brezilya</c:v>
                </c:pt>
              </c:strCache>
            </c:strRef>
          </c:cat>
          <c:val>
            <c:numRef>
              <c:f>Sayfa1!$B$2:$B$27</c:f>
              <c:numCache>
                <c:formatCode>General</c:formatCode>
                <c:ptCount val="26"/>
                <c:pt idx="0">
                  <c:v>0.7</c:v>
                </c:pt>
                <c:pt idx="1">
                  <c:v>1.6</c:v>
                </c:pt>
                <c:pt idx="2">
                  <c:v>1.9</c:v>
                </c:pt>
                <c:pt idx="3">
                  <c:v>2</c:v>
                </c:pt>
                <c:pt idx="4">
                  <c:v>2</c:v>
                </c:pt>
                <c:pt idx="5">
                  <c:v>2.2000000000000002</c:v>
                </c:pt>
                <c:pt idx="6">
                  <c:v>2.2000000000000002</c:v>
                </c:pt>
                <c:pt idx="7">
                  <c:v>2.4</c:v>
                </c:pt>
                <c:pt idx="8">
                  <c:v>2.5</c:v>
                </c:pt>
                <c:pt idx="9">
                  <c:v>2.7</c:v>
                </c:pt>
                <c:pt idx="10">
                  <c:v>2.7</c:v>
                </c:pt>
                <c:pt idx="11">
                  <c:v>3.3</c:v>
                </c:pt>
                <c:pt idx="12">
                  <c:v>3.9</c:v>
                </c:pt>
                <c:pt idx="13">
                  <c:v>4</c:v>
                </c:pt>
                <c:pt idx="14">
                  <c:v>4</c:v>
                </c:pt>
                <c:pt idx="15">
                  <c:v>4.3</c:v>
                </c:pt>
                <c:pt idx="16">
                  <c:v>4.5</c:v>
                </c:pt>
                <c:pt idx="17">
                  <c:v>4.5</c:v>
                </c:pt>
                <c:pt idx="18">
                  <c:v>4.8</c:v>
                </c:pt>
                <c:pt idx="19">
                  <c:v>5.9</c:v>
                </c:pt>
                <c:pt idx="20">
                  <c:v>6.1</c:v>
                </c:pt>
                <c:pt idx="21">
                  <c:v>7.3</c:v>
                </c:pt>
                <c:pt idx="22">
                  <c:v>7.8</c:v>
                </c:pt>
                <c:pt idx="23">
                  <c:v>8.1999999999999993</c:v>
                </c:pt>
                <c:pt idx="24">
                  <c:v>8.1999999999999993</c:v>
                </c:pt>
                <c:pt idx="25">
                  <c:v>8.8000000000000007</c:v>
                </c:pt>
              </c:numCache>
            </c:numRef>
          </c:val>
        </c:ser>
        <c:dLbls>
          <c:showLegendKey val="0"/>
          <c:showVal val="0"/>
          <c:showCatName val="0"/>
          <c:showSerName val="0"/>
          <c:showPercent val="0"/>
          <c:showBubbleSize val="0"/>
        </c:dLbls>
        <c:gapWidth val="182"/>
        <c:axId val="370855344"/>
        <c:axId val="370846720"/>
      </c:barChart>
      <c:catAx>
        <c:axId val="370855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0846720"/>
        <c:crosses val="autoZero"/>
        <c:auto val="1"/>
        <c:lblAlgn val="ctr"/>
        <c:lblOffset val="100"/>
        <c:noMultiLvlLbl val="0"/>
      </c:catAx>
      <c:valAx>
        <c:axId val="370846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0855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Nakit Harcama ve Gelir Destekleri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Sayfa1!$A$2:$A$16</c:f>
              <c:strCache>
                <c:ptCount val="15"/>
                <c:pt idx="0">
                  <c:v>Nijerya</c:v>
                </c:pt>
                <c:pt idx="1">
                  <c:v>Nijer</c:v>
                </c:pt>
                <c:pt idx="2">
                  <c:v>Myanmar</c:v>
                </c:pt>
                <c:pt idx="3">
                  <c:v>Bangladeş</c:v>
                </c:pt>
                <c:pt idx="4">
                  <c:v>Vietnam</c:v>
                </c:pt>
                <c:pt idx="5">
                  <c:v>Fildişi Sahili</c:v>
                </c:pt>
                <c:pt idx="6">
                  <c:v>Ortalama</c:v>
                </c:pt>
                <c:pt idx="7">
                  <c:v>Zambia</c:v>
                </c:pt>
                <c:pt idx="8">
                  <c:v>Honduras</c:v>
                </c:pt>
                <c:pt idx="9">
                  <c:v>Kenya</c:v>
                </c:pt>
                <c:pt idx="10">
                  <c:v>Etiopya</c:v>
                </c:pt>
                <c:pt idx="11">
                  <c:v>Gana</c:v>
                </c:pt>
                <c:pt idx="12">
                  <c:v>Senegal</c:v>
                </c:pt>
                <c:pt idx="13">
                  <c:v>Özbekistan</c:v>
                </c:pt>
                <c:pt idx="14">
                  <c:v>Gine-Bissau</c:v>
                </c:pt>
              </c:strCache>
            </c:strRef>
          </c:cat>
          <c:val>
            <c:numRef>
              <c:f>Sayfa1!$B$2:$B$16</c:f>
              <c:numCache>
                <c:formatCode>General</c:formatCode>
                <c:ptCount val="15"/>
                <c:pt idx="0">
                  <c:v>0.3</c:v>
                </c:pt>
                <c:pt idx="1">
                  <c:v>0.7</c:v>
                </c:pt>
                <c:pt idx="2">
                  <c:v>1.1000000000000001</c:v>
                </c:pt>
                <c:pt idx="3">
                  <c:v>1.4</c:v>
                </c:pt>
                <c:pt idx="4">
                  <c:v>1.4</c:v>
                </c:pt>
                <c:pt idx="5">
                  <c:v>1.5</c:v>
                </c:pt>
                <c:pt idx="6">
                  <c:v>1.6</c:v>
                </c:pt>
                <c:pt idx="7">
                  <c:v>2.1</c:v>
                </c:pt>
                <c:pt idx="8">
                  <c:v>2.2999999999999998</c:v>
                </c:pt>
                <c:pt idx="9">
                  <c:v>2.4</c:v>
                </c:pt>
                <c:pt idx="10">
                  <c:v>2.5</c:v>
                </c:pt>
                <c:pt idx="11">
                  <c:v>2.9</c:v>
                </c:pt>
                <c:pt idx="12">
                  <c:v>3.2</c:v>
                </c:pt>
                <c:pt idx="13">
                  <c:v>4.4000000000000004</c:v>
                </c:pt>
                <c:pt idx="14">
                  <c:v>5.0999999999999996</c:v>
                </c:pt>
              </c:numCache>
            </c:numRef>
          </c:val>
        </c:ser>
        <c:dLbls>
          <c:dLblPos val="outEnd"/>
          <c:showLegendKey val="0"/>
          <c:showVal val="1"/>
          <c:showCatName val="0"/>
          <c:showSerName val="0"/>
          <c:showPercent val="0"/>
          <c:showBubbleSize val="0"/>
        </c:dLbls>
        <c:gapWidth val="219"/>
        <c:overlap val="-27"/>
        <c:axId val="370854168"/>
        <c:axId val="370856520"/>
      </c:barChart>
      <c:catAx>
        <c:axId val="370854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0856520"/>
        <c:crosses val="autoZero"/>
        <c:auto val="1"/>
        <c:lblAlgn val="ctr"/>
        <c:lblOffset val="100"/>
        <c:noMultiLvlLbl val="0"/>
      </c:catAx>
      <c:valAx>
        <c:axId val="370856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0854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Satışlar</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Gelişmiş Ekonomiler (G20)</c:v>
                </c:pt>
                <c:pt idx="1">
                  <c:v>Gelişmekte Olan Ekonomiler (G20)</c:v>
                </c:pt>
                <c:pt idx="2">
                  <c:v>Seçilmiş Gelişmiş Ekonomiler</c:v>
                </c:pt>
                <c:pt idx="3">
                  <c:v>Seçilmiş Gelişmekte Olan Ekonomiler</c:v>
                </c:pt>
                <c:pt idx="4">
                  <c:v>Seçilmiş Az Gelişmiş Ekonomiler</c:v>
                </c:pt>
              </c:strCache>
            </c:strRef>
          </c:cat>
          <c:val>
            <c:numRef>
              <c:f>Sayfa1!$B$2:$B$6</c:f>
              <c:numCache>
                <c:formatCode>#,##0</c:formatCode>
                <c:ptCount val="5"/>
                <c:pt idx="0">
                  <c:v>8465</c:v>
                </c:pt>
                <c:pt idx="1">
                  <c:v>1107</c:v>
                </c:pt>
                <c:pt idx="2" formatCode="General">
                  <c:v>556.4</c:v>
                </c:pt>
                <c:pt idx="3" formatCode="General">
                  <c:v>279.39999999999998</c:v>
                </c:pt>
                <c:pt idx="4" formatCode="General">
                  <c:v>37.299999999999997</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Sayfa1!$B$1</c:f>
              <c:strCache>
                <c:ptCount val="1"/>
                <c:pt idx="0">
                  <c:v>Sağlık Harcamalarının Gayrisafi Yurtiçi Hasıla İçindeki Payları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Sayfa1!$A$2:$A$53</c:f>
              <c:strCache>
                <c:ptCount val="52"/>
                <c:pt idx="0">
                  <c:v>Gana</c:v>
                </c:pt>
                <c:pt idx="1">
                  <c:v>Kenya</c:v>
                </c:pt>
                <c:pt idx="2">
                  <c:v>Bangladeş</c:v>
                </c:pt>
                <c:pt idx="3">
                  <c:v>Nijerya</c:v>
                </c:pt>
                <c:pt idx="4">
                  <c:v>Çin</c:v>
                </c:pt>
                <c:pt idx="5">
                  <c:v>Myanmar</c:v>
                </c:pt>
                <c:pt idx="6">
                  <c:v>Mısır</c:v>
                </c:pt>
                <c:pt idx="7">
                  <c:v>Singapur</c:v>
                </c:pt>
                <c:pt idx="8">
                  <c:v>Türkiye</c:v>
                </c:pt>
                <c:pt idx="9">
                  <c:v>Nijer</c:v>
                </c:pt>
                <c:pt idx="10">
                  <c:v>Zambia</c:v>
                </c:pt>
                <c:pt idx="11">
                  <c:v>Meksika</c:v>
                </c:pt>
                <c:pt idx="12">
                  <c:v>Pakistan</c:v>
                </c:pt>
                <c:pt idx="13">
                  <c:v>Tunus</c:v>
                </c:pt>
                <c:pt idx="14">
                  <c:v>Filipinler</c:v>
                </c:pt>
                <c:pt idx="15">
                  <c:v>Hindistan</c:v>
                </c:pt>
                <c:pt idx="16">
                  <c:v>Arjantin</c:v>
                </c:pt>
                <c:pt idx="17">
                  <c:v>Polanya</c:v>
                </c:pt>
                <c:pt idx="18">
                  <c:v>Norveç</c:v>
                </c:pt>
                <c:pt idx="19">
                  <c:v>Kore</c:v>
                </c:pt>
                <c:pt idx="20">
                  <c:v>İtalya</c:v>
                </c:pt>
                <c:pt idx="21">
                  <c:v>Etiopya</c:v>
                </c:pt>
                <c:pt idx="22">
                  <c:v>Senegal</c:v>
                </c:pt>
                <c:pt idx="23">
                  <c:v>Rusya</c:v>
                </c:pt>
                <c:pt idx="24">
                  <c:v>Hollanda</c:v>
                </c:pt>
                <c:pt idx="25">
                  <c:v>Finlandiya</c:v>
                </c:pt>
                <c:pt idx="26">
                  <c:v>İsveç</c:v>
                </c:pt>
                <c:pt idx="27">
                  <c:v>İsviçre</c:v>
                </c:pt>
                <c:pt idx="28">
                  <c:v>Fransa</c:v>
                </c:pt>
                <c:pt idx="29">
                  <c:v>Avusrtalya</c:v>
                </c:pt>
                <c:pt idx="30">
                  <c:v>Güney Afrika</c:v>
                </c:pt>
                <c:pt idx="31">
                  <c:v>Honduras</c:v>
                </c:pt>
                <c:pt idx="32">
                  <c:v>Şili</c:v>
                </c:pt>
                <c:pt idx="33">
                  <c:v>Peru</c:v>
                </c:pt>
                <c:pt idx="34">
                  <c:v>Arnavutluk</c:v>
                </c:pt>
                <c:pt idx="35">
                  <c:v>Romanya</c:v>
                </c:pt>
                <c:pt idx="36">
                  <c:v>Kolombiya</c:v>
                </c:pt>
                <c:pt idx="37">
                  <c:v>Özbekistan</c:v>
                </c:pt>
                <c:pt idx="38">
                  <c:v>Brezilya</c:v>
                </c:pt>
                <c:pt idx="39">
                  <c:v>Yeni Zellanda</c:v>
                </c:pt>
                <c:pt idx="40">
                  <c:v>Almanya</c:v>
                </c:pt>
                <c:pt idx="41">
                  <c:v>Çek Cumhuriyeti</c:v>
                </c:pt>
                <c:pt idx="42">
                  <c:v>İspanya</c:v>
                </c:pt>
                <c:pt idx="43">
                  <c:v>Bulgaristan</c:v>
                </c:pt>
                <c:pt idx="44">
                  <c:v>Gürcistan</c:v>
                </c:pt>
                <c:pt idx="45">
                  <c:v>Japonya</c:v>
                </c:pt>
                <c:pt idx="46">
                  <c:v>Endonezya</c:v>
                </c:pt>
                <c:pt idx="47">
                  <c:v>Suudi Arabistan</c:v>
                </c:pt>
                <c:pt idx="48">
                  <c:v>Belçika</c:v>
                </c:pt>
                <c:pt idx="49">
                  <c:v>Kanada</c:v>
                </c:pt>
                <c:pt idx="50">
                  <c:v>ABD</c:v>
                </c:pt>
                <c:pt idx="51">
                  <c:v>Birleşik Krallık</c:v>
                </c:pt>
              </c:strCache>
            </c:strRef>
          </c:cat>
          <c:val>
            <c:numRef>
              <c:f>Sayfa1!$B$2:$B$53</c:f>
              <c:numCache>
                <c:formatCode>General</c:formatCode>
                <c:ptCount val="52"/>
                <c:pt idx="0">
                  <c:v>0.1</c:v>
                </c:pt>
                <c:pt idx="1">
                  <c:v>0.1</c:v>
                </c:pt>
                <c:pt idx="2">
                  <c:v>0.1</c:v>
                </c:pt>
                <c:pt idx="3">
                  <c:v>0.1</c:v>
                </c:pt>
                <c:pt idx="4">
                  <c:v>0.1</c:v>
                </c:pt>
                <c:pt idx="5">
                  <c:v>0.2</c:v>
                </c:pt>
                <c:pt idx="6">
                  <c:v>0.2</c:v>
                </c:pt>
                <c:pt idx="7">
                  <c:v>0.2</c:v>
                </c:pt>
                <c:pt idx="8">
                  <c:v>0.3</c:v>
                </c:pt>
                <c:pt idx="9">
                  <c:v>0.3</c:v>
                </c:pt>
                <c:pt idx="10">
                  <c:v>0.3</c:v>
                </c:pt>
                <c:pt idx="11">
                  <c:v>0.4</c:v>
                </c:pt>
                <c:pt idx="12">
                  <c:v>0.4</c:v>
                </c:pt>
                <c:pt idx="13">
                  <c:v>0.4</c:v>
                </c:pt>
                <c:pt idx="14">
                  <c:v>0.4</c:v>
                </c:pt>
                <c:pt idx="15">
                  <c:v>0.4</c:v>
                </c:pt>
                <c:pt idx="16">
                  <c:v>0.4</c:v>
                </c:pt>
                <c:pt idx="17">
                  <c:v>0.4</c:v>
                </c:pt>
                <c:pt idx="18">
                  <c:v>0.4</c:v>
                </c:pt>
                <c:pt idx="19">
                  <c:v>0.5</c:v>
                </c:pt>
                <c:pt idx="20">
                  <c:v>0.6</c:v>
                </c:pt>
                <c:pt idx="21">
                  <c:v>0.6</c:v>
                </c:pt>
                <c:pt idx="22">
                  <c:v>0.6</c:v>
                </c:pt>
                <c:pt idx="23">
                  <c:v>0.7</c:v>
                </c:pt>
                <c:pt idx="24">
                  <c:v>0.7</c:v>
                </c:pt>
                <c:pt idx="25">
                  <c:v>0.8</c:v>
                </c:pt>
                <c:pt idx="26">
                  <c:v>0.8</c:v>
                </c:pt>
                <c:pt idx="27">
                  <c:v>0.8</c:v>
                </c:pt>
                <c:pt idx="28">
                  <c:v>0.8</c:v>
                </c:pt>
                <c:pt idx="29">
                  <c:v>0.8</c:v>
                </c:pt>
                <c:pt idx="30">
                  <c:v>0.8</c:v>
                </c:pt>
                <c:pt idx="31">
                  <c:v>0.9</c:v>
                </c:pt>
                <c:pt idx="32">
                  <c:v>0.9</c:v>
                </c:pt>
                <c:pt idx="33">
                  <c:v>0.9</c:v>
                </c:pt>
                <c:pt idx="34">
                  <c:v>0.9</c:v>
                </c:pt>
                <c:pt idx="35">
                  <c:v>1</c:v>
                </c:pt>
                <c:pt idx="36">
                  <c:v>1.1000000000000001</c:v>
                </c:pt>
                <c:pt idx="37">
                  <c:v>1.2</c:v>
                </c:pt>
                <c:pt idx="38">
                  <c:v>1.2</c:v>
                </c:pt>
                <c:pt idx="39">
                  <c:v>1.2</c:v>
                </c:pt>
                <c:pt idx="40">
                  <c:v>1.2</c:v>
                </c:pt>
                <c:pt idx="41">
                  <c:v>1.2</c:v>
                </c:pt>
                <c:pt idx="42">
                  <c:v>1.3</c:v>
                </c:pt>
                <c:pt idx="43">
                  <c:v>1.3</c:v>
                </c:pt>
                <c:pt idx="44">
                  <c:v>1.8</c:v>
                </c:pt>
                <c:pt idx="45">
                  <c:v>1.8</c:v>
                </c:pt>
                <c:pt idx="46">
                  <c:v>1.8</c:v>
                </c:pt>
                <c:pt idx="47">
                  <c:v>1.8</c:v>
                </c:pt>
                <c:pt idx="48">
                  <c:v>1.9</c:v>
                </c:pt>
                <c:pt idx="49">
                  <c:v>2.4</c:v>
                </c:pt>
                <c:pt idx="50">
                  <c:v>3.3</c:v>
                </c:pt>
                <c:pt idx="51">
                  <c:v>7.5</c:v>
                </c:pt>
              </c:numCache>
            </c:numRef>
          </c:val>
        </c:ser>
        <c:dLbls>
          <c:dLblPos val="outEnd"/>
          <c:showLegendKey val="0"/>
          <c:showVal val="1"/>
          <c:showCatName val="0"/>
          <c:showSerName val="0"/>
          <c:showPercent val="0"/>
          <c:showBubbleSize val="0"/>
        </c:dLbls>
        <c:gapWidth val="219"/>
        <c:axId val="370846328"/>
        <c:axId val="370853776"/>
      </c:barChart>
      <c:catAx>
        <c:axId val="370846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0853776"/>
        <c:crosses val="autoZero"/>
        <c:auto val="1"/>
        <c:lblAlgn val="ctr"/>
        <c:lblOffset val="100"/>
        <c:noMultiLvlLbl val="0"/>
      </c:catAx>
      <c:valAx>
        <c:axId val="370853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0846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Sayfa1!$B$1</c:f>
              <c:strCache>
                <c:ptCount val="1"/>
                <c:pt idx="0">
                  <c:v>Kamu Toplam Sosyal Harcamalar</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Sayfa1!$A$2:$A$19</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Sayfa1!$B$2:$B$19</c:f>
              <c:numCache>
                <c:formatCode>General</c:formatCode>
                <c:ptCount val="18"/>
                <c:pt idx="0">
                  <c:v>13.6</c:v>
                </c:pt>
                <c:pt idx="1">
                  <c:v>13.6</c:v>
                </c:pt>
                <c:pt idx="2">
                  <c:v>13.8</c:v>
                </c:pt>
                <c:pt idx="3">
                  <c:v>14</c:v>
                </c:pt>
                <c:pt idx="4">
                  <c:v>14.2</c:v>
                </c:pt>
                <c:pt idx="5">
                  <c:v>16.399999999999999</c:v>
                </c:pt>
                <c:pt idx="6">
                  <c:v>16.100000000000001</c:v>
                </c:pt>
                <c:pt idx="7">
                  <c:v>15.5</c:v>
                </c:pt>
                <c:pt idx="8">
                  <c:v>15.8</c:v>
                </c:pt>
                <c:pt idx="9">
                  <c:v>15.6</c:v>
                </c:pt>
                <c:pt idx="10">
                  <c:v>15.6</c:v>
                </c:pt>
                <c:pt idx="11">
                  <c:v>15.7</c:v>
                </c:pt>
                <c:pt idx="12">
                  <c:v>16.899999999999999</c:v>
                </c:pt>
                <c:pt idx="13">
                  <c:v>15.9</c:v>
                </c:pt>
                <c:pt idx="14">
                  <c:v>16.3</c:v>
                </c:pt>
                <c:pt idx="15">
                  <c:v>17.100000000000001</c:v>
                </c:pt>
                <c:pt idx="16">
                  <c:v>18.399999999999999</c:v>
                </c:pt>
                <c:pt idx="17">
                  <c:v>17</c:v>
                </c:pt>
              </c:numCache>
            </c:numRef>
          </c:val>
          <c:smooth val="0"/>
        </c:ser>
        <c:ser>
          <c:idx val="1"/>
          <c:order val="1"/>
          <c:tx>
            <c:strRef>
              <c:f>Sayfa1!$C$1</c:f>
              <c:strCache>
                <c:ptCount val="1"/>
                <c:pt idx="0">
                  <c:v>Eğitim</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Sayfa1!$A$2:$A$19</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Sayfa1!$C$2:$C$19</c:f>
              <c:numCache>
                <c:formatCode>General</c:formatCode>
                <c:ptCount val="18"/>
                <c:pt idx="0">
                  <c:v>3.1</c:v>
                </c:pt>
                <c:pt idx="1">
                  <c:v>3.1</c:v>
                </c:pt>
                <c:pt idx="2">
                  <c:v>2.9</c:v>
                </c:pt>
                <c:pt idx="3">
                  <c:v>3</c:v>
                </c:pt>
                <c:pt idx="4">
                  <c:v>3.2</c:v>
                </c:pt>
                <c:pt idx="5">
                  <c:v>3.7</c:v>
                </c:pt>
                <c:pt idx="6">
                  <c:v>3.8</c:v>
                </c:pt>
                <c:pt idx="7">
                  <c:v>3.7</c:v>
                </c:pt>
                <c:pt idx="8">
                  <c:v>3.8</c:v>
                </c:pt>
                <c:pt idx="9">
                  <c:v>3.8</c:v>
                </c:pt>
                <c:pt idx="10">
                  <c:v>3.9</c:v>
                </c:pt>
                <c:pt idx="11">
                  <c:v>3.9</c:v>
                </c:pt>
                <c:pt idx="12">
                  <c:v>4.0999999999999996</c:v>
                </c:pt>
                <c:pt idx="13">
                  <c:v>3.8</c:v>
                </c:pt>
                <c:pt idx="14">
                  <c:v>3.8</c:v>
                </c:pt>
                <c:pt idx="15">
                  <c:v>3.8</c:v>
                </c:pt>
                <c:pt idx="16">
                  <c:v>3.7</c:v>
                </c:pt>
                <c:pt idx="17">
                  <c:v>3.7</c:v>
                </c:pt>
              </c:numCache>
            </c:numRef>
          </c:val>
          <c:smooth val="0"/>
        </c:ser>
        <c:ser>
          <c:idx val="2"/>
          <c:order val="2"/>
          <c:tx>
            <c:strRef>
              <c:f>Sayfa1!$D$1</c:f>
              <c:strCache>
                <c:ptCount val="1"/>
                <c:pt idx="0">
                  <c:v>Sağlık</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Sayfa1!$A$2:$A$19</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Sayfa1!$D$2:$D$19</c:f>
              <c:numCache>
                <c:formatCode>General</c:formatCode>
                <c:ptCount val="18"/>
                <c:pt idx="0">
                  <c:v>3.8</c:v>
                </c:pt>
                <c:pt idx="1">
                  <c:v>3.6</c:v>
                </c:pt>
                <c:pt idx="2">
                  <c:v>3.8</c:v>
                </c:pt>
                <c:pt idx="3">
                  <c:v>3.9</c:v>
                </c:pt>
                <c:pt idx="4">
                  <c:v>4.0999999999999996</c:v>
                </c:pt>
                <c:pt idx="5">
                  <c:v>4.8</c:v>
                </c:pt>
                <c:pt idx="6">
                  <c:v>4.3</c:v>
                </c:pt>
                <c:pt idx="7">
                  <c:v>4</c:v>
                </c:pt>
                <c:pt idx="8">
                  <c:v>3.9</c:v>
                </c:pt>
                <c:pt idx="9">
                  <c:v>3.8</c:v>
                </c:pt>
                <c:pt idx="10">
                  <c:v>3.8</c:v>
                </c:pt>
                <c:pt idx="11">
                  <c:v>3.7</c:v>
                </c:pt>
                <c:pt idx="12">
                  <c:v>3.8</c:v>
                </c:pt>
                <c:pt idx="13">
                  <c:v>3.7</c:v>
                </c:pt>
                <c:pt idx="14">
                  <c:v>3.6</c:v>
                </c:pt>
                <c:pt idx="15">
                  <c:v>3.8</c:v>
                </c:pt>
                <c:pt idx="16">
                  <c:v>4.2</c:v>
                </c:pt>
                <c:pt idx="17">
                  <c:v>4.2</c:v>
                </c:pt>
              </c:numCache>
            </c:numRef>
          </c:val>
          <c:smooth val="0"/>
        </c:ser>
        <c:ser>
          <c:idx val="3"/>
          <c:order val="3"/>
          <c:tx>
            <c:strRef>
              <c:f>Sayfa1!$E$1</c:f>
              <c:strCache>
                <c:ptCount val="1"/>
                <c:pt idx="0">
                  <c:v>Sosyal Koruma</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Sayfa1!$A$2:$A$19</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Sayfa1!$E$2:$E$19</c:f>
              <c:numCache>
                <c:formatCode>General</c:formatCode>
                <c:ptCount val="18"/>
                <c:pt idx="0">
                  <c:v>6.7</c:v>
                </c:pt>
                <c:pt idx="1">
                  <c:v>7</c:v>
                </c:pt>
                <c:pt idx="2">
                  <c:v>7.1</c:v>
                </c:pt>
                <c:pt idx="3">
                  <c:v>7.1</c:v>
                </c:pt>
                <c:pt idx="4">
                  <c:v>6.9</c:v>
                </c:pt>
                <c:pt idx="5">
                  <c:v>7.9</c:v>
                </c:pt>
                <c:pt idx="6">
                  <c:v>8</c:v>
                </c:pt>
                <c:pt idx="7">
                  <c:v>7.8</c:v>
                </c:pt>
                <c:pt idx="8">
                  <c:v>8.1</c:v>
                </c:pt>
                <c:pt idx="9">
                  <c:v>8</c:v>
                </c:pt>
                <c:pt idx="10">
                  <c:v>8</c:v>
                </c:pt>
                <c:pt idx="11">
                  <c:v>8.1999999999999993</c:v>
                </c:pt>
                <c:pt idx="12">
                  <c:v>9</c:v>
                </c:pt>
                <c:pt idx="13">
                  <c:v>8.4</c:v>
                </c:pt>
                <c:pt idx="14">
                  <c:v>9</c:v>
                </c:pt>
                <c:pt idx="15">
                  <c:v>9.5</c:v>
                </c:pt>
                <c:pt idx="16">
                  <c:v>10.6</c:v>
                </c:pt>
                <c:pt idx="17">
                  <c:v>9.1</c:v>
                </c:pt>
              </c:numCache>
            </c:numRef>
          </c:val>
          <c:smooth val="0"/>
        </c:ser>
        <c:dLbls>
          <c:dLblPos val="t"/>
          <c:showLegendKey val="0"/>
          <c:showVal val="1"/>
          <c:showCatName val="0"/>
          <c:showSerName val="0"/>
          <c:showPercent val="0"/>
          <c:showBubbleSize val="0"/>
        </c:dLbls>
        <c:smooth val="0"/>
        <c:axId val="370856128"/>
        <c:axId val="370854952"/>
      </c:lineChart>
      <c:catAx>
        <c:axId val="37085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0854952"/>
        <c:crosses val="autoZero"/>
        <c:auto val="1"/>
        <c:lblAlgn val="ctr"/>
        <c:lblOffset val="100"/>
        <c:noMultiLvlLbl val="0"/>
      </c:catAx>
      <c:valAx>
        <c:axId val="370854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0856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Sayfa1!$B$1</c:f>
              <c:strCache>
                <c:ptCount val="1"/>
                <c:pt idx="0">
                  <c:v>hazine yardımları (Sağlık, Emeklilik ve Sosyal Yardım Giderleri)</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Sayfa1!$A$2:$A$40</c:f>
              <c:strCache>
                <c:ptCount val="39"/>
                <c:pt idx="0">
                  <c:v>2018 (Ocak)</c:v>
                </c:pt>
                <c:pt idx="1">
                  <c:v>2018(Şubat)</c:v>
                </c:pt>
                <c:pt idx="2">
                  <c:v>2018 (Mart)</c:v>
                </c:pt>
                <c:pt idx="3">
                  <c:v>2018 (Nisan)</c:v>
                </c:pt>
                <c:pt idx="4">
                  <c:v>2018 (Mayıs)</c:v>
                </c:pt>
                <c:pt idx="5">
                  <c:v>2018 (Haziran)</c:v>
                </c:pt>
                <c:pt idx="6">
                  <c:v>2018 (Temmuz)</c:v>
                </c:pt>
                <c:pt idx="7">
                  <c:v>2018 (Ağustos)</c:v>
                </c:pt>
                <c:pt idx="8">
                  <c:v>2018 (Eylül)</c:v>
                </c:pt>
                <c:pt idx="9">
                  <c:v>2018 (Ekim)</c:v>
                </c:pt>
                <c:pt idx="10">
                  <c:v>2018 (Kasım)</c:v>
                </c:pt>
                <c:pt idx="11">
                  <c:v>2018 (Aralık)</c:v>
                </c:pt>
                <c:pt idx="12">
                  <c:v>2019 (Ocak)</c:v>
                </c:pt>
                <c:pt idx="13">
                  <c:v>2019 (Şubat)</c:v>
                </c:pt>
                <c:pt idx="14">
                  <c:v>2019 (Mart)</c:v>
                </c:pt>
                <c:pt idx="15">
                  <c:v>2019 (Nisan)</c:v>
                </c:pt>
                <c:pt idx="16">
                  <c:v>2019 (Mayıs)</c:v>
                </c:pt>
                <c:pt idx="17">
                  <c:v>2019 (Haziran)</c:v>
                </c:pt>
                <c:pt idx="18">
                  <c:v>2019 (Temmuz)</c:v>
                </c:pt>
                <c:pt idx="19">
                  <c:v>2019 (Ağustos)</c:v>
                </c:pt>
                <c:pt idx="20">
                  <c:v>2019 (Eylül)</c:v>
                </c:pt>
                <c:pt idx="21">
                  <c:v>2019 (Ekim)</c:v>
                </c:pt>
                <c:pt idx="22">
                  <c:v>2019 (Kasım)</c:v>
                </c:pt>
                <c:pt idx="23">
                  <c:v>2019 (Aralık)</c:v>
                </c:pt>
                <c:pt idx="24">
                  <c:v>2020 (Ocak)</c:v>
                </c:pt>
                <c:pt idx="25">
                  <c:v>2020 (Şubat)</c:v>
                </c:pt>
                <c:pt idx="26">
                  <c:v>2020 (Mart)</c:v>
                </c:pt>
                <c:pt idx="27">
                  <c:v>2020 (Nisan)</c:v>
                </c:pt>
                <c:pt idx="28">
                  <c:v>2020 (Mayıs)</c:v>
                </c:pt>
                <c:pt idx="29">
                  <c:v>2020 (Haziran)</c:v>
                </c:pt>
                <c:pt idx="30">
                  <c:v>2020 (Temmuz)</c:v>
                </c:pt>
                <c:pt idx="31">
                  <c:v>2020 (Ağustos)</c:v>
                </c:pt>
                <c:pt idx="32">
                  <c:v>2020 (Eylül)</c:v>
                </c:pt>
                <c:pt idx="33">
                  <c:v>2020 (Ekim)</c:v>
                </c:pt>
                <c:pt idx="34">
                  <c:v>2020 (Kasım)</c:v>
                </c:pt>
                <c:pt idx="35">
                  <c:v>2020 (Aralık)</c:v>
                </c:pt>
                <c:pt idx="36">
                  <c:v>2021 (Ocak)</c:v>
                </c:pt>
                <c:pt idx="37">
                  <c:v>2021 (Şubat)</c:v>
                </c:pt>
                <c:pt idx="38">
                  <c:v>2021 (Mart)</c:v>
                </c:pt>
              </c:strCache>
            </c:strRef>
          </c:cat>
          <c:val>
            <c:numRef>
              <c:f>Sayfa1!$B$2:$B$40</c:f>
              <c:numCache>
                <c:formatCode>#,##0</c:formatCode>
                <c:ptCount val="39"/>
                <c:pt idx="0">
                  <c:v>8423</c:v>
                </c:pt>
                <c:pt idx="1">
                  <c:v>11582</c:v>
                </c:pt>
                <c:pt idx="2">
                  <c:v>10539</c:v>
                </c:pt>
                <c:pt idx="3">
                  <c:v>12044</c:v>
                </c:pt>
                <c:pt idx="4">
                  <c:v>9436</c:v>
                </c:pt>
                <c:pt idx="5">
                  <c:v>22957</c:v>
                </c:pt>
                <c:pt idx="6">
                  <c:v>8109</c:v>
                </c:pt>
                <c:pt idx="7">
                  <c:v>22401</c:v>
                </c:pt>
                <c:pt idx="8">
                  <c:v>9377</c:v>
                </c:pt>
                <c:pt idx="9">
                  <c:v>11739</c:v>
                </c:pt>
                <c:pt idx="10">
                  <c:v>12804</c:v>
                </c:pt>
                <c:pt idx="11">
                  <c:v>8977</c:v>
                </c:pt>
                <c:pt idx="12">
                  <c:v>17032</c:v>
                </c:pt>
                <c:pt idx="13">
                  <c:v>13829</c:v>
                </c:pt>
                <c:pt idx="14">
                  <c:v>13468</c:v>
                </c:pt>
                <c:pt idx="15">
                  <c:v>16459</c:v>
                </c:pt>
                <c:pt idx="16" formatCode="#,##0.00">
                  <c:v>22691</c:v>
                </c:pt>
                <c:pt idx="17">
                  <c:v>14587</c:v>
                </c:pt>
                <c:pt idx="18">
                  <c:v>14911</c:v>
                </c:pt>
                <c:pt idx="19">
                  <c:v>27966</c:v>
                </c:pt>
                <c:pt idx="20">
                  <c:v>15048</c:v>
                </c:pt>
                <c:pt idx="21">
                  <c:v>15999</c:v>
                </c:pt>
                <c:pt idx="22">
                  <c:v>11194</c:v>
                </c:pt>
                <c:pt idx="23">
                  <c:v>13883</c:v>
                </c:pt>
                <c:pt idx="24" formatCode="General">
                  <c:v>16479</c:v>
                </c:pt>
                <c:pt idx="25" formatCode="General">
                  <c:v>15460</c:v>
                </c:pt>
                <c:pt idx="26" formatCode="General">
                  <c:v>13301</c:v>
                </c:pt>
                <c:pt idx="27" formatCode="General">
                  <c:v>32574</c:v>
                </c:pt>
                <c:pt idx="28" formatCode="General">
                  <c:v>21623</c:v>
                </c:pt>
                <c:pt idx="29" formatCode="General">
                  <c:v>21142</c:v>
                </c:pt>
                <c:pt idx="30" formatCode="General">
                  <c:v>39073</c:v>
                </c:pt>
                <c:pt idx="31" formatCode="General">
                  <c:v>15260</c:v>
                </c:pt>
                <c:pt idx="32" formatCode="General">
                  <c:v>20609</c:v>
                </c:pt>
                <c:pt idx="33" formatCode="General">
                  <c:v>18682</c:v>
                </c:pt>
                <c:pt idx="34" formatCode="General">
                  <c:v>14196</c:v>
                </c:pt>
                <c:pt idx="35" formatCode="General">
                  <c:v>17578</c:v>
                </c:pt>
                <c:pt idx="36" formatCode="General">
                  <c:v>20521</c:v>
                </c:pt>
                <c:pt idx="37">
                  <c:v>20645</c:v>
                </c:pt>
                <c:pt idx="38" formatCode="General">
                  <c:v>14523</c:v>
                </c:pt>
              </c:numCache>
            </c:numRef>
          </c:val>
          <c:smooth val="0"/>
        </c:ser>
        <c:dLbls>
          <c:dLblPos val="ctr"/>
          <c:showLegendKey val="0"/>
          <c:showVal val="1"/>
          <c:showCatName val="0"/>
          <c:showSerName val="0"/>
          <c:showPercent val="0"/>
          <c:showBubbleSize val="0"/>
        </c:dLbls>
        <c:marker val="1"/>
        <c:smooth val="0"/>
        <c:axId val="370852992"/>
        <c:axId val="370850248"/>
      </c:lineChart>
      <c:lineChart>
        <c:grouping val="standard"/>
        <c:varyColors val="0"/>
        <c:ser>
          <c:idx val="1"/>
          <c:order val="1"/>
          <c:tx>
            <c:strRef>
              <c:f>Sayfa1!$C$1</c:f>
              <c:strCache>
                <c:ptCount val="1"/>
                <c:pt idx="0">
                  <c:v>Hane Halkına Yapılan Transferler</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Sayfa1!$A$2:$A$40</c:f>
              <c:strCache>
                <c:ptCount val="39"/>
                <c:pt idx="0">
                  <c:v>2018 (Ocak)</c:v>
                </c:pt>
                <c:pt idx="1">
                  <c:v>2018(Şubat)</c:v>
                </c:pt>
                <c:pt idx="2">
                  <c:v>2018 (Mart)</c:v>
                </c:pt>
                <c:pt idx="3">
                  <c:v>2018 (Nisan)</c:v>
                </c:pt>
                <c:pt idx="4">
                  <c:v>2018 (Mayıs)</c:v>
                </c:pt>
                <c:pt idx="5">
                  <c:v>2018 (Haziran)</c:v>
                </c:pt>
                <c:pt idx="6">
                  <c:v>2018 (Temmuz)</c:v>
                </c:pt>
                <c:pt idx="7">
                  <c:v>2018 (Ağustos)</c:v>
                </c:pt>
                <c:pt idx="8">
                  <c:v>2018 (Eylül)</c:v>
                </c:pt>
                <c:pt idx="9">
                  <c:v>2018 (Ekim)</c:v>
                </c:pt>
                <c:pt idx="10">
                  <c:v>2018 (Kasım)</c:v>
                </c:pt>
                <c:pt idx="11">
                  <c:v>2018 (Aralık)</c:v>
                </c:pt>
                <c:pt idx="12">
                  <c:v>2019 (Ocak)</c:v>
                </c:pt>
                <c:pt idx="13">
                  <c:v>2019 (Şubat)</c:v>
                </c:pt>
                <c:pt idx="14">
                  <c:v>2019 (Mart)</c:v>
                </c:pt>
                <c:pt idx="15">
                  <c:v>2019 (Nisan)</c:v>
                </c:pt>
                <c:pt idx="16">
                  <c:v>2019 (Mayıs)</c:v>
                </c:pt>
                <c:pt idx="17">
                  <c:v>2019 (Haziran)</c:v>
                </c:pt>
                <c:pt idx="18">
                  <c:v>2019 (Temmuz)</c:v>
                </c:pt>
                <c:pt idx="19">
                  <c:v>2019 (Ağustos)</c:v>
                </c:pt>
                <c:pt idx="20">
                  <c:v>2019 (Eylül)</c:v>
                </c:pt>
                <c:pt idx="21">
                  <c:v>2019 (Ekim)</c:v>
                </c:pt>
                <c:pt idx="22">
                  <c:v>2019 (Kasım)</c:v>
                </c:pt>
                <c:pt idx="23">
                  <c:v>2019 (Aralık)</c:v>
                </c:pt>
                <c:pt idx="24">
                  <c:v>2020 (Ocak)</c:v>
                </c:pt>
                <c:pt idx="25">
                  <c:v>2020 (Şubat)</c:v>
                </c:pt>
                <c:pt idx="26">
                  <c:v>2020 (Mart)</c:v>
                </c:pt>
                <c:pt idx="27">
                  <c:v>2020 (Nisan)</c:v>
                </c:pt>
                <c:pt idx="28">
                  <c:v>2020 (Mayıs)</c:v>
                </c:pt>
                <c:pt idx="29">
                  <c:v>2020 (Haziran)</c:v>
                </c:pt>
                <c:pt idx="30">
                  <c:v>2020 (Temmuz)</c:v>
                </c:pt>
                <c:pt idx="31">
                  <c:v>2020 (Ağustos)</c:v>
                </c:pt>
                <c:pt idx="32">
                  <c:v>2020 (Eylül)</c:v>
                </c:pt>
                <c:pt idx="33">
                  <c:v>2020 (Ekim)</c:v>
                </c:pt>
                <c:pt idx="34">
                  <c:v>2020 (Kasım)</c:v>
                </c:pt>
                <c:pt idx="35">
                  <c:v>2020 (Aralık)</c:v>
                </c:pt>
                <c:pt idx="36">
                  <c:v>2021 (Ocak)</c:v>
                </c:pt>
                <c:pt idx="37">
                  <c:v>2021 (Şubat)</c:v>
                </c:pt>
                <c:pt idx="38">
                  <c:v>2021 (Mart)</c:v>
                </c:pt>
              </c:strCache>
            </c:strRef>
          </c:cat>
          <c:val>
            <c:numRef>
              <c:f>Sayfa1!$C$2:$C$40</c:f>
              <c:numCache>
                <c:formatCode>General</c:formatCode>
                <c:ptCount val="39"/>
                <c:pt idx="0">
                  <c:v>368</c:v>
                </c:pt>
                <c:pt idx="1">
                  <c:v>627</c:v>
                </c:pt>
                <c:pt idx="2">
                  <c:v>408</c:v>
                </c:pt>
                <c:pt idx="3">
                  <c:v>1203</c:v>
                </c:pt>
                <c:pt idx="4">
                  <c:v>435</c:v>
                </c:pt>
                <c:pt idx="5">
                  <c:v>479</c:v>
                </c:pt>
                <c:pt idx="6">
                  <c:v>597</c:v>
                </c:pt>
                <c:pt idx="7">
                  <c:v>263</c:v>
                </c:pt>
                <c:pt idx="8">
                  <c:v>459</c:v>
                </c:pt>
                <c:pt idx="9">
                  <c:v>561</c:v>
                </c:pt>
                <c:pt idx="10">
                  <c:v>740</c:v>
                </c:pt>
                <c:pt idx="11">
                  <c:v>1123</c:v>
                </c:pt>
                <c:pt idx="12">
                  <c:v>369</c:v>
                </c:pt>
                <c:pt idx="13">
                  <c:v>637</c:v>
                </c:pt>
                <c:pt idx="14">
                  <c:v>500</c:v>
                </c:pt>
                <c:pt idx="15">
                  <c:v>652</c:v>
                </c:pt>
                <c:pt idx="16">
                  <c:v>432</c:v>
                </c:pt>
                <c:pt idx="17">
                  <c:v>420</c:v>
                </c:pt>
                <c:pt idx="18">
                  <c:v>780</c:v>
                </c:pt>
                <c:pt idx="19">
                  <c:v>397</c:v>
                </c:pt>
                <c:pt idx="20">
                  <c:v>410</c:v>
                </c:pt>
                <c:pt idx="21">
                  <c:v>654</c:v>
                </c:pt>
                <c:pt idx="22">
                  <c:v>680</c:v>
                </c:pt>
                <c:pt idx="23">
                  <c:v>707</c:v>
                </c:pt>
                <c:pt idx="24">
                  <c:v>427</c:v>
                </c:pt>
                <c:pt idx="25">
                  <c:v>1022</c:v>
                </c:pt>
                <c:pt idx="26">
                  <c:v>552</c:v>
                </c:pt>
                <c:pt idx="27">
                  <c:v>489</c:v>
                </c:pt>
                <c:pt idx="28">
                  <c:v>662</c:v>
                </c:pt>
                <c:pt idx="29">
                  <c:v>349</c:v>
                </c:pt>
                <c:pt idx="30">
                  <c:v>641</c:v>
                </c:pt>
                <c:pt idx="31">
                  <c:v>173</c:v>
                </c:pt>
                <c:pt idx="32">
                  <c:v>549</c:v>
                </c:pt>
                <c:pt idx="33">
                  <c:v>507</c:v>
                </c:pt>
                <c:pt idx="34">
                  <c:v>656</c:v>
                </c:pt>
                <c:pt idx="35">
                  <c:v>1618</c:v>
                </c:pt>
                <c:pt idx="36">
                  <c:v>497</c:v>
                </c:pt>
                <c:pt idx="37">
                  <c:v>578</c:v>
                </c:pt>
                <c:pt idx="38">
                  <c:v>614</c:v>
                </c:pt>
              </c:numCache>
            </c:numRef>
          </c:val>
          <c:smooth val="0"/>
        </c:ser>
        <c:ser>
          <c:idx val="2"/>
          <c:order val="2"/>
          <c:tx>
            <c:strRef>
              <c:f>Sayfa1!$D$1</c:f>
              <c:strCache>
                <c:ptCount val="1"/>
                <c:pt idx="0">
                  <c:v>Sosyal Amaçlı Transferler</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Sayfa1!$A$2:$A$40</c:f>
              <c:strCache>
                <c:ptCount val="39"/>
                <c:pt idx="0">
                  <c:v>2018 (Ocak)</c:v>
                </c:pt>
                <c:pt idx="1">
                  <c:v>2018(Şubat)</c:v>
                </c:pt>
                <c:pt idx="2">
                  <c:v>2018 (Mart)</c:v>
                </c:pt>
                <c:pt idx="3">
                  <c:v>2018 (Nisan)</c:v>
                </c:pt>
                <c:pt idx="4">
                  <c:v>2018 (Mayıs)</c:v>
                </c:pt>
                <c:pt idx="5">
                  <c:v>2018 (Haziran)</c:v>
                </c:pt>
                <c:pt idx="6">
                  <c:v>2018 (Temmuz)</c:v>
                </c:pt>
                <c:pt idx="7">
                  <c:v>2018 (Ağustos)</c:v>
                </c:pt>
                <c:pt idx="8">
                  <c:v>2018 (Eylül)</c:v>
                </c:pt>
                <c:pt idx="9">
                  <c:v>2018 (Ekim)</c:v>
                </c:pt>
                <c:pt idx="10">
                  <c:v>2018 (Kasım)</c:v>
                </c:pt>
                <c:pt idx="11">
                  <c:v>2018 (Aralık)</c:v>
                </c:pt>
                <c:pt idx="12">
                  <c:v>2019 (Ocak)</c:v>
                </c:pt>
                <c:pt idx="13">
                  <c:v>2019 (Şubat)</c:v>
                </c:pt>
                <c:pt idx="14">
                  <c:v>2019 (Mart)</c:v>
                </c:pt>
                <c:pt idx="15">
                  <c:v>2019 (Nisan)</c:v>
                </c:pt>
                <c:pt idx="16">
                  <c:v>2019 (Mayıs)</c:v>
                </c:pt>
                <c:pt idx="17">
                  <c:v>2019 (Haziran)</c:v>
                </c:pt>
                <c:pt idx="18">
                  <c:v>2019 (Temmuz)</c:v>
                </c:pt>
                <c:pt idx="19">
                  <c:v>2019 (Ağustos)</c:v>
                </c:pt>
                <c:pt idx="20">
                  <c:v>2019 (Eylül)</c:v>
                </c:pt>
                <c:pt idx="21">
                  <c:v>2019 (Ekim)</c:v>
                </c:pt>
                <c:pt idx="22">
                  <c:v>2019 (Kasım)</c:v>
                </c:pt>
                <c:pt idx="23">
                  <c:v>2019 (Aralık)</c:v>
                </c:pt>
                <c:pt idx="24">
                  <c:v>2020 (Ocak)</c:v>
                </c:pt>
                <c:pt idx="25">
                  <c:v>2020 (Şubat)</c:v>
                </c:pt>
                <c:pt idx="26">
                  <c:v>2020 (Mart)</c:v>
                </c:pt>
                <c:pt idx="27">
                  <c:v>2020 (Nisan)</c:v>
                </c:pt>
                <c:pt idx="28">
                  <c:v>2020 (Mayıs)</c:v>
                </c:pt>
                <c:pt idx="29">
                  <c:v>2020 (Haziran)</c:v>
                </c:pt>
                <c:pt idx="30">
                  <c:v>2020 (Temmuz)</c:v>
                </c:pt>
                <c:pt idx="31">
                  <c:v>2020 (Ağustos)</c:v>
                </c:pt>
                <c:pt idx="32">
                  <c:v>2020 (Eylül)</c:v>
                </c:pt>
                <c:pt idx="33">
                  <c:v>2020 (Ekim)</c:v>
                </c:pt>
                <c:pt idx="34">
                  <c:v>2020 (Kasım)</c:v>
                </c:pt>
                <c:pt idx="35">
                  <c:v>2020 (Aralık)</c:v>
                </c:pt>
                <c:pt idx="36">
                  <c:v>2021 (Ocak)</c:v>
                </c:pt>
                <c:pt idx="37">
                  <c:v>2021 (Şubat)</c:v>
                </c:pt>
                <c:pt idx="38">
                  <c:v>2021 (Mart)</c:v>
                </c:pt>
              </c:strCache>
            </c:strRef>
          </c:cat>
          <c:val>
            <c:numRef>
              <c:f>Sayfa1!$D$2:$D$40</c:f>
              <c:numCache>
                <c:formatCode>General</c:formatCode>
                <c:ptCount val="39"/>
                <c:pt idx="0">
                  <c:v>457</c:v>
                </c:pt>
                <c:pt idx="1">
                  <c:v>475</c:v>
                </c:pt>
                <c:pt idx="2">
                  <c:v>2105</c:v>
                </c:pt>
                <c:pt idx="3">
                  <c:v>629</c:v>
                </c:pt>
                <c:pt idx="4">
                  <c:v>613</c:v>
                </c:pt>
                <c:pt idx="5">
                  <c:v>2450</c:v>
                </c:pt>
                <c:pt idx="6">
                  <c:v>646</c:v>
                </c:pt>
                <c:pt idx="7">
                  <c:v>690</c:v>
                </c:pt>
                <c:pt idx="8">
                  <c:v>1523</c:v>
                </c:pt>
                <c:pt idx="9">
                  <c:v>1382</c:v>
                </c:pt>
                <c:pt idx="10">
                  <c:v>1388</c:v>
                </c:pt>
                <c:pt idx="11">
                  <c:v>1423</c:v>
                </c:pt>
                <c:pt idx="12">
                  <c:v>1430</c:v>
                </c:pt>
                <c:pt idx="13">
                  <c:v>1639</c:v>
                </c:pt>
                <c:pt idx="14">
                  <c:v>1592</c:v>
                </c:pt>
                <c:pt idx="15">
                  <c:v>1632</c:v>
                </c:pt>
                <c:pt idx="16">
                  <c:v>1661</c:v>
                </c:pt>
                <c:pt idx="17">
                  <c:v>1625</c:v>
                </c:pt>
                <c:pt idx="18">
                  <c:v>1620</c:v>
                </c:pt>
                <c:pt idx="19">
                  <c:v>1760</c:v>
                </c:pt>
                <c:pt idx="20">
                  <c:v>1721</c:v>
                </c:pt>
                <c:pt idx="21">
                  <c:v>1749</c:v>
                </c:pt>
                <c:pt idx="22">
                  <c:v>1732</c:v>
                </c:pt>
                <c:pt idx="23">
                  <c:v>1728</c:v>
                </c:pt>
                <c:pt idx="24">
                  <c:v>1731</c:v>
                </c:pt>
                <c:pt idx="25">
                  <c:v>1873</c:v>
                </c:pt>
                <c:pt idx="26">
                  <c:v>1842</c:v>
                </c:pt>
                <c:pt idx="27">
                  <c:v>2806</c:v>
                </c:pt>
                <c:pt idx="28">
                  <c:v>1889</c:v>
                </c:pt>
                <c:pt idx="29">
                  <c:v>990</c:v>
                </c:pt>
                <c:pt idx="30">
                  <c:v>3875</c:v>
                </c:pt>
                <c:pt idx="31">
                  <c:v>60</c:v>
                </c:pt>
                <c:pt idx="32">
                  <c:v>1978</c:v>
                </c:pt>
                <c:pt idx="33">
                  <c:v>1986</c:v>
                </c:pt>
                <c:pt idx="34">
                  <c:v>1969</c:v>
                </c:pt>
                <c:pt idx="35">
                  <c:v>1993</c:v>
                </c:pt>
                <c:pt idx="36">
                  <c:v>1996</c:v>
                </c:pt>
                <c:pt idx="37">
                  <c:v>2238</c:v>
                </c:pt>
                <c:pt idx="38">
                  <c:v>2173</c:v>
                </c:pt>
              </c:numCache>
            </c:numRef>
          </c:val>
          <c:smooth val="0"/>
        </c:ser>
        <c:dLbls>
          <c:dLblPos val="ctr"/>
          <c:showLegendKey val="0"/>
          <c:showVal val="1"/>
          <c:showCatName val="0"/>
          <c:showSerName val="0"/>
          <c:showPercent val="0"/>
          <c:showBubbleSize val="0"/>
        </c:dLbls>
        <c:marker val="1"/>
        <c:smooth val="0"/>
        <c:axId val="370850640"/>
        <c:axId val="370848288"/>
      </c:lineChart>
      <c:valAx>
        <c:axId val="370850248"/>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0852992"/>
        <c:crosses val="max"/>
        <c:crossBetween val="between"/>
      </c:valAx>
      <c:catAx>
        <c:axId val="3708529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0850248"/>
        <c:crosses val="autoZero"/>
        <c:auto val="1"/>
        <c:lblAlgn val="ctr"/>
        <c:lblOffset val="100"/>
        <c:noMultiLvlLbl val="0"/>
      </c:catAx>
      <c:valAx>
        <c:axId val="37084828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0850640"/>
        <c:crosses val="autoZero"/>
        <c:crossBetween val="between"/>
      </c:valAx>
      <c:catAx>
        <c:axId val="370850640"/>
        <c:scaling>
          <c:orientation val="minMax"/>
        </c:scaling>
        <c:delete val="1"/>
        <c:axPos val="b"/>
        <c:numFmt formatCode="General" sourceLinked="1"/>
        <c:majorTickMark val="out"/>
        <c:minorTickMark val="none"/>
        <c:tickLblPos val="nextTo"/>
        <c:crossAx val="3708482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Reversed" id="24">
  <a:schemeClr val="accent4"/>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8BE36-03D9-415A-8609-5A7D8733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19</Pages>
  <Words>6500</Words>
  <Characters>37055</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147</cp:revision>
  <dcterms:created xsi:type="dcterms:W3CDTF">2021-05-09T10:54:00Z</dcterms:created>
  <dcterms:modified xsi:type="dcterms:W3CDTF">2021-05-14T12:42:00Z</dcterms:modified>
</cp:coreProperties>
</file>