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02" w:rsidRDefault="000E60E7">
      <w:r w:rsidRPr="00077C6A">
        <w:rPr>
          <w:noProof/>
        </w:rPr>
        <w:drawing>
          <wp:anchor distT="0" distB="0" distL="114300" distR="114300" simplePos="0" relativeHeight="251659264" behindDoc="0" locked="0" layoutInCell="1" allowOverlap="1" wp14:anchorId="3881A3FE" wp14:editId="607D2695">
            <wp:simplePos x="0" y="0"/>
            <wp:positionH relativeFrom="margin">
              <wp:posOffset>-312420</wp:posOffset>
            </wp:positionH>
            <wp:positionV relativeFrom="margin">
              <wp:posOffset>167640</wp:posOffset>
            </wp:positionV>
            <wp:extent cx="838200" cy="807720"/>
            <wp:effectExtent l="0" t="0" r="0" b="0"/>
            <wp:wrapSquare wrapText="bothSides"/>
            <wp:docPr id="7" name="صورة 7" descr="C:\Users\DELL\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Picture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60E7" w:rsidRDefault="000E60E7" w:rsidP="000E60E7">
      <w:pPr>
        <w:ind w:right="-794"/>
        <w:rPr>
          <w:b/>
          <w:bCs/>
          <w:sz w:val="20"/>
          <w:szCs w:val="20"/>
        </w:rPr>
      </w:pPr>
      <w:r>
        <w:rPr>
          <w:b/>
          <w:bCs/>
          <w:noProof/>
          <w:sz w:val="20"/>
          <w:szCs w:val="20"/>
        </w:rPr>
        <w:drawing>
          <wp:anchor distT="0" distB="0" distL="114300" distR="114300" simplePos="0" relativeHeight="251658240" behindDoc="0" locked="0" layoutInCell="1" allowOverlap="1" wp14:anchorId="1963FD06" wp14:editId="2BEE9F5B">
            <wp:simplePos x="0" y="0"/>
            <wp:positionH relativeFrom="margin">
              <wp:align>right</wp:align>
            </wp:positionH>
            <wp:positionV relativeFrom="margin">
              <wp:posOffset>320040</wp:posOffset>
            </wp:positionV>
            <wp:extent cx="822960" cy="601980"/>
            <wp:effectExtent l="0" t="0" r="0" b="7620"/>
            <wp:wrapSquare wrapText="bothSides"/>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601980"/>
                    </a:xfrm>
                    <a:prstGeom prst="rect">
                      <a:avLst/>
                    </a:prstGeom>
                    <a:noFill/>
                  </pic:spPr>
                </pic:pic>
              </a:graphicData>
            </a:graphic>
            <wp14:sizeRelH relativeFrom="margin">
              <wp14:pctWidth>0</wp14:pctWidth>
            </wp14:sizeRelH>
            <wp14:sizeRelV relativeFrom="margin">
              <wp14:pctHeight>0</wp14:pctHeight>
            </wp14:sizeRelV>
          </wp:anchor>
        </w:drawing>
      </w:r>
    </w:p>
    <w:p w:rsidR="00A27326" w:rsidRPr="000E60E7" w:rsidRDefault="00077C6A" w:rsidP="000E60E7">
      <w:pPr>
        <w:ind w:right="-794"/>
        <w:rPr>
          <w:b/>
          <w:bCs/>
          <w:color w:val="5B9BD5" w:themeColor="accent1"/>
          <w:sz w:val="18"/>
          <w:szCs w:val="18"/>
        </w:rPr>
      </w:pPr>
      <w:r w:rsidRPr="000E60E7">
        <w:rPr>
          <w:b/>
          <w:bCs/>
          <w:color w:val="5B9BD5" w:themeColor="accent1"/>
          <w:sz w:val="18"/>
          <w:szCs w:val="18"/>
        </w:rPr>
        <w:t xml:space="preserve">PROCEEDINGS OF </w:t>
      </w:r>
      <w:r w:rsidR="005A3A1B" w:rsidRPr="000E60E7">
        <w:rPr>
          <w:b/>
          <w:bCs/>
          <w:color w:val="5B9BD5" w:themeColor="accent1"/>
          <w:sz w:val="18"/>
          <w:szCs w:val="18"/>
        </w:rPr>
        <w:t>IKSTC 2023 2</w:t>
      </w:r>
      <w:r w:rsidR="009138C2" w:rsidRPr="000E60E7">
        <w:rPr>
          <w:b/>
          <w:bCs/>
          <w:color w:val="5B9BD5" w:themeColor="accent1"/>
          <w:sz w:val="18"/>
          <w:szCs w:val="18"/>
          <w:vertAlign w:val="superscript"/>
        </w:rPr>
        <w:t>ed</w:t>
      </w:r>
      <w:r w:rsidR="009138C2" w:rsidRPr="000E60E7">
        <w:rPr>
          <w:b/>
          <w:bCs/>
          <w:color w:val="5B9BD5" w:themeColor="accent1"/>
          <w:sz w:val="18"/>
          <w:szCs w:val="18"/>
        </w:rPr>
        <w:t xml:space="preserve"> KARATEKIN</w:t>
      </w:r>
      <w:r w:rsidRPr="000E60E7">
        <w:rPr>
          <w:b/>
          <w:bCs/>
          <w:color w:val="5B9BD5" w:themeColor="accent1"/>
          <w:sz w:val="18"/>
          <w:szCs w:val="18"/>
        </w:rPr>
        <w:t xml:space="preserve"> SCIENCE AND TECHNOLOGY CONFERENCE </w:t>
      </w:r>
    </w:p>
    <w:p w:rsidR="00077C6A" w:rsidRPr="000E60E7" w:rsidRDefault="00077C6A" w:rsidP="00077C6A">
      <w:pPr>
        <w:jc w:val="center"/>
        <w:rPr>
          <w:b/>
          <w:bCs/>
          <w:color w:val="7030A0"/>
          <w:sz w:val="18"/>
          <w:szCs w:val="18"/>
        </w:rPr>
      </w:pPr>
      <w:r w:rsidRPr="000E60E7">
        <w:rPr>
          <w:b/>
          <w:bCs/>
          <w:color w:val="7030A0"/>
          <w:sz w:val="18"/>
          <w:szCs w:val="18"/>
        </w:rPr>
        <w:t>21-22 DECEMBER 2023, Çankırı, Türkiye</w:t>
      </w:r>
    </w:p>
    <w:p w:rsidR="00A27326" w:rsidRDefault="00A27326"/>
    <w:p w:rsidR="00A27326" w:rsidRPr="00A27326" w:rsidRDefault="00A27326" w:rsidP="00A27326">
      <w:pPr>
        <w:spacing w:after="80" w:line="240" w:lineRule="auto"/>
        <w:jc w:val="center"/>
        <w:rPr>
          <w:rFonts w:ascii="Times New Roman" w:eastAsia="Times New Roman" w:hAnsi="Times New Roman" w:cs="Times New Roman"/>
          <w:b/>
          <w:bCs/>
          <w:color w:val="000000"/>
          <w:sz w:val="28"/>
          <w:szCs w:val="28"/>
        </w:rPr>
      </w:pPr>
      <w:r w:rsidRPr="00A27326">
        <w:rPr>
          <w:rFonts w:ascii="Times New Roman" w:eastAsia="Times New Roman" w:hAnsi="Times New Roman" w:cs="Times New Roman"/>
          <w:b/>
          <w:sz w:val="28"/>
          <w:szCs w:val="28"/>
          <w:lang w:val="tr-TR"/>
        </w:rPr>
        <w:t>Molecular Docking and ADMET Studies of Podophyllotoxin Derivatives t</w:t>
      </w:r>
      <w:r w:rsidR="005A3A1B">
        <w:rPr>
          <w:rFonts w:ascii="Times New Roman" w:eastAsia="Times New Roman" w:hAnsi="Times New Roman" w:cs="Times New Roman"/>
          <w:b/>
          <w:sz w:val="28"/>
          <w:szCs w:val="28"/>
          <w:lang w:val="tr-TR"/>
        </w:rPr>
        <w:t>argeting Ribosomal Protein (RPL27A</w:t>
      </w:r>
      <w:r w:rsidRPr="00A27326">
        <w:rPr>
          <w:rFonts w:ascii="Times New Roman" w:eastAsia="Times New Roman" w:hAnsi="Times New Roman" w:cs="Times New Roman"/>
          <w:b/>
          <w:sz w:val="28"/>
          <w:szCs w:val="28"/>
          <w:lang w:val="tr-TR"/>
        </w:rPr>
        <w:t xml:space="preserve">) in Triple Negative Breast Cancer </w:t>
      </w:r>
    </w:p>
    <w:p w:rsidR="00A27326" w:rsidRPr="00A27326" w:rsidRDefault="00A27326" w:rsidP="00A27326">
      <w:pPr>
        <w:spacing w:after="80" w:line="240" w:lineRule="auto"/>
        <w:jc w:val="center"/>
        <w:rPr>
          <w:rFonts w:ascii="Calibri" w:eastAsia="Times New Roman" w:hAnsi="Calibri" w:cs="Calibri"/>
          <w:b/>
          <w:color w:val="000000"/>
          <w:vertAlign w:val="superscript"/>
          <w:lang w:val="tr-TR"/>
        </w:rPr>
      </w:pPr>
      <w:r w:rsidRPr="00A27326">
        <w:rPr>
          <w:rFonts w:ascii="Times New Roman" w:eastAsia="Times New Roman" w:hAnsi="Times New Roman" w:cs="Times New Roman"/>
          <w:b/>
          <w:i/>
          <w:iCs/>
          <w:u w:val="single"/>
          <w:lang w:val="tr-TR"/>
        </w:rPr>
        <w:t>FATMA SAAD MOHAMED BELHAJ</w:t>
      </w:r>
      <w:r w:rsidRPr="00A27326">
        <w:rPr>
          <w:rFonts w:ascii="Times New Roman" w:eastAsia="Times New Roman" w:hAnsi="Times New Roman" w:cs="Times New Roman"/>
          <w:b/>
          <w:i/>
          <w:color w:val="000000"/>
          <w:vertAlign w:val="superscript"/>
          <w:lang w:val="tr-TR"/>
        </w:rPr>
        <w:t xml:space="preserve"> 1,</w:t>
      </w:r>
      <w:r w:rsidRPr="00A27326">
        <w:rPr>
          <w:rFonts w:ascii="Times New Roman" w:eastAsia="Times New Roman" w:hAnsi="Times New Roman" w:cs="Times New Roman"/>
          <w:b/>
          <w:i/>
          <w:color w:val="000000"/>
          <w:vertAlign w:val="superscript"/>
          <w:lang w:val="tr-TR"/>
        </w:rPr>
        <w:footnoteReference w:customMarkFollows="1" w:id="1"/>
        <w:sym w:font="Symbol" w:char="F02A"/>
      </w:r>
      <w:r w:rsidRPr="00A27326">
        <w:rPr>
          <w:rFonts w:ascii="Times New Roman" w:eastAsia="Times New Roman" w:hAnsi="Times New Roman" w:cs="Times New Roman"/>
          <w:b/>
          <w:i/>
          <w:color w:val="000000"/>
          <w:vertAlign w:val="superscript"/>
          <w:lang w:val="tr-TR"/>
        </w:rPr>
        <w:t xml:space="preserve"> </w:t>
      </w:r>
      <w:r w:rsidRPr="00A27326">
        <w:rPr>
          <w:rFonts w:ascii="Times New Roman" w:eastAsia="Times New Roman" w:hAnsi="Times New Roman" w:cs="Times New Roman"/>
          <w:b/>
          <w:i/>
          <w:noProof/>
          <w:color w:val="000000"/>
        </w:rPr>
        <w:drawing>
          <wp:inline distT="0" distB="0" distL="0" distR="0">
            <wp:extent cx="152400" cy="152400"/>
            <wp:effectExtent l="0" t="0" r="0" b="0"/>
            <wp:docPr id="2" name="صورة 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C:\Users\Abdullah\AppData\Local\Microsoft\Windows\INetCache\Content.Word\ORCID-iD_icon-16x1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27326">
        <w:rPr>
          <w:rFonts w:ascii="Calibri" w:eastAsia="Times New Roman" w:hAnsi="Calibri" w:cs="Calibri"/>
          <w:b/>
          <w:i/>
          <w:color w:val="000000"/>
          <w:vertAlign w:val="superscript"/>
          <w:lang w:val="tr-TR"/>
        </w:rPr>
        <w:t xml:space="preserve"> </w:t>
      </w:r>
      <w:r w:rsidRPr="00A27326">
        <w:rPr>
          <w:rFonts w:ascii="Calibri" w:eastAsia="Times New Roman" w:hAnsi="Calibri" w:cs="Calibri"/>
          <w:b/>
          <w:i/>
          <w:color w:val="000000"/>
          <w:lang w:val="tr-TR"/>
        </w:rPr>
        <w:t xml:space="preserve">, </w:t>
      </w:r>
      <w:r w:rsidRPr="00A27326">
        <w:rPr>
          <w:rFonts w:ascii="Times New Roman" w:eastAsia="Times New Roman" w:hAnsi="Times New Roman" w:cs="Times New Roman"/>
          <w:b/>
          <w:i/>
          <w:color w:val="000000"/>
          <w:u w:val="single"/>
          <w:lang w:val="tr-TR"/>
        </w:rPr>
        <w:t>Şevki ADEM</w:t>
      </w:r>
      <w:r w:rsidRPr="00A27326">
        <w:rPr>
          <w:rFonts w:ascii="Times New Roman" w:eastAsia="Times New Roman" w:hAnsi="Times New Roman" w:cs="Times New Roman"/>
          <w:b/>
          <w:i/>
          <w:color w:val="000000"/>
          <w:u w:val="single"/>
          <w:vertAlign w:val="superscript"/>
          <w:lang w:val="tr-TR"/>
        </w:rPr>
        <w:t>2</w:t>
      </w:r>
      <w:r w:rsidRPr="00A27326">
        <w:rPr>
          <w:rFonts w:ascii="Calibri" w:eastAsia="Times New Roman" w:hAnsi="Calibri" w:cs="Calibri"/>
          <w:b/>
          <w:i/>
          <w:color w:val="000000"/>
          <w:vertAlign w:val="superscript"/>
          <w:lang w:val="tr-TR"/>
        </w:rPr>
        <w:t xml:space="preserve"> </w:t>
      </w:r>
      <w:r w:rsidRPr="00A27326">
        <w:rPr>
          <w:rFonts w:ascii="Times New Roman" w:eastAsia="Times New Roman" w:hAnsi="Times New Roman" w:cs="Times New Roman"/>
          <w:b/>
          <w:i/>
          <w:noProof/>
          <w:color w:val="000000"/>
        </w:rPr>
        <w:drawing>
          <wp:inline distT="0" distB="0" distL="0" distR="0">
            <wp:extent cx="152400" cy="152400"/>
            <wp:effectExtent l="0" t="0" r="0" b="0"/>
            <wp:docPr id="1" name="صورة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C:\Users\Abdullah\AppData\Local\Microsoft\Windows\INetCache\Content.Word\ORCID-iD_icon-16x1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A27326" w:rsidRPr="00A27326" w:rsidRDefault="00A27326" w:rsidP="00A27326">
      <w:pPr>
        <w:autoSpaceDE w:val="0"/>
        <w:autoSpaceDN w:val="0"/>
        <w:spacing w:before="120" w:after="0" w:line="240" w:lineRule="auto"/>
        <w:jc w:val="center"/>
        <w:rPr>
          <w:rFonts w:ascii="Times New Roman" w:eastAsia="Times New Roman" w:hAnsi="Times New Roman" w:cs="Times New Roman"/>
          <w:b/>
          <w:i/>
          <w:sz w:val="18"/>
          <w:szCs w:val="18"/>
          <w:lang w:val="tr-TR"/>
        </w:rPr>
      </w:pPr>
      <w:r w:rsidRPr="00A27326">
        <w:rPr>
          <w:rFonts w:ascii="Times New Roman" w:eastAsia="Times New Roman" w:hAnsi="Times New Roman" w:cs="Times New Roman"/>
          <w:i/>
          <w:color w:val="000000"/>
          <w:sz w:val="18"/>
          <w:szCs w:val="18"/>
          <w:vertAlign w:val="superscript"/>
          <w:lang w:val="tr-TR"/>
        </w:rPr>
        <w:t>1</w:t>
      </w:r>
      <w:r w:rsidRPr="00A27326">
        <w:rPr>
          <w:rFonts w:ascii="Times New Roman" w:eastAsia="MS Mincho" w:hAnsi="Times New Roman" w:cs="Times New Roman"/>
          <w:i/>
          <w:iCs/>
          <w:sz w:val="18"/>
          <w:szCs w:val="18"/>
          <w:lang w:val="tr-TR"/>
        </w:rPr>
        <w:t xml:space="preserve"> Natural and Applied Sciences, Science Faculty, Çankırı Karatekin University, Çankırı, Türkiye/Libya</w:t>
      </w:r>
    </w:p>
    <w:p w:rsidR="00A27326" w:rsidRDefault="00A27326" w:rsidP="00A27326">
      <w:pPr>
        <w:autoSpaceDE w:val="0"/>
        <w:autoSpaceDN w:val="0"/>
        <w:spacing w:before="120" w:after="0" w:line="240" w:lineRule="auto"/>
        <w:jc w:val="center"/>
        <w:rPr>
          <w:rFonts w:ascii="Times New Roman" w:eastAsia="MS Mincho" w:hAnsi="Times New Roman" w:cs="Times New Roman"/>
          <w:i/>
          <w:iCs/>
          <w:sz w:val="18"/>
          <w:szCs w:val="18"/>
          <w:lang w:val="tr-TR"/>
        </w:rPr>
      </w:pPr>
      <w:r w:rsidRPr="00A27326">
        <w:rPr>
          <w:rFonts w:ascii="Times New Roman" w:eastAsia="Times New Roman" w:hAnsi="Times New Roman" w:cs="Times New Roman"/>
          <w:i/>
          <w:color w:val="000000"/>
          <w:sz w:val="18"/>
          <w:szCs w:val="18"/>
          <w:vertAlign w:val="superscript"/>
          <w:lang w:val="tr-TR"/>
        </w:rPr>
        <w:t>2</w:t>
      </w:r>
      <w:r w:rsidRPr="00A27326">
        <w:rPr>
          <w:rFonts w:ascii="Times New Roman" w:eastAsia="MS Mincho" w:hAnsi="Times New Roman" w:cs="Times New Roman"/>
          <w:i/>
          <w:iCs/>
          <w:sz w:val="18"/>
          <w:szCs w:val="18"/>
          <w:lang w:val="tr-TR"/>
        </w:rPr>
        <w:t xml:space="preserve"> Natural and Applied Sciences, Science Faculty, Çankırı Karatekin University, Çankırı, Türkiye</w:t>
      </w:r>
    </w:p>
    <w:p w:rsidR="00A27326" w:rsidRPr="00A27326" w:rsidRDefault="00A27326" w:rsidP="00A27326">
      <w:pPr>
        <w:autoSpaceDE w:val="0"/>
        <w:autoSpaceDN w:val="0"/>
        <w:spacing w:before="120" w:after="0" w:line="240" w:lineRule="auto"/>
        <w:jc w:val="center"/>
        <w:rPr>
          <w:rFonts w:ascii="Times New Roman" w:eastAsia="Times New Roman" w:hAnsi="Times New Roman" w:cs="Times New Roman"/>
          <w:b/>
          <w:i/>
          <w:sz w:val="18"/>
          <w:szCs w:val="18"/>
          <w:lang w:val="tr-TR"/>
        </w:rPr>
      </w:pPr>
      <w:r w:rsidRPr="00A27326">
        <w:rPr>
          <w:rFonts w:ascii="Times New Roman" w:eastAsia="MS Mincho" w:hAnsi="Times New Roman" w:cs="Times New Roman"/>
          <w:i/>
          <w:iCs/>
          <w:sz w:val="18"/>
          <w:szCs w:val="18"/>
          <w:lang w:val="tr-TR"/>
        </w:rPr>
        <w:t xml:space="preserve"> </w:t>
      </w:r>
    </w:p>
    <w:tbl>
      <w:tblPr>
        <w:tblStyle w:val="1"/>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0"/>
      </w:tblGrid>
      <w:tr w:rsidR="00A27326" w:rsidRPr="00A27326" w:rsidTr="00A27326">
        <w:trPr>
          <w:trHeight w:val="1796"/>
        </w:trPr>
        <w:tc>
          <w:tcPr>
            <w:tcW w:w="10150" w:type="dxa"/>
            <w:shd w:val="clear" w:color="auto" w:fill="D9D9D9"/>
          </w:tcPr>
          <w:p w:rsidR="00A27326" w:rsidRPr="00A27326" w:rsidRDefault="00A27326" w:rsidP="00FA7FD5">
            <w:pPr>
              <w:widowControl w:val="0"/>
              <w:shd w:val="clear" w:color="auto" w:fill="D9D9D9"/>
              <w:autoSpaceDE w:val="0"/>
              <w:autoSpaceDN w:val="0"/>
              <w:adjustRightInd w:val="0"/>
              <w:ind w:right="170"/>
              <w:rPr>
                <w:rFonts w:ascii="Times New Roman" w:hAnsi="Times New Roman" w:cs="Times New Roman"/>
                <w:b/>
                <w:bCs/>
                <w:color w:val="000000"/>
                <w:sz w:val="24"/>
                <w:szCs w:val="24"/>
              </w:rPr>
            </w:pPr>
            <w:r w:rsidRPr="00A27326">
              <w:rPr>
                <w:rFonts w:ascii="Times New Roman" w:hAnsi="Times New Roman" w:cs="Times New Roman"/>
                <w:b/>
                <w:bCs/>
                <w:color w:val="000000"/>
                <w:sz w:val="24"/>
                <w:szCs w:val="24"/>
              </w:rPr>
              <w:t xml:space="preserve">Abstract </w:t>
            </w:r>
          </w:p>
          <w:p w:rsidR="00A27326" w:rsidRPr="00A27326" w:rsidRDefault="00A27326" w:rsidP="00FA7FD5">
            <w:pPr>
              <w:widowControl w:val="0"/>
              <w:shd w:val="clear" w:color="auto" w:fill="D9D9D9"/>
              <w:autoSpaceDE w:val="0"/>
              <w:autoSpaceDN w:val="0"/>
              <w:adjustRightInd w:val="0"/>
              <w:ind w:right="170"/>
              <w:jc w:val="both"/>
              <w:rPr>
                <w:rFonts w:ascii="Times New Roman" w:hAnsi="Times New Roman" w:cs="Times New Roman"/>
                <w:color w:val="000000"/>
                <w:sz w:val="24"/>
                <w:szCs w:val="24"/>
              </w:rPr>
            </w:pPr>
            <w:r w:rsidRPr="00A27326">
              <w:rPr>
                <w:rFonts w:ascii="Times New Roman" w:hAnsi="Times New Roman" w:cs="Times New Roman"/>
                <w:sz w:val="20"/>
                <w:szCs w:val="20"/>
              </w:rPr>
              <w:t xml:space="preserve">Breast cancer is the most prevalent </w:t>
            </w:r>
            <w:r w:rsidR="006C3569">
              <w:rPr>
                <w:rFonts w:ascii="Times New Roman" w:hAnsi="Times New Roman" w:cs="Times New Roman"/>
                <w:sz w:val="20"/>
                <w:szCs w:val="20"/>
              </w:rPr>
              <w:t xml:space="preserve">cancer in women worldwide, and </w:t>
            </w:r>
            <w:r w:rsidRPr="00A27326">
              <w:rPr>
                <w:rFonts w:ascii="Times New Roman" w:hAnsi="Times New Roman" w:cs="Times New Roman"/>
                <w:sz w:val="20"/>
                <w:szCs w:val="20"/>
              </w:rPr>
              <w:t xml:space="preserve">Triple-negative breast cancer (TNBC) accounts for </w:t>
            </w:r>
            <w:r w:rsidRPr="00A27326">
              <w:rPr>
                <w:rFonts w:ascii="Cambria Math" w:hAnsi="Cambria Math" w:cs="Cambria Math"/>
                <w:sz w:val="20"/>
                <w:szCs w:val="20"/>
              </w:rPr>
              <w:t>∼</w:t>
            </w:r>
            <w:r w:rsidRPr="00A27326">
              <w:rPr>
                <w:rFonts w:ascii="Times New Roman" w:hAnsi="Times New Roman" w:cs="Times New Roman"/>
                <w:sz w:val="20"/>
                <w:szCs w:val="20"/>
              </w:rPr>
              <w:t>20% of</w:t>
            </w:r>
            <w:r w:rsidR="006C3569">
              <w:rPr>
                <w:rFonts w:ascii="Times New Roman" w:hAnsi="Times New Roman" w:cs="Times New Roman"/>
                <w:sz w:val="20"/>
                <w:szCs w:val="20"/>
              </w:rPr>
              <w:t xml:space="preserve"> all its </w:t>
            </w:r>
            <w:r w:rsidR="009138C2">
              <w:rPr>
                <w:rFonts w:ascii="Times New Roman" w:hAnsi="Times New Roman" w:cs="Times New Roman"/>
                <w:sz w:val="20"/>
                <w:szCs w:val="20"/>
              </w:rPr>
              <w:t>cases.</w:t>
            </w:r>
            <w:r w:rsidR="006C3569">
              <w:rPr>
                <w:rFonts w:ascii="Times New Roman" w:hAnsi="Times New Roman" w:cs="Times New Roman"/>
                <w:sz w:val="20"/>
                <w:szCs w:val="20"/>
              </w:rPr>
              <w:t xml:space="preserve"> This study aimed</w:t>
            </w:r>
            <w:r w:rsidRPr="00A27326">
              <w:rPr>
                <w:rFonts w:ascii="Times New Roman" w:hAnsi="Times New Roman" w:cs="Times New Roman"/>
                <w:sz w:val="20"/>
                <w:szCs w:val="20"/>
              </w:rPr>
              <w:t xml:space="preserve"> to investigate the possible interaction potentials of podophyllotoxin derivatives with</w:t>
            </w:r>
            <w:r w:rsidR="006F49FB">
              <w:rPr>
                <w:rFonts w:ascii="Times New Roman" w:hAnsi="Times New Roman" w:cs="Times New Roman"/>
                <w:sz w:val="20"/>
                <w:szCs w:val="20"/>
              </w:rPr>
              <w:t xml:space="preserve"> RPL27A target</w:t>
            </w:r>
            <w:r w:rsidR="006C3569">
              <w:rPr>
                <w:rFonts w:ascii="Times New Roman" w:hAnsi="Times New Roman" w:cs="Times New Roman"/>
                <w:sz w:val="20"/>
                <w:szCs w:val="20"/>
              </w:rPr>
              <w:t xml:space="preserve"> as</w:t>
            </w:r>
            <w:r w:rsidRPr="00A27326">
              <w:rPr>
                <w:rFonts w:ascii="Times New Roman" w:hAnsi="Times New Roman" w:cs="Times New Roman"/>
                <w:sz w:val="20"/>
                <w:szCs w:val="20"/>
              </w:rPr>
              <w:t xml:space="preserve"> </w:t>
            </w:r>
            <w:r w:rsidR="006C3569">
              <w:rPr>
                <w:rFonts w:ascii="Times New Roman" w:hAnsi="Times New Roman" w:cs="Times New Roman"/>
                <w:sz w:val="20"/>
                <w:szCs w:val="20"/>
              </w:rPr>
              <w:t>an important therapeutic option that used</w:t>
            </w:r>
            <w:r w:rsidRPr="00A27326">
              <w:rPr>
                <w:rFonts w:ascii="Times New Roman" w:hAnsi="Times New Roman" w:cs="Times New Roman"/>
                <w:sz w:val="20"/>
                <w:szCs w:val="20"/>
              </w:rPr>
              <w:t xml:space="preserve"> in silico molecular techniques. Podophyllotoxin derivatives are found to have beneficial health effects in treating Cancer. An effort has been made to virtually screen podophyllotoxin derivative inhibitors by molecular docking in the current </w:t>
            </w:r>
            <w:r w:rsidR="009138C2">
              <w:rPr>
                <w:rFonts w:ascii="Times New Roman" w:hAnsi="Times New Roman" w:cs="Times New Roman"/>
                <w:sz w:val="20"/>
                <w:szCs w:val="20"/>
              </w:rPr>
              <w:t>studies. The best binding score that has</w:t>
            </w:r>
            <w:r w:rsidRPr="00A27326">
              <w:rPr>
                <w:rFonts w:ascii="Times New Roman" w:hAnsi="Times New Roman" w:cs="Times New Roman"/>
                <w:sz w:val="20"/>
                <w:szCs w:val="20"/>
              </w:rPr>
              <w:t xml:space="preserve"> been resulted from the molecul</w:t>
            </w:r>
            <w:r w:rsidR="009138C2">
              <w:rPr>
                <w:rFonts w:ascii="Times New Roman" w:hAnsi="Times New Roman" w:cs="Times New Roman"/>
                <w:sz w:val="20"/>
                <w:szCs w:val="20"/>
              </w:rPr>
              <w:t>ar docking analysis was</w:t>
            </w:r>
            <w:r w:rsidRPr="00A27326">
              <w:rPr>
                <w:rFonts w:ascii="Times New Roman" w:hAnsi="Times New Roman" w:cs="Times New Roman"/>
                <w:sz w:val="20"/>
                <w:szCs w:val="20"/>
              </w:rPr>
              <w:t xml:space="preserve"> </w:t>
            </w:r>
            <w:r w:rsidR="00AC6835">
              <w:rPr>
                <w:rFonts w:ascii="Times New Roman" w:hAnsi="Times New Roman" w:cs="Times New Roman"/>
                <w:sz w:val="20"/>
                <w:szCs w:val="20"/>
              </w:rPr>
              <w:t xml:space="preserve">by a Teniposide ligand with RPL27A target which is -9.1 kcal/mol </w:t>
            </w:r>
            <w:r w:rsidRPr="00A27326">
              <w:rPr>
                <w:rFonts w:ascii="Times New Roman" w:hAnsi="Times New Roman" w:cs="Times New Roman"/>
                <w:sz w:val="20"/>
                <w:szCs w:val="20"/>
              </w:rPr>
              <w:t>, in addition to</w:t>
            </w:r>
            <w:r w:rsidR="009138C2">
              <w:rPr>
                <w:rFonts w:ascii="Times New Roman" w:hAnsi="Times New Roman" w:cs="Times New Roman"/>
                <w:sz w:val="20"/>
                <w:szCs w:val="20"/>
              </w:rPr>
              <w:t xml:space="preserve"> the lowest binding energies that were by </w:t>
            </w:r>
            <w:r w:rsidRPr="00A27326">
              <w:rPr>
                <w:rFonts w:ascii="Times New Roman" w:hAnsi="Times New Roman" w:cs="Times New Roman"/>
                <w:sz w:val="20"/>
                <w:szCs w:val="20"/>
              </w:rPr>
              <w:t>Dihydrotaiwanin C, tetrahydrojusticidin B, Cleistant</w:t>
            </w:r>
            <w:r w:rsidR="00AC6835">
              <w:rPr>
                <w:rFonts w:ascii="Times New Roman" w:hAnsi="Times New Roman" w:cs="Times New Roman"/>
                <w:sz w:val="20"/>
                <w:szCs w:val="20"/>
              </w:rPr>
              <w:t xml:space="preserve">oxin, and Etop ligands with the same target </w:t>
            </w:r>
            <w:r w:rsidR="006C3569">
              <w:rPr>
                <w:rFonts w:ascii="Times New Roman" w:hAnsi="Times New Roman" w:cs="Times New Roman"/>
                <w:sz w:val="20"/>
                <w:szCs w:val="20"/>
              </w:rPr>
              <w:t>,</w:t>
            </w:r>
            <w:r w:rsidRPr="00A27326">
              <w:rPr>
                <w:rFonts w:ascii="Times New Roman" w:hAnsi="Times New Roman" w:cs="Times New Roman"/>
                <w:sz w:val="20"/>
                <w:szCs w:val="20"/>
              </w:rPr>
              <w:t xml:space="preserve"> which are</w:t>
            </w:r>
            <w:r w:rsidR="006C3569">
              <w:rPr>
                <w:rFonts w:ascii="Times New Roman" w:hAnsi="Times New Roman" w:cs="Times New Roman"/>
                <w:sz w:val="20"/>
                <w:szCs w:val="20"/>
              </w:rPr>
              <w:t xml:space="preserve"> </w:t>
            </w:r>
            <w:r w:rsidR="006C3569" w:rsidRPr="006F49FB">
              <w:rPr>
                <w:rFonts w:ascii="Times New Roman" w:hAnsi="Times New Roman" w:cs="Times New Roman"/>
                <w:bCs/>
                <w:sz w:val="20"/>
                <w:szCs w:val="20"/>
              </w:rPr>
              <w:t>(-8.0, -7.1, -7.6, and -9.0</w:t>
            </w:r>
            <w:r w:rsidR="006C3569">
              <w:rPr>
                <w:rFonts w:ascii="Times New Roman" w:hAnsi="Times New Roman" w:cs="Times New Roman"/>
                <w:bCs/>
              </w:rPr>
              <w:t xml:space="preserve"> </w:t>
            </w:r>
            <w:r w:rsidRPr="00A27326">
              <w:rPr>
                <w:rFonts w:ascii="Times New Roman" w:hAnsi="Times New Roman" w:cs="Times New Roman"/>
                <w:sz w:val="20"/>
                <w:szCs w:val="20"/>
              </w:rPr>
              <w:t xml:space="preserve"> </w:t>
            </w:r>
            <w:r w:rsidR="006C3569">
              <w:rPr>
                <w:rFonts w:ascii="Times New Roman" w:hAnsi="Times New Roman" w:cs="Times New Roman"/>
                <w:sz w:val="20"/>
                <w:szCs w:val="20"/>
              </w:rPr>
              <w:t>kcal/mol respectively</w:t>
            </w:r>
            <w:r w:rsidRPr="00A27326">
              <w:rPr>
                <w:rFonts w:ascii="Times New Roman" w:hAnsi="Times New Roman" w:cs="Times New Roman"/>
                <w:sz w:val="20"/>
                <w:szCs w:val="20"/>
              </w:rPr>
              <w:t>) .This study reveals that these podophyllotoxin molecules can be developed as a novel multi-target RPs target inhibitors with greater potential and low toxicity.</w:t>
            </w:r>
          </w:p>
        </w:tc>
      </w:tr>
      <w:tr w:rsidR="00A27326" w:rsidRPr="00A27326" w:rsidTr="00A27326">
        <w:trPr>
          <w:trHeight w:val="274"/>
        </w:trPr>
        <w:tc>
          <w:tcPr>
            <w:tcW w:w="10150" w:type="dxa"/>
            <w:shd w:val="clear" w:color="auto" w:fill="FFFFFF"/>
          </w:tcPr>
          <w:p w:rsidR="00A27326" w:rsidRPr="00A27326" w:rsidRDefault="00A27326" w:rsidP="004F7961">
            <w:pPr>
              <w:widowControl w:val="0"/>
              <w:autoSpaceDE w:val="0"/>
              <w:autoSpaceDN w:val="0"/>
              <w:adjustRightInd w:val="0"/>
              <w:jc w:val="both"/>
              <w:rPr>
                <w:rFonts w:ascii="Times New Roman" w:eastAsia="MS Mincho" w:hAnsi="Times New Roman" w:cs="Times New Roman"/>
                <w:b/>
                <w:bCs/>
                <w:i/>
                <w:iCs/>
                <w:noProof/>
                <w:color w:val="000000"/>
                <w:sz w:val="20"/>
                <w:szCs w:val="20"/>
                <w:lang w:val="tr-TR"/>
              </w:rPr>
            </w:pPr>
          </w:p>
          <w:p w:rsidR="00A27326" w:rsidRPr="00A27326" w:rsidRDefault="00A27326" w:rsidP="004F7961">
            <w:pPr>
              <w:widowControl w:val="0"/>
              <w:autoSpaceDE w:val="0"/>
              <w:autoSpaceDN w:val="0"/>
              <w:adjustRightInd w:val="0"/>
              <w:jc w:val="both"/>
              <w:rPr>
                <w:rFonts w:ascii="Times New Roman" w:eastAsia="MS Mincho" w:hAnsi="Times New Roman" w:cs="Times New Roman"/>
                <w:i/>
                <w:iCs/>
                <w:noProof/>
                <w:color w:val="000000"/>
                <w:sz w:val="20"/>
                <w:szCs w:val="20"/>
                <w:lang w:val="tr-TR"/>
              </w:rPr>
            </w:pPr>
            <w:r w:rsidRPr="00A27326">
              <w:rPr>
                <w:rFonts w:ascii="Times New Roman" w:eastAsia="MS Mincho" w:hAnsi="Times New Roman" w:cs="Times New Roman"/>
                <w:b/>
                <w:bCs/>
                <w:i/>
                <w:iCs/>
                <w:noProof/>
                <w:color w:val="000000"/>
                <w:sz w:val="20"/>
                <w:szCs w:val="20"/>
                <w:lang w:val="tr-TR"/>
              </w:rPr>
              <w:t xml:space="preserve">Keywords: </w:t>
            </w:r>
            <w:r w:rsidRPr="00A27326">
              <w:rPr>
                <w:rFonts w:ascii="Times New Roman" w:eastAsia="MS Mincho" w:hAnsi="Times New Roman" w:cs="Times New Roman"/>
                <w:i/>
                <w:iCs/>
                <w:noProof/>
                <w:sz w:val="20"/>
                <w:szCs w:val="20"/>
                <w:lang w:val="tr-TR"/>
              </w:rPr>
              <w:t>Triple Negative Breast Cancer ( TNBC), Ribosomal protein ( RP</w:t>
            </w:r>
            <w:r w:rsidR="00AC6835">
              <w:rPr>
                <w:rFonts w:ascii="Times New Roman" w:eastAsia="MS Mincho" w:hAnsi="Times New Roman" w:cs="Times New Roman"/>
                <w:i/>
                <w:iCs/>
                <w:noProof/>
                <w:sz w:val="20"/>
                <w:szCs w:val="20"/>
                <w:lang w:val="tr-TR"/>
              </w:rPr>
              <w:t>L27A</w:t>
            </w:r>
            <w:r w:rsidRPr="00A27326">
              <w:rPr>
                <w:rFonts w:ascii="Times New Roman" w:eastAsia="MS Mincho" w:hAnsi="Times New Roman" w:cs="Times New Roman"/>
                <w:i/>
                <w:iCs/>
                <w:noProof/>
                <w:sz w:val="20"/>
                <w:szCs w:val="20"/>
                <w:lang w:val="tr-TR"/>
              </w:rPr>
              <w:t>), Podophyllotoxine derivatives, molecular docking, ADMET studies.</w:t>
            </w:r>
          </w:p>
          <w:p w:rsidR="00A27326" w:rsidRPr="00A27326" w:rsidRDefault="00A27326" w:rsidP="004F7961">
            <w:pPr>
              <w:widowControl w:val="0"/>
              <w:autoSpaceDE w:val="0"/>
              <w:autoSpaceDN w:val="0"/>
              <w:adjustRightInd w:val="0"/>
              <w:jc w:val="both"/>
              <w:rPr>
                <w:rFonts w:ascii="Times New Roman" w:hAnsi="Times New Roman" w:cs="Times New Roman"/>
                <w:i/>
                <w:color w:val="000000"/>
                <w:sz w:val="20"/>
                <w:szCs w:val="20"/>
              </w:rPr>
            </w:pPr>
          </w:p>
        </w:tc>
      </w:tr>
    </w:tbl>
    <w:p w:rsidR="00A27326" w:rsidRPr="00A27326" w:rsidRDefault="00A27326" w:rsidP="004F7961">
      <w:pPr>
        <w:numPr>
          <w:ilvl w:val="0"/>
          <w:numId w:val="1"/>
        </w:numPr>
        <w:autoSpaceDE w:val="0"/>
        <w:autoSpaceDN w:val="0"/>
        <w:adjustRightInd w:val="0"/>
        <w:spacing w:after="0" w:line="240" w:lineRule="auto"/>
        <w:ind w:left="0" w:hanging="426"/>
        <w:contextualSpacing/>
        <w:jc w:val="both"/>
        <w:rPr>
          <w:rFonts w:ascii="Times New Roman" w:eastAsia="Times New Roman" w:hAnsi="Times New Roman" w:cs="Times New Roman"/>
          <w:noProof/>
          <w:color w:val="000000"/>
          <w:lang w:val="tr-TR"/>
        </w:rPr>
      </w:pPr>
      <w:r w:rsidRPr="00A27326">
        <w:rPr>
          <w:rFonts w:ascii="Times New Roman" w:eastAsia="Times New Roman" w:hAnsi="Times New Roman" w:cs="Times New Roman"/>
          <w:b/>
          <w:color w:val="000000"/>
          <w:sz w:val="24"/>
          <w:szCs w:val="24"/>
          <w:lang w:val="tr-TR"/>
        </w:rPr>
        <w:t xml:space="preserve">Introduction </w:t>
      </w:r>
    </w:p>
    <w:p w:rsidR="00A27326" w:rsidRPr="00A32F64" w:rsidRDefault="00A27326" w:rsidP="004F7961">
      <w:pPr>
        <w:autoSpaceDE w:val="0"/>
        <w:autoSpaceDN w:val="0"/>
        <w:adjustRightInd w:val="0"/>
        <w:spacing w:after="0" w:line="240" w:lineRule="auto"/>
        <w:jc w:val="both"/>
        <w:rPr>
          <w:rFonts w:ascii="Times New Roman" w:eastAsia="Times New Roman" w:hAnsi="Times New Roman" w:cs="Times New Roman"/>
          <w:shd w:val="clear" w:color="auto" w:fill="FFFFFF"/>
          <w:vertAlign w:val="superscript"/>
          <w:lang w:eastAsia="tr-TR"/>
        </w:rPr>
      </w:pPr>
      <w:r w:rsidRPr="00A27326">
        <w:rPr>
          <w:rFonts w:ascii="Times New Roman" w:eastAsia="Times New Roman" w:hAnsi="Times New Roman" w:cs="Times New Roman"/>
          <w:shd w:val="clear" w:color="auto" w:fill="FFFFFF"/>
          <w:lang w:eastAsia="tr-TR"/>
        </w:rPr>
        <w:t xml:space="preserve">The management of triple- negative breast cancer represents a challenge due to its worse prognosis, heterogeneity and lack of targeted hormone </w:t>
      </w:r>
      <w:r w:rsidR="006F0518" w:rsidRPr="00A27326">
        <w:rPr>
          <w:rFonts w:ascii="Times New Roman" w:eastAsia="Times New Roman" w:hAnsi="Times New Roman" w:cs="Times New Roman"/>
          <w:shd w:val="clear" w:color="auto" w:fill="FFFFFF"/>
          <w:lang w:eastAsia="tr-TR"/>
        </w:rPr>
        <w:t>therapy</w:t>
      </w:r>
      <w:r w:rsidR="006F0518" w:rsidRPr="006C3569">
        <w:rPr>
          <w:rFonts w:ascii="Times New Roman" w:eastAsia="Times New Roman" w:hAnsi="Times New Roman" w:cs="Times New Roman"/>
          <w:shd w:val="clear" w:color="auto" w:fill="FFFFFF"/>
          <w:vertAlign w:val="superscript"/>
          <w:lang w:eastAsia="tr-TR"/>
        </w:rPr>
        <w:t>. [</w:t>
      </w:r>
      <w:r w:rsidRPr="006C3569">
        <w:rPr>
          <w:rFonts w:ascii="Times New Roman" w:eastAsia="Times New Roman" w:hAnsi="Times New Roman" w:cs="Times New Roman"/>
          <w:shd w:val="clear" w:color="auto" w:fill="FFFFFF"/>
          <w:vertAlign w:val="superscript"/>
          <w:lang w:eastAsia="tr-TR"/>
        </w:rPr>
        <w:t>1,2]</w:t>
      </w:r>
      <w:r w:rsidRPr="00A27326">
        <w:rPr>
          <w:rFonts w:ascii="Times New Roman" w:eastAsia="Times New Roman" w:hAnsi="Times New Roman" w:cs="Times New Roman"/>
          <w:shd w:val="clear" w:color="auto" w:fill="FFFFFF"/>
          <w:lang w:eastAsia="tr-TR"/>
        </w:rPr>
        <w:t xml:space="preserve"> But Interestingly, TNBC is sensitive to drugs related to gene expression. Recent studies have linked mutations in ribosomal protein genes </w:t>
      </w:r>
      <w:r w:rsidR="006F0518" w:rsidRPr="00A27326">
        <w:rPr>
          <w:rFonts w:ascii="Times New Roman" w:eastAsia="Times New Roman" w:hAnsi="Times New Roman" w:cs="Times New Roman"/>
          <w:shd w:val="clear" w:color="auto" w:fill="FFFFFF"/>
          <w:lang w:eastAsia="tr-TR"/>
        </w:rPr>
        <w:t>expression with</w:t>
      </w:r>
      <w:r w:rsidRPr="00A27326">
        <w:rPr>
          <w:rFonts w:ascii="Times New Roman" w:eastAsia="Times New Roman" w:hAnsi="Times New Roman" w:cs="Times New Roman"/>
          <w:shd w:val="clear" w:color="auto" w:fill="FFFFFF"/>
          <w:lang w:eastAsia="tr-TR"/>
        </w:rPr>
        <w:t xml:space="preserve"> poor prognosis, highlighting ribosome-targeted therapy as a promising approach for treating patients with </w:t>
      </w:r>
      <w:r w:rsidR="006F0518" w:rsidRPr="00A27326">
        <w:rPr>
          <w:rFonts w:ascii="Times New Roman" w:eastAsia="Times New Roman" w:hAnsi="Times New Roman" w:cs="Times New Roman"/>
          <w:shd w:val="clear" w:color="auto" w:fill="FFFFFF"/>
          <w:lang w:eastAsia="tr-TR"/>
        </w:rPr>
        <w:t>cancer</w:t>
      </w:r>
      <w:r w:rsidR="006F0518" w:rsidRPr="006C3569">
        <w:rPr>
          <w:rFonts w:ascii="Times New Roman" w:eastAsia="Times New Roman" w:hAnsi="Times New Roman" w:cs="Times New Roman"/>
          <w:shd w:val="clear" w:color="auto" w:fill="FFFFFF"/>
          <w:vertAlign w:val="superscript"/>
          <w:lang w:eastAsia="tr-TR"/>
        </w:rPr>
        <w:t>. [</w:t>
      </w:r>
      <w:r w:rsidRPr="006C3569">
        <w:rPr>
          <w:rFonts w:ascii="Times New Roman" w:eastAsia="Times New Roman" w:hAnsi="Times New Roman" w:cs="Times New Roman"/>
          <w:shd w:val="clear" w:color="auto" w:fill="FFFFFF"/>
          <w:vertAlign w:val="superscript"/>
          <w:lang w:eastAsia="tr-TR"/>
        </w:rPr>
        <w:t>3-5]</w:t>
      </w:r>
      <w:r w:rsidRPr="00A27326">
        <w:rPr>
          <w:rFonts w:ascii="Times New Roman" w:eastAsia="Times New Roman" w:hAnsi="Times New Roman" w:cs="Times New Roman"/>
          <w:shd w:val="clear" w:color="auto" w:fill="FFFFFF"/>
          <w:lang w:eastAsia="tr-TR"/>
        </w:rPr>
        <w:t xml:space="preserve"> Fortunately, TNBC has strongly associated with </w:t>
      </w:r>
      <w:r w:rsidR="006C3569">
        <w:rPr>
          <w:rFonts w:ascii="Times New Roman" w:eastAsia="Times New Roman" w:hAnsi="Times New Roman" w:cs="Times New Roman"/>
          <w:shd w:val="clear" w:color="auto" w:fill="FFFFFF"/>
          <w:lang w:eastAsia="tr-TR"/>
        </w:rPr>
        <w:t>specific ribosomal protein gene that is</w:t>
      </w:r>
      <w:r w:rsidRPr="00A27326">
        <w:rPr>
          <w:rFonts w:ascii="Times New Roman" w:eastAsia="Times New Roman" w:hAnsi="Times New Roman" w:cs="Times New Roman"/>
          <w:shd w:val="clear" w:color="auto" w:fill="FFFFFF"/>
          <w:lang w:eastAsia="tr-TR"/>
        </w:rPr>
        <w:t xml:space="preserve"> considered as </w:t>
      </w:r>
      <w:r w:rsidR="00212A51">
        <w:rPr>
          <w:rFonts w:ascii="Times New Roman" w:eastAsia="Times New Roman" w:hAnsi="Times New Roman" w:cs="Times New Roman"/>
          <w:shd w:val="clear" w:color="auto" w:fill="FFFFFF"/>
          <w:lang w:eastAsia="tr-TR"/>
        </w:rPr>
        <w:t xml:space="preserve">a </w:t>
      </w:r>
      <w:r w:rsidRPr="00A27326">
        <w:rPr>
          <w:rFonts w:ascii="Times New Roman" w:eastAsia="Times New Roman" w:hAnsi="Times New Roman" w:cs="Times New Roman"/>
          <w:shd w:val="clear" w:color="auto" w:fill="FFFFFF"/>
          <w:lang w:eastAsia="tr-TR"/>
        </w:rPr>
        <w:t>potential diag</w:t>
      </w:r>
      <w:r w:rsidR="006C3569">
        <w:rPr>
          <w:rFonts w:ascii="Times New Roman" w:eastAsia="Times New Roman" w:hAnsi="Times New Roman" w:cs="Times New Roman"/>
          <w:shd w:val="clear" w:color="auto" w:fill="FFFFFF"/>
          <w:lang w:eastAsia="tr-TR"/>
        </w:rPr>
        <w:t>nostic and prognostic biomarker</w:t>
      </w:r>
      <w:r w:rsidRPr="00A27326">
        <w:rPr>
          <w:rFonts w:ascii="Times New Roman" w:eastAsia="Times New Roman" w:hAnsi="Times New Roman" w:cs="Times New Roman"/>
          <w:shd w:val="clear" w:color="auto" w:fill="FFFFFF"/>
          <w:lang w:eastAsia="tr-TR"/>
        </w:rPr>
        <w:t xml:space="preserve"> and potent</w:t>
      </w:r>
      <w:r w:rsidR="00212A51">
        <w:rPr>
          <w:rFonts w:ascii="Times New Roman" w:eastAsia="Times New Roman" w:hAnsi="Times New Roman" w:cs="Times New Roman"/>
          <w:shd w:val="clear" w:color="auto" w:fill="FFFFFF"/>
          <w:lang w:eastAsia="tr-TR"/>
        </w:rPr>
        <w:t xml:space="preserve">ially </w:t>
      </w:r>
      <w:r w:rsidR="006C3569">
        <w:rPr>
          <w:rFonts w:ascii="Times New Roman" w:eastAsia="Times New Roman" w:hAnsi="Times New Roman" w:cs="Times New Roman"/>
          <w:shd w:val="clear" w:color="auto" w:fill="FFFFFF"/>
          <w:lang w:eastAsia="tr-TR"/>
        </w:rPr>
        <w:t>novel therapeutic target for TNBC. It is RPL27A</w:t>
      </w:r>
      <w:r w:rsidRPr="00A27326">
        <w:rPr>
          <w:rFonts w:ascii="Times New Roman" w:eastAsia="Times New Roman" w:hAnsi="Times New Roman" w:cs="Times New Roman"/>
          <w:shd w:val="clear" w:color="auto" w:fill="FFFFFF"/>
          <w:lang w:eastAsia="tr-TR"/>
        </w:rPr>
        <w:t xml:space="preserve"> which play</w:t>
      </w:r>
      <w:r w:rsidR="006C3569">
        <w:rPr>
          <w:rFonts w:ascii="Times New Roman" w:eastAsia="Times New Roman" w:hAnsi="Times New Roman" w:cs="Times New Roman"/>
          <w:shd w:val="clear" w:color="auto" w:fill="FFFFFF"/>
          <w:lang w:eastAsia="tr-TR"/>
        </w:rPr>
        <w:t>s an important functional role</w:t>
      </w:r>
      <w:r w:rsidRPr="00A27326">
        <w:rPr>
          <w:rFonts w:ascii="Times New Roman" w:eastAsia="Times New Roman" w:hAnsi="Times New Roman" w:cs="Times New Roman"/>
          <w:shd w:val="clear" w:color="auto" w:fill="FFFFFF"/>
          <w:lang w:eastAsia="tr-TR"/>
        </w:rPr>
        <w:t xml:space="preserve"> in carc</w:t>
      </w:r>
      <w:r w:rsidR="00A32F64">
        <w:rPr>
          <w:rFonts w:ascii="Times New Roman" w:eastAsia="Times New Roman" w:hAnsi="Times New Roman" w:cs="Times New Roman"/>
          <w:shd w:val="clear" w:color="auto" w:fill="FFFFFF"/>
          <w:lang w:eastAsia="tr-TR"/>
        </w:rPr>
        <w:t xml:space="preserve">inogenesis in TNBC </w:t>
      </w:r>
      <w:r w:rsidR="006F0518">
        <w:rPr>
          <w:rFonts w:ascii="Times New Roman" w:eastAsia="Times New Roman" w:hAnsi="Times New Roman" w:cs="Times New Roman"/>
          <w:shd w:val="clear" w:color="auto" w:fill="FFFFFF"/>
          <w:lang w:eastAsia="tr-TR"/>
        </w:rPr>
        <w:t>patients.</w:t>
      </w:r>
      <w:r w:rsidR="006F0518" w:rsidRPr="00A32F64">
        <w:rPr>
          <w:rFonts w:ascii="Times New Roman" w:eastAsia="Times New Roman" w:hAnsi="Times New Roman" w:cs="Times New Roman"/>
          <w:shd w:val="clear" w:color="auto" w:fill="FFFFFF"/>
          <w:vertAlign w:val="superscript"/>
          <w:lang w:eastAsia="tr-TR"/>
        </w:rPr>
        <w:t xml:space="preserve"> [</w:t>
      </w:r>
      <w:r w:rsidR="00A32F64" w:rsidRPr="00A32F64">
        <w:rPr>
          <w:rFonts w:ascii="Times New Roman" w:eastAsia="Times New Roman" w:hAnsi="Times New Roman" w:cs="Times New Roman"/>
          <w:shd w:val="clear" w:color="auto" w:fill="FFFFFF"/>
          <w:vertAlign w:val="superscript"/>
          <w:lang w:eastAsia="tr-TR"/>
        </w:rPr>
        <w:t>6</w:t>
      </w:r>
      <w:r w:rsidRPr="00A32F64">
        <w:rPr>
          <w:rFonts w:ascii="Times New Roman" w:eastAsia="Times New Roman" w:hAnsi="Times New Roman" w:cs="Times New Roman"/>
          <w:shd w:val="clear" w:color="auto" w:fill="FFFFFF"/>
          <w:vertAlign w:val="superscript"/>
          <w:lang w:eastAsia="tr-TR"/>
        </w:rPr>
        <w:t>]</w:t>
      </w:r>
      <w:r w:rsidRPr="00A27326">
        <w:rPr>
          <w:rFonts w:ascii="Times New Roman" w:eastAsia="Times New Roman" w:hAnsi="Times New Roman" w:cs="Times New Roman"/>
          <w:shd w:val="clear" w:color="auto" w:fill="FFFFFF"/>
          <w:lang w:eastAsia="tr-TR"/>
        </w:rPr>
        <w:t xml:space="preserve"> one of the drugs related to gene expression is podophyllotoxin and its derivatives which could not only inhibit the migration and invasion of triple-negative breast cancer but also affect the cell cycle and induce </w:t>
      </w:r>
      <w:r w:rsidR="006F0518" w:rsidRPr="00A27326">
        <w:rPr>
          <w:rFonts w:ascii="Times New Roman" w:eastAsia="Times New Roman" w:hAnsi="Times New Roman" w:cs="Times New Roman"/>
          <w:shd w:val="clear" w:color="auto" w:fill="FFFFFF"/>
          <w:lang w:eastAsia="tr-TR"/>
        </w:rPr>
        <w:t>a</w:t>
      </w:r>
      <w:r w:rsidR="006F0518">
        <w:rPr>
          <w:rFonts w:ascii="Times New Roman" w:eastAsia="Times New Roman" w:hAnsi="Times New Roman" w:cs="Times New Roman"/>
          <w:shd w:val="clear" w:color="auto" w:fill="FFFFFF"/>
          <w:lang w:eastAsia="tr-TR"/>
        </w:rPr>
        <w:t xml:space="preserve">poptosis. </w:t>
      </w:r>
      <w:r w:rsidR="006F0518" w:rsidRPr="00A32F64">
        <w:rPr>
          <w:rFonts w:ascii="Times New Roman" w:eastAsia="Times New Roman" w:hAnsi="Times New Roman" w:cs="Times New Roman"/>
          <w:shd w:val="clear" w:color="auto" w:fill="FFFFFF"/>
          <w:vertAlign w:val="superscript"/>
          <w:lang w:eastAsia="tr-TR"/>
        </w:rPr>
        <w:t>[</w:t>
      </w:r>
      <w:r w:rsidR="00A32F64" w:rsidRPr="00A32F64">
        <w:rPr>
          <w:rFonts w:ascii="Times New Roman" w:eastAsia="Times New Roman" w:hAnsi="Times New Roman" w:cs="Times New Roman"/>
          <w:shd w:val="clear" w:color="auto" w:fill="FFFFFF"/>
          <w:vertAlign w:val="superscript"/>
          <w:lang w:eastAsia="tr-TR"/>
        </w:rPr>
        <w:t>7-9</w:t>
      </w:r>
      <w:r w:rsidRPr="00A32F64">
        <w:rPr>
          <w:rFonts w:ascii="Times New Roman" w:eastAsia="Times New Roman" w:hAnsi="Times New Roman" w:cs="Times New Roman"/>
          <w:shd w:val="clear" w:color="auto" w:fill="FFFFFF"/>
          <w:vertAlign w:val="superscript"/>
          <w:lang w:eastAsia="tr-TR"/>
        </w:rPr>
        <w:t>]</w:t>
      </w:r>
    </w:p>
    <w:p w:rsidR="00A27326" w:rsidRPr="00A27326" w:rsidRDefault="00A27326" w:rsidP="004F7961">
      <w:pPr>
        <w:autoSpaceDE w:val="0"/>
        <w:autoSpaceDN w:val="0"/>
        <w:adjustRightInd w:val="0"/>
        <w:spacing w:after="0" w:line="240" w:lineRule="auto"/>
        <w:jc w:val="both"/>
        <w:rPr>
          <w:rFonts w:ascii="Times New Roman" w:eastAsia="Times New Roman" w:hAnsi="Times New Roman" w:cs="Times New Roman"/>
          <w:noProof/>
          <w:color w:val="000000"/>
          <w:lang w:val="tr-TR"/>
        </w:rPr>
      </w:pPr>
      <w:r w:rsidRPr="00A27326">
        <w:rPr>
          <w:rFonts w:ascii="Times New Roman" w:eastAsia="Times New Roman" w:hAnsi="Times New Roman" w:cs="Times New Roman"/>
          <w:shd w:val="clear" w:color="auto" w:fill="FFFFFF"/>
          <w:lang w:eastAsia="tr-TR"/>
        </w:rPr>
        <w:t>This study aimed to initiate a new direction for exploring the effect of podophyllotoxin and its derivatives as an anti-TNBC compound by in silico approach. Moreover, it provides theoretical support for further exploration of podophyllotoxin drugs as a vital part of the drug discovery method in cancer research field.</w:t>
      </w:r>
    </w:p>
    <w:p w:rsidR="00A27326" w:rsidRDefault="00A27326" w:rsidP="004F7961">
      <w:pPr>
        <w:spacing w:after="0"/>
        <w:rPr>
          <w:lang w:val="tr-TR"/>
        </w:rPr>
      </w:pPr>
    </w:p>
    <w:p w:rsidR="000E60E7" w:rsidRDefault="000E60E7" w:rsidP="004F7961">
      <w:pPr>
        <w:spacing w:after="0"/>
        <w:rPr>
          <w:rFonts w:ascii="Times New Roman" w:eastAsia="Times New Roman" w:hAnsi="Times New Roman" w:cs="Times New Roman"/>
          <w:b/>
          <w:bCs/>
          <w:sz w:val="24"/>
          <w:szCs w:val="24"/>
        </w:rPr>
      </w:pPr>
    </w:p>
    <w:p w:rsidR="006F0518" w:rsidRDefault="006F0518" w:rsidP="004F7961">
      <w:pPr>
        <w:spacing w:after="0"/>
        <w:rPr>
          <w:rFonts w:ascii="Times New Roman" w:eastAsia="Times New Roman" w:hAnsi="Times New Roman" w:cs="Times New Roman"/>
          <w:b/>
          <w:bCs/>
          <w:sz w:val="24"/>
          <w:szCs w:val="24"/>
        </w:rPr>
      </w:pPr>
    </w:p>
    <w:p w:rsidR="006F0518" w:rsidRDefault="006F0518" w:rsidP="004F7961">
      <w:pPr>
        <w:spacing w:after="0"/>
        <w:rPr>
          <w:rFonts w:ascii="Times New Roman" w:eastAsia="Times New Roman" w:hAnsi="Times New Roman" w:cs="Times New Roman"/>
          <w:b/>
          <w:bCs/>
          <w:sz w:val="24"/>
          <w:szCs w:val="24"/>
        </w:rPr>
      </w:pPr>
    </w:p>
    <w:p w:rsidR="006F0518" w:rsidRDefault="006F0518" w:rsidP="004F7961">
      <w:pPr>
        <w:spacing w:after="0"/>
        <w:rPr>
          <w:rFonts w:ascii="Times New Roman" w:eastAsia="Times New Roman" w:hAnsi="Times New Roman" w:cs="Times New Roman"/>
          <w:b/>
          <w:bCs/>
          <w:sz w:val="24"/>
          <w:szCs w:val="24"/>
        </w:rPr>
      </w:pPr>
    </w:p>
    <w:p w:rsidR="000E60E7" w:rsidRDefault="000E60E7" w:rsidP="004F7961">
      <w:pPr>
        <w:spacing w:after="0"/>
        <w:rPr>
          <w:rFonts w:ascii="Times New Roman" w:eastAsia="Times New Roman" w:hAnsi="Times New Roman" w:cs="Times New Roman"/>
          <w:b/>
          <w:bCs/>
          <w:sz w:val="24"/>
          <w:szCs w:val="24"/>
        </w:rPr>
      </w:pPr>
    </w:p>
    <w:p w:rsidR="005A3A1B" w:rsidRDefault="005A3A1B" w:rsidP="004F7961">
      <w:pPr>
        <w:spacing w:after="0"/>
        <w:rPr>
          <w:rFonts w:ascii="Times New Roman" w:eastAsia="Times New Roman" w:hAnsi="Times New Roman" w:cs="Times New Roman"/>
          <w:b/>
          <w:bCs/>
          <w:sz w:val="24"/>
          <w:szCs w:val="24"/>
        </w:rPr>
      </w:pPr>
      <w:r w:rsidRPr="00201B9A">
        <w:rPr>
          <w:rFonts w:ascii="Times New Roman" w:eastAsia="Times New Roman" w:hAnsi="Times New Roman" w:cs="Times New Roman"/>
          <w:b/>
          <w:bCs/>
          <w:sz w:val="24"/>
          <w:szCs w:val="24"/>
        </w:rPr>
        <w:t>2.Materials and Methods</w:t>
      </w:r>
    </w:p>
    <w:p w:rsidR="005A3A1B" w:rsidRPr="00201B9A" w:rsidRDefault="005A3A1B" w:rsidP="004F7961">
      <w:pPr>
        <w:spacing w:after="0"/>
        <w:rPr>
          <w:rFonts w:ascii="Times New Roman" w:eastAsia="Times New Roman" w:hAnsi="Times New Roman" w:cs="Times New Roman"/>
          <w:b/>
          <w:bCs/>
          <w:sz w:val="24"/>
          <w:szCs w:val="24"/>
        </w:rPr>
      </w:pPr>
    </w:p>
    <w:p w:rsidR="00A32F64" w:rsidRDefault="005A3A1B" w:rsidP="004F7961">
      <w:pPr>
        <w:spacing w:after="0"/>
        <w:rPr>
          <w:rFonts w:ascii="Times New Roman" w:eastAsia="Times New Roman" w:hAnsi="Times New Roman" w:cs="Times New Roman"/>
          <w:bCs/>
        </w:rPr>
      </w:pPr>
      <w:r>
        <w:rPr>
          <w:rFonts w:ascii="Times New Roman" w:eastAsia="Times New Roman" w:hAnsi="Times New Roman" w:cs="Times New Roman"/>
          <w:bCs/>
        </w:rPr>
        <w:t xml:space="preserve"> F</w:t>
      </w:r>
      <w:r w:rsidR="00A32F64">
        <w:rPr>
          <w:rFonts w:ascii="Times New Roman" w:eastAsia="Times New Roman" w:hAnsi="Times New Roman" w:cs="Times New Roman"/>
          <w:bCs/>
        </w:rPr>
        <w:t>ive</w:t>
      </w:r>
      <w:r w:rsidRPr="00201B9A">
        <w:rPr>
          <w:rFonts w:ascii="Times New Roman" w:eastAsia="Times New Roman" w:hAnsi="Times New Roman" w:cs="Times New Roman"/>
          <w:bCs/>
        </w:rPr>
        <w:t xml:space="preserve"> podophyllotoxin derivatives were selected and used as liga</w:t>
      </w:r>
      <w:r>
        <w:rPr>
          <w:rFonts w:ascii="Times New Roman" w:eastAsia="Times New Roman" w:hAnsi="Times New Roman" w:cs="Times New Roman"/>
          <w:bCs/>
        </w:rPr>
        <w:t>nds to find the binding affinities</w:t>
      </w:r>
      <w:r w:rsidR="00A32F64">
        <w:rPr>
          <w:rFonts w:ascii="Times New Roman" w:eastAsia="Times New Roman" w:hAnsi="Times New Roman" w:cs="Times New Roman"/>
          <w:bCs/>
        </w:rPr>
        <w:t xml:space="preserve"> with RPL27A target. The 3D structure of the RP (PDB ID: 8HTC</w:t>
      </w:r>
      <w:r>
        <w:rPr>
          <w:rFonts w:ascii="Times New Roman" w:eastAsia="Times New Roman" w:hAnsi="Times New Roman" w:cs="Times New Roman"/>
          <w:bCs/>
        </w:rPr>
        <w:t>) was</w:t>
      </w:r>
      <w:r w:rsidR="00A32F64">
        <w:rPr>
          <w:rFonts w:ascii="Times New Roman" w:eastAsia="Times New Roman" w:hAnsi="Times New Roman" w:cs="Times New Roman"/>
          <w:bCs/>
        </w:rPr>
        <w:t xml:space="preserve"> selected as protein target</w:t>
      </w:r>
      <w:r w:rsidRPr="00201B9A">
        <w:rPr>
          <w:rFonts w:ascii="Times New Roman" w:eastAsia="Times New Roman" w:hAnsi="Times New Roman" w:cs="Times New Roman"/>
          <w:bCs/>
        </w:rPr>
        <w:t xml:space="preserve"> </w:t>
      </w:r>
      <w:r>
        <w:rPr>
          <w:rFonts w:ascii="Times New Roman" w:eastAsia="Times New Roman" w:hAnsi="Times New Roman" w:cs="Times New Roman"/>
          <w:bCs/>
        </w:rPr>
        <w:t>that</w:t>
      </w:r>
      <w:r w:rsidRPr="00201B9A">
        <w:rPr>
          <w:rFonts w:ascii="Times New Roman" w:eastAsia="Times New Roman" w:hAnsi="Times New Roman" w:cs="Times New Roman"/>
          <w:bCs/>
        </w:rPr>
        <w:t xml:space="preserve"> retrieved from the Protein Data Bank (PDB) </w:t>
      </w:r>
      <w:r w:rsidR="006F49FB" w:rsidRPr="006F49FB">
        <w:rPr>
          <w:rFonts w:ascii="Times New Roman" w:hAnsi="Times New Roman" w:cs="Times New Roman"/>
        </w:rPr>
        <w:t>(http://www.rcsb. org/)</w:t>
      </w:r>
      <w:r w:rsidR="006F49FB">
        <w:t xml:space="preserve"> </w:t>
      </w:r>
      <w:r w:rsidR="004F7961">
        <w:rPr>
          <w:rFonts w:ascii="Times New Roman" w:eastAsia="Times New Roman" w:hAnsi="Times New Roman" w:cs="Times New Roman"/>
          <w:bCs/>
        </w:rPr>
        <w:t>in PDB format. It is</w:t>
      </w:r>
      <w:r w:rsidRPr="00201B9A">
        <w:rPr>
          <w:rFonts w:ascii="Times New Roman" w:eastAsia="Times New Roman" w:hAnsi="Times New Roman" w:cs="Times New Roman"/>
          <w:bCs/>
        </w:rPr>
        <w:t xml:space="preserve"> refined by preparing the protein for docking </w:t>
      </w:r>
      <w:r>
        <w:rPr>
          <w:rFonts w:ascii="Times New Roman" w:eastAsia="Times New Roman" w:hAnsi="Times New Roman" w:cs="Times New Roman"/>
          <w:bCs/>
        </w:rPr>
        <w:t>study by</w:t>
      </w:r>
      <w:r w:rsidRPr="00201B9A">
        <w:rPr>
          <w:rFonts w:ascii="Times New Roman" w:eastAsia="Times New Roman" w:hAnsi="Times New Roman" w:cs="Times New Roman"/>
          <w:bCs/>
        </w:rPr>
        <w:t xml:space="preserve"> using Biovia Discovery Studio Visualizer (Biovia, 2021</w:t>
      </w:r>
      <w:r w:rsidR="00A32F64">
        <w:rPr>
          <w:rFonts w:ascii="Times New Roman" w:eastAsia="Times New Roman" w:hAnsi="Times New Roman" w:cs="Times New Roman"/>
          <w:bCs/>
        </w:rPr>
        <w:t>) and saved as PDB format. This processed protein structure is</w:t>
      </w:r>
      <w:r w:rsidRPr="00201B9A">
        <w:rPr>
          <w:rFonts w:ascii="Times New Roman" w:eastAsia="Times New Roman" w:hAnsi="Times New Roman" w:cs="Times New Roman"/>
          <w:bCs/>
        </w:rPr>
        <w:t xml:space="preserve"> converted to the PDBQT file by selecting make macr</w:t>
      </w:r>
      <w:r w:rsidR="00A32F64">
        <w:rPr>
          <w:rFonts w:ascii="Times New Roman" w:eastAsia="Times New Roman" w:hAnsi="Times New Roman" w:cs="Times New Roman"/>
          <w:bCs/>
        </w:rPr>
        <w:t>omolecule using the PyRx tool.</w:t>
      </w:r>
    </w:p>
    <w:p w:rsidR="005A3A1B" w:rsidRPr="00201B9A" w:rsidRDefault="005A3A1B" w:rsidP="004F7961">
      <w:pPr>
        <w:spacing w:after="0"/>
        <w:rPr>
          <w:rFonts w:ascii="Times New Roman" w:eastAsia="Times New Roman" w:hAnsi="Times New Roman" w:cs="Times New Roman"/>
          <w:bCs/>
        </w:rPr>
      </w:pPr>
      <w:r w:rsidRPr="00201B9A">
        <w:rPr>
          <w:rFonts w:ascii="Times New Roman" w:eastAsia="Times New Roman" w:hAnsi="Times New Roman" w:cs="Times New Roman"/>
          <w:bCs/>
        </w:rPr>
        <w:t xml:space="preserve">The 3D structure of the podophyllotoxin derivatives was obtained from the PubChem database </w:t>
      </w:r>
      <w:r w:rsidRPr="006F49FB">
        <w:rPr>
          <w:rFonts w:ascii="Times New Roman" w:eastAsia="Times New Roman" w:hAnsi="Times New Roman" w:cs="Times New Roman"/>
          <w:bCs/>
        </w:rPr>
        <w:t>(</w:t>
      </w:r>
      <w:hyperlink r:id="rId11" w:history="1">
        <w:r w:rsidR="00A32F64" w:rsidRPr="006F49FB">
          <w:rPr>
            <w:rStyle w:val="Hyperlink"/>
            <w:rFonts w:ascii="Times New Roman" w:eastAsia="Times New Roman" w:hAnsi="Times New Roman" w:cs="Times New Roman"/>
            <w:bCs/>
            <w:color w:val="auto"/>
            <w:u w:val="none"/>
          </w:rPr>
          <w:t>https://pubchem.ncbi.nlm.nih.gov</w:t>
        </w:r>
      </w:hyperlink>
      <w:r>
        <w:rPr>
          <w:rFonts w:ascii="Times New Roman" w:eastAsia="Times New Roman" w:hAnsi="Times New Roman" w:cs="Times New Roman"/>
          <w:bCs/>
        </w:rPr>
        <w:t xml:space="preserve">), and then prepared by open babel in PyRx which minimized their energies and </w:t>
      </w:r>
      <w:r w:rsidRPr="00201B9A">
        <w:rPr>
          <w:rFonts w:ascii="Times New Roman" w:eastAsia="Times New Roman" w:hAnsi="Times New Roman" w:cs="Times New Roman"/>
          <w:bCs/>
        </w:rPr>
        <w:t>converted them into PDBQT formats f</w:t>
      </w:r>
      <w:r>
        <w:rPr>
          <w:rFonts w:ascii="Times New Roman" w:eastAsia="Times New Roman" w:hAnsi="Times New Roman" w:cs="Times New Roman"/>
          <w:bCs/>
        </w:rPr>
        <w:t>or molecular docking analysis. T</w:t>
      </w:r>
      <w:r w:rsidRPr="00201B9A">
        <w:rPr>
          <w:rFonts w:ascii="Times New Roman" w:eastAsia="Times New Roman" w:hAnsi="Times New Roman" w:cs="Times New Roman"/>
          <w:bCs/>
        </w:rPr>
        <w:t xml:space="preserve">he grid box parameter was set and adjusted for maximum binding affinity. </w:t>
      </w:r>
      <w:r>
        <w:rPr>
          <w:rFonts w:ascii="Times New Roman" w:eastAsia="Times New Roman" w:hAnsi="Times New Roman" w:cs="Times New Roman"/>
          <w:bCs/>
        </w:rPr>
        <w:t>T</w:t>
      </w:r>
      <w:r w:rsidRPr="00201B9A">
        <w:rPr>
          <w:rFonts w:ascii="Times New Roman" w:eastAsia="Times New Roman" w:hAnsi="Times New Roman" w:cs="Times New Roman"/>
          <w:bCs/>
        </w:rPr>
        <w:t xml:space="preserve">he molecular docking study was carried out by using the Autodock PyRx docking </w:t>
      </w:r>
      <w:r w:rsidR="006F0518" w:rsidRPr="00201B9A">
        <w:rPr>
          <w:rFonts w:ascii="Times New Roman" w:eastAsia="Times New Roman" w:hAnsi="Times New Roman" w:cs="Times New Roman"/>
          <w:bCs/>
        </w:rPr>
        <w:t>tool.</w:t>
      </w:r>
      <w:r w:rsidRPr="00201B9A">
        <w:rPr>
          <w:rFonts w:ascii="Times New Roman" w:eastAsia="Times New Roman" w:hAnsi="Times New Roman" w:cs="Times New Roman"/>
          <w:bCs/>
        </w:rPr>
        <w:t xml:space="preserve"> Best-predicted poses were screened to study the intera</w:t>
      </w:r>
      <w:r>
        <w:rPr>
          <w:rFonts w:ascii="Times New Roman" w:eastAsia="Times New Roman" w:hAnsi="Times New Roman" w:cs="Times New Roman"/>
          <w:bCs/>
        </w:rPr>
        <w:t xml:space="preserve">ction of prepared ligands with </w:t>
      </w:r>
      <w:r w:rsidR="006F0518">
        <w:rPr>
          <w:rFonts w:ascii="Times New Roman" w:eastAsia="Times New Roman" w:hAnsi="Times New Roman" w:cs="Times New Roman"/>
          <w:bCs/>
        </w:rPr>
        <w:t>target</w:t>
      </w:r>
      <w:r w:rsidRPr="00201B9A">
        <w:rPr>
          <w:rFonts w:ascii="Times New Roman" w:eastAsia="Times New Roman" w:hAnsi="Times New Roman" w:cs="Times New Roman"/>
          <w:bCs/>
        </w:rPr>
        <w:t xml:space="preserve"> receptor</w:t>
      </w:r>
      <w:r>
        <w:rPr>
          <w:rFonts w:ascii="Times New Roman" w:eastAsia="Times New Roman" w:hAnsi="Times New Roman" w:cs="Times New Roman"/>
          <w:bCs/>
        </w:rPr>
        <w:t>s</w:t>
      </w:r>
      <w:r w:rsidRPr="00201B9A">
        <w:rPr>
          <w:rFonts w:ascii="Times New Roman" w:eastAsia="Times New Roman" w:hAnsi="Times New Roman" w:cs="Times New Roman"/>
          <w:bCs/>
        </w:rPr>
        <w:t>.</w:t>
      </w:r>
    </w:p>
    <w:p w:rsidR="005A3A1B" w:rsidRPr="00FD0D76" w:rsidRDefault="005A3A1B" w:rsidP="004F7961">
      <w:pPr>
        <w:spacing w:after="0"/>
        <w:rPr>
          <w:rFonts w:ascii="Times New Roman" w:eastAsia="Times New Roman" w:hAnsi="Times New Roman" w:cs="Times New Roman"/>
        </w:rPr>
      </w:pPr>
      <w:r w:rsidRPr="00201B9A">
        <w:rPr>
          <w:rFonts w:ascii="Times New Roman" w:eastAsia="Times New Roman" w:hAnsi="Times New Roman" w:cs="Times New Roman"/>
          <w:bCs/>
        </w:rPr>
        <w:t>The toxicity behavior of the selected podophyllotoxin derivatives was studied by ADMET parameters in the human body. The admetSAR prediction tool was used (http://lmmd.ecust.edu.cn:8000) to study ADMET parameters.</w:t>
      </w:r>
      <w:r w:rsidRPr="007B766B">
        <w:rPr>
          <w:rFonts w:ascii="Times New Roman" w:eastAsia="Times New Roman" w:hAnsi="Times New Roman" w:cs="Times New Roman"/>
          <w:b/>
        </w:rPr>
        <w:t xml:space="preserve"> </w:t>
      </w:r>
    </w:p>
    <w:p w:rsidR="005A3A1B" w:rsidRPr="00201B9A" w:rsidRDefault="005A3A1B" w:rsidP="004F7961">
      <w:pPr>
        <w:spacing w:after="0"/>
        <w:rPr>
          <w:rFonts w:ascii="Times New Roman" w:eastAsia="Times New Roman" w:hAnsi="Times New Roman" w:cs="Times New Roman"/>
          <w:b/>
          <w:sz w:val="24"/>
          <w:szCs w:val="24"/>
        </w:rPr>
      </w:pPr>
    </w:p>
    <w:p w:rsidR="005A3A1B" w:rsidRDefault="005A3A1B" w:rsidP="004F7961">
      <w:pPr>
        <w:spacing w:after="0"/>
        <w:rPr>
          <w:rFonts w:ascii="Times New Roman" w:eastAsia="Times New Roman" w:hAnsi="Times New Roman" w:cs="Times New Roman"/>
          <w:b/>
          <w:bCs/>
          <w:sz w:val="24"/>
          <w:szCs w:val="24"/>
        </w:rPr>
      </w:pPr>
      <w:r w:rsidRPr="00201B9A">
        <w:rPr>
          <w:rFonts w:ascii="Times New Roman" w:eastAsia="Times New Roman" w:hAnsi="Times New Roman" w:cs="Times New Roman"/>
          <w:b/>
          <w:bCs/>
          <w:sz w:val="24"/>
          <w:szCs w:val="24"/>
        </w:rPr>
        <w:t>3.Results and Discussion</w:t>
      </w:r>
    </w:p>
    <w:p w:rsidR="00212A51" w:rsidRPr="00201B9A" w:rsidRDefault="00212A51" w:rsidP="004F7961">
      <w:pPr>
        <w:spacing w:after="0"/>
        <w:rPr>
          <w:rFonts w:ascii="Times New Roman" w:eastAsia="Times New Roman" w:hAnsi="Times New Roman" w:cs="Times New Roman"/>
          <w:b/>
          <w:bCs/>
          <w:sz w:val="24"/>
          <w:szCs w:val="24"/>
        </w:rPr>
      </w:pPr>
    </w:p>
    <w:p w:rsidR="005A3A1B" w:rsidRDefault="005A3A1B" w:rsidP="004F7961">
      <w:pPr>
        <w:spacing w:after="0"/>
        <w:rPr>
          <w:rFonts w:ascii="Times New Roman" w:eastAsia="Times New Roman" w:hAnsi="Times New Roman" w:cs="Times New Roman"/>
          <w:b/>
          <w:bCs/>
        </w:rPr>
      </w:pPr>
      <w:r w:rsidRPr="00E4077A">
        <w:rPr>
          <w:rFonts w:ascii="Times New Roman" w:eastAsia="Times New Roman" w:hAnsi="Times New Roman" w:cs="Times New Roman"/>
          <w:b/>
          <w:bCs/>
        </w:rPr>
        <w:t>3.1. Molecular docking studies</w:t>
      </w:r>
    </w:p>
    <w:p w:rsidR="005A3A1B" w:rsidRPr="00E4077A" w:rsidRDefault="005A3A1B" w:rsidP="004F7961">
      <w:pPr>
        <w:spacing w:after="0"/>
        <w:rPr>
          <w:rFonts w:ascii="Times New Roman" w:eastAsia="Times New Roman" w:hAnsi="Times New Roman" w:cs="Times New Roman"/>
          <w:b/>
          <w:bCs/>
        </w:rPr>
      </w:pPr>
    </w:p>
    <w:p w:rsidR="005A3A1B" w:rsidRDefault="00A32F64" w:rsidP="004F7961">
      <w:pPr>
        <w:spacing w:after="0"/>
        <w:rPr>
          <w:rFonts w:ascii="Times New Roman" w:eastAsia="Times New Roman" w:hAnsi="Times New Roman" w:cs="Times New Roman"/>
          <w:bCs/>
          <w:sz w:val="20"/>
          <w:szCs w:val="20"/>
        </w:rPr>
      </w:pPr>
      <w:r>
        <w:rPr>
          <w:rFonts w:ascii="Times New Roman" w:eastAsia="Times New Roman" w:hAnsi="Times New Roman" w:cs="Times New Roman"/>
          <w:bCs/>
        </w:rPr>
        <w:t>RPL27A is</w:t>
      </w:r>
      <w:r w:rsidR="005A3A1B" w:rsidRPr="00DF350B">
        <w:rPr>
          <w:rFonts w:ascii="Times New Roman" w:eastAsia="Times New Roman" w:hAnsi="Times New Roman" w:cs="Times New Roman"/>
          <w:bCs/>
        </w:rPr>
        <w:t xml:space="preserve"> targeted by </w:t>
      </w:r>
      <w:r w:rsidR="005A3A1B">
        <w:rPr>
          <w:rFonts w:ascii="Times New Roman" w:eastAsia="Times New Roman" w:hAnsi="Times New Roman" w:cs="Times New Roman"/>
          <w:bCs/>
        </w:rPr>
        <w:t xml:space="preserve">the </w:t>
      </w:r>
      <w:r>
        <w:rPr>
          <w:rFonts w:ascii="Times New Roman" w:eastAsia="Times New Roman" w:hAnsi="Times New Roman" w:cs="Times New Roman"/>
          <w:bCs/>
        </w:rPr>
        <w:t>five</w:t>
      </w:r>
      <w:r w:rsidR="005A3A1B" w:rsidRPr="00DF350B">
        <w:rPr>
          <w:rFonts w:ascii="Times New Roman" w:eastAsia="Times New Roman" w:hAnsi="Times New Roman" w:cs="Times New Roman"/>
          <w:bCs/>
        </w:rPr>
        <w:t xml:space="preserve"> podophyllotoxin derivatives predicted from previous studies’ in silico screening data. AutoDock Vina in PyRx software, with an inbuilt docking algorithm, was employed for the </w:t>
      </w:r>
      <w:r w:rsidR="009138C2" w:rsidRPr="00DF350B">
        <w:rPr>
          <w:rFonts w:ascii="Times New Roman" w:eastAsia="Times New Roman" w:hAnsi="Times New Roman" w:cs="Times New Roman"/>
          <w:bCs/>
        </w:rPr>
        <w:t>purpose.</w:t>
      </w:r>
      <w:r w:rsidR="005A3A1B" w:rsidRPr="00DF350B">
        <w:rPr>
          <w:rFonts w:ascii="Times New Roman" w:eastAsia="Times New Roman" w:hAnsi="Times New Roman" w:cs="Times New Roman"/>
          <w:bCs/>
        </w:rPr>
        <w:t xml:space="preserve"> The predicted free binding energy and hydrogen bonding were strongly focused on docking analysis. The values of docking binding energy and the interaction among the act</w:t>
      </w:r>
      <w:r>
        <w:rPr>
          <w:rFonts w:ascii="Times New Roman" w:eastAsia="Times New Roman" w:hAnsi="Times New Roman" w:cs="Times New Roman"/>
          <w:bCs/>
        </w:rPr>
        <w:t xml:space="preserve">ive site residues of the </w:t>
      </w:r>
      <w:r w:rsidR="009138C2">
        <w:rPr>
          <w:rFonts w:ascii="Times New Roman" w:eastAsia="Times New Roman" w:hAnsi="Times New Roman" w:cs="Times New Roman"/>
          <w:bCs/>
        </w:rPr>
        <w:t xml:space="preserve">target </w:t>
      </w:r>
      <w:r w:rsidR="009138C2" w:rsidRPr="00DF350B">
        <w:rPr>
          <w:rFonts w:ascii="Times New Roman" w:eastAsia="Times New Roman" w:hAnsi="Times New Roman" w:cs="Times New Roman"/>
          <w:bCs/>
        </w:rPr>
        <w:t>receptor</w:t>
      </w:r>
      <w:r w:rsidR="005A3A1B" w:rsidRPr="00DF350B">
        <w:rPr>
          <w:rFonts w:ascii="Times New Roman" w:eastAsia="Times New Roman" w:hAnsi="Times New Roman" w:cs="Times New Roman"/>
          <w:bCs/>
        </w:rPr>
        <w:t xml:space="preserve"> with podophyllotoxin derivatives are rep</w:t>
      </w:r>
      <w:r w:rsidR="005A3A1B">
        <w:rPr>
          <w:rFonts w:ascii="Times New Roman" w:eastAsia="Times New Roman" w:hAnsi="Times New Roman" w:cs="Times New Roman"/>
          <w:bCs/>
        </w:rPr>
        <w:t>orted in</w:t>
      </w:r>
      <w:r w:rsidR="009138C2">
        <w:rPr>
          <w:rFonts w:ascii="Times New Roman" w:eastAsia="Times New Roman" w:hAnsi="Times New Roman" w:cs="Times New Roman"/>
          <w:bCs/>
        </w:rPr>
        <w:t xml:space="preserve"> Table 1.</w:t>
      </w:r>
      <w:r w:rsidR="005A3A1B">
        <w:rPr>
          <w:rFonts w:ascii="Times New Roman" w:eastAsia="Times New Roman" w:hAnsi="Times New Roman" w:cs="Times New Roman"/>
          <w:bCs/>
          <w:sz w:val="20"/>
          <w:szCs w:val="20"/>
        </w:rPr>
        <w:t xml:space="preserve"> </w:t>
      </w:r>
    </w:p>
    <w:p w:rsidR="005A3A1B" w:rsidRPr="00201B9A" w:rsidRDefault="005A3A1B" w:rsidP="004F7961">
      <w:pPr>
        <w:spacing w:after="0"/>
        <w:rPr>
          <w:rFonts w:ascii="Times New Roman" w:eastAsia="Times New Roman" w:hAnsi="Times New Roman" w:cs="Times New Roman"/>
          <w:bCs/>
          <w:sz w:val="20"/>
          <w:szCs w:val="20"/>
        </w:rPr>
      </w:pPr>
    </w:p>
    <w:p w:rsidR="005A3A1B" w:rsidRPr="00DF350B" w:rsidRDefault="005A3A1B" w:rsidP="004F7961">
      <w:pPr>
        <w:spacing w:after="0"/>
        <w:rPr>
          <w:rFonts w:ascii="Times New Roman" w:eastAsia="Times New Roman" w:hAnsi="Times New Roman" w:cs="Times New Roman"/>
          <w:bCs/>
          <w:sz w:val="20"/>
          <w:szCs w:val="20"/>
        </w:rPr>
      </w:pPr>
      <w:r w:rsidRPr="00DF350B">
        <w:rPr>
          <w:rFonts w:asciiTheme="majorBidi" w:eastAsia="Times New Roman" w:hAnsiTheme="majorBidi" w:cstheme="majorBidi"/>
          <w:b/>
          <w:sz w:val="20"/>
          <w:szCs w:val="20"/>
        </w:rPr>
        <w:t>Table 1.</w:t>
      </w:r>
      <w:r w:rsidRPr="00201B9A">
        <w:rPr>
          <w:rFonts w:asciiTheme="majorBidi" w:eastAsia="Times New Roman" w:hAnsiTheme="majorBidi" w:cstheme="majorBidi"/>
          <w:bCs/>
          <w:sz w:val="20"/>
          <w:szCs w:val="20"/>
        </w:rPr>
        <w:t xml:space="preserve"> The Binding energy of different podophylloto</w:t>
      </w:r>
      <w:r w:rsidR="004F7961">
        <w:rPr>
          <w:rFonts w:asciiTheme="majorBidi" w:eastAsia="Times New Roman" w:hAnsiTheme="majorBidi" w:cstheme="majorBidi"/>
          <w:bCs/>
          <w:sz w:val="20"/>
          <w:szCs w:val="20"/>
        </w:rPr>
        <w:t>xin derivatives against the RPL27A target</w:t>
      </w:r>
      <w:r w:rsidRPr="00201B9A">
        <w:rPr>
          <w:rFonts w:asciiTheme="majorBidi" w:eastAsia="Times New Roman" w:hAnsiTheme="majorBidi" w:cstheme="majorBidi"/>
          <w:bCs/>
          <w:sz w:val="20"/>
          <w:szCs w:val="20"/>
        </w:rPr>
        <w:t>.</w:t>
      </w:r>
    </w:p>
    <w:tbl>
      <w:tblPr>
        <w:tblStyle w:val="a4"/>
        <w:tblW w:w="8647" w:type="dxa"/>
        <w:tblInd w:w="137" w:type="dxa"/>
        <w:tblLayout w:type="fixed"/>
        <w:tblLook w:val="04A0" w:firstRow="1" w:lastRow="0" w:firstColumn="1" w:lastColumn="0" w:noHBand="0" w:noVBand="1"/>
      </w:tblPr>
      <w:tblGrid>
        <w:gridCol w:w="851"/>
        <w:gridCol w:w="3402"/>
        <w:gridCol w:w="1842"/>
        <w:gridCol w:w="2552"/>
      </w:tblGrid>
      <w:tr w:rsidR="005A3A1B" w:rsidRPr="00DF350B" w:rsidTr="00625499">
        <w:tc>
          <w:tcPr>
            <w:tcW w:w="851"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no</w:t>
            </w:r>
          </w:p>
        </w:tc>
        <w:tc>
          <w:tcPr>
            <w:tcW w:w="340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Ligand name</w:t>
            </w:r>
          </w:p>
        </w:tc>
        <w:tc>
          <w:tcPr>
            <w:tcW w:w="184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PubchemID</w:t>
            </w:r>
          </w:p>
        </w:tc>
        <w:tc>
          <w:tcPr>
            <w:tcW w:w="255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RPL27A</w:t>
            </w:r>
          </w:p>
        </w:tc>
      </w:tr>
      <w:tr w:rsidR="005A3A1B" w:rsidRPr="00A26AD5" w:rsidTr="00625499">
        <w:tc>
          <w:tcPr>
            <w:tcW w:w="851"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1</w:t>
            </w:r>
          </w:p>
        </w:tc>
        <w:tc>
          <w:tcPr>
            <w:tcW w:w="340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 xml:space="preserve">ETOP  </w:t>
            </w:r>
          </w:p>
        </w:tc>
        <w:tc>
          <w:tcPr>
            <w:tcW w:w="184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5284558</w:t>
            </w:r>
          </w:p>
        </w:tc>
        <w:tc>
          <w:tcPr>
            <w:tcW w:w="255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-9.0</w:t>
            </w:r>
          </w:p>
        </w:tc>
      </w:tr>
      <w:tr w:rsidR="005A3A1B" w:rsidRPr="00A26AD5" w:rsidTr="00625499">
        <w:tc>
          <w:tcPr>
            <w:tcW w:w="851"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2</w:t>
            </w:r>
          </w:p>
        </w:tc>
        <w:tc>
          <w:tcPr>
            <w:tcW w:w="340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Cleistantoxin</w:t>
            </w:r>
          </w:p>
        </w:tc>
        <w:tc>
          <w:tcPr>
            <w:tcW w:w="184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71452884</w:t>
            </w:r>
          </w:p>
        </w:tc>
        <w:tc>
          <w:tcPr>
            <w:tcW w:w="255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-7.6</w:t>
            </w:r>
          </w:p>
        </w:tc>
      </w:tr>
      <w:tr w:rsidR="005A3A1B" w:rsidRPr="00A26AD5" w:rsidTr="00625499">
        <w:tc>
          <w:tcPr>
            <w:tcW w:w="851"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3</w:t>
            </w:r>
          </w:p>
        </w:tc>
        <w:tc>
          <w:tcPr>
            <w:tcW w:w="340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 xml:space="preserve">TetrahydrojusticidinB                                     </w:t>
            </w:r>
          </w:p>
        </w:tc>
        <w:tc>
          <w:tcPr>
            <w:tcW w:w="184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54758663</w:t>
            </w:r>
          </w:p>
        </w:tc>
        <w:tc>
          <w:tcPr>
            <w:tcW w:w="255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-7.1</w:t>
            </w:r>
          </w:p>
        </w:tc>
      </w:tr>
      <w:tr w:rsidR="005A3A1B" w:rsidRPr="00A26AD5" w:rsidTr="00625499">
        <w:tc>
          <w:tcPr>
            <w:tcW w:w="851"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4</w:t>
            </w:r>
          </w:p>
        </w:tc>
        <w:tc>
          <w:tcPr>
            <w:tcW w:w="340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 xml:space="preserve">Dihydrotaiwanin C                                     </w:t>
            </w:r>
          </w:p>
        </w:tc>
        <w:tc>
          <w:tcPr>
            <w:tcW w:w="184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163076341</w:t>
            </w:r>
          </w:p>
        </w:tc>
        <w:tc>
          <w:tcPr>
            <w:tcW w:w="255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-8.0</w:t>
            </w:r>
          </w:p>
        </w:tc>
      </w:tr>
      <w:tr w:rsidR="005A3A1B" w:rsidRPr="00A26AD5" w:rsidTr="00625499">
        <w:tc>
          <w:tcPr>
            <w:tcW w:w="851"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5</w:t>
            </w:r>
          </w:p>
        </w:tc>
        <w:tc>
          <w:tcPr>
            <w:tcW w:w="340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Teniposide</w:t>
            </w:r>
          </w:p>
        </w:tc>
        <w:tc>
          <w:tcPr>
            <w:tcW w:w="1842" w:type="dxa"/>
          </w:tcPr>
          <w:p w:rsidR="005A3A1B" w:rsidRPr="00990FB4" w:rsidRDefault="005A3A1B" w:rsidP="004F7961">
            <w:pPr>
              <w:spacing w:line="259" w:lineRule="auto"/>
              <w:rPr>
                <w:rFonts w:asciiTheme="majorBidi" w:eastAsia="Times New Roman" w:hAnsiTheme="majorBidi" w:cstheme="majorBidi"/>
                <w:bCs/>
              </w:rPr>
            </w:pPr>
            <w:r w:rsidRPr="00990FB4">
              <w:rPr>
                <w:rFonts w:asciiTheme="majorBidi" w:eastAsia="Times New Roman" w:hAnsiTheme="majorBidi" w:cstheme="majorBidi"/>
                <w:bCs/>
              </w:rPr>
              <w:t>452548</w:t>
            </w:r>
          </w:p>
        </w:tc>
        <w:tc>
          <w:tcPr>
            <w:tcW w:w="2552" w:type="dxa"/>
          </w:tcPr>
          <w:p w:rsidR="005A3A1B" w:rsidRPr="00990FB4" w:rsidRDefault="005A3A1B" w:rsidP="004F7961">
            <w:pPr>
              <w:spacing w:line="259" w:lineRule="auto"/>
              <w:rPr>
                <w:rFonts w:asciiTheme="majorBidi" w:eastAsia="Times New Roman" w:hAnsiTheme="majorBidi" w:cstheme="majorBidi"/>
                <w:b/>
              </w:rPr>
            </w:pPr>
            <w:r w:rsidRPr="00990FB4">
              <w:rPr>
                <w:rFonts w:asciiTheme="majorBidi" w:eastAsia="Times New Roman" w:hAnsiTheme="majorBidi" w:cstheme="majorBidi"/>
                <w:b/>
              </w:rPr>
              <w:t>-9.1</w:t>
            </w:r>
          </w:p>
        </w:tc>
      </w:tr>
    </w:tbl>
    <w:p w:rsidR="005A3A1B" w:rsidRPr="00A26AD5" w:rsidRDefault="005A3A1B" w:rsidP="004F7961">
      <w:pPr>
        <w:spacing w:after="0"/>
        <w:rPr>
          <w:rFonts w:asciiTheme="majorBidi" w:eastAsia="Times New Roman" w:hAnsiTheme="majorBidi" w:cstheme="majorBidi"/>
        </w:rPr>
      </w:pPr>
    </w:p>
    <w:p w:rsidR="005A3A1B" w:rsidRDefault="005A3A1B" w:rsidP="004F7961">
      <w:pPr>
        <w:spacing w:after="0"/>
        <w:rPr>
          <w:rFonts w:ascii="Times New Roman" w:eastAsia="Times New Roman" w:hAnsi="Times New Roman" w:cs="Times New Roman"/>
          <w:bCs/>
        </w:rPr>
      </w:pPr>
      <w:r w:rsidRPr="00DF350B">
        <w:rPr>
          <w:rFonts w:ascii="Times New Roman" w:eastAsia="Times New Roman" w:hAnsi="Times New Roman" w:cs="Times New Roman"/>
          <w:bCs/>
        </w:rPr>
        <w:t xml:space="preserve"> </w:t>
      </w:r>
      <w:r>
        <w:rPr>
          <w:rFonts w:ascii="Times New Roman" w:eastAsia="Times New Roman" w:hAnsi="Times New Roman" w:cs="Times New Roman"/>
          <w:bCs/>
        </w:rPr>
        <w:t>The binding affinity scores of all the formed ligand-protein complexes were</w:t>
      </w:r>
      <w:r w:rsidRPr="00DF350B">
        <w:rPr>
          <w:rFonts w:ascii="Times New Roman" w:eastAsia="Times New Roman" w:hAnsi="Times New Roman" w:cs="Times New Roman"/>
          <w:bCs/>
        </w:rPr>
        <w:t xml:space="preserve"> compa</w:t>
      </w:r>
      <w:r w:rsidR="00A32F64">
        <w:rPr>
          <w:rFonts w:ascii="Times New Roman" w:eastAsia="Times New Roman" w:hAnsi="Times New Roman" w:cs="Times New Roman"/>
          <w:bCs/>
        </w:rPr>
        <w:t xml:space="preserve">red with each other, </w:t>
      </w:r>
      <w:r w:rsidR="006F49FB">
        <w:rPr>
          <w:rFonts w:ascii="Times New Roman" w:eastAsia="Times New Roman" w:hAnsi="Times New Roman" w:cs="Times New Roman"/>
          <w:bCs/>
        </w:rPr>
        <w:t>one of</w:t>
      </w:r>
      <w:r>
        <w:rPr>
          <w:rFonts w:ascii="Times New Roman" w:eastAsia="Times New Roman" w:hAnsi="Times New Roman" w:cs="Times New Roman"/>
          <w:bCs/>
        </w:rPr>
        <w:t xml:space="preserve"> them</w:t>
      </w:r>
      <w:r w:rsidRPr="00DF350B">
        <w:rPr>
          <w:rFonts w:ascii="Times New Roman" w:eastAsia="Times New Roman" w:hAnsi="Times New Roman" w:cs="Times New Roman"/>
          <w:bCs/>
        </w:rPr>
        <w:t xml:space="preserve"> showed the lowest</w:t>
      </w:r>
      <w:r w:rsidR="00212A51">
        <w:rPr>
          <w:rFonts w:ascii="Times New Roman" w:eastAsia="Times New Roman" w:hAnsi="Times New Roman" w:cs="Times New Roman"/>
          <w:bCs/>
        </w:rPr>
        <w:t xml:space="preserve"> binding energy values that was</w:t>
      </w:r>
      <w:r w:rsidRPr="00DF350B">
        <w:rPr>
          <w:rFonts w:ascii="Times New Roman" w:eastAsia="Times New Roman" w:hAnsi="Times New Roman" w:cs="Times New Roman"/>
          <w:bCs/>
        </w:rPr>
        <w:t xml:space="preserve"> by a Teniposi</w:t>
      </w:r>
      <w:r w:rsidR="000E60E7">
        <w:rPr>
          <w:rFonts w:ascii="Times New Roman" w:eastAsia="Times New Roman" w:hAnsi="Times New Roman" w:cs="Times New Roman"/>
          <w:bCs/>
        </w:rPr>
        <w:t xml:space="preserve">de ligand with RPL27A target which </w:t>
      </w:r>
      <w:r w:rsidR="009138C2">
        <w:rPr>
          <w:rFonts w:ascii="Times New Roman" w:eastAsia="Times New Roman" w:hAnsi="Times New Roman" w:cs="Times New Roman"/>
          <w:bCs/>
        </w:rPr>
        <w:t>is -</w:t>
      </w:r>
      <w:r w:rsidR="000E60E7">
        <w:rPr>
          <w:rFonts w:ascii="Times New Roman" w:eastAsia="Times New Roman" w:hAnsi="Times New Roman" w:cs="Times New Roman"/>
          <w:bCs/>
        </w:rPr>
        <w:t>9.1 kcal/</w:t>
      </w:r>
      <w:r w:rsidR="009138C2">
        <w:rPr>
          <w:rFonts w:ascii="Times New Roman" w:eastAsia="Times New Roman" w:hAnsi="Times New Roman" w:cs="Times New Roman"/>
          <w:bCs/>
        </w:rPr>
        <w:t>mol,</w:t>
      </w:r>
      <w:r w:rsidRPr="00DF350B">
        <w:rPr>
          <w:rFonts w:ascii="Times New Roman" w:eastAsia="Times New Roman" w:hAnsi="Times New Roman" w:cs="Times New Roman"/>
          <w:bCs/>
        </w:rPr>
        <w:t xml:space="preserve"> in addition to the lowest binding energy values of Dihydrotaiwanin C, tetrahydrojusticidin B, Cleistantoxin, and Etop </w:t>
      </w:r>
      <w:r w:rsidR="000E60E7">
        <w:rPr>
          <w:rFonts w:ascii="Times New Roman" w:eastAsia="Times New Roman" w:hAnsi="Times New Roman" w:cs="Times New Roman"/>
          <w:bCs/>
        </w:rPr>
        <w:t>ligands</w:t>
      </w:r>
      <w:r w:rsidR="00AC6835">
        <w:rPr>
          <w:rFonts w:ascii="Times New Roman" w:eastAsia="Times New Roman" w:hAnsi="Times New Roman" w:cs="Times New Roman"/>
          <w:bCs/>
        </w:rPr>
        <w:t xml:space="preserve"> which are (-8.0, -7.1, -7.6</w:t>
      </w:r>
      <w:r w:rsidRPr="00DF350B">
        <w:rPr>
          <w:rFonts w:ascii="Times New Roman" w:eastAsia="Times New Roman" w:hAnsi="Times New Roman" w:cs="Times New Roman"/>
          <w:bCs/>
        </w:rPr>
        <w:t>, an</w:t>
      </w:r>
      <w:r w:rsidR="00AC6835">
        <w:rPr>
          <w:rFonts w:ascii="Times New Roman" w:eastAsia="Times New Roman" w:hAnsi="Times New Roman" w:cs="Times New Roman"/>
          <w:bCs/>
        </w:rPr>
        <w:t>d -9.0</w:t>
      </w:r>
      <w:r>
        <w:rPr>
          <w:rFonts w:ascii="Times New Roman" w:eastAsia="Times New Roman" w:hAnsi="Times New Roman" w:cs="Times New Roman"/>
          <w:bCs/>
        </w:rPr>
        <w:t xml:space="preserve"> kcal/</w:t>
      </w:r>
      <w:r w:rsidR="009138C2">
        <w:rPr>
          <w:rFonts w:ascii="Times New Roman" w:eastAsia="Times New Roman" w:hAnsi="Times New Roman" w:cs="Times New Roman"/>
          <w:bCs/>
        </w:rPr>
        <w:t>mol sequentially</w:t>
      </w:r>
      <w:r>
        <w:rPr>
          <w:rFonts w:ascii="Times New Roman" w:eastAsia="Times New Roman" w:hAnsi="Times New Roman" w:cs="Times New Roman"/>
          <w:bCs/>
        </w:rPr>
        <w:t>).</w:t>
      </w:r>
    </w:p>
    <w:p w:rsidR="005A3A1B" w:rsidRPr="00DF350B" w:rsidRDefault="005A3A1B" w:rsidP="004F7961">
      <w:pPr>
        <w:spacing w:after="0"/>
        <w:rPr>
          <w:rFonts w:ascii="Times New Roman" w:eastAsia="Times New Roman" w:hAnsi="Times New Roman" w:cs="Times New Roman"/>
          <w:bCs/>
        </w:rPr>
      </w:pPr>
    </w:p>
    <w:p w:rsidR="005A3A1B" w:rsidRDefault="005A3A1B" w:rsidP="004F7961">
      <w:pPr>
        <w:spacing w:after="0"/>
        <w:rPr>
          <w:rFonts w:ascii="Times New Roman" w:eastAsia="Times New Roman" w:hAnsi="Times New Roman" w:cs="Times New Roman"/>
          <w:bCs/>
        </w:rPr>
      </w:pPr>
      <w:r w:rsidRPr="00DF350B">
        <w:rPr>
          <w:rFonts w:ascii="Times New Roman" w:eastAsia="Times New Roman" w:hAnsi="Times New Roman" w:cs="Times New Roman"/>
          <w:bCs/>
        </w:rPr>
        <w:t xml:space="preserve"> This comparative computational docking analyses gives insight int</w:t>
      </w:r>
      <w:r w:rsidR="00212A51">
        <w:rPr>
          <w:rFonts w:ascii="Times New Roman" w:eastAsia="Times New Roman" w:hAnsi="Times New Roman" w:cs="Times New Roman"/>
          <w:bCs/>
        </w:rPr>
        <w:t xml:space="preserve">o the efficacy </w:t>
      </w:r>
      <w:r w:rsidR="009138C2">
        <w:rPr>
          <w:rFonts w:ascii="Times New Roman" w:eastAsia="Times New Roman" w:hAnsi="Times New Roman" w:cs="Times New Roman"/>
          <w:bCs/>
        </w:rPr>
        <w:t>of the</w:t>
      </w:r>
      <w:r w:rsidR="00212A51">
        <w:rPr>
          <w:rFonts w:ascii="Times New Roman" w:eastAsia="Times New Roman" w:hAnsi="Times New Roman" w:cs="Times New Roman"/>
          <w:bCs/>
        </w:rPr>
        <w:t xml:space="preserve"> podophyllotoxin derivatives</w:t>
      </w:r>
      <w:r w:rsidRPr="00DF350B">
        <w:rPr>
          <w:rFonts w:ascii="Times New Roman" w:eastAsia="Times New Roman" w:hAnsi="Times New Roman" w:cs="Times New Roman"/>
          <w:bCs/>
        </w:rPr>
        <w:t xml:space="preserve"> over clinically approved reference drug molecules.</w:t>
      </w:r>
    </w:p>
    <w:p w:rsidR="005A3A1B" w:rsidRDefault="005A3A1B" w:rsidP="004F7961">
      <w:pPr>
        <w:spacing w:after="0"/>
        <w:rPr>
          <w:rFonts w:ascii="Times New Roman" w:eastAsia="Times New Roman" w:hAnsi="Times New Roman" w:cs="Times New Roman"/>
          <w:bCs/>
        </w:rPr>
      </w:pPr>
    </w:p>
    <w:p w:rsidR="005A3A1B" w:rsidRDefault="005A3A1B" w:rsidP="004F7961">
      <w:pPr>
        <w:spacing w:after="0"/>
        <w:rPr>
          <w:rFonts w:ascii="Times New Roman" w:eastAsia="Times New Roman" w:hAnsi="Times New Roman" w:cs="Times New Roman"/>
          <w:bCs/>
        </w:rPr>
      </w:pPr>
    </w:p>
    <w:p w:rsidR="005A3A1B" w:rsidRDefault="005A3A1B" w:rsidP="004F7961">
      <w:pPr>
        <w:spacing w:after="0"/>
        <w:rPr>
          <w:rFonts w:ascii="Times New Roman" w:eastAsia="Times New Roman" w:hAnsi="Times New Roman" w:cs="Times New Roman"/>
          <w:bCs/>
        </w:rPr>
      </w:pPr>
    </w:p>
    <w:p w:rsidR="005A3A1B" w:rsidRDefault="005A3A1B" w:rsidP="004F7961">
      <w:pPr>
        <w:spacing w:after="0"/>
        <w:rPr>
          <w:rFonts w:ascii="Times New Roman" w:eastAsia="Times New Roman" w:hAnsi="Times New Roman" w:cs="Times New Roman"/>
          <w:bCs/>
        </w:rPr>
      </w:pPr>
    </w:p>
    <w:p w:rsidR="006F49FB" w:rsidRDefault="006F49FB" w:rsidP="004F7961">
      <w:pPr>
        <w:spacing w:after="0"/>
        <w:rPr>
          <w:rFonts w:ascii="Times New Roman" w:eastAsia="Times New Roman" w:hAnsi="Times New Roman" w:cs="Times New Roman"/>
          <w:bCs/>
        </w:rPr>
      </w:pPr>
    </w:p>
    <w:p w:rsidR="006F49FB" w:rsidRDefault="006F49FB" w:rsidP="004F7961">
      <w:pPr>
        <w:spacing w:after="0"/>
        <w:rPr>
          <w:rFonts w:ascii="Times New Roman" w:eastAsia="Times New Roman" w:hAnsi="Times New Roman" w:cs="Times New Roman"/>
          <w:bCs/>
        </w:rPr>
      </w:pPr>
    </w:p>
    <w:p w:rsidR="006F49FB" w:rsidRPr="00DF350B" w:rsidRDefault="006F49FB" w:rsidP="004F7961">
      <w:pPr>
        <w:spacing w:after="0"/>
        <w:rPr>
          <w:rFonts w:ascii="Times New Roman" w:eastAsia="Times New Roman" w:hAnsi="Times New Roman" w:cs="Times New Roman"/>
          <w:bCs/>
        </w:rPr>
      </w:pPr>
    </w:p>
    <w:p w:rsidR="005A3A1B" w:rsidRDefault="005A3A1B" w:rsidP="004F7961">
      <w:pPr>
        <w:spacing w:after="0"/>
        <w:rPr>
          <w:rFonts w:ascii="Times New Roman" w:eastAsia="Times New Roman" w:hAnsi="Times New Roman" w:cs="Times New Roman"/>
          <w:b/>
        </w:rPr>
      </w:pPr>
    </w:p>
    <w:p w:rsidR="005A3A1B" w:rsidRDefault="005A3A1B" w:rsidP="004F7961">
      <w:pPr>
        <w:spacing w:after="0"/>
        <w:rPr>
          <w:rFonts w:ascii="Times New Roman" w:eastAsia="Times New Roman" w:hAnsi="Times New Roman" w:cs="Times New Roman"/>
          <w:b/>
        </w:rPr>
      </w:pPr>
      <w:r w:rsidRPr="00201B9A">
        <w:rPr>
          <w:rFonts w:ascii="Times New Roman" w:eastAsia="Times New Roman" w:hAnsi="Times New Roman" w:cs="Times New Roman"/>
          <w:b/>
        </w:rPr>
        <w:t>3.2 The docking analysis</w:t>
      </w:r>
    </w:p>
    <w:p w:rsidR="005A3A1B" w:rsidRPr="00201B9A" w:rsidRDefault="005A3A1B" w:rsidP="004F7961">
      <w:pPr>
        <w:spacing w:after="0"/>
        <w:rPr>
          <w:rFonts w:ascii="Times New Roman" w:eastAsia="Times New Roman" w:hAnsi="Times New Roman" w:cs="Times New Roman"/>
          <w:b/>
        </w:rPr>
      </w:pPr>
      <w:r>
        <w:rPr>
          <w:rFonts w:ascii="Times New Roman" w:eastAsia="Times New Roman" w:hAnsi="Times New Roman" w:cs="Times New Roman"/>
          <w:b/>
        </w:rPr>
        <w:t xml:space="preserve"> </w:t>
      </w:r>
    </w:p>
    <w:p w:rsidR="005A3A1B" w:rsidRPr="00DF350B" w:rsidRDefault="005A3A1B" w:rsidP="004F7961">
      <w:pPr>
        <w:spacing w:after="0"/>
        <w:rPr>
          <w:rFonts w:ascii="Times New Roman" w:eastAsia="Times New Roman" w:hAnsi="Times New Roman" w:cs="Times New Roman"/>
          <w:bCs/>
        </w:rPr>
      </w:pPr>
      <w:r w:rsidRPr="00DF350B">
        <w:rPr>
          <w:rFonts w:ascii="Times New Roman" w:eastAsia="Times New Roman" w:hAnsi="Times New Roman" w:cs="Times New Roman"/>
          <w:bCs/>
        </w:rPr>
        <w:t xml:space="preserve">The docking analysis was carried out using Discovery Studio (Biovia, 2021) for the best docked pose which was represented in Figure 1. Tenoposide docked well with the target binding pocket </w:t>
      </w:r>
      <w:r w:rsidR="009138C2" w:rsidRPr="00DF350B">
        <w:rPr>
          <w:rFonts w:ascii="Times New Roman" w:eastAsia="Times New Roman" w:hAnsi="Times New Roman" w:cs="Times New Roman"/>
          <w:bCs/>
        </w:rPr>
        <w:t>of RPL</w:t>
      </w:r>
      <w:r w:rsidRPr="00DF350B">
        <w:rPr>
          <w:rFonts w:ascii="Times New Roman" w:eastAsia="Times New Roman" w:hAnsi="Times New Roman" w:cs="Times New Roman"/>
          <w:bCs/>
        </w:rPr>
        <w:t xml:space="preserve">27A with the binding energy </w:t>
      </w:r>
      <w:r w:rsidR="009138C2" w:rsidRPr="00DF350B">
        <w:rPr>
          <w:rFonts w:ascii="Times New Roman" w:eastAsia="Times New Roman" w:hAnsi="Times New Roman" w:cs="Times New Roman"/>
          <w:bCs/>
        </w:rPr>
        <w:t>of -</w:t>
      </w:r>
      <w:r w:rsidRPr="00DF350B">
        <w:rPr>
          <w:rFonts w:ascii="Times New Roman" w:eastAsia="Times New Roman" w:hAnsi="Times New Roman" w:cs="Times New Roman"/>
          <w:bCs/>
        </w:rPr>
        <w:t>9.</w:t>
      </w:r>
      <w:r w:rsidR="009138C2" w:rsidRPr="00DF350B">
        <w:rPr>
          <w:rFonts w:ascii="Times New Roman" w:eastAsia="Times New Roman" w:hAnsi="Times New Roman" w:cs="Times New Roman"/>
          <w:bCs/>
        </w:rPr>
        <w:t>1 kcal</w:t>
      </w:r>
      <w:r w:rsidRPr="00DF350B">
        <w:rPr>
          <w:rFonts w:ascii="Times New Roman" w:eastAsia="Times New Roman" w:hAnsi="Times New Roman" w:cs="Times New Roman"/>
          <w:bCs/>
        </w:rPr>
        <w:t xml:space="preserve">/mol determines the ability of Teniposide to </w:t>
      </w:r>
      <w:r w:rsidR="009138C2" w:rsidRPr="00DF350B">
        <w:rPr>
          <w:rFonts w:ascii="Times New Roman" w:eastAsia="Times New Roman" w:hAnsi="Times New Roman" w:cs="Times New Roman"/>
          <w:bCs/>
        </w:rPr>
        <w:t>inhibit RPs.The</w:t>
      </w:r>
      <w:r w:rsidRPr="00DF350B">
        <w:rPr>
          <w:rFonts w:ascii="Times New Roman" w:eastAsia="Times New Roman" w:hAnsi="Times New Roman" w:cs="Times New Roman"/>
          <w:bCs/>
        </w:rPr>
        <w:t xml:space="preserve"> podophyllotoxin derivative</w:t>
      </w:r>
      <w:r>
        <w:rPr>
          <w:rFonts w:ascii="Times New Roman" w:eastAsia="Times New Roman" w:hAnsi="Times New Roman" w:cs="Times New Roman"/>
          <w:bCs/>
        </w:rPr>
        <w:t xml:space="preserve"> Teniposide </w:t>
      </w:r>
      <w:r w:rsidRPr="00DF350B">
        <w:rPr>
          <w:rFonts w:ascii="Times New Roman" w:eastAsia="Times New Roman" w:hAnsi="Times New Roman" w:cs="Times New Roman"/>
          <w:bCs/>
        </w:rPr>
        <w:t>stability in the binding site of RPL27A receptor is also recognized by common amino acids residue forming interactions like conventional hydrogen bond, hydrophobic interaction, Pi Sigma, Carbon-Hydrogen bond, a</w:t>
      </w:r>
      <w:r>
        <w:rPr>
          <w:rFonts w:ascii="Times New Roman" w:eastAsia="Times New Roman" w:hAnsi="Times New Roman" w:cs="Times New Roman"/>
          <w:bCs/>
        </w:rPr>
        <w:t xml:space="preserve">nd van der Walls interactions. </w:t>
      </w:r>
      <w:r w:rsidRPr="00DF350B">
        <w:rPr>
          <w:rFonts w:ascii="Times New Roman" w:eastAsia="Times New Roman" w:hAnsi="Times New Roman" w:cs="Times New Roman"/>
          <w:bCs/>
        </w:rPr>
        <w:t xml:space="preserve">The conventional hydrogen bonds with the amino </w:t>
      </w:r>
      <w:r w:rsidR="009138C2" w:rsidRPr="00DF350B">
        <w:rPr>
          <w:rFonts w:ascii="Times New Roman" w:eastAsia="Times New Roman" w:hAnsi="Times New Roman" w:cs="Times New Roman"/>
          <w:bCs/>
        </w:rPr>
        <w:t>acids at</w:t>
      </w:r>
      <w:r w:rsidRPr="00DF350B">
        <w:rPr>
          <w:rFonts w:ascii="Times New Roman" w:eastAsia="Times New Roman" w:hAnsi="Times New Roman" w:cs="Times New Roman"/>
          <w:bCs/>
        </w:rPr>
        <w:t xml:space="preserve"> a distance of 4.90 </w:t>
      </w:r>
      <w:r w:rsidR="009138C2" w:rsidRPr="00DF350B">
        <w:rPr>
          <w:rFonts w:ascii="Times New Roman" w:eastAsia="Times New Roman" w:hAnsi="Times New Roman" w:cs="Times New Roman"/>
          <w:bCs/>
        </w:rPr>
        <w:t>Å,</w:t>
      </w:r>
      <w:r w:rsidRPr="00DF350B">
        <w:rPr>
          <w:rFonts w:ascii="Times New Roman" w:eastAsia="Times New Roman" w:hAnsi="Times New Roman" w:cs="Times New Roman"/>
          <w:bCs/>
        </w:rPr>
        <w:t xml:space="preserve"> 4.61 </w:t>
      </w:r>
      <w:r w:rsidR="009138C2" w:rsidRPr="00DF350B">
        <w:rPr>
          <w:rFonts w:ascii="Times New Roman" w:eastAsia="Times New Roman" w:hAnsi="Times New Roman" w:cs="Times New Roman"/>
          <w:bCs/>
        </w:rPr>
        <w:t>Å,</w:t>
      </w:r>
      <w:r w:rsidRPr="00DF350B">
        <w:rPr>
          <w:rFonts w:ascii="Times New Roman" w:eastAsia="Times New Roman" w:hAnsi="Times New Roman" w:cs="Times New Roman"/>
          <w:bCs/>
        </w:rPr>
        <w:t xml:space="preserve"> 3.94 Å ,3.96 </w:t>
      </w:r>
      <w:r w:rsidR="009138C2" w:rsidRPr="00DF350B">
        <w:rPr>
          <w:rFonts w:ascii="Times New Roman" w:eastAsia="Times New Roman" w:hAnsi="Times New Roman" w:cs="Times New Roman"/>
          <w:bCs/>
        </w:rPr>
        <w:t>Å,</w:t>
      </w:r>
      <w:r w:rsidRPr="00DF350B">
        <w:rPr>
          <w:rFonts w:ascii="Times New Roman" w:eastAsia="Times New Roman" w:hAnsi="Times New Roman" w:cs="Times New Roman"/>
          <w:bCs/>
        </w:rPr>
        <w:t xml:space="preserve"> and 3.74 Å are interrelated with the high binding affinity </w:t>
      </w:r>
      <w:r w:rsidR="004F7961" w:rsidRPr="00DF350B">
        <w:rPr>
          <w:rFonts w:ascii="Times New Roman" w:eastAsia="Times New Roman" w:hAnsi="Times New Roman" w:cs="Times New Roman"/>
          <w:bCs/>
        </w:rPr>
        <w:t>of Tenoposide</w:t>
      </w:r>
      <w:r w:rsidR="00763825">
        <w:rPr>
          <w:rFonts w:ascii="Times New Roman" w:eastAsia="Times New Roman" w:hAnsi="Times New Roman" w:cs="Times New Roman"/>
          <w:bCs/>
        </w:rPr>
        <w:t xml:space="preserve"> with RPL27A</w:t>
      </w:r>
      <w:r w:rsidRPr="00DF350B">
        <w:rPr>
          <w:rFonts w:ascii="Times New Roman" w:eastAsia="Times New Roman" w:hAnsi="Times New Roman" w:cs="Times New Roman"/>
          <w:bCs/>
        </w:rPr>
        <w:t>. The high binding af</w:t>
      </w:r>
      <w:r w:rsidR="00763825">
        <w:rPr>
          <w:rFonts w:ascii="Times New Roman" w:eastAsia="Times New Roman" w:hAnsi="Times New Roman" w:cs="Times New Roman"/>
          <w:bCs/>
        </w:rPr>
        <w:t>finity of Teniposide with the RP</w:t>
      </w:r>
      <w:r w:rsidRPr="00DF350B">
        <w:rPr>
          <w:rFonts w:ascii="Times New Roman" w:eastAsia="Times New Roman" w:hAnsi="Times New Roman" w:cs="Times New Roman"/>
          <w:bCs/>
        </w:rPr>
        <w:t xml:space="preserve"> </w:t>
      </w:r>
      <w:r w:rsidR="00763825">
        <w:rPr>
          <w:rFonts w:ascii="Times New Roman" w:eastAsia="Times New Roman" w:hAnsi="Times New Roman" w:cs="Times New Roman"/>
          <w:bCs/>
        </w:rPr>
        <w:t xml:space="preserve">target </w:t>
      </w:r>
      <w:bookmarkStart w:id="0" w:name="_GoBack"/>
      <w:bookmarkEnd w:id="0"/>
      <w:r w:rsidRPr="00DF350B">
        <w:rPr>
          <w:rFonts w:ascii="Times New Roman" w:eastAsia="Times New Roman" w:hAnsi="Times New Roman" w:cs="Times New Roman"/>
          <w:bCs/>
        </w:rPr>
        <w:t>may be due to the bond length distance between amino acid residues.</w:t>
      </w:r>
    </w:p>
    <w:p w:rsidR="005A3A1B" w:rsidRDefault="005A3A1B" w:rsidP="004F7961">
      <w:pPr>
        <w:spacing w:after="0"/>
        <w:rPr>
          <w:rFonts w:ascii="Times New Roman" w:eastAsia="Times New Roman" w:hAnsi="Times New Roman" w:cs="Times New Roman"/>
          <w:bCs/>
          <w:sz w:val="20"/>
          <w:szCs w:val="20"/>
        </w:rPr>
      </w:pPr>
    </w:p>
    <w:p w:rsidR="005A3A1B" w:rsidRDefault="005A3A1B" w:rsidP="004F7961">
      <w:pPr>
        <w:spacing w:after="0"/>
        <w:rPr>
          <w:rFonts w:ascii="Times New Roman" w:eastAsia="Times New Roman" w:hAnsi="Times New Roman" w:cs="Times New Roman"/>
          <w:bCs/>
          <w:sz w:val="20"/>
          <w:szCs w:val="20"/>
        </w:rPr>
      </w:pPr>
      <w:r w:rsidRPr="00C92B9F">
        <w:rPr>
          <w:rFonts w:ascii="Times New Roman" w:eastAsia="Times New Roman" w:hAnsi="Times New Roman" w:cs="Times New Roman"/>
          <w:bCs/>
          <w:noProof/>
          <w:sz w:val="20"/>
          <w:szCs w:val="20"/>
        </w:rPr>
        <w:drawing>
          <wp:inline distT="0" distB="0" distL="0" distR="0" wp14:anchorId="56C495E5" wp14:editId="4EB75E63">
            <wp:extent cx="2809875" cy="2955695"/>
            <wp:effectExtent l="0" t="0" r="0" b="0"/>
            <wp:docPr id="3" name="صورة 3" descr="C:\Users\DELL\Desktop\PDBQT\RPL27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PDBQT\RPL27A 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875" cy="2955695"/>
                    </a:xfrm>
                    <a:prstGeom prst="rect">
                      <a:avLst/>
                    </a:prstGeom>
                    <a:noFill/>
                    <a:ln>
                      <a:noFill/>
                    </a:ln>
                  </pic:spPr>
                </pic:pic>
              </a:graphicData>
            </a:graphic>
          </wp:inline>
        </w:drawing>
      </w:r>
      <w:r w:rsidRPr="00C92B9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14:anchorId="6BACE0E4" wp14:editId="623C7E5E">
            <wp:extent cx="2987040" cy="2945354"/>
            <wp:effectExtent l="0" t="0" r="3810" b="762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311" cy="2948579"/>
                    </a:xfrm>
                    <a:prstGeom prst="rect">
                      <a:avLst/>
                    </a:prstGeom>
                    <a:noFill/>
                  </pic:spPr>
                </pic:pic>
              </a:graphicData>
            </a:graphic>
          </wp:inline>
        </w:drawing>
      </w:r>
    </w:p>
    <w:p w:rsidR="005A3A1B" w:rsidRPr="00653C67" w:rsidRDefault="005A3A1B" w:rsidP="004F7961">
      <w:pPr>
        <w:pStyle w:val="a5"/>
        <w:numPr>
          <w:ilvl w:val="0"/>
          <w:numId w:val="2"/>
        </w:numPr>
        <w:spacing w:after="0"/>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(b)</w:t>
      </w:r>
    </w:p>
    <w:p w:rsidR="005A3A1B" w:rsidRDefault="005A3A1B" w:rsidP="004F7961">
      <w:pPr>
        <w:spacing w:after="0"/>
        <w:rPr>
          <w:rFonts w:ascii="Times New Roman" w:eastAsia="Times New Roman" w:hAnsi="Times New Roman" w:cs="Times New Roman"/>
          <w:bCs/>
          <w:sz w:val="20"/>
          <w:szCs w:val="20"/>
        </w:rPr>
      </w:pPr>
    </w:p>
    <w:p w:rsidR="005A3A1B" w:rsidRDefault="005A3A1B" w:rsidP="004F7961">
      <w:pPr>
        <w:spacing w:after="0"/>
        <w:rPr>
          <w:rFonts w:ascii="Times New Roman" w:eastAsia="Times New Roman" w:hAnsi="Times New Roman" w:cs="Times New Roman"/>
          <w:bCs/>
          <w:sz w:val="20"/>
          <w:szCs w:val="20"/>
        </w:rPr>
      </w:pPr>
      <w:r>
        <w:rPr>
          <w:rFonts w:ascii="Times New Roman" w:eastAsia="Times New Roman" w:hAnsi="Times New Roman" w:cs="Times New Roman"/>
          <w:noProof/>
          <w:snapToGrid w:val="0"/>
          <w:color w:val="000000"/>
          <w:w w:val="0"/>
          <w:sz w:val="0"/>
          <w:szCs w:val="0"/>
          <w:u w:color="000000"/>
          <w:bdr w:val="none" w:sz="0" w:space="0" w:color="000000"/>
          <w:shd w:val="clear" w:color="000000" w:fill="000000"/>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901950" cy="2933700"/>
            <wp:effectExtent l="0" t="0" r="0" b="0"/>
            <wp:wrapThrough wrapText="bothSides">
              <wp:wrapPolygon edited="0">
                <wp:start x="0" y="0"/>
                <wp:lineTo x="0" y="21460"/>
                <wp:lineTo x="21411" y="21460"/>
                <wp:lineTo x="21411" y="0"/>
                <wp:lineTo x="0" y="0"/>
              </wp:wrapPolygon>
            </wp:wrapThrough>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1950" cy="2933700"/>
                    </a:xfrm>
                    <a:prstGeom prst="rect">
                      <a:avLst/>
                    </a:prstGeom>
                    <a:noFill/>
                  </pic:spPr>
                </pic:pic>
              </a:graphicData>
            </a:graphic>
            <wp14:sizeRelH relativeFrom="margin">
              <wp14:pctWidth>0</wp14:pctWidth>
            </wp14:sizeRelH>
            <wp14:sizeRelV relativeFrom="margin">
              <wp14:pctHeight>0</wp14:pctHeight>
            </wp14:sizeRelV>
          </wp:anchor>
        </w:drawing>
      </w:r>
      <w:r w:rsidRPr="00653C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653C67">
        <w:rPr>
          <w:rFonts w:ascii="Times New Roman" w:eastAsia="Times New Roman" w:hAnsi="Times New Roman" w:cs="Times New Roman"/>
          <w:bCs/>
          <w:noProof/>
          <w:sz w:val="20"/>
          <w:szCs w:val="20"/>
        </w:rPr>
        <w:drawing>
          <wp:inline distT="0" distB="0" distL="0" distR="0" wp14:anchorId="34BE1445" wp14:editId="7B1C7B45">
            <wp:extent cx="2940050" cy="2941320"/>
            <wp:effectExtent l="0" t="0" r="0" b="0"/>
            <wp:docPr id="6" name="صورة 6" descr="C:\Users\DELL\Desktop\PDBQT\RPL27A 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PDBQT\RPL27A image 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40050" cy="2941320"/>
                    </a:xfrm>
                    <a:prstGeom prst="rect">
                      <a:avLst/>
                    </a:prstGeom>
                    <a:noFill/>
                    <a:ln>
                      <a:noFill/>
                    </a:ln>
                  </pic:spPr>
                </pic:pic>
              </a:graphicData>
            </a:graphic>
          </wp:inline>
        </w:drawing>
      </w:r>
    </w:p>
    <w:p w:rsidR="005A3A1B" w:rsidRPr="00653C67" w:rsidRDefault="005A3A1B" w:rsidP="004F7961">
      <w:pPr>
        <w:spacing w:after="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(c)</w:t>
      </w:r>
      <w:r w:rsidRPr="00653C67">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9138C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d)</w:t>
      </w:r>
    </w:p>
    <w:p w:rsidR="005A3A1B" w:rsidRDefault="005A3A1B" w:rsidP="004F7961">
      <w:pPr>
        <w:spacing w:after="0"/>
        <w:rPr>
          <w:rFonts w:ascii="Times New Roman" w:eastAsia="Times New Roman" w:hAnsi="Times New Roman" w:cs="Times New Roman"/>
          <w:bCs/>
          <w:sz w:val="20"/>
          <w:szCs w:val="20"/>
        </w:rPr>
      </w:pPr>
    </w:p>
    <w:p w:rsidR="005A3A1B" w:rsidRDefault="005A3A1B" w:rsidP="004F7961">
      <w:pPr>
        <w:spacing w:after="0"/>
        <w:rPr>
          <w:rFonts w:ascii="Times New Roman" w:eastAsia="Times New Roman" w:hAnsi="Times New Roman" w:cs="Times New Roman"/>
          <w:bCs/>
          <w:sz w:val="20"/>
          <w:szCs w:val="20"/>
        </w:rPr>
      </w:pPr>
    </w:p>
    <w:p w:rsidR="005A3A1B" w:rsidRPr="00684D17" w:rsidRDefault="005A3A1B" w:rsidP="004F7961">
      <w:pPr>
        <w:spacing w:after="0"/>
        <w:rPr>
          <w:rFonts w:ascii="Times New Roman" w:eastAsia="Times New Roman" w:hAnsi="Times New Roman" w:cs="Times New Roman"/>
          <w:bCs/>
          <w:sz w:val="20"/>
          <w:szCs w:val="20"/>
        </w:rPr>
      </w:pPr>
      <w:r w:rsidRPr="00DF350B">
        <w:rPr>
          <w:rFonts w:ascii="Times New Roman" w:eastAsia="Times New Roman" w:hAnsi="Times New Roman" w:cs="Times New Roman"/>
          <w:b/>
          <w:sz w:val="20"/>
          <w:szCs w:val="20"/>
        </w:rPr>
        <w:t>Figure 1.</w:t>
      </w:r>
      <w:r w:rsidRPr="00684D17">
        <w:rPr>
          <w:rFonts w:ascii="Times New Roman" w:eastAsia="Times New Roman" w:hAnsi="Times New Roman" w:cs="Times New Roman"/>
          <w:bCs/>
          <w:sz w:val="20"/>
          <w:szCs w:val="20"/>
        </w:rPr>
        <w:t xml:space="preserve"> Docked poses of RPL27A (8BGH) with Teniposide (452548): (a) Teniposide docked to RPL27A (b) Hydrophobicity surface at the active binding site </w:t>
      </w:r>
      <w:r w:rsidR="009138C2" w:rsidRPr="00684D17">
        <w:rPr>
          <w:rFonts w:ascii="Times New Roman" w:eastAsia="Times New Roman" w:hAnsi="Times New Roman" w:cs="Times New Roman"/>
          <w:bCs/>
          <w:sz w:val="20"/>
          <w:szCs w:val="20"/>
        </w:rPr>
        <w:t>of RPL</w:t>
      </w:r>
      <w:r w:rsidRPr="00684D17">
        <w:rPr>
          <w:rFonts w:ascii="Times New Roman" w:eastAsia="Times New Roman" w:hAnsi="Times New Roman" w:cs="Times New Roman"/>
          <w:bCs/>
          <w:sz w:val="20"/>
          <w:szCs w:val="20"/>
        </w:rPr>
        <w:t>27A with Teniposde; (c) 3D stick diagram of surrounding RPL27A amino acids with Teniposide; (d) 2D view of surrounding RPL27A amino acids with Teniposide.</w:t>
      </w:r>
    </w:p>
    <w:p w:rsidR="005A3A1B" w:rsidRDefault="005A3A1B" w:rsidP="004F7961">
      <w:pPr>
        <w:spacing w:after="0"/>
        <w:rPr>
          <w:rFonts w:ascii="Times New Roman" w:eastAsia="Times New Roman" w:hAnsi="Times New Roman" w:cs="Times New Roman"/>
          <w:bCs/>
          <w:sz w:val="20"/>
          <w:szCs w:val="20"/>
        </w:rPr>
      </w:pPr>
    </w:p>
    <w:p w:rsidR="005A3A1B" w:rsidRPr="00653C67" w:rsidRDefault="005A3A1B" w:rsidP="004F7961">
      <w:pPr>
        <w:spacing w:after="0"/>
        <w:rPr>
          <w:rFonts w:ascii="Times New Roman" w:eastAsia="Times New Roman" w:hAnsi="Times New Roman" w:cs="Times New Roman"/>
          <w:bCs/>
          <w:sz w:val="20"/>
          <w:szCs w:val="20"/>
        </w:rPr>
      </w:pPr>
      <w:r w:rsidRPr="00F83D8F">
        <w:rPr>
          <w:rFonts w:ascii="Times New Roman" w:eastAsia="Times New Roman" w:hAnsi="Times New Roman" w:cs="Times New Roman"/>
          <w:bCs/>
          <w:sz w:val="20"/>
          <w:szCs w:val="20"/>
        </w:rPr>
        <w:t>The reported docki</w:t>
      </w:r>
      <w:r>
        <w:rPr>
          <w:rFonts w:ascii="Times New Roman" w:eastAsia="Times New Roman" w:hAnsi="Times New Roman" w:cs="Times New Roman"/>
          <w:bCs/>
          <w:sz w:val="20"/>
          <w:szCs w:val="20"/>
        </w:rPr>
        <w:t>ng results found that Teniposide exhibits the best bind</w:t>
      </w:r>
      <w:r w:rsidR="009138C2">
        <w:rPr>
          <w:rFonts w:ascii="Times New Roman" w:eastAsia="Times New Roman" w:hAnsi="Times New Roman" w:cs="Times New Roman"/>
          <w:bCs/>
          <w:sz w:val="20"/>
          <w:szCs w:val="20"/>
        </w:rPr>
        <w:t>ing interaction among the five</w:t>
      </w:r>
      <w:r>
        <w:rPr>
          <w:rFonts w:ascii="Times New Roman" w:eastAsia="Times New Roman" w:hAnsi="Times New Roman" w:cs="Times New Roman"/>
          <w:bCs/>
          <w:sz w:val="20"/>
          <w:szCs w:val="20"/>
        </w:rPr>
        <w:t xml:space="preserve"> podophyllotoxin derivatives as a common inhibitor for the RPL27A</w:t>
      </w:r>
      <w:r w:rsidRPr="00F83D8F">
        <w:rPr>
          <w:rFonts w:ascii="Times New Roman" w:eastAsia="Times New Roman" w:hAnsi="Times New Roman" w:cs="Times New Roman"/>
          <w:bCs/>
          <w:sz w:val="20"/>
          <w:szCs w:val="20"/>
        </w:rPr>
        <w:t xml:space="preserve"> receptor. The lead comp</w:t>
      </w:r>
      <w:r>
        <w:rPr>
          <w:rFonts w:ascii="Times New Roman" w:eastAsia="Times New Roman" w:hAnsi="Times New Roman" w:cs="Times New Roman"/>
          <w:bCs/>
          <w:sz w:val="20"/>
          <w:szCs w:val="20"/>
        </w:rPr>
        <w:t>ound was then assessed for ADME</w:t>
      </w:r>
      <w:r w:rsidRPr="00F83D8F">
        <w:rPr>
          <w:rFonts w:ascii="Times New Roman" w:eastAsia="Times New Roman" w:hAnsi="Times New Roman" w:cs="Times New Roman"/>
          <w:bCs/>
          <w:sz w:val="20"/>
          <w:szCs w:val="20"/>
        </w:rPr>
        <w:t xml:space="preserve"> studies</w:t>
      </w:r>
      <w:r w:rsidR="009138C2">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p>
    <w:p w:rsidR="005A3A1B" w:rsidRPr="00201B9A" w:rsidRDefault="005A3A1B" w:rsidP="004F7961">
      <w:pPr>
        <w:spacing w:after="0"/>
        <w:rPr>
          <w:rFonts w:ascii="Times New Roman" w:eastAsia="Times New Roman" w:hAnsi="Times New Roman" w:cs="Times New Roman"/>
          <w:bCs/>
          <w:sz w:val="20"/>
          <w:szCs w:val="20"/>
          <w:u w:val="single"/>
        </w:rPr>
      </w:pPr>
    </w:p>
    <w:p w:rsidR="005A3A1B" w:rsidRDefault="005A3A1B" w:rsidP="004F7961">
      <w:pPr>
        <w:spacing w:after="0"/>
        <w:rPr>
          <w:rFonts w:ascii="Times New Roman" w:eastAsia="Times New Roman" w:hAnsi="Times New Roman" w:cs="Times New Roman"/>
          <w:b/>
          <w:bCs/>
        </w:rPr>
      </w:pPr>
      <w:r w:rsidRPr="00201B9A">
        <w:rPr>
          <w:rFonts w:ascii="Times New Roman" w:eastAsia="Times New Roman" w:hAnsi="Times New Roman" w:cs="Times New Roman"/>
          <w:b/>
          <w:bCs/>
        </w:rPr>
        <w:t>3.3 ADMET evaluation studies</w:t>
      </w:r>
    </w:p>
    <w:p w:rsidR="005A3A1B" w:rsidRPr="00201B9A" w:rsidRDefault="005A3A1B" w:rsidP="004F7961">
      <w:pPr>
        <w:spacing w:after="0"/>
        <w:rPr>
          <w:rFonts w:ascii="Times New Roman" w:eastAsia="Times New Roman" w:hAnsi="Times New Roman" w:cs="Times New Roman"/>
          <w:b/>
          <w:bCs/>
        </w:rPr>
      </w:pPr>
    </w:p>
    <w:p w:rsidR="005A3A1B" w:rsidRPr="00DF350B" w:rsidRDefault="005A3A1B" w:rsidP="004F7961">
      <w:pPr>
        <w:spacing w:after="0"/>
        <w:rPr>
          <w:rFonts w:asciiTheme="majorBidi" w:eastAsia="Times New Roman" w:hAnsiTheme="majorBidi" w:cstheme="majorBidi"/>
          <w:bCs/>
        </w:rPr>
      </w:pPr>
      <w:r w:rsidRPr="00DF350B">
        <w:rPr>
          <w:rFonts w:asciiTheme="majorBidi" w:eastAsia="Times New Roman" w:hAnsiTheme="majorBidi" w:cstheme="majorBidi"/>
          <w:bCs/>
        </w:rPr>
        <w:t xml:space="preserve">Docking analyses showed Teniposide as the common inhibitor for RPL27A target. Teniposide was checked for the ADMET profile using admetSAR software. The admetSAR results were shown in Table 2. Teniposide may be capable of passing through BBB and able to absorb by intestine with probability score of 0.830. In addition, Teniposide is an inhibitor of P-glycoprotein with probability score of </w:t>
      </w:r>
      <w:r w:rsidR="009138C2" w:rsidRPr="00DF350B">
        <w:rPr>
          <w:rFonts w:asciiTheme="majorBidi" w:eastAsia="Times New Roman" w:hAnsiTheme="majorBidi" w:cstheme="majorBidi"/>
          <w:bCs/>
        </w:rPr>
        <w:t>0.53.</w:t>
      </w:r>
      <w:r w:rsidRPr="00DF350B">
        <w:rPr>
          <w:rFonts w:asciiTheme="majorBidi" w:eastAsia="Times New Roman" w:hAnsiTheme="majorBidi" w:cstheme="majorBidi"/>
          <w:bCs/>
        </w:rPr>
        <w:t xml:space="preserve"> Teniposide was an inhibitor of some CYP enzymes, two important biomarkers assessing the Teniposide’s potential effects on the liver and renal functions accordingly, with probability score &gt; 0.62. Drug toxicity is a great concern to the medical world. The toxicity prediction also indicated that </w:t>
      </w:r>
      <w:r w:rsidR="009138C2" w:rsidRPr="00DF350B">
        <w:rPr>
          <w:rFonts w:asciiTheme="majorBidi" w:eastAsia="Times New Roman" w:hAnsiTheme="majorBidi" w:cstheme="majorBidi"/>
          <w:bCs/>
        </w:rPr>
        <w:t>Teniposde is</w:t>
      </w:r>
      <w:r w:rsidRPr="00DF350B">
        <w:rPr>
          <w:rFonts w:asciiTheme="majorBidi" w:eastAsia="Times New Roman" w:hAnsiTheme="majorBidi" w:cstheme="majorBidi"/>
          <w:bCs/>
        </w:rPr>
        <w:t xml:space="preserve"> a non-carcinogenic</w:t>
      </w:r>
      <w:r>
        <w:rPr>
          <w:rFonts w:asciiTheme="majorBidi" w:eastAsia="Times New Roman" w:hAnsiTheme="majorBidi" w:cstheme="majorBidi"/>
          <w:bCs/>
        </w:rPr>
        <w:t>, and non- toxic to the body organs</w:t>
      </w:r>
      <w:r w:rsidRPr="00DF350B">
        <w:rPr>
          <w:rFonts w:asciiTheme="majorBidi" w:eastAsia="Times New Roman" w:hAnsiTheme="majorBidi" w:cstheme="majorBidi"/>
          <w:bCs/>
        </w:rPr>
        <w:t xml:space="preserve">. Acute oral toxicity category-3 considered Teniposide is nontoxic for oral toxicity with a probability score of </w:t>
      </w:r>
      <w:r w:rsidR="009138C2" w:rsidRPr="00DF350B">
        <w:rPr>
          <w:rFonts w:asciiTheme="majorBidi" w:eastAsia="Times New Roman" w:hAnsiTheme="majorBidi" w:cstheme="majorBidi"/>
          <w:bCs/>
        </w:rPr>
        <w:t>0.74.</w:t>
      </w:r>
      <w:r w:rsidRPr="00DF350B">
        <w:rPr>
          <w:rFonts w:asciiTheme="majorBidi" w:eastAsia="Times New Roman" w:hAnsiTheme="majorBidi" w:cstheme="majorBidi"/>
          <w:bCs/>
        </w:rPr>
        <w:t xml:space="preserve"> Teniposide showed higher solubility with a log S value of</w:t>
      </w:r>
      <w:r>
        <w:rPr>
          <w:rFonts w:asciiTheme="majorBidi" w:eastAsia="Times New Roman" w:hAnsiTheme="majorBidi" w:cstheme="majorBidi"/>
          <w:bCs/>
        </w:rPr>
        <w:t xml:space="preserve"> </w:t>
      </w:r>
      <w:r w:rsidRPr="00DF350B">
        <w:rPr>
          <w:rFonts w:asciiTheme="majorBidi" w:eastAsia="Times New Roman" w:hAnsiTheme="majorBidi" w:cstheme="majorBidi"/>
          <w:bCs/>
        </w:rPr>
        <w:t>-3.</w:t>
      </w:r>
      <w:r w:rsidR="009138C2" w:rsidRPr="00DF350B">
        <w:rPr>
          <w:rFonts w:asciiTheme="majorBidi" w:eastAsia="Times New Roman" w:hAnsiTheme="majorBidi" w:cstheme="majorBidi"/>
          <w:bCs/>
        </w:rPr>
        <w:t>19,</w:t>
      </w:r>
      <w:r w:rsidRPr="00DF350B">
        <w:rPr>
          <w:rFonts w:asciiTheme="majorBidi" w:eastAsia="Times New Roman" w:hAnsiTheme="majorBidi" w:cstheme="majorBidi"/>
          <w:bCs/>
        </w:rPr>
        <w:t xml:space="preserve"> which affects Teniposide’s movement from the site of administration into the blood. </w:t>
      </w:r>
    </w:p>
    <w:p w:rsidR="005A3A1B" w:rsidRDefault="005A3A1B" w:rsidP="004F7961">
      <w:pPr>
        <w:spacing w:after="0"/>
        <w:rPr>
          <w:rFonts w:ascii="Times New Roman" w:eastAsia="Times New Roman" w:hAnsi="Times New Roman" w:cs="Times New Roman"/>
          <w:b/>
        </w:rPr>
      </w:pPr>
    </w:p>
    <w:p w:rsidR="005A3A1B" w:rsidRPr="00DF350B" w:rsidRDefault="005A3A1B" w:rsidP="004F7961">
      <w:pPr>
        <w:spacing w:after="0"/>
        <w:rPr>
          <w:rFonts w:ascii="Times New Roman" w:eastAsia="Times New Roman" w:hAnsi="Times New Roman" w:cs="Times New Roman"/>
          <w:bCs/>
          <w:sz w:val="20"/>
          <w:szCs w:val="20"/>
        </w:rPr>
      </w:pPr>
      <w:r w:rsidRPr="00DF350B">
        <w:rPr>
          <w:rFonts w:ascii="Times New Roman" w:eastAsia="Times New Roman" w:hAnsi="Times New Roman" w:cs="Times New Roman"/>
          <w:b/>
          <w:sz w:val="20"/>
          <w:szCs w:val="20"/>
        </w:rPr>
        <w:t>Table 2.</w:t>
      </w:r>
      <w:r w:rsidRPr="00DF350B">
        <w:rPr>
          <w:rFonts w:ascii="Times New Roman" w:eastAsia="Times New Roman" w:hAnsi="Times New Roman" w:cs="Times New Roman"/>
          <w:bCs/>
          <w:sz w:val="20"/>
          <w:szCs w:val="20"/>
        </w:rPr>
        <w:t xml:space="preserve"> Predicted ADMET profile </w:t>
      </w:r>
      <w:r w:rsidR="009138C2" w:rsidRPr="00DF350B">
        <w:rPr>
          <w:rFonts w:ascii="Times New Roman" w:eastAsia="Times New Roman" w:hAnsi="Times New Roman" w:cs="Times New Roman"/>
          <w:bCs/>
          <w:sz w:val="20"/>
          <w:szCs w:val="20"/>
        </w:rPr>
        <w:t>of Teniposide</w:t>
      </w:r>
      <w:r w:rsidRPr="00DF350B">
        <w:rPr>
          <w:rFonts w:ascii="Times New Roman" w:eastAsia="Times New Roman" w:hAnsi="Times New Roman" w:cs="Times New Roman"/>
          <w:bCs/>
          <w:sz w:val="20"/>
          <w:szCs w:val="20"/>
        </w:rPr>
        <w:t>.</w:t>
      </w:r>
    </w:p>
    <w:tbl>
      <w:tblPr>
        <w:tblStyle w:val="a4"/>
        <w:tblW w:w="10060" w:type="dxa"/>
        <w:tblLayout w:type="fixed"/>
        <w:tblLook w:val="04A0" w:firstRow="1" w:lastRow="0" w:firstColumn="1" w:lastColumn="0" w:noHBand="0" w:noVBand="1"/>
      </w:tblPr>
      <w:tblGrid>
        <w:gridCol w:w="5807"/>
        <w:gridCol w:w="1985"/>
        <w:gridCol w:w="2268"/>
      </w:tblGrid>
      <w:tr w:rsidR="005A3A1B" w:rsidRPr="000A172E" w:rsidTr="00625499">
        <w:tc>
          <w:tcPr>
            <w:tcW w:w="5807" w:type="dxa"/>
          </w:tcPr>
          <w:p w:rsidR="005A3A1B" w:rsidRPr="00DF350B" w:rsidRDefault="005A3A1B" w:rsidP="004F7961">
            <w:pPr>
              <w:spacing w:line="259" w:lineRule="auto"/>
              <w:rPr>
                <w:rFonts w:ascii="Times New Roman" w:eastAsia="Times New Roman" w:hAnsi="Times New Roman" w:cs="Times New Roman"/>
                <w:b/>
              </w:rPr>
            </w:pPr>
            <w:r w:rsidRPr="00DF350B">
              <w:rPr>
                <w:rFonts w:ascii="Times New Roman" w:eastAsia="Times New Roman" w:hAnsi="Times New Roman" w:cs="Times New Roman"/>
                <w:b/>
              </w:rPr>
              <w:t>ADMET</w:t>
            </w:r>
          </w:p>
        </w:tc>
        <w:tc>
          <w:tcPr>
            <w:tcW w:w="1985" w:type="dxa"/>
          </w:tcPr>
          <w:p w:rsidR="005A3A1B" w:rsidRPr="00DF350B" w:rsidRDefault="005A3A1B" w:rsidP="004F7961">
            <w:pPr>
              <w:spacing w:line="259" w:lineRule="auto"/>
              <w:rPr>
                <w:rFonts w:ascii="Times New Roman" w:eastAsia="Times New Roman" w:hAnsi="Times New Roman" w:cs="Times New Roman"/>
                <w:b/>
              </w:rPr>
            </w:pPr>
            <w:r w:rsidRPr="00DF350B">
              <w:rPr>
                <w:rFonts w:ascii="Times New Roman" w:eastAsia="Times New Roman" w:hAnsi="Times New Roman" w:cs="Times New Roman"/>
                <w:b/>
              </w:rPr>
              <w:t xml:space="preserve">results </w:t>
            </w:r>
          </w:p>
        </w:tc>
        <w:tc>
          <w:tcPr>
            <w:tcW w:w="2268" w:type="dxa"/>
          </w:tcPr>
          <w:p w:rsidR="005A3A1B" w:rsidRPr="00DF350B" w:rsidRDefault="005A3A1B" w:rsidP="004F7961">
            <w:pPr>
              <w:spacing w:line="259" w:lineRule="auto"/>
              <w:rPr>
                <w:rFonts w:ascii="Times New Roman" w:eastAsia="Times New Roman" w:hAnsi="Times New Roman" w:cs="Times New Roman"/>
                <w:b/>
              </w:rPr>
            </w:pPr>
            <w:r w:rsidRPr="00DF350B">
              <w:rPr>
                <w:rFonts w:ascii="Times New Roman" w:eastAsia="Times New Roman" w:hAnsi="Times New Roman" w:cs="Times New Roman"/>
                <w:b/>
              </w:rPr>
              <w:t>probability</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HIA</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HIA+</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0.8302</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Caco 2</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Caco 2-</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0.8551</w:t>
            </w:r>
          </w:p>
        </w:tc>
      </w:tr>
      <w:tr w:rsidR="005A3A1B" w:rsidRPr="000A172E" w:rsidTr="00625499">
        <w:tc>
          <w:tcPr>
            <w:tcW w:w="5807" w:type="dxa"/>
          </w:tcPr>
          <w:p w:rsidR="005A3A1B" w:rsidRPr="00DF350B" w:rsidRDefault="005A3A1B" w:rsidP="004F7961">
            <w:pPr>
              <w:rPr>
                <w:rFonts w:asciiTheme="majorBidi" w:eastAsia="Times New Roman" w:hAnsiTheme="majorBidi" w:cstheme="majorBidi"/>
                <w:bCs/>
              </w:rPr>
            </w:pPr>
            <w:r w:rsidRPr="001A2110">
              <w:rPr>
                <w:rFonts w:asciiTheme="majorBidi" w:eastAsia="Times New Roman" w:hAnsiTheme="majorBidi" w:cstheme="majorBidi"/>
                <w:bCs/>
              </w:rPr>
              <w:t>BBB</w:t>
            </w:r>
          </w:p>
        </w:tc>
        <w:tc>
          <w:tcPr>
            <w:tcW w:w="1985" w:type="dxa"/>
          </w:tcPr>
          <w:p w:rsidR="005A3A1B" w:rsidRPr="00DF350B" w:rsidRDefault="005A3A1B" w:rsidP="004F7961">
            <w:pPr>
              <w:rPr>
                <w:rFonts w:asciiTheme="majorBidi" w:eastAsia="Times New Roman" w:hAnsiTheme="majorBidi" w:cstheme="majorBidi"/>
                <w:bCs/>
              </w:rPr>
            </w:pPr>
            <w:r w:rsidRPr="001A2110">
              <w:rPr>
                <w:rFonts w:asciiTheme="majorBidi" w:eastAsia="Times New Roman" w:hAnsiTheme="majorBidi" w:cstheme="majorBidi"/>
                <w:bCs/>
              </w:rPr>
              <w:t>BBB -</w:t>
            </w:r>
          </w:p>
        </w:tc>
        <w:tc>
          <w:tcPr>
            <w:tcW w:w="2268" w:type="dxa"/>
          </w:tcPr>
          <w:p w:rsidR="005A3A1B" w:rsidRPr="00DF350B" w:rsidRDefault="005A3A1B" w:rsidP="004F7961">
            <w:pPr>
              <w:rPr>
                <w:rFonts w:asciiTheme="majorBidi" w:eastAsia="Times New Roman" w:hAnsiTheme="majorBidi" w:cstheme="majorBidi"/>
                <w:bCs/>
              </w:rPr>
            </w:pPr>
            <w:r w:rsidRPr="001A2110">
              <w:rPr>
                <w:rFonts w:asciiTheme="majorBidi" w:eastAsia="Times New Roman" w:hAnsiTheme="majorBidi" w:cstheme="majorBidi"/>
                <w:bCs/>
              </w:rPr>
              <w:t>0.8000</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P-gp substrate</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Substrate</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0.8292</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P-gp Inhibitor</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inhibitor</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0.5362</w:t>
            </w:r>
          </w:p>
        </w:tc>
      </w:tr>
      <w:tr w:rsidR="005A3A1B" w:rsidRPr="000A172E" w:rsidTr="00625499">
        <w:tc>
          <w:tcPr>
            <w:tcW w:w="5807" w:type="dxa"/>
          </w:tcPr>
          <w:p w:rsidR="005A3A1B" w:rsidRPr="00DF350B" w:rsidRDefault="005A3A1B" w:rsidP="004F7961">
            <w:pPr>
              <w:rPr>
                <w:rFonts w:asciiTheme="majorBidi" w:eastAsia="Times New Roman" w:hAnsiTheme="majorBidi" w:cstheme="majorBidi"/>
                <w:bCs/>
              </w:rPr>
            </w:pPr>
            <w:r w:rsidRPr="00615AC5">
              <w:rPr>
                <w:rFonts w:asciiTheme="majorBidi" w:eastAsia="Times New Roman" w:hAnsiTheme="majorBidi" w:cstheme="majorBidi"/>
                <w:bCs/>
              </w:rPr>
              <w:lastRenderedPageBreak/>
              <w:t>Plasma protein binding</w:t>
            </w:r>
          </w:p>
        </w:tc>
        <w:tc>
          <w:tcPr>
            <w:tcW w:w="1985" w:type="dxa"/>
          </w:tcPr>
          <w:p w:rsidR="005A3A1B" w:rsidRPr="00DF350B" w:rsidRDefault="005A3A1B" w:rsidP="004F7961">
            <w:pPr>
              <w:rPr>
                <w:rFonts w:asciiTheme="majorBidi" w:eastAsia="Times New Roman" w:hAnsiTheme="majorBidi" w:cstheme="majorBidi"/>
                <w:bCs/>
              </w:rPr>
            </w:pPr>
            <w:r w:rsidRPr="00615AC5">
              <w:rPr>
                <w:rFonts w:asciiTheme="majorBidi" w:eastAsia="Times New Roman" w:hAnsiTheme="majorBidi" w:cstheme="majorBidi"/>
                <w:bCs/>
              </w:rPr>
              <w:t>1.071</w:t>
            </w:r>
            <w:r>
              <w:rPr>
                <w:rFonts w:asciiTheme="majorBidi" w:eastAsia="Times New Roman" w:hAnsiTheme="majorBidi" w:cstheme="majorBidi"/>
                <w:bCs/>
              </w:rPr>
              <w:t xml:space="preserve">        </w:t>
            </w:r>
            <w:r w:rsidRPr="00615AC5">
              <w:rPr>
                <w:rFonts w:asciiTheme="majorBidi" w:eastAsia="Times New Roman" w:hAnsiTheme="majorBidi" w:cstheme="majorBidi"/>
                <w:bCs/>
              </w:rPr>
              <w:t>100%</w:t>
            </w:r>
          </w:p>
        </w:tc>
        <w:tc>
          <w:tcPr>
            <w:tcW w:w="2268" w:type="dxa"/>
          </w:tcPr>
          <w:p w:rsidR="005A3A1B" w:rsidRPr="00DF350B" w:rsidRDefault="005A3A1B" w:rsidP="004F7961">
            <w:pPr>
              <w:rPr>
                <w:rFonts w:asciiTheme="majorBidi" w:eastAsia="Times New Roman" w:hAnsiTheme="majorBidi" w:cstheme="majorBidi"/>
                <w:bCs/>
              </w:rPr>
            </w:pP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CYP IP (inhibitory promiscuity)</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low</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0.9121</w:t>
            </w:r>
          </w:p>
        </w:tc>
      </w:tr>
      <w:tr w:rsidR="005A3A1B" w:rsidRPr="000A172E" w:rsidTr="00625499">
        <w:tc>
          <w:tcPr>
            <w:tcW w:w="5807" w:type="dxa"/>
          </w:tcPr>
          <w:p w:rsidR="005A3A1B" w:rsidRPr="00DF350B" w:rsidRDefault="005A3A1B" w:rsidP="004F7961">
            <w:pPr>
              <w:rPr>
                <w:rFonts w:asciiTheme="majorBidi" w:eastAsia="Times New Roman" w:hAnsiTheme="majorBidi" w:cstheme="majorBidi"/>
                <w:bCs/>
              </w:rPr>
            </w:pPr>
            <w:r w:rsidRPr="00061F66">
              <w:rPr>
                <w:rFonts w:asciiTheme="majorBidi" w:eastAsia="Times New Roman" w:hAnsiTheme="majorBidi" w:cstheme="majorBidi"/>
                <w:bCs/>
              </w:rPr>
              <w:t>Renal clearance</w:t>
            </w:r>
          </w:p>
        </w:tc>
        <w:tc>
          <w:tcPr>
            <w:tcW w:w="1985" w:type="dxa"/>
          </w:tcPr>
          <w:p w:rsidR="005A3A1B" w:rsidRPr="00DF350B" w:rsidRDefault="005A3A1B" w:rsidP="004F7961">
            <w:pPr>
              <w:rPr>
                <w:rFonts w:asciiTheme="majorBidi" w:eastAsia="Times New Roman" w:hAnsiTheme="majorBidi" w:cstheme="majorBidi"/>
                <w:bCs/>
              </w:rPr>
            </w:pPr>
            <w:r>
              <w:rPr>
                <w:rFonts w:asciiTheme="majorBidi" w:eastAsia="Times New Roman" w:hAnsiTheme="majorBidi" w:cstheme="majorBidi"/>
                <w:bCs/>
              </w:rPr>
              <w:t xml:space="preserve">10% </w:t>
            </w:r>
            <w:r w:rsidRPr="00061F66">
              <w:rPr>
                <w:rFonts w:asciiTheme="majorBidi" w:eastAsia="Times New Roman" w:hAnsiTheme="majorBidi" w:cstheme="majorBidi"/>
                <w:bCs/>
              </w:rPr>
              <w:t>of total body clearance</w:t>
            </w:r>
          </w:p>
        </w:tc>
        <w:tc>
          <w:tcPr>
            <w:tcW w:w="2268" w:type="dxa"/>
          </w:tcPr>
          <w:p w:rsidR="005A3A1B" w:rsidRPr="00DF350B" w:rsidRDefault="005A3A1B" w:rsidP="004F7961">
            <w:pPr>
              <w:rPr>
                <w:rFonts w:asciiTheme="majorBidi" w:eastAsia="Times New Roman" w:hAnsiTheme="majorBidi" w:cstheme="majorBidi"/>
                <w:bCs/>
              </w:rPr>
            </w:pPr>
          </w:p>
        </w:tc>
      </w:tr>
      <w:tr w:rsidR="005A3A1B" w:rsidRPr="000A172E" w:rsidTr="00625499">
        <w:tc>
          <w:tcPr>
            <w:tcW w:w="5807" w:type="dxa"/>
          </w:tcPr>
          <w:p w:rsidR="005A3A1B" w:rsidRPr="00DF350B" w:rsidRDefault="005A3A1B" w:rsidP="004F7961">
            <w:pPr>
              <w:rPr>
                <w:rFonts w:asciiTheme="majorBidi" w:eastAsia="Times New Roman" w:hAnsiTheme="majorBidi" w:cstheme="majorBidi"/>
                <w:bCs/>
              </w:rPr>
            </w:pPr>
            <w:r w:rsidRPr="00DF350B">
              <w:rPr>
                <w:rFonts w:asciiTheme="majorBidi" w:eastAsia="Times New Roman" w:hAnsiTheme="majorBidi" w:cstheme="majorBidi"/>
                <w:bCs/>
              </w:rPr>
              <w:t xml:space="preserve">hERG (Human ether-a-go-go-related gene) </w:t>
            </w:r>
          </w:p>
          <w:p w:rsidR="005A3A1B" w:rsidRPr="00DF350B" w:rsidRDefault="005A3A1B" w:rsidP="004F7961">
            <w:pPr>
              <w:rPr>
                <w:rFonts w:asciiTheme="majorBidi" w:eastAsia="Times New Roman" w:hAnsiTheme="majorBidi" w:cstheme="majorBidi"/>
                <w:bCs/>
              </w:rPr>
            </w:pPr>
            <w:r w:rsidRPr="00DF350B">
              <w:rPr>
                <w:rFonts w:asciiTheme="majorBidi" w:eastAsia="Times New Roman" w:hAnsiTheme="majorBidi" w:cstheme="majorBidi"/>
                <w:bCs/>
              </w:rPr>
              <w:t>a prediction of arrhythmias</w:t>
            </w:r>
          </w:p>
        </w:tc>
        <w:tc>
          <w:tcPr>
            <w:tcW w:w="1985" w:type="dxa"/>
          </w:tcPr>
          <w:p w:rsidR="005A3A1B" w:rsidRPr="00DF350B" w:rsidRDefault="005A3A1B" w:rsidP="004F7961">
            <w:pPr>
              <w:rPr>
                <w:rFonts w:asciiTheme="majorBidi" w:eastAsia="Times New Roman" w:hAnsiTheme="majorBidi" w:cstheme="majorBidi"/>
                <w:bCs/>
              </w:rPr>
            </w:pPr>
            <w:r w:rsidRPr="00DF350B">
              <w:rPr>
                <w:rFonts w:asciiTheme="majorBidi" w:eastAsia="Times New Roman" w:hAnsiTheme="majorBidi" w:cstheme="majorBidi"/>
                <w:bCs/>
              </w:rPr>
              <w:t>Weak Inhibitor</w:t>
            </w:r>
          </w:p>
        </w:tc>
        <w:tc>
          <w:tcPr>
            <w:tcW w:w="2268" w:type="dxa"/>
          </w:tcPr>
          <w:p w:rsidR="005A3A1B" w:rsidRPr="00DF350B" w:rsidRDefault="005A3A1B" w:rsidP="004F7961">
            <w:pPr>
              <w:rPr>
                <w:rFonts w:asciiTheme="majorBidi" w:eastAsia="Times New Roman" w:hAnsiTheme="majorBidi" w:cstheme="majorBidi"/>
                <w:bCs/>
              </w:rPr>
            </w:pPr>
            <w:r w:rsidRPr="00DF350B">
              <w:rPr>
                <w:rFonts w:asciiTheme="majorBidi" w:eastAsia="Times New Roman" w:hAnsiTheme="majorBidi" w:cstheme="majorBidi"/>
                <w:bCs/>
              </w:rPr>
              <w:t>0.4338</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Carcinogen</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Non-Carcinogen</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0.9700</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Biodegradation</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Not ready biodegradable</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0.7750</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Acute oral toxicity</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III</w:t>
            </w:r>
          </w:p>
        </w:tc>
        <w:tc>
          <w:tcPr>
            <w:tcW w:w="2268"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0.7416</w:t>
            </w:r>
          </w:p>
        </w:tc>
      </w:tr>
      <w:tr w:rsidR="005A3A1B" w:rsidRPr="000A172E" w:rsidTr="00625499">
        <w:tc>
          <w:tcPr>
            <w:tcW w:w="5807"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Aqueous solubility (logS)</w:t>
            </w:r>
          </w:p>
        </w:tc>
        <w:tc>
          <w:tcPr>
            <w:tcW w:w="1985" w:type="dxa"/>
          </w:tcPr>
          <w:p w:rsidR="005A3A1B" w:rsidRPr="00DF350B" w:rsidRDefault="005A3A1B" w:rsidP="004F7961">
            <w:pPr>
              <w:spacing w:line="259" w:lineRule="auto"/>
              <w:rPr>
                <w:rFonts w:asciiTheme="majorBidi" w:eastAsia="Times New Roman" w:hAnsiTheme="majorBidi" w:cstheme="majorBidi"/>
                <w:bCs/>
              </w:rPr>
            </w:pPr>
            <w:r w:rsidRPr="00DF350B">
              <w:rPr>
                <w:rFonts w:asciiTheme="majorBidi" w:eastAsia="Times New Roman" w:hAnsiTheme="majorBidi" w:cstheme="majorBidi"/>
                <w:bCs/>
              </w:rPr>
              <w:t>-3.199</w:t>
            </w:r>
          </w:p>
        </w:tc>
        <w:tc>
          <w:tcPr>
            <w:tcW w:w="2268" w:type="dxa"/>
          </w:tcPr>
          <w:p w:rsidR="005A3A1B" w:rsidRPr="00DF350B" w:rsidRDefault="005A3A1B" w:rsidP="004F7961">
            <w:pPr>
              <w:spacing w:line="259" w:lineRule="auto"/>
              <w:rPr>
                <w:rFonts w:asciiTheme="majorBidi" w:eastAsia="Times New Roman" w:hAnsiTheme="majorBidi" w:cstheme="majorBidi"/>
                <w:bCs/>
              </w:rPr>
            </w:pPr>
          </w:p>
        </w:tc>
      </w:tr>
    </w:tbl>
    <w:p w:rsidR="005A3A1B" w:rsidRPr="00E4077A" w:rsidRDefault="005A3A1B" w:rsidP="004F7961">
      <w:pPr>
        <w:spacing w:after="0"/>
        <w:rPr>
          <w:rFonts w:ascii="Times New Roman" w:eastAsia="Times New Roman" w:hAnsi="Times New Roman" w:cs="Times New Roman"/>
          <w:b/>
        </w:rPr>
      </w:pPr>
    </w:p>
    <w:p w:rsidR="005A3A1B" w:rsidRDefault="005A3A1B" w:rsidP="004F7961">
      <w:pPr>
        <w:spacing w:after="0"/>
        <w:rPr>
          <w:rFonts w:ascii="Times New Roman" w:eastAsia="Times New Roman" w:hAnsi="Times New Roman" w:cs="Times New Roman"/>
          <w:b/>
          <w:sz w:val="24"/>
          <w:szCs w:val="24"/>
        </w:rPr>
      </w:pPr>
      <w:r w:rsidRPr="00A26AD5">
        <w:rPr>
          <w:rFonts w:ascii="Times New Roman" w:eastAsia="Times New Roman" w:hAnsi="Times New Roman" w:cs="Times New Roman"/>
          <w:b/>
          <w:sz w:val="24"/>
          <w:szCs w:val="24"/>
        </w:rPr>
        <w:t xml:space="preserve">4. Conclusion </w:t>
      </w:r>
    </w:p>
    <w:p w:rsidR="005A3A1B" w:rsidRPr="00A26AD5" w:rsidRDefault="005A3A1B" w:rsidP="004F7961">
      <w:pPr>
        <w:spacing w:after="0"/>
        <w:rPr>
          <w:rFonts w:ascii="Times New Roman" w:eastAsia="Times New Roman" w:hAnsi="Times New Roman" w:cs="Times New Roman"/>
          <w:b/>
          <w:sz w:val="24"/>
          <w:szCs w:val="24"/>
        </w:rPr>
      </w:pPr>
    </w:p>
    <w:p w:rsidR="005A3A1B" w:rsidRPr="00A26AD5" w:rsidRDefault="005A3A1B" w:rsidP="004F7961">
      <w:pPr>
        <w:spacing w:after="0"/>
        <w:rPr>
          <w:rFonts w:ascii="Times New Roman" w:eastAsia="Times New Roman" w:hAnsi="Times New Roman" w:cs="Times New Roman"/>
          <w:bCs/>
        </w:rPr>
      </w:pPr>
      <w:r w:rsidRPr="00A26AD5">
        <w:rPr>
          <w:rFonts w:ascii="Times New Roman" w:eastAsia="Times New Roman" w:hAnsi="Times New Roman" w:cs="Times New Roman"/>
          <w:bCs/>
        </w:rPr>
        <w:t>Finally, based on the current computational study and obtained results, it can be predi</w:t>
      </w:r>
      <w:r>
        <w:rPr>
          <w:rFonts w:ascii="Times New Roman" w:eastAsia="Times New Roman" w:hAnsi="Times New Roman" w:cs="Times New Roman"/>
          <w:bCs/>
        </w:rPr>
        <w:t xml:space="preserve">cted that the </w:t>
      </w:r>
      <w:r w:rsidR="009138C2">
        <w:rPr>
          <w:rFonts w:ascii="Times New Roman" w:eastAsia="Times New Roman" w:hAnsi="Times New Roman" w:cs="Times New Roman"/>
          <w:bCs/>
        </w:rPr>
        <w:t xml:space="preserve">selected </w:t>
      </w:r>
      <w:r w:rsidR="009138C2" w:rsidRPr="00A26AD5">
        <w:rPr>
          <w:rFonts w:ascii="Times New Roman" w:eastAsia="Times New Roman" w:hAnsi="Times New Roman" w:cs="Times New Roman"/>
          <w:bCs/>
        </w:rPr>
        <w:t>podophyllotoxin</w:t>
      </w:r>
      <w:r w:rsidRPr="00A26AD5">
        <w:rPr>
          <w:rFonts w:ascii="Times New Roman" w:eastAsia="Times New Roman" w:hAnsi="Times New Roman" w:cs="Times New Roman"/>
          <w:bCs/>
        </w:rPr>
        <w:t xml:space="preserve"> </w:t>
      </w:r>
      <w:r>
        <w:rPr>
          <w:rFonts w:ascii="Times New Roman" w:eastAsia="Times New Roman" w:hAnsi="Times New Roman" w:cs="Times New Roman"/>
          <w:bCs/>
        </w:rPr>
        <w:t xml:space="preserve">derivative drugs have shown </w:t>
      </w:r>
      <w:r w:rsidRPr="00A26AD5">
        <w:rPr>
          <w:rFonts w:ascii="Times New Roman" w:eastAsia="Times New Roman" w:hAnsi="Times New Roman" w:cs="Times New Roman"/>
          <w:bCs/>
        </w:rPr>
        <w:t>potential inhibitory act</w:t>
      </w:r>
      <w:r w:rsidR="00212A51">
        <w:rPr>
          <w:rFonts w:ascii="Times New Roman" w:eastAsia="Times New Roman" w:hAnsi="Times New Roman" w:cs="Times New Roman"/>
          <w:bCs/>
        </w:rPr>
        <w:t>ivity with TNBC specific target</w:t>
      </w:r>
      <w:r w:rsidRPr="00A26AD5">
        <w:rPr>
          <w:rFonts w:ascii="Times New Roman" w:eastAsia="Times New Roman" w:hAnsi="Times New Roman" w:cs="Times New Roman"/>
          <w:bCs/>
        </w:rPr>
        <w:t>. Furthermore, this study could provide a new framework for discovering future solutions to the absence of targeted therapy problem for this aggressive type of breast cancer.</w:t>
      </w:r>
    </w:p>
    <w:p w:rsidR="005A3A1B" w:rsidRPr="00A26AD5" w:rsidRDefault="005A3A1B" w:rsidP="004F7961">
      <w:pPr>
        <w:spacing w:after="0"/>
        <w:rPr>
          <w:rFonts w:ascii="Times New Roman" w:eastAsia="Times New Roman" w:hAnsi="Times New Roman" w:cs="Times New Roman"/>
          <w:b/>
        </w:rPr>
      </w:pPr>
    </w:p>
    <w:p w:rsidR="005A3A1B" w:rsidRPr="00E4077A" w:rsidRDefault="005A3A1B" w:rsidP="004F7961">
      <w:pPr>
        <w:spacing w:after="0"/>
        <w:rPr>
          <w:rFonts w:ascii="Times New Roman" w:eastAsia="Times New Roman" w:hAnsi="Times New Roman" w:cs="Times New Roman"/>
          <w:b/>
        </w:rPr>
      </w:pPr>
      <w:r w:rsidRPr="00E4077A">
        <w:rPr>
          <w:rFonts w:ascii="Times New Roman" w:eastAsia="Times New Roman" w:hAnsi="Times New Roman" w:cs="Times New Roman"/>
          <w:b/>
        </w:rPr>
        <w:t xml:space="preserve"> </w:t>
      </w:r>
    </w:p>
    <w:p w:rsidR="005A3A1B" w:rsidRDefault="005A3A1B" w:rsidP="004F7961">
      <w:pPr>
        <w:spacing w:after="0"/>
        <w:rPr>
          <w:rFonts w:ascii="Times New Roman" w:eastAsia="Times New Roman" w:hAnsi="Times New Roman" w:cs="Times New Roman"/>
          <w:b/>
          <w:sz w:val="24"/>
          <w:szCs w:val="24"/>
          <w:lang w:val="tr-TR"/>
        </w:rPr>
      </w:pPr>
      <w:r w:rsidRPr="00462556">
        <w:rPr>
          <w:rFonts w:ascii="Times New Roman" w:eastAsia="Times New Roman" w:hAnsi="Times New Roman" w:cs="Times New Roman"/>
          <w:b/>
          <w:sz w:val="24"/>
          <w:szCs w:val="24"/>
          <w:lang w:val="tr-TR"/>
        </w:rPr>
        <w:t>Acknowledgement</w:t>
      </w:r>
    </w:p>
    <w:p w:rsidR="005A3A1B" w:rsidRPr="00462556" w:rsidRDefault="005A3A1B" w:rsidP="004F7961">
      <w:pPr>
        <w:spacing w:after="0"/>
        <w:rPr>
          <w:rFonts w:ascii="Times New Roman" w:eastAsia="Times New Roman" w:hAnsi="Times New Roman" w:cs="Times New Roman"/>
          <w:b/>
          <w:sz w:val="24"/>
          <w:szCs w:val="24"/>
          <w:lang w:val="tr-TR"/>
        </w:rPr>
      </w:pPr>
    </w:p>
    <w:p w:rsidR="005A3A1B" w:rsidRPr="00462556" w:rsidRDefault="005A3A1B" w:rsidP="004F7961">
      <w:pPr>
        <w:spacing w:after="0"/>
        <w:rPr>
          <w:rFonts w:ascii="Times New Roman" w:eastAsia="Times New Roman" w:hAnsi="Times New Roman" w:cs="Times New Roman"/>
          <w:bCs/>
          <w:sz w:val="20"/>
          <w:szCs w:val="20"/>
        </w:rPr>
      </w:pPr>
      <w:r w:rsidRPr="00212A51">
        <w:rPr>
          <w:rFonts w:ascii="Times New Roman" w:eastAsia="Times New Roman" w:hAnsi="Times New Roman" w:cs="Times New Roman"/>
          <w:bCs/>
          <w:lang w:val="tr-TR"/>
        </w:rPr>
        <w:t xml:space="preserve">In this study, the scientific support was provided by my supervisor prof.Dr.Shevki Adem who was the sincere and kind mentor during my phD study, so a big thank for him, and  thanks alot for </w:t>
      </w:r>
      <w:r w:rsidRPr="00212A51">
        <w:rPr>
          <w:rFonts w:ascii="Times New Roman" w:eastAsia="Times New Roman" w:hAnsi="Times New Roman" w:cs="Times New Roman"/>
          <w:bCs/>
          <w:lang w:val="en"/>
        </w:rPr>
        <w:t xml:space="preserve"> Çankırı Karatekin University that gave me this great chance to participate in this conference . I</w:t>
      </w:r>
      <w:r w:rsidRPr="00212A51">
        <w:rPr>
          <w:rFonts w:ascii="Times New Roman" w:eastAsia="Times New Roman" w:hAnsi="Times New Roman" w:cs="Times New Roman"/>
          <w:bCs/>
          <w:lang w:val="tr-TR"/>
        </w:rPr>
        <w:t xml:space="preserve"> would also like to thank all the supporters due to their precious contributions</w:t>
      </w:r>
      <w:r w:rsidRPr="00462556">
        <w:rPr>
          <w:rFonts w:ascii="Times New Roman" w:eastAsia="Times New Roman" w:hAnsi="Times New Roman" w:cs="Times New Roman"/>
          <w:bCs/>
          <w:sz w:val="20"/>
          <w:szCs w:val="20"/>
          <w:lang w:val="tr-TR"/>
        </w:rPr>
        <w:t>.</w:t>
      </w:r>
    </w:p>
    <w:p w:rsidR="005A3A1B" w:rsidRDefault="005A3A1B" w:rsidP="004F7961">
      <w:pPr>
        <w:spacing w:after="0"/>
        <w:rPr>
          <w:rFonts w:ascii="Times New Roman" w:eastAsia="Times New Roman" w:hAnsi="Times New Roman" w:cs="Times New Roman"/>
          <w:b/>
        </w:rPr>
      </w:pPr>
    </w:p>
    <w:p w:rsidR="005A3A1B" w:rsidRDefault="005A3A1B" w:rsidP="004F7961">
      <w:pPr>
        <w:spacing w:after="0"/>
        <w:rPr>
          <w:rFonts w:ascii="Times New Roman" w:eastAsia="Times New Roman" w:hAnsi="Times New Roman" w:cs="Times New Roman"/>
          <w:b/>
        </w:rPr>
      </w:pPr>
    </w:p>
    <w:p w:rsidR="005A3A1B" w:rsidRPr="00462556" w:rsidRDefault="005A3A1B" w:rsidP="004F796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5A3A1B" w:rsidRDefault="005A3A1B" w:rsidP="004F7961">
      <w:pPr>
        <w:spacing w:after="0"/>
        <w:rPr>
          <w:rFonts w:ascii="Times New Roman" w:eastAsia="Times New Roman" w:hAnsi="Times New Roman" w:cs="Times New Roman"/>
          <w:b/>
        </w:rPr>
      </w:pPr>
    </w:p>
    <w:p w:rsidR="005E3A81" w:rsidRPr="00FC500E" w:rsidRDefault="005A3A1B" w:rsidP="00FC500E">
      <w:pPr>
        <w:spacing w:after="0"/>
        <w:rPr>
          <w:rFonts w:asciiTheme="majorBidi" w:eastAsia="Times New Roman" w:hAnsiTheme="majorBidi" w:cstheme="majorBidi"/>
          <w:bCs/>
        </w:rPr>
      </w:pPr>
      <w:r w:rsidRPr="00FC500E">
        <w:rPr>
          <w:rFonts w:asciiTheme="majorBidi" w:eastAsia="Times New Roman" w:hAnsiTheme="majorBidi" w:cstheme="majorBidi"/>
          <w:bCs/>
        </w:rPr>
        <w:t>[</w:t>
      </w:r>
      <w:r w:rsidR="009138C2" w:rsidRPr="00FC500E">
        <w:rPr>
          <w:rFonts w:asciiTheme="majorBidi" w:eastAsia="Times New Roman" w:hAnsiTheme="majorBidi" w:cstheme="majorBidi"/>
          <w:bCs/>
        </w:rPr>
        <w:t>1]</w:t>
      </w:r>
      <w:r w:rsidR="0038092B" w:rsidRPr="00FC500E">
        <w:rPr>
          <w:rFonts w:asciiTheme="majorBidi" w:hAnsiTheme="majorBidi" w:cstheme="majorBidi"/>
        </w:rPr>
        <w:t xml:space="preserve"> </w:t>
      </w:r>
      <w:r w:rsidR="0038092B" w:rsidRPr="00FC500E">
        <w:rPr>
          <w:rFonts w:asciiTheme="majorBidi" w:eastAsia="Times New Roman" w:hAnsiTheme="majorBidi" w:cstheme="majorBidi"/>
          <w:bCs/>
        </w:rPr>
        <w:t xml:space="preserve">Sylvia Annabel Dass , Kim Liu Tan , Rehasri Selva Rajan , Noor Fatmawati Mokhtar , Elis Rosliza Mohd Adzmi , Wan Faiziah Wan Abdul Rahman  , Tengku Ahmad, Damitri Al-Astani Tengku Din, and Venugopal Balakrishnan. (2021). </w:t>
      </w:r>
      <w:r w:rsidR="0038092B" w:rsidRPr="00FC500E">
        <w:rPr>
          <w:rFonts w:asciiTheme="majorBidi" w:eastAsia="Times New Roman" w:hAnsiTheme="majorBidi" w:cstheme="majorBidi"/>
          <w:bCs/>
          <w:i/>
          <w:iCs/>
        </w:rPr>
        <w:t>Triple Negative Breast Cancer: A Review of Present and Future Diagnostic Modalities. Medicina journal</w:t>
      </w:r>
      <w:r w:rsidR="00FC500E">
        <w:rPr>
          <w:rFonts w:asciiTheme="majorBidi" w:eastAsia="Times New Roman" w:hAnsiTheme="majorBidi" w:cstheme="majorBidi"/>
          <w:bCs/>
        </w:rPr>
        <w:t>, 57-</w:t>
      </w:r>
      <w:r w:rsidR="0038092B" w:rsidRPr="00FC500E">
        <w:rPr>
          <w:rFonts w:asciiTheme="majorBidi" w:eastAsia="Times New Roman" w:hAnsiTheme="majorBidi" w:cstheme="majorBidi"/>
          <w:bCs/>
        </w:rPr>
        <w:t xml:space="preserve"> 62.</w:t>
      </w:r>
    </w:p>
    <w:p w:rsidR="00A74A9F" w:rsidRPr="00FC500E" w:rsidRDefault="005E3A81" w:rsidP="00FC500E">
      <w:pPr>
        <w:spacing w:after="0"/>
        <w:rPr>
          <w:rFonts w:asciiTheme="majorBidi" w:eastAsia="Times New Roman" w:hAnsiTheme="majorBidi" w:cstheme="majorBidi"/>
          <w:bCs/>
        </w:rPr>
      </w:pPr>
      <w:r w:rsidRPr="00FC500E">
        <w:rPr>
          <w:rFonts w:asciiTheme="majorBidi" w:eastAsia="Times New Roman" w:hAnsiTheme="majorBidi" w:cstheme="majorBidi"/>
          <w:bCs/>
        </w:rPr>
        <w:t xml:space="preserve"> </w:t>
      </w:r>
      <w:r w:rsidR="005A3A1B" w:rsidRPr="00FC500E">
        <w:rPr>
          <w:rFonts w:asciiTheme="majorBidi" w:eastAsia="Times New Roman" w:hAnsiTheme="majorBidi" w:cstheme="majorBidi"/>
          <w:bCs/>
        </w:rPr>
        <w:t xml:space="preserve">[2] </w:t>
      </w:r>
      <w:r w:rsidRPr="00FC500E">
        <w:rPr>
          <w:rFonts w:asciiTheme="majorBidi" w:eastAsia="Times New Roman" w:hAnsiTheme="majorBidi" w:cstheme="majorBidi"/>
          <w:bCs/>
        </w:rPr>
        <w:t xml:space="preserve">Yun Li, Huajun Zhang, Yulia Merkher, Lin Chen, Na Liu, Sergey Leonov &amp; Yongheng Chen. (2022). </w:t>
      </w:r>
      <w:r w:rsidRPr="00FC500E">
        <w:rPr>
          <w:rFonts w:asciiTheme="majorBidi" w:eastAsia="Times New Roman" w:hAnsiTheme="majorBidi" w:cstheme="majorBidi"/>
          <w:bCs/>
          <w:i/>
          <w:iCs/>
        </w:rPr>
        <w:t>Recent advances in therapeutic strategies for triple-negative breast cancer</w:t>
      </w:r>
      <w:r w:rsidR="008D47AA" w:rsidRPr="00FC500E">
        <w:rPr>
          <w:rFonts w:asciiTheme="majorBidi" w:eastAsia="Times New Roman" w:hAnsiTheme="majorBidi" w:cstheme="majorBidi"/>
          <w:bCs/>
          <w:i/>
          <w:iCs/>
        </w:rPr>
        <w:t>.</w:t>
      </w:r>
      <w:r w:rsidRPr="00FC500E">
        <w:rPr>
          <w:rFonts w:asciiTheme="majorBidi" w:eastAsia="Times New Roman" w:hAnsiTheme="majorBidi" w:cstheme="majorBidi"/>
          <w:bCs/>
          <w:i/>
          <w:iCs/>
        </w:rPr>
        <w:t xml:space="preserve"> J</w:t>
      </w:r>
      <w:r w:rsidR="008D47AA" w:rsidRPr="00FC500E">
        <w:rPr>
          <w:rFonts w:asciiTheme="majorBidi" w:eastAsia="Times New Roman" w:hAnsiTheme="majorBidi" w:cstheme="majorBidi"/>
          <w:bCs/>
          <w:i/>
          <w:iCs/>
        </w:rPr>
        <w:t>ournal of Hematology &amp; Oncology</w:t>
      </w:r>
      <w:r w:rsidR="008D47AA" w:rsidRPr="00FC500E">
        <w:rPr>
          <w:rFonts w:asciiTheme="majorBidi" w:eastAsia="Times New Roman" w:hAnsiTheme="majorBidi" w:cstheme="majorBidi"/>
          <w:bCs/>
        </w:rPr>
        <w:t xml:space="preserve">, 33k Accesses, 87 Citations, 12 Altmetric, </w:t>
      </w:r>
      <w:r w:rsidR="00FC500E">
        <w:rPr>
          <w:rFonts w:asciiTheme="majorBidi" w:eastAsia="Times New Roman" w:hAnsiTheme="majorBidi" w:cstheme="majorBidi"/>
          <w:bCs/>
        </w:rPr>
        <w:t>15-</w:t>
      </w:r>
      <w:r w:rsidR="008D47AA" w:rsidRPr="00FC500E">
        <w:rPr>
          <w:rFonts w:asciiTheme="majorBidi" w:eastAsia="Times New Roman" w:hAnsiTheme="majorBidi" w:cstheme="majorBidi"/>
          <w:bCs/>
        </w:rPr>
        <w:t>121</w:t>
      </w:r>
      <w:r w:rsidR="005A3A1B" w:rsidRPr="00FC500E">
        <w:rPr>
          <w:rFonts w:asciiTheme="majorBidi" w:eastAsia="Times New Roman" w:hAnsiTheme="majorBidi" w:cstheme="majorBidi"/>
          <w:bCs/>
        </w:rPr>
        <w:t>.</w:t>
      </w:r>
    </w:p>
    <w:p w:rsidR="00A74A9F" w:rsidRPr="00FC500E" w:rsidRDefault="005A3A1B" w:rsidP="00FC500E">
      <w:pPr>
        <w:spacing w:after="0"/>
        <w:rPr>
          <w:rFonts w:asciiTheme="majorBidi" w:eastAsia="Times New Roman" w:hAnsiTheme="majorBidi" w:cstheme="majorBidi"/>
          <w:bCs/>
        </w:rPr>
      </w:pPr>
      <w:r w:rsidRPr="00FC500E">
        <w:rPr>
          <w:rFonts w:asciiTheme="majorBidi" w:eastAsia="Times New Roman" w:hAnsiTheme="majorBidi" w:cstheme="majorBidi"/>
          <w:bCs/>
        </w:rPr>
        <w:t xml:space="preserve">[3] Dolezal, J.M., Dash, A.P. and Prochownik, E.V. (2018) </w:t>
      </w:r>
      <w:r w:rsidRPr="00FC500E">
        <w:rPr>
          <w:rFonts w:asciiTheme="majorBidi" w:eastAsia="Times New Roman" w:hAnsiTheme="majorBidi" w:cstheme="majorBidi"/>
          <w:bCs/>
          <w:i/>
          <w:iCs/>
        </w:rPr>
        <w:t>Diagnostic and prognostic implications of ribosomal protein transcript expression patterns in human cancers</w:t>
      </w:r>
      <w:r w:rsidRPr="00FC500E">
        <w:rPr>
          <w:rFonts w:asciiTheme="majorBidi" w:eastAsia="Times New Roman" w:hAnsiTheme="majorBidi" w:cstheme="majorBidi"/>
          <w:bCs/>
        </w:rPr>
        <w:t xml:space="preserve">. </w:t>
      </w:r>
      <w:r w:rsidRPr="00FC500E">
        <w:rPr>
          <w:rFonts w:asciiTheme="majorBidi" w:eastAsia="Times New Roman" w:hAnsiTheme="majorBidi" w:cstheme="majorBidi"/>
          <w:bCs/>
          <w:i/>
          <w:iCs/>
        </w:rPr>
        <w:t>BMC Cancer</w:t>
      </w:r>
      <w:r w:rsidR="00FC500E">
        <w:rPr>
          <w:rFonts w:asciiTheme="majorBidi" w:eastAsia="Times New Roman" w:hAnsiTheme="majorBidi" w:cstheme="majorBidi"/>
          <w:bCs/>
        </w:rPr>
        <w:t xml:space="preserve"> 18-</w:t>
      </w:r>
      <w:r w:rsidRPr="00FC500E">
        <w:rPr>
          <w:rFonts w:asciiTheme="majorBidi" w:eastAsia="Times New Roman" w:hAnsiTheme="majorBidi" w:cstheme="majorBidi"/>
          <w:bCs/>
        </w:rPr>
        <w:t xml:space="preserve"> 275.</w:t>
      </w:r>
    </w:p>
    <w:p w:rsidR="00FA7FD5" w:rsidRPr="00FC500E" w:rsidRDefault="005A3A1B" w:rsidP="00FC500E">
      <w:pPr>
        <w:spacing w:after="0"/>
        <w:rPr>
          <w:rFonts w:asciiTheme="majorBidi" w:eastAsia="Times New Roman" w:hAnsiTheme="majorBidi" w:cstheme="majorBidi"/>
          <w:bCs/>
        </w:rPr>
      </w:pPr>
      <w:r w:rsidRPr="00FC500E">
        <w:rPr>
          <w:rFonts w:asciiTheme="majorBidi" w:eastAsia="Times New Roman" w:hAnsiTheme="majorBidi" w:cstheme="majorBidi"/>
          <w:bCs/>
        </w:rPr>
        <w:t xml:space="preserve">[4] </w:t>
      </w:r>
      <w:r w:rsidR="00A74A9F" w:rsidRPr="00FC500E">
        <w:rPr>
          <w:rFonts w:asciiTheme="majorBidi" w:eastAsia="Times New Roman" w:hAnsiTheme="majorBidi" w:cstheme="majorBidi"/>
          <w:bCs/>
        </w:rPr>
        <w:t xml:space="preserve">Lijuan Jiao, Yuzhe Liu, Xi-Yong Yu, Xiangbin Pan, Yu Zhang, Junchu Tu, Yao-Hua Song &amp; Yangxin Li. (2023). </w:t>
      </w:r>
      <w:r w:rsidR="00A74A9F" w:rsidRPr="00FC500E">
        <w:rPr>
          <w:rFonts w:asciiTheme="majorBidi" w:eastAsia="Times New Roman" w:hAnsiTheme="majorBidi" w:cstheme="majorBidi"/>
          <w:bCs/>
          <w:i/>
          <w:iCs/>
        </w:rPr>
        <w:t>Ribosome biogenesis in disease: new players and therapeutic targets. Signal Transduction and Targeted Therapy</w:t>
      </w:r>
      <w:r w:rsidR="00A74A9F" w:rsidRPr="00FC500E">
        <w:rPr>
          <w:rFonts w:asciiTheme="majorBidi" w:eastAsia="Times New Roman" w:hAnsiTheme="majorBidi" w:cstheme="majorBidi"/>
          <w:bCs/>
        </w:rPr>
        <w:t>, 11k Accesses, 19 Citations, 11 Altmetric</w:t>
      </w:r>
      <w:r w:rsidR="00FC500E">
        <w:rPr>
          <w:rFonts w:asciiTheme="majorBidi" w:eastAsia="Times New Roman" w:hAnsiTheme="majorBidi" w:cstheme="majorBidi"/>
          <w:bCs/>
        </w:rPr>
        <w:t>, 8-</w:t>
      </w:r>
      <w:r w:rsidR="00A74A9F" w:rsidRPr="00FC500E">
        <w:rPr>
          <w:rFonts w:asciiTheme="majorBidi" w:eastAsia="Times New Roman" w:hAnsiTheme="majorBidi" w:cstheme="majorBidi"/>
          <w:bCs/>
        </w:rPr>
        <w:t>15.</w:t>
      </w:r>
    </w:p>
    <w:p w:rsidR="00A74A9F" w:rsidRPr="00FC500E" w:rsidRDefault="005A3A1B" w:rsidP="00FC500E">
      <w:pPr>
        <w:spacing w:after="0"/>
        <w:rPr>
          <w:rFonts w:asciiTheme="majorBidi" w:hAnsiTheme="majorBidi" w:cstheme="majorBidi"/>
          <w:bCs/>
        </w:rPr>
      </w:pPr>
      <w:r w:rsidRPr="00FC500E">
        <w:rPr>
          <w:rFonts w:asciiTheme="majorBidi" w:hAnsiTheme="majorBidi" w:cstheme="majorBidi"/>
          <w:bCs/>
        </w:rPr>
        <w:t xml:space="preserve"> [</w:t>
      </w:r>
      <w:r w:rsidR="00FC500E" w:rsidRPr="00FC500E">
        <w:rPr>
          <w:rFonts w:asciiTheme="majorBidi" w:hAnsiTheme="majorBidi" w:cstheme="majorBidi"/>
          <w:bCs/>
        </w:rPr>
        <w:t>5] Elhamamsy1,</w:t>
      </w:r>
      <w:r w:rsidRPr="00FC500E">
        <w:rPr>
          <w:rFonts w:asciiTheme="majorBidi" w:hAnsiTheme="majorBidi" w:cstheme="majorBidi"/>
          <w:bCs/>
        </w:rPr>
        <w:t xml:space="preserve"> Brandon J. Metge</w:t>
      </w:r>
      <w:r w:rsidR="00FC500E" w:rsidRPr="00FC500E">
        <w:rPr>
          <w:rFonts w:asciiTheme="majorBidi" w:hAnsiTheme="majorBidi" w:cstheme="majorBidi"/>
          <w:bCs/>
        </w:rPr>
        <w:t>1,</w:t>
      </w:r>
      <w:r w:rsidRPr="00FC500E">
        <w:rPr>
          <w:rFonts w:asciiTheme="majorBidi" w:hAnsiTheme="majorBidi" w:cstheme="majorBidi"/>
          <w:bCs/>
        </w:rPr>
        <w:t xml:space="preserve"> Heba A. Alsheikh</w:t>
      </w:r>
      <w:r w:rsidR="00FC500E" w:rsidRPr="00FC500E">
        <w:rPr>
          <w:rFonts w:asciiTheme="majorBidi" w:hAnsiTheme="majorBidi" w:cstheme="majorBidi"/>
          <w:bCs/>
        </w:rPr>
        <w:t>1,</w:t>
      </w:r>
      <w:r w:rsidRPr="00FC500E">
        <w:rPr>
          <w:rFonts w:asciiTheme="majorBidi" w:hAnsiTheme="majorBidi" w:cstheme="majorBidi"/>
          <w:bCs/>
        </w:rPr>
        <w:t xml:space="preserve"> Lalita A. Shevde1,2, and Rajeev S. Samant.(2022).</w:t>
      </w:r>
      <w:r w:rsidRPr="00FC500E">
        <w:rPr>
          <w:rFonts w:asciiTheme="majorBidi" w:eastAsia="Times New Roman" w:hAnsiTheme="majorBidi" w:cstheme="majorBidi"/>
          <w:bCs/>
          <w:color w:val="383636"/>
          <w:kern w:val="36"/>
        </w:rPr>
        <w:t xml:space="preserve"> </w:t>
      </w:r>
      <w:r w:rsidRPr="00FC500E">
        <w:rPr>
          <w:rFonts w:asciiTheme="majorBidi" w:hAnsiTheme="majorBidi" w:cstheme="majorBidi"/>
          <w:bCs/>
          <w:i/>
          <w:iCs/>
        </w:rPr>
        <w:t>Ribosome Biogenesis: A Central Player in Cancer Metastasis and Therapeutic Resistance.</w:t>
      </w:r>
      <w:r w:rsidRPr="00FC500E">
        <w:rPr>
          <w:rFonts w:asciiTheme="majorBidi" w:hAnsiTheme="majorBidi" w:cstheme="majorBidi"/>
          <w:bCs/>
          <w:i/>
          <w:iCs/>
          <w:color w:val="1A1A1A"/>
          <w:bdr w:val="none" w:sz="0" w:space="0" w:color="auto" w:frame="1"/>
          <w:shd w:val="clear" w:color="auto" w:fill="FFFFFF"/>
        </w:rPr>
        <w:t xml:space="preserve"> </w:t>
      </w:r>
      <w:r w:rsidRPr="00FC500E">
        <w:rPr>
          <w:rFonts w:asciiTheme="majorBidi" w:hAnsiTheme="majorBidi" w:cstheme="majorBidi"/>
          <w:bCs/>
          <w:i/>
          <w:iCs/>
        </w:rPr>
        <w:t xml:space="preserve">Cancer Research journal </w:t>
      </w:r>
      <w:r w:rsidR="00FC500E">
        <w:rPr>
          <w:rFonts w:asciiTheme="majorBidi" w:hAnsiTheme="majorBidi" w:cstheme="majorBidi"/>
          <w:bCs/>
        </w:rPr>
        <w:t>82 (13): 2344-</w:t>
      </w:r>
      <w:r w:rsidRPr="00FC500E">
        <w:rPr>
          <w:rFonts w:asciiTheme="majorBidi" w:hAnsiTheme="majorBidi" w:cstheme="majorBidi"/>
          <w:bCs/>
        </w:rPr>
        <w:t>2353.</w:t>
      </w:r>
    </w:p>
    <w:p w:rsidR="00A74A9F" w:rsidRPr="00FC500E" w:rsidRDefault="00A32F64" w:rsidP="00FC500E">
      <w:pPr>
        <w:spacing w:after="0"/>
        <w:rPr>
          <w:rFonts w:asciiTheme="majorBidi" w:hAnsiTheme="majorBidi" w:cstheme="majorBidi"/>
          <w:bCs/>
        </w:rPr>
      </w:pPr>
      <w:r w:rsidRPr="00FC500E">
        <w:rPr>
          <w:rFonts w:asciiTheme="majorBidi" w:hAnsiTheme="majorBidi" w:cstheme="majorBidi"/>
          <w:bCs/>
        </w:rPr>
        <w:lastRenderedPageBreak/>
        <w:t xml:space="preserve"> [6</w:t>
      </w:r>
      <w:r w:rsidR="005A3A1B" w:rsidRPr="00FC500E">
        <w:rPr>
          <w:rFonts w:asciiTheme="majorBidi" w:hAnsiTheme="majorBidi" w:cstheme="majorBidi"/>
          <w:bCs/>
        </w:rPr>
        <w:t xml:space="preserve">] Alkhatabi, H. A., McLornan, D. P., Kulasekararaj, A. G., Malik, F., Seidl, T., Darling, D., et al. (2016). </w:t>
      </w:r>
      <w:r w:rsidR="005A3A1B" w:rsidRPr="00FC500E">
        <w:rPr>
          <w:rFonts w:asciiTheme="majorBidi" w:hAnsiTheme="majorBidi" w:cstheme="majorBidi"/>
          <w:bCs/>
          <w:i/>
          <w:iCs/>
        </w:rPr>
        <w:t xml:space="preserve">RPL27A is a target of miR-595 and may contribute to the myelodysplastic phenotype through ribosomal dysgenesis. Oncotarget </w:t>
      </w:r>
      <w:r w:rsidR="00FC500E">
        <w:rPr>
          <w:rFonts w:asciiTheme="majorBidi" w:hAnsiTheme="majorBidi" w:cstheme="majorBidi"/>
          <w:bCs/>
        </w:rPr>
        <w:t>7, 47875-</w:t>
      </w:r>
      <w:r w:rsidR="005A3A1B" w:rsidRPr="00FC500E">
        <w:rPr>
          <w:rFonts w:asciiTheme="majorBidi" w:hAnsiTheme="majorBidi" w:cstheme="majorBidi"/>
          <w:bCs/>
        </w:rPr>
        <w:t>47890</w:t>
      </w:r>
      <w:r w:rsidR="00A74A9F" w:rsidRPr="00FC500E">
        <w:rPr>
          <w:rFonts w:asciiTheme="majorBidi" w:hAnsiTheme="majorBidi" w:cstheme="majorBidi"/>
          <w:bCs/>
        </w:rPr>
        <w:t xml:space="preserve">. </w:t>
      </w:r>
    </w:p>
    <w:p w:rsidR="00BA11B2" w:rsidRPr="00FC500E" w:rsidRDefault="00A32F64" w:rsidP="00FC500E">
      <w:pPr>
        <w:spacing w:after="0"/>
        <w:rPr>
          <w:rFonts w:asciiTheme="majorBidi" w:hAnsiTheme="majorBidi" w:cstheme="majorBidi"/>
          <w:bCs/>
        </w:rPr>
      </w:pPr>
      <w:r w:rsidRPr="00FC500E">
        <w:rPr>
          <w:rFonts w:asciiTheme="majorBidi" w:hAnsiTheme="majorBidi" w:cstheme="majorBidi"/>
          <w:bCs/>
        </w:rPr>
        <w:t xml:space="preserve"> [7</w:t>
      </w:r>
      <w:r w:rsidR="00FC500E" w:rsidRPr="00FC500E">
        <w:rPr>
          <w:rFonts w:asciiTheme="majorBidi" w:hAnsiTheme="majorBidi" w:cstheme="majorBidi"/>
          <w:bCs/>
        </w:rPr>
        <w:t>]. Zhang</w:t>
      </w:r>
      <w:r w:rsidR="00BA11B2" w:rsidRPr="00FC500E">
        <w:rPr>
          <w:rFonts w:asciiTheme="majorBidi" w:hAnsiTheme="majorBidi" w:cstheme="majorBidi"/>
          <w:bCs/>
        </w:rPr>
        <w:t xml:space="preserve"> W., Liu C., Li J., Liu R., Zhuang J., Feng F., et al. (2020). </w:t>
      </w:r>
      <w:r w:rsidR="00BA11B2" w:rsidRPr="00FC500E">
        <w:rPr>
          <w:rFonts w:asciiTheme="majorBidi" w:hAnsiTheme="majorBidi" w:cstheme="majorBidi"/>
          <w:bCs/>
          <w:i/>
          <w:iCs/>
        </w:rPr>
        <w:t>Target analysis and mechanism of podophyllotoxin in the treatment of triple-negative breast cancer. Front. Pharmacol</w:t>
      </w:r>
      <w:r w:rsidR="00BA11B2" w:rsidRPr="00FC500E">
        <w:rPr>
          <w:rFonts w:asciiTheme="majorBidi" w:hAnsiTheme="majorBidi" w:cstheme="majorBidi"/>
          <w:bCs/>
        </w:rPr>
        <w:t>. 11:1211.</w:t>
      </w:r>
    </w:p>
    <w:p w:rsidR="00BA11B2" w:rsidRPr="00FC500E" w:rsidRDefault="00A32F64" w:rsidP="00BA11B2">
      <w:pPr>
        <w:spacing w:after="0"/>
        <w:rPr>
          <w:rFonts w:asciiTheme="majorBidi" w:hAnsiTheme="majorBidi" w:cstheme="majorBidi"/>
          <w:bCs/>
        </w:rPr>
      </w:pPr>
      <w:r w:rsidRPr="00FC500E">
        <w:rPr>
          <w:rFonts w:asciiTheme="majorBidi" w:hAnsiTheme="majorBidi" w:cstheme="majorBidi"/>
          <w:bCs/>
        </w:rPr>
        <w:t>[8</w:t>
      </w:r>
      <w:r w:rsidR="005A3A1B" w:rsidRPr="00FC500E">
        <w:rPr>
          <w:rFonts w:asciiTheme="majorBidi" w:hAnsiTheme="majorBidi" w:cstheme="majorBidi"/>
          <w:bCs/>
        </w:rPr>
        <w:t xml:space="preserve">] </w:t>
      </w:r>
      <w:r w:rsidR="00BA11B2" w:rsidRPr="00FC500E">
        <w:rPr>
          <w:rFonts w:asciiTheme="majorBidi" w:hAnsiTheme="majorBidi" w:cstheme="majorBidi"/>
          <w:bCs/>
        </w:rPr>
        <w:t>Hua-yang Fan, † Zhuo-li Zhu, Hong-chun Xian, Hao-fan Wang, Bing-jun Chen, Ya-Jie Tang, Ya-ling Tang, and Xin-hua Liang. (</w:t>
      </w:r>
      <w:r w:rsidR="00BA11B2" w:rsidRPr="00FC500E">
        <w:rPr>
          <w:rFonts w:asciiTheme="majorBidi" w:hAnsiTheme="majorBidi" w:cstheme="majorBidi"/>
        </w:rPr>
        <w:t>2021</w:t>
      </w:r>
      <w:r w:rsidR="00BA11B2" w:rsidRPr="00FC500E">
        <w:rPr>
          <w:rFonts w:asciiTheme="majorBidi" w:hAnsiTheme="majorBidi" w:cstheme="majorBidi"/>
          <w:bCs/>
        </w:rPr>
        <w:t>).</w:t>
      </w:r>
      <w:r w:rsidR="00BA11B2" w:rsidRPr="00FC500E">
        <w:rPr>
          <w:rFonts w:asciiTheme="majorBidi" w:hAnsiTheme="majorBidi" w:cstheme="majorBidi"/>
        </w:rPr>
        <w:t xml:space="preserve"> </w:t>
      </w:r>
      <w:r w:rsidR="00BA11B2" w:rsidRPr="00FC500E">
        <w:rPr>
          <w:rFonts w:asciiTheme="majorBidi" w:hAnsiTheme="majorBidi" w:cstheme="majorBidi"/>
          <w:bCs/>
        </w:rPr>
        <w:t xml:space="preserve">Insight into the Molecular Mechanism of Podophyllotoxin Derivatives as Anticancer Drugs. </w:t>
      </w:r>
      <w:r w:rsidR="00BA11B2" w:rsidRPr="00FC500E">
        <w:rPr>
          <w:rFonts w:asciiTheme="majorBidi" w:hAnsiTheme="majorBidi" w:cstheme="majorBidi"/>
          <w:bCs/>
          <w:i/>
          <w:iCs/>
        </w:rPr>
        <w:t>Front. Pharmacol</w:t>
      </w:r>
      <w:r w:rsidR="00BA11B2" w:rsidRPr="00FC500E">
        <w:rPr>
          <w:rFonts w:asciiTheme="majorBidi" w:hAnsiTheme="majorBidi" w:cstheme="majorBidi"/>
          <w:bCs/>
        </w:rPr>
        <w:t>.</w:t>
      </w:r>
      <w:r w:rsidR="00FC500E">
        <w:rPr>
          <w:rFonts w:asciiTheme="majorBidi" w:hAnsiTheme="majorBidi" w:cstheme="majorBidi"/>
          <w:bCs/>
        </w:rPr>
        <w:t>75-</w:t>
      </w:r>
      <w:r w:rsidR="00BA11B2" w:rsidRPr="00FC500E">
        <w:rPr>
          <w:rFonts w:asciiTheme="majorBidi" w:hAnsiTheme="majorBidi" w:cstheme="majorBidi"/>
          <w:bCs/>
        </w:rPr>
        <w:t>90.</w:t>
      </w:r>
    </w:p>
    <w:p w:rsidR="005A3A1B" w:rsidRPr="00FC500E" w:rsidRDefault="00BA11B2" w:rsidP="004F7961">
      <w:pPr>
        <w:spacing w:after="0"/>
        <w:rPr>
          <w:rFonts w:asciiTheme="majorBidi" w:hAnsiTheme="majorBidi" w:cstheme="majorBidi"/>
          <w:bCs/>
        </w:rPr>
      </w:pPr>
      <w:r w:rsidRPr="00FC500E">
        <w:rPr>
          <w:rFonts w:asciiTheme="majorBidi" w:hAnsiTheme="majorBidi" w:cstheme="majorBidi"/>
          <w:bCs/>
        </w:rPr>
        <w:t xml:space="preserve"> </w:t>
      </w:r>
      <w:r w:rsidR="00A32F64" w:rsidRPr="00FC500E">
        <w:rPr>
          <w:rFonts w:asciiTheme="majorBidi" w:hAnsiTheme="majorBidi" w:cstheme="majorBidi"/>
          <w:bCs/>
        </w:rPr>
        <w:t>[9</w:t>
      </w:r>
      <w:r w:rsidR="005A3A1B" w:rsidRPr="00FC500E">
        <w:rPr>
          <w:rFonts w:asciiTheme="majorBidi" w:hAnsiTheme="majorBidi" w:cstheme="majorBidi"/>
          <w:bCs/>
        </w:rPr>
        <w:t xml:space="preserve">] Li, Y., Chen, M., Yao, B., Lu, X., Zhang, X., He, P., et al. (2019). </w:t>
      </w:r>
      <w:r w:rsidR="005A3A1B" w:rsidRPr="00FC500E">
        <w:rPr>
          <w:rFonts w:asciiTheme="majorBidi" w:hAnsiTheme="majorBidi" w:cstheme="majorBidi"/>
          <w:bCs/>
          <w:i/>
          <w:iCs/>
        </w:rPr>
        <w:t>Transferrin receptor-targeted redox/pH-sensitive podophyllotoxin prodrug micelles for multidrug-resistant breast cancer therapy. J. Mater. Chem</w:t>
      </w:r>
      <w:r w:rsidR="005A3A1B" w:rsidRPr="00FC500E">
        <w:rPr>
          <w:rFonts w:asciiTheme="majorBidi" w:hAnsiTheme="majorBidi" w:cstheme="majorBidi"/>
          <w:bCs/>
        </w:rPr>
        <w:t>. B. 7 (38), 581</w:t>
      </w:r>
      <w:r w:rsidRPr="00FC500E">
        <w:rPr>
          <w:rFonts w:asciiTheme="majorBidi" w:hAnsiTheme="majorBidi" w:cstheme="majorBidi"/>
          <w:bCs/>
        </w:rPr>
        <w:t xml:space="preserve">4–5824. </w:t>
      </w:r>
    </w:p>
    <w:p w:rsidR="005A3A1B" w:rsidRPr="00FC500E" w:rsidRDefault="005A3A1B" w:rsidP="005A3A1B">
      <w:pPr>
        <w:ind w:right="-340"/>
        <w:rPr>
          <w:rFonts w:asciiTheme="majorBidi" w:hAnsiTheme="majorBidi" w:cstheme="majorBidi"/>
          <w:b/>
          <w:bCs/>
          <w:sz w:val="20"/>
          <w:szCs w:val="20"/>
        </w:rPr>
      </w:pPr>
    </w:p>
    <w:p w:rsidR="005A3A1B" w:rsidRPr="00FC500E" w:rsidRDefault="005A3A1B" w:rsidP="005A3A1B">
      <w:pPr>
        <w:ind w:right="-340"/>
        <w:rPr>
          <w:rFonts w:asciiTheme="majorBidi" w:hAnsiTheme="majorBidi" w:cstheme="majorBidi"/>
          <w:b/>
          <w:bCs/>
          <w:sz w:val="20"/>
          <w:szCs w:val="20"/>
        </w:rPr>
      </w:pPr>
    </w:p>
    <w:p w:rsidR="005A3A1B" w:rsidRDefault="005A3A1B" w:rsidP="005A3A1B">
      <w:pPr>
        <w:ind w:right="-340"/>
        <w:rPr>
          <w:rFonts w:asciiTheme="majorBidi" w:hAnsiTheme="majorBidi" w:cstheme="majorBidi"/>
          <w:b/>
          <w:bCs/>
          <w:sz w:val="20"/>
          <w:szCs w:val="20"/>
        </w:rPr>
      </w:pPr>
    </w:p>
    <w:p w:rsidR="005A3A1B" w:rsidRDefault="005A3A1B" w:rsidP="005A3A1B">
      <w:pPr>
        <w:ind w:right="-340"/>
        <w:rPr>
          <w:rFonts w:asciiTheme="majorBidi" w:hAnsiTheme="majorBidi" w:cstheme="majorBidi"/>
          <w:b/>
          <w:bCs/>
          <w:sz w:val="20"/>
          <w:szCs w:val="20"/>
        </w:rPr>
      </w:pPr>
    </w:p>
    <w:p w:rsidR="005A3A1B" w:rsidRPr="00430D35" w:rsidRDefault="005A3A1B" w:rsidP="005A3A1B">
      <w:pPr>
        <w:ind w:right="-340"/>
        <w:rPr>
          <w:rFonts w:asciiTheme="majorBidi" w:hAnsiTheme="majorBidi" w:cstheme="majorBidi"/>
          <w:b/>
          <w:bCs/>
          <w:sz w:val="20"/>
          <w:szCs w:val="20"/>
        </w:rPr>
      </w:pPr>
    </w:p>
    <w:p w:rsidR="005A3A1B" w:rsidRPr="00C1282E" w:rsidRDefault="005A3A1B" w:rsidP="005A3A1B">
      <w:pPr>
        <w:ind w:right="-340"/>
        <w:rPr>
          <w:rFonts w:asciiTheme="majorBidi" w:hAnsiTheme="majorBidi" w:cstheme="majorBidi"/>
          <w:b/>
          <w:bCs/>
          <w:sz w:val="20"/>
          <w:szCs w:val="20"/>
        </w:rPr>
      </w:pPr>
    </w:p>
    <w:p w:rsidR="005A3A1B" w:rsidRDefault="005A3A1B" w:rsidP="005A3A1B">
      <w:pPr>
        <w:spacing w:after="0"/>
        <w:ind w:right="-340"/>
        <w:rPr>
          <w:rFonts w:ascii="Times New Roman" w:eastAsia="Times New Roman" w:hAnsi="Times New Roman" w:cs="Times New Roman"/>
          <w:b/>
        </w:rPr>
      </w:pPr>
    </w:p>
    <w:p w:rsidR="005A3A1B" w:rsidRPr="00CA0F68" w:rsidRDefault="005A3A1B" w:rsidP="005A3A1B">
      <w:pPr>
        <w:spacing w:after="0"/>
        <w:ind w:right="-340"/>
        <w:rPr>
          <w:rFonts w:ascii="Times New Roman" w:eastAsia="Times New Roman" w:hAnsi="Times New Roman" w:cs="Times New Roman"/>
          <w:b/>
        </w:rPr>
      </w:pPr>
    </w:p>
    <w:p w:rsidR="005A3A1B" w:rsidRDefault="005A3A1B" w:rsidP="005A3A1B">
      <w:pPr>
        <w:rPr>
          <w:rFonts w:ascii="Times New Roman" w:eastAsia="Times New Roman" w:hAnsi="Times New Roman" w:cs="Times New Roman"/>
          <w:b/>
          <w:sz w:val="20"/>
          <w:rtl/>
        </w:rPr>
      </w:pPr>
    </w:p>
    <w:p w:rsidR="005A3A1B" w:rsidRDefault="005A3A1B" w:rsidP="005A3A1B"/>
    <w:p w:rsidR="005A3A1B" w:rsidRDefault="005A3A1B">
      <w:pPr>
        <w:rPr>
          <w:lang w:val="tr-TR"/>
        </w:rPr>
      </w:pPr>
    </w:p>
    <w:p w:rsidR="005A3A1B" w:rsidRPr="00A27326" w:rsidRDefault="005A3A1B">
      <w:pPr>
        <w:rPr>
          <w:lang w:val="tr-TR"/>
        </w:rPr>
      </w:pPr>
    </w:p>
    <w:sectPr w:rsidR="005A3A1B" w:rsidRPr="00A273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DC5" w:rsidRDefault="00B33DC5" w:rsidP="00A27326">
      <w:pPr>
        <w:spacing w:after="0" w:line="240" w:lineRule="auto"/>
      </w:pPr>
      <w:r>
        <w:separator/>
      </w:r>
    </w:p>
  </w:endnote>
  <w:endnote w:type="continuationSeparator" w:id="0">
    <w:p w:rsidR="00B33DC5" w:rsidRDefault="00B33DC5" w:rsidP="00A2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DC5" w:rsidRDefault="00B33DC5" w:rsidP="00A27326">
      <w:pPr>
        <w:spacing w:after="0" w:line="240" w:lineRule="auto"/>
      </w:pPr>
      <w:r>
        <w:separator/>
      </w:r>
    </w:p>
  </w:footnote>
  <w:footnote w:type="continuationSeparator" w:id="0">
    <w:p w:rsidR="00B33DC5" w:rsidRDefault="00B33DC5" w:rsidP="00A27326">
      <w:pPr>
        <w:spacing w:after="0" w:line="240" w:lineRule="auto"/>
      </w:pPr>
      <w:r>
        <w:continuationSeparator/>
      </w:r>
    </w:p>
  </w:footnote>
  <w:footnote w:id="1">
    <w:p w:rsidR="00A27326" w:rsidRDefault="00A27326" w:rsidP="00A27326">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28"/>
    <w:multiLevelType w:val="multilevel"/>
    <w:tmpl w:val="D7206BDE"/>
    <w:lvl w:ilvl="0">
      <w:start w:val="1"/>
      <w:numFmt w:val="decimal"/>
      <w:lvlText w:val="%1."/>
      <w:lvlJc w:val="left"/>
      <w:pPr>
        <w:ind w:left="360" w:hanging="360"/>
      </w:pPr>
      <w:rPr>
        <w:rFonts w:cs="Times New Roman" w:hint="default"/>
        <w:b/>
        <w:i w:val="0"/>
        <w:color w:val="auto"/>
        <w:sz w:val="24"/>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6A993104"/>
    <w:multiLevelType w:val="hybridMultilevel"/>
    <w:tmpl w:val="469646BE"/>
    <w:lvl w:ilvl="0" w:tplc="B3869A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26"/>
    <w:rsid w:val="00077C6A"/>
    <w:rsid w:val="000E5CC7"/>
    <w:rsid w:val="000E60E7"/>
    <w:rsid w:val="00212A51"/>
    <w:rsid w:val="0038092B"/>
    <w:rsid w:val="004F7961"/>
    <w:rsid w:val="005A3A1B"/>
    <w:rsid w:val="005E3A81"/>
    <w:rsid w:val="006C3569"/>
    <w:rsid w:val="006F0518"/>
    <w:rsid w:val="006F49FB"/>
    <w:rsid w:val="00763825"/>
    <w:rsid w:val="008D47AA"/>
    <w:rsid w:val="009138C2"/>
    <w:rsid w:val="00A27326"/>
    <w:rsid w:val="00A32F64"/>
    <w:rsid w:val="00A74A9F"/>
    <w:rsid w:val="00AC6835"/>
    <w:rsid w:val="00B33DC5"/>
    <w:rsid w:val="00BA11B2"/>
    <w:rsid w:val="00BB4F02"/>
    <w:rsid w:val="00DE72CB"/>
    <w:rsid w:val="00E60CCF"/>
    <w:rsid w:val="00FA7FD5"/>
    <w:rsid w:val="00FC5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00033"/>
  <w15:chartTrackingRefBased/>
  <w15:docId w15:val="{9A809FC3-147F-484D-BB3F-9A2275B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27326"/>
    <w:pPr>
      <w:spacing w:after="0" w:line="240" w:lineRule="auto"/>
    </w:pPr>
    <w:rPr>
      <w:sz w:val="20"/>
      <w:szCs w:val="20"/>
    </w:rPr>
  </w:style>
  <w:style w:type="character" w:customStyle="1" w:styleId="Char">
    <w:name w:val="نص حاشية سفلية Char"/>
    <w:basedOn w:val="a0"/>
    <w:link w:val="a3"/>
    <w:uiPriority w:val="99"/>
    <w:semiHidden/>
    <w:rsid w:val="00A27326"/>
    <w:rPr>
      <w:sz w:val="20"/>
      <w:szCs w:val="20"/>
    </w:rPr>
  </w:style>
  <w:style w:type="table" w:customStyle="1" w:styleId="1">
    <w:name w:val="شبكة جدول1"/>
    <w:basedOn w:val="a1"/>
    <w:next w:val="a4"/>
    <w:uiPriority w:val="39"/>
    <w:rsid w:val="00A27326"/>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27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A3A1B"/>
    <w:pPr>
      <w:ind w:left="720"/>
      <w:contextualSpacing/>
    </w:pPr>
  </w:style>
  <w:style w:type="character" w:styleId="Hyperlink">
    <w:name w:val="Hyperlink"/>
    <w:basedOn w:val="a0"/>
    <w:uiPriority w:val="99"/>
    <w:unhideWhenUsed/>
    <w:rsid w:val="00A32F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232650">
      <w:bodyDiv w:val="1"/>
      <w:marLeft w:val="0"/>
      <w:marRight w:val="0"/>
      <w:marTop w:val="0"/>
      <w:marBottom w:val="0"/>
      <w:divBdr>
        <w:top w:val="none" w:sz="0" w:space="0" w:color="auto"/>
        <w:left w:val="none" w:sz="0" w:space="0" w:color="auto"/>
        <w:bottom w:val="none" w:sz="0" w:space="0" w:color="auto"/>
        <w:right w:val="none" w:sz="0" w:space="0" w:color="auto"/>
      </w:divBdr>
      <w:divsChild>
        <w:div w:id="14329713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chem.ncbi.nlm.nih.gov"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rcid.org/xxxx-xxxx-xxxx-xxxx"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1823</Words>
  <Characters>10392</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2023-12-18T12:08:00Z</dcterms:created>
  <dcterms:modified xsi:type="dcterms:W3CDTF">2023-12-18T16:23:00Z</dcterms:modified>
</cp:coreProperties>
</file>