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E7BCE" w14:textId="77777777" w:rsidR="00352ED1" w:rsidRPr="00352ED1" w:rsidRDefault="00352ED1" w:rsidP="00352ED1">
      <w:pPr>
        <w:jc w:val="center"/>
        <w:rPr>
          <w:rFonts w:cstheme="minorHAnsi"/>
          <w:sz w:val="28"/>
          <w:szCs w:val="28"/>
          <w:lang w:eastAsia="tr-TR"/>
        </w:rPr>
      </w:pPr>
      <w:r w:rsidRPr="00352ED1">
        <w:rPr>
          <w:rFonts w:cstheme="minorHAnsi"/>
          <w:b/>
          <w:bCs/>
          <w:color w:val="000000"/>
          <w:sz w:val="28"/>
          <w:szCs w:val="28"/>
          <w:lang w:eastAsia="tr-TR"/>
        </w:rPr>
        <w:t>ARAŞTIRMA TOPLULUĞU MODELİ ÜZERİNE YAPILAN LİSANSÜSTÜ TEZLERİN EĞİLİMLERİ ÜZERINE BIR ARAŞTIRMA </w:t>
      </w:r>
    </w:p>
    <w:p w14:paraId="3DD94811" w14:textId="77777777" w:rsidR="00352ED1" w:rsidRDefault="00352ED1" w:rsidP="000D62F4">
      <w:pPr>
        <w:pStyle w:val="BildiriBal"/>
      </w:pPr>
    </w:p>
    <w:p w14:paraId="3C7C52AD" w14:textId="5196DF16" w:rsidR="00D5474C" w:rsidRDefault="00352ED1" w:rsidP="00D5474C">
      <w:pPr>
        <w:spacing w:line="276" w:lineRule="auto"/>
        <w:jc w:val="center"/>
        <w:rPr>
          <w:rFonts w:cstheme="minorHAnsi"/>
          <w:sz w:val="22"/>
          <w:szCs w:val="22"/>
          <w:lang w:eastAsia="tr-TR"/>
        </w:rPr>
      </w:pPr>
      <w:r w:rsidRPr="00352ED1">
        <w:rPr>
          <w:rFonts w:cstheme="minorHAnsi"/>
          <w:sz w:val="22"/>
          <w:szCs w:val="22"/>
          <w:lang w:eastAsia="tr-TR"/>
        </w:rPr>
        <w:t>Dr. Merve AYDIN</w:t>
      </w:r>
      <w:r w:rsidR="00172380" w:rsidRPr="000D62F4">
        <w:rPr>
          <w:sz w:val="22"/>
          <w:szCs w:val="22"/>
          <w:vertAlign w:val="superscript"/>
        </w:rPr>
        <w:t>1</w:t>
      </w:r>
      <w:r w:rsidRPr="00352ED1">
        <w:rPr>
          <w:rFonts w:cstheme="minorHAnsi"/>
          <w:sz w:val="22"/>
          <w:szCs w:val="22"/>
          <w:lang w:eastAsia="tr-TR"/>
        </w:rPr>
        <w:t xml:space="preserve">, 0000-0002-4192-4504, </w:t>
      </w:r>
      <w:hyperlink r:id="rId5" w:history="1">
        <w:r w:rsidRPr="009D5C38">
          <w:rPr>
            <w:rStyle w:val="Kpr"/>
            <w:rFonts w:cstheme="minorHAnsi"/>
            <w:sz w:val="22"/>
            <w:szCs w:val="22"/>
            <w:lang w:eastAsia="tr-TR"/>
          </w:rPr>
          <w:t>merveaydin@trabzon.edu.tr</w:t>
        </w:r>
      </w:hyperlink>
    </w:p>
    <w:p w14:paraId="223AA37B" w14:textId="38A3E1B0" w:rsidR="00352ED1" w:rsidRDefault="00352ED1" w:rsidP="00D5474C">
      <w:pPr>
        <w:spacing w:line="276" w:lineRule="auto"/>
        <w:jc w:val="center"/>
        <w:rPr>
          <w:rFonts w:cstheme="minorHAnsi"/>
          <w:sz w:val="22"/>
          <w:szCs w:val="22"/>
          <w:lang w:eastAsia="tr-TR"/>
        </w:rPr>
      </w:pPr>
      <w:r>
        <w:rPr>
          <w:rFonts w:cstheme="minorHAnsi"/>
          <w:sz w:val="22"/>
          <w:szCs w:val="22"/>
          <w:lang w:eastAsia="tr-TR"/>
        </w:rPr>
        <w:t>Merve YILDIRIM</w:t>
      </w:r>
      <w:r w:rsidR="00172380" w:rsidRPr="000D62F4">
        <w:rPr>
          <w:sz w:val="22"/>
          <w:szCs w:val="22"/>
          <w:vertAlign w:val="superscript"/>
        </w:rPr>
        <w:t>2</w:t>
      </w:r>
      <w:r>
        <w:rPr>
          <w:rFonts w:cstheme="minorHAnsi"/>
          <w:sz w:val="22"/>
          <w:szCs w:val="22"/>
          <w:lang w:eastAsia="tr-TR"/>
        </w:rPr>
        <w:t xml:space="preserve">, 0000-0001-8598-6312, </w:t>
      </w:r>
    </w:p>
    <w:p w14:paraId="4D9ED28D" w14:textId="1C35DBE3" w:rsidR="00352ED1" w:rsidRDefault="00352ED1" w:rsidP="00D5474C">
      <w:pPr>
        <w:spacing w:line="276" w:lineRule="auto"/>
        <w:jc w:val="center"/>
        <w:rPr>
          <w:rFonts w:cstheme="minorHAnsi"/>
          <w:sz w:val="22"/>
          <w:szCs w:val="22"/>
          <w:lang w:eastAsia="tr-TR"/>
        </w:rPr>
      </w:pPr>
      <w:r>
        <w:rPr>
          <w:rFonts w:cstheme="minorHAnsi"/>
          <w:sz w:val="22"/>
          <w:szCs w:val="22"/>
          <w:lang w:eastAsia="tr-TR"/>
        </w:rPr>
        <w:t>Hanife KIRIMLI</w:t>
      </w:r>
      <w:r w:rsidR="00172380">
        <w:rPr>
          <w:sz w:val="22"/>
          <w:szCs w:val="22"/>
          <w:vertAlign w:val="superscript"/>
        </w:rPr>
        <w:t>3</w:t>
      </w:r>
      <w:r>
        <w:rPr>
          <w:rFonts w:cstheme="minorHAnsi"/>
          <w:sz w:val="22"/>
          <w:szCs w:val="22"/>
          <w:lang w:eastAsia="tr-TR"/>
        </w:rPr>
        <w:t xml:space="preserve">, </w:t>
      </w:r>
      <w:r w:rsidRPr="00352ED1">
        <w:rPr>
          <w:rFonts w:cstheme="minorHAnsi"/>
          <w:sz w:val="22"/>
          <w:szCs w:val="22"/>
          <w:lang w:eastAsia="tr-TR"/>
        </w:rPr>
        <w:t>0000-0003-4722-4370</w:t>
      </w:r>
      <w:r>
        <w:rPr>
          <w:rFonts w:cstheme="minorHAnsi"/>
          <w:sz w:val="22"/>
          <w:szCs w:val="22"/>
          <w:lang w:eastAsia="tr-TR"/>
        </w:rPr>
        <w:t xml:space="preserve">, </w:t>
      </w:r>
      <w:hyperlink r:id="rId6" w:history="1">
        <w:r w:rsidRPr="009D5C38">
          <w:rPr>
            <w:rStyle w:val="Kpr"/>
            <w:rFonts w:cstheme="minorHAnsi"/>
            <w:sz w:val="22"/>
            <w:szCs w:val="22"/>
            <w:lang w:eastAsia="tr-TR"/>
          </w:rPr>
          <w:t>hanife_kirimli21@trabzon.edu.tr</w:t>
        </w:r>
      </w:hyperlink>
    </w:p>
    <w:p w14:paraId="7614B226" w14:textId="27EB6DBD" w:rsidR="00352ED1" w:rsidRDefault="00413659" w:rsidP="00D5474C">
      <w:pPr>
        <w:spacing w:line="276" w:lineRule="auto"/>
        <w:jc w:val="center"/>
        <w:rPr>
          <w:bCs/>
          <w:sz w:val="22"/>
          <w:szCs w:val="22"/>
        </w:rPr>
      </w:pPr>
      <w:r>
        <w:rPr>
          <w:bCs/>
          <w:sz w:val="22"/>
          <w:szCs w:val="22"/>
        </w:rPr>
        <w:t xml:space="preserve">Prof. Dr. </w:t>
      </w:r>
      <w:r w:rsidR="00352ED1" w:rsidRPr="00352ED1">
        <w:rPr>
          <w:bCs/>
          <w:sz w:val="22"/>
          <w:szCs w:val="22"/>
        </w:rPr>
        <w:t>Ünal ÇAKIROĞLU</w:t>
      </w:r>
      <w:r w:rsidR="00172380">
        <w:rPr>
          <w:sz w:val="22"/>
          <w:szCs w:val="22"/>
          <w:vertAlign w:val="superscript"/>
        </w:rPr>
        <w:t>4</w:t>
      </w:r>
      <w:r w:rsidR="00352ED1" w:rsidRPr="00352ED1">
        <w:rPr>
          <w:bCs/>
          <w:sz w:val="22"/>
          <w:szCs w:val="22"/>
        </w:rPr>
        <w:t xml:space="preserve">, 0000-0001-8030-3869, </w:t>
      </w:r>
      <w:hyperlink r:id="rId7" w:history="1">
        <w:r w:rsidR="00352ED1" w:rsidRPr="009D5C38">
          <w:rPr>
            <w:rStyle w:val="Kpr"/>
            <w:bCs/>
            <w:sz w:val="22"/>
            <w:szCs w:val="22"/>
          </w:rPr>
          <w:t>cakiroglu@trabzon.edu.tr</w:t>
        </w:r>
      </w:hyperlink>
    </w:p>
    <w:p w14:paraId="30EE2579" w14:textId="3B206035" w:rsidR="00172380" w:rsidRDefault="00172380" w:rsidP="00D5474C">
      <w:pPr>
        <w:spacing w:line="276" w:lineRule="auto"/>
        <w:jc w:val="center"/>
        <w:rPr>
          <w:bCs/>
          <w:sz w:val="22"/>
          <w:szCs w:val="22"/>
        </w:rPr>
      </w:pPr>
    </w:p>
    <w:p w14:paraId="0E1BA14C" w14:textId="2E17ED83" w:rsidR="00172380" w:rsidRPr="00172380" w:rsidRDefault="00172380" w:rsidP="00172380">
      <w:pPr>
        <w:spacing w:line="276" w:lineRule="auto"/>
        <w:jc w:val="center"/>
        <w:rPr>
          <w:bCs/>
          <w:sz w:val="22"/>
          <w:szCs w:val="22"/>
        </w:rPr>
      </w:pPr>
      <w:r>
        <w:rPr>
          <w:sz w:val="22"/>
          <w:szCs w:val="22"/>
          <w:vertAlign w:val="superscript"/>
        </w:rPr>
        <w:t xml:space="preserve">1 </w:t>
      </w:r>
      <w:r>
        <w:rPr>
          <w:bCs/>
          <w:sz w:val="22"/>
          <w:szCs w:val="22"/>
        </w:rPr>
        <w:t xml:space="preserve">Trabzon Üniversitesi, </w:t>
      </w:r>
      <w:r>
        <w:rPr>
          <w:sz w:val="22"/>
          <w:szCs w:val="22"/>
          <w:vertAlign w:val="superscript"/>
        </w:rPr>
        <w:t xml:space="preserve">2 </w:t>
      </w:r>
      <w:r>
        <w:rPr>
          <w:bCs/>
          <w:sz w:val="22"/>
          <w:szCs w:val="22"/>
        </w:rPr>
        <w:t xml:space="preserve">Trabzon Üniversitesi, </w:t>
      </w:r>
      <w:r>
        <w:rPr>
          <w:sz w:val="22"/>
          <w:szCs w:val="22"/>
          <w:vertAlign w:val="superscript"/>
        </w:rPr>
        <w:t xml:space="preserve">3 </w:t>
      </w:r>
      <w:r>
        <w:rPr>
          <w:bCs/>
          <w:sz w:val="22"/>
          <w:szCs w:val="22"/>
        </w:rPr>
        <w:t>Trabzon Üniversitesi,</w:t>
      </w:r>
      <w:r w:rsidRPr="00172380">
        <w:rPr>
          <w:sz w:val="22"/>
          <w:szCs w:val="22"/>
          <w:vertAlign w:val="superscript"/>
        </w:rPr>
        <w:t xml:space="preserve"> </w:t>
      </w:r>
      <w:r>
        <w:rPr>
          <w:sz w:val="22"/>
          <w:szCs w:val="22"/>
          <w:vertAlign w:val="superscript"/>
        </w:rPr>
        <w:t xml:space="preserve">4 </w:t>
      </w:r>
      <w:r>
        <w:rPr>
          <w:bCs/>
          <w:sz w:val="22"/>
          <w:szCs w:val="22"/>
        </w:rPr>
        <w:t xml:space="preserve">Trabzon Üniversitesi </w:t>
      </w:r>
    </w:p>
    <w:p w14:paraId="715869AE" w14:textId="55079702" w:rsidR="00172380" w:rsidRPr="00172380" w:rsidRDefault="00172380" w:rsidP="00172380">
      <w:pPr>
        <w:spacing w:line="276" w:lineRule="auto"/>
        <w:jc w:val="center"/>
        <w:rPr>
          <w:bCs/>
          <w:sz w:val="22"/>
          <w:szCs w:val="22"/>
        </w:rPr>
      </w:pPr>
    </w:p>
    <w:p w14:paraId="48452E1D" w14:textId="77777777" w:rsidR="000D62F4" w:rsidRPr="000D62F4" w:rsidRDefault="000D62F4" w:rsidP="00D3305B">
      <w:pPr>
        <w:jc w:val="center"/>
        <w:rPr>
          <w:sz w:val="22"/>
          <w:szCs w:val="22"/>
        </w:rPr>
      </w:pPr>
    </w:p>
    <w:p w14:paraId="7E3A15F8" w14:textId="67AF6737" w:rsidR="00417E79" w:rsidRPr="00BA1C55" w:rsidRDefault="00417E79" w:rsidP="000D62F4">
      <w:pPr>
        <w:pStyle w:val="zetBal"/>
      </w:pPr>
      <w:r w:rsidRPr="00BA1C55">
        <w:t>Özet</w:t>
      </w:r>
      <w:r w:rsidR="00D7065A" w:rsidRPr="00BA1C55">
        <w:t xml:space="preserve"> </w:t>
      </w:r>
    </w:p>
    <w:p w14:paraId="7061FE46" w14:textId="77777777" w:rsidR="00417E79" w:rsidRPr="00BA1C55" w:rsidRDefault="00417E79" w:rsidP="00417E79">
      <w:pPr>
        <w:jc w:val="center"/>
        <w:rPr>
          <w:b/>
          <w:bCs/>
          <w:sz w:val="22"/>
          <w:szCs w:val="22"/>
        </w:rPr>
      </w:pPr>
    </w:p>
    <w:p w14:paraId="508F0ADB" w14:textId="4E11D067" w:rsidR="003457C8" w:rsidRDefault="001638D5" w:rsidP="001638D5">
      <w:pPr>
        <w:ind w:firstLine="720"/>
        <w:jc w:val="both"/>
        <w:rPr>
          <w:sz w:val="22"/>
          <w:szCs w:val="22"/>
        </w:rPr>
      </w:pPr>
      <w:bookmarkStart w:id="0" w:name="OLE_LINK28"/>
      <w:bookmarkStart w:id="1" w:name="OLE_LINK8"/>
      <w:r w:rsidRPr="001638D5">
        <w:rPr>
          <w:sz w:val="22"/>
          <w:szCs w:val="22"/>
        </w:rPr>
        <w:t xml:space="preserve">Bu çalışmanın amacı, Türkiye’de </w:t>
      </w:r>
      <w:r>
        <w:rPr>
          <w:sz w:val="22"/>
          <w:szCs w:val="22"/>
        </w:rPr>
        <w:t>Araştırma Topluluğu Modeli</w:t>
      </w:r>
      <w:r w:rsidRPr="001638D5">
        <w:rPr>
          <w:sz w:val="22"/>
          <w:szCs w:val="22"/>
        </w:rPr>
        <w:t xml:space="preserve"> alanında yapılan lisansüstü tezlerin incelenmesidir. </w:t>
      </w:r>
      <w:bookmarkEnd w:id="0"/>
      <w:r w:rsidRPr="001638D5">
        <w:rPr>
          <w:sz w:val="22"/>
          <w:szCs w:val="22"/>
        </w:rPr>
        <w:t xml:space="preserve">Bu bağlamda </w:t>
      </w:r>
      <w:r>
        <w:t>2009-2022 yılları arasında</w:t>
      </w:r>
      <w:r w:rsidRPr="001638D5">
        <w:rPr>
          <w:sz w:val="22"/>
          <w:szCs w:val="22"/>
        </w:rPr>
        <w:t xml:space="preserve"> yapılan 77 lisansüstü tezi çeşitli açılardan gruplandırılmıştır. </w:t>
      </w:r>
      <w:bookmarkStart w:id="2" w:name="OLE_LINK29"/>
      <w:r w:rsidRPr="001638D5">
        <w:rPr>
          <w:sz w:val="22"/>
          <w:szCs w:val="22"/>
        </w:rPr>
        <w:t xml:space="preserve">Bu araştırma, nitel bir araştırma olup veriler doküman </w:t>
      </w:r>
      <w:r>
        <w:rPr>
          <w:sz w:val="22"/>
          <w:szCs w:val="22"/>
        </w:rPr>
        <w:t>analizi</w:t>
      </w:r>
      <w:r w:rsidRPr="001638D5">
        <w:rPr>
          <w:sz w:val="22"/>
          <w:szCs w:val="22"/>
        </w:rPr>
        <w:t xml:space="preserve"> </w:t>
      </w:r>
      <w:r>
        <w:rPr>
          <w:sz w:val="22"/>
          <w:szCs w:val="22"/>
        </w:rPr>
        <w:t>yöntemi ile</w:t>
      </w:r>
      <w:r w:rsidRPr="001638D5">
        <w:rPr>
          <w:sz w:val="22"/>
          <w:szCs w:val="22"/>
        </w:rPr>
        <w:t xml:space="preserve"> toplanmıştır.</w:t>
      </w:r>
      <w:r>
        <w:rPr>
          <w:sz w:val="22"/>
          <w:szCs w:val="22"/>
        </w:rPr>
        <w:t xml:space="preserve"> </w:t>
      </w:r>
      <w:r w:rsidRPr="001638D5">
        <w:rPr>
          <w:sz w:val="22"/>
          <w:szCs w:val="22"/>
        </w:rPr>
        <w:t xml:space="preserve"> Ulaşılan tezler</w:t>
      </w:r>
      <w:r>
        <w:rPr>
          <w:sz w:val="22"/>
          <w:szCs w:val="22"/>
        </w:rPr>
        <w:t xml:space="preserve"> </w:t>
      </w:r>
      <w:r>
        <w:t xml:space="preserve">betimsel analiz yöntemi kullanılarak analiz edilmiştir. </w:t>
      </w:r>
      <w:r w:rsidRPr="001638D5">
        <w:rPr>
          <w:sz w:val="22"/>
          <w:szCs w:val="22"/>
        </w:rPr>
        <w:t xml:space="preserve"> </w:t>
      </w:r>
      <w:bookmarkStart w:id="3" w:name="OLE_LINK30"/>
      <w:bookmarkEnd w:id="2"/>
      <w:r w:rsidRPr="001638D5">
        <w:rPr>
          <w:sz w:val="22"/>
          <w:szCs w:val="22"/>
        </w:rPr>
        <w:t xml:space="preserve">Araştırma sonucunda </w:t>
      </w:r>
      <w:r>
        <w:rPr>
          <w:sz w:val="22"/>
          <w:szCs w:val="22"/>
        </w:rPr>
        <w:t xml:space="preserve">Araştırma Topluluğu Modeli kapsamında YÖK TEZ veri tabanı kullanılarak ulaşılan 42 tezin çoğunlukla nitel yöntem kullanılarak yürütüldüğü, Araştırma Topluluğu Modelinin genel itibariyle bütün boyutlarının çalışıldığı, </w:t>
      </w:r>
      <w:bookmarkStart w:id="4" w:name="OLE_LINK31"/>
      <w:r>
        <w:rPr>
          <w:sz w:val="22"/>
          <w:szCs w:val="22"/>
        </w:rPr>
        <w:t>veri toplama aracı olarak genellikle ölçeklerin kullanıldığı</w:t>
      </w:r>
      <w:r w:rsidR="003457C8">
        <w:rPr>
          <w:sz w:val="22"/>
          <w:szCs w:val="22"/>
        </w:rPr>
        <w:t>,</w:t>
      </w:r>
      <w:bookmarkEnd w:id="4"/>
      <w:r w:rsidR="003457C8">
        <w:rPr>
          <w:sz w:val="22"/>
          <w:szCs w:val="22"/>
        </w:rPr>
        <w:t xml:space="preserve"> kullanılan çevrimiçi ortamlara bakıldığında ise ÖYS, sanal sınıflar ve sosyal medya olduğu</w:t>
      </w:r>
      <w:r>
        <w:rPr>
          <w:sz w:val="22"/>
          <w:szCs w:val="22"/>
        </w:rPr>
        <w:t xml:space="preserve"> görülmüştür.</w:t>
      </w:r>
      <w:bookmarkEnd w:id="3"/>
      <w:r w:rsidRPr="001638D5">
        <w:rPr>
          <w:sz w:val="22"/>
          <w:szCs w:val="22"/>
        </w:rPr>
        <w:t xml:space="preserve"> </w:t>
      </w:r>
    </w:p>
    <w:bookmarkEnd w:id="1"/>
    <w:p w14:paraId="1355CD43" w14:textId="77777777" w:rsidR="003457C8" w:rsidRDefault="003457C8" w:rsidP="003457C8">
      <w:pPr>
        <w:jc w:val="both"/>
        <w:rPr>
          <w:sz w:val="22"/>
          <w:szCs w:val="22"/>
        </w:rPr>
      </w:pPr>
    </w:p>
    <w:p w14:paraId="03E2566C" w14:textId="6B2839E5" w:rsidR="00417E79" w:rsidRPr="003457C8" w:rsidRDefault="003457C8" w:rsidP="003457C8">
      <w:pPr>
        <w:jc w:val="both"/>
        <w:rPr>
          <w:sz w:val="22"/>
          <w:szCs w:val="22"/>
        </w:rPr>
      </w:pPr>
      <w:r w:rsidRPr="00BA1C55">
        <w:rPr>
          <w:b/>
          <w:bCs/>
          <w:sz w:val="22"/>
          <w:szCs w:val="22"/>
        </w:rPr>
        <w:t xml:space="preserve">Anahtar Kelimeler: </w:t>
      </w:r>
      <w:r>
        <w:rPr>
          <w:sz w:val="22"/>
          <w:szCs w:val="22"/>
        </w:rPr>
        <w:t>Araştırma Topluluğu Modeli, Araştırma Topluluğu, Buradalık</w:t>
      </w:r>
    </w:p>
    <w:p w14:paraId="65FB097D" w14:textId="4CE32AFB" w:rsidR="00D5474C" w:rsidRPr="00BA1C55" w:rsidRDefault="00D5474C" w:rsidP="00D5474C">
      <w:pPr>
        <w:rPr>
          <w:sz w:val="22"/>
          <w:szCs w:val="22"/>
        </w:rPr>
      </w:pPr>
    </w:p>
    <w:p w14:paraId="1A2AE902" w14:textId="42ED51F4" w:rsidR="00D5474C" w:rsidRPr="00BA1C55" w:rsidRDefault="00D5474C" w:rsidP="00D5474C">
      <w:pPr>
        <w:rPr>
          <w:sz w:val="22"/>
          <w:szCs w:val="22"/>
        </w:rPr>
      </w:pPr>
    </w:p>
    <w:p w14:paraId="256DD4B6" w14:textId="0B04D40E" w:rsidR="00BA1C55" w:rsidRPr="00BA1C55" w:rsidRDefault="00260CEA" w:rsidP="000D62F4">
      <w:pPr>
        <w:pStyle w:val="zetBal"/>
        <w:rPr>
          <w:lang w:val="en-US"/>
        </w:rPr>
      </w:pPr>
      <w:r w:rsidRPr="00260CEA">
        <w:rPr>
          <w:lang w:val="en-US"/>
        </w:rPr>
        <w:t xml:space="preserve">A Study on The Trends of Graduate Theses on The Community of Inquiry Framework </w:t>
      </w:r>
    </w:p>
    <w:p w14:paraId="0CC03D7F" w14:textId="77777777" w:rsidR="00BA1C55" w:rsidRPr="00BA1C55" w:rsidRDefault="00BA1C55" w:rsidP="00D5474C">
      <w:pPr>
        <w:rPr>
          <w:sz w:val="22"/>
          <w:szCs w:val="22"/>
        </w:rPr>
      </w:pPr>
    </w:p>
    <w:p w14:paraId="78512154" w14:textId="33DEC0E6" w:rsidR="00BA1C55" w:rsidRPr="00BA1C55" w:rsidRDefault="00BA1C55" w:rsidP="00BA1C55">
      <w:pPr>
        <w:pStyle w:val="zetBal"/>
        <w:rPr>
          <w:lang w:val="en-US"/>
        </w:rPr>
      </w:pPr>
      <w:r w:rsidRPr="00BA1C55">
        <w:rPr>
          <w:lang w:val="en-US"/>
        </w:rPr>
        <w:t xml:space="preserve">Abstract </w:t>
      </w:r>
    </w:p>
    <w:p w14:paraId="5B788195" w14:textId="77777777" w:rsidR="00BA1C55" w:rsidRPr="00260CEA" w:rsidRDefault="00BA1C55" w:rsidP="00260CEA">
      <w:pPr>
        <w:ind w:firstLine="720"/>
        <w:jc w:val="both"/>
        <w:rPr>
          <w:sz w:val="22"/>
          <w:szCs w:val="22"/>
          <w:lang w:val="en-US"/>
        </w:rPr>
      </w:pPr>
    </w:p>
    <w:p w14:paraId="3B5F3431" w14:textId="42E0ADF6" w:rsidR="00260CEA" w:rsidRPr="00413659" w:rsidRDefault="00260CEA" w:rsidP="00413659">
      <w:pPr>
        <w:ind w:firstLine="720"/>
        <w:jc w:val="both"/>
        <w:rPr>
          <w:lang w:val="en-US"/>
        </w:rPr>
      </w:pPr>
      <w:r w:rsidRPr="00260CEA">
        <w:rPr>
          <w:sz w:val="22"/>
          <w:szCs w:val="22"/>
          <w:lang w:val="en-US"/>
        </w:rPr>
        <w:t xml:space="preserve">The aim of this study is to examine the postgraduate theses in the field of </w:t>
      </w:r>
      <w:r w:rsidR="00413659">
        <w:rPr>
          <w:lang w:val="en-US"/>
        </w:rPr>
        <w:t xml:space="preserve">Community of Inquiry </w:t>
      </w:r>
      <w:r w:rsidRPr="00260CEA">
        <w:rPr>
          <w:sz w:val="22"/>
          <w:szCs w:val="22"/>
          <w:lang w:val="en-US"/>
        </w:rPr>
        <w:t xml:space="preserve">Model in Turkey. </w:t>
      </w:r>
      <w:r w:rsidRPr="00260CEA">
        <w:rPr>
          <w:lang w:val="en-US"/>
        </w:rPr>
        <w:t xml:space="preserve">In this context, 42 postgraduate theses made between 2009-2022 were grouped in various </w:t>
      </w:r>
      <w:proofErr w:type="spellStart"/>
      <w:proofErr w:type="gramStart"/>
      <w:r w:rsidRPr="00260CEA">
        <w:rPr>
          <w:lang w:val="en-US"/>
        </w:rPr>
        <w:t>aspects.This</w:t>
      </w:r>
      <w:proofErr w:type="spellEnd"/>
      <w:proofErr w:type="gramEnd"/>
      <w:r w:rsidRPr="00260CEA">
        <w:rPr>
          <w:lang w:val="en-US"/>
        </w:rPr>
        <w:t xml:space="preserve"> research is a qualitative research and data were collected by document analysis method. The theses reached were analyzed using the descriptive analysis method. As a result of the research, 42 theses, which were reached by using the Y</w:t>
      </w:r>
      <w:r w:rsidR="00413659">
        <w:rPr>
          <w:lang w:val="en-US"/>
        </w:rPr>
        <w:t>O</w:t>
      </w:r>
      <w:r w:rsidRPr="00260CEA">
        <w:rPr>
          <w:lang w:val="en-US"/>
        </w:rPr>
        <w:t xml:space="preserve">K database within the </w:t>
      </w:r>
      <w:r w:rsidR="00EF6921">
        <w:rPr>
          <w:lang w:val="en-US"/>
        </w:rPr>
        <w:t>i</w:t>
      </w:r>
      <w:r w:rsidRPr="00260CEA">
        <w:rPr>
          <w:lang w:val="en-US"/>
        </w:rPr>
        <w:t xml:space="preserve">n general, all dimensions of the </w:t>
      </w:r>
      <w:bookmarkStart w:id="5" w:name="OLE_LINK32"/>
      <w:r w:rsidR="00EF6921">
        <w:rPr>
          <w:lang w:val="en-US"/>
        </w:rPr>
        <w:t xml:space="preserve">Community of Inquiry </w:t>
      </w:r>
      <w:bookmarkEnd w:id="5"/>
      <w:r w:rsidRPr="00260CEA">
        <w:rPr>
          <w:lang w:val="en-US"/>
        </w:rPr>
        <w:t>are studied,</w:t>
      </w:r>
      <w:r w:rsidRPr="00260CEA">
        <w:rPr>
          <w:sz w:val="22"/>
          <w:szCs w:val="22"/>
          <w:lang w:val="en-US"/>
        </w:rPr>
        <w:t xml:space="preserve"> </w:t>
      </w:r>
      <w:r w:rsidRPr="00260CEA">
        <w:rPr>
          <w:lang w:val="en-US"/>
        </w:rPr>
        <w:t xml:space="preserve">scope of the </w:t>
      </w:r>
      <w:r w:rsidR="00EF6921">
        <w:rPr>
          <w:lang w:val="en-US"/>
        </w:rPr>
        <w:t>Community of Inquiry</w:t>
      </w:r>
      <w:r w:rsidRPr="00260CEA">
        <w:rPr>
          <w:lang w:val="en-US"/>
        </w:rPr>
        <w:t>, were mostly carried out using the qualitative method,</w:t>
      </w:r>
      <w:r w:rsidRPr="00260CEA">
        <w:rPr>
          <w:sz w:val="22"/>
          <w:szCs w:val="22"/>
          <w:lang w:val="en-US"/>
        </w:rPr>
        <w:t xml:space="preserve"> </w:t>
      </w:r>
      <w:r w:rsidRPr="00260CEA">
        <w:rPr>
          <w:lang w:val="en-US"/>
        </w:rPr>
        <w:t xml:space="preserve">Generally, scales are used as data collection tools, </w:t>
      </w:r>
      <w:r w:rsidRPr="00260CEA">
        <w:rPr>
          <w:sz w:val="22"/>
          <w:szCs w:val="22"/>
          <w:lang w:val="en-US"/>
        </w:rPr>
        <w:t>when we look at the online environments used, it is seen that LMS, virtual classrooms and social media.</w:t>
      </w:r>
    </w:p>
    <w:p w14:paraId="52912D90" w14:textId="4AE42310" w:rsidR="00D3305B" w:rsidRDefault="00BA1C55" w:rsidP="00260CEA">
      <w:pPr>
        <w:jc w:val="both"/>
        <w:rPr>
          <w:sz w:val="22"/>
          <w:szCs w:val="22"/>
          <w:lang w:val="en-US"/>
        </w:rPr>
      </w:pPr>
      <w:r w:rsidRPr="00260CEA">
        <w:rPr>
          <w:sz w:val="22"/>
          <w:szCs w:val="22"/>
          <w:lang w:val="en-US"/>
        </w:rPr>
        <w:br/>
      </w:r>
      <w:r w:rsidRPr="00260CEA">
        <w:rPr>
          <w:b/>
          <w:bCs/>
          <w:sz w:val="22"/>
          <w:szCs w:val="22"/>
          <w:lang w:val="en-US"/>
        </w:rPr>
        <w:t>Keywords:</w:t>
      </w:r>
      <w:r w:rsidRPr="00260CEA">
        <w:rPr>
          <w:sz w:val="22"/>
          <w:szCs w:val="22"/>
          <w:lang w:val="en-US"/>
        </w:rPr>
        <w:t xml:space="preserve"> </w:t>
      </w:r>
      <w:r w:rsidR="003457C8" w:rsidRPr="003457C8">
        <w:rPr>
          <w:sz w:val="22"/>
          <w:szCs w:val="22"/>
          <w:lang w:val="en-US"/>
        </w:rPr>
        <w:t xml:space="preserve">Community of Inquiry </w:t>
      </w:r>
      <w:proofErr w:type="spellStart"/>
      <w:proofErr w:type="gramStart"/>
      <w:r w:rsidR="003457C8" w:rsidRPr="003457C8">
        <w:rPr>
          <w:sz w:val="22"/>
          <w:szCs w:val="22"/>
          <w:lang w:val="en-US"/>
        </w:rPr>
        <w:t>Framework,Inquiry</w:t>
      </w:r>
      <w:proofErr w:type="spellEnd"/>
      <w:proofErr w:type="gramEnd"/>
      <w:r w:rsidR="003457C8" w:rsidRPr="003457C8">
        <w:rPr>
          <w:sz w:val="22"/>
          <w:szCs w:val="22"/>
          <w:lang w:val="en-US"/>
        </w:rPr>
        <w:t xml:space="preserve"> </w:t>
      </w:r>
      <w:proofErr w:type="spellStart"/>
      <w:r w:rsidR="003457C8" w:rsidRPr="003457C8">
        <w:rPr>
          <w:sz w:val="22"/>
          <w:szCs w:val="22"/>
          <w:lang w:val="en-US"/>
        </w:rPr>
        <w:t>Community,Presence</w:t>
      </w:r>
      <w:proofErr w:type="spellEnd"/>
    </w:p>
    <w:p w14:paraId="2D2204F7" w14:textId="77777777" w:rsidR="003E2E7E" w:rsidRDefault="003E2E7E" w:rsidP="00260CEA">
      <w:pPr>
        <w:jc w:val="both"/>
        <w:rPr>
          <w:sz w:val="22"/>
          <w:szCs w:val="22"/>
          <w:lang w:val="en-US"/>
        </w:rPr>
      </w:pPr>
    </w:p>
    <w:p w14:paraId="48075F5D" w14:textId="77777777" w:rsidR="00260CEA" w:rsidRPr="00260CEA" w:rsidRDefault="00260CEA" w:rsidP="00260CEA">
      <w:pPr>
        <w:jc w:val="both"/>
        <w:rPr>
          <w:sz w:val="22"/>
          <w:szCs w:val="22"/>
          <w:lang w:val="en-US"/>
        </w:rPr>
      </w:pPr>
    </w:p>
    <w:p w14:paraId="47D5FA83" w14:textId="75A36F61" w:rsidR="00260CEA" w:rsidRPr="0065240B" w:rsidRDefault="00260CEA" w:rsidP="00260CEA">
      <w:pPr>
        <w:pStyle w:val="Balk2"/>
      </w:pPr>
      <w:r>
        <w:t>Giriş</w:t>
      </w:r>
      <w:r w:rsidRPr="0065240B">
        <w:t xml:space="preserve"> </w:t>
      </w:r>
    </w:p>
    <w:p w14:paraId="4B3BC628" w14:textId="4F2DBE81" w:rsidR="00C03AC4" w:rsidRPr="00260CEA" w:rsidRDefault="00C03AC4" w:rsidP="00260CEA">
      <w:pPr>
        <w:ind w:firstLine="720"/>
        <w:jc w:val="both"/>
        <w:rPr>
          <w:sz w:val="22"/>
          <w:szCs w:val="22"/>
          <w:lang w:val="en-US"/>
        </w:rPr>
      </w:pPr>
    </w:p>
    <w:p w14:paraId="3B69255A" w14:textId="77777777" w:rsidR="00172380" w:rsidRPr="00172380" w:rsidRDefault="00172380" w:rsidP="00260CEA">
      <w:pPr>
        <w:ind w:firstLine="720"/>
        <w:jc w:val="both"/>
        <w:rPr>
          <w:color w:val="000000"/>
          <w:lang w:eastAsia="tr-TR"/>
        </w:rPr>
      </w:pPr>
      <w:r w:rsidRPr="00DB2274">
        <w:rPr>
          <w:lang w:val="en-US"/>
        </w:rPr>
        <w:t xml:space="preserve">Son yıllarda teknolojinin hızlı gelişimi ve internetin öğretim amaçlı kullanılmaya başlanmasıyla birlikte çevrimiçi öğrenme ortamları kavramı ortaya atılmış ve giderek yaygınlaşmıştır. Böylece eğitimde kullanılan teknolojilerde yaşanan gelişmeler, yüz yüze sınıf ortamlarının yerini giderek çevrimiçi öğrenme ortamlarına bırakmıştır. Giderek yaygınlaşan çevrimiçi öğrenme ortamları farklı iletişim araçları ile </w:t>
      </w:r>
      <w:r w:rsidRPr="00DB2274">
        <w:rPr>
          <w:lang w:val="en-US"/>
        </w:rPr>
        <w:lastRenderedPageBreak/>
        <w:t>zenginleştirilerek öğrenen, öğreten arasındaki iletişimler güçlendirilmeye çalışılmıştır. Bu ortamlarda kullanılan yeni araçlar, öğrenen ve öğretenlere sunduğu fırsatlar ile eğitimcilere ve araştırmacılara yeni bakış açıları kazandırırken, kullanılan iletişim araçlarının potansiyeli</w:t>
      </w:r>
      <w:r w:rsidRPr="00DB2274">
        <w:rPr>
          <w:color w:val="000000"/>
          <w:lang w:eastAsia="tr-TR"/>
        </w:rPr>
        <w:t xml:space="preserve"> ve bireyler tarafından kullanılabilme durumu öğrenme çıktılarının kalitesini de etkilemiştir (Aljabre, 2012). Çevrimiçi ortamlardaki öğrenme çıktılarının kalitesi öğrenen, öğreten ve ortam temelli unsurlar çerçevesinde şekillenmektedir. Bu çerçevede özellikle öğrenen temelli öğrenme stilleri, duyuşsal özellikler, ders çalışma alışkanlıkları gibi karakteristik özelliklerin öğrenme çıktılarına etki edebilmektedir. Öğrenenlere özgü bu özellikler çevrimiçi öğrenme sürecinde araştırma toplulukları çerçevesinde öğrenci-öğrenci, öğrenci-öğreten ve öğrenci-içerik etkileşimlerinin uygun biçimde şekillendirilmesinde önemli role sahiptir (Moore,1997).  Garrison, Anderson ve Archer (2000) bu etkileşimlerin etkin biçimde şekillendirilmesinde öğrenenlerin bir öğrenme topluluğunun parçası olarak hissetmelerini önemsemiş ve bu öğrenme topluluğu içerisindeki öğrenen, öğreten ve ortam temeli süreçlerin nasıl işlediğini Araştırma Topluluğu Modeli (the model of community of inquiry) ile modellemişlerdir. Bu model öğrenenin araştırma topluluğunun oluşmasına ilişkin algılarını içerecek biçimde bilişsel, sosyal ve öğretimsel buradalık öğelerinin tanımlar ve bu şekilde çevrimiçi öğrenme ortamlarının anlamlandırılmasına ve tasarlanmasına rehberlik eder (Zydney</w:t>
      </w:r>
      <w:r w:rsidRPr="00172380">
        <w:rPr>
          <w:color w:val="000000"/>
          <w:lang w:eastAsia="tr-TR"/>
        </w:rPr>
        <w:t xml:space="preserve">, Noyelles ve Seo, 2012). Model hem eğitimin dinamiklerini yakalamak hem de yükseköğretimde çevrimiçi öğrenmenin etkililiği çalışmasına rehberlik yapmak için geliştirilmiş ve üst düzey düşünme becerilerinin gelişimini gerçekleştirebilmesi için sosyal, öğretimsel ve bilişsel buradalık olmak üzere üç önemli boyut ile bu süreci açıklamışlardır (Garrison vd., 2000). </w:t>
      </w:r>
      <w:r w:rsidRPr="00172380">
        <w:rPr>
          <w:i/>
          <w:iCs/>
          <w:color w:val="000000"/>
          <w:lang w:eastAsia="tr-TR"/>
        </w:rPr>
        <w:t>Bilişsel buradalık,</w:t>
      </w:r>
      <w:r w:rsidRPr="00172380">
        <w:rPr>
          <w:color w:val="000000"/>
          <w:lang w:eastAsia="tr-TR"/>
        </w:rPr>
        <w:t xml:space="preserve"> araştırma topluluğundaki öğrencilerin işbirlikçi araştırma yoluyla bilgiyi yapılandırma sürecidir ve bir öğrenme topluluğunun zihinsel ve düşünsel atmosferini yansıtır.  Garrison ve Anderson (2003), bilişsel buradalığın geliştirilmesinin eleştirel düşünmeye ve problem çözmeye olumlu katkılar sağlayabileceğinden bahseder. Sosyal buradalık ise öğrenme topluluğundaki katılımcıların çevrimiçi tartışma ortamına kendi şahsi düşünce ve görüşlerini aktarabilmesi ve diğer kişilerle iletişim kurabilme olarak ifade edilmektedir (Shea &amp; Bidjerano, 2009).</w:t>
      </w:r>
      <w:r w:rsidRPr="00172380">
        <w:t xml:space="preserve"> Daha çok öğretmenin süreçteki davranışlarına odaklanan ve içerik, yönteme ilişkin öğretmenin katkılarını dikkate alma, öğretmenin tartışmalardaki rolüne ilişkin algılar ve öğretmenin sorun çözmesine ilişkin olumlu değerlendirmeler yapma ise </w:t>
      </w:r>
      <w:r w:rsidRPr="00172380">
        <w:rPr>
          <w:i/>
        </w:rPr>
        <w:t>öğretimsel buradalık</w:t>
      </w:r>
      <w:r w:rsidRPr="00172380">
        <w:t xml:space="preserve"> olarak nitelendirilir. Bu boyutta öğrenme ortamının tasarımını, dersin planlanması, tartışma ortamı hazırlama ve yönetme, bilgi verme (Anderson ve diğ., 2001), geri dönüt verme ve süreci değerlendirme (Ke, 2010) gibi genelde dersin öğreticisi ile alakalı olan sorumluluklar gösterge olarak yer alır. </w:t>
      </w:r>
      <w:r w:rsidRPr="00172380">
        <w:rPr>
          <w:color w:val="000000"/>
          <w:lang w:eastAsia="tr-TR"/>
        </w:rPr>
        <w:t>Araştırma Topluluğu Modeli (ATM) çeşitli çevrimiçi ortama olan ihtiyacın artması ile ATM ve bileşenleri ile ilgili yapılan çalışmalarında giderek arttığı ve modelin farklı değişkenler üzerinde etkilerinin incelendiği gözlemlenmiştir. Bu model temelinde yapılan çalışmalar bazen uzaktan eğitim uygulamalarına rehberlik etmekte bazen bu alanda yapılan çalışmaları yönlendirme, yürütme ve raporlama noktasında araştırmacılara yol gösterici olabilmektedir. Bu bağlamda modelin ortaya atıldığından itibaren, çalışmalarda ne şekilde ne amaçla kullanıldığı ve ne gibi sonuçlar üretmeye temel teşkil ettiğine yönelik eğilimlerin belirlenmesi; bu model doğrultusunda gelişen yeni teknolojiler çerçevesinde uygulamalar yapacak eğitimcilere, öğretim tasarımcılarına ve araştırmacılara yol gösterici olabilir. Bu çalışmada, ATM’nin eğitimde hangi değişkenler çerçevesinde ele alındığı, yapılan çalışmaların farklılıkları ve benzerliklerinin ortaya çıkarılması amaçlanmıştır. Bu kapsamda, çalışmanın araştırma sorusu;</w:t>
      </w:r>
    </w:p>
    <w:p w14:paraId="3D0DC7AD" w14:textId="330C92DB" w:rsidR="00172380" w:rsidRPr="00A12EAD" w:rsidRDefault="00172380" w:rsidP="00A12EAD">
      <w:pPr>
        <w:pStyle w:val="ListeParagraf"/>
        <w:numPr>
          <w:ilvl w:val="0"/>
          <w:numId w:val="1"/>
        </w:numPr>
        <w:jc w:val="both"/>
        <w:rPr>
          <w:color w:val="000000"/>
        </w:rPr>
      </w:pPr>
      <w:r w:rsidRPr="00172380">
        <w:rPr>
          <w:color w:val="000000"/>
        </w:rPr>
        <w:t>Türkiye de ATM’nin kullanıldığı lisansüstü tezlerin yıl, incelendiği değişken, yöntem, veri toplama araçları, kullanılan boyut, incelenen çevrimiçi ortamın özellikleri nelerdir?</w:t>
      </w:r>
    </w:p>
    <w:p w14:paraId="54B2052C" w14:textId="77777777" w:rsidR="00172380" w:rsidRPr="00172380" w:rsidRDefault="00172380" w:rsidP="00172380">
      <w:pPr>
        <w:jc w:val="both"/>
        <w:rPr>
          <w:color w:val="000000"/>
        </w:rPr>
      </w:pPr>
      <w:r w:rsidRPr="00172380">
        <w:rPr>
          <w:color w:val="000000"/>
          <w:lang w:eastAsia="tr-TR"/>
        </w:rPr>
        <w:t>şeklindedir.</w:t>
      </w:r>
    </w:p>
    <w:p w14:paraId="066A69CA" w14:textId="00CC8D84" w:rsidR="00172380" w:rsidRDefault="00172380" w:rsidP="00C03AC4">
      <w:pPr>
        <w:ind w:firstLine="720"/>
        <w:jc w:val="both"/>
      </w:pPr>
    </w:p>
    <w:p w14:paraId="425DB3C1" w14:textId="1FC5D2CD" w:rsidR="00DB2274" w:rsidRDefault="00DB2274" w:rsidP="00C03AC4">
      <w:pPr>
        <w:ind w:firstLine="720"/>
        <w:jc w:val="both"/>
      </w:pPr>
    </w:p>
    <w:p w14:paraId="0334BFB1" w14:textId="1C6472B6" w:rsidR="00DB2274" w:rsidRDefault="00DB2274" w:rsidP="00C03AC4">
      <w:pPr>
        <w:ind w:firstLine="720"/>
        <w:jc w:val="both"/>
      </w:pPr>
    </w:p>
    <w:p w14:paraId="5491755A" w14:textId="77777777" w:rsidR="00DB2274" w:rsidRDefault="00DB2274" w:rsidP="00C03AC4">
      <w:pPr>
        <w:ind w:firstLine="720"/>
        <w:jc w:val="both"/>
      </w:pPr>
    </w:p>
    <w:p w14:paraId="5E96977B" w14:textId="71271AC5" w:rsidR="00854348" w:rsidRPr="0065240B" w:rsidRDefault="00172380" w:rsidP="0065240B">
      <w:pPr>
        <w:pStyle w:val="Balk2"/>
      </w:pPr>
      <w:bookmarkStart w:id="6" w:name="OLE_LINK20"/>
      <w:r>
        <w:t>Yöntem</w:t>
      </w:r>
      <w:r w:rsidR="00854348" w:rsidRPr="0065240B">
        <w:t xml:space="preserve"> </w:t>
      </w:r>
    </w:p>
    <w:bookmarkEnd w:id="6"/>
    <w:p w14:paraId="4EB6241B" w14:textId="77777777" w:rsidR="00854348" w:rsidRDefault="00854348" w:rsidP="00C03AC4"/>
    <w:p w14:paraId="77293DEB" w14:textId="77777777" w:rsidR="00172380" w:rsidRDefault="00172380" w:rsidP="000C7BE7">
      <w:pPr>
        <w:ind w:firstLine="709"/>
        <w:jc w:val="both"/>
      </w:pPr>
      <w:r w:rsidRPr="00D27A6D">
        <w:t xml:space="preserve">Bu çalışma nitel araştırma yöntemlerinden doküman analizi yöntemi kullanılarak yapılmıştır. Doküman analizi yöntemi, araştırılacak konular hakkında var olan yazılı belgelerin sistematik bir şekilde analiz edilmesidir (Büyüköztürk, 2011). </w:t>
      </w:r>
      <w:r>
        <w:t xml:space="preserve">Bu çalışmada </w:t>
      </w:r>
      <w:r w:rsidRPr="00D27A6D">
        <w:t>Türkiye’de Araştırma Topluluğu Modeli üzerine yapılan lisansüstü tezlerin eğilimlerinin belirlemesi amacıyla YÖK TEZ veri tabanı</w:t>
      </w:r>
      <w:r>
        <w:t xml:space="preserve"> kullanılarak doküman analizi yapılmıştır.</w:t>
      </w:r>
    </w:p>
    <w:p w14:paraId="2473524E" w14:textId="77777777" w:rsidR="00172380" w:rsidRDefault="00172380" w:rsidP="00854348">
      <w:pPr>
        <w:ind w:firstLine="720"/>
        <w:jc w:val="both"/>
      </w:pPr>
    </w:p>
    <w:p w14:paraId="009D9059" w14:textId="67C37430" w:rsidR="00906F31" w:rsidRPr="0065240B" w:rsidRDefault="000C7BE7" w:rsidP="0065240B">
      <w:pPr>
        <w:pStyle w:val="Balk3"/>
      </w:pPr>
      <w:bookmarkStart w:id="7" w:name="OLE_LINK18"/>
      <w:r>
        <w:t xml:space="preserve">Verilerin Toplanması </w:t>
      </w:r>
    </w:p>
    <w:bookmarkEnd w:id="7"/>
    <w:p w14:paraId="37B750AB" w14:textId="77777777" w:rsidR="00906F31" w:rsidRDefault="00906F31" w:rsidP="00906F31"/>
    <w:p w14:paraId="2A7449E1" w14:textId="77777777" w:rsidR="000C7BE7" w:rsidRDefault="000C7BE7" w:rsidP="000C7BE7">
      <w:pPr>
        <w:ind w:firstLine="709"/>
        <w:jc w:val="both"/>
      </w:pPr>
      <w:r>
        <w:t xml:space="preserve">İncelenecek çalışmalar, </w:t>
      </w:r>
      <w:r w:rsidRPr="00D27A6D">
        <w:t>YÖK TEZ veri tabanı</w:t>
      </w:r>
      <w:r>
        <w:t xml:space="preserve"> aracılığıyla</w:t>
      </w:r>
      <w:r w:rsidRPr="00D27A6D">
        <w:t xml:space="preserve"> “Araştırma Topluluğu Modeli”, “Sorgulama Topluluğu Modeli”, “Buradalık”, “Community Of İnquiry” </w:t>
      </w:r>
      <w:r>
        <w:t xml:space="preserve">anahtar </w:t>
      </w:r>
      <w:r w:rsidRPr="00D27A6D">
        <w:t xml:space="preserve">kelimeleri </w:t>
      </w:r>
      <w:r>
        <w:t xml:space="preserve">ile belirlenmiştir. </w:t>
      </w:r>
      <w:r w:rsidRPr="00D27A6D">
        <w:t xml:space="preserve">Tarama sonucunda birbiriyle aynı olan çalışmalar </w:t>
      </w:r>
      <w:r>
        <w:t xml:space="preserve">araştırmacı tarafından elenmiş ve toplamda bu anahtar kelimeleri içeren 56 adet lisansüstü çalışmaya ulaşılmıştır. </w:t>
      </w:r>
      <w:r w:rsidRPr="00D27A6D">
        <w:t xml:space="preserve">Çalışmaların özet kısımları okunduktan sonra eğitim bilimleri ile ilgili olmayan ve araştırma topluluğu modelini yansıtmayan çalışmalar </w:t>
      </w:r>
      <w:r>
        <w:t xml:space="preserve">araştırma dışı bırakılmış ve nihai olarak </w:t>
      </w:r>
      <w:r w:rsidRPr="00D27A6D">
        <w:t xml:space="preserve">42 tez </w:t>
      </w:r>
      <w:r>
        <w:t>araştırmaya dahil edilmiştir.</w:t>
      </w:r>
      <w:r w:rsidRPr="00D27A6D">
        <w:t xml:space="preserve"> </w:t>
      </w:r>
    </w:p>
    <w:p w14:paraId="17D39127" w14:textId="77777777" w:rsidR="000C7BE7" w:rsidRDefault="000C7BE7" w:rsidP="00906F31">
      <w:pPr>
        <w:ind w:firstLine="720"/>
        <w:jc w:val="both"/>
      </w:pPr>
    </w:p>
    <w:p w14:paraId="0C7A2F5C" w14:textId="794473C9" w:rsidR="000C7BE7" w:rsidRPr="0065240B" w:rsidRDefault="000C7BE7" w:rsidP="000C7BE7">
      <w:pPr>
        <w:pStyle w:val="Balk3"/>
      </w:pPr>
      <w:bookmarkStart w:id="8" w:name="OLE_LINK21"/>
      <w:r>
        <w:t>Verilerin Analizi</w:t>
      </w:r>
    </w:p>
    <w:bookmarkEnd w:id="8"/>
    <w:p w14:paraId="6F257EB1" w14:textId="77777777" w:rsidR="000C7BE7" w:rsidRDefault="000C7BE7" w:rsidP="00906F31">
      <w:pPr>
        <w:ind w:firstLine="720"/>
        <w:jc w:val="both"/>
      </w:pPr>
    </w:p>
    <w:p w14:paraId="50CC8A4E" w14:textId="25D2A408" w:rsidR="000C7BE7" w:rsidRDefault="000C7BE7" w:rsidP="000C7BE7">
      <w:pPr>
        <w:ind w:firstLine="709"/>
        <w:jc w:val="both"/>
      </w:pPr>
      <w:r>
        <w:t xml:space="preserve">Araştırmacılar tarafından 42 tez çalışması </w:t>
      </w:r>
      <w:bookmarkStart w:id="9" w:name="OLE_LINK26"/>
      <w:r>
        <w:t xml:space="preserve">betimsel analiz yöntemi kullanılarak analiz edilmiştir. </w:t>
      </w:r>
      <w:bookmarkEnd w:id="9"/>
      <w:r>
        <w:t xml:space="preserve">Çalışmalar analiz edilirken amaç, yıl, yöntem, değişken(bağımlı-bağımsız), örneklem, kullanılan çevrimiçi ortam, veri toplama araçları, çalışılan ATM bileşenleri temel alınarak analiz edilmiş ve bulgular bu bileşenler üzerinden sunulmuştur. </w:t>
      </w:r>
    </w:p>
    <w:p w14:paraId="1CEB919D" w14:textId="143DEB2F" w:rsidR="000C7BE7" w:rsidRDefault="000C7BE7" w:rsidP="000C7BE7">
      <w:pPr>
        <w:ind w:firstLine="709"/>
        <w:jc w:val="both"/>
      </w:pPr>
    </w:p>
    <w:p w14:paraId="53924E5F" w14:textId="3C47599C" w:rsidR="000C7BE7" w:rsidRDefault="000C7BE7" w:rsidP="000C7BE7">
      <w:pPr>
        <w:pStyle w:val="Balk2"/>
      </w:pPr>
      <w:bookmarkStart w:id="10" w:name="OLE_LINK24"/>
      <w:r>
        <w:t>Bulgular</w:t>
      </w:r>
    </w:p>
    <w:bookmarkEnd w:id="10"/>
    <w:p w14:paraId="18457ECE" w14:textId="352683F1" w:rsidR="000C7BE7" w:rsidRDefault="000C7BE7" w:rsidP="000C7BE7"/>
    <w:p w14:paraId="281BBD26" w14:textId="77777777" w:rsidR="000C7BE7" w:rsidRPr="00D27A6D" w:rsidRDefault="000C7BE7" w:rsidP="00A12EAD">
      <w:pPr>
        <w:ind w:firstLine="720"/>
        <w:jc w:val="both"/>
        <w:rPr>
          <w:b/>
          <w:bCs/>
        </w:rPr>
      </w:pPr>
      <w:r>
        <w:rPr>
          <w:rFonts w:cstheme="minorHAnsi"/>
          <w:color w:val="000000"/>
        </w:rPr>
        <w:t>Bu bölümde Türkiye de ATM’nin kullanıldığı lisansüstü tezlerin yıl, incelendiği değişken, yöntem, veri toplama araçları, kullanılan boyut, incelenen çevrimiçi ortamın özellikleri grafik ve tablolar halinde sunulmuştur.</w:t>
      </w:r>
    </w:p>
    <w:p w14:paraId="21A0925D" w14:textId="37C0EA87" w:rsidR="000C7BE7" w:rsidRDefault="000C7BE7" w:rsidP="000C7BE7"/>
    <w:p w14:paraId="26ACE190" w14:textId="44D3E95B" w:rsidR="000C7BE7" w:rsidRDefault="000C7BE7" w:rsidP="000C7BE7">
      <w:pPr>
        <w:pStyle w:val="Balk3"/>
      </w:pPr>
      <w:bookmarkStart w:id="11" w:name="OLE_LINK22"/>
      <w:r>
        <w:t>Çalışmaların Yapıldığı Yıllara Göre Dağılımı</w:t>
      </w:r>
    </w:p>
    <w:bookmarkEnd w:id="11"/>
    <w:p w14:paraId="10AC22E0" w14:textId="575EC2A5" w:rsidR="000C7BE7" w:rsidRDefault="000C7BE7" w:rsidP="000C7BE7"/>
    <w:p w14:paraId="5B48C08A" w14:textId="0EB490AB" w:rsidR="000C7BE7" w:rsidRDefault="000C7BE7" w:rsidP="00A12EAD">
      <w:pPr>
        <w:ind w:firstLine="720"/>
        <w:jc w:val="both"/>
      </w:pPr>
      <w:r w:rsidRPr="00D27A6D">
        <w:t xml:space="preserve">Araştırma kapsamında tezlerin yıllara göre dağılımı incelendiğinde </w:t>
      </w:r>
      <w:bookmarkStart w:id="12" w:name="OLE_LINK25"/>
      <w:r w:rsidRPr="00D27A6D">
        <w:t xml:space="preserve">2009-2022 yılları arasında </w:t>
      </w:r>
      <w:bookmarkEnd w:id="12"/>
      <w:r>
        <w:t>ATM’ yi</w:t>
      </w:r>
      <w:r w:rsidRPr="00D27A6D">
        <w:t xml:space="preserve"> konu alan çalışmaların olduğu görülmüştür. Bu yıllar arasında en fazla </w:t>
      </w:r>
      <w:r>
        <w:t>çalışmanın yapıldığı</w:t>
      </w:r>
      <w:r w:rsidRPr="00D27A6D">
        <w:t xml:space="preserve"> yıl 2021 yılı olmuştur. 2020-2021 yıllarında pandemi sürecinin de yaşanmasıyla çevrimiçi ortamlara ihtiyacın artması </w:t>
      </w:r>
      <w:r>
        <w:t>ATM</w:t>
      </w:r>
      <w:r w:rsidRPr="00D27A6D">
        <w:t xml:space="preserve"> konu olarak </w:t>
      </w:r>
      <w:r>
        <w:t>çalışıldığı</w:t>
      </w:r>
      <w:r w:rsidRPr="00D27A6D">
        <w:t xml:space="preserve"> ve farklı değişkenleri ele alarak çalışmaların </w:t>
      </w:r>
      <w:r>
        <w:t>yapıldığı</w:t>
      </w:r>
      <w:r w:rsidRPr="00D27A6D">
        <w:t xml:space="preserve"> görülmüştür.</w:t>
      </w:r>
    </w:p>
    <w:p w14:paraId="401EA03A" w14:textId="77777777" w:rsidR="000C7BE7" w:rsidRPr="00D27A6D" w:rsidRDefault="000C7BE7" w:rsidP="000C7BE7">
      <w:pPr>
        <w:spacing w:line="276" w:lineRule="auto"/>
        <w:jc w:val="both"/>
      </w:pPr>
    </w:p>
    <w:p w14:paraId="110F4B7F" w14:textId="77777777" w:rsidR="000C7BE7" w:rsidRDefault="000C7BE7" w:rsidP="000C7BE7">
      <w:pPr>
        <w:jc w:val="both"/>
      </w:pPr>
      <w:r w:rsidRPr="002B1150">
        <w:rPr>
          <w:noProof/>
        </w:rPr>
        <w:lastRenderedPageBreak/>
        <w:drawing>
          <wp:anchor distT="0" distB="0" distL="114300" distR="114300" simplePos="0" relativeHeight="251659264" behindDoc="1" locked="0" layoutInCell="1" allowOverlap="1" wp14:anchorId="33005085" wp14:editId="2E1DDB9B">
            <wp:simplePos x="0" y="0"/>
            <wp:positionH relativeFrom="margin">
              <wp:posOffset>719455</wp:posOffset>
            </wp:positionH>
            <wp:positionV relativeFrom="paragraph">
              <wp:posOffset>17780</wp:posOffset>
            </wp:positionV>
            <wp:extent cx="4343400" cy="1809750"/>
            <wp:effectExtent l="0" t="0" r="0" b="0"/>
            <wp:wrapThrough wrapText="bothSides">
              <wp:wrapPolygon edited="0">
                <wp:start x="0" y="0"/>
                <wp:lineTo x="0" y="21373"/>
                <wp:lineTo x="21505" y="21373"/>
                <wp:lineTo x="21505" y="0"/>
                <wp:lineTo x="0" y="0"/>
              </wp:wrapPolygon>
            </wp:wrapThrough>
            <wp:docPr id="1" name="Grafik 1">
              <a:extLst xmlns:a="http://schemas.openxmlformats.org/drawingml/2006/main">
                <a:ext uri="{FF2B5EF4-FFF2-40B4-BE49-F238E27FC236}">
                  <a16:creationId xmlns:a16="http://schemas.microsoft.com/office/drawing/2014/main" id="{9B6D4331-3784-883F-ED21-003BFCDAA2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2D0070E" w14:textId="77777777" w:rsidR="000C7BE7" w:rsidRDefault="000C7BE7" w:rsidP="000C7BE7">
      <w:pPr>
        <w:jc w:val="both"/>
      </w:pPr>
    </w:p>
    <w:p w14:paraId="51AB553D" w14:textId="77777777" w:rsidR="000C7BE7" w:rsidRDefault="000C7BE7" w:rsidP="000C7BE7">
      <w:pPr>
        <w:jc w:val="both"/>
      </w:pPr>
    </w:p>
    <w:p w14:paraId="34F1E4FF" w14:textId="77777777" w:rsidR="000C7BE7" w:rsidRPr="00CF6B4C" w:rsidRDefault="000C7BE7" w:rsidP="000C7BE7">
      <w:pPr>
        <w:jc w:val="both"/>
      </w:pPr>
    </w:p>
    <w:p w14:paraId="3EEACA53" w14:textId="77777777" w:rsidR="000C7BE7" w:rsidRPr="00CF6B4C" w:rsidRDefault="000C7BE7" w:rsidP="000C7BE7">
      <w:pPr>
        <w:jc w:val="both"/>
      </w:pPr>
    </w:p>
    <w:p w14:paraId="5060BB20" w14:textId="77777777" w:rsidR="000C7BE7" w:rsidRPr="00CF6B4C" w:rsidRDefault="000C7BE7" w:rsidP="000C7BE7">
      <w:pPr>
        <w:jc w:val="both"/>
      </w:pPr>
    </w:p>
    <w:p w14:paraId="29F7A6D3" w14:textId="77777777" w:rsidR="000C7BE7" w:rsidRPr="00CF6B4C" w:rsidRDefault="000C7BE7" w:rsidP="000C7BE7">
      <w:pPr>
        <w:jc w:val="both"/>
      </w:pPr>
    </w:p>
    <w:p w14:paraId="695E21EF" w14:textId="77777777" w:rsidR="000C7BE7" w:rsidRPr="000C7BE7" w:rsidRDefault="000C7BE7" w:rsidP="000C7BE7"/>
    <w:p w14:paraId="7EF20B6A" w14:textId="77777777" w:rsidR="000C7BE7" w:rsidRPr="000C7BE7" w:rsidRDefault="000C7BE7" w:rsidP="000C7BE7"/>
    <w:p w14:paraId="7C49E07A" w14:textId="77777777" w:rsidR="000C7BE7" w:rsidRDefault="000C7BE7" w:rsidP="000C7BE7">
      <w:pPr>
        <w:jc w:val="center"/>
        <w:rPr>
          <w:i/>
          <w:iCs/>
          <w:sz w:val="20"/>
          <w:szCs w:val="20"/>
        </w:rPr>
      </w:pPr>
    </w:p>
    <w:p w14:paraId="5B4CA5E4" w14:textId="77777777" w:rsidR="000C7BE7" w:rsidRDefault="000C7BE7" w:rsidP="000C7BE7">
      <w:pPr>
        <w:jc w:val="center"/>
        <w:rPr>
          <w:i/>
          <w:iCs/>
          <w:sz w:val="20"/>
          <w:szCs w:val="20"/>
        </w:rPr>
      </w:pPr>
    </w:p>
    <w:p w14:paraId="267437ED" w14:textId="4BEFB529" w:rsidR="000C7BE7" w:rsidRPr="001B6CC3" w:rsidRDefault="000C7BE7" w:rsidP="001B6CC3">
      <w:pPr>
        <w:rPr>
          <w:i/>
          <w:iCs/>
        </w:rPr>
      </w:pPr>
      <w:r w:rsidRPr="000C7BE7">
        <w:rPr>
          <w:i/>
          <w:iCs/>
        </w:rPr>
        <w:t>Şekil 1: Çalışmaların yıllara göre dağılımını gösteren grafik</w:t>
      </w:r>
    </w:p>
    <w:p w14:paraId="3C940BA5" w14:textId="77777777" w:rsidR="001638D5" w:rsidRDefault="001638D5" w:rsidP="000C7BE7">
      <w:pPr>
        <w:spacing w:line="276" w:lineRule="auto"/>
        <w:jc w:val="both"/>
        <w:rPr>
          <w:b/>
          <w:bCs/>
          <w:i/>
          <w:iCs/>
        </w:rPr>
      </w:pPr>
    </w:p>
    <w:p w14:paraId="5D2C73DE" w14:textId="168F83F3" w:rsidR="000C7BE7" w:rsidRDefault="000C7BE7" w:rsidP="000C7BE7">
      <w:pPr>
        <w:spacing w:line="276" w:lineRule="auto"/>
        <w:jc w:val="both"/>
        <w:rPr>
          <w:b/>
          <w:bCs/>
          <w:i/>
          <w:iCs/>
        </w:rPr>
      </w:pPr>
      <w:r w:rsidRPr="000C7BE7">
        <w:rPr>
          <w:b/>
          <w:bCs/>
          <w:i/>
          <w:iCs/>
        </w:rPr>
        <w:t>Çalışmalarda ATM Kapsamında Ele Alınan Değişkenler</w:t>
      </w:r>
    </w:p>
    <w:p w14:paraId="1AC5ADF0" w14:textId="77777777" w:rsidR="001638D5" w:rsidRDefault="001638D5" w:rsidP="000C7BE7">
      <w:pPr>
        <w:spacing w:line="276" w:lineRule="auto"/>
        <w:jc w:val="both"/>
        <w:rPr>
          <w:b/>
          <w:bCs/>
          <w:i/>
          <w:iCs/>
        </w:rPr>
      </w:pPr>
    </w:p>
    <w:p w14:paraId="47B41036" w14:textId="6FF0CB07" w:rsidR="000C7BE7" w:rsidRDefault="000C7BE7" w:rsidP="00A12EAD">
      <w:pPr>
        <w:ind w:firstLine="709"/>
        <w:jc w:val="both"/>
      </w:pPr>
      <w:r>
        <w:t>İncelenen çalışmalar kapsamında değişkenlere bakıldığında çalışmalarda bağımlı değişken olarak, buradalık algısı, akademik başarı, memnuniyet, öğrenme çıktıları, eleştirel düşünme becerileri incelenirken bağımsız değişken olarak ise çevrimiçi öğrenme ortamları, yaş ve cinsiyet değişkenleri ele alınarak çalışmalar yürütülmüştür.</w:t>
      </w:r>
    </w:p>
    <w:p w14:paraId="03A9C442" w14:textId="77777777" w:rsidR="001638D5" w:rsidRDefault="001638D5" w:rsidP="000C7BE7">
      <w:pPr>
        <w:spacing w:line="276" w:lineRule="auto"/>
        <w:jc w:val="both"/>
      </w:pPr>
    </w:p>
    <w:p w14:paraId="61DEC041" w14:textId="77777777" w:rsidR="000C7BE7" w:rsidRDefault="000C7BE7" w:rsidP="000C7BE7">
      <w:pPr>
        <w:keepNext/>
        <w:spacing w:line="276" w:lineRule="auto"/>
        <w:ind w:left="709" w:firstLine="425"/>
        <w:jc w:val="both"/>
      </w:pPr>
      <w:r>
        <w:rPr>
          <w:noProof/>
        </w:rPr>
        <w:drawing>
          <wp:inline distT="0" distB="0" distL="0" distR="0" wp14:anchorId="3D1C097A" wp14:editId="77A46EE0">
            <wp:extent cx="4543425" cy="2505075"/>
            <wp:effectExtent l="0" t="0" r="9525" b="9525"/>
            <wp:docPr id="3" name="Grafik 3">
              <a:extLst xmlns:a="http://schemas.openxmlformats.org/drawingml/2006/main">
                <a:ext uri="{FF2B5EF4-FFF2-40B4-BE49-F238E27FC236}">
                  <a16:creationId xmlns:a16="http://schemas.microsoft.com/office/drawing/2014/main" id="{7FC1EDA1-C351-3F47-FDE6-7563C027CF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82793F" w14:textId="77777777" w:rsidR="000C7BE7" w:rsidRDefault="000C7BE7" w:rsidP="000C7BE7">
      <w:pPr>
        <w:jc w:val="center"/>
      </w:pPr>
      <w:r>
        <w:t>Şekil 2</w:t>
      </w:r>
      <w:r w:rsidRPr="009416CA">
        <w:rPr>
          <w:i/>
          <w:iCs/>
          <w:sz w:val="20"/>
          <w:szCs w:val="20"/>
        </w:rPr>
        <w:t xml:space="preserve"> Çalışmalarda ATM Kapsamında Ele Alınan Değişkenler</w:t>
      </w:r>
    </w:p>
    <w:p w14:paraId="5D72347C" w14:textId="77777777" w:rsidR="000C7BE7" w:rsidRPr="00D27A6D" w:rsidRDefault="000C7BE7" w:rsidP="000C7BE7">
      <w:pPr>
        <w:spacing w:line="276" w:lineRule="auto"/>
        <w:jc w:val="both"/>
      </w:pPr>
    </w:p>
    <w:p w14:paraId="31C9870F" w14:textId="22B81786" w:rsidR="000C7BE7" w:rsidRDefault="000C7BE7" w:rsidP="000C7BE7">
      <w:pPr>
        <w:pStyle w:val="Balk3"/>
      </w:pPr>
      <w:r>
        <w:t>Çalışmaların Yapıldığı Yönteme Göre Dağılımı</w:t>
      </w:r>
    </w:p>
    <w:p w14:paraId="015467A5" w14:textId="2658A548" w:rsidR="000C7BE7" w:rsidRPr="009416CA" w:rsidRDefault="000C7BE7" w:rsidP="000C7BE7">
      <w:pPr>
        <w:spacing w:line="276" w:lineRule="auto"/>
        <w:jc w:val="both"/>
        <w:rPr>
          <w:b/>
          <w:bCs/>
          <w:i/>
          <w:iCs/>
        </w:rPr>
      </w:pPr>
    </w:p>
    <w:p w14:paraId="1E18DC51" w14:textId="6DB617D8" w:rsidR="000C7BE7" w:rsidRDefault="000C7BE7" w:rsidP="00A12EAD">
      <w:pPr>
        <w:ind w:firstLine="720"/>
        <w:jc w:val="both"/>
      </w:pPr>
      <w:r>
        <w:t xml:space="preserve">ATM’nin ele alındığı </w:t>
      </w:r>
      <w:r w:rsidRPr="00D27A6D">
        <w:t>çalışmalarda</w:t>
      </w:r>
      <w:r>
        <w:t xml:space="preserve"> çoğunlukla karma yöntemin kullanıldığı görülmüştür. Analiz sonuçlarında karma </w:t>
      </w:r>
      <w:r w:rsidRPr="00D27A6D">
        <w:t xml:space="preserve">yöntem kullanılarak 22, nicel yöntem kullanılarak 11 ve nitel yöntem kullanılarak ise 9 tane </w:t>
      </w:r>
      <w:r>
        <w:t xml:space="preserve">çalışma olduğu değerlendirilmiştir. </w:t>
      </w:r>
      <w:r w:rsidRPr="00D27A6D">
        <w:t xml:space="preserve"> </w:t>
      </w:r>
    </w:p>
    <w:p w14:paraId="7DBDA85C" w14:textId="77777777" w:rsidR="001638D5" w:rsidRPr="00D27A6D" w:rsidRDefault="001638D5" w:rsidP="000C7BE7">
      <w:pPr>
        <w:spacing w:line="276" w:lineRule="auto"/>
        <w:jc w:val="both"/>
      </w:pPr>
    </w:p>
    <w:p w14:paraId="3AC8CBD2" w14:textId="77777777" w:rsidR="000C7BE7" w:rsidRPr="00C26D4D" w:rsidRDefault="000C7BE7" w:rsidP="000C7BE7">
      <w:pPr>
        <w:jc w:val="center"/>
        <w:rPr>
          <w:sz w:val="20"/>
          <w:szCs w:val="20"/>
        </w:rPr>
      </w:pPr>
      <w:r>
        <w:rPr>
          <w:noProof/>
        </w:rPr>
        <w:lastRenderedPageBreak/>
        <w:drawing>
          <wp:inline distT="0" distB="0" distL="0" distR="0" wp14:anchorId="7A3E743E" wp14:editId="48FE6BE1">
            <wp:extent cx="3400425" cy="2019300"/>
            <wp:effectExtent l="0" t="0" r="9525" b="0"/>
            <wp:docPr id="6" name="Grafik 6">
              <a:extLst xmlns:a="http://schemas.openxmlformats.org/drawingml/2006/main">
                <a:ext uri="{FF2B5EF4-FFF2-40B4-BE49-F238E27FC236}">
                  <a16:creationId xmlns:a16="http://schemas.microsoft.com/office/drawing/2014/main" id="{2D4C6795-22F0-D3CF-20B6-B38A5EB620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4005B4" w14:textId="77777777" w:rsidR="000C7BE7" w:rsidRPr="000C7BE7" w:rsidRDefault="000C7BE7" w:rsidP="000C7BE7">
      <w:pPr>
        <w:rPr>
          <w:i/>
          <w:iCs/>
        </w:rPr>
      </w:pPr>
      <w:r w:rsidRPr="000C7BE7">
        <w:rPr>
          <w:i/>
          <w:iCs/>
        </w:rPr>
        <w:t>Şekil 3: Çalışmaların Yapıldığı Yönteme Göre Dağılımı</w:t>
      </w:r>
    </w:p>
    <w:p w14:paraId="28616502" w14:textId="129A390F" w:rsidR="000C7BE7" w:rsidRDefault="000C7BE7" w:rsidP="000C7BE7">
      <w:pPr>
        <w:spacing w:line="276" w:lineRule="auto"/>
        <w:jc w:val="both"/>
        <w:rPr>
          <w:b/>
          <w:bCs/>
          <w:i/>
          <w:iCs/>
        </w:rPr>
      </w:pPr>
    </w:p>
    <w:p w14:paraId="418BB0C4" w14:textId="27093183" w:rsidR="00FE2805" w:rsidRDefault="00FE2805" w:rsidP="000C7BE7">
      <w:pPr>
        <w:spacing w:line="276" w:lineRule="auto"/>
        <w:jc w:val="both"/>
        <w:rPr>
          <w:b/>
          <w:bCs/>
          <w:i/>
          <w:iCs/>
        </w:rPr>
      </w:pPr>
    </w:p>
    <w:p w14:paraId="26BD2E0E" w14:textId="77777777" w:rsidR="00FE2805" w:rsidRDefault="00FE2805" w:rsidP="000C7BE7">
      <w:pPr>
        <w:spacing w:line="276" w:lineRule="auto"/>
        <w:jc w:val="both"/>
        <w:rPr>
          <w:b/>
          <w:bCs/>
          <w:i/>
          <w:iCs/>
        </w:rPr>
      </w:pPr>
    </w:p>
    <w:p w14:paraId="0E10E876" w14:textId="563ED7A0" w:rsidR="000C7BE7" w:rsidRDefault="000C7BE7" w:rsidP="000C7BE7">
      <w:pPr>
        <w:pStyle w:val="Balk3"/>
      </w:pPr>
      <w:r>
        <w:t>Çalışmalarda Kullanılan Veri Toplama Araçları</w:t>
      </w:r>
    </w:p>
    <w:p w14:paraId="54C57ED4" w14:textId="77777777" w:rsidR="000C7BE7" w:rsidRPr="00095F04" w:rsidRDefault="000C7BE7" w:rsidP="000C7BE7">
      <w:pPr>
        <w:spacing w:line="276" w:lineRule="auto"/>
        <w:jc w:val="both"/>
        <w:rPr>
          <w:b/>
          <w:bCs/>
          <w:i/>
          <w:iCs/>
        </w:rPr>
      </w:pPr>
    </w:p>
    <w:p w14:paraId="7475B864" w14:textId="24743C97" w:rsidR="000C7BE7" w:rsidRDefault="000C7BE7" w:rsidP="00A12EAD">
      <w:pPr>
        <w:ind w:firstLine="720"/>
        <w:jc w:val="both"/>
      </w:pPr>
      <w:r w:rsidRPr="00D27A6D">
        <w:t xml:space="preserve">İncelenen tezlerin veri toplama araçları incelendiğinde; ölçek, görüşme formu, yarı yapılandırılmış görüşme ve video ders analizleri olduğu görülmüştür. </w:t>
      </w:r>
      <w:r>
        <w:t>42 çalışma içerisinde kullanılan veri toplama araçlarından 34 tanesinin</w:t>
      </w:r>
      <w:r w:rsidRPr="00D27A6D">
        <w:t xml:space="preserve"> ölçek</w:t>
      </w:r>
      <w:r>
        <w:t xml:space="preserve"> kullandığı değerlendirilmiştir. Diğer veri toplama araçlarında ise </w:t>
      </w:r>
      <w:r w:rsidRPr="00D27A6D">
        <w:t>16</w:t>
      </w:r>
      <w:r>
        <w:t xml:space="preserve"> çalışma ile</w:t>
      </w:r>
      <w:r w:rsidRPr="00D27A6D">
        <w:t xml:space="preserve"> görüşme formu, 10</w:t>
      </w:r>
      <w:r>
        <w:t xml:space="preserve"> çalışmanın</w:t>
      </w:r>
      <w:r w:rsidRPr="00D27A6D">
        <w:t xml:space="preserve"> mülakat ve 4 </w:t>
      </w:r>
      <w:r>
        <w:t xml:space="preserve">çalışmanın ise </w:t>
      </w:r>
      <w:r w:rsidRPr="00D27A6D">
        <w:t xml:space="preserve">video ders analizi </w:t>
      </w:r>
      <w:r>
        <w:t>olduğu belirlenmiştir.</w:t>
      </w:r>
    </w:p>
    <w:p w14:paraId="1A454007" w14:textId="77777777" w:rsidR="001638D5" w:rsidRPr="00D27A6D" w:rsidRDefault="001638D5" w:rsidP="000C7BE7">
      <w:pPr>
        <w:spacing w:line="276" w:lineRule="auto"/>
        <w:jc w:val="both"/>
      </w:pPr>
    </w:p>
    <w:p w14:paraId="632FC744" w14:textId="77777777" w:rsidR="000C7BE7" w:rsidRPr="00D83625" w:rsidRDefault="000C7BE7" w:rsidP="000C7BE7">
      <w:pPr>
        <w:jc w:val="center"/>
        <w:rPr>
          <w:sz w:val="20"/>
          <w:szCs w:val="20"/>
        </w:rPr>
      </w:pPr>
      <w:r>
        <w:rPr>
          <w:noProof/>
        </w:rPr>
        <w:drawing>
          <wp:inline distT="0" distB="0" distL="0" distR="0" wp14:anchorId="637D6C3B" wp14:editId="5DADF6F0">
            <wp:extent cx="3419061" cy="2017644"/>
            <wp:effectExtent l="0" t="0" r="10160" b="1905"/>
            <wp:docPr id="5" name="Grafik 5">
              <a:extLst xmlns:a="http://schemas.openxmlformats.org/drawingml/2006/main">
                <a:ext uri="{FF2B5EF4-FFF2-40B4-BE49-F238E27FC236}">
                  <a16:creationId xmlns:a16="http://schemas.microsoft.com/office/drawing/2014/main" id="{E5DFA920-959B-EE0F-BFE7-38C059F1C6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FC6E1F" w14:textId="77777777" w:rsidR="000C7BE7" w:rsidRPr="000C7BE7" w:rsidRDefault="000C7BE7" w:rsidP="000C7BE7">
      <w:pPr>
        <w:rPr>
          <w:i/>
          <w:iCs/>
        </w:rPr>
      </w:pPr>
      <w:r w:rsidRPr="000C7BE7">
        <w:rPr>
          <w:i/>
          <w:iCs/>
        </w:rPr>
        <w:t>Şekil 4: İncelenen Tezlerin Kullanılan Veri Toplama Araçlarına Göre Dağılımı</w:t>
      </w:r>
    </w:p>
    <w:p w14:paraId="01195CC1" w14:textId="77777777" w:rsidR="000C7BE7" w:rsidRDefault="000C7BE7" w:rsidP="000C7BE7">
      <w:pPr>
        <w:spacing w:line="276" w:lineRule="auto"/>
        <w:jc w:val="both"/>
      </w:pPr>
    </w:p>
    <w:p w14:paraId="6C40D2FF" w14:textId="0F84A6AE" w:rsidR="000C7BE7" w:rsidRDefault="000C7BE7" w:rsidP="000C7BE7">
      <w:pPr>
        <w:pStyle w:val="Balk3"/>
      </w:pPr>
      <w:r>
        <w:t>Çalışılan Araştırma Topluluğu Modelinin Boyutları</w:t>
      </w:r>
    </w:p>
    <w:p w14:paraId="6EFB27CA" w14:textId="77777777" w:rsidR="000C7BE7" w:rsidRPr="000C7BE7" w:rsidRDefault="000C7BE7" w:rsidP="000C7BE7"/>
    <w:p w14:paraId="7C00C036" w14:textId="34A9BAFC" w:rsidR="000C7BE7" w:rsidRDefault="000C7BE7" w:rsidP="00A12EAD">
      <w:pPr>
        <w:ind w:firstLine="720"/>
        <w:jc w:val="both"/>
      </w:pPr>
      <w:r w:rsidRPr="00D27A6D">
        <w:t xml:space="preserve">Bu çalışma kapsamında incelenen tezlerde </w:t>
      </w:r>
      <w:r>
        <w:t>ATM</w:t>
      </w:r>
      <w:r w:rsidRPr="00D27A6D">
        <w:t xml:space="preserve"> boyutları incelendiğinde </w:t>
      </w:r>
      <w:r>
        <w:t>m</w:t>
      </w:r>
      <w:r w:rsidRPr="00D27A6D">
        <w:t xml:space="preserve">odelin tüm boyutlarının </w:t>
      </w:r>
      <w:r>
        <w:t xml:space="preserve">bir arada </w:t>
      </w:r>
      <w:r w:rsidRPr="00D27A6D">
        <w:t xml:space="preserve">ele alındığı </w:t>
      </w:r>
      <w:r>
        <w:t>çalışmaların</w:t>
      </w:r>
      <w:r w:rsidRPr="00D27A6D">
        <w:t xml:space="preserve"> ağırlıklı </w:t>
      </w:r>
      <w:r>
        <w:t>olduğu görülmüştür</w:t>
      </w:r>
      <w:r w:rsidRPr="00D27A6D">
        <w:t xml:space="preserve">. </w:t>
      </w:r>
    </w:p>
    <w:p w14:paraId="43DACEC1" w14:textId="2422CEAF" w:rsidR="000C7BE7" w:rsidRDefault="000C7BE7" w:rsidP="00BA021F">
      <w:pPr>
        <w:jc w:val="both"/>
      </w:pPr>
      <w:r w:rsidRPr="00D27A6D">
        <w:t xml:space="preserve">Ancak bazı boyutlara özel olarak odaklanan </w:t>
      </w:r>
      <w:r>
        <w:t>çalışmala</w:t>
      </w:r>
      <w:r w:rsidRPr="00D27A6D">
        <w:t>r</w:t>
      </w:r>
      <w:r>
        <w:t xml:space="preserve">a da rastlanılmaktadır ATM’nin </w:t>
      </w:r>
      <w:r w:rsidRPr="00D27A6D">
        <w:t>tüm boyutlarını ele alan toplamda 30 çalışma mevcuttur. Özel olarak odaklanan boyutlara bakıldığında sosyal buradalık algısı</w:t>
      </w:r>
      <w:r>
        <w:t xml:space="preserve"> üzerine odaklana çalışmaların (8)</w:t>
      </w:r>
      <w:r w:rsidRPr="00D27A6D">
        <w:t xml:space="preserve"> bilişsel</w:t>
      </w:r>
      <w:r>
        <w:t xml:space="preserve"> (1)</w:t>
      </w:r>
      <w:r w:rsidRPr="00D27A6D">
        <w:t xml:space="preserve"> ve öğretimsel</w:t>
      </w:r>
      <w:r>
        <w:t xml:space="preserve"> (1)</w:t>
      </w:r>
      <w:r w:rsidRPr="00D27A6D">
        <w:t xml:space="preserve"> buradalık algını çalışan tezlere oranla daha fazla olduğu görülmüştür. Aynı zamanda sosyal ve bilişsel buradalı</w:t>
      </w:r>
      <w:r>
        <w:t>k algısının</w:t>
      </w:r>
      <w:r w:rsidRPr="00D27A6D">
        <w:t xml:space="preserve"> ortak olarak çalışıldığı bir çalışmanın da</w:t>
      </w:r>
      <w:r>
        <w:t>(2)</w:t>
      </w:r>
      <w:r w:rsidRPr="00D27A6D">
        <w:t xml:space="preserve"> olduğu görülmüştür.</w:t>
      </w:r>
    </w:p>
    <w:p w14:paraId="665FC6A5" w14:textId="77777777" w:rsidR="001638D5" w:rsidRPr="00D27A6D" w:rsidRDefault="001638D5" w:rsidP="000C7BE7">
      <w:pPr>
        <w:spacing w:line="276" w:lineRule="auto"/>
        <w:jc w:val="both"/>
      </w:pPr>
    </w:p>
    <w:p w14:paraId="3C3A94C2" w14:textId="77777777" w:rsidR="000C7BE7" w:rsidRPr="00CF6B4C" w:rsidRDefault="000C7BE7" w:rsidP="000C7BE7">
      <w:pPr>
        <w:jc w:val="center"/>
      </w:pPr>
      <w:r>
        <w:rPr>
          <w:noProof/>
        </w:rPr>
        <w:drawing>
          <wp:inline distT="0" distB="0" distL="0" distR="0" wp14:anchorId="75E7376A" wp14:editId="4245E2BB">
            <wp:extent cx="4762500" cy="2076450"/>
            <wp:effectExtent l="0" t="0" r="0" b="0"/>
            <wp:docPr id="7" name="Grafik 7">
              <a:extLst xmlns:a="http://schemas.openxmlformats.org/drawingml/2006/main">
                <a:ext uri="{FF2B5EF4-FFF2-40B4-BE49-F238E27FC236}">
                  <a16:creationId xmlns:a16="http://schemas.microsoft.com/office/drawing/2014/main" id="{F3F21F0E-C3E5-083A-202E-6B4AC010E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69BDBB" w14:textId="25A9FECF" w:rsidR="000C7BE7" w:rsidRDefault="000C7BE7" w:rsidP="000C7BE7">
      <w:pPr>
        <w:rPr>
          <w:i/>
          <w:iCs/>
        </w:rPr>
      </w:pPr>
      <w:r w:rsidRPr="000C7BE7">
        <w:rPr>
          <w:i/>
          <w:iCs/>
        </w:rPr>
        <w:t>Şekil 5: İncelenen tezlerde çalışılan ATM boyutlarının dağılımları</w:t>
      </w:r>
    </w:p>
    <w:p w14:paraId="05A120C5" w14:textId="77777777" w:rsidR="000C7BE7" w:rsidRPr="000C7BE7" w:rsidRDefault="000C7BE7" w:rsidP="000C7BE7">
      <w:pPr>
        <w:rPr>
          <w:i/>
          <w:iCs/>
        </w:rPr>
      </w:pPr>
    </w:p>
    <w:p w14:paraId="12514AD5" w14:textId="4B5DAB71" w:rsidR="000C7BE7" w:rsidRDefault="000C7BE7" w:rsidP="000C7BE7">
      <w:pPr>
        <w:pStyle w:val="Balk3"/>
      </w:pPr>
      <w:r>
        <w:t>İncelenen Çevrimiçi Ortamlar</w:t>
      </w:r>
    </w:p>
    <w:p w14:paraId="6386EB8F" w14:textId="77777777" w:rsidR="000C7BE7" w:rsidRPr="000C7BE7" w:rsidRDefault="000C7BE7" w:rsidP="000C7BE7"/>
    <w:p w14:paraId="0AA6D3E7" w14:textId="77777777" w:rsidR="000C7BE7" w:rsidRPr="00C165E9" w:rsidRDefault="000C7BE7" w:rsidP="00A12EAD">
      <w:pPr>
        <w:ind w:firstLine="720"/>
        <w:jc w:val="both"/>
      </w:pPr>
      <w:r w:rsidRPr="00D27A6D">
        <w:t xml:space="preserve">İncelenen çalışmalarda </w:t>
      </w:r>
      <w:r>
        <w:t xml:space="preserve">ATM </w:t>
      </w:r>
      <w:r w:rsidRPr="00D27A6D">
        <w:t xml:space="preserve">çeşitli çevrimiçi ortamları </w:t>
      </w:r>
      <w:r>
        <w:t xml:space="preserve">üzerinden değerlendirilmiştir Bu ortamların özellikleri incelendiğinde, tartışma, form, anlık dönüt gibi öğeleri kullanan </w:t>
      </w:r>
      <w:r w:rsidRPr="00D27A6D">
        <w:t>ÖYS ( Moodle, LMS, Classroom), sosyal medya ( Whatsapp, Facebook) sanal sınıflar (Zoom, Google Meet, Microsoft Teams)  kullanı</w:t>
      </w:r>
      <w:r>
        <w:t>ldığı görülmüştür.</w:t>
      </w:r>
    </w:p>
    <w:p w14:paraId="5CCE5212" w14:textId="77777777" w:rsidR="001638D5" w:rsidRDefault="001638D5" w:rsidP="001638D5">
      <w:pPr>
        <w:jc w:val="both"/>
      </w:pPr>
    </w:p>
    <w:p w14:paraId="42D501AB" w14:textId="4C331114" w:rsidR="001638D5" w:rsidRDefault="001638D5" w:rsidP="001638D5">
      <w:pPr>
        <w:pStyle w:val="Balk2"/>
      </w:pPr>
      <w:r>
        <w:t>Sonuçlar ve Öneriler</w:t>
      </w:r>
    </w:p>
    <w:p w14:paraId="5E230042" w14:textId="7FCDD590" w:rsidR="001638D5" w:rsidRDefault="001638D5" w:rsidP="001638D5"/>
    <w:p w14:paraId="1CBC7731" w14:textId="01324689" w:rsidR="001638D5" w:rsidRDefault="001638D5" w:rsidP="00A12EAD">
      <w:pPr>
        <w:ind w:firstLine="720"/>
        <w:jc w:val="both"/>
      </w:pPr>
      <w:r>
        <w:t>Bu araştırma sonucunda incelenen çalışmalarda</w:t>
      </w:r>
      <w:r w:rsidRPr="00D27A6D">
        <w:t xml:space="preserve"> daha fazla karma yöntemin kullanıldığı görülmüştür. </w:t>
      </w:r>
      <w:r>
        <w:t>ATM’yi temel alan</w:t>
      </w:r>
      <w:r w:rsidRPr="00D27A6D">
        <w:t xml:space="preserve"> </w:t>
      </w:r>
      <w:r>
        <w:t>ç</w:t>
      </w:r>
      <w:r w:rsidRPr="00D27A6D">
        <w:t xml:space="preserve">alışmalar hem nicel yöntem hem de nitel yöntemler bir arada kullanılarak incelenmeye çalışılmıştır. Ancak bu çalışmalarda veri toplama araçları olarak ölçeklerin daha fazla kullanıldığı </w:t>
      </w:r>
      <w:r>
        <w:t>dikkat çekmektedir.</w:t>
      </w:r>
      <w:r w:rsidRPr="00D27A6D">
        <w:t xml:space="preserve"> </w:t>
      </w:r>
      <w:r>
        <w:t>Bu durum çalışmaların daha çok niceliksel yönden yapıldığını göstermektedir. Dolayısıyla ATM’nin</w:t>
      </w:r>
      <w:r w:rsidRPr="00D27A6D">
        <w:t xml:space="preserve"> nitel çalışmalar kullanılarak daha derinlemesine inceleyen çalışmalara yer verilebilir</w:t>
      </w:r>
      <w:r>
        <w:t xml:space="preserve">. </w:t>
      </w:r>
      <w:r w:rsidRPr="00D27A6D">
        <w:t>Çalışmalar yıllara göre incelendiğinde 2020-2021 yıllarında ile ilgili çalışmaların diğer yıllara göre daha fazla yapıldığı görülmektedir. Özellikle pandemi döneminde bu artış</w:t>
      </w:r>
      <w:r>
        <w:t>ın olduğu</w:t>
      </w:r>
      <w:r w:rsidRPr="00D27A6D">
        <w:t xml:space="preserve"> dikkat çekmektedir. Pandemi dönemi ile ve son yıllarda çevrimiçi ortamlara ihtiyacın artması nedeniyle bu ortamlarda</w:t>
      </w:r>
      <w:r>
        <w:t xml:space="preserve"> ATM’nin farklı çalışmalarda farklı değişkenler olarak ele alınmasını sağlamıştır. Ayrıca ATM’nin çalışmalarda tüm boyutların bir arada incelendiği görülmekte, boyutların ayrı olarak ele alınan çalışmalarda ise daha çok sosyal buradalık algısının çalışmalarda diğer boyutlara göre daha fazla çalışıldığı belirlenmiştir.  </w:t>
      </w:r>
      <w:r w:rsidRPr="00D27A6D">
        <w:t>Dolayısıyla öğretimsel ve bilişsel buradalık boyutlarının etkilerinin incelendiği çalışmalara da yer verilebilir.</w:t>
      </w:r>
      <w:r>
        <w:t xml:space="preserve"> </w:t>
      </w:r>
      <w:r w:rsidRPr="00D27A6D">
        <w:t>Her ne kadar ÖYS, Sosyal medya ve sanal sınıf gibi çevrimiçi ortamlarda buradalık kavramları incelense de daha geniş çaplı etkileşimli çevrimiçi ortamların buradalık üzerine etkileri incelenebilir.</w:t>
      </w:r>
    </w:p>
    <w:p w14:paraId="00C893E5" w14:textId="67029D30" w:rsidR="00DB2274" w:rsidRDefault="00DB2274" w:rsidP="00A12EAD">
      <w:pPr>
        <w:ind w:firstLine="720"/>
        <w:jc w:val="both"/>
      </w:pPr>
    </w:p>
    <w:p w14:paraId="6A5515D9" w14:textId="5D3416BF" w:rsidR="00DB2274" w:rsidRDefault="00DB2274" w:rsidP="00A12EAD">
      <w:pPr>
        <w:ind w:firstLine="720"/>
        <w:jc w:val="both"/>
      </w:pPr>
    </w:p>
    <w:p w14:paraId="32599353" w14:textId="3175AD3F" w:rsidR="00DB2274" w:rsidRDefault="00DB2274" w:rsidP="00A12EAD">
      <w:pPr>
        <w:ind w:firstLine="720"/>
        <w:jc w:val="both"/>
      </w:pPr>
    </w:p>
    <w:p w14:paraId="0A84186A" w14:textId="08A95BC6" w:rsidR="00DB2274" w:rsidRDefault="00DB2274" w:rsidP="00A12EAD">
      <w:pPr>
        <w:ind w:firstLine="720"/>
        <w:jc w:val="both"/>
      </w:pPr>
    </w:p>
    <w:p w14:paraId="6432766C" w14:textId="7EF5EF9D" w:rsidR="00DB2274" w:rsidRDefault="00DB2274" w:rsidP="00A12EAD">
      <w:pPr>
        <w:ind w:firstLine="720"/>
        <w:jc w:val="both"/>
      </w:pPr>
    </w:p>
    <w:p w14:paraId="3BF646D5" w14:textId="77777777" w:rsidR="00DB2274" w:rsidRDefault="00DB2274" w:rsidP="00A12EAD">
      <w:pPr>
        <w:ind w:firstLine="720"/>
        <w:jc w:val="both"/>
      </w:pPr>
    </w:p>
    <w:p w14:paraId="1093BDF9" w14:textId="246B165C" w:rsidR="00D56070" w:rsidRDefault="00D56070" w:rsidP="00906F31">
      <w:pPr>
        <w:jc w:val="both"/>
      </w:pPr>
    </w:p>
    <w:p w14:paraId="26904F6B" w14:textId="5C14959F" w:rsidR="0094445B" w:rsidRPr="00BE45CD" w:rsidRDefault="0094445B" w:rsidP="00BE45CD">
      <w:pPr>
        <w:pStyle w:val="KonuBal"/>
      </w:pPr>
      <w:r w:rsidRPr="00BE45CD">
        <w:lastRenderedPageBreak/>
        <w:t>Kaynakça</w:t>
      </w:r>
      <w:r w:rsidR="00BE45CD">
        <w:t xml:space="preserve"> </w:t>
      </w:r>
    </w:p>
    <w:p w14:paraId="2CB8B2F0" w14:textId="77777777" w:rsidR="001638D5" w:rsidRPr="001638D5" w:rsidRDefault="001638D5" w:rsidP="001638D5">
      <w:pPr>
        <w:pStyle w:val="NormalWeb"/>
        <w:spacing w:before="240" w:beforeAutospacing="0" w:after="240" w:afterAutospacing="0" w:line="276" w:lineRule="auto"/>
        <w:jc w:val="both"/>
        <w:rPr>
          <w:rFonts w:asciiTheme="minorHAnsi" w:hAnsiTheme="minorHAnsi" w:cstheme="minorHAnsi"/>
        </w:rPr>
      </w:pPr>
      <w:bookmarkStart w:id="13" w:name="OLE_LINK1"/>
      <w:proofErr w:type="spellStart"/>
      <w:r w:rsidRPr="001638D5">
        <w:rPr>
          <w:rFonts w:asciiTheme="minorHAnsi" w:hAnsiTheme="minorHAnsi" w:cstheme="minorHAnsi"/>
        </w:rPr>
        <w:t>Aljabre</w:t>
      </w:r>
      <w:proofErr w:type="spellEnd"/>
      <w:r w:rsidRPr="001638D5">
        <w:rPr>
          <w:rFonts w:asciiTheme="minorHAnsi" w:hAnsiTheme="minorHAnsi" w:cstheme="minorHAnsi"/>
        </w:rPr>
        <w:t xml:space="preserve">, A. (2012). An </w:t>
      </w:r>
      <w:proofErr w:type="spellStart"/>
      <w:r w:rsidRPr="001638D5">
        <w:rPr>
          <w:rFonts w:asciiTheme="minorHAnsi" w:hAnsiTheme="minorHAnsi" w:cstheme="minorHAnsi"/>
        </w:rPr>
        <w:t>exploration</w:t>
      </w:r>
      <w:proofErr w:type="spellEnd"/>
      <w:r w:rsidRPr="001638D5">
        <w:rPr>
          <w:rFonts w:asciiTheme="minorHAnsi" w:hAnsiTheme="minorHAnsi" w:cstheme="minorHAnsi"/>
        </w:rPr>
        <w:t xml:space="preserve"> of </w:t>
      </w:r>
      <w:proofErr w:type="spellStart"/>
      <w:r w:rsidRPr="001638D5">
        <w:rPr>
          <w:rFonts w:asciiTheme="minorHAnsi" w:hAnsiTheme="minorHAnsi" w:cstheme="minorHAnsi"/>
        </w:rPr>
        <w:t>distance</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learning</w:t>
      </w:r>
      <w:proofErr w:type="spellEnd"/>
      <w:r w:rsidRPr="001638D5">
        <w:rPr>
          <w:rFonts w:asciiTheme="minorHAnsi" w:hAnsiTheme="minorHAnsi" w:cstheme="minorHAnsi"/>
        </w:rPr>
        <w:t xml:space="preserve"> in </w:t>
      </w:r>
      <w:proofErr w:type="spellStart"/>
      <w:r w:rsidRPr="001638D5">
        <w:rPr>
          <w:rFonts w:asciiTheme="minorHAnsi" w:hAnsiTheme="minorHAnsi" w:cstheme="minorHAnsi"/>
        </w:rPr>
        <w:t>Saudi</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Arabian</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universities</w:t>
      </w:r>
      <w:proofErr w:type="spellEnd"/>
      <w:r w:rsidRPr="001638D5">
        <w:rPr>
          <w:rFonts w:asciiTheme="minorHAnsi" w:hAnsiTheme="minorHAnsi" w:cstheme="minorHAnsi"/>
        </w:rPr>
        <w:t xml:space="preserve">: </w:t>
      </w:r>
      <w:bookmarkStart w:id="14" w:name="OLE_LINK2"/>
      <w:proofErr w:type="spellStart"/>
      <w:r w:rsidRPr="001638D5">
        <w:rPr>
          <w:rFonts w:asciiTheme="minorHAnsi" w:hAnsiTheme="minorHAnsi" w:cstheme="minorHAnsi"/>
        </w:rPr>
        <w:t>current</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practices</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and</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future</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possibilities</w:t>
      </w:r>
      <w:proofErr w:type="spellEnd"/>
      <w:r w:rsidRPr="001638D5">
        <w:rPr>
          <w:rFonts w:asciiTheme="minorHAnsi" w:hAnsiTheme="minorHAnsi" w:cstheme="minorHAnsi"/>
        </w:rPr>
        <w:t xml:space="preserve">. </w:t>
      </w:r>
      <w:r w:rsidRPr="001638D5">
        <w:rPr>
          <w:rFonts w:asciiTheme="minorHAnsi" w:hAnsiTheme="minorHAnsi" w:cstheme="minorHAnsi"/>
          <w:i/>
          <w:iCs/>
        </w:rPr>
        <w:t xml:space="preserve">International </w:t>
      </w:r>
      <w:proofErr w:type="spellStart"/>
      <w:r w:rsidRPr="001638D5">
        <w:rPr>
          <w:rFonts w:asciiTheme="minorHAnsi" w:hAnsiTheme="minorHAnsi" w:cstheme="minorHAnsi"/>
          <w:i/>
          <w:iCs/>
        </w:rPr>
        <w:t>Journal</w:t>
      </w:r>
      <w:proofErr w:type="spellEnd"/>
      <w:r w:rsidRPr="001638D5">
        <w:rPr>
          <w:rFonts w:asciiTheme="minorHAnsi" w:hAnsiTheme="minorHAnsi" w:cstheme="minorHAnsi"/>
          <w:i/>
          <w:iCs/>
        </w:rPr>
        <w:t xml:space="preserve"> of Business, </w:t>
      </w:r>
      <w:proofErr w:type="spellStart"/>
      <w:r w:rsidRPr="001638D5">
        <w:rPr>
          <w:rFonts w:asciiTheme="minorHAnsi" w:hAnsiTheme="minorHAnsi" w:cstheme="minorHAnsi"/>
          <w:i/>
          <w:iCs/>
        </w:rPr>
        <w:t>Humanities</w:t>
      </w:r>
      <w:proofErr w:type="spellEnd"/>
      <w:r w:rsidRPr="001638D5">
        <w:rPr>
          <w:rFonts w:asciiTheme="minorHAnsi" w:hAnsiTheme="minorHAnsi" w:cstheme="minorHAnsi"/>
          <w:i/>
          <w:iCs/>
        </w:rPr>
        <w:t xml:space="preserve"> </w:t>
      </w:r>
      <w:proofErr w:type="spellStart"/>
      <w:r w:rsidRPr="001638D5">
        <w:rPr>
          <w:rFonts w:asciiTheme="minorHAnsi" w:hAnsiTheme="minorHAnsi" w:cstheme="minorHAnsi"/>
          <w:i/>
          <w:iCs/>
        </w:rPr>
        <w:t>and</w:t>
      </w:r>
      <w:proofErr w:type="spellEnd"/>
      <w:r w:rsidRPr="001638D5">
        <w:rPr>
          <w:rFonts w:asciiTheme="minorHAnsi" w:hAnsiTheme="minorHAnsi" w:cstheme="minorHAnsi"/>
          <w:i/>
          <w:iCs/>
        </w:rPr>
        <w:t xml:space="preserve"> </w:t>
      </w:r>
      <w:proofErr w:type="spellStart"/>
      <w:r w:rsidRPr="001638D5">
        <w:rPr>
          <w:rFonts w:asciiTheme="minorHAnsi" w:hAnsiTheme="minorHAnsi" w:cstheme="minorHAnsi"/>
          <w:i/>
          <w:iCs/>
        </w:rPr>
        <w:t>Technology</w:t>
      </w:r>
      <w:bookmarkEnd w:id="14"/>
      <w:proofErr w:type="spellEnd"/>
      <w:r w:rsidRPr="001638D5">
        <w:rPr>
          <w:rFonts w:asciiTheme="minorHAnsi" w:hAnsiTheme="minorHAnsi" w:cstheme="minorHAnsi"/>
          <w:i/>
          <w:iCs/>
        </w:rPr>
        <w:t>, 2</w:t>
      </w:r>
      <w:r w:rsidRPr="001638D5">
        <w:rPr>
          <w:rFonts w:asciiTheme="minorHAnsi" w:hAnsiTheme="minorHAnsi" w:cstheme="minorHAnsi"/>
        </w:rPr>
        <w:t>(2), 132–137.</w:t>
      </w:r>
    </w:p>
    <w:bookmarkEnd w:id="13"/>
    <w:p w14:paraId="44B57D59" w14:textId="6473676E" w:rsidR="001638D5" w:rsidRPr="001638D5" w:rsidRDefault="001638D5" w:rsidP="001638D5">
      <w:pPr>
        <w:spacing w:line="276" w:lineRule="auto"/>
        <w:jc w:val="both"/>
        <w:rPr>
          <w:rFonts w:cstheme="minorHAnsi"/>
        </w:rPr>
      </w:pPr>
      <w:r w:rsidRPr="001638D5">
        <w:rPr>
          <w:rFonts w:cstheme="minorHAnsi"/>
        </w:rPr>
        <w:t xml:space="preserve">Anderson, T., Rourke, L., Garrison, D. R., &amp; Archer, W. (2001). Assessing teaching presence in a computer conferencing context. </w:t>
      </w:r>
      <w:r w:rsidRPr="001638D5">
        <w:rPr>
          <w:rFonts w:cstheme="minorHAnsi"/>
          <w:i/>
        </w:rPr>
        <w:t>Journal of Asynchronous Learning Network</w:t>
      </w:r>
      <w:r w:rsidRPr="001638D5">
        <w:rPr>
          <w:rFonts w:cstheme="minorHAnsi"/>
        </w:rPr>
        <w:t>, 5(2),1-17.</w:t>
      </w:r>
    </w:p>
    <w:p w14:paraId="3A53E5BE" w14:textId="77777777" w:rsidR="001638D5" w:rsidRPr="001638D5" w:rsidRDefault="001638D5" w:rsidP="001638D5">
      <w:pPr>
        <w:spacing w:line="276" w:lineRule="auto"/>
        <w:jc w:val="both"/>
        <w:rPr>
          <w:rFonts w:cstheme="minorHAnsi"/>
        </w:rPr>
      </w:pPr>
    </w:p>
    <w:p w14:paraId="0196A936" w14:textId="3FA16A63" w:rsidR="001638D5" w:rsidRPr="001638D5" w:rsidRDefault="001638D5" w:rsidP="001638D5">
      <w:pPr>
        <w:spacing w:line="276" w:lineRule="auto"/>
        <w:jc w:val="both"/>
        <w:rPr>
          <w:rFonts w:cstheme="minorHAnsi"/>
        </w:rPr>
      </w:pPr>
      <w:r w:rsidRPr="001638D5">
        <w:rPr>
          <w:rFonts w:cstheme="minorHAnsi"/>
        </w:rPr>
        <w:t>Büyüköztürk, Ş., Çakmak, E. K., Akgün, Ö. E., Karadeniz, Ş. ve Demirel, F. (2014). Bilimsel araştırma yöntemleri. Ankara: Pegem Akademi.</w:t>
      </w:r>
    </w:p>
    <w:p w14:paraId="2E7B32EE" w14:textId="77777777" w:rsidR="001638D5" w:rsidRPr="001638D5" w:rsidRDefault="001638D5" w:rsidP="001638D5">
      <w:pPr>
        <w:spacing w:line="276" w:lineRule="auto"/>
        <w:jc w:val="both"/>
        <w:rPr>
          <w:rFonts w:cstheme="minorHAnsi"/>
        </w:rPr>
      </w:pPr>
    </w:p>
    <w:p w14:paraId="0BE622FC" w14:textId="475D9B91" w:rsidR="001638D5" w:rsidRPr="001638D5" w:rsidRDefault="001638D5" w:rsidP="001638D5">
      <w:pPr>
        <w:spacing w:line="276" w:lineRule="auto"/>
        <w:jc w:val="both"/>
        <w:rPr>
          <w:rFonts w:cstheme="minorHAnsi"/>
        </w:rPr>
      </w:pPr>
      <w:r w:rsidRPr="001638D5">
        <w:rPr>
          <w:rFonts w:cstheme="minorHAnsi"/>
        </w:rPr>
        <w:t xml:space="preserve">Garrison, D. R. &amp; Anderson, T. (2003). </w:t>
      </w:r>
      <w:r w:rsidRPr="001638D5">
        <w:rPr>
          <w:rFonts w:cstheme="minorHAnsi"/>
          <w:i/>
          <w:iCs/>
        </w:rPr>
        <w:t>E-learning in the 21st century: A framework for research and practice.</w:t>
      </w:r>
      <w:r w:rsidRPr="001638D5">
        <w:rPr>
          <w:rFonts w:cstheme="minorHAnsi"/>
        </w:rPr>
        <w:t xml:space="preserve"> New York: RoutledgeFalmer.</w:t>
      </w:r>
    </w:p>
    <w:p w14:paraId="6D25F1F9" w14:textId="77777777" w:rsidR="001638D5" w:rsidRPr="001638D5" w:rsidRDefault="001638D5" w:rsidP="001638D5">
      <w:pPr>
        <w:spacing w:line="276" w:lineRule="auto"/>
        <w:jc w:val="both"/>
        <w:rPr>
          <w:rFonts w:cstheme="minorHAnsi"/>
        </w:rPr>
      </w:pPr>
    </w:p>
    <w:p w14:paraId="16D8D107" w14:textId="63C0D7AA" w:rsidR="001638D5" w:rsidRPr="001638D5" w:rsidRDefault="001638D5" w:rsidP="001638D5">
      <w:pPr>
        <w:spacing w:line="276" w:lineRule="auto"/>
        <w:jc w:val="both"/>
        <w:rPr>
          <w:rFonts w:cstheme="minorHAnsi"/>
        </w:rPr>
      </w:pPr>
      <w:r w:rsidRPr="001638D5">
        <w:rPr>
          <w:rFonts w:cstheme="minorHAnsi"/>
        </w:rPr>
        <w:t>Garrison, D. R., Anderson, T. and Archer, W. (1999). Critical inquiry in a text-based environment: Computer conferencing in higher education. The Internet and Higher Education, 2(2-3), 87-105.</w:t>
      </w:r>
    </w:p>
    <w:p w14:paraId="781E787C" w14:textId="77777777" w:rsidR="001638D5" w:rsidRPr="001638D5" w:rsidRDefault="001638D5" w:rsidP="001638D5">
      <w:pPr>
        <w:spacing w:line="276" w:lineRule="auto"/>
        <w:jc w:val="both"/>
        <w:rPr>
          <w:rFonts w:cstheme="minorHAnsi"/>
        </w:rPr>
      </w:pPr>
    </w:p>
    <w:p w14:paraId="16D7B05B" w14:textId="77777777" w:rsidR="001638D5" w:rsidRPr="001638D5" w:rsidRDefault="001638D5" w:rsidP="001638D5">
      <w:pPr>
        <w:spacing w:line="276" w:lineRule="auto"/>
        <w:jc w:val="both"/>
        <w:rPr>
          <w:rFonts w:cstheme="minorHAnsi"/>
        </w:rPr>
      </w:pPr>
      <w:r w:rsidRPr="001638D5">
        <w:rPr>
          <w:rFonts w:cstheme="minorHAnsi"/>
        </w:rPr>
        <w:t xml:space="preserve">Ke, F. (2010). Examining online teaching, cognitive, and social presence for adult students. </w:t>
      </w:r>
      <w:r w:rsidRPr="001638D5">
        <w:rPr>
          <w:rFonts w:cstheme="minorHAnsi"/>
          <w:i/>
        </w:rPr>
        <w:t>Computers &amp; Education</w:t>
      </w:r>
      <w:r w:rsidRPr="001638D5">
        <w:rPr>
          <w:rFonts w:cstheme="minorHAnsi"/>
        </w:rPr>
        <w:t>, 55, 808–820.</w:t>
      </w:r>
    </w:p>
    <w:p w14:paraId="6B9554BB" w14:textId="77777777" w:rsidR="001638D5" w:rsidRPr="001638D5" w:rsidRDefault="001638D5" w:rsidP="001638D5">
      <w:pPr>
        <w:pStyle w:val="NormalWeb"/>
        <w:spacing w:before="240" w:beforeAutospacing="0" w:after="240" w:afterAutospacing="0" w:line="276" w:lineRule="auto"/>
        <w:jc w:val="both"/>
        <w:rPr>
          <w:rFonts w:asciiTheme="minorHAnsi" w:hAnsiTheme="minorHAnsi" w:cstheme="minorHAnsi"/>
        </w:rPr>
      </w:pPr>
      <w:proofErr w:type="spellStart"/>
      <w:r w:rsidRPr="001638D5">
        <w:rPr>
          <w:rFonts w:asciiTheme="minorHAnsi" w:hAnsiTheme="minorHAnsi" w:cstheme="minorHAnsi"/>
          <w:shd w:val="clear" w:color="auto" w:fill="FFFFFF"/>
        </w:rPr>
        <w:t>Moore</w:t>
      </w:r>
      <w:proofErr w:type="spellEnd"/>
      <w:r w:rsidRPr="001638D5">
        <w:rPr>
          <w:rFonts w:asciiTheme="minorHAnsi" w:hAnsiTheme="minorHAnsi" w:cstheme="minorHAnsi"/>
          <w:shd w:val="clear" w:color="auto" w:fill="FFFFFF"/>
        </w:rPr>
        <w:t>, M., G., “</w:t>
      </w:r>
      <w:proofErr w:type="spellStart"/>
      <w:r w:rsidRPr="001638D5">
        <w:rPr>
          <w:rFonts w:asciiTheme="minorHAnsi" w:hAnsiTheme="minorHAnsi" w:cstheme="minorHAnsi"/>
          <w:shd w:val="clear" w:color="auto" w:fill="FFFFFF"/>
        </w:rPr>
        <w:t>Theory</w:t>
      </w:r>
      <w:proofErr w:type="spellEnd"/>
      <w:r w:rsidRPr="001638D5">
        <w:rPr>
          <w:rFonts w:asciiTheme="minorHAnsi" w:hAnsiTheme="minorHAnsi" w:cstheme="minorHAnsi"/>
          <w:shd w:val="clear" w:color="auto" w:fill="FFFFFF"/>
        </w:rPr>
        <w:t xml:space="preserve"> of </w:t>
      </w:r>
      <w:proofErr w:type="spellStart"/>
      <w:r w:rsidRPr="001638D5">
        <w:rPr>
          <w:rFonts w:asciiTheme="minorHAnsi" w:hAnsiTheme="minorHAnsi" w:cstheme="minorHAnsi"/>
          <w:shd w:val="clear" w:color="auto" w:fill="FFFFFF"/>
        </w:rPr>
        <w:t>transactional</w:t>
      </w:r>
      <w:proofErr w:type="spellEnd"/>
      <w:r w:rsidRPr="001638D5">
        <w:rPr>
          <w:rFonts w:asciiTheme="minorHAnsi" w:hAnsiTheme="minorHAnsi" w:cstheme="minorHAnsi"/>
          <w:shd w:val="clear" w:color="auto" w:fill="FFFFFF"/>
        </w:rPr>
        <w:t xml:space="preserve"> </w:t>
      </w:r>
      <w:proofErr w:type="spellStart"/>
      <w:r w:rsidRPr="001638D5">
        <w:rPr>
          <w:rFonts w:asciiTheme="minorHAnsi" w:hAnsiTheme="minorHAnsi" w:cstheme="minorHAnsi"/>
          <w:shd w:val="clear" w:color="auto" w:fill="FFFFFF"/>
        </w:rPr>
        <w:t>distance</w:t>
      </w:r>
      <w:proofErr w:type="spellEnd"/>
      <w:r w:rsidRPr="001638D5">
        <w:rPr>
          <w:rFonts w:asciiTheme="minorHAnsi" w:hAnsiTheme="minorHAnsi" w:cstheme="minorHAnsi"/>
          <w:shd w:val="clear" w:color="auto" w:fill="FFFFFF"/>
        </w:rPr>
        <w:t xml:space="preserve">”, (1997). http://www.aged.tamu.edu/research/readings/Distance/1997MooreTransDistance.pdf (Erişim Tarihi: 01.06.2022) </w:t>
      </w:r>
      <w:r w:rsidRPr="001638D5">
        <w:rPr>
          <w:rFonts w:asciiTheme="minorHAnsi" w:hAnsiTheme="minorHAnsi" w:cstheme="minorHAnsi"/>
        </w:rPr>
        <w:t xml:space="preserve">online </w:t>
      </w:r>
      <w:proofErr w:type="spellStart"/>
      <w:r w:rsidRPr="001638D5">
        <w:rPr>
          <w:rFonts w:asciiTheme="minorHAnsi" w:hAnsiTheme="minorHAnsi" w:cstheme="minorHAnsi"/>
        </w:rPr>
        <w:t>course</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discussions</w:t>
      </w:r>
      <w:proofErr w:type="spellEnd"/>
      <w:r w:rsidRPr="001638D5">
        <w:rPr>
          <w:rFonts w:asciiTheme="minorHAnsi" w:hAnsiTheme="minorHAnsi" w:cstheme="minorHAnsi"/>
        </w:rPr>
        <w:t xml:space="preserve">. </w:t>
      </w:r>
      <w:proofErr w:type="spellStart"/>
      <w:r w:rsidRPr="001638D5">
        <w:rPr>
          <w:rFonts w:asciiTheme="minorHAnsi" w:hAnsiTheme="minorHAnsi" w:cstheme="minorHAnsi"/>
        </w:rPr>
        <w:t>Journal</w:t>
      </w:r>
      <w:proofErr w:type="spellEnd"/>
      <w:r w:rsidRPr="001638D5">
        <w:rPr>
          <w:rFonts w:asciiTheme="minorHAnsi" w:hAnsiTheme="minorHAnsi" w:cstheme="minorHAnsi"/>
        </w:rPr>
        <w:t xml:space="preserve"> of </w:t>
      </w:r>
      <w:proofErr w:type="spellStart"/>
      <w:r w:rsidRPr="001638D5">
        <w:rPr>
          <w:rFonts w:asciiTheme="minorHAnsi" w:hAnsiTheme="minorHAnsi" w:cstheme="minorHAnsi"/>
        </w:rPr>
        <w:t>Asynchronous</w:t>
      </w:r>
      <w:proofErr w:type="spellEnd"/>
      <w:r w:rsidRPr="001638D5">
        <w:rPr>
          <w:rFonts w:asciiTheme="minorHAnsi" w:hAnsiTheme="minorHAnsi" w:cstheme="minorHAnsi"/>
        </w:rPr>
        <w:t xml:space="preserve"> Learning Networks, 9(3),115-136.</w:t>
      </w:r>
    </w:p>
    <w:p w14:paraId="5AE07EEF" w14:textId="4401242F" w:rsidR="001638D5" w:rsidRPr="001638D5" w:rsidRDefault="001638D5" w:rsidP="001638D5">
      <w:pPr>
        <w:spacing w:line="276" w:lineRule="auto"/>
        <w:jc w:val="both"/>
        <w:rPr>
          <w:rFonts w:cstheme="minorHAnsi"/>
        </w:rPr>
      </w:pPr>
      <w:r w:rsidRPr="001638D5">
        <w:rPr>
          <w:rFonts w:cstheme="minorHAnsi"/>
        </w:rPr>
        <w:t>Shea, P. J., Fredericksen, E. E., Pickett, A. M., &amp; Pelz, W. E. (2003). A preliminary investigation of “teaching presence” in the SUNY learning network.Elements of quality online education: Practice and direction, 4, 279-312.</w:t>
      </w:r>
    </w:p>
    <w:p w14:paraId="7AD5F1B8" w14:textId="77777777" w:rsidR="001638D5" w:rsidRPr="001638D5" w:rsidRDefault="001638D5" w:rsidP="001638D5">
      <w:pPr>
        <w:spacing w:line="276" w:lineRule="auto"/>
        <w:jc w:val="both"/>
        <w:rPr>
          <w:rFonts w:cstheme="minorHAnsi"/>
        </w:rPr>
      </w:pPr>
    </w:p>
    <w:p w14:paraId="717275C1" w14:textId="77777777" w:rsidR="001638D5" w:rsidRPr="001638D5" w:rsidRDefault="001638D5" w:rsidP="001638D5">
      <w:pPr>
        <w:spacing w:line="276" w:lineRule="auto"/>
        <w:jc w:val="both"/>
        <w:rPr>
          <w:rFonts w:cstheme="minorHAnsi"/>
        </w:rPr>
      </w:pPr>
      <w:r w:rsidRPr="001638D5">
        <w:rPr>
          <w:rFonts w:cstheme="minorHAnsi"/>
        </w:rPr>
        <w:t xml:space="preserve">Zydney, J. M., deNoyelle, A., &amp; Kyeong-Ju Seo, K. (2012). Creating a community of inquiry in online environments: An exploratory study on the effect of a protocol on interactions within asynchronous discussions. </w:t>
      </w:r>
      <w:r w:rsidRPr="001638D5">
        <w:rPr>
          <w:rFonts w:cstheme="minorHAnsi"/>
          <w:i/>
        </w:rPr>
        <w:t>Computers &amp; Education</w:t>
      </w:r>
      <w:r w:rsidRPr="001638D5">
        <w:rPr>
          <w:rFonts w:cstheme="minorHAnsi"/>
        </w:rPr>
        <w:t>, 58 (1), 77–87.</w:t>
      </w:r>
    </w:p>
    <w:p w14:paraId="293B1404" w14:textId="77777777" w:rsidR="00512126" w:rsidRPr="00512126" w:rsidRDefault="00512126" w:rsidP="001638D5">
      <w:pPr>
        <w:ind w:left="709" w:hanging="709"/>
        <w:jc w:val="center"/>
      </w:pPr>
    </w:p>
    <w:sectPr w:rsidR="00512126" w:rsidRPr="00512126"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60C47"/>
    <w:multiLevelType w:val="hybridMultilevel"/>
    <w:tmpl w:val="09683206"/>
    <w:lvl w:ilvl="0" w:tplc="7C6A61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322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79"/>
    <w:rsid w:val="00071848"/>
    <w:rsid w:val="000C7BE7"/>
    <w:rsid w:val="000D62F4"/>
    <w:rsid w:val="001638D5"/>
    <w:rsid w:val="00172380"/>
    <w:rsid w:val="001B6CC3"/>
    <w:rsid w:val="001C0B81"/>
    <w:rsid w:val="00243AEC"/>
    <w:rsid w:val="00260CEA"/>
    <w:rsid w:val="00270BBC"/>
    <w:rsid w:val="002E6180"/>
    <w:rsid w:val="003457C8"/>
    <w:rsid w:val="00352ED1"/>
    <w:rsid w:val="003E2E7E"/>
    <w:rsid w:val="00413659"/>
    <w:rsid w:val="00417E79"/>
    <w:rsid w:val="004D242E"/>
    <w:rsid w:val="00512126"/>
    <w:rsid w:val="00515526"/>
    <w:rsid w:val="0055027B"/>
    <w:rsid w:val="006007A5"/>
    <w:rsid w:val="0065240B"/>
    <w:rsid w:val="00676BD4"/>
    <w:rsid w:val="006A2A50"/>
    <w:rsid w:val="00854348"/>
    <w:rsid w:val="00906F31"/>
    <w:rsid w:val="0094445B"/>
    <w:rsid w:val="00A12EAD"/>
    <w:rsid w:val="00B427C5"/>
    <w:rsid w:val="00B45B3C"/>
    <w:rsid w:val="00BA021F"/>
    <w:rsid w:val="00BA1C55"/>
    <w:rsid w:val="00BE45CD"/>
    <w:rsid w:val="00C03AC4"/>
    <w:rsid w:val="00D3305B"/>
    <w:rsid w:val="00D5474C"/>
    <w:rsid w:val="00D56070"/>
    <w:rsid w:val="00D7065A"/>
    <w:rsid w:val="00D73643"/>
    <w:rsid w:val="00DA4963"/>
    <w:rsid w:val="00DB2274"/>
    <w:rsid w:val="00EF6921"/>
    <w:rsid w:val="00F43E25"/>
    <w:rsid w:val="00FE28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63"/>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styleId="zmlenmeyenBahsetme">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ListeParagraf">
    <w:name w:val="List Paragraph"/>
    <w:basedOn w:val="Normal"/>
    <w:uiPriority w:val="34"/>
    <w:qFormat/>
    <w:rsid w:val="00172380"/>
    <w:pPr>
      <w:ind w:left="720"/>
      <w:contextualSpacing/>
    </w:pPr>
    <w:rPr>
      <w:lang w:eastAsia="tr-TR"/>
    </w:rPr>
  </w:style>
  <w:style w:type="paragraph" w:styleId="NormalWeb">
    <w:name w:val="Normal (Web)"/>
    <w:basedOn w:val="Normal"/>
    <w:uiPriority w:val="99"/>
    <w:unhideWhenUsed/>
    <w:rsid w:val="001638D5"/>
    <w:pPr>
      <w:spacing w:before="100" w:beforeAutospacing="1" w:after="100" w:afterAutospacing="1"/>
    </w:pPr>
    <w:rPr>
      <w:lang w:eastAsia="tr-TR"/>
    </w:rPr>
  </w:style>
  <w:style w:type="paragraph" w:styleId="HTMLncedenBiimlendirilmi">
    <w:name w:val="HTML Preformatted"/>
    <w:basedOn w:val="Normal"/>
    <w:link w:val="HTMLncedenBiimlendirilmiChar"/>
    <w:uiPriority w:val="99"/>
    <w:semiHidden/>
    <w:unhideWhenUsed/>
    <w:rsid w:val="0026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260CEA"/>
    <w:rPr>
      <w:rFonts w:ascii="Courier New" w:eastAsia="Times New Roman" w:hAnsi="Courier New" w:cs="Courier New"/>
      <w:sz w:val="20"/>
      <w:szCs w:val="20"/>
      <w:lang w:eastAsia="tr-TR"/>
    </w:rPr>
  </w:style>
  <w:style w:type="character" w:customStyle="1" w:styleId="y2iqfc">
    <w:name w:val="y2iqfc"/>
    <w:basedOn w:val="VarsaylanParagrafYazTipi"/>
    <w:rsid w:val="0026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96160">
      <w:bodyDiv w:val="1"/>
      <w:marLeft w:val="0"/>
      <w:marRight w:val="0"/>
      <w:marTop w:val="0"/>
      <w:marBottom w:val="0"/>
      <w:divBdr>
        <w:top w:val="none" w:sz="0" w:space="0" w:color="auto"/>
        <w:left w:val="none" w:sz="0" w:space="0" w:color="auto"/>
        <w:bottom w:val="none" w:sz="0" w:space="0" w:color="auto"/>
        <w:right w:val="none" w:sz="0" w:space="0" w:color="auto"/>
      </w:divBdr>
    </w:div>
    <w:div w:id="204608856">
      <w:bodyDiv w:val="1"/>
      <w:marLeft w:val="0"/>
      <w:marRight w:val="0"/>
      <w:marTop w:val="0"/>
      <w:marBottom w:val="0"/>
      <w:divBdr>
        <w:top w:val="none" w:sz="0" w:space="0" w:color="auto"/>
        <w:left w:val="none" w:sz="0" w:space="0" w:color="auto"/>
        <w:bottom w:val="none" w:sz="0" w:space="0" w:color="auto"/>
        <w:right w:val="none" w:sz="0" w:space="0" w:color="auto"/>
      </w:divBdr>
    </w:div>
    <w:div w:id="499586065">
      <w:bodyDiv w:val="1"/>
      <w:marLeft w:val="0"/>
      <w:marRight w:val="0"/>
      <w:marTop w:val="0"/>
      <w:marBottom w:val="0"/>
      <w:divBdr>
        <w:top w:val="none" w:sz="0" w:space="0" w:color="auto"/>
        <w:left w:val="none" w:sz="0" w:space="0" w:color="auto"/>
        <w:bottom w:val="none" w:sz="0" w:space="0" w:color="auto"/>
        <w:right w:val="none" w:sz="0" w:space="0" w:color="auto"/>
      </w:divBdr>
    </w:div>
    <w:div w:id="725222086">
      <w:bodyDiv w:val="1"/>
      <w:marLeft w:val="0"/>
      <w:marRight w:val="0"/>
      <w:marTop w:val="0"/>
      <w:marBottom w:val="0"/>
      <w:divBdr>
        <w:top w:val="none" w:sz="0" w:space="0" w:color="auto"/>
        <w:left w:val="none" w:sz="0" w:space="0" w:color="auto"/>
        <w:bottom w:val="none" w:sz="0" w:space="0" w:color="auto"/>
        <w:right w:val="none" w:sz="0" w:space="0" w:color="auto"/>
      </w:divBdr>
    </w:div>
    <w:div w:id="818376674">
      <w:bodyDiv w:val="1"/>
      <w:marLeft w:val="0"/>
      <w:marRight w:val="0"/>
      <w:marTop w:val="0"/>
      <w:marBottom w:val="0"/>
      <w:divBdr>
        <w:top w:val="none" w:sz="0" w:space="0" w:color="auto"/>
        <w:left w:val="none" w:sz="0" w:space="0" w:color="auto"/>
        <w:bottom w:val="none" w:sz="0" w:space="0" w:color="auto"/>
        <w:right w:val="none" w:sz="0" w:space="0" w:color="auto"/>
      </w:divBdr>
    </w:div>
    <w:div w:id="996154443">
      <w:bodyDiv w:val="1"/>
      <w:marLeft w:val="0"/>
      <w:marRight w:val="0"/>
      <w:marTop w:val="0"/>
      <w:marBottom w:val="0"/>
      <w:divBdr>
        <w:top w:val="none" w:sz="0" w:space="0" w:color="auto"/>
        <w:left w:val="none" w:sz="0" w:space="0" w:color="auto"/>
        <w:bottom w:val="none" w:sz="0" w:space="0" w:color="auto"/>
        <w:right w:val="none" w:sz="0" w:space="0" w:color="auto"/>
      </w:divBdr>
    </w:div>
    <w:div w:id="1073432339">
      <w:bodyDiv w:val="1"/>
      <w:marLeft w:val="0"/>
      <w:marRight w:val="0"/>
      <w:marTop w:val="0"/>
      <w:marBottom w:val="0"/>
      <w:divBdr>
        <w:top w:val="none" w:sz="0" w:space="0" w:color="auto"/>
        <w:left w:val="none" w:sz="0" w:space="0" w:color="auto"/>
        <w:bottom w:val="none" w:sz="0" w:space="0" w:color="auto"/>
        <w:right w:val="none" w:sz="0" w:space="0" w:color="auto"/>
      </w:divBdr>
    </w:div>
    <w:div w:id="1210875485">
      <w:bodyDiv w:val="1"/>
      <w:marLeft w:val="0"/>
      <w:marRight w:val="0"/>
      <w:marTop w:val="0"/>
      <w:marBottom w:val="0"/>
      <w:divBdr>
        <w:top w:val="none" w:sz="0" w:space="0" w:color="auto"/>
        <w:left w:val="none" w:sz="0" w:space="0" w:color="auto"/>
        <w:bottom w:val="none" w:sz="0" w:space="0" w:color="auto"/>
        <w:right w:val="none" w:sz="0" w:space="0" w:color="auto"/>
      </w:divBdr>
    </w:div>
    <w:div w:id="1225145717">
      <w:bodyDiv w:val="1"/>
      <w:marLeft w:val="0"/>
      <w:marRight w:val="0"/>
      <w:marTop w:val="0"/>
      <w:marBottom w:val="0"/>
      <w:divBdr>
        <w:top w:val="none" w:sz="0" w:space="0" w:color="auto"/>
        <w:left w:val="none" w:sz="0" w:space="0" w:color="auto"/>
        <w:bottom w:val="none" w:sz="0" w:space="0" w:color="auto"/>
        <w:right w:val="none" w:sz="0" w:space="0" w:color="auto"/>
      </w:divBdr>
    </w:div>
    <w:div w:id="1553729583">
      <w:bodyDiv w:val="1"/>
      <w:marLeft w:val="0"/>
      <w:marRight w:val="0"/>
      <w:marTop w:val="0"/>
      <w:marBottom w:val="0"/>
      <w:divBdr>
        <w:top w:val="none" w:sz="0" w:space="0" w:color="auto"/>
        <w:left w:val="none" w:sz="0" w:space="0" w:color="auto"/>
        <w:bottom w:val="none" w:sz="0" w:space="0" w:color="auto"/>
        <w:right w:val="none" w:sz="0" w:space="0" w:color="auto"/>
      </w:divBdr>
    </w:div>
    <w:div w:id="1752266888">
      <w:bodyDiv w:val="1"/>
      <w:marLeft w:val="0"/>
      <w:marRight w:val="0"/>
      <w:marTop w:val="0"/>
      <w:marBottom w:val="0"/>
      <w:divBdr>
        <w:top w:val="none" w:sz="0" w:space="0" w:color="auto"/>
        <w:left w:val="none" w:sz="0" w:space="0" w:color="auto"/>
        <w:bottom w:val="none" w:sz="0" w:space="0" w:color="auto"/>
        <w:right w:val="none" w:sz="0" w:space="0" w:color="auto"/>
      </w:divBdr>
    </w:div>
    <w:div w:id="1775243413">
      <w:bodyDiv w:val="1"/>
      <w:marLeft w:val="0"/>
      <w:marRight w:val="0"/>
      <w:marTop w:val="0"/>
      <w:marBottom w:val="0"/>
      <w:divBdr>
        <w:top w:val="none" w:sz="0" w:space="0" w:color="auto"/>
        <w:left w:val="none" w:sz="0" w:space="0" w:color="auto"/>
        <w:bottom w:val="none" w:sz="0" w:space="0" w:color="auto"/>
        <w:right w:val="none" w:sz="0" w:space="0" w:color="auto"/>
      </w:divBdr>
    </w:div>
    <w:div w:id="1834680897">
      <w:bodyDiv w:val="1"/>
      <w:marLeft w:val="0"/>
      <w:marRight w:val="0"/>
      <w:marTop w:val="0"/>
      <w:marBottom w:val="0"/>
      <w:divBdr>
        <w:top w:val="none" w:sz="0" w:space="0" w:color="auto"/>
        <w:left w:val="none" w:sz="0" w:space="0" w:color="auto"/>
        <w:bottom w:val="none" w:sz="0" w:space="0" w:color="auto"/>
        <w:right w:val="none" w:sz="0" w:space="0" w:color="auto"/>
      </w:divBdr>
    </w:div>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kiroglu@trabzon.edu.tr"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ife_kirimli21@trabzon.edu.tr" TargetMode="External"/><Relationship Id="rId11" Type="http://schemas.openxmlformats.org/officeDocument/2006/relationships/chart" Target="charts/chart4.xml"/><Relationship Id="rId5" Type="http://schemas.openxmlformats.org/officeDocument/2006/relationships/hyperlink" Target="mailto:merveaydin@trabzon.edu.tr"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anife%20K&#305;r&#305;ml&#305;\Desktop\bildiri%20denem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anife%20K&#305;r&#305;ml&#305;\Desktop\bildiri%20denem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anife%20K&#305;r&#305;ml&#305;\Desktop\bildiri%20denem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029549431321084E-2"/>
          <c:y val="3.5625856502450468E-2"/>
          <c:w val="0.935446744653607"/>
          <c:h val="0.88349336863865469"/>
        </c:manualLayout>
      </c:layout>
      <c:bar3DChart>
        <c:barDir val="col"/>
        <c:grouping val="standar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Sayfa1!$D$4:$D$16</c:f>
              <c:numCache>
                <c:formatCode>General</c:formatCode>
                <c:ptCount val="13"/>
                <c:pt idx="0">
                  <c:v>2009</c:v>
                </c:pt>
                <c:pt idx="1">
                  <c:v>2010</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Sayfa1!$E$4:$E$16</c:f>
              <c:numCache>
                <c:formatCode>General</c:formatCode>
                <c:ptCount val="13"/>
                <c:pt idx="0">
                  <c:v>1</c:v>
                </c:pt>
                <c:pt idx="1">
                  <c:v>1</c:v>
                </c:pt>
                <c:pt idx="2">
                  <c:v>2</c:v>
                </c:pt>
                <c:pt idx="3">
                  <c:v>4</c:v>
                </c:pt>
                <c:pt idx="4">
                  <c:v>2</c:v>
                </c:pt>
                <c:pt idx="5">
                  <c:v>4</c:v>
                </c:pt>
                <c:pt idx="6">
                  <c:v>5</c:v>
                </c:pt>
                <c:pt idx="7">
                  <c:v>1</c:v>
                </c:pt>
                <c:pt idx="8">
                  <c:v>2</c:v>
                </c:pt>
                <c:pt idx="9">
                  <c:v>4</c:v>
                </c:pt>
                <c:pt idx="10">
                  <c:v>5</c:v>
                </c:pt>
                <c:pt idx="11">
                  <c:v>6</c:v>
                </c:pt>
                <c:pt idx="12">
                  <c:v>3</c:v>
                </c:pt>
              </c:numCache>
            </c:numRef>
          </c:val>
          <c:extLst>
            <c:ext xmlns:c16="http://schemas.microsoft.com/office/drawing/2014/chart" uri="{C3380CC4-5D6E-409C-BE32-E72D297353CC}">
              <c16:uniqueId val="{00000000-EAF0-4565-AD21-5C9430F4EC0C}"/>
            </c:ext>
          </c:extLst>
        </c:ser>
        <c:dLbls>
          <c:showLegendKey val="0"/>
          <c:showVal val="1"/>
          <c:showCatName val="0"/>
          <c:showSerName val="0"/>
          <c:showPercent val="0"/>
          <c:showBubbleSize val="0"/>
        </c:dLbls>
        <c:gapWidth val="150"/>
        <c:shape val="box"/>
        <c:axId val="439825672"/>
        <c:axId val="439819440"/>
        <c:axId val="436223856"/>
      </c:bar3DChart>
      <c:catAx>
        <c:axId val="439825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819440"/>
        <c:crosses val="autoZero"/>
        <c:auto val="1"/>
        <c:lblAlgn val="ctr"/>
        <c:lblOffset val="100"/>
        <c:noMultiLvlLbl val="0"/>
      </c:catAx>
      <c:valAx>
        <c:axId val="439819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9825672"/>
        <c:crosses val="autoZero"/>
        <c:crossBetween val="between"/>
      </c:valAx>
      <c:serAx>
        <c:axId val="436223856"/>
        <c:scaling>
          <c:orientation val="minMax"/>
        </c:scaling>
        <c:delete val="1"/>
        <c:axPos val="b"/>
        <c:majorTickMark val="none"/>
        <c:minorTickMark val="none"/>
        <c:tickLblPos val="nextTo"/>
        <c:crossAx val="43981944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Sayfa1!$D$80:$D$86</c:f>
              <c:strCache>
                <c:ptCount val="7"/>
                <c:pt idx="0">
                  <c:v>Buradalık Algısı</c:v>
                </c:pt>
                <c:pt idx="1">
                  <c:v>Akademik Başarı</c:v>
                </c:pt>
                <c:pt idx="2">
                  <c:v>Memnuniyet</c:v>
                </c:pt>
                <c:pt idx="3">
                  <c:v>Öğrenme Çıktıları</c:v>
                </c:pt>
                <c:pt idx="4">
                  <c:v>Cinsiyet</c:v>
                </c:pt>
                <c:pt idx="5">
                  <c:v>Eleştirel Düşünme Becerileri</c:v>
                </c:pt>
                <c:pt idx="6">
                  <c:v>Yaş</c:v>
                </c:pt>
              </c:strCache>
            </c:strRef>
          </c:cat>
          <c:val>
            <c:numRef>
              <c:f>Sayfa1!$E$80:$E$86</c:f>
              <c:numCache>
                <c:formatCode>General</c:formatCode>
                <c:ptCount val="7"/>
                <c:pt idx="0">
                  <c:v>24</c:v>
                </c:pt>
                <c:pt idx="1">
                  <c:v>11</c:v>
                </c:pt>
                <c:pt idx="2">
                  <c:v>7</c:v>
                </c:pt>
                <c:pt idx="3">
                  <c:v>5</c:v>
                </c:pt>
                <c:pt idx="4">
                  <c:v>5</c:v>
                </c:pt>
                <c:pt idx="5">
                  <c:v>5</c:v>
                </c:pt>
                <c:pt idx="6">
                  <c:v>4</c:v>
                </c:pt>
              </c:numCache>
            </c:numRef>
          </c:val>
          <c:extLst>
            <c:ext xmlns:c16="http://schemas.microsoft.com/office/drawing/2014/chart" uri="{C3380CC4-5D6E-409C-BE32-E72D297353CC}">
              <c16:uniqueId val="{00000000-F6FA-48A4-8C4D-039930C45D0D}"/>
            </c:ext>
          </c:extLst>
        </c:ser>
        <c:dLbls>
          <c:dLblPos val="inEnd"/>
          <c:showLegendKey val="0"/>
          <c:showVal val="1"/>
          <c:showCatName val="0"/>
          <c:showSerName val="0"/>
          <c:showPercent val="0"/>
          <c:showBubbleSize val="0"/>
        </c:dLbls>
        <c:gapWidth val="115"/>
        <c:overlap val="-20"/>
        <c:axId val="437430672"/>
        <c:axId val="437433952"/>
      </c:barChart>
      <c:catAx>
        <c:axId val="43743067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7433952"/>
        <c:crosses val="autoZero"/>
        <c:auto val="1"/>
        <c:lblAlgn val="ctr"/>
        <c:lblOffset val="100"/>
        <c:noMultiLvlLbl val="0"/>
      </c:catAx>
      <c:valAx>
        <c:axId val="437433952"/>
        <c:scaling>
          <c:orientation val="minMax"/>
          <c:max val="30"/>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7430672"/>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9BA-4064-B59D-1959253B6EF6}"/>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F9BA-4064-B59D-1959253B6EF6}"/>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F9BA-4064-B59D-1959253B6EF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Sayfa1!$D$26:$D$28</c:f>
              <c:strCache>
                <c:ptCount val="3"/>
                <c:pt idx="0">
                  <c:v>Nitel</c:v>
                </c:pt>
                <c:pt idx="1">
                  <c:v>Nicel</c:v>
                </c:pt>
                <c:pt idx="2">
                  <c:v>Karma</c:v>
                </c:pt>
              </c:strCache>
            </c:strRef>
          </c:cat>
          <c:val>
            <c:numRef>
              <c:f>Sayfa1!$E$26:$E$28</c:f>
              <c:numCache>
                <c:formatCode>General</c:formatCode>
                <c:ptCount val="3"/>
                <c:pt idx="0">
                  <c:v>9</c:v>
                </c:pt>
                <c:pt idx="1">
                  <c:v>11</c:v>
                </c:pt>
                <c:pt idx="2">
                  <c:v>22</c:v>
                </c:pt>
              </c:numCache>
            </c:numRef>
          </c:val>
          <c:extLst>
            <c:ext xmlns:c16="http://schemas.microsoft.com/office/drawing/2014/chart" uri="{C3380CC4-5D6E-409C-BE32-E72D297353CC}">
              <c16:uniqueId val="{00000006-F9BA-4064-B59D-1959253B6E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B17-4D71-9497-9B86D3909A94}"/>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B17-4D71-9497-9B86D3909A94}"/>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B17-4D71-9497-9B86D3909A94}"/>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BB17-4D71-9497-9B86D3909A94}"/>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bestFit"/>
              <c:showLegendKey val="0"/>
              <c:showVal val="1"/>
              <c:showCatName val="0"/>
              <c:showSerName val="0"/>
              <c:showPercent val="0"/>
              <c:showBubbleSize val="0"/>
              <c:extLst>
                <c:ext xmlns:c16="http://schemas.microsoft.com/office/drawing/2014/chart" uri="{C3380CC4-5D6E-409C-BE32-E72D297353CC}">
                  <c16:uniqueId val="{00000001-BB17-4D71-9497-9B86D3909A94}"/>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bestFit"/>
              <c:showLegendKey val="0"/>
              <c:showVal val="1"/>
              <c:showCatName val="0"/>
              <c:showSerName val="0"/>
              <c:showPercent val="0"/>
              <c:showBubbleSize val="0"/>
              <c:extLst>
                <c:ext xmlns:c16="http://schemas.microsoft.com/office/drawing/2014/chart" uri="{C3380CC4-5D6E-409C-BE32-E72D297353CC}">
                  <c16:uniqueId val="{00000003-BB17-4D71-9497-9B86D3909A94}"/>
                </c:ext>
              </c:extLst>
            </c:dLbl>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bestFit"/>
              <c:showLegendKey val="0"/>
              <c:showVal val="1"/>
              <c:showCatName val="0"/>
              <c:showSerName val="0"/>
              <c:showPercent val="0"/>
              <c:showBubbleSize val="0"/>
              <c:extLst>
                <c:ext xmlns:c16="http://schemas.microsoft.com/office/drawing/2014/chart" uri="{C3380CC4-5D6E-409C-BE32-E72D297353CC}">
                  <c16:uniqueId val="{00000005-BB17-4D71-9497-9B86D3909A94}"/>
                </c:ext>
              </c:extLst>
            </c:dLbl>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bestFit"/>
              <c:showLegendKey val="0"/>
              <c:showVal val="1"/>
              <c:showCatName val="0"/>
              <c:showSerName val="0"/>
              <c:showPercent val="0"/>
              <c:showBubbleSize val="0"/>
              <c:extLst>
                <c:ext xmlns:c16="http://schemas.microsoft.com/office/drawing/2014/chart" uri="{C3380CC4-5D6E-409C-BE32-E72D297353CC}">
                  <c16:uniqueId val="{00000007-BB17-4D71-9497-9B86D3909A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Sayfa1!$D$60:$D$63</c:f>
              <c:strCache>
                <c:ptCount val="4"/>
                <c:pt idx="0">
                  <c:v>Ölçek</c:v>
                </c:pt>
                <c:pt idx="1">
                  <c:v>Görüş Formları</c:v>
                </c:pt>
                <c:pt idx="2">
                  <c:v>Mülakat</c:v>
                </c:pt>
                <c:pt idx="3">
                  <c:v>Video Ders Analizi</c:v>
                </c:pt>
              </c:strCache>
            </c:strRef>
          </c:cat>
          <c:val>
            <c:numRef>
              <c:f>Sayfa1!$E$60:$E$63</c:f>
              <c:numCache>
                <c:formatCode>General</c:formatCode>
                <c:ptCount val="4"/>
                <c:pt idx="0">
                  <c:v>34</c:v>
                </c:pt>
                <c:pt idx="1">
                  <c:v>16</c:v>
                </c:pt>
                <c:pt idx="2">
                  <c:v>10</c:v>
                </c:pt>
                <c:pt idx="3">
                  <c:v>4</c:v>
                </c:pt>
              </c:numCache>
            </c:numRef>
          </c:val>
          <c:extLst>
            <c:ext xmlns:c16="http://schemas.microsoft.com/office/drawing/2014/chart" uri="{C3380CC4-5D6E-409C-BE32-E72D297353CC}">
              <c16:uniqueId val="{00000008-BB17-4D71-9497-9B86D3909A9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2"/>
          <c:order val="2"/>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21BB-4A10-8BCB-F55E0D605357}"/>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3-21BB-4A10-8BCB-F55E0D605357}"/>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5-21BB-4A10-8BCB-F55E0D605357}"/>
              </c:ext>
            </c:extLst>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7-21BB-4A10-8BCB-F55E0D605357}"/>
              </c:ext>
            </c:extLst>
          </c:dPt>
          <c:dPt>
            <c:idx val="4"/>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09-21BB-4A10-8BCB-F55E0D6053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tr-TR"/>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Sayfa1!$D$39:$D$43</c:f>
              <c:strCache>
                <c:ptCount val="5"/>
                <c:pt idx="0">
                  <c:v>ATM'nin Tüm Bileşenleri</c:v>
                </c:pt>
                <c:pt idx="1">
                  <c:v>Sosyal Buradalık</c:v>
                </c:pt>
                <c:pt idx="2">
                  <c:v>Bilişsel Buradalık</c:v>
                </c:pt>
                <c:pt idx="3">
                  <c:v>Öğretimsel Buradalık</c:v>
                </c:pt>
                <c:pt idx="4">
                  <c:v>Bilişsel ve Sosyal Buradalık</c:v>
                </c:pt>
              </c:strCache>
            </c:strRef>
          </c:cat>
          <c:val>
            <c:numRef>
              <c:f>Sayfa1!$G$39:$G$43</c:f>
              <c:numCache>
                <c:formatCode>General</c:formatCode>
                <c:ptCount val="5"/>
                <c:pt idx="0">
                  <c:v>30</c:v>
                </c:pt>
                <c:pt idx="1">
                  <c:v>8</c:v>
                </c:pt>
                <c:pt idx="2">
                  <c:v>1</c:v>
                </c:pt>
                <c:pt idx="3">
                  <c:v>1</c:v>
                </c:pt>
                <c:pt idx="4">
                  <c:v>2</c:v>
                </c:pt>
              </c:numCache>
            </c:numRef>
          </c:val>
          <c:extLst>
            <c:ext xmlns:c16="http://schemas.microsoft.com/office/drawing/2014/chart" uri="{C3380CC4-5D6E-409C-BE32-E72D297353CC}">
              <c16:uniqueId val="{0000000A-21BB-4A10-8BCB-F55E0D605357}"/>
            </c:ext>
          </c:extLst>
        </c:ser>
        <c:dLbls>
          <c:dLblPos val="inEnd"/>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C-21BB-4A10-8BCB-F55E0D605357}"/>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E-21BB-4A10-8BCB-F55E0D605357}"/>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10-21BB-4A10-8BCB-F55E0D605357}"/>
                    </c:ext>
                  </c:extLst>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12-21BB-4A10-8BCB-F55E0D605357}"/>
                    </c:ext>
                  </c:extLst>
                </c:dPt>
                <c:dPt>
                  <c:idx val="4"/>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c:ext xmlns:c16="http://schemas.microsoft.com/office/drawing/2014/chart" uri="{C3380CC4-5D6E-409C-BE32-E72D297353CC}">
                      <c16:uniqueId val="{00000014-21BB-4A10-8BCB-F55E0D6053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uri="{CE6537A1-D6FC-4f65-9D91-7224C49458BB}"/>
                  </c:extLst>
                </c:dLbls>
                <c:cat>
                  <c:strRef>
                    <c:extLst>
                      <c:ext uri="{02D57815-91ED-43cb-92C2-25804820EDAC}">
                        <c15:formulaRef>
                          <c15:sqref>Sayfa1!$D$39:$D$43</c15:sqref>
                        </c15:formulaRef>
                      </c:ext>
                    </c:extLst>
                    <c:strCache>
                      <c:ptCount val="5"/>
                      <c:pt idx="0">
                        <c:v>ATM'nin Tüm Bileşenleri</c:v>
                      </c:pt>
                      <c:pt idx="1">
                        <c:v>Sosyal Buradalık</c:v>
                      </c:pt>
                      <c:pt idx="2">
                        <c:v>Bilişsel Buradalık</c:v>
                      </c:pt>
                      <c:pt idx="3">
                        <c:v>Öğretimsel Buradalık</c:v>
                      </c:pt>
                      <c:pt idx="4">
                        <c:v>Bilişsel ve Sosyal Buradalık</c:v>
                      </c:pt>
                    </c:strCache>
                  </c:strRef>
                </c:cat>
                <c:val>
                  <c:numRef>
                    <c:extLst>
                      <c:ext uri="{02D57815-91ED-43cb-92C2-25804820EDAC}">
                        <c15:formulaRef>
                          <c15:sqref>Sayfa1!$E$39:$E$43</c15:sqref>
                        </c15:formulaRef>
                      </c:ext>
                    </c:extLst>
                    <c:numCache>
                      <c:formatCode>General</c:formatCode>
                      <c:ptCount val="5"/>
                    </c:numCache>
                  </c:numRef>
                </c:val>
                <c:extLst>
                  <c:ext xmlns:c16="http://schemas.microsoft.com/office/drawing/2014/chart" uri="{C3380CC4-5D6E-409C-BE32-E72D297353CC}">
                    <c16:uniqueId val="{00000015-21BB-4A10-8BCB-F55E0D605357}"/>
                  </c:ext>
                </c:extLst>
              </c15:ser>
            </c15:filteredPieSeries>
            <c15:filteredPieSeries>
              <c15:ser>
                <c:idx val="1"/>
                <c:order val="1"/>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5="http://schemas.microsoft.com/office/drawing/2012/chart">
                    <c:ext xmlns:c16="http://schemas.microsoft.com/office/drawing/2014/chart" uri="{C3380CC4-5D6E-409C-BE32-E72D297353CC}">
                      <c16:uniqueId val="{00000017-21BB-4A10-8BCB-F55E0D605357}"/>
                    </c:ext>
                  </c:extLst>
                </c:dPt>
                <c:dPt>
                  <c:idx val="1"/>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5="http://schemas.microsoft.com/office/drawing/2012/chart">
                    <c:ext xmlns:c16="http://schemas.microsoft.com/office/drawing/2014/chart" uri="{C3380CC4-5D6E-409C-BE32-E72D297353CC}">
                      <c16:uniqueId val="{00000019-21BB-4A10-8BCB-F55E0D605357}"/>
                    </c:ext>
                  </c:extLst>
                </c:dPt>
                <c:dPt>
                  <c:idx val="2"/>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5="http://schemas.microsoft.com/office/drawing/2012/chart">
                    <c:ext xmlns:c16="http://schemas.microsoft.com/office/drawing/2014/chart" uri="{C3380CC4-5D6E-409C-BE32-E72D297353CC}">
                      <c16:uniqueId val="{0000001B-21BB-4A10-8BCB-F55E0D605357}"/>
                    </c:ext>
                  </c:extLst>
                </c:dPt>
                <c:dPt>
                  <c:idx val="3"/>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5="http://schemas.microsoft.com/office/drawing/2012/chart">
                    <c:ext xmlns:c16="http://schemas.microsoft.com/office/drawing/2014/chart" uri="{C3380CC4-5D6E-409C-BE32-E72D297353CC}">
                      <c16:uniqueId val="{0000001D-21BB-4A10-8BCB-F55E0D605357}"/>
                    </c:ext>
                  </c:extLst>
                </c:dPt>
                <c:dPt>
                  <c:idx val="4"/>
                  <c:bubble3D val="0"/>
                  <c:spPr>
                    <a:gradFill>
                      <a:gsLst>
                        <a:gs pos="100000">
                          <a:schemeClr val="accent3">
                            <a:lumMod val="60000"/>
                            <a:lumMod val="60000"/>
                            <a:lumOff val="40000"/>
                          </a:schemeClr>
                        </a:gs>
                        <a:gs pos="0">
                          <a:schemeClr val="accent3">
                            <a:lumMod val="60000"/>
                          </a:schemeClr>
                        </a:gs>
                      </a:gsLst>
                      <a:lin ang="5400000" scaled="0"/>
                    </a:gradFill>
                    <a:ln w="19050">
                      <a:solidFill>
                        <a:schemeClr val="lt1"/>
                      </a:solidFill>
                    </a:ln>
                    <a:effectLst/>
                  </c:spPr>
                  <c:extLst xmlns:c15="http://schemas.microsoft.com/office/drawing/2012/chart">
                    <c:ext xmlns:c16="http://schemas.microsoft.com/office/drawing/2014/chart" uri="{C3380CC4-5D6E-409C-BE32-E72D297353CC}">
                      <c16:uniqueId val="{0000001F-21BB-4A10-8BCB-F55E0D6053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xmlns:c15="http://schemas.microsoft.com/office/drawing/2012/chart">
                    <c:ext xmlns:c15="http://schemas.microsoft.com/office/drawing/2012/chart" uri="{CE6537A1-D6FC-4f65-9D91-7224C49458BB}"/>
                  </c:extLst>
                </c:dLbls>
                <c:cat>
                  <c:strRef>
                    <c:extLst xmlns:c15="http://schemas.microsoft.com/office/drawing/2012/chart">
                      <c:ext xmlns:c15="http://schemas.microsoft.com/office/drawing/2012/chart" uri="{02D57815-91ED-43cb-92C2-25804820EDAC}">
                        <c15:formulaRef>
                          <c15:sqref>Sayfa1!$D$39:$D$43</c15:sqref>
                        </c15:formulaRef>
                      </c:ext>
                    </c:extLst>
                    <c:strCache>
                      <c:ptCount val="5"/>
                      <c:pt idx="0">
                        <c:v>ATM'nin Tüm Bileşenleri</c:v>
                      </c:pt>
                      <c:pt idx="1">
                        <c:v>Sosyal Buradalık</c:v>
                      </c:pt>
                      <c:pt idx="2">
                        <c:v>Bilişsel Buradalık</c:v>
                      </c:pt>
                      <c:pt idx="3">
                        <c:v>Öğretimsel Buradalık</c:v>
                      </c:pt>
                      <c:pt idx="4">
                        <c:v>Bilişsel ve Sosyal Buradalık</c:v>
                      </c:pt>
                    </c:strCache>
                  </c:strRef>
                </c:cat>
                <c:val>
                  <c:numRef>
                    <c:extLst xmlns:c15="http://schemas.microsoft.com/office/drawing/2012/chart">
                      <c:ext xmlns:c15="http://schemas.microsoft.com/office/drawing/2012/chart" uri="{02D57815-91ED-43cb-92C2-25804820EDAC}">
                        <c15:formulaRef>
                          <c15:sqref>Sayfa1!$F$39:$F$43</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20-21BB-4A10-8BCB-F55E0D605357}"/>
                  </c:ext>
                </c:extLst>
              </c15:ser>
            </c15:filteredPieSeries>
          </c:ext>
        </c:extLst>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12632</Characters>
  <Application>Microsoft Office Word</Application>
  <DocSecurity>0</DocSecurity>
  <Lines>105</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Merve AYDIN</cp:lastModifiedBy>
  <cp:revision>2</cp:revision>
  <dcterms:created xsi:type="dcterms:W3CDTF">2022-11-09T08:47:00Z</dcterms:created>
  <dcterms:modified xsi:type="dcterms:W3CDTF">2022-11-09T08:47:00Z</dcterms:modified>
</cp:coreProperties>
</file>