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0806" w14:textId="01EE3790" w:rsidR="00F44FEC" w:rsidRPr="00C23102" w:rsidRDefault="00F44FEC" w:rsidP="003A7803">
      <w:pPr>
        <w:spacing w:after="120"/>
        <w:ind w:left="0"/>
        <w:jc w:val="left"/>
        <w:rPr>
          <w:b/>
          <w:bCs/>
          <w:sz w:val="24"/>
          <w:szCs w:val="24"/>
        </w:rPr>
      </w:pPr>
      <w:bookmarkStart w:id="0" w:name="_Hlk85189177"/>
      <w:bookmarkEnd w:id="0"/>
      <w:r w:rsidRPr="00C23102">
        <w:rPr>
          <w:b/>
          <w:bCs/>
          <w:sz w:val="24"/>
          <w:szCs w:val="24"/>
        </w:rPr>
        <w:t>NETWORK ANALYSIS OF SAMSUN INNOVATION ECOSYSTEM</w:t>
      </w:r>
    </w:p>
    <w:p w14:paraId="2065775F" w14:textId="4941147E" w:rsidR="00C23102" w:rsidRPr="00C23102" w:rsidRDefault="00F44FEC" w:rsidP="00C23102">
      <w:pPr>
        <w:pStyle w:val="BodyText"/>
        <w:ind w:left="0"/>
      </w:pPr>
      <w:r w:rsidRPr="00C23102">
        <w:t>Okan GÜMÜŞ</w:t>
      </w:r>
      <w:r w:rsidR="00C23102" w:rsidRPr="00C23102">
        <w:t xml:space="preserve"> / </w:t>
      </w:r>
      <w:r w:rsidR="00C23102" w:rsidRPr="00C23102">
        <w:t xml:space="preserve">ORCID ID: </w:t>
      </w:r>
      <w:r w:rsidR="00C23102" w:rsidRPr="00C23102">
        <w:rPr>
          <w:i/>
        </w:rPr>
        <w:t>https://orcid.org/0000-0003-2406-4159.</w:t>
      </w:r>
    </w:p>
    <w:p w14:paraId="722EB4E4" w14:textId="2957A42E" w:rsidR="00F44FEC" w:rsidRPr="00C23102" w:rsidRDefault="00F44FEC" w:rsidP="003A7803">
      <w:pPr>
        <w:spacing w:after="120"/>
        <w:ind w:left="0"/>
        <w:jc w:val="left"/>
        <w:rPr>
          <w:b/>
          <w:bCs/>
          <w:sz w:val="24"/>
          <w:szCs w:val="24"/>
        </w:rPr>
      </w:pPr>
      <w:r w:rsidRPr="00C23102">
        <w:rPr>
          <w:b/>
          <w:bCs/>
          <w:sz w:val="24"/>
          <w:szCs w:val="24"/>
        </w:rPr>
        <w:t>ABSTRACT</w:t>
      </w:r>
    </w:p>
    <w:p w14:paraId="1D0D9C89" w14:textId="1EA487AE" w:rsidR="006C0EE7" w:rsidRPr="00C23102" w:rsidRDefault="00F44FEC" w:rsidP="00650970">
      <w:pPr>
        <w:spacing w:before="0" w:line="240" w:lineRule="auto"/>
        <w:ind w:left="0"/>
        <w:rPr>
          <w:i/>
          <w:iCs/>
          <w:sz w:val="20"/>
          <w:szCs w:val="20"/>
        </w:rPr>
      </w:pPr>
      <w:r w:rsidRPr="00C23102">
        <w:rPr>
          <w:i/>
          <w:iCs/>
          <w:sz w:val="20"/>
          <w:szCs w:val="20"/>
        </w:rPr>
        <w:t xml:space="preserve">This </w:t>
      </w:r>
      <w:r w:rsidR="009A6CD2" w:rsidRPr="00C23102">
        <w:rPr>
          <w:i/>
          <w:iCs/>
          <w:sz w:val="20"/>
          <w:szCs w:val="20"/>
        </w:rPr>
        <w:t>research</w:t>
      </w:r>
      <w:r w:rsidRPr="00C23102">
        <w:rPr>
          <w:i/>
          <w:iCs/>
          <w:sz w:val="20"/>
          <w:szCs w:val="20"/>
        </w:rPr>
        <w:t xml:space="preserve"> is about to explain the features of Samsun innovation ecosystem</w:t>
      </w:r>
      <w:r w:rsidR="009A6CD2" w:rsidRPr="00C23102">
        <w:rPr>
          <w:i/>
          <w:iCs/>
          <w:sz w:val="20"/>
          <w:szCs w:val="20"/>
        </w:rPr>
        <w:t xml:space="preserve">. </w:t>
      </w:r>
      <w:r w:rsidRPr="00C23102">
        <w:rPr>
          <w:i/>
          <w:iCs/>
          <w:sz w:val="20"/>
          <w:szCs w:val="20"/>
        </w:rPr>
        <w:t xml:space="preserve">The study aims to determine the way Samsun region has taken in Innovation indicators the development of the ecosystem. Exact purpose is to develop innovation data set, to collect the secondary data, and to analyse the performances of the academic and private sector on innovation. The main question is what are the features of Samsun innovation ecosystem network and/or how is the Samsun innovation ecosystem network explained? This research is the first, but not last, academic study which combines theoretical and practical perspectives on innovation ecosystem network analysis in provincial level in Turkey. Having reviewed the previous studies prepared by development agencies, including OKA in Samsun and theoretical background from the researchers such as Freeman C. and Luc S., Curley M.G., Moore C.F., Gomes L.A., Dedehayir O., Burt R.S. and Barabasi A.L. for the concept of Innovation Network and Ecosystem Analysis. As a methodology, </w:t>
      </w:r>
      <w:r w:rsidR="009A6CD2" w:rsidRPr="00C23102">
        <w:rPr>
          <w:i/>
          <w:iCs/>
          <w:sz w:val="20"/>
          <w:szCs w:val="20"/>
        </w:rPr>
        <w:t>f</w:t>
      </w:r>
      <w:r w:rsidR="009A6CD2" w:rsidRPr="00C23102">
        <w:rPr>
          <w:i/>
          <w:iCs/>
          <w:sz w:val="20"/>
          <w:szCs w:val="20"/>
        </w:rPr>
        <w:t xml:space="preserve">irstly, </w:t>
      </w:r>
      <w:r w:rsidR="009A6CD2" w:rsidRPr="00C23102">
        <w:rPr>
          <w:i/>
          <w:iCs/>
          <w:sz w:val="20"/>
          <w:szCs w:val="20"/>
        </w:rPr>
        <w:t>it</w:t>
      </w:r>
      <w:r w:rsidR="009A6CD2" w:rsidRPr="00C23102">
        <w:rPr>
          <w:i/>
          <w:iCs/>
          <w:sz w:val="20"/>
          <w:szCs w:val="20"/>
        </w:rPr>
        <w:t xml:space="preserve"> started with </w:t>
      </w:r>
      <w:r w:rsidR="00AD3DA5" w:rsidRPr="00C23102">
        <w:rPr>
          <w:i/>
          <w:iCs/>
          <w:sz w:val="20"/>
          <w:szCs w:val="20"/>
        </w:rPr>
        <w:t>desk research</w:t>
      </w:r>
      <w:r w:rsidR="009A6CD2" w:rsidRPr="00C23102">
        <w:rPr>
          <w:i/>
          <w:iCs/>
          <w:sz w:val="20"/>
          <w:szCs w:val="20"/>
        </w:rPr>
        <w:t>, that provided qualitative and quantitative data. Literature research has been done and innovation network and ecosystem analysis examples have been examined</w:t>
      </w:r>
      <w:r w:rsidR="009A6CD2" w:rsidRPr="00C23102">
        <w:rPr>
          <w:i/>
          <w:iCs/>
          <w:sz w:val="20"/>
          <w:szCs w:val="20"/>
        </w:rPr>
        <w:t xml:space="preserve"> then </w:t>
      </w:r>
      <w:r w:rsidRPr="00C23102">
        <w:rPr>
          <w:i/>
          <w:iCs/>
          <w:sz w:val="20"/>
          <w:szCs w:val="20"/>
        </w:rPr>
        <w:t xml:space="preserve">specified </w:t>
      </w:r>
      <w:r w:rsidR="009A6CD2" w:rsidRPr="00C23102">
        <w:rPr>
          <w:i/>
          <w:iCs/>
          <w:sz w:val="20"/>
          <w:szCs w:val="20"/>
        </w:rPr>
        <w:t xml:space="preserve">indicator set </w:t>
      </w:r>
      <w:r w:rsidR="009A6CD2" w:rsidRPr="00C23102">
        <w:rPr>
          <w:i/>
          <w:iCs/>
          <w:sz w:val="20"/>
          <w:szCs w:val="20"/>
        </w:rPr>
        <w:t>which consists of nineteen (19) indicators and three sections as institutional, academic and industry indicators</w:t>
      </w:r>
      <w:r w:rsidR="009A6CD2" w:rsidRPr="00C23102">
        <w:rPr>
          <w:i/>
          <w:iCs/>
          <w:sz w:val="20"/>
          <w:szCs w:val="20"/>
        </w:rPr>
        <w:t xml:space="preserve"> and data collected from the relevant institutions.</w:t>
      </w:r>
      <w:r w:rsidRPr="00C23102">
        <w:rPr>
          <w:i/>
          <w:iCs/>
          <w:sz w:val="20"/>
          <w:szCs w:val="20"/>
        </w:rPr>
        <w:t xml:space="preserve"> This research was prepared under the limitations of geographical coverage of Samsun</w:t>
      </w:r>
      <w:r w:rsidR="009A6CD2" w:rsidRPr="00C23102">
        <w:rPr>
          <w:i/>
          <w:iCs/>
          <w:sz w:val="20"/>
          <w:szCs w:val="20"/>
        </w:rPr>
        <w:t xml:space="preserve"> </w:t>
      </w:r>
      <w:r w:rsidRPr="00C23102">
        <w:rPr>
          <w:i/>
          <w:iCs/>
          <w:sz w:val="20"/>
          <w:szCs w:val="20"/>
        </w:rPr>
        <w:t>and exclusion of private sector companies. The findings of this study are that Samsun has a great infrastructure in human capital of researchers and interface institutions although not having great performances in private sector. For the result-oriented performance, there is a need for a stronger university-industry cooperation model on a city scale so, this cooperation will both support the university and contribute to the holistic development of the province in the medium and long term.</w:t>
      </w:r>
    </w:p>
    <w:p w14:paraId="2849E515" w14:textId="77777777" w:rsidR="006C0EE7" w:rsidRPr="00C23102" w:rsidRDefault="006C0EE7" w:rsidP="00650970">
      <w:pPr>
        <w:spacing w:before="0" w:line="240" w:lineRule="auto"/>
        <w:ind w:left="0"/>
        <w:rPr>
          <w:i/>
          <w:iCs/>
          <w:sz w:val="20"/>
          <w:szCs w:val="20"/>
        </w:rPr>
      </w:pPr>
    </w:p>
    <w:p w14:paraId="6236FC8B" w14:textId="77777777" w:rsidR="003A7803" w:rsidRPr="00C23102" w:rsidRDefault="006C0EE7" w:rsidP="00650970">
      <w:pPr>
        <w:spacing w:before="0" w:line="240" w:lineRule="auto"/>
        <w:ind w:left="0"/>
        <w:rPr>
          <w:i/>
          <w:iCs/>
          <w:sz w:val="20"/>
          <w:szCs w:val="20"/>
        </w:rPr>
      </w:pPr>
      <w:r w:rsidRPr="00C23102">
        <w:rPr>
          <w:b/>
          <w:bCs/>
          <w:i/>
          <w:iCs/>
          <w:sz w:val="20"/>
          <w:szCs w:val="20"/>
        </w:rPr>
        <w:t>Keywords</w:t>
      </w:r>
      <w:r w:rsidRPr="00C23102">
        <w:rPr>
          <w:i/>
          <w:iCs/>
          <w:sz w:val="20"/>
          <w:szCs w:val="20"/>
        </w:rPr>
        <w:t xml:space="preserve">: </w:t>
      </w:r>
      <w:r w:rsidRPr="00C23102">
        <w:rPr>
          <w:i/>
          <w:iCs/>
          <w:sz w:val="20"/>
          <w:szCs w:val="20"/>
        </w:rPr>
        <w:t>Innovation</w:t>
      </w:r>
      <w:r w:rsidRPr="00C23102">
        <w:rPr>
          <w:i/>
          <w:iCs/>
          <w:sz w:val="20"/>
          <w:szCs w:val="20"/>
        </w:rPr>
        <w:t xml:space="preserve">, </w:t>
      </w:r>
      <w:r w:rsidRPr="00C23102">
        <w:rPr>
          <w:i/>
          <w:iCs/>
          <w:sz w:val="20"/>
          <w:szCs w:val="20"/>
        </w:rPr>
        <w:t>Ecosystem</w:t>
      </w:r>
      <w:r w:rsidRPr="00C23102">
        <w:rPr>
          <w:i/>
          <w:iCs/>
          <w:sz w:val="20"/>
          <w:szCs w:val="20"/>
        </w:rPr>
        <w:t xml:space="preserve">, </w:t>
      </w:r>
      <w:r w:rsidRPr="00C23102">
        <w:rPr>
          <w:i/>
          <w:iCs/>
          <w:sz w:val="20"/>
          <w:szCs w:val="20"/>
        </w:rPr>
        <w:t xml:space="preserve">Innovation Ecosystem, </w:t>
      </w:r>
      <w:r w:rsidRPr="00C23102">
        <w:rPr>
          <w:i/>
          <w:iCs/>
          <w:sz w:val="20"/>
          <w:szCs w:val="20"/>
        </w:rPr>
        <w:t>Samsun</w:t>
      </w:r>
    </w:p>
    <w:p w14:paraId="6F500A4C" w14:textId="6961A655" w:rsidR="00F44FEC" w:rsidRPr="00C23102" w:rsidRDefault="006C0EE7" w:rsidP="00650970">
      <w:pPr>
        <w:spacing w:before="0" w:line="240" w:lineRule="auto"/>
        <w:ind w:left="0"/>
        <w:rPr>
          <w:i/>
          <w:iCs/>
          <w:sz w:val="20"/>
          <w:szCs w:val="20"/>
        </w:rPr>
      </w:pPr>
      <w:r w:rsidRPr="00C23102">
        <w:rPr>
          <w:i/>
          <w:iCs/>
          <w:sz w:val="20"/>
          <w:szCs w:val="20"/>
        </w:rPr>
        <w:t xml:space="preserve"> </w:t>
      </w:r>
      <w:r w:rsidR="00F44FEC" w:rsidRPr="00C23102">
        <w:rPr>
          <w:i/>
          <w:iCs/>
          <w:sz w:val="20"/>
          <w:szCs w:val="20"/>
        </w:rPr>
        <w:t xml:space="preserve">  </w:t>
      </w:r>
    </w:p>
    <w:p w14:paraId="6CA7F16E" w14:textId="77777777" w:rsidR="00F44FEC" w:rsidRPr="00C23102" w:rsidRDefault="00F44FEC" w:rsidP="00650970">
      <w:pPr>
        <w:spacing w:before="0" w:line="240" w:lineRule="auto"/>
        <w:ind w:left="0"/>
        <w:jc w:val="center"/>
        <w:rPr>
          <w:i/>
          <w:iCs/>
          <w:sz w:val="20"/>
          <w:szCs w:val="20"/>
        </w:rPr>
      </w:pPr>
    </w:p>
    <w:p w14:paraId="1E87C710" w14:textId="5F4AF677" w:rsidR="00CB5900" w:rsidRPr="00C23102" w:rsidRDefault="006C0EE7" w:rsidP="006C0EE7">
      <w:pPr>
        <w:pStyle w:val="Balk11"/>
        <w:spacing w:before="120" w:after="120"/>
        <w:ind w:left="0" w:right="74"/>
        <w:jc w:val="both"/>
        <w:rPr>
          <w:rFonts w:ascii="Times" w:hAnsi="Times"/>
          <w:color w:val="000000" w:themeColor="text1"/>
          <w:sz w:val="24"/>
          <w:szCs w:val="24"/>
        </w:rPr>
      </w:pPr>
      <w:r w:rsidRPr="00C23102">
        <w:rPr>
          <w:rFonts w:ascii="Times" w:hAnsi="Times"/>
          <w:color w:val="000000" w:themeColor="text1"/>
          <w:sz w:val="24"/>
          <w:szCs w:val="24"/>
        </w:rPr>
        <w:t xml:space="preserve">1. </w:t>
      </w:r>
      <w:r w:rsidR="00CB5900" w:rsidRPr="00C23102">
        <w:rPr>
          <w:rFonts w:ascii="Times" w:hAnsi="Times"/>
          <w:color w:val="000000" w:themeColor="text1"/>
          <w:sz w:val="24"/>
          <w:szCs w:val="24"/>
        </w:rPr>
        <w:t>INTRODUCTION</w:t>
      </w:r>
      <w:r w:rsidR="00F23F36" w:rsidRPr="00C23102">
        <w:rPr>
          <w:rFonts w:ascii="Times" w:hAnsi="Times"/>
          <w:color w:val="000000" w:themeColor="text1"/>
          <w:sz w:val="24"/>
          <w:szCs w:val="24"/>
        </w:rPr>
        <w:t>;</w:t>
      </w:r>
      <w:r w:rsidR="00987214" w:rsidRPr="00C23102">
        <w:rPr>
          <w:rFonts w:ascii="Times" w:hAnsi="Times"/>
          <w:color w:val="000000" w:themeColor="text1"/>
          <w:sz w:val="24"/>
          <w:szCs w:val="24"/>
        </w:rPr>
        <w:t xml:space="preserve"> </w:t>
      </w:r>
      <w:r w:rsidR="00CB5900" w:rsidRPr="00C23102">
        <w:rPr>
          <w:rFonts w:ascii="Times" w:hAnsi="Times"/>
          <w:color w:val="000000" w:themeColor="text1"/>
          <w:sz w:val="24"/>
          <w:szCs w:val="24"/>
        </w:rPr>
        <w:t xml:space="preserve">THE PROBLEM AND CONTEXT OF THE RESEARCH </w:t>
      </w:r>
    </w:p>
    <w:p w14:paraId="3E6CA688" w14:textId="77777777" w:rsidR="006C0EE7" w:rsidRPr="00C23102" w:rsidRDefault="00CB5900" w:rsidP="006C0EE7">
      <w:pPr>
        <w:pStyle w:val="BodyText"/>
        <w:spacing w:line="240" w:lineRule="auto"/>
        <w:ind w:left="0" w:firstLine="709"/>
        <w:rPr>
          <w:rFonts w:ascii="Times" w:hAnsi="Times"/>
          <w:color w:val="000000" w:themeColor="text1"/>
        </w:rPr>
      </w:pPr>
      <w:r w:rsidRPr="00C23102">
        <w:rPr>
          <w:rFonts w:ascii="Times" w:hAnsi="Times"/>
          <w:color w:val="000000" w:themeColor="text1"/>
        </w:rPr>
        <w:t xml:space="preserve">As a result of the development in communication technologies after the 1990s, especially in the production of information, the speedy change, radical differentiation in industrial competition elements, the evolution of university-industry cooperation and the complex structures triggered by them, national or regional new technology production and development systems involving many countries. It has created a different “information value chain” that extends from distribution, commercialization, impact assessment, social control and prosperity. The main feature of this system starting from the identification of problems based on practice and social welfare, its solution, implementation, the formation of regulations on the subject and the use of the outputs and the involvement of all parties together in the regional policies involving these systems. It emphasizes the importance of establishing connections between all </w:t>
      </w:r>
      <w:r w:rsidR="00C8587E" w:rsidRPr="00C23102">
        <w:rPr>
          <w:rFonts w:ascii="Times" w:hAnsi="Times"/>
          <w:color w:val="000000" w:themeColor="text1"/>
        </w:rPr>
        <w:t>macro</w:t>
      </w:r>
      <w:r w:rsidRPr="00C23102">
        <w:rPr>
          <w:rFonts w:ascii="Times" w:hAnsi="Times"/>
          <w:color w:val="000000" w:themeColor="text1"/>
        </w:rPr>
        <w:t xml:space="preserve"> and small companies, R&amp;D institutions and industry, innovation clusters, designing and implementing public policies that will establish new connections and strengthen existing connections and highlight strong cooperation networks. There are many actors</w:t>
      </w:r>
      <w:r w:rsidR="00C8587E" w:rsidRPr="00C23102">
        <w:rPr>
          <w:rFonts w:ascii="Times" w:hAnsi="Times"/>
          <w:color w:val="000000" w:themeColor="text1"/>
        </w:rPr>
        <w:t xml:space="preserve"> such as companies, customers, investors, universities, decision makers, umbrella organizations </w:t>
      </w:r>
      <w:r w:rsidRPr="00C23102">
        <w:rPr>
          <w:rFonts w:ascii="Times" w:hAnsi="Times"/>
          <w:color w:val="000000" w:themeColor="text1"/>
        </w:rPr>
        <w:t xml:space="preserve">and collaborations between these organizations in complex structures are observed. These collaborations can be R&amp;D or a similar collaboration for an innovative project, or they can be in a network or cluster created for different purposes. </w:t>
      </w:r>
    </w:p>
    <w:p w14:paraId="723BF24E" w14:textId="77DEEE66" w:rsidR="00CB5900" w:rsidRPr="00C23102" w:rsidRDefault="00CB5900" w:rsidP="003A7803">
      <w:pPr>
        <w:pStyle w:val="BodyText"/>
        <w:ind w:left="0"/>
        <w:rPr>
          <w:rFonts w:ascii="Times" w:hAnsi="Times"/>
          <w:color w:val="000000" w:themeColor="text1"/>
        </w:rPr>
      </w:pPr>
      <w:r w:rsidRPr="00C23102">
        <w:rPr>
          <w:rFonts w:ascii="Times" w:hAnsi="Times"/>
          <w:b/>
          <w:bCs/>
          <w:color w:val="000000" w:themeColor="text1"/>
        </w:rPr>
        <w:t>1.1. Introduction to the Research Problem</w:t>
      </w:r>
    </w:p>
    <w:p w14:paraId="431D5570" w14:textId="01F1C5C1" w:rsidR="00CB5900" w:rsidRPr="00C23102" w:rsidRDefault="00CB5900" w:rsidP="00F44FEC">
      <w:pPr>
        <w:pStyle w:val="BodyText"/>
        <w:spacing w:after="120" w:line="240" w:lineRule="auto"/>
        <w:ind w:left="0" w:right="74" w:firstLine="567"/>
        <w:rPr>
          <w:rFonts w:ascii="Times" w:hAnsi="Times"/>
          <w:color w:val="000000" w:themeColor="text1"/>
        </w:rPr>
      </w:pPr>
      <w:r w:rsidRPr="00C23102">
        <w:rPr>
          <w:rFonts w:ascii="Times" w:hAnsi="Times"/>
          <w:color w:val="000000" w:themeColor="text1"/>
        </w:rPr>
        <w:t>Recently, some Turkish regional development agencies have published innovation ecosystem analysis for the regions and/or provinces they are responsible for, such as Bursa</w:t>
      </w:r>
      <w:r w:rsidR="0080057F" w:rsidRPr="00C23102">
        <w:rPr>
          <w:rFonts w:ascii="Times" w:hAnsi="Times"/>
          <w:color w:val="000000" w:themeColor="text1"/>
        </w:rPr>
        <w:t xml:space="preserve"> (BEBKA, 2020a)</w:t>
      </w:r>
      <w:r w:rsidRPr="00C23102">
        <w:rPr>
          <w:rFonts w:ascii="Times" w:hAnsi="Times"/>
          <w:color w:val="000000" w:themeColor="text1"/>
        </w:rPr>
        <w:t>, Bilecik</w:t>
      </w:r>
      <w:r w:rsidR="0080057F" w:rsidRPr="00C23102">
        <w:rPr>
          <w:rFonts w:ascii="Times" w:hAnsi="Times"/>
          <w:color w:val="000000" w:themeColor="text1"/>
        </w:rPr>
        <w:t xml:space="preserve"> (BEBKA, 2020b)</w:t>
      </w:r>
      <w:r w:rsidRPr="00C23102">
        <w:rPr>
          <w:rFonts w:ascii="Times" w:hAnsi="Times"/>
          <w:color w:val="000000" w:themeColor="text1"/>
        </w:rPr>
        <w:t>, Eski</w:t>
      </w:r>
      <w:r w:rsidR="00AD3DA5" w:rsidRPr="00C23102">
        <w:rPr>
          <w:rFonts w:ascii="Times" w:hAnsi="Times"/>
          <w:color w:val="000000" w:themeColor="text1"/>
        </w:rPr>
        <w:t>s</w:t>
      </w:r>
      <w:r w:rsidRPr="00C23102">
        <w:rPr>
          <w:rFonts w:ascii="Times" w:hAnsi="Times"/>
          <w:color w:val="000000" w:themeColor="text1"/>
        </w:rPr>
        <w:t>ehir</w:t>
      </w:r>
      <w:r w:rsidR="0080057F" w:rsidRPr="00C23102">
        <w:rPr>
          <w:rFonts w:ascii="Times" w:hAnsi="Times"/>
          <w:color w:val="000000" w:themeColor="text1"/>
        </w:rPr>
        <w:t xml:space="preserve"> (BEBKA, 2020c)</w:t>
      </w:r>
      <w:r w:rsidRPr="00C23102">
        <w:rPr>
          <w:rFonts w:ascii="Times" w:hAnsi="Times"/>
          <w:color w:val="000000" w:themeColor="text1"/>
        </w:rPr>
        <w:t xml:space="preserve"> and </w:t>
      </w:r>
      <w:r w:rsidR="00AD3DA5" w:rsidRPr="00C23102">
        <w:rPr>
          <w:rFonts w:ascii="Times" w:hAnsi="Times"/>
          <w:color w:val="000000" w:themeColor="text1"/>
        </w:rPr>
        <w:t>I</w:t>
      </w:r>
      <w:r w:rsidRPr="00C23102">
        <w:rPr>
          <w:rFonts w:ascii="Times" w:hAnsi="Times"/>
          <w:color w:val="000000" w:themeColor="text1"/>
        </w:rPr>
        <w:t>zmir</w:t>
      </w:r>
      <w:r w:rsidR="0080057F" w:rsidRPr="00C23102">
        <w:rPr>
          <w:rFonts w:ascii="Times" w:hAnsi="Times"/>
          <w:color w:val="000000" w:themeColor="text1"/>
        </w:rPr>
        <w:t xml:space="preserve"> (</w:t>
      </w:r>
      <w:r w:rsidR="00AD3DA5" w:rsidRPr="00C23102">
        <w:rPr>
          <w:rFonts w:ascii="Times" w:hAnsi="Times"/>
          <w:color w:val="000000" w:themeColor="text1"/>
        </w:rPr>
        <w:t>I</w:t>
      </w:r>
      <w:r w:rsidR="0080057F" w:rsidRPr="00C23102">
        <w:rPr>
          <w:rFonts w:ascii="Times" w:hAnsi="Times"/>
          <w:color w:val="000000" w:themeColor="text1"/>
        </w:rPr>
        <w:t xml:space="preserve">ZKA, </w:t>
      </w:r>
      <w:r w:rsidR="0080057F" w:rsidRPr="00C23102">
        <w:rPr>
          <w:rFonts w:ascii="Times" w:hAnsi="Times"/>
          <w:color w:val="000000" w:themeColor="text1"/>
        </w:rPr>
        <w:lastRenderedPageBreak/>
        <w:t>2016)</w:t>
      </w:r>
      <w:r w:rsidRPr="00C23102">
        <w:rPr>
          <w:rFonts w:ascii="Times" w:hAnsi="Times"/>
          <w:color w:val="000000" w:themeColor="text1"/>
        </w:rPr>
        <w:t xml:space="preserve">. However, these publications prepared </w:t>
      </w:r>
      <w:r w:rsidR="0080057F" w:rsidRPr="00C23102">
        <w:rPr>
          <w:rFonts w:ascii="Times" w:hAnsi="Times"/>
          <w:color w:val="000000" w:themeColor="text1"/>
        </w:rPr>
        <w:t xml:space="preserve">not </w:t>
      </w:r>
      <w:r w:rsidRPr="00C23102">
        <w:rPr>
          <w:rFonts w:ascii="Times" w:hAnsi="Times"/>
          <w:color w:val="000000" w:themeColor="text1"/>
        </w:rPr>
        <w:t xml:space="preserve">in academic </w:t>
      </w:r>
      <w:r w:rsidR="0080057F" w:rsidRPr="00C23102">
        <w:rPr>
          <w:rFonts w:ascii="Times" w:hAnsi="Times"/>
          <w:color w:val="000000" w:themeColor="text1"/>
        </w:rPr>
        <w:t xml:space="preserve">but </w:t>
      </w:r>
      <w:r w:rsidRPr="00C23102">
        <w:rPr>
          <w:rFonts w:ascii="Times" w:hAnsi="Times"/>
          <w:color w:val="000000" w:themeColor="text1"/>
        </w:rPr>
        <w:t>from a govern</w:t>
      </w:r>
      <w:r w:rsidR="00A540B2" w:rsidRPr="00C23102">
        <w:rPr>
          <w:rFonts w:ascii="Times" w:hAnsi="Times"/>
          <w:color w:val="000000" w:themeColor="text1"/>
        </w:rPr>
        <w:t>ance</w:t>
      </w:r>
      <w:r w:rsidRPr="00C23102">
        <w:rPr>
          <w:rFonts w:ascii="Times" w:hAnsi="Times"/>
          <w:color w:val="000000" w:themeColor="text1"/>
        </w:rPr>
        <w:t xml:space="preserve"> and business perspectives to </w:t>
      </w:r>
      <w:r w:rsidR="000C25AA" w:rsidRPr="00C23102">
        <w:rPr>
          <w:rFonts w:ascii="Times" w:hAnsi="Times"/>
          <w:color w:val="000000" w:themeColor="text1"/>
        </w:rPr>
        <w:t xml:space="preserve">prepare </w:t>
      </w:r>
      <w:r w:rsidR="00E53634" w:rsidRPr="00C23102">
        <w:rPr>
          <w:rFonts w:ascii="Times" w:hAnsi="Times"/>
          <w:color w:val="000000" w:themeColor="text1"/>
        </w:rPr>
        <w:t>for</w:t>
      </w:r>
      <w:r w:rsidR="000C25AA" w:rsidRPr="00C23102">
        <w:rPr>
          <w:rFonts w:ascii="Times" w:hAnsi="Times"/>
          <w:color w:val="000000" w:themeColor="text1"/>
        </w:rPr>
        <w:t xml:space="preserve"> policy making</w:t>
      </w:r>
      <w:r w:rsidR="0080057F" w:rsidRPr="00C23102">
        <w:rPr>
          <w:rFonts w:ascii="Times" w:hAnsi="Times"/>
          <w:color w:val="000000" w:themeColor="text1"/>
        </w:rPr>
        <w:t>.</w:t>
      </w:r>
      <w:r w:rsidR="00BD7256" w:rsidRPr="00C23102">
        <w:rPr>
          <w:rFonts w:ascii="Times" w:hAnsi="Times"/>
          <w:color w:val="000000" w:themeColor="text1"/>
        </w:rPr>
        <w:t xml:space="preserve"> </w:t>
      </w:r>
      <w:r w:rsidRPr="00C23102">
        <w:rPr>
          <w:rFonts w:ascii="Times" w:hAnsi="Times"/>
          <w:color w:val="000000" w:themeColor="text1"/>
        </w:rPr>
        <w:t>As a leading institution in the field of innovation in Samsun, OKA published the TR83 Middle Black Sea Regional Innovation Strategy (OKA, 2017a) includes the current status of the region, the global competitive conditions and the strategic goals of the vision that are aimed to be achieved as a unique and basic document and/or roadmap of the regional innovation. The main question of this study is “what are the features of Samsun innovation ecosystem network</w:t>
      </w:r>
      <w:r w:rsidR="006C0EE7" w:rsidRPr="00C23102">
        <w:rPr>
          <w:rFonts w:ascii="Times" w:hAnsi="Times"/>
          <w:color w:val="000000" w:themeColor="text1"/>
        </w:rPr>
        <w:t>”</w:t>
      </w:r>
      <w:r w:rsidRPr="00C23102">
        <w:rPr>
          <w:rFonts w:ascii="Times" w:hAnsi="Times"/>
          <w:color w:val="000000" w:themeColor="text1"/>
        </w:rPr>
        <w:t xml:space="preserve">? </w:t>
      </w:r>
    </w:p>
    <w:p w14:paraId="57637BF5" w14:textId="77777777" w:rsidR="00CB5900" w:rsidRPr="00C23102" w:rsidRDefault="00CB5900" w:rsidP="003A7803">
      <w:pPr>
        <w:pStyle w:val="BodyText"/>
        <w:spacing w:after="120"/>
        <w:ind w:left="0"/>
        <w:rPr>
          <w:rFonts w:ascii="Times" w:hAnsi="Times"/>
          <w:b/>
          <w:bCs/>
          <w:color w:val="000000" w:themeColor="text1"/>
        </w:rPr>
      </w:pPr>
      <w:r w:rsidRPr="00C23102">
        <w:rPr>
          <w:rFonts w:ascii="Times" w:hAnsi="Times"/>
          <w:b/>
          <w:bCs/>
          <w:color w:val="000000" w:themeColor="text1"/>
        </w:rPr>
        <w:t xml:space="preserve">1.2. Context of The Research </w:t>
      </w:r>
    </w:p>
    <w:p w14:paraId="3EA7095E" w14:textId="77777777" w:rsidR="006C0EE7" w:rsidRPr="00C23102" w:rsidRDefault="00CB5900" w:rsidP="006C0EE7">
      <w:pPr>
        <w:pStyle w:val="BodyText"/>
        <w:spacing w:after="120" w:line="240" w:lineRule="auto"/>
        <w:ind w:left="0" w:right="74" w:firstLine="567"/>
        <w:rPr>
          <w:rFonts w:ascii="Times" w:hAnsi="Times"/>
          <w:color w:val="000000" w:themeColor="text1"/>
        </w:rPr>
      </w:pPr>
      <w:r w:rsidRPr="00C23102">
        <w:rPr>
          <w:rFonts w:ascii="Times" w:hAnsi="Times"/>
          <w:color w:val="000000" w:themeColor="text1"/>
        </w:rPr>
        <w:t>Within the scope of the thesis, at beginning stage, literature research has been done and innovation network and ecosystem analysis examples have been examined. The study, aims to determine the way Samsun region has taken in R&amp;D and Innovation indicators the development of the ecosystem, consists of four different chapters. Firstly, the introduction chapter evaluates the research problem and context of the research with three sub-titles as i) Introduction to the Research Problem, ii) Context of The Research and iii) Research Aims. In the second chapter, it is reviewed the theoretical background for the concept of Innovation Network and Ecosystem Analysis</w:t>
      </w:r>
      <w:r w:rsidR="006C0EE7" w:rsidRPr="00C23102">
        <w:rPr>
          <w:rFonts w:ascii="Times" w:hAnsi="Times"/>
          <w:color w:val="000000" w:themeColor="text1"/>
        </w:rPr>
        <w:t xml:space="preserve">. </w:t>
      </w:r>
      <w:r w:rsidRPr="00C23102">
        <w:rPr>
          <w:rFonts w:ascii="Times" w:hAnsi="Times"/>
          <w:color w:val="000000" w:themeColor="text1"/>
        </w:rPr>
        <w:t xml:space="preserve">In the third chapter, covers </w:t>
      </w:r>
      <w:r w:rsidR="00BD7256" w:rsidRPr="00C23102">
        <w:rPr>
          <w:rFonts w:ascii="Times" w:hAnsi="Times"/>
          <w:color w:val="000000" w:themeColor="text1"/>
        </w:rPr>
        <w:t>o</w:t>
      </w:r>
      <w:r w:rsidRPr="00C23102">
        <w:rPr>
          <w:rFonts w:ascii="Times" w:hAnsi="Times"/>
          <w:color w:val="000000" w:themeColor="text1"/>
        </w:rPr>
        <w:t>verall Research Design Strategy, data collection methods, research procedures, data analysis and influencing factors and limitations are also taken place in this chapter.</w:t>
      </w:r>
      <w:r w:rsidR="006C0EE7" w:rsidRPr="00C23102">
        <w:rPr>
          <w:rFonts w:ascii="Times" w:hAnsi="Times"/>
          <w:color w:val="000000" w:themeColor="text1"/>
        </w:rPr>
        <w:t xml:space="preserve"> </w:t>
      </w:r>
      <w:r w:rsidRPr="00C23102">
        <w:rPr>
          <w:rFonts w:ascii="Times" w:hAnsi="Times"/>
          <w:color w:val="000000" w:themeColor="text1"/>
        </w:rPr>
        <w:t xml:space="preserve">In the last chapter current state of R&amp;D and innovation in Samsun is explained under </w:t>
      </w:r>
      <w:r w:rsidR="001F1727" w:rsidRPr="00C23102">
        <w:rPr>
          <w:rFonts w:ascii="Times" w:hAnsi="Times"/>
          <w:color w:val="000000" w:themeColor="text1"/>
        </w:rPr>
        <w:t>three</w:t>
      </w:r>
      <w:r w:rsidRPr="00C23102">
        <w:rPr>
          <w:rFonts w:ascii="Times" w:hAnsi="Times"/>
          <w:color w:val="000000" w:themeColor="text1"/>
        </w:rPr>
        <w:t xml:space="preserve"> titles within </w:t>
      </w:r>
      <w:r w:rsidR="001F1727" w:rsidRPr="00C23102">
        <w:rPr>
          <w:rFonts w:ascii="Times" w:hAnsi="Times"/>
          <w:color w:val="000000" w:themeColor="text1"/>
        </w:rPr>
        <w:t>fifteen</w:t>
      </w:r>
      <w:r w:rsidRPr="00C23102">
        <w:rPr>
          <w:rFonts w:ascii="Times" w:hAnsi="Times"/>
          <w:color w:val="000000" w:themeColor="text1"/>
        </w:rPr>
        <w:t xml:space="preserve"> sub-titles. </w:t>
      </w:r>
      <w:r w:rsidR="001F1727" w:rsidRPr="00C23102">
        <w:rPr>
          <w:rFonts w:ascii="Times" w:hAnsi="Times"/>
          <w:color w:val="000000" w:themeColor="text1"/>
        </w:rPr>
        <w:t xml:space="preserve">Academic and Research Infrastructure, Innovation Capacity in Private Sector and Infrastructure for Supporting R&amp;D and Innovation </w:t>
      </w:r>
      <w:r w:rsidRPr="00C23102">
        <w:rPr>
          <w:rFonts w:ascii="Times" w:hAnsi="Times"/>
          <w:color w:val="000000" w:themeColor="text1"/>
        </w:rPr>
        <w:t>are first part of the issues within this chapter. Finally, there are conclusions for further researchers</w:t>
      </w:r>
      <w:r w:rsidR="006C0EE7" w:rsidRPr="00C23102">
        <w:rPr>
          <w:rFonts w:ascii="Times" w:hAnsi="Times"/>
          <w:color w:val="000000" w:themeColor="text1"/>
        </w:rPr>
        <w:t>.</w:t>
      </w:r>
    </w:p>
    <w:p w14:paraId="42234995" w14:textId="77777777" w:rsidR="006C0EE7" w:rsidRPr="00C23102" w:rsidRDefault="00CB5900" w:rsidP="003A7803">
      <w:pPr>
        <w:pStyle w:val="BodyText"/>
        <w:spacing w:after="120"/>
        <w:ind w:left="0" w:right="74"/>
        <w:rPr>
          <w:rFonts w:ascii="Times" w:hAnsi="Times"/>
          <w:color w:val="000000" w:themeColor="text1"/>
        </w:rPr>
      </w:pPr>
      <w:r w:rsidRPr="00C23102">
        <w:rPr>
          <w:rFonts w:ascii="Times" w:hAnsi="Times"/>
          <w:b/>
          <w:bCs/>
          <w:color w:val="000000" w:themeColor="text1"/>
        </w:rPr>
        <w:t>1.3. The Research Aims</w:t>
      </w:r>
    </w:p>
    <w:p w14:paraId="06F3EEE4" w14:textId="529DB85F" w:rsidR="00D05B25"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 xml:space="preserve">The aim of the research was to explain the features of Samsun innovation ecosystem. The analysis was accomplished by means of three specific aims. The first was to collect official information from various institutions to determine the comparative capacity of innovation in Samsun compared to other peer cities. The second aim was to collect relational data on the flow of innovation-related information </w:t>
      </w:r>
      <w:r w:rsidR="00BD7256" w:rsidRPr="00C23102">
        <w:rPr>
          <w:rFonts w:ascii="Times" w:hAnsi="Times"/>
          <w:color w:val="000000" w:themeColor="text1"/>
        </w:rPr>
        <w:t>regarding</w:t>
      </w:r>
      <w:r w:rsidRPr="00C23102">
        <w:rPr>
          <w:rFonts w:ascii="Times" w:hAnsi="Times"/>
          <w:color w:val="000000" w:themeColor="text1"/>
        </w:rPr>
        <w:t xml:space="preserve"> innovation ecosystem of Samsun. The third aim was to (a) explain comparative capacity of innovation of Samsun compared to other peer cities</w:t>
      </w:r>
      <w:r w:rsidR="00BD7256" w:rsidRPr="00C23102">
        <w:rPr>
          <w:rFonts w:ascii="Times" w:hAnsi="Times"/>
          <w:color w:val="000000" w:themeColor="text1"/>
        </w:rPr>
        <w:t>.</w:t>
      </w:r>
      <w:r w:rsidRPr="00C23102">
        <w:rPr>
          <w:rFonts w:ascii="Times" w:hAnsi="Times"/>
          <w:color w:val="000000" w:themeColor="text1"/>
        </w:rPr>
        <w:t xml:space="preserve"> In this study, the exact purpose is developing R&amp;D and innovation indicator set, collecting and </w:t>
      </w:r>
      <w:r w:rsidR="000C25AA" w:rsidRPr="00C23102">
        <w:rPr>
          <w:rFonts w:ascii="Times" w:hAnsi="Times"/>
          <w:color w:val="000000" w:themeColor="text1"/>
        </w:rPr>
        <w:t>analysing</w:t>
      </w:r>
      <w:r w:rsidRPr="00C23102">
        <w:rPr>
          <w:rFonts w:ascii="Times" w:hAnsi="Times"/>
          <w:color w:val="000000" w:themeColor="text1"/>
        </w:rPr>
        <w:t xml:space="preserve"> the necessary secondary data from institutions and organizations related to the indicator set, </w:t>
      </w:r>
      <w:r w:rsidR="000C25AA" w:rsidRPr="00C23102">
        <w:rPr>
          <w:rFonts w:ascii="Times" w:hAnsi="Times"/>
          <w:color w:val="000000" w:themeColor="text1"/>
        </w:rPr>
        <w:t>analysing</w:t>
      </w:r>
      <w:r w:rsidRPr="00C23102">
        <w:rPr>
          <w:rFonts w:ascii="Times" w:hAnsi="Times"/>
          <w:color w:val="000000" w:themeColor="text1"/>
        </w:rPr>
        <w:t xml:space="preserve"> the R&amp;D and innovation situation of the private sector</w:t>
      </w:r>
      <w:r w:rsidR="00BD7256" w:rsidRPr="00C23102">
        <w:rPr>
          <w:rFonts w:ascii="Times" w:hAnsi="Times"/>
          <w:color w:val="000000" w:themeColor="text1"/>
        </w:rPr>
        <w:t>.</w:t>
      </w:r>
    </w:p>
    <w:p w14:paraId="07B6ECC9" w14:textId="77777777" w:rsidR="003001B3" w:rsidRPr="00C23102" w:rsidRDefault="003001B3" w:rsidP="00D05B25">
      <w:pPr>
        <w:pStyle w:val="BodyText"/>
        <w:spacing w:after="120" w:line="240" w:lineRule="auto"/>
        <w:ind w:left="0" w:right="74" w:firstLine="709"/>
        <w:rPr>
          <w:rFonts w:ascii="Times" w:hAnsi="Times"/>
          <w:color w:val="000000" w:themeColor="text1"/>
        </w:rPr>
      </w:pPr>
    </w:p>
    <w:p w14:paraId="17D1AB94" w14:textId="4049EF9A" w:rsidR="00D05B25" w:rsidRPr="00C23102" w:rsidRDefault="00D05B25" w:rsidP="00673241">
      <w:pPr>
        <w:pStyle w:val="BodyText"/>
        <w:spacing w:after="120"/>
        <w:ind w:left="0" w:right="74"/>
        <w:rPr>
          <w:rFonts w:ascii="Times" w:hAnsi="Times"/>
          <w:color w:val="000000" w:themeColor="text1"/>
        </w:rPr>
      </w:pPr>
      <w:r w:rsidRPr="00C23102">
        <w:rPr>
          <w:rFonts w:ascii="Times" w:hAnsi="Times"/>
          <w:b/>
          <w:bCs/>
          <w:color w:val="000000" w:themeColor="text1"/>
        </w:rPr>
        <w:t xml:space="preserve">2. </w:t>
      </w:r>
      <w:r w:rsidR="00CB5900" w:rsidRPr="00C23102">
        <w:rPr>
          <w:rFonts w:ascii="Times" w:hAnsi="Times"/>
          <w:b/>
          <w:bCs/>
          <w:color w:val="000000" w:themeColor="text1"/>
        </w:rPr>
        <w:t>THEORETICAL BACKGROUND FOR THE CONCEPT OF RESEARCH AND DEVELOPMENT AND INNOVATION, INNOVATION ECOSYSTEM</w:t>
      </w:r>
    </w:p>
    <w:p w14:paraId="0A14D5D7" w14:textId="3A1D79AD" w:rsidR="00CB5900" w:rsidRPr="00C23102" w:rsidRDefault="00CB5900" w:rsidP="003A7803">
      <w:pPr>
        <w:pStyle w:val="BodyText"/>
        <w:spacing w:after="120"/>
        <w:ind w:left="0" w:right="74"/>
        <w:rPr>
          <w:rFonts w:ascii="Times" w:hAnsi="Times"/>
          <w:color w:val="000000" w:themeColor="text1"/>
        </w:rPr>
      </w:pPr>
      <w:r w:rsidRPr="00C23102">
        <w:rPr>
          <w:rFonts w:ascii="Times" w:hAnsi="Times"/>
          <w:b/>
          <w:bCs/>
          <w:color w:val="000000" w:themeColor="text1"/>
        </w:rPr>
        <w:t xml:space="preserve">2.1. From Research and Development to </w:t>
      </w:r>
      <w:hyperlink w:anchor="_bookmark2" w:history="1">
        <w:r w:rsidRPr="00C23102">
          <w:rPr>
            <w:rFonts w:ascii="Times" w:hAnsi="Times"/>
            <w:b/>
            <w:bCs/>
            <w:color w:val="000000" w:themeColor="text1"/>
          </w:rPr>
          <w:t>Innovation</w:t>
        </w:r>
      </w:hyperlink>
    </w:p>
    <w:p w14:paraId="3DEEBF67" w14:textId="77777777" w:rsidR="00D05B25" w:rsidRPr="00C23102" w:rsidRDefault="00CB5900" w:rsidP="00D05B25">
      <w:pPr>
        <w:pStyle w:val="BodyText"/>
        <w:spacing w:after="120" w:line="240" w:lineRule="auto"/>
        <w:ind w:left="0" w:right="74" w:firstLine="851"/>
        <w:rPr>
          <w:rFonts w:ascii="Times" w:hAnsi="Times"/>
          <w:color w:val="000000" w:themeColor="text1"/>
        </w:rPr>
      </w:pPr>
      <w:r w:rsidRPr="00C23102">
        <w:rPr>
          <w:rFonts w:ascii="Times" w:hAnsi="Times"/>
          <w:color w:val="000000" w:themeColor="text1"/>
        </w:rPr>
        <w:t xml:space="preserve">Research is a scientific-technological activity for knowing and learning the unknown. Development is the activity of directing existing knowledge or technology to new levels with new regulations (Öğüt, 2001). R&amp;D activity can be defined as regular studies to obtain new information that will enable the development of science and technology or to produce new materials, products or tools with existing information, to create new systems, processes and services, including software production, or to develop existing ones. R&amp;D includes creative </w:t>
      </w:r>
      <w:r w:rsidRPr="00C23102">
        <w:rPr>
          <w:rFonts w:ascii="Times" w:hAnsi="Times"/>
          <w:color w:val="000000" w:themeColor="text1"/>
        </w:rPr>
        <w:lastRenderedPageBreak/>
        <w:t xml:space="preserve">works based on a systematic basis in order to increase the knowledge of the person and the society and to transform this knowledge into new practices. </w:t>
      </w:r>
    </w:p>
    <w:p w14:paraId="0A2B962D" w14:textId="77777777" w:rsidR="00D05B25" w:rsidRPr="00C23102" w:rsidRDefault="00CB5900" w:rsidP="00D05B25">
      <w:pPr>
        <w:pStyle w:val="BodyText"/>
        <w:spacing w:after="120" w:line="240" w:lineRule="auto"/>
        <w:ind w:left="0" w:right="74" w:firstLine="851"/>
        <w:rPr>
          <w:rFonts w:ascii="Times" w:hAnsi="Times"/>
          <w:color w:val="000000" w:themeColor="text1"/>
        </w:rPr>
      </w:pPr>
      <w:r w:rsidRPr="00C23102">
        <w:rPr>
          <w:rFonts w:ascii="Times" w:hAnsi="Times"/>
          <w:color w:val="000000" w:themeColor="text1"/>
        </w:rPr>
        <w:t xml:space="preserve">Innovation as a concept refers to both making new and/or renewing a process and being new as a result. As an innovation process in </w:t>
      </w:r>
      <w:r w:rsidR="00E53634" w:rsidRPr="00C23102">
        <w:rPr>
          <w:rFonts w:ascii="Times" w:hAnsi="Times"/>
          <w:color w:val="000000" w:themeColor="text1"/>
        </w:rPr>
        <w:t>Organisation for Economic Co-operation and Development</w:t>
      </w:r>
      <w:r w:rsidRPr="00C23102">
        <w:rPr>
          <w:rFonts w:ascii="Times" w:hAnsi="Times"/>
          <w:color w:val="000000" w:themeColor="text1"/>
        </w:rPr>
        <w:t xml:space="preserve"> </w:t>
      </w:r>
      <w:r w:rsidR="00692F88" w:rsidRPr="00C23102">
        <w:rPr>
          <w:rFonts w:ascii="Times" w:hAnsi="Times"/>
          <w:color w:val="000000" w:themeColor="text1"/>
        </w:rPr>
        <w:t xml:space="preserve">(OECD, 2013) </w:t>
      </w:r>
      <w:r w:rsidRPr="00C23102">
        <w:rPr>
          <w:rFonts w:ascii="Times" w:hAnsi="Times"/>
          <w:color w:val="000000" w:themeColor="text1"/>
        </w:rPr>
        <w:t>literature</w:t>
      </w:r>
      <w:r w:rsidR="00692F88" w:rsidRPr="00C23102">
        <w:rPr>
          <w:rFonts w:ascii="Times" w:hAnsi="Times"/>
          <w:color w:val="000000" w:themeColor="text1"/>
        </w:rPr>
        <w:t>,</w:t>
      </w:r>
      <w:r w:rsidRPr="00C23102">
        <w:rPr>
          <w:rFonts w:ascii="Times" w:hAnsi="Times"/>
          <w:color w:val="000000" w:themeColor="text1"/>
        </w:rPr>
        <w:t xml:space="preserve"> it is defined as </w:t>
      </w:r>
      <w:r w:rsidR="00692F88" w:rsidRPr="00C23102">
        <w:rPr>
          <w:rFonts w:ascii="Times" w:hAnsi="Times"/>
          <w:color w:val="000000" w:themeColor="text1"/>
        </w:rPr>
        <w:t>‘</w:t>
      </w:r>
      <w:r w:rsidRPr="00C23102">
        <w:rPr>
          <w:rFonts w:ascii="Times" w:hAnsi="Times"/>
          <w:color w:val="000000" w:themeColor="text1"/>
        </w:rPr>
        <w:t>turning an idea into a marketable product or service, a new or improved method of production or distribution, or a new method of social service</w:t>
      </w:r>
      <w:r w:rsidR="00692F88" w:rsidRPr="00C23102">
        <w:rPr>
          <w:rFonts w:ascii="Times" w:hAnsi="Times"/>
          <w:color w:val="000000" w:themeColor="text1"/>
        </w:rPr>
        <w:t>’</w:t>
      </w:r>
      <w:r w:rsidRPr="00C23102">
        <w:rPr>
          <w:rFonts w:ascii="Times" w:hAnsi="Times"/>
          <w:color w:val="000000" w:themeColor="text1"/>
        </w:rPr>
        <w:t xml:space="preserve">. Innovation also refers to the marketable, new or improved product, method or service introduced at the end of this conversion process (Core Cities Working Group, 2004). In the definition made by OECD for innovation, the concept of innovation, which goes beyond R&amp;D, is divided into four categories. These are listed as product innovation, process innovation, market innovation and organizational innovation. Today, innovation is becoming an increasingly important and frequently used concept in various fields such as industry, service, agriculture, information technologies and financial sector. Innovation, which contributes to economic growth by increasing the efficiency and competitiveness of countries, is considered as an important factor guiding economic activities worldwide. </w:t>
      </w:r>
      <w:r w:rsidR="00D05B25" w:rsidRPr="00C23102">
        <w:rPr>
          <w:rFonts w:ascii="Times" w:hAnsi="Times"/>
          <w:color w:val="000000" w:themeColor="text1"/>
        </w:rPr>
        <w:t>I</w:t>
      </w:r>
      <w:r w:rsidRPr="00C23102">
        <w:rPr>
          <w:rFonts w:ascii="Times" w:hAnsi="Times"/>
          <w:color w:val="000000" w:themeColor="text1"/>
        </w:rPr>
        <w:t xml:space="preserve">nnovation is one of the most important elements that societies are fed as technological, socio-economic and physical environment. At this point, cities are trying to have technology and innovations that are developing every day for the growth and sustainability of the innovative ecosystem (Cooke, 2008). </w:t>
      </w:r>
    </w:p>
    <w:p w14:paraId="00009198" w14:textId="70EB33B5" w:rsidR="00CB5900" w:rsidRPr="00C23102" w:rsidRDefault="00CB5900" w:rsidP="003A7803">
      <w:pPr>
        <w:pStyle w:val="BodyText"/>
        <w:spacing w:after="120"/>
        <w:ind w:left="0" w:right="74"/>
        <w:rPr>
          <w:rFonts w:ascii="Times" w:hAnsi="Times"/>
          <w:color w:val="000000" w:themeColor="text1"/>
        </w:rPr>
      </w:pPr>
      <w:r w:rsidRPr="00C23102">
        <w:rPr>
          <w:rFonts w:ascii="Times" w:hAnsi="Times"/>
          <w:b/>
          <w:bCs/>
          <w:color w:val="000000" w:themeColor="text1"/>
        </w:rPr>
        <w:t>2.2. Innovation Ecosystem</w:t>
      </w:r>
    </w:p>
    <w:p w14:paraId="529EDF52" w14:textId="68690247" w:rsidR="00BD7256"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Innovation is a great challenge. It thrives in an environment full of uncertainty, with many interrelated factors. This environment includes not only the coming together of the necessary components, but also the dynamism dimension that includes the learning, adaptation and evolution of these components together. Innovation is an increasingly distributed and collective process involving various components as well as the interaction between them (</w:t>
      </w:r>
      <w:bookmarkStart w:id="1" w:name="_Hlk74914401"/>
      <w:r w:rsidRPr="00C23102">
        <w:rPr>
          <w:rFonts w:ascii="Times" w:hAnsi="Times"/>
          <w:color w:val="000000" w:themeColor="text1"/>
        </w:rPr>
        <w:t xml:space="preserve">Freeman </w:t>
      </w:r>
      <w:r w:rsidR="00974F0C" w:rsidRPr="00C23102">
        <w:rPr>
          <w:rFonts w:ascii="Times" w:hAnsi="Times"/>
          <w:color w:val="000000" w:themeColor="text1"/>
        </w:rPr>
        <w:t>and</w:t>
      </w:r>
      <w:r w:rsidRPr="00C23102">
        <w:rPr>
          <w:rFonts w:ascii="Times" w:hAnsi="Times"/>
          <w:color w:val="000000" w:themeColor="text1"/>
        </w:rPr>
        <w:t xml:space="preserve"> Luc</w:t>
      </w:r>
      <w:bookmarkEnd w:id="1"/>
      <w:r w:rsidRPr="00C23102">
        <w:rPr>
          <w:rFonts w:ascii="Times" w:hAnsi="Times"/>
          <w:color w:val="000000" w:themeColor="text1"/>
        </w:rPr>
        <w:t>, 1997).</w:t>
      </w:r>
      <w:r w:rsidR="007444CB" w:rsidRPr="00C23102">
        <w:rPr>
          <w:rFonts w:ascii="Times" w:hAnsi="Times"/>
          <w:color w:val="000000" w:themeColor="text1"/>
        </w:rPr>
        <w:t xml:space="preserve"> </w:t>
      </w:r>
      <w:r w:rsidRPr="00C23102">
        <w:rPr>
          <w:rFonts w:ascii="Times" w:hAnsi="Times"/>
          <w:color w:val="000000" w:themeColor="text1"/>
        </w:rPr>
        <w:t>The traditional innovation model uses scientific research as the foundation of innovation and suggests that change is linear from research through invention to innovation, diffusion and marketing of innovation. However, today this model is considered incomplete and misleading. Increasing numbers of researchers have begun to develop a holistic view of innovation and technological development (Bergek et al., 2008). Accordingly, a wide variety of system configurations have emerged in innovation studies, such as national innovation systems (Edquist (1997), Lundvall (1992) and Nelson (1992)</w:t>
      </w:r>
      <w:r w:rsidR="00BB02FA" w:rsidRPr="00C23102">
        <w:rPr>
          <w:rFonts w:ascii="Times" w:hAnsi="Times"/>
          <w:color w:val="000000" w:themeColor="text1"/>
        </w:rPr>
        <w:t>)</w:t>
      </w:r>
      <w:r w:rsidRPr="00C23102">
        <w:rPr>
          <w:rFonts w:ascii="Times" w:hAnsi="Times"/>
          <w:color w:val="000000" w:themeColor="text1"/>
        </w:rPr>
        <w:t xml:space="preserve">, the technological systems approach </w:t>
      </w:r>
      <w:r w:rsidR="00BB02FA" w:rsidRPr="00C23102">
        <w:rPr>
          <w:rFonts w:ascii="Times" w:hAnsi="Times"/>
          <w:color w:val="000000" w:themeColor="text1"/>
        </w:rPr>
        <w:t>(</w:t>
      </w:r>
      <w:r w:rsidRPr="00C23102">
        <w:rPr>
          <w:rFonts w:ascii="Times" w:hAnsi="Times"/>
          <w:color w:val="000000" w:themeColor="text1"/>
        </w:rPr>
        <w:t>Carlsson</w:t>
      </w:r>
      <w:r w:rsidR="00974F0C" w:rsidRPr="00C23102">
        <w:rPr>
          <w:rFonts w:ascii="Times" w:hAnsi="Times"/>
          <w:color w:val="000000" w:themeColor="text1"/>
        </w:rPr>
        <w:t xml:space="preserve"> </w:t>
      </w:r>
      <w:r w:rsidR="00BB02FA" w:rsidRPr="00C23102">
        <w:rPr>
          <w:rFonts w:ascii="Times" w:hAnsi="Times"/>
          <w:color w:val="000000" w:themeColor="text1"/>
        </w:rPr>
        <w:t>and Stank</w:t>
      </w:r>
      <w:r w:rsidRPr="00C23102">
        <w:rPr>
          <w:rFonts w:ascii="Times" w:hAnsi="Times"/>
          <w:color w:val="000000" w:themeColor="text1"/>
        </w:rPr>
        <w:t xml:space="preserve"> (1991)</w:t>
      </w:r>
      <w:r w:rsidR="00BB02FA" w:rsidRPr="00C23102">
        <w:rPr>
          <w:rFonts w:ascii="Times" w:hAnsi="Times"/>
          <w:color w:val="000000" w:themeColor="text1"/>
        </w:rPr>
        <w:t>)</w:t>
      </w:r>
      <w:r w:rsidRPr="00C23102">
        <w:rPr>
          <w:rFonts w:ascii="Times" w:hAnsi="Times"/>
          <w:color w:val="000000" w:themeColor="text1"/>
        </w:rPr>
        <w:t xml:space="preserve"> and the sociotechnical systems approach (Bijker (1995) and the network approach (Håkansson (1990). Network science has caused a significant evolution in innovation studies (Allen, Maguire, &amp; McKelvey, 2011) and imposed a shift in focus from manufacturer-centered to network-centered approaches (Powell, Koput, &amp; Smith-Doerr, 1996; Iansiti &amp; Levien, 2004).The emphasis on nonlinear and </w:t>
      </w:r>
      <w:r w:rsidR="00CC5D92" w:rsidRPr="00C23102">
        <w:rPr>
          <w:rFonts w:ascii="Times" w:hAnsi="Times"/>
          <w:color w:val="000000" w:themeColor="text1"/>
        </w:rPr>
        <w:t>network-based</w:t>
      </w:r>
      <w:r w:rsidRPr="00C23102">
        <w:rPr>
          <w:rFonts w:ascii="Times" w:hAnsi="Times"/>
          <w:color w:val="000000" w:themeColor="text1"/>
        </w:rPr>
        <w:t xml:space="preserve"> innovation has led to the adoption of the ecosystem framework in innovation work, in an attempt to capture the multiplicity and complexity of the innovation process (see, for example, Adner, 2006; Iansiti &amp; Levien, 2004; Moore, 1993). By taking into account the complex social dynamics of the system, it can be observed that there is a gradual transition from the innovation system to the innovation ecosystem in academic discourse (Jucevicius &amp; Grumadaite, 2014).</w:t>
      </w:r>
      <w:r w:rsidR="00BD7256" w:rsidRPr="00C23102">
        <w:rPr>
          <w:rFonts w:ascii="Times" w:hAnsi="Times"/>
          <w:color w:val="000000" w:themeColor="text1"/>
        </w:rPr>
        <w:t xml:space="preserve"> </w:t>
      </w:r>
      <w:r w:rsidRPr="00C23102">
        <w:rPr>
          <w:rFonts w:ascii="Times" w:hAnsi="Times"/>
          <w:color w:val="000000" w:themeColor="text1"/>
        </w:rPr>
        <w:t xml:space="preserve">In this context, one of the most appropriate words to describe the environment in question is ecosystem. </w:t>
      </w:r>
    </w:p>
    <w:p w14:paraId="381F7604" w14:textId="0FA67E17" w:rsidR="00CB5900" w:rsidRPr="00C23102" w:rsidRDefault="00CB5900" w:rsidP="00F44FEC">
      <w:pPr>
        <w:pStyle w:val="BodyText"/>
        <w:spacing w:after="120" w:line="240" w:lineRule="auto"/>
        <w:ind w:left="0" w:right="74" w:firstLine="567"/>
        <w:rPr>
          <w:rFonts w:ascii="Times" w:hAnsi="Times"/>
          <w:color w:val="000000" w:themeColor="text1"/>
        </w:rPr>
      </w:pPr>
      <w:r w:rsidRPr="00C23102">
        <w:rPr>
          <w:rFonts w:ascii="Times" w:eastAsiaTheme="minorHAnsi" w:hAnsi="Times"/>
          <w:color w:val="000000" w:themeColor="text1"/>
        </w:rPr>
        <w:t xml:space="preserve">The term ecosystem was first applied by Rothschild (1990) in the fields of business and economics. In Rothschild's book Bionomics, he likens the understanding of economics to the understanding of a biological system. Likewise, Moore (1993) introduced the term business </w:t>
      </w:r>
      <w:r w:rsidRPr="00C23102">
        <w:rPr>
          <w:rFonts w:ascii="Times" w:eastAsiaTheme="minorHAnsi" w:hAnsi="Times"/>
          <w:color w:val="000000" w:themeColor="text1"/>
        </w:rPr>
        <w:lastRenderedPageBreak/>
        <w:t>ecosystem to emphasize the essence of competition between components of an ecosystem. Based on Suominen (2016), the innovation ecosystem is a self-evolving elite cluster as an independent domain among clusters such as business, information and digital ecosystems as well as digital platforms (Gomes et al., 2015; Valkokari, 2015; Dedehayir, Mäkinen and Roland Ortt, 2016; Suominen, Seppänen, &amp; Dede</w:t>
      </w:r>
      <w:r w:rsidR="00A872D1" w:rsidRPr="00C23102">
        <w:rPr>
          <w:rFonts w:ascii="Times" w:eastAsiaTheme="minorHAnsi" w:hAnsi="Times"/>
          <w:color w:val="000000" w:themeColor="text1"/>
        </w:rPr>
        <w:t>hayir</w:t>
      </w:r>
      <w:r w:rsidRPr="00C23102">
        <w:rPr>
          <w:rFonts w:ascii="Times" w:eastAsiaTheme="minorHAnsi" w:hAnsi="Times"/>
          <w:color w:val="000000" w:themeColor="text1"/>
        </w:rPr>
        <w:t xml:space="preserve">, 2016). </w:t>
      </w:r>
      <w:r w:rsidRPr="00C23102">
        <w:rPr>
          <w:rFonts w:ascii="Times" w:hAnsi="Times"/>
          <w:color w:val="000000" w:themeColor="text1"/>
        </w:rPr>
        <w:t>There are different types of innovation ecosystems. Oh et al. (2016</w:t>
      </w:r>
      <w:r w:rsidR="00871FA2" w:rsidRPr="00C23102">
        <w:rPr>
          <w:rFonts w:ascii="Times" w:hAnsi="Times"/>
          <w:color w:val="000000" w:themeColor="text1"/>
        </w:rPr>
        <w:t xml:space="preserve">; </w:t>
      </w:r>
      <w:r w:rsidRPr="00C23102">
        <w:rPr>
          <w:rFonts w:ascii="Times" w:hAnsi="Times"/>
          <w:color w:val="000000" w:themeColor="text1"/>
        </w:rPr>
        <w:t xml:space="preserve">54-56) distinguishes </w:t>
      </w:r>
      <w:r w:rsidR="00871FA2" w:rsidRPr="00C23102">
        <w:rPr>
          <w:rFonts w:ascii="Times" w:hAnsi="Times"/>
          <w:color w:val="000000" w:themeColor="text1"/>
        </w:rPr>
        <w:t>seven</w:t>
      </w:r>
      <w:r w:rsidRPr="00C23102">
        <w:rPr>
          <w:rFonts w:ascii="Times" w:hAnsi="Times"/>
          <w:color w:val="000000" w:themeColor="text1"/>
        </w:rPr>
        <w:t xml:space="preserve"> types of innovation ecosystems in relation to economical contexts they are mentioned. These are corporate (open) innovation ecosystems, regional and national innovation ecosystems, digital innovation ecosystems, city-based innovation ecosystems, high-tech SMEs</w:t>
      </w:r>
      <w:r w:rsidR="00E53634" w:rsidRPr="00C23102">
        <w:rPr>
          <w:rFonts w:ascii="Times" w:hAnsi="Times"/>
          <w:color w:val="000000" w:themeColor="text1"/>
        </w:rPr>
        <w:t>-oriented</w:t>
      </w:r>
      <w:r w:rsidRPr="00C23102">
        <w:rPr>
          <w:rFonts w:ascii="Times" w:hAnsi="Times"/>
          <w:color w:val="000000" w:themeColor="text1"/>
        </w:rPr>
        <w:t xml:space="preserve"> innovation ecosystems, hyper-local innovation ecosystems and university-based ecosystems.</w:t>
      </w:r>
    </w:p>
    <w:p w14:paraId="7702E1F8" w14:textId="189D0567" w:rsidR="00CB5900" w:rsidRPr="00C23102" w:rsidRDefault="00D05B25" w:rsidP="003001B3">
      <w:pPr>
        <w:pStyle w:val="Balk11"/>
        <w:spacing w:before="120" w:after="120"/>
        <w:ind w:left="0" w:right="0"/>
        <w:jc w:val="left"/>
        <w:rPr>
          <w:rFonts w:ascii="Times" w:hAnsi="Times"/>
          <w:color w:val="000000" w:themeColor="text1"/>
          <w:sz w:val="24"/>
          <w:szCs w:val="24"/>
        </w:rPr>
      </w:pPr>
      <w:bookmarkStart w:id="2" w:name="_Toc58254927"/>
      <w:r w:rsidRPr="00C23102">
        <w:rPr>
          <w:rFonts w:ascii="Times" w:hAnsi="Times"/>
          <w:color w:val="000000" w:themeColor="text1"/>
          <w:sz w:val="24"/>
          <w:szCs w:val="24"/>
        </w:rPr>
        <w:t xml:space="preserve">3. </w:t>
      </w:r>
      <w:r w:rsidR="00CB5900" w:rsidRPr="00C23102">
        <w:rPr>
          <w:rFonts w:ascii="Times" w:hAnsi="Times"/>
          <w:color w:val="000000" w:themeColor="text1"/>
          <w:sz w:val="24"/>
          <w:szCs w:val="24"/>
        </w:rPr>
        <w:t>RESEARCH QUESTIONS AND METHODOLOGY</w:t>
      </w:r>
      <w:bookmarkEnd w:id="2"/>
    </w:p>
    <w:p w14:paraId="5AFC2DAC" w14:textId="259FB3DC" w:rsidR="00CB5900"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 xml:space="preserve">This chapter presents how the research was designed and implemented and a method was applied in this study. It explains the rationale for the research </w:t>
      </w:r>
      <w:r w:rsidR="00AD3DA5" w:rsidRPr="00C23102">
        <w:rPr>
          <w:rFonts w:ascii="Times" w:hAnsi="Times"/>
          <w:color w:val="000000" w:themeColor="text1"/>
        </w:rPr>
        <w:t>approach and</w:t>
      </w:r>
      <w:r w:rsidRPr="00C23102">
        <w:rPr>
          <w:rFonts w:ascii="Times" w:hAnsi="Times"/>
          <w:color w:val="000000" w:themeColor="text1"/>
        </w:rPr>
        <w:t xml:space="preserve"> describes the research design </w:t>
      </w:r>
      <w:r w:rsidR="00D05B25" w:rsidRPr="00C23102">
        <w:rPr>
          <w:rFonts w:ascii="Times" w:hAnsi="Times"/>
          <w:color w:val="000000" w:themeColor="text1"/>
        </w:rPr>
        <w:t>and</w:t>
      </w:r>
      <w:r w:rsidR="00D05B25" w:rsidRPr="00C23102">
        <w:rPr>
          <w:rFonts w:ascii="Times" w:hAnsi="Times"/>
          <w:color w:val="000000" w:themeColor="text1"/>
        </w:rPr>
        <w:t xml:space="preserve"> </w:t>
      </w:r>
      <w:r w:rsidRPr="00C23102">
        <w:rPr>
          <w:rFonts w:ascii="Times" w:hAnsi="Times"/>
          <w:color w:val="000000" w:themeColor="text1"/>
        </w:rPr>
        <w:t xml:space="preserve">setting. The procedures for obtaining data, preparing the data for analysis, and the analysis process are also documented. </w:t>
      </w:r>
    </w:p>
    <w:p w14:paraId="177113ED" w14:textId="77777777" w:rsidR="00CB5900" w:rsidRPr="00C23102" w:rsidRDefault="00CB5900" w:rsidP="003A7803">
      <w:pPr>
        <w:pStyle w:val="BodyText"/>
        <w:spacing w:after="120"/>
        <w:ind w:left="0"/>
        <w:rPr>
          <w:rFonts w:ascii="Times" w:hAnsi="Times"/>
          <w:b/>
          <w:bCs/>
          <w:color w:val="000000" w:themeColor="text1"/>
        </w:rPr>
      </w:pPr>
      <w:r w:rsidRPr="00C23102">
        <w:rPr>
          <w:rFonts w:ascii="Times" w:hAnsi="Times"/>
          <w:b/>
          <w:bCs/>
          <w:color w:val="000000" w:themeColor="text1"/>
        </w:rPr>
        <w:t xml:space="preserve">3.1. Research Questions </w:t>
      </w:r>
    </w:p>
    <w:p w14:paraId="681628E9" w14:textId="69C7F235" w:rsidR="00CB5900"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The research question of this study is “what are the features of Samsun innovation ecosystem network?</w:t>
      </w:r>
      <w:r w:rsidR="0078330D" w:rsidRPr="00C23102">
        <w:rPr>
          <w:rFonts w:ascii="Times" w:hAnsi="Times"/>
          <w:color w:val="000000" w:themeColor="text1"/>
        </w:rPr>
        <w:t>”</w:t>
      </w:r>
      <w:r w:rsidRPr="00C23102">
        <w:rPr>
          <w:rFonts w:ascii="Times" w:hAnsi="Times"/>
          <w:color w:val="000000" w:themeColor="text1"/>
        </w:rPr>
        <w:t xml:space="preserve"> In other words, how is the Samsun innovation ecosystem network explained and/or described? </w:t>
      </w:r>
    </w:p>
    <w:p w14:paraId="352C6D3A" w14:textId="77777777" w:rsidR="00CB5900" w:rsidRPr="00C23102" w:rsidRDefault="00CB5900" w:rsidP="00F44FEC">
      <w:pPr>
        <w:pStyle w:val="BodyText"/>
        <w:spacing w:after="120" w:line="240" w:lineRule="auto"/>
        <w:ind w:left="0" w:right="74" w:firstLine="567"/>
        <w:rPr>
          <w:rFonts w:ascii="Times" w:hAnsi="Times"/>
          <w:color w:val="000000" w:themeColor="text1"/>
        </w:rPr>
      </w:pPr>
      <w:r w:rsidRPr="00C23102">
        <w:rPr>
          <w:rFonts w:ascii="Times" w:hAnsi="Times"/>
          <w:color w:val="000000" w:themeColor="text1"/>
        </w:rPr>
        <w:t xml:space="preserve">The several sub-questions follow this main question as; </w:t>
      </w:r>
    </w:p>
    <w:p w14:paraId="04672A35" w14:textId="77777777" w:rsidR="00CB5900" w:rsidRPr="00C23102" w:rsidRDefault="00CB5900" w:rsidP="00F44FEC">
      <w:pPr>
        <w:pStyle w:val="BodyText"/>
        <w:spacing w:after="120" w:line="240" w:lineRule="auto"/>
        <w:ind w:left="426" w:right="74" w:hanging="426"/>
        <w:rPr>
          <w:rFonts w:ascii="Times" w:hAnsi="Times"/>
          <w:color w:val="000000" w:themeColor="text1"/>
        </w:rPr>
      </w:pPr>
      <w:r w:rsidRPr="00C23102">
        <w:rPr>
          <w:rFonts w:ascii="Times" w:hAnsi="Times"/>
          <w:color w:val="000000" w:themeColor="text1"/>
        </w:rPr>
        <w:t>1.</w:t>
      </w:r>
      <w:r w:rsidRPr="00C23102">
        <w:rPr>
          <w:rFonts w:ascii="Times" w:hAnsi="Times"/>
          <w:color w:val="000000" w:themeColor="text1"/>
        </w:rPr>
        <w:tab/>
        <w:t>What is the current comparative capacity of innovation of Samsun compared to other peer cities?</w:t>
      </w:r>
    </w:p>
    <w:p w14:paraId="04CAE875" w14:textId="77777777" w:rsidR="00CB5900" w:rsidRPr="00C23102" w:rsidRDefault="00CB5900" w:rsidP="00F44FEC">
      <w:pPr>
        <w:pStyle w:val="BodyText"/>
        <w:spacing w:after="120" w:line="240" w:lineRule="auto"/>
        <w:ind w:left="426" w:right="74" w:hanging="426"/>
        <w:rPr>
          <w:rFonts w:ascii="Times" w:hAnsi="Times"/>
          <w:color w:val="000000" w:themeColor="text1"/>
        </w:rPr>
      </w:pPr>
      <w:r w:rsidRPr="00C23102">
        <w:rPr>
          <w:rFonts w:ascii="Times" w:hAnsi="Times"/>
          <w:color w:val="000000" w:themeColor="text1"/>
        </w:rPr>
        <w:t>2.</w:t>
      </w:r>
      <w:r w:rsidRPr="00C23102">
        <w:rPr>
          <w:rFonts w:ascii="Times" w:hAnsi="Times"/>
          <w:color w:val="000000" w:themeColor="text1"/>
        </w:rPr>
        <w:tab/>
        <w:t xml:space="preserve">What is the innovation network structure like? </w:t>
      </w:r>
    </w:p>
    <w:p w14:paraId="774482A1" w14:textId="39F9D179" w:rsidR="00CB5900" w:rsidRPr="00C23102" w:rsidRDefault="00CB5900" w:rsidP="00F44FEC">
      <w:pPr>
        <w:pStyle w:val="BodyText"/>
        <w:spacing w:after="120" w:line="240" w:lineRule="auto"/>
        <w:ind w:left="426" w:right="74" w:hanging="426"/>
        <w:rPr>
          <w:rFonts w:ascii="Times" w:hAnsi="Times"/>
          <w:color w:val="000000" w:themeColor="text1"/>
        </w:rPr>
      </w:pPr>
      <w:r w:rsidRPr="00C23102">
        <w:rPr>
          <w:rFonts w:ascii="Times" w:hAnsi="Times"/>
          <w:color w:val="000000" w:themeColor="text1"/>
        </w:rPr>
        <w:t>3.</w:t>
      </w:r>
      <w:r w:rsidRPr="00C23102">
        <w:rPr>
          <w:rFonts w:ascii="Times" w:hAnsi="Times"/>
          <w:color w:val="000000" w:themeColor="text1"/>
        </w:rPr>
        <w:tab/>
      </w:r>
      <w:r w:rsidR="00756842" w:rsidRPr="00C23102">
        <w:rPr>
          <w:rFonts w:ascii="Times" w:hAnsi="Times"/>
          <w:color w:val="000000" w:themeColor="text1"/>
        </w:rPr>
        <w:t>What is the innovation level of Samsun ecosystem and what are its strengths and weaknesses compared to other peer cities?</w:t>
      </w:r>
    </w:p>
    <w:p w14:paraId="711FC40F" w14:textId="0D814FB0" w:rsidR="00CB5900" w:rsidRPr="00C23102" w:rsidRDefault="00CB5900" w:rsidP="003A7803">
      <w:pPr>
        <w:pStyle w:val="BodyText"/>
        <w:spacing w:after="120"/>
        <w:ind w:left="0"/>
        <w:rPr>
          <w:rFonts w:ascii="Times" w:hAnsi="Times"/>
          <w:b/>
          <w:bCs/>
          <w:color w:val="000000" w:themeColor="text1"/>
        </w:rPr>
      </w:pPr>
      <w:r w:rsidRPr="00C23102">
        <w:rPr>
          <w:rFonts w:ascii="Times" w:hAnsi="Times"/>
          <w:b/>
          <w:bCs/>
          <w:color w:val="000000" w:themeColor="text1"/>
        </w:rPr>
        <w:t xml:space="preserve">3.2. </w:t>
      </w:r>
      <w:bookmarkStart w:id="3" w:name="_Hlk60838562"/>
      <w:r w:rsidRPr="00C23102">
        <w:rPr>
          <w:rFonts w:ascii="Times" w:hAnsi="Times"/>
          <w:b/>
          <w:bCs/>
          <w:color w:val="000000" w:themeColor="text1"/>
        </w:rPr>
        <w:t>Overall Research Design Strategy</w:t>
      </w:r>
      <w:bookmarkEnd w:id="3"/>
    </w:p>
    <w:p w14:paraId="6AB16FFA" w14:textId="77777777" w:rsidR="00CB5900" w:rsidRPr="00C23102" w:rsidRDefault="00CB5900" w:rsidP="003A7803">
      <w:pPr>
        <w:pStyle w:val="BodyText"/>
        <w:spacing w:after="120"/>
        <w:ind w:left="0"/>
        <w:rPr>
          <w:rFonts w:ascii="Times" w:hAnsi="Times"/>
          <w:b/>
          <w:bCs/>
          <w:color w:val="000000" w:themeColor="text1"/>
        </w:rPr>
      </w:pPr>
      <w:bookmarkStart w:id="4" w:name="_Hlk60838574"/>
      <w:r w:rsidRPr="00C23102">
        <w:rPr>
          <w:rFonts w:ascii="Times" w:hAnsi="Times"/>
          <w:b/>
          <w:bCs/>
          <w:color w:val="000000" w:themeColor="text1"/>
        </w:rPr>
        <w:t xml:space="preserve">3.2.1. Research Design </w:t>
      </w:r>
    </w:p>
    <w:bookmarkEnd w:id="4"/>
    <w:p w14:paraId="3421C5D4" w14:textId="3B0D8A00" w:rsidR="00CB5900"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 xml:space="preserve">The research design is a descriptive network analysis. The aim of the research was to explain the features of Samsun innovation ecosystem network through social network analysis. The analysis was accomplished by means of three specific aims. </w:t>
      </w:r>
      <w:r w:rsidR="00756842" w:rsidRPr="00C23102">
        <w:rPr>
          <w:rFonts w:ascii="Times" w:hAnsi="Times"/>
          <w:color w:val="000000" w:themeColor="text1"/>
        </w:rPr>
        <w:t xml:space="preserve">The first was to collect official information from various institutions to determine the comparative capacity of innovation in Samsun compared to other peer cities. The second aim was to collect relational data on the flow of innovation-related information regarding innovation ecosystem of Samsun. The third aim was to (a) explain comparative capacity of innovation of Samsun compared to other peer cities. </w:t>
      </w:r>
      <w:r w:rsidRPr="00C23102">
        <w:rPr>
          <w:rFonts w:ascii="Times" w:hAnsi="Times"/>
          <w:color w:val="000000" w:themeColor="text1"/>
        </w:rPr>
        <w:t xml:space="preserve">These aims in relationship to the study design and data collection strategies are detailed in Table </w:t>
      </w:r>
      <w:r w:rsidR="00E94FF9" w:rsidRPr="00C23102">
        <w:rPr>
          <w:rFonts w:ascii="Times" w:hAnsi="Times"/>
          <w:color w:val="000000" w:themeColor="text1"/>
        </w:rPr>
        <w:t>1</w:t>
      </w:r>
      <w:r w:rsidRPr="00C23102">
        <w:rPr>
          <w:rFonts w:ascii="Times" w:hAnsi="Times"/>
          <w:color w:val="000000" w:themeColor="text1"/>
        </w:rPr>
        <w:t xml:space="preserve">.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2410"/>
        <w:gridCol w:w="2054"/>
        <w:gridCol w:w="2054"/>
      </w:tblGrid>
      <w:tr w:rsidR="00CB5900" w:rsidRPr="00C23102" w14:paraId="6F956FB4" w14:textId="77777777" w:rsidTr="00B712B1">
        <w:tc>
          <w:tcPr>
            <w:tcW w:w="8214" w:type="dxa"/>
            <w:gridSpan w:val="4"/>
            <w:tcBorders>
              <w:top w:val="nil"/>
            </w:tcBorders>
          </w:tcPr>
          <w:p w14:paraId="0EAF2119" w14:textId="23B392A5" w:rsidR="00CB5900" w:rsidRPr="00C23102" w:rsidRDefault="00E94FF9" w:rsidP="00D05B25">
            <w:pPr>
              <w:pStyle w:val="BodyText"/>
              <w:spacing w:before="240" w:after="240"/>
              <w:ind w:left="0" w:right="-965"/>
              <w:jc w:val="center"/>
              <w:rPr>
                <w:rFonts w:ascii="Times" w:hAnsi="Times"/>
                <w:b/>
                <w:bCs/>
                <w:color w:val="000000" w:themeColor="text1"/>
              </w:rPr>
            </w:pPr>
            <w:r w:rsidRPr="00C23102">
              <w:rPr>
                <w:rFonts w:ascii="Times" w:hAnsi="Times"/>
                <w:b/>
                <w:bCs/>
                <w:color w:val="000000" w:themeColor="text1"/>
              </w:rPr>
              <w:t>Table 1</w:t>
            </w:r>
            <w:r w:rsidR="003016FA" w:rsidRPr="00C23102">
              <w:rPr>
                <w:rFonts w:ascii="Times" w:hAnsi="Times"/>
                <w:b/>
                <w:bCs/>
                <w:color w:val="000000" w:themeColor="text1"/>
              </w:rPr>
              <w:t>.</w:t>
            </w:r>
            <w:r w:rsidR="00044B5F" w:rsidRPr="00C23102">
              <w:rPr>
                <w:rFonts w:ascii="Times" w:hAnsi="Times"/>
                <w:b/>
                <w:bCs/>
                <w:color w:val="000000" w:themeColor="text1"/>
              </w:rPr>
              <w:t xml:space="preserve"> </w:t>
            </w:r>
            <w:r w:rsidR="00CB5900" w:rsidRPr="00C23102">
              <w:rPr>
                <w:rFonts w:ascii="Times" w:hAnsi="Times"/>
                <w:b/>
                <w:bCs/>
                <w:color w:val="000000" w:themeColor="text1"/>
              </w:rPr>
              <w:t xml:space="preserve">Project </w:t>
            </w:r>
            <w:r w:rsidR="00E8586F" w:rsidRPr="00C23102">
              <w:rPr>
                <w:rFonts w:ascii="Times" w:hAnsi="Times"/>
                <w:b/>
                <w:bCs/>
                <w:color w:val="000000" w:themeColor="text1"/>
              </w:rPr>
              <w:t xml:space="preserve">Research Design </w:t>
            </w:r>
            <w:r w:rsidR="0078330D" w:rsidRPr="00C23102">
              <w:rPr>
                <w:rFonts w:ascii="Times" w:hAnsi="Times"/>
                <w:b/>
                <w:bCs/>
                <w:color w:val="000000" w:themeColor="text1"/>
              </w:rPr>
              <w:t>and</w:t>
            </w:r>
            <w:r w:rsidR="00E8586F" w:rsidRPr="00C23102">
              <w:rPr>
                <w:rFonts w:ascii="Times" w:hAnsi="Times"/>
                <w:b/>
                <w:bCs/>
                <w:color w:val="000000" w:themeColor="text1"/>
              </w:rPr>
              <w:t xml:space="preserve"> Data Collection Plan</w:t>
            </w:r>
          </w:p>
        </w:tc>
      </w:tr>
      <w:tr w:rsidR="00B604EA" w:rsidRPr="00C23102" w14:paraId="1B9FC648" w14:textId="77777777" w:rsidTr="005B5DB4">
        <w:tc>
          <w:tcPr>
            <w:tcW w:w="8214" w:type="dxa"/>
            <w:gridSpan w:val="4"/>
          </w:tcPr>
          <w:p w14:paraId="07D89A30" w14:textId="73D7EA1A" w:rsidR="00B604EA" w:rsidRPr="00C23102" w:rsidRDefault="00B604EA" w:rsidP="00F44FEC">
            <w:pPr>
              <w:pStyle w:val="BodyText"/>
              <w:spacing w:before="120" w:after="120"/>
              <w:ind w:left="0"/>
              <w:jc w:val="center"/>
              <w:rPr>
                <w:rFonts w:ascii="Times" w:hAnsi="Times"/>
                <w:b/>
                <w:bCs/>
                <w:color w:val="000000" w:themeColor="text1"/>
              </w:rPr>
            </w:pPr>
            <w:r w:rsidRPr="00C23102">
              <w:rPr>
                <w:rFonts w:ascii="Times" w:hAnsi="Times"/>
                <w:b/>
                <w:bCs/>
                <w:color w:val="000000" w:themeColor="text1"/>
              </w:rPr>
              <w:t>Research Design</w:t>
            </w:r>
          </w:p>
        </w:tc>
      </w:tr>
      <w:tr w:rsidR="00B604EA" w:rsidRPr="00C23102" w14:paraId="484F6CD5" w14:textId="77777777" w:rsidTr="0078330D">
        <w:tc>
          <w:tcPr>
            <w:tcW w:w="1696" w:type="dxa"/>
          </w:tcPr>
          <w:p w14:paraId="2EBAC890" w14:textId="77777777" w:rsidR="00B604EA" w:rsidRPr="00C23102" w:rsidRDefault="00B604EA" w:rsidP="00F44FEC">
            <w:pPr>
              <w:pStyle w:val="BodyText"/>
              <w:ind w:left="0"/>
              <w:rPr>
                <w:rFonts w:ascii="Times" w:hAnsi="Times"/>
                <w:color w:val="FF0000"/>
              </w:rPr>
            </w:pPr>
          </w:p>
        </w:tc>
        <w:tc>
          <w:tcPr>
            <w:tcW w:w="2410" w:type="dxa"/>
          </w:tcPr>
          <w:p w14:paraId="4EAD025F" w14:textId="6DD7D273" w:rsidR="00B604EA" w:rsidRPr="00C23102" w:rsidRDefault="00B604EA" w:rsidP="00F44FEC">
            <w:pPr>
              <w:pStyle w:val="BodyText"/>
              <w:spacing w:before="120" w:after="120"/>
              <w:ind w:left="0"/>
              <w:jc w:val="left"/>
              <w:rPr>
                <w:rFonts w:ascii="Times" w:hAnsi="Times"/>
                <w:b/>
                <w:bCs/>
                <w:color w:val="000000" w:themeColor="text1"/>
              </w:rPr>
            </w:pPr>
            <w:r w:rsidRPr="00C23102">
              <w:rPr>
                <w:rFonts w:ascii="Times" w:hAnsi="Times"/>
                <w:b/>
                <w:bCs/>
                <w:color w:val="000000" w:themeColor="text1"/>
              </w:rPr>
              <w:t>Aim 1</w:t>
            </w:r>
          </w:p>
        </w:tc>
        <w:tc>
          <w:tcPr>
            <w:tcW w:w="2054" w:type="dxa"/>
          </w:tcPr>
          <w:p w14:paraId="5E40C9FB" w14:textId="0BB1896E" w:rsidR="00B604EA" w:rsidRPr="00C23102" w:rsidRDefault="00B604EA" w:rsidP="00F44FEC">
            <w:pPr>
              <w:pStyle w:val="BodyText"/>
              <w:spacing w:before="120" w:after="120"/>
              <w:ind w:left="0"/>
              <w:jc w:val="left"/>
              <w:rPr>
                <w:rFonts w:ascii="Times" w:hAnsi="Times"/>
                <w:b/>
                <w:bCs/>
                <w:color w:val="000000" w:themeColor="text1"/>
              </w:rPr>
            </w:pPr>
            <w:r w:rsidRPr="00C23102">
              <w:rPr>
                <w:rFonts w:ascii="Times" w:hAnsi="Times"/>
                <w:b/>
                <w:bCs/>
                <w:color w:val="000000" w:themeColor="text1"/>
              </w:rPr>
              <w:t>Aim 2</w:t>
            </w:r>
          </w:p>
        </w:tc>
        <w:tc>
          <w:tcPr>
            <w:tcW w:w="2054" w:type="dxa"/>
          </w:tcPr>
          <w:p w14:paraId="7691895B" w14:textId="34F1F9FB" w:rsidR="00B604EA" w:rsidRPr="00C23102" w:rsidRDefault="00B604EA" w:rsidP="00F44FEC">
            <w:pPr>
              <w:pStyle w:val="BodyText"/>
              <w:spacing w:before="120" w:after="120"/>
              <w:ind w:left="0"/>
              <w:jc w:val="left"/>
              <w:rPr>
                <w:rFonts w:ascii="Times" w:hAnsi="Times"/>
                <w:b/>
                <w:bCs/>
                <w:color w:val="000000" w:themeColor="text1"/>
              </w:rPr>
            </w:pPr>
            <w:r w:rsidRPr="00C23102">
              <w:rPr>
                <w:rFonts w:ascii="Times" w:hAnsi="Times"/>
                <w:b/>
                <w:bCs/>
                <w:color w:val="000000" w:themeColor="text1"/>
              </w:rPr>
              <w:t>Aim 3</w:t>
            </w:r>
          </w:p>
        </w:tc>
      </w:tr>
      <w:tr w:rsidR="00B604EA" w:rsidRPr="00C23102" w14:paraId="728420D6" w14:textId="77777777" w:rsidTr="00223FF3">
        <w:trPr>
          <w:trHeight w:val="2252"/>
        </w:trPr>
        <w:tc>
          <w:tcPr>
            <w:tcW w:w="1696" w:type="dxa"/>
            <w:tcBorders>
              <w:bottom w:val="single" w:sz="4" w:space="0" w:color="auto"/>
            </w:tcBorders>
          </w:tcPr>
          <w:p w14:paraId="5B867D63" w14:textId="77777777" w:rsidR="00B604EA" w:rsidRPr="00C23102" w:rsidRDefault="00B604EA" w:rsidP="00F44FEC">
            <w:pPr>
              <w:pStyle w:val="BodyText"/>
              <w:ind w:left="0"/>
              <w:rPr>
                <w:rFonts w:ascii="Times" w:hAnsi="Times"/>
                <w:b/>
                <w:bCs/>
                <w:color w:val="000000" w:themeColor="text1"/>
              </w:rPr>
            </w:pPr>
            <w:r w:rsidRPr="00C23102">
              <w:rPr>
                <w:rFonts w:ascii="Times" w:hAnsi="Times"/>
                <w:b/>
                <w:bCs/>
                <w:color w:val="000000" w:themeColor="text1"/>
              </w:rPr>
              <w:t>Aim</w:t>
            </w:r>
          </w:p>
        </w:tc>
        <w:tc>
          <w:tcPr>
            <w:tcW w:w="2410" w:type="dxa"/>
          </w:tcPr>
          <w:p w14:paraId="001025D3" w14:textId="2033B5DA" w:rsidR="00B604EA" w:rsidRPr="00C23102" w:rsidRDefault="00B604EA" w:rsidP="00F44FEC">
            <w:pPr>
              <w:pStyle w:val="BodyText"/>
              <w:ind w:left="0"/>
              <w:jc w:val="left"/>
              <w:rPr>
                <w:rFonts w:ascii="Times" w:hAnsi="Times"/>
                <w:color w:val="000000" w:themeColor="text1"/>
              </w:rPr>
            </w:pPr>
            <w:r w:rsidRPr="00C23102">
              <w:rPr>
                <w:rFonts w:ascii="Times" w:hAnsi="Times"/>
                <w:color w:val="000000" w:themeColor="text1"/>
              </w:rPr>
              <w:t>Collecting official information from various institutions to determine the comparative capacity of innovation of Samsun compared to other peer cities.</w:t>
            </w:r>
          </w:p>
        </w:tc>
        <w:tc>
          <w:tcPr>
            <w:tcW w:w="2054" w:type="dxa"/>
          </w:tcPr>
          <w:p w14:paraId="0687BE7D" w14:textId="630E1A05" w:rsidR="00B604EA" w:rsidRPr="00C23102" w:rsidRDefault="00B604EA" w:rsidP="00F44FEC">
            <w:pPr>
              <w:pStyle w:val="BodyText"/>
              <w:ind w:left="0"/>
              <w:jc w:val="left"/>
              <w:rPr>
                <w:rFonts w:ascii="Times" w:hAnsi="Times"/>
                <w:color w:val="000000" w:themeColor="text1"/>
              </w:rPr>
            </w:pPr>
            <w:r w:rsidRPr="00C23102">
              <w:rPr>
                <w:rFonts w:ascii="Times" w:hAnsi="Times"/>
                <w:color w:val="000000" w:themeColor="text1"/>
              </w:rPr>
              <w:t>Collecting relational data on the flow of innovation-related information</w:t>
            </w:r>
            <w:r w:rsidR="00756842" w:rsidRPr="00C23102">
              <w:rPr>
                <w:rFonts w:ascii="Times" w:hAnsi="Times"/>
                <w:color w:val="000000" w:themeColor="text1"/>
              </w:rPr>
              <w:t>.</w:t>
            </w:r>
          </w:p>
        </w:tc>
        <w:tc>
          <w:tcPr>
            <w:tcW w:w="2054" w:type="dxa"/>
          </w:tcPr>
          <w:p w14:paraId="20A362AF" w14:textId="2F092E93" w:rsidR="00B604EA" w:rsidRPr="00C23102" w:rsidRDefault="00B604EA" w:rsidP="00F44FEC">
            <w:pPr>
              <w:pStyle w:val="BodyText"/>
              <w:ind w:left="0"/>
              <w:jc w:val="left"/>
              <w:rPr>
                <w:rFonts w:ascii="Times" w:hAnsi="Times"/>
                <w:color w:val="000000" w:themeColor="text1"/>
              </w:rPr>
            </w:pPr>
            <w:r w:rsidRPr="00C23102">
              <w:rPr>
                <w:rFonts w:ascii="Times" w:hAnsi="Times"/>
                <w:color w:val="000000" w:themeColor="text1"/>
              </w:rPr>
              <w:t>Explaining comparative capacity of innovation of Samsun compared to other peer cities</w:t>
            </w:r>
          </w:p>
          <w:p w14:paraId="370D8738" w14:textId="77777777" w:rsidR="00B604EA" w:rsidRPr="00C23102" w:rsidRDefault="00B604EA" w:rsidP="00F44FEC">
            <w:pPr>
              <w:pStyle w:val="BodyText"/>
              <w:ind w:left="0"/>
              <w:jc w:val="left"/>
              <w:rPr>
                <w:rFonts w:ascii="Times" w:hAnsi="Times"/>
                <w:color w:val="000000" w:themeColor="text1"/>
              </w:rPr>
            </w:pPr>
          </w:p>
          <w:p w14:paraId="07F8E55F" w14:textId="77777777" w:rsidR="00B604EA" w:rsidRPr="00C23102" w:rsidRDefault="00B604EA" w:rsidP="00F44FEC">
            <w:pPr>
              <w:pStyle w:val="BodyText"/>
              <w:ind w:left="0"/>
              <w:jc w:val="left"/>
              <w:rPr>
                <w:rFonts w:ascii="Times" w:hAnsi="Times"/>
                <w:color w:val="000000" w:themeColor="text1"/>
              </w:rPr>
            </w:pPr>
          </w:p>
        </w:tc>
      </w:tr>
      <w:tr w:rsidR="00B604EA" w:rsidRPr="00C23102" w14:paraId="105759AA" w14:textId="77777777" w:rsidTr="00B712B1">
        <w:trPr>
          <w:trHeight w:val="382"/>
        </w:trPr>
        <w:tc>
          <w:tcPr>
            <w:tcW w:w="1696" w:type="dxa"/>
            <w:vMerge w:val="restart"/>
            <w:tcBorders>
              <w:top w:val="single" w:sz="4" w:space="0" w:color="auto"/>
              <w:bottom w:val="nil"/>
            </w:tcBorders>
          </w:tcPr>
          <w:p w14:paraId="51EC9BD7" w14:textId="77777777" w:rsidR="00B604EA" w:rsidRPr="00C23102" w:rsidRDefault="00B604EA" w:rsidP="00F44FEC">
            <w:pPr>
              <w:pStyle w:val="BodyText"/>
              <w:ind w:left="0"/>
              <w:rPr>
                <w:rFonts w:ascii="Times" w:hAnsi="Times"/>
                <w:b/>
                <w:bCs/>
                <w:color w:val="000000" w:themeColor="text1"/>
              </w:rPr>
            </w:pPr>
            <w:r w:rsidRPr="00C23102">
              <w:rPr>
                <w:rFonts w:ascii="Times" w:hAnsi="Times"/>
                <w:b/>
                <w:bCs/>
                <w:color w:val="000000" w:themeColor="text1"/>
              </w:rPr>
              <w:t>Research</w:t>
            </w:r>
          </w:p>
          <w:p w14:paraId="7D2368BC" w14:textId="77777777" w:rsidR="00B604EA" w:rsidRPr="00C23102" w:rsidRDefault="00B604EA" w:rsidP="00F44FEC">
            <w:pPr>
              <w:pStyle w:val="BodyText"/>
              <w:ind w:left="0"/>
              <w:rPr>
                <w:rFonts w:ascii="Times" w:hAnsi="Times"/>
                <w:b/>
                <w:bCs/>
                <w:color w:val="000000" w:themeColor="text1"/>
              </w:rPr>
            </w:pPr>
            <w:r w:rsidRPr="00C23102">
              <w:rPr>
                <w:rFonts w:ascii="Times" w:hAnsi="Times"/>
                <w:b/>
                <w:bCs/>
                <w:color w:val="000000" w:themeColor="text1"/>
              </w:rPr>
              <w:t>Question(s)</w:t>
            </w:r>
          </w:p>
        </w:tc>
        <w:tc>
          <w:tcPr>
            <w:tcW w:w="6518" w:type="dxa"/>
            <w:gridSpan w:val="3"/>
            <w:tcBorders>
              <w:bottom w:val="single" w:sz="4" w:space="0" w:color="auto"/>
            </w:tcBorders>
          </w:tcPr>
          <w:p w14:paraId="5275E823" w14:textId="77777777" w:rsidR="00B604EA" w:rsidRPr="00C23102" w:rsidRDefault="00B604EA" w:rsidP="00F44FEC">
            <w:pPr>
              <w:pStyle w:val="BodyText"/>
              <w:ind w:left="0"/>
              <w:jc w:val="left"/>
              <w:rPr>
                <w:rFonts w:ascii="Times" w:hAnsi="Times"/>
                <w:b/>
                <w:bCs/>
                <w:color w:val="000000" w:themeColor="text1"/>
              </w:rPr>
            </w:pPr>
            <w:r w:rsidRPr="00C23102">
              <w:rPr>
                <w:rFonts w:ascii="Times" w:hAnsi="Times"/>
                <w:b/>
                <w:bCs/>
                <w:color w:val="000000" w:themeColor="text1"/>
              </w:rPr>
              <w:t>What are the features of Samsun innovation ecosystem network?</w:t>
            </w:r>
          </w:p>
        </w:tc>
      </w:tr>
      <w:tr w:rsidR="00B604EA" w:rsidRPr="00C23102" w14:paraId="7C676B3F" w14:textId="77777777" w:rsidTr="00B712B1">
        <w:trPr>
          <w:trHeight w:val="849"/>
        </w:trPr>
        <w:tc>
          <w:tcPr>
            <w:tcW w:w="1696" w:type="dxa"/>
            <w:vMerge/>
            <w:tcBorders>
              <w:top w:val="nil"/>
              <w:bottom w:val="nil"/>
            </w:tcBorders>
          </w:tcPr>
          <w:p w14:paraId="02178529" w14:textId="77777777" w:rsidR="00B604EA" w:rsidRPr="00C23102" w:rsidRDefault="00B604EA" w:rsidP="00F44FEC">
            <w:pPr>
              <w:pStyle w:val="BodyText"/>
              <w:ind w:left="0"/>
              <w:rPr>
                <w:rFonts w:ascii="Times" w:hAnsi="Times"/>
                <w:b/>
                <w:bCs/>
                <w:color w:val="FF0000"/>
              </w:rPr>
            </w:pPr>
          </w:p>
        </w:tc>
        <w:tc>
          <w:tcPr>
            <w:tcW w:w="2410" w:type="dxa"/>
            <w:tcBorders>
              <w:top w:val="single" w:sz="4" w:space="0" w:color="auto"/>
              <w:bottom w:val="nil"/>
            </w:tcBorders>
          </w:tcPr>
          <w:p w14:paraId="5B5C246C" w14:textId="77777777" w:rsidR="00B604EA" w:rsidRPr="00C23102" w:rsidRDefault="00B604EA" w:rsidP="00F44FEC">
            <w:pPr>
              <w:pStyle w:val="BodyText"/>
              <w:ind w:left="0"/>
              <w:jc w:val="left"/>
              <w:rPr>
                <w:rFonts w:ascii="Times" w:hAnsi="Times"/>
                <w:color w:val="000000" w:themeColor="text1"/>
              </w:rPr>
            </w:pPr>
            <w:r w:rsidRPr="00C23102">
              <w:rPr>
                <w:rFonts w:ascii="Times" w:hAnsi="Times"/>
                <w:color w:val="000000" w:themeColor="text1"/>
              </w:rPr>
              <w:t>1. What is the current comparative capacity of innovation of Samsun compared to other peer cities?</w:t>
            </w:r>
          </w:p>
        </w:tc>
        <w:tc>
          <w:tcPr>
            <w:tcW w:w="2054" w:type="dxa"/>
            <w:tcBorders>
              <w:top w:val="single" w:sz="4" w:space="0" w:color="auto"/>
              <w:bottom w:val="nil"/>
            </w:tcBorders>
          </w:tcPr>
          <w:p w14:paraId="78EE3BB8" w14:textId="77777777" w:rsidR="00B604EA" w:rsidRPr="00C23102" w:rsidRDefault="00B604EA" w:rsidP="00F44FEC">
            <w:pPr>
              <w:pStyle w:val="BodyText"/>
              <w:ind w:left="0"/>
              <w:jc w:val="left"/>
              <w:rPr>
                <w:rFonts w:ascii="Times" w:hAnsi="Times"/>
                <w:color w:val="000000" w:themeColor="text1"/>
              </w:rPr>
            </w:pPr>
            <w:r w:rsidRPr="00C23102">
              <w:rPr>
                <w:rFonts w:ascii="Times" w:hAnsi="Times"/>
                <w:color w:val="000000" w:themeColor="text1"/>
              </w:rPr>
              <w:t xml:space="preserve">2a) What is the network structure like? </w:t>
            </w:r>
          </w:p>
          <w:p w14:paraId="6675F5AE" w14:textId="77777777" w:rsidR="00B604EA" w:rsidRPr="00C23102" w:rsidRDefault="00B604EA" w:rsidP="00F44FEC">
            <w:pPr>
              <w:pStyle w:val="BodyText"/>
              <w:ind w:left="0"/>
              <w:jc w:val="left"/>
              <w:rPr>
                <w:rFonts w:ascii="Times" w:hAnsi="Times"/>
                <w:color w:val="000000" w:themeColor="text1"/>
              </w:rPr>
            </w:pPr>
          </w:p>
          <w:p w14:paraId="17968415" w14:textId="77777777" w:rsidR="00B604EA" w:rsidRPr="00C23102" w:rsidRDefault="00B604EA" w:rsidP="00F44FEC">
            <w:pPr>
              <w:pStyle w:val="BodyText"/>
              <w:ind w:left="0"/>
              <w:jc w:val="left"/>
              <w:rPr>
                <w:rFonts w:ascii="Times" w:hAnsi="Times"/>
                <w:color w:val="000000" w:themeColor="text1"/>
              </w:rPr>
            </w:pPr>
          </w:p>
          <w:p w14:paraId="0455C82A" w14:textId="403C2240" w:rsidR="00B604EA" w:rsidRPr="00C23102" w:rsidRDefault="00B604EA" w:rsidP="00F44FEC">
            <w:pPr>
              <w:pStyle w:val="BodyText"/>
              <w:ind w:left="0"/>
              <w:jc w:val="left"/>
              <w:rPr>
                <w:rFonts w:ascii="Times" w:hAnsi="Times"/>
                <w:color w:val="FF0000"/>
              </w:rPr>
            </w:pPr>
          </w:p>
        </w:tc>
        <w:tc>
          <w:tcPr>
            <w:tcW w:w="2054" w:type="dxa"/>
            <w:tcBorders>
              <w:top w:val="single" w:sz="4" w:space="0" w:color="auto"/>
              <w:bottom w:val="nil"/>
            </w:tcBorders>
          </w:tcPr>
          <w:p w14:paraId="359D394A" w14:textId="7AD41DDF" w:rsidR="00B604EA" w:rsidRPr="00C23102" w:rsidRDefault="00B604EA" w:rsidP="00F44FEC">
            <w:pPr>
              <w:pStyle w:val="BodyText"/>
              <w:ind w:left="0"/>
              <w:jc w:val="left"/>
              <w:rPr>
                <w:rFonts w:ascii="Times" w:hAnsi="Times"/>
                <w:color w:val="000000" w:themeColor="text1"/>
              </w:rPr>
            </w:pPr>
            <w:r w:rsidRPr="00C23102">
              <w:rPr>
                <w:rFonts w:ascii="Times" w:hAnsi="Times"/>
                <w:color w:val="000000" w:themeColor="text1"/>
              </w:rPr>
              <w:t>What is the innovation level of Samsun ecosystem and what are its strengths and weaknesses compared to other peer cities?</w:t>
            </w:r>
          </w:p>
          <w:p w14:paraId="334F1863" w14:textId="77777777" w:rsidR="00B604EA" w:rsidRPr="00C23102" w:rsidRDefault="00B604EA" w:rsidP="00F44FEC">
            <w:pPr>
              <w:pStyle w:val="BodyText"/>
              <w:ind w:left="0"/>
              <w:jc w:val="left"/>
              <w:rPr>
                <w:rFonts w:ascii="Times" w:hAnsi="Times"/>
                <w:color w:val="FF0000"/>
              </w:rPr>
            </w:pPr>
          </w:p>
        </w:tc>
      </w:tr>
      <w:tr w:rsidR="00B604EA" w:rsidRPr="00C23102" w14:paraId="0B3F490C" w14:textId="77777777" w:rsidTr="00223FF3">
        <w:trPr>
          <w:trHeight w:val="2337"/>
        </w:trPr>
        <w:tc>
          <w:tcPr>
            <w:tcW w:w="1696" w:type="dxa"/>
            <w:tcBorders>
              <w:top w:val="nil"/>
              <w:bottom w:val="nil"/>
            </w:tcBorders>
          </w:tcPr>
          <w:p w14:paraId="268A5590" w14:textId="77777777" w:rsidR="00B604EA" w:rsidRPr="00C23102" w:rsidRDefault="00B604EA" w:rsidP="00F44FEC">
            <w:pPr>
              <w:pStyle w:val="BodyText"/>
              <w:ind w:left="0" w:right="2"/>
              <w:rPr>
                <w:rFonts w:ascii="Times" w:hAnsi="Times"/>
                <w:b/>
                <w:bCs/>
                <w:color w:val="000000" w:themeColor="text1"/>
              </w:rPr>
            </w:pPr>
            <w:r w:rsidRPr="00C23102">
              <w:rPr>
                <w:rFonts w:ascii="Times" w:hAnsi="Times"/>
                <w:b/>
                <w:bCs/>
                <w:color w:val="000000" w:themeColor="text1"/>
              </w:rPr>
              <w:t>Data</w:t>
            </w:r>
          </w:p>
          <w:p w14:paraId="24012A97" w14:textId="77777777" w:rsidR="00B604EA" w:rsidRPr="00C23102" w:rsidRDefault="00B604EA" w:rsidP="00F44FEC">
            <w:pPr>
              <w:pStyle w:val="BodyText"/>
              <w:ind w:left="0" w:right="2"/>
              <w:rPr>
                <w:rFonts w:ascii="Times" w:hAnsi="Times"/>
                <w:b/>
                <w:bCs/>
                <w:color w:val="FF0000"/>
              </w:rPr>
            </w:pPr>
            <w:r w:rsidRPr="00C23102">
              <w:rPr>
                <w:rFonts w:ascii="Times" w:hAnsi="Times"/>
                <w:b/>
                <w:bCs/>
                <w:color w:val="000000" w:themeColor="text1"/>
              </w:rPr>
              <w:t xml:space="preserve">Collection </w:t>
            </w:r>
          </w:p>
        </w:tc>
        <w:tc>
          <w:tcPr>
            <w:tcW w:w="2410" w:type="dxa"/>
            <w:tcBorders>
              <w:top w:val="nil"/>
              <w:bottom w:val="nil"/>
            </w:tcBorders>
          </w:tcPr>
          <w:p w14:paraId="5BCB9BF3"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1. Collect relational</w:t>
            </w:r>
          </w:p>
          <w:p w14:paraId="2D2AA2DA" w14:textId="0423D120"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 xml:space="preserve">data from official institutions regional and/or national level. </w:t>
            </w:r>
          </w:p>
          <w:p w14:paraId="57B65C69" w14:textId="77777777" w:rsidR="00B604EA" w:rsidRPr="00C23102" w:rsidRDefault="00B604EA" w:rsidP="00F44FEC">
            <w:pPr>
              <w:pStyle w:val="BodyText"/>
              <w:ind w:left="0" w:right="2"/>
              <w:jc w:val="left"/>
              <w:rPr>
                <w:rFonts w:ascii="Times" w:hAnsi="Times"/>
                <w:color w:val="FF0000"/>
              </w:rPr>
            </w:pPr>
          </w:p>
          <w:p w14:paraId="0A041279"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2. Transpose data</w:t>
            </w:r>
          </w:p>
          <w:p w14:paraId="53F827AE" w14:textId="6D1A5878" w:rsidR="00B604EA" w:rsidRPr="00C23102" w:rsidRDefault="00B604EA" w:rsidP="00F44FEC">
            <w:pPr>
              <w:pStyle w:val="BodyText"/>
              <w:ind w:left="0" w:right="2"/>
              <w:jc w:val="left"/>
              <w:rPr>
                <w:rFonts w:ascii="Times" w:hAnsi="Times"/>
                <w:color w:val="FF0000"/>
              </w:rPr>
            </w:pPr>
            <w:r w:rsidRPr="00C23102">
              <w:rPr>
                <w:rFonts w:ascii="Times" w:hAnsi="Times"/>
                <w:color w:val="000000" w:themeColor="text1"/>
              </w:rPr>
              <w:t>obtained for secondary analysis.</w:t>
            </w:r>
          </w:p>
        </w:tc>
        <w:tc>
          <w:tcPr>
            <w:tcW w:w="2054" w:type="dxa"/>
            <w:tcBorders>
              <w:top w:val="nil"/>
              <w:bottom w:val="nil"/>
            </w:tcBorders>
          </w:tcPr>
          <w:p w14:paraId="21B05ACC" w14:textId="77777777" w:rsidR="00B604EA" w:rsidRPr="00C23102" w:rsidRDefault="00B604EA" w:rsidP="00F44FEC">
            <w:pPr>
              <w:pStyle w:val="BodyText"/>
              <w:ind w:left="0" w:right="2"/>
              <w:jc w:val="left"/>
              <w:rPr>
                <w:rFonts w:ascii="Times" w:hAnsi="Times"/>
                <w:color w:val="000000" w:themeColor="text1"/>
              </w:rPr>
            </w:pPr>
          </w:p>
          <w:p w14:paraId="7CE5CCE2" w14:textId="77777777" w:rsidR="00B604EA" w:rsidRPr="00C23102" w:rsidRDefault="00B604EA" w:rsidP="00F44FEC">
            <w:pPr>
              <w:pStyle w:val="BodyText"/>
              <w:ind w:left="0" w:right="2"/>
              <w:jc w:val="left"/>
              <w:rPr>
                <w:rFonts w:ascii="Times" w:hAnsi="Times"/>
                <w:color w:val="000000" w:themeColor="text1"/>
              </w:rPr>
            </w:pPr>
          </w:p>
          <w:p w14:paraId="5930F5B5" w14:textId="77777777" w:rsidR="00B604EA" w:rsidRPr="00C23102" w:rsidRDefault="00B604EA" w:rsidP="00F44FEC">
            <w:pPr>
              <w:pStyle w:val="BodyText"/>
              <w:ind w:left="0" w:right="2"/>
              <w:jc w:val="left"/>
              <w:rPr>
                <w:rFonts w:ascii="Times" w:hAnsi="Times"/>
                <w:color w:val="000000" w:themeColor="text1"/>
              </w:rPr>
            </w:pPr>
          </w:p>
        </w:tc>
        <w:tc>
          <w:tcPr>
            <w:tcW w:w="2054" w:type="dxa"/>
            <w:tcBorders>
              <w:top w:val="nil"/>
              <w:bottom w:val="nil"/>
            </w:tcBorders>
          </w:tcPr>
          <w:p w14:paraId="464EFE6A"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1. Documentation of</w:t>
            </w:r>
          </w:p>
          <w:p w14:paraId="4C30E7F4" w14:textId="368ADE43"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innovation level of Samsun ecosystem and its strengths and weaknesses compared to other peer cities.</w:t>
            </w:r>
          </w:p>
        </w:tc>
      </w:tr>
      <w:tr w:rsidR="00B604EA" w:rsidRPr="00C23102" w14:paraId="55AFB156" w14:textId="77777777" w:rsidTr="00B712B1">
        <w:trPr>
          <w:trHeight w:val="3542"/>
        </w:trPr>
        <w:tc>
          <w:tcPr>
            <w:tcW w:w="1696" w:type="dxa"/>
            <w:tcBorders>
              <w:top w:val="nil"/>
              <w:bottom w:val="nil"/>
            </w:tcBorders>
          </w:tcPr>
          <w:p w14:paraId="15E1F6D4" w14:textId="77777777" w:rsidR="00B604EA" w:rsidRPr="00C23102" w:rsidRDefault="00B604EA" w:rsidP="00F44FEC">
            <w:pPr>
              <w:pStyle w:val="BodyText"/>
              <w:ind w:left="0" w:right="2"/>
              <w:rPr>
                <w:rFonts w:ascii="Times" w:hAnsi="Times"/>
                <w:b/>
                <w:bCs/>
                <w:color w:val="000000" w:themeColor="text1"/>
              </w:rPr>
            </w:pPr>
            <w:r w:rsidRPr="00C23102">
              <w:rPr>
                <w:rFonts w:ascii="Times" w:hAnsi="Times"/>
                <w:b/>
                <w:bCs/>
                <w:color w:val="000000" w:themeColor="text1"/>
              </w:rPr>
              <w:t>Data</w:t>
            </w:r>
          </w:p>
          <w:p w14:paraId="18C6CF9A" w14:textId="77777777" w:rsidR="00B604EA" w:rsidRPr="00C23102" w:rsidRDefault="00B604EA" w:rsidP="00F44FEC">
            <w:pPr>
              <w:pStyle w:val="BodyText"/>
              <w:ind w:left="0" w:right="2"/>
              <w:rPr>
                <w:rFonts w:ascii="Times" w:hAnsi="Times"/>
                <w:b/>
                <w:bCs/>
                <w:color w:val="000000" w:themeColor="text1"/>
              </w:rPr>
            </w:pPr>
            <w:r w:rsidRPr="00C23102">
              <w:rPr>
                <w:rFonts w:ascii="Times" w:hAnsi="Times"/>
                <w:b/>
                <w:bCs/>
                <w:color w:val="000000" w:themeColor="text1"/>
              </w:rPr>
              <w:t>Analysis</w:t>
            </w:r>
          </w:p>
        </w:tc>
        <w:tc>
          <w:tcPr>
            <w:tcW w:w="2410" w:type="dxa"/>
            <w:tcBorders>
              <w:top w:val="nil"/>
              <w:bottom w:val="nil"/>
            </w:tcBorders>
          </w:tcPr>
          <w:p w14:paraId="1E16FD58"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1. Quantitative analysis</w:t>
            </w:r>
          </w:p>
          <w:p w14:paraId="7301EDDC" w14:textId="46A638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of data regarding comparative capacity of innovation of Samsun compared to other peer cities using MS office Excel.</w:t>
            </w:r>
          </w:p>
          <w:p w14:paraId="2C0F0968" w14:textId="77777777" w:rsidR="00B604EA" w:rsidRPr="00C23102" w:rsidRDefault="00B604EA" w:rsidP="00F44FEC">
            <w:pPr>
              <w:pStyle w:val="BodyText"/>
              <w:ind w:left="0" w:right="2"/>
              <w:jc w:val="left"/>
              <w:rPr>
                <w:rFonts w:ascii="Times" w:hAnsi="Times"/>
                <w:color w:val="000000" w:themeColor="text1"/>
              </w:rPr>
            </w:pPr>
          </w:p>
          <w:p w14:paraId="5A7D6444" w14:textId="03AFD7DA"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2. Preliminary</w:t>
            </w:r>
          </w:p>
          <w:p w14:paraId="177C6477"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description of the</w:t>
            </w:r>
          </w:p>
          <w:p w14:paraId="60B7145F" w14:textId="3D63AAC2"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 xml:space="preserve">comparison. </w:t>
            </w:r>
          </w:p>
        </w:tc>
        <w:tc>
          <w:tcPr>
            <w:tcW w:w="2054" w:type="dxa"/>
            <w:tcBorders>
              <w:top w:val="nil"/>
              <w:bottom w:val="nil"/>
            </w:tcBorders>
          </w:tcPr>
          <w:p w14:paraId="1D60695C" w14:textId="173B73A2"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1. Preliminary</w:t>
            </w:r>
          </w:p>
          <w:p w14:paraId="16B6ADF7"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description of the</w:t>
            </w:r>
          </w:p>
          <w:p w14:paraId="793C9167"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 xml:space="preserve">network </w:t>
            </w:r>
          </w:p>
          <w:p w14:paraId="23A310DC" w14:textId="77777777" w:rsidR="00B604EA" w:rsidRPr="00C23102" w:rsidRDefault="00B604EA" w:rsidP="00F44FEC">
            <w:pPr>
              <w:pStyle w:val="BodyText"/>
              <w:ind w:left="0" w:right="2"/>
              <w:jc w:val="left"/>
              <w:rPr>
                <w:rFonts w:ascii="Times" w:hAnsi="Times"/>
                <w:color w:val="000000" w:themeColor="text1"/>
              </w:rPr>
            </w:pPr>
          </w:p>
          <w:p w14:paraId="41CA85E3" w14:textId="5713294B" w:rsidR="00B604EA" w:rsidRPr="00C23102" w:rsidRDefault="00B604EA" w:rsidP="00F44FEC">
            <w:pPr>
              <w:pStyle w:val="BodyText"/>
              <w:ind w:left="0" w:right="2"/>
              <w:jc w:val="left"/>
              <w:rPr>
                <w:rFonts w:ascii="Times" w:hAnsi="Times"/>
                <w:color w:val="000000" w:themeColor="text1"/>
              </w:rPr>
            </w:pPr>
          </w:p>
        </w:tc>
        <w:tc>
          <w:tcPr>
            <w:tcW w:w="2054" w:type="dxa"/>
            <w:tcBorders>
              <w:top w:val="nil"/>
              <w:bottom w:val="nil"/>
            </w:tcBorders>
          </w:tcPr>
          <w:p w14:paraId="117F37A0"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1. Interpretation of</w:t>
            </w:r>
          </w:p>
          <w:p w14:paraId="1DFEDEA2" w14:textId="56E7DA38"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empirical findings</w:t>
            </w:r>
            <w:r w:rsidR="00756842" w:rsidRPr="00C23102">
              <w:rPr>
                <w:rFonts w:ascii="Times" w:hAnsi="Times"/>
                <w:color w:val="000000" w:themeColor="text1"/>
              </w:rPr>
              <w:t>.</w:t>
            </w:r>
          </w:p>
        </w:tc>
      </w:tr>
      <w:tr w:rsidR="00B604EA" w:rsidRPr="00C23102" w14:paraId="2BB2C485" w14:textId="77777777" w:rsidTr="00223FF3">
        <w:trPr>
          <w:trHeight w:val="1412"/>
        </w:trPr>
        <w:tc>
          <w:tcPr>
            <w:tcW w:w="1696" w:type="dxa"/>
            <w:tcBorders>
              <w:top w:val="nil"/>
            </w:tcBorders>
          </w:tcPr>
          <w:p w14:paraId="50330AD4" w14:textId="77777777" w:rsidR="00B604EA" w:rsidRPr="00C23102" w:rsidRDefault="00B604EA" w:rsidP="00F44FEC">
            <w:pPr>
              <w:pStyle w:val="BodyText"/>
              <w:ind w:left="0" w:right="2"/>
              <w:rPr>
                <w:rFonts w:ascii="Times" w:hAnsi="Times"/>
                <w:b/>
                <w:bCs/>
                <w:color w:val="000000" w:themeColor="text1"/>
              </w:rPr>
            </w:pPr>
            <w:r w:rsidRPr="00C23102">
              <w:rPr>
                <w:rFonts w:ascii="Times" w:hAnsi="Times"/>
                <w:b/>
                <w:bCs/>
                <w:color w:val="000000" w:themeColor="text1"/>
              </w:rPr>
              <w:t>Result</w:t>
            </w:r>
          </w:p>
        </w:tc>
        <w:tc>
          <w:tcPr>
            <w:tcW w:w="2410" w:type="dxa"/>
            <w:tcBorders>
              <w:top w:val="nil"/>
            </w:tcBorders>
          </w:tcPr>
          <w:p w14:paraId="51335802"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Empirical</w:t>
            </w:r>
          </w:p>
          <w:p w14:paraId="39C41B45"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description of the</w:t>
            </w:r>
          </w:p>
          <w:p w14:paraId="1B485383" w14:textId="339AB356"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 xml:space="preserve">comparative capacity of innovation of Samsun </w:t>
            </w:r>
          </w:p>
        </w:tc>
        <w:tc>
          <w:tcPr>
            <w:tcW w:w="2054" w:type="dxa"/>
            <w:tcBorders>
              <w:top w:val="nil"/>
            </w:tcBorders>
          </w:tcPr>
          <w:p w14:paraId="40B895D7"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1. Descriptive empirical</w:t>
            </w:r>
          </w:p>
          <w:p w14:paraId="04593D5D"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structure of the network</w:t>
            </w:r>
          </w:p>
          <w:p w14:paraId="6E93CD9B" w14:textId="77777777" w:rsidR="00B604EA" w:rsidRPr="00C23102" w:rsidRDefault="00B604EA" w:rsidP="00F44FEC">
            <w:pPr>
              <w:pStyle w:val="BodyText"/>
              <w:ind w:left="0" w:right="2"/>
              <w:jc w:val="left"/>
              <w:rPr>
                <w:rFonts w:ascii="Times" w:hAnsi="Times"/>
                <w:color w:val="000000" w:themeColor="text1"/>
              </w:rPr>
            </w:pPr>
          </w:p>
          <w:p w14:paraId="3B9DD683" w14:textId="77777777" w:rsidR="00B604EA" w:rsidRPr="00C23102" w:rsidRDefault="00B604EA" w:rsidP="00F44FEC">
            <w:pPr>
              <w:pStyle w:val="BodyText"/>
              <w:ind w:left="0" w:right="2"/>
              <w:jc w:val="left"/>
              <w:rPr>
                <w:rFonts w:ascii="Times" w:hAnsi="Times"/>
                <w:color w:val="000000" w:themeColor="text1"/>
              </w:rPr>
            </w:pPr>
          </w:p>
        </w:tc>
        <w:tc>
          <w:tcPr>
            <w:tcW w:w="2054" w:type="dxa"/>
            <w:tcBorders>
              <w:top w:val="nil"/>
            </w:tcBorders>
          </w:tcPr>
          <w:p w14:paraId="313B348F" w14:textId="77777777" w:rsidR="00B604EA" w:rsidRPr="00C23102" w:rsidRDefault="00B604EA" w:rsidP="00F44FEC">
            <w:pPr>
              <w:pStyle w:val="BodyText"/>
              <w:ind w:left="0" w:right="2"/>
              <w:jc w:val="left"/>
              <w:rPr>
                <w:rFonts w:ascii="Times" w:hAnsi="Times"/>
                <w:color w:val="000000" w:themeColor="text1"/>
              </w:rPr>
            </w:pPr>
            <w:r w:rsidRPr="00C23102">
              <w:rPr>
                <w:rFonts w:ascii="Times" w:hAnsi="Times"/>
                <w:color w:val="000000" w:themeColor="text1"/>
              </w:rPr>
              <w:t>a) Expected impact of findings</w:t>
            </w:r>
          </w:p>
          <w:p w14:paraId="475C2B0A" w14:textId="77777777" w:rsidR="00B604EA" w:rsidRPr="00C23102" w:rsidRDefault="00B604EA" w:rsidP="00F44FEC">
            <w:pPr>
              <w:pStyle w:val="BodyText"/>
              <w:ind w:left="0" w:right="2"/>
              <w:jc w:val="left"/>
              <w:rPr>
                <w:rFonts w:ascii="Times" w:hAnsi="Times"/>
                <w:color w:val="000000" w:themeColor="text1"/>
              </w:rPr>
            </w:pPr>
          </w:p>
          <w:p w14:paraId="387CED92" w14:textId="17AB74AE" w:rsidR="00B604EA" w:rsidRPr="00C23102" w:rsidRDefault="00B604EA" w:rsidP="00F44FEC">
            <w:pPr>
              <w:pStyle w:val="BodyText"/>
              <w:ind w:left="0" w:right="2"/>
              <w:jc w:val="left"/>
              <w:rPr>
                <w:rFonts w:ascii="Times" w:hAnsi="Times"/>
                <w:color w:val="000000" w:themeColor="text1"/>
              </w:rPr>
            </w:pPr>
          </w:p>
        </w:tc>
      </w:tr>
    </w:tbl>
    <w:p w14:paraId="572639F2" w14:textId="219CDC74" w:rsidR="00CB5900" w:rsidRPr="00C23102" w:rsidRDefault="00CB5900" w:rsidP="003A7803">
      <w:pPr>
        <w:pStyle w:val="BodyText"/>
        <w:spacing w:before="240" w:after="120"/>
        <w:ind w:left="0"/>
        <w:rPr>
          <w:rFonts w:ascii="Times" w:hAnsi="Times"/>
          <w:b/>
          <w:bCs/>
          <w:color w:val="000000" w:themeColor="text1"/>
        </w:rPr>
      </w:pPr>
      <w:bookmarkStart w:id="5" w:name="_Hlk60838594"/>
      <w:r w:rsidRPr="00C23102">
        <w:rPr>
          <w:rFonts w:ascii="Times" w:hAnsi="Times"/>
          <w:b/>
          <w:bCs/>
          <w:color w:val="000000" w:themeColor="text1"/>
        </w:rPr>
        <w:lastRenderedPageBreak/>
        <w:t>3.2.2. Rationale</w:t>
      </w:r>
    </w:p>
    <w:bookmarkEnd w:id="5"/>
    <w:p w14:paraId="7089ED6D" w14:textId="27A804FD" w:rsidR="00CB5900" w:rsidRPr="00C23102" w:rsidRDefault="00CB5900" w:rsidP="00D05B25">
      <w:pPr>
        <w:pStyle w:val="BodyText"/>
        <w:spacing w:after="120" w:line="240" w:lineRule="auto"/>
        <w:ind w:left="0" w:firstLine="709"/>
        <w:rPr>
          <w:rFonts w:ascii="Times" w:hAnsi="Times"/>
          <w:color w:val="000000" w:themeColor="text1"/>
        </w:rPr>
      </w:pPr>
      <w:r w:rsidRPr="00C23102">
        <w:rPr>
          <w:rFonts w:ascii="Times" w:hAnsi="Times"/>
          <w:color w:val="000000" w:themeColor="text1"/>
        </w:rPr>
        <w:t xml:space="preserve">When planning a social network analysis research, researchers should act in accordance with certain procedures and steps as in other scientific research approaches. In addition to the rules to be followed in scientific studies (Creswell, 2012), social network analysis has its own unique working style and techniques used in the analysis of network structure. </w:t>
      </w:r>
    </w:p>
    <w:p w14:paraId="766659BE" w14:textId="77777777" w:rsidR="00CB5900" w:rsidRPr="00C23102" w:rsidRDefault="00CB5900" w:rsidP="003A7803">
      <w:pPr>
        <w:pStyle w:val="BodyText"/>
        <w:spacing w:after="120"/>
        <w:ind w:left="0"/>
        <w:rPr>
          <w:rFonts w:ascii="Times" w:hAnsi="Times"/>
          <w:b/>
          <w:bCs/>
          <w:color w:val="000000" w:themeColor="text1"/>
        </w:rPr>
      </w:pPr>
      <w:bookmarkStart w:id="6" w:name="_Hlk60838610"/>
      <w:r w:rsidRPr="00C23102">
        <w:rPr>
          <w:rFonts w:ascii="Times" w:hAnsi="Times"/>
          <w:b/>
          <w:bCs/>
          <w:color w:val="000000" w:themeColor="text1"/>
        </w:rPr>
        <w:t>3.2.3. Data Sources and Analysis</w:t>
      </w:r>
    </w:p>
    <w:bookmarkEnd w:id="6"/>
    <w:p w14:paraId="0CBD6960" w14:textId="0B627618" w:rsidR="00CB5900"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 xml:space="preserve">The </w:t>
      </w:r>
      <w:r w:rsidR="00D05B25" w:rsidRPr="00C23102">
        <w:rPr>
          <w:rFonts w:ascii="Times" w:hAnsi="Times"/>
          <w:color w:val="000000" w:themeColor="text1"/>
        </w:rPr>
        <w:t>research</w:t>
      </w:r>
      <w:r w:rsidRPr="00C23102">
        <w:rPr>
          <w:rFonts w:ascii="Times" w:hAnsi="Times"/>
          <w:color w:val="000000" w:themeColor="text1"/>
        </w:rPr>
        <w:t xml:space="preserve"> analyses of the secondary data sets were performed using </w:t>
      </w:r>
      <w:r w:rsidR="00D05B25" w:rsidRPr="00C23102">
        <w:rPr>
          <w:rFonts w:ascii="Times" w:hAnsi="Times"/>
          <w:color w:val="000000" w:themeColor="text1"/>
        </w:rPr>
        <w:t>t</w:t>
      </w:r>
      <w:r w:rsidRPr="00C23102">
        <w:rPr>
          <w:rFonts w:ascii="Times" w:hAnsi="Times"/>
          <w:color w:val="000000" w:themeColor="text1"/>
        </w:rPr>
        <w:t>ools</w:t>
      </w:r>
      <w:r w:rsidR="00756842" w:rsidRPr="00C23102">
        <w:rPr>
          <w:rFonts w:ascii="Times" w:hAnsi="Times"/>
          <w:color w:val="000000" w:themeColor="text1"/>
        </w:rPr>
        <w:t xml:space="preserve"> </w:t>
      </w:r>
      <w:r w:rsidR="005D3824" w:rsidRPr="00C23102">
        <w:rPr>
          <w:rFonts w:ascii="Times" w:hAnsi="Times"/>
          <w:color w:val="000000" w:themeColor="text1"/>
        </w:rPr>
        <w:t xml:space="preserve">such as MS </w:t>
      </w:r>
      <w:r w:rsidR="00863D00" w:rsidRPr="00C23102">
        <w:rPr>
          <w:rFonts w:ascii="Times" w:hAnsi="Times"/>
          <w:color w:val="000000" w:themeColor="text1"/>
        </w:rPr>
        <w:t>Office Excel</w:t>
      </w:r>
      <w:r w:rsidR="00756842" w:rsidRPr="00C23102">
        <w:rPr>
          <w:rFonts w:ascii="Times" w:hAnsi="Times"/>
          <w:color w:val="000000" w:themeColor="text1"/>
        </w:rPr>
        <w:t>.</w:t>
      </w:r>
      <w:r w:rsidR="00D05B25" w:rsidRPr="00C23102">
        <w:rPr>
          <w:rFonts w:ascii="Times" w:hAnsi="Times"/>
          <w:color w:val="000000" w:themeColor="text1"/>
        </w:rPr>
        <w:t xml:space="preserve"> </w:t>
      </w:r>
      <w:r w:rsidRPr="00C23102">
        <w:rPr>
          <w:rFonts w:ascii="Times" w:hAnsi="Times"/>
          <w:color w:val="000000" w:themeColor="text1"/>
        </w:rPr>
        <w:t xml:space="preserve">Data collected from official institutions in regional and/or national level. </w:t>
      </w:r>
    </w:p>
    <w:p w14:paraId="26FBE2AC" w14:textId="77777777" w:rsidR="00CB5900" w:rsidRPr="00C23102" w:rsidRDefault="00CB5900" w:rsidP="003A7803">
      <w:pPr>
        <w:pStyle w:val="BodyText"/>
        <w:spacing w:after="120"/>
        <w:ind w:left="0"/>
        <w:rPr>
          <w:rFonts w:ascii="Times" w:hAnsi="Times"/>
          <w:b/>
          <w:bCs/>
          <w:color w:val="000000" w:themeColor="text1"/>
        </w:rPr>
      </w:pPr>
      <w:bookmarkStart w:id="7" w:name="_Hlk60838623"/>
      <w:r w:rsidRPr="00C23102">
        <w:rPr>
          <w:rFonts w:ascii="Times" w:hAnsi="Times"/>
          <w:b/>
          <w:bCs/>
          <w:color w:val="000000" w:themeColor="text1"/>
        </w:rPr>
        <w:t>3.3. Research Procedures</w:t>
      </w:r>
    </w:p>
    <w:p w14:paraId="2833A306" w14:textId="77777777" w:rsidR="00CB5900" w:rsidRPr="00C23102" w:rsidRDefault="00CB5900" w:rsidP="003A7803">
      <w:pPr>
        <w:pStyle w:val="BodyText"/>
        <w:spacing w:after="120"/>
        <w:ind w:left="0"/>
        <w:rPr>
          <w:rFonts w:ascii="Times" w:hAnsi="Times"/>
          <w:b/>
          <w:bCs/>
          <w:color w:val="000000" w:themeColor="text1"/>
        </w:rPr>
      </w:pPr>
      <w:r w:rsidRPr="00C23102">
        <w:rPr>
          <w:rFonts w:ascii="Times" w:hAnsi="Times"/>
          <w:b/>
          <w:bCs/>
          <w:color w:val="000000" w:themeColor="text1"/>
        </w:rPr>
        <w:t>3.3.1. Setting</w:t>
      </w:r>
    </w:p>
    <w:bookmarkEnd w:id="7"/>
    <w:p w14:paraId="42637B0C" w14:textId="0008202A" w:rsidR="00CB5900" w:rsidRPr="00C23102" w:rsidRDefault="00CB5900" w:rsidP="00D05B25">
      <w:pPr>
        <w:pStyle w:val="BodyText"/>
        <w:spacing w:after="120" w:line="240" w:lineRule="auto"/>
        <w:ind w:left="0" w:firstLine="709"/>
        <w:rPr>
          <w:rFonts w:ascii="Times" w:hAnsi="Times"/>
          <w:color w:val="050505"/>
        </w:rPr>
      </w:pPr>
      <w:r w:rsidRPr="00C23102">
        <w:rPr>
          <w:rFonts w:ascii="Times" w:hAnsi="Times"/>
          <w:color w:val="050505"/>
        </w:rPr>
        <w:t xml:space="preserve">There is no generally accepted method and data set for measuring innovation in regional innovation studies. It is used as a method to obtain an indicator set by increasing the indicators that are important at the firm level to the regional level. In addition, indicators such as the number of universities, the number of researchers, the projects carried out at universities </w:t>
      </w:r>
      <w:r w:rsidR="00D8746E" w:rsidRPr="00C23102">
        <w:rPr>
          <w:rFonts w:ascii="Times" w:hAnsi="Times"/>
          <w:color w:val="050505"/>
        </w:rPr>
        <w:t xml:space="preserve">and </w:t>
      </w:r>
      <w:r w:rsidRPr="00C23102">
        <w:rPr>
          <w:rFonts w:ascii="Times" w:hAnsi="Times"/>
          <w:color w:val="050505"/>
        </w:rPr>
        <w:t xml:space="preserve">the number of patents </w:t>
      </w:r>
      <w:r w:rsidR="00591449" w:rsidRPr="00C23102">
        <w:rPr>
          <w:rFonts w:ascii="Times" w:hAnsi="Times"/>
          <w:color w:val="050505"/>
        </w:rPr>
        <w:t>is</w:t>
      </w:r>
      <w:r w:rsidRPr="00C23102">
        <w:rPr>
          <w:rFonts w:ascii="Times" w:hAnsi="Times"/>
          <w:color w:val="050505"/>
        </w:rPr>
        <w:t xml:space="preserve"> added to this group because they are important in terms of regional innovation capacity. Since the regional innovation capacity includes the relevant activities of all stakeholders in that region, the supports they provide, the projects they carry out or other supports they provide to this ecosystem, the method and indicator set applied for a region or country cannot be valid for another region or country. Each region should create its own indicators as well as international basic indicators</w:t>
      </w:r>
      <w:r w:rsidR="00D8746E" w:rsidRPr="00C23102">
        <w:rPr>
          <w:rFonts w:ascii="Times" w:hAnsi="Times"/>
          <w:color w:val="050505"/>
        </w:rPr>
        <w:t>.</w:t>
      </w:r>
      <w:r w:rsidR="00D05B25" w:rsidRPr="00C23102">
        <w:rPr>
          <w:rFonts w:ascii="Times" w:hAnsi="Times"/>
          <w:color w:val="050505"/>
        </w:rPr>
        <w:t xml:space="preserve"> </w:t>
      </w:r>
      <w:r w:rsidRPr="00C23102">
        <w:rPr>
          <w:rFonts w:ascii="Times" w:hAnsi="Times"/>
          <w:color w:val="050505"/>
        </w:rPr>
        <w:t>Within the scope of the study, Samsun regional innovation indicator</w:t>
      </w:r>
      <w:r w:rsidR="003016FA" w:rsidRPr="00C23102">
        <w:rPr>
          <w:rFonts w:ascii="Times" w:hAnsi="Times"/>
          <w:color w:val="050505"/>
        </w:rPr>
        <w:t>s</w:t>
      </w:r>
      <w:r w:rsidRPr="00C23102">
        <w:rPr>
          <w:rFonts w:ascii="Times" w:hAnsi="Times"/>
          <w:color w:val="050505"/>
        </w:rPr>
        <w:t xml:space="preserve"> set was created, data specific to Samsun and other </w:t>
      </w:r>
      <w:r w:rsidR="0099373C" w:rsidRPr="00C23102">
        <w:rPr>
          <w:rFonts w:ascii="Times" w:hAnsi="Times"/>
          <w:color w:val="050505"/>
        </w:rPr>
        <w:t>peer</w:t>
      </w:r>
      <w:r w:rsidRPr="00C23102">
        <w:rPr>
          <w:rFonts w:ascii="Times" w:hAnsi="Times"/>
          <w:color w:val="050505"/>
        </w:rPr>
        <w:t xml:space="preserve"> cities regarding this indicator set were obtained and the data were </w:t>
      </w:r>
      <w:r w:rsidR="00E623F3" w:rsidRPr="00C23102">
        <w:rPr>
          <w:rFonts w:ascii="Times" w:hAnsi="Times"/>
          <w:color w:val="050505"/>
        </w:rPr>
        <w:t>analysed</w:t>
      </w:r>
      <w:r w:rsidRPr="00C23102">
        <w:rPr>
          <w:rFonts w:ascii="Times" w:hAnsi="Times"/>
          <w:color w:val="050505"/>
        </w:rPr>
        <w:t>. Official correspondence, internet browsing, and survey applications were used to obtain data. The methods used are discussed in detail in the relevant sections of the study.</w:t>
      </w:r>
    </w:p>
    <w:p w14:paraId="7D744828" w14:textId="44134DEA" w:rsidR="00CB5900" w:rsidRPr="00C23102" w:rsidRDefault="00CB5900" w:rsidP="00F44FEC">
      <w:pPr>
        <w:pStyle w:val="BodyText"/>
        <w:spacing w:after="120" w:line="240" w:lineRule="auto"/>
        <w:ind w:left="0" w:firstLine="567"/>
        <w:rPr>
          <w:rFonts w:ascii="Times" w:hAnsi="Times"/>
          <w:color w:val="050505"/>
        </w:rPr>
      </w:pPr>
      <w:r w:rsidRPr="00C23102">
        <w:rPr>
          <w:rFonts w:ascii="Times" w:hAnsi="Times"/>
          <w:color w:val="050505"/>
        </w:rPr>
        <w:t xml:space="preserve">The settings </w:t>
      </w:r>
      <w:r w:rsidR="00D05B25" w:rsidRPr="00C23102">
        <w:rPr>
          <w:rFonts w:ascii="Times" w:hAnsi="Times"/>
          <w:color w:val="050505"/>
        </w:rPr>
        <w:t>are</w:t>
      </w:r>
      <w:r w:rsidRPr="00C23102">
        <w:rPr>
          <w:rFonts w:ascii="Times" w:hAnsi="Times"/>
          <w:color w:val="050505"/>
        </w:rPr>
        <w:t xml:space="preserve"> Samsun Innovation Indicators Set which consists of </w:t>
      </w:r>
      <w:r w:rsidR="00591449" w:rsidRPr="00C23102">
        <w:rPr>
          <w:rFonts w:ascii="Times" w:hAnsi="Times"/>
          <w:color w:val="050505"/>
        </w:rPr>
        <w:t>nineteen (1</w:t>
      </w:r>
      <w:r w:rsidRPr="00C23102">
        <w:rPr>
          <w:rFonts w:ascii="Times" w:hAnsi="Times"/>
          <w:color w:val="050505"/>
        </w:rPr>
        <w:t>9</w:t>
      </w:r>
      <w:r w:rsidR="00591449" w:rsidRPr="00C23102">
        <w:rPr>
          <w:rFonts w:ascii="Times" w:hAnsi="Times"/>
          <w:color w:val="050505"/>
        </w:rPr>
        <w:t>)</w:t>
      </w:r>
      <w:r w:rsidRPr="00C23102">
        <w:rPr>
          <w:rFonts w:ascii="Times" w:hAnsi="Times"/>
          <w:color w:val="050505"/>
        </w:rPr>
        <w:t xml:space="preserve"> indicators and three sections as institutional, academic and industry indicators. This indicator set, which is prepared to </w:t>
      </w:r>
      <w:r w:rsidR="0078330D" w:rsidRPr="00C23102">
        <w:rPr>
          <w:rFonts w:ascii="Times" w:hAnsi="Times"/>
          <w:color w:val="050505"/>
        </w:rPr>
        <w:t>analyse</w:t>
      </w:r>
      <w:r w:rsidRPr="00C23102">
        <w:rPr>
          <w:rFonts w:ascii="Times" w:hAnsi="Times"/>
          <w:color w:val="050505"/>
        </w:rPr>
        <w:t xml:space="preserve"> the R&amp;D and innovation performance of Samsun, reflects the development of Samsun in R&amp;D and innovation by collecting data from the relevant institutions and organizations.</w:t>
      </w:r>
    </w:p>
    <w:p w14:paraId="383FEB29" w14:textId="580F7D90" w:rsidR="003D0A22" w:rsidRPr="00C23102" w:rsidRDefault="003D0A22" w:rsidP="00D05B25">
      <w:pPr>
        <w:pStyle w:val="BodyText"/>
        <w:spacing w:before="240" w:after="240" w:line="240" w:lineRule="auto"/>
        <w:ind w:left="0"/>
        <w:jc w:val="center"/>
        <w:rPr>
          <w:rFonts w:ascii="Times" w:hAnsi="Times"/>
          <w:b/>
          <w:bCs/>
          <w:color w:val="050505"/>
        </w:rPr>
      </w:pPr>
      <w:bookmarkStart w:id="8" w:name="_Hlk74750830"/>
      <w:r w:rsidRPr="00C23102">
        <w:rPr>
          <w:rFonts w:ascii="Times" w:hAnsi="Times"/>
          <w:b/>
          <w:bCs/>
          <w:color w:val="050505"/>
        </w:rPr>
        <w:t>Table 2.</w:t>
      </w:r>
      <w:r w:rsidR="00044B5F" w:rsidRPr="00C23102">
        <w:rPr>
          <w:rFonts w:ascii="Times" w:hAnsi="Times"/>
          <w:b/>
          <w:bCs/>
          <w:color w:val="050505"/>
        </w:rPr>
        <w:t xml:space="preserve"> </w:t>
      </w:r>
      <w:r w:rsidR="003016FA" w:rsidRPr="00C23102">
        <w:rPr>
          <w:rFonts w:ascii="Times" w:hAnsi="Times"/>
          <w:b/>
          <w:bCs/>
          <w:color w:val="050505"/>
        </w:rPr>
        <w:t xml:space="preserve">Innovation Indicators </w:t>
      </w:r>
      <w:r w:rsidRPr="00C23102">
        <w:rPr>
          <w:rFonts w:ascii="Times" w:hAnsi="Times"/>
          <w:b/>
          <w:bCs/>
          <w:color w:val="050505"/>
        </w:rPr>
        <w:t>Set</w:t>
      </w:r>
      <w:r w:rsidR="003016FA" w:rsidRPr="00C23102">
        <w:rPr>
          <w:rFonts w:ascii="Times" w:hAnsi="Times"/>
          <w:b/>
          <w:bCs/>
          <w:color w:val="050505"/>
        </w:rPr>
        <w:t xml:space="preserve"> of Samsun Province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2679"/>
      </w:tblGrid>
      <w:tr w:rsidR="00CB5900" w:rsidRPr="00C23102" w14:paraId="01147396" w14:textId="77777777" w:rsidTr="00474D18">
        <w:trPr>
          <w:jc w:val="center"/>
        </w:trPr>
        <w:tc>
          <w:tcPr>
            <w:tcW w:w="2127" w:type="dxa"/>
            <w:tcBorders>
              <w:top w:val="single" w:sz="4" w:space="0" w:color="auto"/>
              <w:bottom w:val="single" w:sz="4" w:space="0" w:color="auto"/>
            </w:tcBorders>
          </w:tcPr>
          <w:bookmarkEnd w:id="8"/>
          <w:p w14:paraId="050F3965" w14:textId="3F308BD0" w:rsidR="00CB5900" w:rsidRPr="00C23102" w:rsidRDefault="00CB5900" w:rsidP="00F44FEC">
            <w:pPr>
              <w:pStyle w:val="BodyText"/>
              <w:spacing w:before="120" w:after="120"/>
              <w:ind w:left="0"/>
              <w:jc w:val="left"/>
              <w:rPr>
                <w:rFonts w:ascii="Times" w:hAnsi="Times"/>
                <w:b/>
                <w:bCs/>
                <w:color w:val="050505"/>
              </w:rPr>
            </w:pPr>
            <w:r w:rsidRPr="00C23102">
              <w:rPr>
                <w:rFonts w:ascii="Times" w:hAnsi="Times"/>
                <w:b/>
                <w:bCs/>
                <w:color w:val="050505"/>
              </w:rPr>
              <w:t>Institutional</w:t>
            </w:r>
          </w:p>
        </w:tc>
        <w:tc>
          <w:tcPr>
            <w:tcW w:w="2835" w:type="dxa"/>
            <w:tcBorders>
              <w:top w:val="single" w:sz="4" w:space="0" w:color="auto"/>
              <w:bottom w:val="single" w:sz="4" w:space="0" w:color="auto"/>
            </w:tcBorders>
          </w:tcPr>
          <w:p w14:paraId="34197F8E" w14:textId="77777777" w:rsidR="00CB5900" w:rsidRPr="00C23102" w:rsidRDefault="00CB5900" w:rsidP="00F44FEC">
            <w:pPr>
              <w:pStyle w:val="BodyText"/>
              <w:spacing w:before="120" w:after="120"/>
              <w:ind w:left="0"/>
              <w:jc w:val="left"/>
              <w:rPr>
                <w:rFonts w:ascii="Times" w:hAnsi="Times"/>
                <w:b/>
                <w:bCs/>
                <w:color w:val="050505"/>
              </w:rPr>
            </w:pPr>
            <w:r w:rsidRPr="00C23102">
              <w:rPr>
                <w:rFonts w:ascii="Times" w:hAnsi="Times"/>
                <w:b/>
                <w:bCs/>
                <w:color w:val="050505"/>
              </w:rPr>
              <w:t>Academic</w:t>
            </w:r>
          </w:p>
        </w:tc>
        <w:tc>
          <w:tcPr>
            <w:tcW w:w="2679" w:type="dxa"/>
            <w:tcBorders>
              <w:top w:val="single" w:sz="4" w:space="0" w:color="auto"/>
              <w:bottom w:val="single" w:sz="4" w:space="0" w:color="auto"/>
            </w:tcBorders>
          </w:tcPr>
          <w:p w14:paraId="513F3656" w14:textId="77777777" w:rsidR="00CB5900" w:rsidRPr="00C23102" w:rsidRDefault="00CB5900" w:rsidP="00F44FEC">
            <w:pPr>
              <w:pStyle w:val="BodyText"/>
              <w:spacing w:before="120" w:after="120"/>
              <w:ind w:left="0"/>
              <w:jc w:val="left"/>
              <w:rPr>
                <w:rFonts w:ascii="Times" w:hAnsi="Times"/>
                <w:b/>
                <w:bCs/>
                <w:color w:val="050505"/>
              </w:rPr>
            </w:pPr>
            <w:r w:rsidRPr="00C23102">
              <w:rPr>
                <w:rFonts w:ascii="Times" w:hAnsi="Times"/>
                <w:b/>
                <w:bCs/>
                <w:color w:val="050505"/>
              </w:rPr>
              <w:t>Industry</w:t>
            </w:r>
          </w:p>
        </w:tc>
      </w:tr>
      <w:tr w:rsidR="00474D18" w:rsidRPr="00C23102" w14:paraId="10E473C5" w14:textId="77777777" w:rsidTr="00474D18">
        <w:trPr>
          <w:jc w:val="center"/>
        </w:trPr>
        <w:tc>
          <w:tcPr>
            <w:tcW w:w="2127" w:type="dxa"/>
            <w:tcBorders>
              <w:top w:val="single" w:sz="4" w:space="0" w:color="auto"/>
            </w:tcBorders>
          </w:tcPr>
          <w:p w14:paraId="08A2FC04" w14:textId="2456C168"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Population</w:t>
            </w:r>
            <w:r w:rsidR="00053324" w:rsidRPr="00C23102">
              <w:rPr>
                <w:rFonts w:ascii="Times" w:hAnsi="Times"/>
                <w:color w:val="050505"/>
              </w:rPr>
              <w:t xml:space="preserve"> </w:t>
            </w:r>
            <w:r w:rsidR="00053324" w:rsidRPr="00C23102">
              <w:rPr>
                <w:rFonts w:ascii="Times" w:hAnsi="Times"/>
                <w:i/>
                <w:iCs/>
                <w:color w:val="050505"/>
              </w:rPr>
              <w:t>from TURKSTAT</w:t>
            </w:r>
          </w:p>
        </w:tc>
        <w:tc>
          <w:tcPr>
            <w:tcW w:w="2835" w:type="dxa"/>
            <w:tcBorders>
              <w:top w:val="single" w:sz="4" w:space="0" w:color="auto"/>
            </w:tcBorders>
          </w:tcPr>
          <w:p w14:paraId="6FAAD39C" w14:textId="124BA95F" w:rsidR="00474D18" w:rsidRPr="00C23102" w:rsidRDefault="002B08C3" w:rsidP="00F44FEC">
            <w:pPr>
              <w:pStyle w:val="BodyText"/>
              <w:spacing w:after="120"/>
              <w:ind w:left="0"/>
              <w:jc w:val="left"/>
              <w:rPr>
                <w:rFonts w:ascii="Times" w:hAnsi="Times"/>
                <w:color w:val="050505"/>
              </w:rPr>
            </w:pPr>
            <w:r w:rsidRPr="00C23102">
              <w:rPr>
                <w:rFonts w:ascii="Times" w:hAnsi="Times"/>
                <w:color w:val="050505"/>
              </w:rPr>
              <w:t xml:space="preserve">Number of Units &amp; Departments in Universities </w:t>
            </w:r>
            <w:r w:rsidRPr="00C23102">
              <w:rPr>
                <w:rFonts w:ascii="Times" w:hAnsi="Times"/>
                <w:i/>
                <w:iCs/>
                <w:color w:val="050505"/>
              </w:rPr>
              <w:t>from YÖK</w:t>
            </w:r>
          </w:p>
        </w:tc>
        <w:tc>
          <w:tcPr>
            <w:tcW w:w="2679" w:type="dxa"/>
            <w:tcBorders>
              <w:top w:val="single" w:sz="4" w:space="0" w:color="auto"/>
            </w:tcBorders>
          </w:tcPr>
          <w:p w14:paraId="0784E8D2" w14:textId="20B8EBA0"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Project</w:t>
            </w:r>
            <w:r w:rsidR="00591449" w:rsidRPr="00C23102">
              <w:rPr>
                <w:rFonts w:ascii="Times" w:hAnsi="Times"/>
                <w:color w:val="050505"/>
              </w:rPr>
              <w:t>s</w:t>
            </w:r>
            <w:r w:rsidRPr="00C23102">
              <w:rPr>
                <w:rFonts w:ascii="Times" w:hAnsi="Times"/>
                <w:color w:val="050505"/>
              </w:rPr>
              <w:t xml:space="preserve"> Completed in TÜB</w:t>
            </w:r>
            <w:r w:rsidR="00044B5F" w:rsidRPr="00C23102">
              <w:rPr>
                <w:rFonts w:ascii="Times" w:hAnsi="Times"/>
                <w:color w:val="050505"/>
              </w:rPr>
              <w:t>I</w:t>
            </w:r>
            <w:r w:rsidRPr="00C23102">
              <w:rPr>
                <w:rFonts w:ascii="Times" w:hAnsi="Times"/>
                <w:color w:val="050505"/>
              </w:rPr>
              <w:t>TAK-TEYDEB R&amp;D Programme</w:t>
            </w:r>
            <w:r w:rsidR="00FA7279" w:rsidRPr="00C23102">
              <w:rPr>
                <w:rFonts w:ascii="Times" w:hAnsi="Times"/>
                <w:color w:val="050505"/>
              </w:rPr>
              <w:t xml:space="preserve"> </w:t>
            </w:r>
            <w:r w:rsidR="00FA7279" w:rsidRPr="00C23102">
              <w:rPr>
                <w:rFonts w:ascii="Times" w:hAnsi="Times"/>
                <w:i/>
                <w:iCs/>
                <w:color w:val="050505"/>
              </w:rPr>
              <w:t xml:space="preserve">from </w:t>
            </w:r>
            <w:r w:rsidR="00044B5F" w:rsidRPr="00C23102">
              <w:rPr>
                <w:rFonts w:ascii="Times" w:hAnsi="Times"/>
                <w:i/>
                <w:iCs/>
                <w:color w:val="050505"/>
              </w:rPr>
              <w:t>TÜBITA</w:t>
            </w:r>
            <w:r w:rsidR="00FA7279" w:rsidRPr="00C23102">
              <w:rPr>
                <w:rFonts w:ascii="Times" w:hAnsi="Times"/>
                <w:i/>
                <w:iCs/>
                <w:color w:val="050505"/>
              </w:rPr>
              <w:t>K</w:t>
            </w:r>
            <w:r w:rsidRPr="00C23102">
              <w:rPr>
                <w:rFonts w:ascii="Times" w:hAnsi="Times"/>
                <w:i/>
                <w:iCs/>
                <w:color w:val="050505"/>
              </w:rPr>
              <w:t xml:space="preserve"> </w:t>
            </w:r>
          </w:p>
        </w:tc>
      </w:tr>
      <w:tr w:rsidR="00474D18" w:rsidRPr="00C23102" w14:paraId="0FEAADB7" w14:textId="77777777" w:rsidTr="00474D18">
        <w:trPr>
          <w:jc w:val="center"/>
        </w:trPr>
        <w:tc>
          <w:tcPr>
            <w:tcW w:w="2127" w:type="dxa"/>
          </w:tcPr>
          <w:p w14:paraId="2739F7E0" w14:textId="11C1C9BA"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Value in Innovation Index (2016-2017)</w:t>
            </w:r>
            <w:r w:rsidR="00053324" w:rsidRPr="00C23102">
              <w:rPr>
                <w:rFonts w:ascii="Times" w:hAnsi="Times"/>
                <w:color w:val="050505"/>
              </w:rPr>
              <w:t xml:space="preserve"> </w:t>
            </w:r>
            <w:r w:rsidR="00053324" w:rsidRPr="00C23102">
              <w:rPr>
                <w:rFonts w:ascii="Times" w:hAnsi="Times"/>
                <w:i/>
                <w:iCs/>
                <w:color w:val="050505"/>
              </w:rPr>
              <w:t>from URAK</w:t>
            </w:r>
          </w:p>
        </w:tc>
        <w:tc>
          <w:tcPr>
            <w:tcW w:w="2835" w:type="dxa"/>
          </w:tcPr>
          <w:p w14:paraId="75E725C3" w14:textId="0D3B32AF"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Application</w:t>
            </w:r>
            <w:r w:rsidR="00591449" w:rsidRPr="00C23102">
              <w:rPr>
                <w:rFonts w:ascii="Times" w:hAnsi="Times"/>
                <w:color w:val="050505"/>
              </w:rPr>
              <w:t>s</w:t>
            </w:r>
            <w:r w:rsidRPr="00C23102">
              <w:rPr>
                <w:rFonts w:ascii="Times" w:hAnsi="Times"/>
                <w:color w:val="050505"/>
              </w:rPr>
              <w:t xml:space="preserve"> to </w:t>
            </w:r>
            <w:r w:rsidR="00044B5F" w:rsidRPr="00C23102">
              <w:rPr>
                <w:rFonts w:ascii="Times" w:hAnsi="Times"/>
                <w:color w:val="050505"/>
              </w:rPr>
              <w:t>TÜBITA</w:t>
            </w:r>
            <w:r w:rsidRPr="00C23102">
              <w:rPr>
                <w:rFonts w:ascii="Times" w:hAnsi="Times"/>
                <w:color w:val="050505"/>
              </w:rPr>
              <w:t>K ARDEB Programme</w:t>
            </w:r>
            <w:r w:rsidR="00FA7279" w:rsidRPr="00C23102">
              <w:rPr>
                <w:rFonts w:ascii="Times" w:hAnsi="Times"/>
                <w:color w:val="050505"/>
              </w:rPr>
              <w:t xml:space="preserve"> </w:t>
            </w:r>
            <w:r w:rsidR="00FA7279" w:rsidRPr="00C23102">
              <w:rPr>
                <w:rFonts w:ascii="Times" w:hAnsi="Times"/>
                <w:i/>
                <w:iCs/>
                <w:color w:val="050505"/>
              </w:rPr>
              <w:t xml:space="preserve">from </w:t>
            </w:r>
            <w:r w:rsidR="00044B5F" w:rsidRPr="00C23102">
              <w:rPr>
                <w:rFonts w:ascii="Times" w:hAnsi="Times"/>
                <w:i/>
                <w:iCs/>
                <w:color w:val="050505"/>
              </w:rPr>
              <w:t>TÜBITA</w:t>
            </w:r>
            <w:r w:rsidR="00FA7279" w:rsidRPr="00C23102">
              <w:rPr>
                <w:rFonts w:ascii="Times" w:hAnsi="Times"/>
                <w:i/>
                <w:iCs/>
                <w:color w:val="050505"/>
              </w:rPr>
              <w:t>K</w:t>
            </w:r>
          </w:p>
        </w:tc>
        <w:tc>
          <w:tcPr>
            <w:tcW w:w="2679" w:type="dxa"/>
          </w:tcPr>
          <w:p w14:paraId="3FA09E6E" w14:textId="05D20F6E"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Patent Application</w:t>
            </w:r>
            <w:r w:rsidR="00591449" w:rsidRPr="00C23102">
              <w:rPr>
                <w:rFonts w:ascii="Times" w:hAnsi="Times"/>
                <w:color w:val="050505"/>
              </w:rPr>
              <w:t>s</w:t>
            </w:r>
            <w:r w:rsidRPr="00C23102">
              <w:rPr>
                <w:rFonts w:ascii="Times" w:hAnsi="Times"/>
                <w:color w:val="050505"/>
              </w:rPr>
              <w:t xml:space="preserve"> in Total </w:t>
            </w:r>
            <w:r w:rsidR="00FA7279" w:rsidRPr="00C23102">
              <w:rPr>
                <w:rFonts w:ascii="Times" w:hAnsi="Times"/>
                <w:i/>
                <w:iCs/>
                <w:color w:val="050505"/>
              </w:rPr>
              <w:t>from Turk Patent Institute</w:t>
            </w:r>
          </w:p>
        </w:tc>
      </w:tr>
      <w:tr w:rsidR="00474D18" w:rsidRPr="00C23102" w14:paraId="4A88F2B1" w14:textId="77777777" w:rsidTr="00474D18">
        <w:trPr>
          <w:jc w:val="center"/>
        </w:trPr>
        <w:tc>
          <w:tcPr>
            <w:tcW w:w="2127" w:type="dxa"/>
          </w:tcPr>
          <w:p w14:paraId="39171175" w14:textId="59D121BD"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lastRenderedPageBreak/>
              <w:t>Number of University</w:t>
            </w:r>
            <w:r w:rsidR="00053324" w:rsidRPr="00C23102">
              <w:rPr>
                <w:rFonts w:ascii="Times" w:hAnsi="Times"/>
                <w:color w:val="050505"/>
              </w:rPr>
              <w:t xml:space="preserve"> </w:t>
            </w:r>
            <w:r w:rsidR="00053324" w:rsidRPr="00C23102">
              <w:rPr>
                <w:rFonts w:ascii="Times" w:hAnsi="Times"/>
                <w:i/>
                <w:iCs/>
                <w:color w:val="050505"/>
              </w:rPr>
              <w:t>from Y</w:t>
            </w:r>
            <w:r w:rsidR="00FA7279" w:rsidRPr="00C23102">
              <w:rPr>
                <w:rFonts w:ascii="Times" w:hAnsi="Times"/>
                <w:i/>
                <w:iCs/>
                <w:color w:val="050505"/>
              </w:rPr>
              <w:t>Ö</w:t>
            </w:r>
            <w:r w:rsidR="00053324" w:rsidRPr="00C23102">
              <w:rPr>
                <w:rFonts w:ascii="Times" w:hAnsi="Times"/>
                <w:i/>
                <w:iCs/>
                <w:color w:val="050505"/>
              </w:rPr>
              <w:t>K</w:t>
            </w:r>
          </w:p>
        </w:tc>
        <w:tc>
          <w:tcPr>
            <w:tcW w:w="2835" w:type="dxa"/>
          </w:tcPr>
          <w:p w14:paraId="45059663" w14:textId="1482B4E7"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Project</w:t>
            </w:r>
            <w:r w:rsidR="00591449" w:rsidRPr="00C23102">
              <w:rPr>
                <w:rFonts w:ascii="Times" w:hAnsi="Times"/>
                <w:color w:val="050505"/>
              </w:rPr>
              <w:t>s</w:t>
            </w:r>
            <w:r w:rsidRPr="00C23102">
              <w:rPr>
                <w:rFonts w:ascii="Times" w:hAnsi="Times"/>
                <w:color w:val="050505"/>
              </w:rPr>
              <w:t xml:space="preserve"> Supported by </w:t>
            </w:r>
            <w:r w:rsidR="00044B5F" w:rsidRPr="00C23102">
              <w:rPr>
                <w:rFonts w:ascii="Times" w:hAnsi="Times"/>
                <w:color w:val="050505"/>
              </w:rPr>
              <w:t>TÜBITA</w:t>
            </w:r>
            <w:r w:rsidRPr="00C23102">
              <w:rPr>
                <w:rFonts w:ascii="Times" w:hAnsi="Times"/>
                <w:color w:val="050505"/>
              </w:rPr>
              <w:t>K ARDEB Programme</w:t>
            </w:r>
            <w:r w:rsidR="00FA7279" w:rsidRPr="00C23102">
              <w:rPr>
                <w:rFonts w:ascii="Times" w:hAnsi="Times"/>
                <w:color w:val="050505"/>
              </w:rPr>
              <w:t xml:space="preserve"> </w:t>
            </w:r>
            <w:r w:rsidR="00FA7279" w:rsidRPr="00C23102">
              <w:rPr>
                <w:rFonts w:ascii="Times" w:hAnsi="Times"/>
                <w:i/>
                <w:iCs/>
                <w:color w:val="050505"/>
              </w:rPr>
              <w:t>fro</w:t>
            </w:r>
            <w:r w:rsidR="00FA7279" w:rsidRPr="00C23102">
              <w:rPr>
                <w:rFonts w:ascii="Times" w:hAnsi="Times"/>
                <w:color w:val="050505"/>
              </w:rPr>
              <w:t xml:space="preserve">m </w:t>
            </w:r>
            <w:r w:rsidR="00044B5F" w:rsidRPr="00C23102">
              <w:rPr>
                <w:rFonts w:ascii="Times" w:hAnsi="Times"/>
                <w:color w:val="050505"/>
              </w:rPr>
              <w:t>TÜBITA</w:t>
            </w:r>
            <w:r w:rsidR="00FA7279" w:rsidRPr="00C23102">
              <w:rPr>
                <w:rFonts w:ascii="Times" w:hAnsi="Times"/>
                <w:color w:val="050505"/>
              </w:rPr>
              <w:t>K</w:t>
            </w:r>
          </w:p>
        </w:tc>
        <w:tc>
          <w:tcPr>
            <w:tcW w:w="2679" w:type="dxa"/>
          </w:tcPr>
          <w:p w14:paraId="0267287D" w14:textId="1F345112"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Patent</w:t>
            </w:r>
            <w:r w:rsidR="00591449" w:rsidRPr="00C23102">
              <w:rPr>
                <w:rFonts w:ascii="Times" w:hAnsi="Times"/>
                <w:color w:val="050505"/>
              </w:rPr>
              <w:t>s</w:t>
            </w:r>
            <w:r w:rsidRPr="00C23102">
              <w:rPr>
                <w:rFonts w:ascii="Times" w:hAnsi="Times"/>
                <w:color w:val="050505"/>
              </w:rPr>
              <w:t xml:space="preserve"> Registered in Total</w:t>
            </w:r>
            <w:r w:rsidR="00FA7279" w:rsidRPr="00C23102">
              <w:rPr>
                <w:rFonts w:ascii="Times" w:hAnsi="Times"/>
                <w:color w:val="050505"/>
              </w:rPr>
              <w:t xml:space="preserve"> </w:t>
            </w:r>
            <w:r w:rsidR="00FA7279" w:rsidRPr="00C23102">
              <w:rPr>
                <w:rFonts w:ascii="Times" w:hAnsi="Times"/>
                <w:i/>
                <w:iCs/>
                <w:color w:val="050505"/>
              </w:rPr>
              <w:t>from Turk Patent Institute</w:t>
            </w:r>
          </w:p>
        </w:tc>
      </w:tr>
      <w:tr w:rsidR="00474D18" w:rsidRPr="00C23102" w14:paraId="769D29CB" w14:textId="77777777" w:rsidTr="00474D18">
        <w:trPr>
          <w:jc w:val="center"/>
        </w:trPr>
        <w:tc>
          <w:tcPr>
            <w:tcW w:w="2127" w:type="dxa"/>
          </w:tcPr>
          <w:p w14:paraId="02D33B63" w14:textId="4D300D61"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Researchers in Universities (PhD and Higher Degree)</w:t>
            </w:r>
            <w:r w:rsidR="00FA7279" w:rsidRPr="00C23102">
              <w:rPr>
                <w:rFonts w:ascii="Times" w:hAnsi="Times"/>
                <w:color w:val="050505"/>
              </w:rPr>
              <w:t xml:space="preserve"> </w:t>
            </w:r>
            <w:r w:rsidR="00FA7279" w:rsidRPr="00C23102">
              <w:rPr>
                <w:rFonts w:ascii="Times" w:hAnsi="Times"/>
                <w:i/>
                <w:iCs/>
                <w:color w:val="050505"/>
              </w:rPr>
              <w:t>from YÖK</w:t>
            </w:r>
          </w:p>
        </w:tc>
        <w:tc>
          <w:tcPr>
            <w:tcW w:w="2835" w:type="dxa"/>
          </w:tcPr>
          <w:p w14:paraId="7C99E93A" w14:textId="69F4D169" w:rsidR="00474D18" w:rsidRPr="00C23102" w:rsidRDefault="00591449" w:rsidP="00F44FEC">
            <w:pPr>
              <w:pStyle w:val="BodyText"/>
              <w:spacing w:after="120"/>
              <w:ind w:left="0"/>
              <w:jc w:val="left"/>
              <w:rPr>
                <w:rFonts w:ascii="Times" w:hAnsi="Times"/>
                <w:color w:val="050505"/>
              </w:rPr>
            </w:pPr>
            <w:r w:rsidRPr="00C23102">
              <w:rPr>
                <w:rFonts w:ascii="Times" w:hAnsi="Times"/>
                <w:color w:val="050505"/>
              </w:rPr>
              <w:t xml:space="preserve">Project </w:t>
            </w:r>
            <w:r w:rsidR="00474D18" w:rsidRPr="00C23102">
              <w:rPr>
                <w:rFonts w:ascii="Times" w:hAnsi="Times"/>
                <w:color w:val="050505"/>
              </w:rPr>
              <w:t xml:space="preserve">Awarding Rate (Awarded/Applications) in </w:t>
            </w:r>
            <w:r w:rsidR="00044B5F" w:rsidRPr="00C23102">
              <w:rPr>
                <w:rFonts w:ascii="Times" w:hAnsi="Times"/>
                <w:color w:val="050505"/>
              </w:rPr>
              <w:t>TÜBITA</w:t>
            </w:r>
            <w:r w:rsidR="00474D18" w:rsidRPr="00C23102">
              <w:rPr>
                <w:rFonts w:ascii="Times" w:hAnsi="Times"/>
                <w:color w:val="050505"/>
              </w:rPr>
              <w:t xml:space="preserve">K ARDEB Programme </w:t>
            </w:r>
          </w:p>
        </w:tc>
        <w:tc>
          <w:tcPr>
            <w:tcW w:w="2679" w:type="dxa"/>
          </w:tcPr>
          <w:p w14:paraId="379552FB" w14:textId="5EBD62BE" w:rsidR="00474D18" w:rsidRPr="00C23102" w:rsidRDefault="00474D18" w:rsidP="00F44FEC">
            <w:pPr>
              <w:pStyle w:val="BodyText"/>
              <w:spacing w:after="120"/>
              <w:ind w:left="0"/>
              <w:jc w:val="left"/>
              <w:rPr>
                <w:rFonts w:ascii="Times" w:hAnsi="Times"/>
                <w:color w:val="050505"/>
              </w:rPr>
            </w:pPr>
          </w:p>
        </w:tc>
      </w:tr>
      <w:tr w:rsidR="00474D18" w:rsidRPr="00C23102" w14:paraId="68DB0235" w14:textId="77777777" w:rsidTr="00474D18">
        <w:trPr>
          <w:jc w:val="center"/>
        </w:trPr>
        <w:tc>
          <w:tcPr>
            <w:tcW w:w="2127" w:type="dxa"/>
          </w:tcPr>
          <w:p w14:paraId="06593CF2" w14:textId="5D524FC4"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R&amp;D Centers (Law of 5746)</w:t>
            </w:r>
            <w:r w:rsidR="00FA7279" w:rsidRPr="00C23102">
              <w:rPr>
                <w:rFonts w:ascii="Times" w:hAnsi="Times"/>
                <w:color w:val="050505"/>
              </w:rPr>
              <w:t xml:space="preserve"> </w:t>
            </w:r>
            <w:r w:rsidR="00FA7279" w:rsidRPr="00C23102">
              <w:rPr>
                <w:rFonts w:ascii="Times" w:hAnsi="Times"/>
                <w:i/>
                <w:iCs/>
                <w:color w:val="050505"/>
              </w:rPr>
              <w:t>from MoIT</w:t>
            </w:r>
          </w:p>
        </w:tc>
        <w:tc>
          <w:tcPr>
            <w:tcW w:w="2835" w:type="dxa"/>
          </w:tcPr>
          <w:p w14:paraId="2883CE7B" w14:textId="15AC773E"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Project Application</w:t>
            </w:r>
            <w:r w:rsidR="00591449" w:rsidRPr="00C23102">
              <w:rPr>
                <w:rFonts w:ascii="Times" w:hAnsi="Times"/>
                <w:color w:val="050505"/>
              </w:rPr>
              <w:t>s</w:t>
            </w:r>
            <w:r w:rsidRPr="00C23102">
              <w:rPr>
                <w:rFonts w:ascii="Times" w:hAnsi="Times"/>
                <w:color w:val="050505"/>
              </w:rPr>
              <w:t xml:space="preserve"> per 100 Researchers in </w:t>
            </w:r>
            <w:r w:rsidR="00044B5F" w:rsidRPr="00C23102">
              <w:rPr>
                <w:rFonts w:ascii="Times" w:hAnsi="Times"/>
                <w:color w:val="050505"/>
              </w:rPr>
              <w:t>TÜBITA</w:t>
            </w:r>
            <w:r w:rsidRPr="00C23102">
              <w:rPr>
                <w:rFonts w:ascii="Times" w:hAnsi="Times"/>
                <w:color w:val="050505"/>
              </w:rPr>
              <w:t>K ARDEB Programme</w:t>
            </w:r>
            <w:r w:rsidR="00FA7279" w:rsidRPr="00C23102">
              <w:rPr>
                <w:rFonts w:ascii="Times" w:hAnsi="Times"/>
                <w:color w:val="050505"/>
              </w:rPr>
              <w:t xml:space="preserve"> </w:t>
            </w:r>
            <w:r w:rsidR="00FA7279" w:rsidRPr="00C23102">
              <w:rPr>
                <w:rFonts w:ascii="Times" w:hAnsi="Times"/>
                <w:i/>
                <w:iCs/>
                <w:color w:val="050505"/>
              </w:rPr>
              <w:t xml:space="preserve">from </w:t>
            </w:r>
            <w:r w:rsidR="00044B5F" w:rsidRPr="00C23102">
              <w:rPr>
                <w:rFonts w:ascii="Times" w:hAnsi="Times"/>
                <w:i/>
                <w:iCs/>
                <w:color w:val="050505"/>
              </w:rPr>
              <w:t>TÜBITA</w:t>
            </w:r>
            <w:r w:rsidR="00FA7279" w:rsidRPr="00C23102">
              <w:rPr>
                <w:rFonts w:ascii="Times" w:hAnsi="Times"/>
                <w:i/>
                <w:iCs/>
                <w:color w:val="050505"/>
              </w:rPr>
              <w:t>K</w:t>
            </w:r>
          </w:p>
        </w:tc>
        <w:tc>
          <w:tcPr>
            <w:tcW w:w="2679" w:type="dxa"/>
          </w:tcPr>
          <w:p w14:paraId="639511DC" w14:textId="2281EAB1" w:rsidR="00474D18" w:rsidRPr="00C23102" w:rsidRDefault="00474D18" w:rsidP="00F44FEC">
            <w:pPr>
              <w:pStyle w:val="BodyText"/>
              <w:spacing w:after="120"/>
              <w:ind w:left="0"/>
              <w:jc w:val="left"/>
              <w:rPr>
                <w:rFonts w:ascii="Times" w:hAnsi="Times"/>
                <w:color w:val="050505"/>
              </w:rPr>
            </w:pPr>
          </w:p>
        </w:tc>
      </w:tr>
      <w:tr w:rsidR="00474D18" w:rsidRPr="00C23102" w14:paraId="0A6573E0" w14:textId="77777777" w:rsidTr="00474D18">
        <w:trPr>
          <w:jc w:val="center"/>
        </w:trPr>
        <w:tc>
          <w:tcPr>
            <w:tcW w:w="2127" w:type="dxa"/>
          </w:tcPr>
          <w:p w14:paraId="34F08A90" w14:textId="437366D6" w:rsidR="00474D18" w:rsidRPr="00C23102" w:rsidRDefault="00474D18" w:rsidP="00F44FEC">
            <w:pPr>
              <w:pStyle w:val="BodyText"/>
              <w:spacing w:after="120"/>
              <w:ind w:left="0"/>
              <w:jc w:val="left"/>
              <w:rPr>
                <w:rFonts w:ascii="Times" w:hAnsi="Times"/>
                <w:color w:val="050505"/>
              </w:rPr>
            </w:pPr>
          </w:p>
        </w:tc>
        <w:tc>
          <w:tcPr>
            <w:tcW w:w="2835" w:type="dxa"/>
          </w:tcPr>
          <w:p w14:paraId="0B0091F4" w14:textId="709870F7"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Project</w:t>
            </w:r>
            <w:r w:rsidR="00591449" w:rsidRPr="00C23102">
              <w:rPr>
                <w:rFonts w:ascii="Times" w:hAnsi="Times"/>
                <w:color w:val="050505"/>
              </w:rPr>
              <w:t>s</w:t>
            </w:r>
            <w:r w:rsidRPr="00C23102">
              <w:rPr>
                <w:rFonts w:ascii="Times" w:hAnsi="Times"/>
                <w:color w:val="050505"/>
              </w:rPr>
              <w:t xml:space="preserve"> Supported per 100 Researchers in </w:t>
            </w:r>
            <w:r w:rsidR="00044B5F" w:rsidRPr="00C23102">
              <w:rPr>
                <w:rFonts w:ascii="Times" w:hAnsi="Times"/>
                <w:color w:val="050505"/>
              </w:rPr>
              <w:t>TÜBITA</w:t>
            </w:r>
            <w:r w:rsidRPr="00C23102">
              <w:rPr>
                <w:rFonts w:ascii="Times" w:hAnsi="Times"/>
                <w:color w:val="050505"/>
              </w:rPr>
              <w:t>K ARDEB Programme</w:t>
            </w:r>
            <w:r w:rsidR="00FA7279" w:rsidRPr="00C23102">
              <w:rPr>
                <w:rFonts w:ascii="Times" w:hAnsi="Times"/>
                <w:color w:val="050505"/>
              </w:rPr>
              <w:t xml:space="preserve"> </w:t>
            </w:r>
            <w:r w:rsidR="00FA7279" w:rsidRPr="00C23102">
              <w:rPr>
                <w:rFonts w:ascii="Times" w:hAnsi="Times"/>
                <w:i/>
                <w:iCs/>
                <w:color w:val="050505"/>
              </w:rPr>
              <w:t xml:space="preserve">from </w:t>
            </w:r>
            <w:r w:rsidR="00044B5F" w:rsidRPr="00C23102">
              <w:rPr>
                <w:rFonts w:ascii="Times" w:hAnsi="Times"/>
                <w:i/>
                <w:iCs/>
                <w:color w:val="050505"/>
              </w:rPr>
              <w:t>TÜBITA</w:t>
            </w:r>
            <w:r w:rsidR="00FA7279" w:rsidRPr="00C23102">
              <w:rPr>
                <w:rFonts w:ascii="Times" w:hAnsi="Times"/>
                <w:i/>
                <w:iCs/>
                <w:color w:val="050505"/>
              </w:rPr>
              <w:t>K</w:t>
            </w:r>
          </w:p>
        </w:tc>
        <w:tc>
          <w:tcPr>
            <w:tcW w:w="2679" w:type="dxa"/>
          </w:tcPr>
          <w:p w14:paraId="2FEBF6BD" w14:textId="6D154FB4" w:rsidR="00474D18" w:rsidRPr="00C23102" w:rsidRDefault="00474D18" w:rsidP="00F44FEC">
            <w:pPr>
              <w:pStyle w:val="BodyText"/>
              <w:spacing w:after="120"/>
              <w:ind w:left="0"/>
              <w:jc w:val="left"/>
              <w:rPr>
                <w:rFonts w:ascii="Times" w:hAnsi="Times"/>
                <w:color w:val="050505"/>
              </w:rPr>
            </w:pPr>
          </w:p>
        </w:tc>
      </w:tr>
      <w:tr w:rsidR="00474D18" w:rsidRPr="00C23102" w14:paraId="3638AFA2" w14:textId="77777777" w:rsidTr="00474D18">
        <w:trPr>
          <w:jc w:val="center"/>
        </w:trPr>
        <w:tc>
          <w:tcPr>
            <w:tcW w:w="2127" w:type="dxa"/>
          </w:tcPr>
          <w:p w14:paraId="711B093A" w14:textId="7D75525C" w:rsidR="00474D18" w:rsidRPr="00C23102" w:rsidRDefault="00474D18" w:rsidP="00F44FEC">
            <w:pPr>
              <w:pStyle w:val="BodyText"/>
              <w:spacing w:after="120"/>
              <w:ind w:left="0"/>
              <w:jc w:val="left"/>
              <w:rPr>
                <w:rFonts w:ascii="Times" w:hAnsi="Times"/>
                <w:color w:val="050505"/>
              </w:rPr>
            </w:pPr>
          </w:p>
        </w:tc>
        <w:tc>
          <w:tcPr>
            <w:tcW w:w="2835" w:type="dxa"/>
          </w:tcPr>
          <w:p w14:paraId="353DE065" w14:textId="6BD46211"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 xml:space="preserve">Average Budget of Project Supported by </w:t>
            </w:r>
            <w:r w:rsidR="00044B5F" w:rsidRPr="00C23102">
              <w:rPr>
                <w:rFonts w:ascii="Times" w:hAnsi="Times"/>
                <w:color w:val="050505"/>
              </w:rPr>
              <w:t>TÜBITA</w:t>
            </w:r>
            <w:r w:rsidRPr="00C23102">
              <w:rPr>
                <w:rFonts w:ascii="Times" w:hAnsi="Times"/>
                <w:color w:val="050505"/>
              </w:rPr>
              <w:t>K ARDEB Programme (1000 TL)</w:t>
            </w:r>
          </w:p>
        </w:tc>
        <w:tc>
          <w:tcPr>
            <w:tcW w:w="2679" w:type="dxa"/>
          </w:tcPr>
          <w:p w14:paraId="21D652F1" w14:textId="42449B40" w:rsidR="00474D18" w:rsidRPr="00C23102" w:rsidRDefault="00474D18" w:rsidP="00F44FEC">
            <w:pPr>
              <w:pStyle w:val="BodyText"/>
              <w:spacing w:after="120"/>
              <w:ind w:left="0"/>
              <w:jc w:val="left"/>
              <w:rPr>
                <w:rFonts w:ascii="Times" w:hAnsi="Times"/>
                <w:color w:val="050505"/>
              </w:rPr>
            </w:pPr>
          </w:p>
        </w:tc>
      </w:tr>
      <w:tr w:rsidR="00474D18" w:rsidRPr="00C23102" w14:paraId="56120AF6" w14:textId="77777777" w:rsidTr="00474D18">
        <w:trPr>
          <w:jc w:val="center"/>
        </w:trPr>
        <w:tc>
          <w:tcPr>
            <w:tcW w:w="2127" w:type="dxa"/>
          </w:tcPr>
          <w:p w14:paraId="37B6A9A7" w14:textId="2D0AF969" w:rsidR="00474D18" w:rsidRPr="00C23102" w:rsidRDefault="00474D18" w:rsidP="00F44FEC">
            <w:pPr>
              <w:pStyle w:val="BodyText"/>
              <w:spacing w:after="120"/>
              <w:ind w:left="0"/>
              <w:jc w:val="left"/>
              <w:rPr>
                <w:rFonts w:ascii="Times" w:hAnsi="Times"/>
                <w:color w:val="FF0000"/>
              </w:rPr>
            </w:pPr>
          </w:p>
        </w:tc>
        <w:tc>
          <w:tcPr>
            <w:tcW w:w="2835" w:type="dxa"/>
          </w:tcPr>
          <w:p w14:paraId="7597304D" w14:textId="293638F5"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Patent Application</w:t>
            </w:r>
            <w:r w:rsidR="00591449" w:rsidRPr="00C23102">
              <w:rPr>
                <w:rFonts w:ascii="Times" w:hAnsi="Times"/>
                <w:color w:val="050505"/>
              </w:rPr>
              <w:t>s</w:t>
            </w:r>
            <w:r w:rsidRPr="00C23102">
              <w:rPr>
                <w:rFonts w:ascii="Times" w:hAnsi="Times"/>
                <w:color w:val="050505"/>
              </w:rPr>
              <w:t xml:space="preserve"> per University</w:t>
            </w:r>
            <w:r w:rsidR="00FA7279" w:rsidRPr="00C23102">
              <w:rPr>
                <w:rFonts w:ascii="Times" w:hAnsi="Times"/>
                <w:color w:val="050505"/>
              </w:rPr>
              <w:t xml:space="preserve"> </w:t>
            </w:r>
            <w:r w:rsidR="00FA7279" w:rsidRPr="00C23102">
              <w:rPr>
                <w:rFonts w:ascii="Times" w:hAnsi="Times"/>
                <w:i/>
                <w:iCs/>
                <w:color w:val="050505"/>
              </w:rPr>
              <w:t>from Turk Patent Institute</w:t>
            </w:r>
          </w:p>
        </w:tc>
        <w:tc>
          <w:tcPr>
            <w:tcW w:w="2679" w:type="dxa"/>
          </w:tcPr>
          <w:p w14:paraId="4424E27F" w14:textId="5D04CC01" w:rsidR="00474D18" w:rsidRPr="00C23102" w:rsidRDefault="00474D18" w:rsidP="00F44FEC">
            <w:pPr>
              <w:pStyle w:val="BodyText"/>
              <w:spacing w:after="120"/>
              <w:ind w:left="0"/>
              <w:jc w:val="left"/>
              <w:rPr>
                <w:rFonts w:ascii="Times" w:hAnsi="Times"/>
                <w:color w:val="050505"/>
              </w:rPr>
            </w:pPr>
          </w:p>
        </w:tc>
      </w:tr>
      <w:tr w:rsidR="00474D18" w:rsidRPr="00C23102" w14:paraId="3B4CDD99" w14:textId="77777777" w:rsidTr="00474D18">
        <w:trPr>
          <w:jc w:val="center"/>
        </w:trPr>
        <w:tc>
          <w:tcPr>
            <w:tcW w:w="2127" w:type="dxa"/>
          </w:tcPr>
          <w:p w14:paraId="0D3B5DA1" w14:textId="190F084A" w:rsidR="00474D18" w:rsidRPr="00C23102" w:rsidRDefault="00474D18" w:rsidP="00F44FEC">
            <w:pPr>
              <w:pStyle w:val="BodyText"/>
              <w:spacing w:after="120"/>
              <w:ind w:left="0"/>
              <w:jc w:val="left"/>
              <w:rPr>
                <w:rFonts w:ascii="Times" w:hAnsi="Times"/>
                <w:color w:val="FF0000"/>
              </w:rPr>
            </w:pPr>
          </w:p>
        </w:tc>
        <w:tc>
          <w:tcPr>
            <w:tcW w:w="2835" w:type="dxa"/>
          </w:tcPr>
          <w:p w14:paraId="3983B04C" w14:textId="0A70D8F1"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Patent</w:t>
            </w:r>
            <w:r w:rsidR="00591449" w:rsidRPr="00C23102">
              <w:rPr>
                <w:rFonts w:ascii="Times" w:hAnsi="Times"/>
                <w:color w:val="050505"/>
              </w:rPr>
              <w:t>s</w:t>
            </w:r>
            <w:r w:rsidRPr="00C23102">
              <w:rPr>
                <w:rFonts w:ascii="Times" w:hAnsi="Times"/>
                <w:color w:val="050505"/>
              </w:rPr>
              <w:t xml:space="preserve"> Registered in total per university</w:t>
            </w:r>
            <w:r w:rsidR="00FA7279" w:rsidRPr="00C23102">
              <w:rPr>
                <w:rFonts w:ascii="Times" w:hAnsi="Times"/>
                <w:color w:val="050505"/>
              </w:rPr>
              <w:t xml:space="preserve"> </w:t>
            </w:r>
            <w:r w:rsidR="00337156" w:rsidRPr="00C23102">
              <w:rPr>
                <w:rFonts w:ascii="Times" w:hAnsi="Times"/>
                <w:i/>
                <w:iCs/>
                <w:color w:val="050505"/>
              </w:rPr>
              <w:t>from</w:t>
            </w:r>
            <w:r w:rsidR="00337156" w:rsidRPr="00C23102">
              <w:rPr>
                <w:rFonts w:ascii="Times" w:hAnsi="Times"/>
                <w:color w:val="050505"/>
              </w:rPr>
              <w:t xml:space="preserve"> </w:t>
            </w:r>
            <w:r w:rsidR="00FA7279" w:rsidRPr="00C23102">
              <w:rPr>
                <w:rFonts w:ascii="Times" w:hAnsi="Times"/>
                <w:i/>
                <w:iCs/>
                <w:color w:val="050505"/>
              </w:rPr>
              <w:t>Turk Patent Institute</w:t>
            </w:r>
          </w:p>
        </w:tc>
        <w:tc>
          <w:tcPr>
            <w:tcW w:w="2679" w:type="dxa"/>
          </w:tcPr>
          <w:p w14:paraId="0C0F200A" w14:textId="1F529731" w:rsidR="00474D18" w:rsidRPr="00C23102" w:rsidRDefault="00474D18" w:rsidP="00F44FEC">
            <w:pPr>
              <w:pStyle w:val="BodyText"/>
              <w:spacing w:after="120"/>
              <w:ind w:left="0"/>
              <w:jc w:val="left"/>
              <w:rPr>
                <w:rFonts w:ascii="Times" w:hAnsi="Times"/>
                <w:color w:val="050505"/>
              </w:rPr>
            </w:pPr>
          </w:p>
        </w:tc>
      </w:tr>
      <w:tr w:rsidR="00474D18" w:rsidRPr="00C23102" w14:paraId="2472B438" w14:textId="77777777" w:rsidTr="00474D18">
        <w:trPr>
          <w:jc w:val="center"/>
        </w:trPr>
        <w:tc>
          <w:tcPr>
            <w:tcW w:w="2127" w:type="dxa"/>
          </w:tcPr>
          <w:p w14:paraId="0EDE18BE" w14:textId="3FE26B80" w:rsidR="00474D18" w:rsidRPr="00C23102" w:rsidRDefault="00474D18" w:rsidP="00F44FEC">
            <w:pPr>
              <w:pStyle w:val="BodyText"/>
              <w:spacing w:after="120"/>
              <w:ind w:left="0"/>
              <w:jc w:val="left"/>
              <w:rPr>
                <w:rFonts w:ascii="Times" w:hAnsi="Times"/>
                <w:color w:val="050505"/>
              </w:rPr>
            </w:pPr>
          </w:p>
        </w:tc>
        <w:tc>
          <w:tcPr>
            <w:tcW w:w="2835" w:type="dxa"/>
          </w:tcPr>
          <w:p w14:paraId="7967E28C" w14:textId="57948CF4"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Patent</w:t>
            </w:r>
            <w:r w:rsidR="00591449" w:rsidRPr="00C23102">
              <w:rPr>
                <w:rFonts w:ascii="Times" w:hAnsi="Times"/>
                <w:color w:val="050505"/>
              </w:rPr>
              <w:t>s</w:t>
            </w:r>
            <w:r w:rsidRPr="00C23102">
              <w:rPr>
                <w:rFonts w:ascii="Times" w:hAnsi="Times"/>
                <w:color w:val="050505"/>
              </w:rPr>
              <w:t xml:space="preserve"> Application per 1000 Researchers </w:t>
            </w:r>
          </w:p>
        </w:tc>
        <w:tc>
          <w:tcPr>
            <w:tcW w:w="2679" w:type="dxa"/>
          </w:tcPr>
          <w:p w14:paraId="216B1789" w14:textId="3E7F0273" w:rsidR="00474D18" w:rsidRPr="00C23102" w:rsidRDefault="00474D18" w:rsidP="00F44FEC">
            <w:pPr>
              <w:pStyle w:val="BodyText"/>
              <w:spacing w:after="120"/>
              <w:ind w:left="0"/>
              <w:jc w:val="left"/>
              <w:rPr>
                <w:rFonts w:ascii="Times" w:hAnsi="Times"/>
                <w:color w:val="050505"/>
              </w:rPr>
            </w:pPr>
          </w:p>
        </w:tc>
      </w:tr>
      <w:tr w:rsidR="00474D18" w:rsidRPr="00C23102" w14:paraId="2704D4BB" w14:textId="77777777" w:rsidTr="00474D18">
        <w:trPr>
          <w:jc w:val="center"/>
        </w:trPr>
        <w:tc>
          <w:tcPr>
            <w:tcW w:w="2127" w:type="dxa"/>
          </w:tcPr>
          <w:p w14:paraId="5F788CD4" w14:textId="77777777" w:rsidR="00474D18" w:rsidRPr="00C23102" w:rsidRDefault="00474D18" w:rsidP="00F44FEC">
            <w:pPr>
              <w:pStyle w:val="BodyText"/>
              <w:spacing w:after="120"/>
              <w:ind w:left="0"/>
              <w:jc w:val="left"/>
              <w:rPr>
                <w:rFonts w:ascii="Times" w:hAnsi="Times"/>
                <w:color w:val="050505"/>
              </w:rPr>
            </w:pPr>
          </w:p>
        </w:tc>
        <w:tc>
          <w:tcPr>
            <w:tcW w:w="2835" w:type="dxa"/>
          </w:tcPr>
          <w:p w14:paraId="2EBF7B9B" w14:textId="78F04C05" w:rsidR="00474D18" w:rsidRPr="00C23102" w:rsidRDefault="00474D18" w:rsidP="00F44FEC">
            <w:pPr>
              <w:pStyle w:val="BodyText"/>
              <w:spacing w:after="120"/>
              <w:ind w:left="0"/>
              <w:jc w:val="left"/>
              <w:rPr>
                <w:rFonts w:ascii="Times" w:hAnsi="Times"/>
                <w:color w:val="050505"/>
              </w:rPr>
            </w:pPr>
            <w:r w:rsidRPr="00C23102">
              <w:rPr>
                <w:rFonts w:ascii="Times" w:hAnsi="Times"/>
                <w:color w:val="050505"/>
              </w:rPr>
              <w:t>Number of Patent</w:t>
            </w:r>
            <w:r w:rsidR="00591449" w:rsidRPr="00C23102">
              <w:rPr>
                <w:rFonts w:ascii="Times" w:hAnsi="Times"/>
                <w:color w:val="050505"/>
              </w:rPr>
              <w:t>s</w:t>
            </w:r>
            <w:r w:rsidRPr="00C23102">
              <w:rPr>
                <w:rFonts w:ascii="Times" w:hAnsi="Times"/>
                <w:color w:val="050505"/>
              </w:rPr>
              <w:t xml:space="preserve"> Registered in Total per 1000 Researchers </w:t>
            </w:r>
          </w:p>
        </w:tc>
        <w:tc>
          <w:tcPr>
            <w:tcW w:w="2679" w:type="dxa"/>
          </w:tcPr>
          <w:p w14:paraId="02F5B3F1" w14:textId="298DD2D7" w:rsidR="00474D18" w:rsidRPr="00C23102" w:rsidRDefault="00474D18" w:rsidP="00F44FEC">
            <w:pPr>
              <w:pStyle w:val="BodyText"/>
              <w:spacing w:after="120"/>
              <w:ind w:left="0"/>
              <w:jc w:val="left"/>
              <w:rPr>
                <w:rFonts w:ascii="Times" w:hAnsi="Times"/>
                <w:color w:val="050505"/>
              </w:rPr>
            </w:pPr>
          </w:p>
        </w:tc>
      </w:tr>
    </w:tbl>
    <w:p w14:paraId="43A30BDD" w14:textId="6550E7DC" w:rsidR="00CB5900" w:rsidRPr="00C23102" w:rsidRDefault="00CB5900" w:rsidP="00D05B25">
      <w:pPr>
        <w:pStyle w:val="BodyText"/>
        <w:spacing w:before="240" w:after="120" w:line="240" w:lineRule="auto"/>
        <w:ind w:left="0" w:firstLine="709"/>
        <w:rPr>
          <w:rFonts w:ascii="Times" w:hAnsi="Times"/>
          <w:color w:val="050505"/>
        </w:rPr>
      </w:pPr>
      <w:r w:rsidRPr="00C23102">
        <w:rPr>
          <w:rFonts w:ascii="Times" w:hAnsi="Times"/>
          <w:color w:val="050505"/>
        </w:rPr>
        <w:t xml:space="preserve">Information obtained </w:t>
      </w:r>
      <w:r w:rsidRPr="00C23102">
        <w:rPr>
          <w:rFonts w:ascii="Times" w:hAnsi="Times"/>
          <w:color w:val="000000" w:themeColor="text1"/>
        </w:rPr>
        <w:t xml:space="preserve">from </w:t>
      </w:r>
      <w:r w:rsidR="00620800" w:rsidRPr="00C23102">
        <w:rPr>
          <w:rFonts w:ascii="Times" w:hAnsi="Times"/>
          <w:color w:val="000000" w:themeColor="text1"/>
        </w:rPr>
        <w:t>6</w:t>
      </w:r>
      <w:r w:rsidRPr="00C23102">
        <w:rPr>
          <w:rFonts w:ascii="Times" w:hAnsi="Times"/>
          <w:color w:val="000000" w:themeColor="text1"/>
        </w:rPr>
        <w:t xml:space="preserve"> institutions </w:t>
      </w:r>
      <w:r w:rsidRPr="00C23102">
        <w:rPr>
          <w:rFonts w:ascii="Times" w:hAnsi="Times"/>
          <w:color w:val="050505"/>
        </w:rPr>
        <w:t xml:space="preserve">on </w:t>
      </w:r>
      <w:r w:rsidR="003016FA" w:rsidRPr="00C23102">
        <w:rPr>
          <w:rFonts w:ascii="Times" w:hAnsi="Times"/>
          <w:color w:val="050505"/>
        </w:rPr>
        <w:t xml:space="preserve">indicators in Table 2. carefully </w:t>
      </w:r>
      <w:r w:rsidR="00E623F3" w:rsidRPr="00C23102">
        <w:rPr>
          <w:rFonts w:ascii="Times" w:hAnsi="Times"/>
          <w:color w:val="050505"/>
        </w:rPr>
        <w:t>analysed</w:t>
      </w:r>
      <w:r w:rsidRPr="00C23102">
        <w:rPr>
          <w:rFonts w:ascii="Times" w:hAnsi="Times"/>
          <w:color w:val="050505"/>
        </w:rPr>
        <w:t xml:space="preserve"> for Samsun</w:t>
      </w:r>
      <w:r w:rsidR="003016FA" w:rsidRPr="00C23102">
        <w:rPr>
          <w:rFonts w:ascii="Times" w:hAnsi="Times"/>
          <w:color w:val="050505"/>
        </w:rPr>
        <w:t xml:space="preserve"> province and some other peer </w:t>
      </w:r>
      <w:r w:rsidR="00945669" w:rsidRPr="00C23102">
        <w:rPr>
          <w:rFonts w:ascii="Times" w:hAnsi="Times"/>
          <w:color w:val="050505"/>
        </w:rPr>
        <w:t>cities</w:t>
      </w:r>
      <w:r w:rsidRPr="00C23102">
        <w:rPr>
          <w:rFonts w:ascii="Times" w:hAnsi="Times"/>
          <w:color w:val="050505"/>
        </w:rPr>
        <w:t xml:space="preserve">. </w:t>
      </w:r>
    </w:p>
    <w:p w14:paraId="27A6B596" w14:textId="38F7405E" w:rsidR="00CB5900" w:rsidRPr="00C23102" w:rsidRDefault="00CB5900" w:rsidP="003A7803">
      <w:pPr>
        <w:pStyle w:val="BodyText"/>
        <w:spacing w:before="240" w:after="120"/>
        <w:ind w:left="0"/>
        <w:rPr>
          <w:rFonts w:ascii="Times" w:hAnsi="Times"/>
          <w:b/>
          <w:bCs/>
          <w:color w:val="000000" w:themeColor="text1"/>
        </w:rPr>
      </w:pPr>
      <w:bookmarkStart w:id="9" w:name="_Hlk60838657"/>
      <w:r w:rsidRPr="00C23102">
        <w:rPr>
          <w:rFonts w:ascii="Times" w:hAnsi="Times"/>
          <w:b/>
          <w:bCs/>
          <w:color w:val="000000" w:themeColor="text1"/>
        </w:rPr>
        <w:t xml:space="preserve">3.3.2. Geographical </w:t>
      </w:r>
      <w:r w:rsidR="00C51116" w:rsidRPr="00C23102">
        <w:rPr>
          <w:rFonts w:ascii="Times" w:hAnsi="Times"/>
          <w:b/>
          <w:bCs/>
          <w:color w:val="000000" w:themeColor="text1"/>
        </w:rPr>
        <w:t>C</w:t>
      </w:r>
      <w:r w:rsidRPr="00C23102">
        <w:rPr>
          <w:rFonts w:ascii="Times" w:hAnsi="Times"/>
          <w:b/>
          <w:bCs/>
          <w:color w:val="000000" w:themeColor="text1"/>
        </w:rPr>
        <w:t>overage</w:t>
      </w:r>
    </w:p>
    <w:bookmarkEnd w:id="9"/>
    <w:p w14:paraId="7373CC00" w14:textId="7DA6F84E" w:rsidR="00CB5900"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 xml:space="preserve">Within the scope of the study, </w:t>
      </w:r>
      <w:r w:rsidR="00026FBD" w:rsidRPr="00C23102">
        <w:rPr>
          <w:rFonts w:ascii="Times" w:hAnsi="Times"/>
          <w:color w:val="000000" w:themeColor="text1"/>
        </w:rPr>
        <w:t>7</w:t>
      </w:r>
      <w:r w:rsidRPr="00C23102">
        <w:rPr>
          <w:rFonts w:ascii="Times" w:hAnsi="Times"/>
          <w:color w:val="000000" w:themeColor="text1"/>
        </w:rPr>
        <w:t xml:space="preserve"> provinces, including Samsun, were tried to be </w:t>
      </w:r>
      <w:r w:rsidR="00121667" w:rsidRPr="00C23102">
        <w:rPr>
          <w:rFonts w:ascii="Times" w:hAnsi="Times"/>
          <w:color w:val="000000" w:themeColor="text1"/>
        </w:rPr>
        <w:t>analysed</w:t>
      </w:r>
      <w:r w:rsidRPr="00C23102">
        <w:rPr>
          <w:rFonts w:ascii="Times" w:hAnsi="Times"/>
          <w:color w:val="000000" w:themeColor="text1"/>
        </w:rPr>
        <w:t xml:space="preserve"> comparatively within the scope of data acquisition possibilities.</w:t>
      </w:r>
      <w:r w:rsidR="00874CE5" w:rsidRPr="00C23102">
        <w:rPr>
          <w:rFonts w:ascii="Times" w:hAnsi="Times"/>
          <w:color w:val="000000" w:themeColor="text1"/>
        </w:rPr>
        <w:t xml:space="preserve"> These provinces were selected because of their values of National Innovation</w:t>
      </w:r>
      <w:r w:rsidR="00874CE5" w:rsidRPr="00C23102">
        <w:rPr>
          <w:rFonts w:ascii="Times" w:hAnsi="Times"/>
        </w:rPr>
        <w:t xml:space="preserve"> </w:t>
      </w:r>
      <w:r w:rsidR="00874CE5" w:rsidRPr="00C23102">
        <w:rPr>
          <w:rFonts w:ascii="Times" w:hAnsi="Times"/>
          <w:color w:val="000000" w:themeColor="text1"/>
        </w:rPr>
        <w:t>Index of Turkey</w:t>
      </w:r>
      <w:r w:rsidR="00D80999" w:rsidRPr="00C23102">
        <w:rPr>
          <w:rFonts w:ascii="Times" w:hAnsi="Times"/>
          <w:color w:val="000000" w:themeColor="text1"/>
        </w:rPr>
        <w:t xml:space="preserve"> (URAK, 2019)</w:t>
      </w:r>
      <w:r w:rsidR="00874CE5" w:rsidRPr="00C23102">
        <w:rPr>
          <w:rFonts w:ascii="Times" w:hAnsi="Times"/>
          <w:color w:val="000000" w:themeColor="text1"/>
        </w:rPr>
        <w:t xml:space="preserve"> and their </w:t>
      </w:r>
      <w:r w:rsidR="00D80999" w:rsidRPr="00C23102">
        <w:rPr>
          <w:rFonts w:ascii="Times" w:hAnsi="Times"/>
          <w:color w:val="000000" w:themeColor="text1"/>
        </w:rPr>
        <w:lastRenderedPageBreak/>
        <w:t xml:space="preserve">number of </w:t>
      </w:r>
      <w:r w:rsidR="00874CE5" w:rsidRPr="00C23102">
        <w:rPr>
          <w:rFonts w:ascii="Times" w:hAnsi="Times"/>
          <w:color w:val="000000" w:themeColor="text1"/>
        </w:rPr>
        <w:t>population</w:t>
      </w:r>
      <w:r w:rsidR="00D80999" w:rsidRPr="00C23102">
        <w:rPr>
          <w:rFonts w:ascii="Times" w:hAnsi="Times"/>
          <w:color w:val="000000" w:themeColor="text1"/>
        </w:rPr>
        <w:t xml:space="preserve"> (</w:t>
      </w:r>
      <w:r w:rsidR="00053324" w:rsidRPr="00C23102">
        <w:rPr>
          <w:rFonts w:ascii="Times" w:hAnsi="Times"/>
          <w:color w:val="000000" w:themeColor="text1"/>
        </w:rPr>
        <w:t>TURKSTAT</w:t>
      </w:r>
      <w:r w:rsidR="00D80999" w:rsidRPr="00C23102">
        <w:rPr>
          <w:rFonts w:ascii="Times" w:hAnsi="Times"/>
          <w:color w:val="000000" w:themeColor="text1"/>
        </w:rPr>
        <w:t>, 2020)</w:t>
      </w:r>
      <w:r w:rsidR="00874CE5" w:rsidRPr="00C23102">
        <w:rPr>
          <w:rFonts w:ascii="Times" w:hAnsi="Times"/>
          <w:color w:val="000000" w:themeColor="text1"/>
        </w:rPr>
        <w:t xml:space="preserve"> which are close to each other. Three of selected provinces have higher value</w:t>
      </w:r>
      <w:r w:rsidR="00D80999" w:rsidRPr="00C23102">
        <w:rPr>
          <w:rFonts w:ascii="Times" w:hAnsi="Times"/>
          <w:color w:val="000000" w:themeColor="text1"/>
        </w:rPr>
        <w:t xml:space="preserve"> and other three of them have lower value than Samsun </w:t>
      </w:r>
      <w:r w:rsidR="00874CE5" w:rsidRPr="00C23102">
        <w:rPr>
          <w:rFonts w:ascii="Times" w:hAnsi="Times"/>
          <w:color w:val="000000" w:themeColor="text1"/>
        </w:rPr>
        <w:t>in the Index</w:t>
      </w:r>
      <w:r w:rsidR="00D80999" w:rsidRPr="00C23102">
        <w:rPr>
          <w:rFonts w:ascii="Times" w:hAnsi="Times"/>
          <w:color w:val="000000" w:themeColor="text1"/>
        </w:rPr>
        <w:t xml:space="preserve"> (Table 3</w:t>
      </w:r>
      <w:r w:rsidR="00044B5F" w:rsidRPr="00C23102">
        <w:rPr>
          <w:rFonts w:ascii="Times" w:hAnsi="Times"/>
          <w:color w:val="000000" w:themeColor="text1"/>
        </w:rPr>
        <w:t>)</w:t>
      </w:r>
      <w:r w:rsidR="00874CE5" w:rsidRPr="00C23102">
        <w:rPr>
          <w:rFonts w:ascii="Times" w:hAnsi="Times"/>
          <w:color w:val="000000" w:themeColor="text1"/>
        </w:rPr>
        <w:t xml:space="preserve"> </w:t>
      </w:r>
      <w:r w:rsidRPr="00C23102">
        <w:rPr>
          <w:rFonts w:ascii="Times" w:hAnsi="Times"/>
          <w:color w:val="000000" w:themeColor="text1"/>
        </w:rPr>
        <w:t>Accordingly, the provinces in the study are as follows:</w:t>
      </w:r>
    </w:p>
    <w:p w14:paraId="26E3BD27" w14:textId="0176C495" w:rsidR="00121667" w:rsidRPr="00C23102" w:rsidRDefault="00121667" w:rsidP="00F44FEC">
      <w:pPr>
        <w:pStyle w:val="BodyText"/>
        <w:spacing w:after="120" w:line="240" w:lineRule="auto"/>
        <w:ind w:left="0" w:right="74"/>
        <w:jc w:val="center"/>
        <w:rPr>
          <w:rFonts w:ascii="Times" w:hAnsi="Times"/>
          <w:b/>
          <w:bCs/>
          <w:color w:val="000000" w:themeColor="text1"/>
        </w:rPr>
      </w:pPr>
      <w:r w:rsidRPr="00C23102">
        <w:rPr>
          <w:rFonts w:ascii="Times" w:hAnsi="Times"/>
          <w:b/>
          <w:bCs/>
          <w:color w:val="000000" w:themeColor="text1"/>
        </w:rPr>
        <w:t>Table 3.</w:t>
      </w:r>
      <w:bookmarkStart w:id="10" w:name="_Hlk74760039"/>
      <w:r w:rsidR="00044B5F" w:rsidRPr="00C23102">
        <w:rPr>
          <w:rFonts w:ascii="Times" w:hAnsi="Times"/>
          <w:b/>
          <w:bCs/>
          <w:color w:val="000000" w:themeColor="text1"/>
        </w:rPr>
        <w:t xml:space="preserve"> </w:t>
      </w:r>
      <w:r w:rsidRPr="00C23102">
        <w:rPr>
          <w:rFonts w:ascii="Times" w:hAnsi="Times"/>
          <w:b/>
          <w:bCs/>
          <w:color w:val="000000" w:themeColor="text1"/>
        </w:rPr>
        <w:t>Geographical Coverage</w:t>
      </w:r>
      <w:bookmarkEnd w:id="10"/>
    </w:p>
    <w:tbl>
      <w:tblPr>
        <w:tblW w:w="546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89"/>
        <w:gridCol w:w="1553"/>
        <w:gridCol w:w="2126"/>
      </w:tblGrid>
      <w:tr w:rsidR="00CB5900" w:rsidRPr="00C23102" w14:paraId="4D1464AA" w14:textId="77777777" w:rsidTr="00223FF3">
        <w:trPr>
          <w:trHeight w:val="556"/>
          <w:jc w:val="center"/>
        </w:trPr>
        <w:tc>
          <w:tcPr>
            <w:tcW w:w="1789" w:type="dxa"/>
            <w:tcBorders>
              <w:bottom w:val="single" w:sz="4" w:space="0" w:color="auto"/>
              <w:right w:val="nil"/>
            </w:tcBorders>
            <w:shd w:val="clear" w:color="auto" w:fill="auto"/>
          </w:tcPr>
          <w:p w14:paraId="2245B6C9" w14:textId="003C365E" w:rsidR="00CB5900" w:rsidRPr="00C23102" w:rsidRDefault="0076416A" w:rsidP="00F44FEC">
            <w:pPr>
              <w:spacing w:after="120" w:line="240" w:lineRule="auto"/>
              <w:ind w:left="0"/>
              <w:jc w:val="left"/>
              <w:rPr>
                <w:rFonts w:ascii="Times" w:hAnsi="Times"/>
                <w:b/>
                <w:bCs/>
                <w:color w:val="000000"/>
                <w:sz w:val="24"/>
                <w:szCs w:val="24"/>
                <w:lang w:eastAsia="en-GB"/>
              </w:rPr>
            </w:pPr>
            <w:r w:rsidRPr="00C23102">
              <w:rPr>
                <w:rFonts w:ascii="Times" w:hAnsi="Times"/>
                <w:b/>
                <w:bCs/>
                <w:color w:val="000000"/>
                <w:sz w:val="24"/>
                <w:szCs w:val="24"/>
                <w:lang w:eastAsia="en-GB"/>
              </w:rPr>
              <w:t>Province</w:t>
            </w:r>
          </w:p>
        </w:tc>
        <w:tc>
          <w:tcPr>
            <w:tcW w:w="1553" w:type="dxa"/>
            <w:tcBorders>
              <w:left w:val="nil"/>
              <w:bottom w:val="single" w:sz="4" w:space="0" w:color="auto"/>
              <w:right w:val="nil"/>
            </w:tcBorders>
            <w:shd w:val="clear" w:color="auto" w:fill="auto"/>
          </w:tcPr>
          <w:p w14:paraId="67820B2B" w14:textId="6C879EA5" w:rsidR="00CB5900" w:rsidRPr="00C23102" w:rsidRDefault="005F61BD" w:rsidP="00F44FEC">
            <w:pPr>
              <w:spacing w:after="120" w:line="240" w:lineRule="auto"/>
              <w:ind w:left="0"/>
              <w:jc w:val="left"/>
              <w:rPr>
                <w:rFonts w:ascii="Times" w:hAnsi="Times"/>
                <w:b/>
                <w:bCs/>
                <w:color w:val="000000"/>
                <w:sz w:val="24"/>
                <w:szCs w:val="24"/>
                <w:lang w:eastAsia="en-GB"/>
              </w:rPr>
            </w:pPr>
            <w:r w:rsidRPr="00C23102">
              <w:rPr>
                <w:rFonts w:ascii="Times" w:hAnsi="Times"/>
                <w:b/>
                <w:bCs/>
                <w:color w:val="000000"/>
                <w:sz w:val="24"/>
                <w:szCs w:val="24"/>
                <w:lang w:eastAsia="en-GB"/>
              </w:rPr>
              <w:t>Population</w:t>
            </w:r>
          </w:p>
        </w:tc>
        <w:tc>
          <w:tcPr>
            <w:tcW w:w="2126" w:type="dxa"/>
            <w:tcBorders>
              <w:left w:val="nil"/>
              <w:bottom w:val="single" w:sz="4" w:space="0" w:color="auto"/>
            </w:tcBorders>
            <w:shd w:val="clear" w:color="auto" w:fill="auto"/>
          </w:tcPr>
          <w:p w14:paraId="02F35BC6" w14:textId="5A040D82" w:rsidR="00CB5900" w:rsidRPr="00C23102" w:rsidRDefault="005F61BD" w:rsidP="00F44FEC">
            <w:pPr>
              <w:spacing w:after="120" w:line="240" w:lineRule="auto"/>
              <w:ind w:left="0"/>
              <w:jc w:val="left"/>
              <w:rPr>
                <w:rFonts w:ascii="Times" w:hAnsi="Times"/>
                <w:b/>
                <w:bCs/>
                <w:color w:val="000000"/>
                <w:sz w:val="24"/>
                <w:szCs w:val="24"/>
                <w:lang w:eastAsia="en-GB"/>
              </w:rPr>
            </w:pPr>
            <w:r w:rsidRPr="00C23102">
              <w:rPr>
                <w:rFonts w:ascii="Times" w:hAnsi="Times"/>
                <w:b/>
                <w:bCs/>
                <w:color w:val="000000"/>
                <w:sz w:val="24"/>
                <w:szCs w:val="24"/>
                <w:lang w:eastAsia="en-GB"/>
              </w:rPr>
              <w:t>Innovation Index Value</w:t>
            </w:r>
            <w:r w:rsidR="00CB5900" w:rsidRPr="00C23102">
              <w:rPr>
                <w:rFonts w:ascii="Times" w:hAnsi="Times"/>
                <w:b/>
                <w:bCs/>
                <w:color w:val="000000"/>
                <w:sz w:val="24"/>
                <w:szCs w:val="24"/>
                <w:lang w:eastAsia="en-GB"/>
              </w:rPr>
              <w:t xml:space="preserve"> (2016-2017)</w:t>
            </w:r>
          </w:p>
        </w:tc>
      </w:tr>
      <w:tr w:rsidR="00CB5900" w:rsidRPr="00C23102" w14:paraId="6831E811" w14:textId="77777777" w:rsidTr="00223FF3">
        <w:trPr>
          <w:trHeight w:val="345"/>
          <w:jc w:val="center"/>
        </w:trPr>
        <w:tc>
          <w:tcPr>
            <w:tcW w:w="1789" w:type="dxa"/>
            <w:tcBorders>
              <w:bottom w:val="nil"/>
              <w:right w:val="nil"/>
            </w:tcBorders>
            <w:shd w:val="clear" w:color="auto" w:fill="auto"/>
            <w:noWrap/>
            <w:hideMark/>
          </w:tcPr>
          <w:p w14:paraId="2266AE45" w14:textId="77777777" w:rsidR="00CB5900" w:rsidRPr="00C23102" w:rsidRDefault="00CB5900" w:rsidP="00F44FEC">
            <w:pPr>
              <w:spacing w:before="0" w:line="240" w:lineRule="auto"/>
              <w:ind w:left="0"/>
              <w:jc w:val="left"/>
              <w:rPr>
                <w:rFonts w:ascii="Times" w:hAnsi="Times"/>
                <w:color w:val="000000"/>
                <w:sz w:val="24"/>
                <w:szCs w:val="24"/>
                <w:lang w:eastAsia="en-GB"/>
              </w:rPr>
            </w:pPr>
            <w:r w:rsidRPr="00C23102">
              <w:rPr>
                <w:rFonts w:ascii="Times" w:hAnsi="Times"/>
                <w:color w:val="000000"/>
                <w:sz w:val="24"/>
                <w:szCs w:val="24"/>
                <w:lang w:eastAsia="en-GB"/>
              </w:rPr>
              <w:t>Kocaeli</w:t>
            </w:r>
          </w:p>
        </w:tc>
        <w:tc>
          <w:tcPr>
            <w:tcW w:w="1553" w:type="dxa"/>
            <w:tcBorders>
              <w:left w:val="nil"/>
              <w:bottom w:val="nil"/>
              <w:right w:val="nil"/>
            </w:tcBorders>
            <w:shd w:val="clear" w:color="auto" w:fill="auto"/>
            <w:noWrap/>
            <w:hideMark/>
          </w:tcPr>
          <w:p w14:paraId="583855BF"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1.953.035</w:t>
            </w:r>
          </w:p>
        </w:tc>
        <w:tc>
          <w:tcPr>
            <w:tcW w:w="2126" w:type="dxa"/>
            <w:tcBorders>
              <w:left w:val="nil"/>
              <w:bottom w:val="nil"/>
            </w:tcBorders>
            <w:shd w:val="clear" w:color="auto" w:fill="auto"/>
            <w:noWrap/>
            <w:hideMark/>
          </w:tcPr>
          <w:p w14:paraId="043E6193"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12,83</w:t>
            </w:r>
          </w:p>
        </w:tc>
      </w:tr>
      <w:tr w:rsidR="00CB5900" w:rsidRPr="00C23102" w14:paraId="59E9B19B" w14:textId="77777777" w:rsidTr="00223FF3">
        <w:trPr>
          <w:trHeight w:val="345"/>
          <w:jc w:val="center"/>
        </w:trPr>
        <w:tc>
          <w:tcPr>
            <w:tcW w:w="1789" w:type="dxa"/>
            <w:tcBorders>
              <w:top w:val="nil"/>
              <w:bottom w:val="nil"/>
              <w:right w:val="nil"/>
            </w:tcBorders>
            <w:shd w:val="clear" w:color="auto" w:fill="auto"/>
            <w:noWrap/>
            <w:hideMark/>
          </w:tcPr>
          <w:p w14:paraId="5DA0BFB2" w14:textId="77777777" w:rsidR="00CB5900" w:rsidRPr="00C23102" w:rsidRDefault="00CB5900" w:rsidP="00F44FEC">
            <w:pPr>
              <w:spacing w:before="0" w:line="240" w:lineRule="auto"/>
              <w:ind w:left="0"/>
              <w:jc w:val="left"/>
              <w:rPr>
                <w:rFonts w:ascii="Times" w:hAnsi="Times"/>
                <w:color w:val="000000"/>
                <w:sz w:val="24"/>
                <w:szCs w:val="24"/>
                <w:lang w:eastAsia="en-GB"/>
              </w:rPr>
            </w:pPr>
            <w:r w:rsidRPr="00C23102">
              <w:rPr>
                <w:rFonts w:ascii="Times" w:hAnsi="Times"/>
                <w:color w:val="000000"/>
                <w:sz w:val="24"/>
                <w:szCs w:val="24"/>
                <w:lang w:eastAsia="en-GB"/>
              </w:rPr>
              <w:t>Kayseri</w:t>
            </w:r>
          </w:p>
        </w:tc>
        <w:tc>
          <w:tcPr>
            <w:tcW w:w="1553" w:type="dxa"/>
            <w:tcBorders>
              <w:top w:val="nil"/>
              <w:left w:val="nil"/>
              <w:bottom w:val="nil"/>
              <w:right w:val="nil"/>
            </w:tcBorders>
            <w:shd w:val="clear" w:color="auto" w:fill="auto"/>
            <w:noWrap/>
            <w:hideMark/>
          </w:tcPr>
          <w:p w14:paraId="7AE7029A"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1.407.409</w:t>
            </w:r>
          </w:p>
        </w:tc>
        <w:tc>
          <w:tcPr>
            <w:tcW w:w="2126" w:type="dxa"/>
            <w:tcBorders>
              <w:top w:val="nil"/>
              <w:left w:val="nil"/>
              <w:bottom w:val="nil"/>
            </w:tcBorders>
            <w:shd w:val="clear" w:color="auto" w:fill="auto"/>
            <w:noWrap/>
            <w:hideMark/>
          </w:tcPr>
          <w:p w14:paraId="0B5BC037"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6,89</w:t>
            </w:r>
          </w:p>
        </w:tc>
      </w:tr>
      <w:tr w:rsidR="00CB5900" w:rsidRPr="00C23102" w14:paraId="7CE8D0D3" w14:textId="77777777" w:rsidTr="00223FF3">
        <w:trPr>
          <w:trHeight w:val="345"/>
          <w:jc w:val="center"/>
        </w:trPr>
        <w:tc>
          <w:tcPr>
            <w:tcW w:w="1789" w:type="dxa"/>
            <w:tcBorders>
              <w:top w:val="nil"/>
              <w:bottom w:val="nil"/>
              <w:right w:val="nil"/>
            </w:tcBorders>
            <w:shd w:val="clear" w:color="auto" w:fill="auto"/>
            <w:noWrap/>
            <w:hideMark/>
          </w:tcPr>
          <w:p w14:paraId="754F66EA" w14:textId="77777777" w:rsidR="00CB5900" w:rsidRPr="00C23102" w:rsidRDefault="00CB5900" w:rsidP="00F44FEC">
            <w:pPr>
              <w:spacing w:before="0" w:line="240" w:lineRule="auto"/>
              <w:ind w:left="0"/>
              <w:jc w:val="left"/>
              <w:rPr>
                <w:rFonts w:ascii="Times" w:hAnsi="Times"/>
                <w:color w:val="000000"/>
                <w:sz w:val="24"/>
                <w:szCs w:val="24"/>
                <w:lang w:eastAsia="en-GB"/>
              </w:rPr>
            </w:pPr>
            <w:r w:rsidRPr="00C23102">
              <w:rPr>
                <w:rFonts w:ascii="Times" w:hAnsi="Times"/>
                <w:color w:val="000000"/>
                <w:sz w:val="24"/>
                <w:szCs w:val="24"/>
                <w:lang w:eastAsia="en-GB"/>
              </w:rPr>
              <w:t>Manisa</w:t>
            </w:r>
          </w:p>
        </w:tc>
        <w:tc>
          <w:tcPr>
            <w:tcW w:w="1553" w:type="dxa"/>
            <w:tcBorders>
              <w:top w:val="nil"/>
              <w:left w:val="nil"/>
              <w:bottom w:val="nil"/>
              <w:right w:val="nil"/>
            </w:tcBorders>
            <w:shd w:val="clear" w:color="auto" w:fill="auto"/>
            <w:noWrap/>
            <w:hideMark/>
          </w:tcPr>
          <w:p w14:paraId="022C1686"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1.440.611</w:t>
            </w:r>
          </w:p>
        </w:tc>
        <w:tc>
          <w:tcPr>
            <w:tcW w:w="2126" w:type="dxa"/>
            <w:tcBorders>
              <w:top w:val="nil"/>
              <w:left w:val="nil"/>
              <w:bottom w:val="nil"/>
            </w:tcBorders>
            <w:shd w:val="clear" w:color="auto" w:fill="auto"/>
            <w:noWrap/>
            <w:hideMark/>
          </w:tcPr>
          <w:p w14:paraId="7068BB5D"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4,05</w:t>
            </w:r>
          </w:p>
        </w:tc>
      </w:tr>
      <w:tr w:rsidR="00CB5900" w:rsidRPr="00C23102" w14:paraId="63A20DD9" w14:textId="77777777" w:rsidTr="00223FF3">
        <w:trPr>
          <w:trHeight w:val="300"/>
          <w:jc w:val="center"/>
        </w:trPr>
        <w:tc>
          <w:tcPr>
            <w:tcW w:w="1789" w:type="dxa"/>
            <w:tcBorders>
              <w:top w:val="nil"/>
              <w:bottom w:val="nil"/>
              <w:right w:val="nil"/>
            </w:tcBorders>
            <w:shd w:val="clear" w:color="auto" w:fill="auto"/>
            <w:noWrap/>
            <w:hideMark/>
          </w:tcPr>
          <w:p w14:paraId="0AA0311B" w14:textId="77777777" w:rsidR="00CB5900" w:rsidRPr="00C23102" w:rsidRDefault="00CB5900" w:rsidP="00F44FEC">
            <w:pPr>
              <w:spacing w:before="0" w:line="240" w:lineRule="auto"/>
              <w:ind w:left="0"/>
              <w:jc w:val="left"/>
              <w:rPr>
                <w:rFonts w:ascii="Times" w:hAnsi="Times"/>
                <w:b/>
                <w:bCs/>
                <w:color w:val="000000"/>
                <w:sz w:val="24"/>
                <w:szCs w:val="24"/>
                <w:lang w:eastAsia="en-GB"/>
              </w:rPr>
            </w:pPr>
            <w:r w:rsidRPr="00C23102">
              <w:rPr>
                <w:rFonts w:ascii="Times" w:hAnsi="Times"/>
                <w:b/>
                <w:bCs/>
                <w:color w:val="000000"/>
                <w:sz w:val="24"/>
                <w:szCs w:val="24"/>
                <w:lang w:eastAsia="en-GB"/>
              </w:rPr>
              <w:t>Samsun</w:t>
            </w:r>
          </w:p>
        </w:tc>
        <w:tc>
          <w:tcPr>
            <w:tcW w:w="1553" w:type="dxa"/>
            <w:tcBorders>
              <w:top w:val="nil"/>
              <w:left w:val="nil"/>
              <w:bottom w:val="nil"/>
              <w:right w:val="nil"/>
            </w:tcBorders>
            <w:shd w:val="clear" w:color="auto" w:fill="auto"/>
            <w:noWrap/>
            <w:hideMark/>
          </w:tcPr>
          <w:p w14:paraId="3E88956D" w14:textId="77777777" w:rsidR="00CB5900" w:rsidRPr="00C23102" w:rsidRDefault="00CB5900" w:rsidP="00F44FEC">
            <w:pPr>
              <w:spacing w:before="0" w:line="240" w:lineRule="auto"/>
              <w:ind w:left="0"/>
              <w:jc w:val="center"/>
              <w:rPr>
                <w:rFonts w:ascii="Times" w:hAnsi="Times"/>
                <w:b/>
                <w:bCs/>
                <w:color w:val="000000"/>
                <w:sz w:val="24"/>
                <w:szCs w:val="24"/>
                <w:lang w:eastAsia="en-GB"/>
              </w:rPr>
            </w:pPr>
            <w:r w:rsidRPr="00C23102">
              <w:rPr>
                <w:rFonts w:ascii="Times" w:hAnsi="Times"/>
                <w:b/>
                <w:bCs/>
                <w:color w:val="000000"/>
                <w:sz w:val="24"/>
                <w:szCs w:val="24"/>
                <w:lang w:eastAsia="en-GB"/>
              </w:rPr>
              <w:t>1.348.542</w:t>
            </w:r>
          </w:p>
        </w:tc>
        <w:tc>
          <w:tcPr>
            <w:tcW w:w="2126" w:type="dxa"/>
            <w:tcBorders>
              <w:top w:val="nil"/>
              <w:left w:val="nil"/>
              <w:bottom w:val="nil"/>
            </w:tcBorders>
            <w:shd w:val="clear" w:color="auto" w:fill="auto"/>
            <w:noWrap/>
            <w:hideMark/>
          </w:tcPr>
          <w:p w14:paraId="18D94E6B" w14:textId="77777777" w:rsidR="00CB5900" w:rsidRPr="00C23102" w:rsidRDefault="00CB5900" w:rsidP="00F44FEC">
            <w:pPr>
              <w:spacing w:before="0" w:line="240" w:lineRule="auto"/>
              <w:ind w:left="0"/>
              <w:jc w:val="center"/>
              <w:rPr>
                <w:rFonts w:ascii="Times" w:hAnsi="Times"/>
                <w:b/>
                <w:bCs/>
                <w:color w:val="000000"/>
                <w:sz w:val="24"/>
                <w:szCs w:val="24"/>
                <w:lang w:eastAsia="en-GB"/>
              </w:rPr>
            </w:pPr>
            <w:r w:rsidRPr="00C23102">
              <w:rPr>
                <w:rFonts w:ascii="Times" w:hAnsi="Times"/>
                <w:b/>
                <w:bCs/>
                <w:color w:val="000000"/>
                <w:sz w:val="24"/>
                <w:szCs w:val="24"/>
                <w:lang w:eastAsia="en-GB"/>
              </w:rPr>
              <w:t>3,08</w:t>
            </w:r>
          </w:p>
        </w:tc>
      </w:tr>
      <w:tr w:rsidR="00CB5900" w:rsidRPr="00C23102" w14:paraId="6EF49E37" w14:textId="77777777" w:rsidTr="00223FF3">
        <w:trPr>
          <w:trHeight w:val="300"/>
          <w:jc w:val="center"/>
        </w:trPr>
        <w:tc>
          <w:tcPr>
            <w:tcW w:w="1789" w:type="dxa"/>
            <w:tcBorders>
              <w:top w:val="nil"/>
              <w:bottom w:val="nil"/>
              <w:right w:val="nil"/>
            </w:tcBorders>
            <w:shd w:val="clear" w:color="auto" w:fill="auto"/>
            <w:noWrap/>
            <w:hideMark/>
          </w:tcPr>
          <w:p w14:paraId="5AFA39C3" w14:textId="1A27BB68" w:rsidR="00CB5900" w:rsidRPr="00C23102" w:rsidRDefault="00044B5F" w:rsidP="00F44FEC">
            <w:pPr>
              <w:spacing w:before="0" w:line="240" w:lineRule="auto"/>
              <w:ind w:left="0"/>
              <w:jc w:val="left"/>
              <w:rPr>
                <w:rFonts w:ascii="Times" w:hAnsi="Times"/>
                <w:color w:val="000000"/>
                <w:sz w:val="24"/>
                <w:szCs w:val="24"/>
                <w:lang w:eastAsia="en-GB"/>
              </w:rPr>
            </w:pPr>
            <w:r w:rsidRPr="00C23102">
              <w:rPr>
                <w:rFonts w:ascii="Times" w:hAnsi="Times"/>
                <w:color w:val="000000"/>
                <w:sz w:val="24"/>
                <w:szCs w:val="24"/>
                <w:lang w:eastAsia="en-GB"/>
              </w:rPr>
              <w:t>Kahramanmaras</w:t>
            </w:r>
          </w:p>
        </w:tc>
        <w:tc>
          <w:tcPr>
            <w:tcW w:w="1553" w:type="dxa"/>
            <w:tcBorders>
              <w:top w:val="nil"/>
              <w:left w:val="nil"/>
              <w:bottom w:val="nil"/>
              <w:right w:val="nil"/>
            </w:tcBorders>
            <w:shd w:val="clear" w:color="auto" w:fill="auto"/>
            <w:noWrap/>
            <w:hideMark/>
          </w:tcPr>
          <w:p w14:paraId="4C86D850"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1.154.102</w:t>
            </w:r>
          </w:p>
        </w:tc>
        <w:tc>
          <w:tcPr>
            <w:tcW w:w="2126" w:type="dxa"/>
            <w:tcBorders>
              <w:top w:val="nil"/>
              <w:left w:val="nil"/>
              <w:bottom w:val="nil"/>
            </w:tcBorders>
            <w:shd w:val="clear" w:color="auto" w:fill="auto"/>
            <w:noWrap/>
            <w:hideMark/>
          </w:tcPr>
          <w:p w14:paraId="6C25532C"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2,48</w:t>
            </w:r>
          </w:p>
        </w:tc>
      </w:tr>
      <w:tr w:rsidR="00CB5900" w:rsidRPr="00C23102" w14:paraId="3A31449F" w14:textId="77777777" w:rsidTr="00223FF3">
        <w:trPr>
          <w:trHeight w:val="300"/>
          <w:jc w:val="center"/>
        </w:trPr>
        <w:tc>
          <w:tcPr>
            <w:tcW w:w="1789" w:type="dxa"/>
            <w:tcBorders>
              <w:top w:val="nil"/>
              <w:bottom w:val="nil"/>
              <w:right w:val="nil"/>
            </w:tcBorders>
            <w:shd w:val="clear" w:color="auto" w:fill="auto"/>
            <w:noWrap/>
            <w:hideMark/>
          </w:tcPr>
          <w:p w14:paraId="39669F17" w14:textId="4A14FFE2" w:rsidR="00CB5900" w:rsidRPr="00C23102" w:rsidRDefault="00044B5F" w:rsidP="00F44FEC">
            <w:pPr>
              <w:spacing w:before="0" w:line="240" w:lineRule="auto"/>
              <w:ind w:left="0"/>
              <w:jc w:val="left"/>
              <w:rPr>
                <w:rFonts w:ascii="Times" w:hAnsi="Times"/>
                <w:color w:val="000000"/>
                <w:sz w:val="24"/>
                <w:szCs w:val="24"/>
                <w:lang w:eastAsia="en-GB"/>
              </w:rPr>
            </w:pPr>
            <w:r w:rsidRPr="00C23102">
              <w:rPr>
                <w:rFonts w:ascii="Times" w:hAnsi="Times"/>
                <w:color w:val="000000"/>
                <w:sz w:val="24"/>
                <w:szCs w:val="24"/>
                <w:lang w:eastAsia="en-GB"/>
              </w:rPr>
              <w:t>Balikesir</w:t>
            </w:r>
          </w:p>
        </w:tc>
        <w:tc>
          <w:tcPr>
            <w:tcW w:w="1553" w:type="dxa"/>
            <w:tcBorders>
              <w:top w:val="nil"/>
              <w:left w:val="nil"/>
              <w:bottom w:val="nil"/>
              <w:right w:val="nil"/>
            </w:tcBorders>
            <w:shd w:val="clear" w:color="auto" w:fill="auto"/>
            <w:noWrap/>
            <w:hideMark/>
          </w:tcPr>
          <w:p w14:paraId="30F1F99E"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1.228.620</w:t>
            </w:r>
          </w:p>
        </w:tc>
        <w:tc>
          <w:tcPr>
            <w:tcW w:w="2126" w:type="dxa"/>
            <w:tcBorders>
              <w:top w:val="nil"/>
              <w:left w:val="nil"/>
              <w:bottom w:val="nil"/>
            </w:tcBorders>
            <w:shd w:val="clear" w:color="auto" w:fill="auto"/>
            <w:noWrap/>
            <w:hideMark/>
          </w:tcPr>
          <w:p w14:paraId="4E01E815"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0,99</w:t>
            </w:r>
          </w:p>
        </w:tc>
      </w:tr>
      <w:tr w:rsidR="00CB5900" w:rsidRPr="00C23102" w14:paraId="6570F7A5" w14:textId="77777777" w:rsidTr="00223FF3">
        <w:trPr>
          <w:trHeight w:val="300"/>
          <w:jc w:val="center"/>
        </w:trPr>
        <w:tc>
          <w:tcPr>
            <w:tcW w:w="1789" w:type="dxa"/>
            <w:tcBorders>
              <w:top w:val="nil"/>
              <w:right w:val="nil"/>
            </w:tcBorders>
            <w:shd w:val="clear" w:color="auto" w:fill="auto"/>
            <w:noWrap/>
            <w:hideMark/>
          </w:tcPr>
          <w:p w14:paraId="0F225D2F" w14:textId="6C444D6E" w:rsidR="00CB5900" w:rsidRPr="00C23102" w:rsidRDefault="00044B5F" w:rsidP="00F44FEC">
            <w:pPr>
              <w:spacing w:before="0" w:line="240" w:lineRule="auto"/>
              <w:ind w:left="0"/>
              <w:jc w:val="left"/>
              <w:rPr>
                <w:rFonts w:ascii="Times" w:hAnsi="Times"/>
                <w:color w:val="000000"/>
                <w:sz w:val="24"/>
                <w:szCs w:val="24"/>
                <w:lang w:eastAsia="en-GB"/>
              </w:rPr>
            </w:pPr>
            <w:r w:rsidRPr="00C23102">
              <w:rPr>
                <w:rFonts w:ascii="Times" w:hAnsi="Times"/>
                <w:color w:val="000000"/>
                <w:sz w:val="24"/>
                <w:szCs w:val="24"/>
                <w:lang w:eastAsia="en-GB"/>
              </w:rPr>
              <w:t>Mugla</w:t>
            </w:r>
          </w:p>
        </w:tc>
        <w:tc>
          <w:tcPr>
            <w:tcW w:w="1553" w:type="dxa"/>
            <w:tcBorders>
              <w:top w:val="nil"/>
              <w:left w:val="nil"/>
              <w:right w:val="nil"/>
            </w:tcBorders>
            <w:shd w:val="clear" w:color="auto" w:fill="auto"/>
            <w:noWrap/>
            <w:hideMark/>
          </w:tcPr>
          <w:p w14:paraId="345D8A40"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983.142</w:t>
            </w:r>
          </w:p>
        </w:tc>
        <w:tc>
          <w:tcPr>
            <w:tcW w:w="2126" w:type="dxa"/>
            <w:tcBorders>
              <w:top w:val="nil"/>
              <w:left w:val="nil"/>
            </w:tcBorders>
            <w:shd w:val="clear" w:color="auto" w:fill="auto"/>
            <w:noWrap/>
            <w:hideMark/>
          </w:tcPr>
          <w:p w14:paraId="038D793E" w14:textId="77777777" w:rsidR="00CB5900" w:rsidRPr="00C23102" w:rsidRDefault="00CB5900" w:rsidP="00F44FEC">
            <w:pPr>
              <w:spacing w:before="0" w:line="240" w:lineRule="auto"/>
              <w:ind w:left="0"/>
              <w:jc w:val="center"/>
              <w:rPr>
                <w:rFonts w:ascii="Times" w:hAnsi="Times"/>
                <w:color w:val="000000"/>
                <w:sz w:val="24"/>
                <w:szCs w:val="24"/>
                <w:lang w:eastAsia="en-GB"/>
              </w:rPr>
            </w:pPr>
            <w:r w:rsidRPr="00C23102">
              <w:rPr>
                <w:rFonts w:ascii="Times" w:hAnsi="Times"/>
                <w:color w:val="000000"/>
                <w:sz w:val="24"/>
                <w:szCs w:val="24"/>
                <w:lang w:eastAsia="en-GB"/>
              </w:rPr>
              <w:t>0,92</w:t>
            </w:r>
          </w:p>
        </w:tc>
      </w:tr>
    </w:tbl>
    <w:p w14:paraId="0CD5EE26" w14:textId="1B122CA3" w:rsidR="00223FF3" w:rsidRPr="00C23102" w:rsidRDefault="00223FF3" w:rsidP="00223FF3">
      <w:pPr>
        <w:pStyle w:val="BodyText"/>
        <w:spacing w:after="120" w:line="240" w:lineRule="auto"/>
        <w:ind w:left="0"/>
        <w:jc w:val="center"/>
        <w:rPr>
          <w:rFonts w:ascii="Times" w:hAnsi="Times"/>
          <w:b/>
          <w:bCs/>
          <w:color w:val="000000" w:themeColor="text1"/>
        </w:rPr>
      </w:pPr>
      <w:bookmarkStart w:id="11" w:name="_Hlk60838699"/>
      <w:r w:rsidRPr="00C23102">
        <w:rPr>
          <w:rFonts w:ascii="Times" w:hAnsi="Times"/>
          <w:color w:val="000000" w:themeColor="text1"/>
          <w:sz w:val="22"/>
          <w:szCs w:val="22"/>
        </w:rPr>
        <w:t>Source: URAK, 2019</w:t>
      </w:r>
    </w:p>
    <w:p w14:paraId="19756370" w14:textId="50DEC26F" w:rsidR="00CB5900" w:rsidRPr="00C23102" w:rsidRDefault="00CB5900" w:rsidP="003A7803">
      <w:pPr>
        <w:pStyle w:val="BodyText"/>
        <w:spacing w:after="120"/>
        <w:ind w:left="0"/>
        <w:rPr>
          <w:rFonts w:ascii="Times" w:hAnsi="Times"/>
          <w:b/>
          <w:bCs/>
          <w:color w:val="000000" w:themeColor="text1"/>
        </w:rPr>
      </w:pPr>
      <w:r w:rsidRPr="00C23102">
        <w:rPr>
          <w:rFonts w:ascii="Times" w:hAnsi="Times"/>
          <w:b/>
          <w:bCs/>
          <w:color w:val="000000" w:themeColor="text1"/>
        </w:rPr>
        <w:t>3.3.5. Data Collection</w:t>
      </w:r>
    </w:p>
    <w:bookmarkEnd w:id="11"/>
    <w:p w14:paraId="757C3EFB" w14:textId="0990C3F9" w:rsidR="00E95BE1"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 xml:space="preserve">Firstly, this research started with </w:t>
      </w:r>
      <w:r w:rsidR="00D05B25" w:rsidRPr="00C23102">
        <w:rPr>
          <w:rFonts w:ascii="Times" w:hAnsi="Times"/>
          <w:color w:val="000000" w:themeColor="text1"/>
        </w:rPr>
        <w:t>desk research</w:t>
      </w:r>
      <w:r w:rsidRPr="00C23102">
        <w:rPr>
          <w:rFonts w:ascii="Times" w:hAnsi="Times"/>
          <w:color w:val="000000" w:themeColor="text1"/>
        </w:rPr>
        <w:t>, that provided qualitative and quantitative data. Literature research has been done and innovation network and ecosystem analysis examples have been examined.</w:t>
      </w:r>
      <w:r w:rsidR="00D05B25" w:rsidRPr="00C23102">
        <w:rPr>
          <w:rFonts w:ascii="Times" w:hAnsi="Times"/>
          <w:color w:val="000000" w:themeColor="text1"/>
        </w:rPr>
        <w:t xml:space="preserve"> </w:t>
      </w:r>
      <w:r w:rsidRPr="00C23102">
        <w:rPr>
          <w:rFonts w:ascii="Times" w:hAnsi="Times"/>
          <w:color w:val="000000" w:themeColor="text1"/>
        </w:rPr>
        <w:t xml:space="preserve">Secondly, the data sets required to determine the innovation indicators in the provinces within the scope of the study and were requested from the relevant institutions. In addition, access to data presented online on the websites of the institutions was provided. Innovation capacity of Samsun study was </w:t>
      </w:r>
      <w:r w:rsidR="00053324" w:rsidRPr="00C23102">
        <w:rPr>
          <w:rFonts w:ascii="Times" w:hAnsi="Times"/>
          <w:color w:val="000000" w:themeColor="text1"/>
        </w:rPr>
        <w:t>analysed</w:t>
      </w:r>
      <w:r w:rsidRPr="00C23102">
        <w:rPr>
          <w:rFonts w:ascii="Times" w:hAnsi="Times"/>
          <w:color w:val="000000" w:themeColor="text1"/>
        </w:rPr>
        <w:t xml:space="preserve"> using the correlation with the </w:t>
      </w:r>
      <w:r w:rsidR="0099373C" w:rsidRPr="00C23102">
        <w:rPr>
          <w:rFonts w:ascii="Times" w:hAnsi="Times"/>
          <w:color w:val="000000" w:themeColor="text1"/>
        </w:rPr>
        <w:t>peer</w:t>
      </w:r>
      <w:r w:rsidRPr="00C23102">
        <w:rPr>
          <w:rFonts w:ascii="Times" w:hAnsi="Times"/>
          <w:color w:val="000000" w:themeColor="text1"/>
        </w:rPr>
        <w:t xml:space="preserve"> cities and Turkey mean under the </w:t>
      </w:r>
      <w:r w:rsidR="00053324" w:rsidRPr="00C23102">
        <w:rPr>
          <w:rFonts w:ascii="Times" w:hAnsi="Times"/>
          <w:color w:val="000000" w:themeColor="text1"/>
        </w:rPr>
        <w:t>Innovation Indicators Set of Samsun Province (Table 2).</w:t>
      </w:r>
    </w:p>
    <w:p w14:paraId="717521CD" w14:textId="2F30797F" w:rsidR="00CB5900" w:rsidRPr="00C23102" w:rsidRDefault="00CB5900" w:rsidP="003A7803">
      <w:pPr>
        <w:pStyle w:val="BodyText"/>
        <w:spacing w:after="120"/>
        <w:ind w:left="0"/>
        <w:rPr>
          <w:rFonts w:ascii="Times" w:hAnsi="Times"/>
          <w:b/>
          <w:bCs/>
          <w:color w:val="000000" w:themeColor="text1"/>
        </w:rPr>
      </w:pPr>
      <w:bookmarkStart w:id="12" w:name="_Hlk60838720"/>
      <w:r w:rsidRPr="00C23102">
        <w:rPr>
          <w:rFonts w:ascii="Times" w:hAnsi="Times"/>
          <w:b/>
          <w:bCs/>
          <w:color w:val="000000" w:themeColor="text1"/>
        </w:rPr>
        <w:t>3.3.6. Data Preparation</w:t>
      </w:r>
    </w:p>
    <w:bookmarkEnd w:id="12"/>
    <w:p w14:paraId="359E9C33" w14:textId="18A82919" w:rsidR="00CB5900"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 xml:space="preserve">After the data is collected, the data must first be made suitable for analysis. Besides preparing the quantitative analysis table of data regarding comparative capacity of innovation of Samsun compared to other peer cities using MS </w:t>
      </w:r>
      <w:r w:rsidR="00C661A7" w:rsidRPr="00C23102">
        <w:rPr>
          <w:rFonts w:ascii="Times" w:hAnsi="Times"/>
          <w:color w:val="000000" w:themeColor="text1"/>
        </w:rPr>
        <w:t>O</w:t>
      </w:r>
      <w:r w:rsidRPr="00C23102">
        <w:rPr>
          <w:rFonts w:ascii="Times" w:hAnsi="Times"/>
          <w:color w:val="000000" w:themeColor="text1"/>
        </w:rPr>
        <w:t>ffice Excel</w:t>
      </w:r>
      <w:r w:rsidR="00756842" w:rsidRPr="00C23102">
        <w:rPr>
          <w:rFonts w:ascii="Times" w:hAnsi="Times"/>
          <w:color w:val="000000" w:themeColor="text1"/>
        </w:rPr>
        <w:t>.</w:t>
      </w:r>
    </w:p>
    <w:p w14:paraId="132327C1" w14:textId="77777777" w:rsidR="00CB5900" w:rsidRPr="00C23102" w:rsidRDefault="00CB5900" w:rsidP="003A7803">
      <w:pPr>
        <w:pStyle w:val="BodyText"/>
        <w:spacing w:after="120"/>
        <w:ind w:left="0"/>
        <w:rPr>
          <w:rFonts w:ascii="Times" w:hAnsi="Times"/>
          <w:b/>
          <w:bCs/>
          <w:color w:val="000000" w:themeColor="text1"/>
        </w:rPr>
      </w:pPr>
      <w:bookmarkStart w:id="13" w:name="_Hlk60838732"/>
      <w:r w:rsidRPr="00C23102">
        <w:rPr>
          <w:rFonts w:ascii="Times" w:hAnsi="Times"/>
          <w:b/>
          <w:bCs/>
          <w:color w:val="000000" w:themeColor="text1"/>
        </w:rPr>
        <w:t>3.3.7. Data accuracy</w:t>
      </w:r>
    </w:p>
    <w:bookmarkEnd w:id="13"/>
    <w:p w14:paraId="46B8D4EE" w14:textId="4896DB9D" w:rsidR="00CB5900" w:rsidRPr="00C23102" w:rsidRDefault="00CB5900" w:rsidP="00D05B25">
      <w:pPr>
        <w:pStyle w:val="BodyText"/>
        <w:spacing w:after="120" w:line="240" w:lineRule="auto"/>
        <w:ind w:left="0" w:right="74" w:firstLine="709"/>
        <w:rPr>
          <w:rFonts w:ascii="Times" w:hAnsi="Times"/>
          <w:color w:val="000000" w:themeColor="text1"/>
        </w:rPr>
      </w:pPr>
      <w:r w:rsidRPr="00C23102">
        <w:rPr>
          <w:rFonts w:ascii="Times" w:hAnsi="Times"/>
          <w:color w:val="000000" w:themeColor="text1"/>
        </w:rPr>
        <w:t xml:space="preserve">Reliability of network analysis depends on accurate data entry. After data entry was completed, 100% of the </w:t>
      </w:r>
      <w:r w:rsidR="00756842" w:rsidRPr="00C23102">
        <w:rPr>
          <w:rFonts w:ascii="Times" w:hAnsi="Times"/>
          <w:color w:val="000000" w:themeColor="text1"/>
        </w:rPr>
        <w:t>data</w:t>
      </w:r>
      <w:r w:rsidRPr="00C23102">
        <w:rPr>
          <w:rFonts w:ascii="Times" w:hAnsi="Times"/>
          <w:color w:val="000000" w:themeColor="text1"/>
        </w:rPr>
        <w:t xml:space="preserve"> were re-checked by </w:t>
      </w:r>
      <w:r w:rsidR="00756842" w:rsidRPr="00C23102">
        <w:rPr>
          <w:rFonts w:ascii="Times" w:hAnsi="Times"/>
          <w:color w:val="000000" w:themeColor="text1"/>
        </w:rPr>
        <w:t>original resources</w:t>
      </w:r>
      <w:r w:rsidRPr="00C23102">
        <w:rPr>
          <w:rFonts w:ascii="Times" w:hAnsi="Times"/>
          <w:color w:val="000000" w:themeColor="text1"/>
        </w:rPr>
        <w:t>.</w:t>
      </w:r>
    </w:p>
    <w:p w14:paraId="10B688BB" w14:textId="77777777" w:rsidR="00CB5900" w:rsidRPr="00C23102" w:rsidRDefault="00CB5900" w:rsidP="003A7803">
      <w:pPr>
        <w:pStyle w:val="BodyText"/>
        <w:spacing w:after="120"/>
        <w:ind w:left="0"/>
        <w:rPr>
          <w:rFonts w:ascii="Times" w:hAnsi="Times"/>
          <w:b/>
          <w:bCs/>
          <w:color w:val="000000" w:themeColor="text1"/>
        </w:rPr>
      </w:pPr>
      <w:bookmarkStart w:id="14" w:name="_Hlk60838768"/>
      <w:r w:rsidRPr="00C23102">
        <w:rPr>
          <w:rFonts w:ascii="Times" w:hAnsi="Times"/>
          <w:b/>
          <w:bCs/>
          <w:color w:val="000000" w:themeColor="text1"/>
        </w:rPr>
        <w:t>3.5. Influencing Factors and Limitations</w:t>
      </w:r>
    </w:p>
    <w:p w14:paraId="58259FAD" w14:textId="45B98576" w:rsidR="003001B3" w:rsidRDefault="00CB5900" w:rsidP="00D05B25">
      <w:pPr>
        <w:pStyle w:val="BodyText"/>
        <w:spacing w:after="120" w:line="240" w:lineRule="auto"/>
        <w:ind w:left="0" w:firstLine="708"/>
        <w:rPr>
          <w:rFonts w:ascii="Times" w:hAnsi="Times"/>
          <w:color w:val="000000" w:themeColor="text1"/>
        </w:rPr>
      </w:pPr>
      <w:bookmarkStart w:id="15" w:name="_Hlk74908135"/>
      <w:bookmarkEnd w:id="14"/>
      <w:r w:rsidRPr="00C23102">
        <w:rPr>
          <w:rFonts w:ascii="Times" w:hAnsi="Times"/>
          <w:color w:val="000000" w:themeColor="text1"/>
        </w:rPr>
        <w:t>The findings of this study must be seen and interpret in the light of its limitations. Firstly, provincial level innovation network analysis</w:t>
      </w:r>
      <w:r w:rsidR="00811D78" w:rsidRPr="00C23102">
        <w:rPr>
          <w:rFonts w:ascii="Times" w:hAnsi="Times"/>
          <w:color w:val="000000" w:themeColor="text1"/>
        </w:rPr>
        <w:t xml:space="preserve"> in Samsun province</w:t>
      </w:r>
      <w:r w:rsidRPr="00C23102">
        <w:rPr>
          <w:rFonts w:ascii="Times" w:hAnsi="Times"/>
          <w:color w:val="000000" w:themeColor="text1"/>
        </w:rPr>
        <w:t xml:space="preserve"> by using a quantitative approach. Secondly, by asking the institutions themselves and excluding other stakeholders such as private companies, important elements may have been overlooked. By using different concepts and research strategies, the phenomenon could be researched from a different perspective and afterwards compared to the results of this study.</w:t>
      </w:r>
    </w:p>
    <w:p w14:paraId="7941E64A" w14:textId="77777777" w:rsidR="00C23102" w:rsidRPr="00C23102" w:rsidRDefault="00C23102" w:rsidP="00D05B25">
      <w:pPr>
        <w:pStyle w:val="BodyText"/>
        <w:spacing w:after="120" w:line="240" w:lineRule="auto"/>
        <w:ind w:left="0" w:firstLine="708"/>
        <w:rPr>
          <w:rFonts w:ascii="Times" w:hAnsi="Times"/>
          <w:color w:val="000000" w:themeColor="text1"/>
        </w:rPr>
      </w:pPr>
    </w:p>
    <w:p w14:paraId="457A23D8" w14:textId="77777777" w:rsidR="00CC70D7" w:rsidRPr="00C23102" w:rsidRDefault="00CB5900" w:rsidP="003A7803">
      <w:pPr>
        <w:pStyle w:val="BodyText"/>
        <w:spacing w:after="120" w:line="240" w:lineRule="auto"/>
        <w:ind w:left="0"/>
        <w:rPr>
          <w:rFonts w:ascii="Times" w:hAnsi="Times"/>
          <w:color w:val="FF0000"/>
          <w:spacing w:val="-13"/>
        </w:rPr>
      </w:pPr>
      <w:r w:rsidRPr="00C23102">
        <w:rPr>
          <w:rFonts w:ascii="Times" w:hAnsi="Times"/>
          <w:color w:val="000000" w:themeColor="text1"/>
        </w:rPr>
        <w:t xml:space="preserve"> </w:t>
      </w:r>
      <w:bookmarkEnd w:id="15"/>
      <w:r w:rsidR="00D05B25" w:rsidRPr="00C23102">
        <w:rPr>
          <w:rFonts w:ascii="Times" w:hAnsi="Times"/>
          <w:b/>
          <w:bCs/>
          <w:color w:val="000000" w:themeColor="text1"/>
          <w:spacing w:val="-13"/>
        </w:rPr>
        <w:t xml:space="preserve">4. </w:t>
      </w:r>
      <w:r w:rsidR="00CC70D7" w:rsidRPr="00C23102">
        <w:rPr>
          <w:rFonts w:ascii="Times" w:hAnsi="Times"/>
          <w:b/>
          <w:bCs/>
          <w:color w:val="000000" w:themeColor="text1"/>
        </w:rPr>
        <w:t>FINDINGS; SAMSUN INNOVATION ECOSYSTEM NETWORK ANALYSIS</w:t>
      </w:r>
    </w:p>
    <w:p w14:paraId="583BF42E" w14:textId="4B4CD260" w:rsidR="00CC70D7" w:rsidRPr="00C23102" w:rsidRDefault="00CC70D7" w:rsidP="00D05B25">
      <w:pPr>
        <w:pStyle w:val="BodyText"/>
        <w:spacing w:after="120" w:line="240" w:lineRule="auto"/>
        <w:ind w:left="0" w:right="74" w:firstLine="709"/>
        <w:rPr>
          <w:rFonts w:ascii="Times" w:hAnsi="Times"/>
          <w:color w:val="000000" w:themeColor="text1"/>
        </w:rPr>
      </w:pPr>
      <w:bookmarkStart w:id="16" w:name="_Hlk74908182"/>
      <w:r w:rsidRPr="00C23102">
        <w:rPr>
          <w:rFonts w:ascii="Times" w:hAnsi="Times"/>
          <w:color w:val="000000" w:themeColor="text1"/>
        </w:rPr>
        <w:lastRenderedPageBreak/>
        <w:t xml:space="preserve">This chapter presents </w:t>
      </w:r>
      <w:r w:rsidR="00D90635" w:rsidRPr="00C23102">
        <w:rPr>
          <w:rFonts w:ascii="Times" w:hAnsi="Times"/>
          <w:color w:val="000000" w:themeColor="text1"/>
        </w:rPr>
        <w:t xml:space="preserve">current state of affairs as </w:t>
      </w:r>
      <w:r w:rsidRPr="00C23102">
        <w:rPr>
          <w:rFonts w:ascii="Times" w:hAnsi="Times"/>
          <w:color w:val="000000" w:themeColor="text1"/>
        </w:rPr>
        <w:t xml:space="preserve">the institutional capacity of Samsun province was evaluated under the headings of academic and research infrastructure, private sector infrastructure and </w:t>
      </w:r>
      <w:r w:rsidR="00E46645" w:rsidRPr="00C23102">
        <w:rPr>
          <w:rFonts w:ascii="Times" w:hAnsi="Times"/>
          <w:color w:val="000000" w:themeColor="text1"/>
        </w:rPr>
        <w:t>infrastructure for Supporting R&amp;D and innovation</w:t>
      </w:r>
      <w:r w:rsidRPr="00C23102">
        <w:rPr>
          <w:rFonts w:ascii="Times" w:hAnsi="Times"/>
          <w:color w:val="000000" w:themeColor="text1"/>
        </w:rPr>
        <w:t xml:space="preserve">. </w:t>
      </w:r>
    </w:p>
    <w:bookmarkEnd w:id="16"/>
    <w:p w14:paraId="242CA89A" w14:textId="1887518E" w:rsidR="00F0550F" w:rsidRPr="00C23102" w:rsidRDefault="00F0550F" w:rsidP="009E26EA">
      <w:pPr>
        <w:pStyle w:val="BodyText"/>
        <w:spacing w:after="120" w:line="240" w:lineRule="auto"/>
        <w:ind w:left="0" w:right="74"/>
        <w:jc w:val="left"/>
        <w:rPr>
          <w:rFonts w:ascii="Times" w:hAnsi="Times"/>
          <w:b/>
          <w:bCs/>
          <w:color w:val="000000" w:themeColor="text1"/>
        </w:rPr>
      </w:pPr>
      <w:r w:rsidRPr="00C23102">
        <w:rPr>
          <w:rFonts w:ascii="Times" w:hAnsi="Times"/>
          <w:b/>
          <w:bCs/>
          <w:color w:val="000000" w:themeColor="text1"/>
        </w:rPr>
        <w:t xml:space="preserve">4.1. </w:t>
      </w:r>
      <w:r w:rsidR="00AD40D2" w:rsidRPr="00C23102">
        <w:rPr>
          <w:rFonts w:ascii="Times" w:hAnsi="Times"/>
          <w:b/>
          <w:bCs/>
          <w:color w:val="000000" w:themeColor="text1"/>
        </w:rPr>
        <w:t xml:space="preserve">Current State of Affairs; </w:t>
      </w:r>
      <w:r w:rsidRPr="00C23102">
        <w:rPr>
          <w:rFonts w:ascii="Times" w:hAnsi="Times"/>
          <w:b/>
          <w:bCs/>
          <w:color w:val="000000" w:themeColor="text1"/>
        </w:rPr>
        <w:t>Institutional Capacity in R&amp;D and Innovation</w:t>
      </w:r>
    </w:p>
    <w:p w14:paraId="2D2AFA3C" w14:textId="0DBD0905" w:rsidR="00F0550F" w:rsidRPr="00C23102" w:rsidRDefault="00F0550F" w:rsidP="009E26EA">
      <w:pPr>
        <w:pStyle w:val="BodyText"/>
        <w:spacing w:after="120" w:line="240" w:lineRule="auto"/>
        <w:ind w:left="0"/>
        <w:jc w:val="left"/>
        <w:rPr>
          <w:rFonts w:ascii="Times" w:hAnsi="Times"/>
          <w:b/>
          <w:bCs/>
          <w:color w:val="000000" w:themeColor="text1"/>
        </w:rPr>
      </w:pPr>
      <w:r w:rsidRPr="00C23102">
        <w:rPr>
          <w:rFonts w:ascii="Times" w:hAnsi="Times"/>
          <w:b/>
          <w:bCs/>
          <w:color w:val="000000" w:themeColor="text1"/>
        </w:rPr>
        <w:t>4.1.1. Academic and Research Infrastructure</w:t>
      </w:r>
    </w:p>
    <w:p w14:paraId="4A6DDC1B" w14:textId="11BACFD9" w:rsidR="00F0550F" w:rsidRPr="00C23102" w:rsidRDefault="00F0550F" w:rsidP="00F44FEC">
      <w:pPr>
        <w:pStyle w:val="BodyText"/>
        <w:spacing w:after="120" w:line="240" w:lineRule="auto"/>
        <w:ind w:left="0" w:firstLine="567"/>
        <w:rPr>
          <w:rFonts w:ascii="Times" w:hAnsi="Times"/>
          <w:color w:val="050505"/>
        </w:rPr>
      </w:pPr>
      <w:r w:rsidRPr="00C23102">
        <w:rPr>
          <w:rFonts w:ascii="Times" w:hAnsi="Times"/>
          <w:color w:val="050505"/>
        </w:rPr>
        <w:t xml:space="preserve">Academic units constitute one of the most basic elements of the innovation ecosystem. The higher the number of universities and other academic units in a region, the stronger the infrastructure for innovation studies. However, the number alone is not a sufficient indicator. Besides the number, the quality of the academic units is also extremely important. There are state and foundation universities that carry out education, training and research activities in every region of Turkey. Regions should create an effective synergy with these units and other relevant non-governmental organizations such as </w:t>
      </w:r>
      <w:r w:rsidR="00E46645" w:rsidRPr="00C23102">
        <w:rPr>
          <w:rFonts w:ascii="Times" w:hAnsi="Times"/>
          <w:color w:val="050505"/>
        </w:rPr>
        <w:t>professional organisations</w:t>
      </w:r>
      <w:r w:rsidRPr="00C23102">
        <w:rPr>
          <w:rFonts w:ascii="Times" w:hAnsi="Times"/>
          <w:color w:val="050505"/>
        </w:rPr>
        <w:t xml:space="preserve"> that are other units of innovation, research centers and foundations and associations </w:t>
      </w:r>
      <w:r w:rsidR="000F137F" w:rsidRPr="00C23102">
        <w:rPr>
          <w:rFonts w:ascii="Times" w:hAnsi="Times"/>
          <w:color w:val="050505"/>
        </w:rPr>
        <w:t>to</w:t>
      </w:r>
      <w:r w:rsidRPr="00C23102">
        <w:rPr>
          <w:rFonts w:ascii="Times" w:hAnsi="Times"/>
          <w:color w:val="050505"/>
        </w:rPr>
        <w:t xml:space="preserve"> increase their innovation </w:t>
      </w:r>
      <w:r w:rsidR="000F137F" w:rsidRPr="00C23102">
        <w:rPr>
          <w:rFonts w:ascii="Times" w:hAnsi="Times"/>
          <w:color w:val="050505"/>
        </w:rPr>
        <w:t>characteristics.</w:t>
      </w:r>
      <w:r w:rsidR="00B712B1" w:rsidRPr="00C23102">
        <w:rPr>
          <w:rFonts w:ascii="Times" w:hAnsi="Times"/>
          <w:color w:val="050505"/>
        </w:rPr>
        <w:t xml:space="preserve"> </w:t>
      </w:r>
      <w:r w:rsidRPr="00C23102">
        <w:rPr>
          <w:rFonts w:ascii="Times" w:hAnsi="Times"/>
          <w:color w:val="000000" w:themeColor="text1"/>
        </w:rPr>
        <w:t xml:space="preserve">While analysing the current situation of academic and research infrastructure, primarily the distribution of units in the universities in Samsun was examined. There are a total of </w:t>
      </w:r>
      <w:r w:rsidR="00CA5DA7" w:rsidRPr="00C23102">
        <w:rPr>
          <w:rFonts w:ascii="Times" w:hAnsi="Times"/>
          <w:color w:val="000000" w:themeColor="text1"/>
        </w:rPr>
        <w:t>2</w:t>
      </w:r>
      <w:r w:rsidRPr="00C23102">
        <w:rPr>
          <w:rFonts w:ascii="Times" w:hAnsi="Times"/>
          <w:color w:val="000000" w:themeColor="text1"/>
        </w:rPr>
        <w:t xml:space="preserve"> universities actively operating in Samsun, all of which are state universities. Ondokuz</w:t>
      </w:r>
      <w:r w:rsidR="00CA5DA7" w:rsidRPr="00C23102">
        <w:rPr>
          <w:rFonts w:ascii="Times" w:hAnsi="Times"/>
          <w:color w:val="000000" w:themeColor="text1"/>
        </w:rPr>
        <w:t xml:space="preserve"> </w:t>
      </w:r>
      <w:r w:rsidR="00044B5F" w:rsidRPr="00C23102">
        <w:rPr>
          <w:rFonts w:ascii="Times" w:hAnsi="Times"/>
          <w:color w:val="000000" w:themeColor="text1"/>
        </w:rPr>
        <w:t>Mayis</w:t>
      </w:r>
      <w:r w:rsidRPr="00C23102">
        <w:rPr>
          <w:rFonts w:ascii="Times" w:hAnsi="Times"/>
          <w:color w:val="000000" w:themeColor="text1"/>
        </w:rPr>
        <w:t xml:space="preserve"> University was founded in 1975 and is the oldest and well-established university in the city.</w:t>
      </w:r>
      <w:r w:rsidR="005A5731" w:rsidRPr="00C23102">
        <w:rPr>
          <w:rFonts w:ascii="Times" w:hAnsi="Times"/>
          <w:color w:val="000000" w:themeColor="text1"/>
        </w:rPr>
        <w:t xml:space="preserve"> </w:t>
      </w:r>
      <w:r w:rsidRPr="00C23102">
        <w:rPr>
          <w:rFonts w:ascii="Times" w:hAnsi="Times"/>
          <w:color w:val="000000" w:themeColor="text1"/>
        </w:rPr>
        <w:t xml:space="preserve">Later, Samsun University was established in 2019. There are </w:t>
      </w:r>
      <w:r w:rsidR="009946C4" w:rsidRPr="00C23102">
        <w:rPr>
          <w:rFonts w:ascii="Times" w:hAnsi="Times"/>
          <w:color w:val="000000" w:themeColor="text1"/>
        </w:rPr>
        <w:t>23</w:t>
      </w:r>
      <w:r w:rsidRPr="00C23102">
        <w:rPr>
          <w:rFonts w:ascii="Times" w:hAnsi="Times"/>
          <w:color w:val="000000" w:themeColor="text1"/>
        </w:rPr>
        <w:t xml:space="preserve"> faculties, 3 institutes</w:t>
      </w:r>
      <w:r w:rsidR="000F137F" w:rsidRPr="00C23102">
        <w:rPr>
          <w:rFonts w:ascii="Times" w:hAnsi="Times"/>
          <w:color w:val="000000" w:themeColor="text1"/>
        </w:rPr>
        <w:t>,</w:t>
      </w:r>
      <w:r w:rsidRPr="00C23102">
        <w:rPr>
          <w:rFonts w:ascii="Times" w:hAnsi="Times"/>
          <w:color w:val="000000" w:themeColor="text1"/>
        </w:rPr>
        <w:t xml:space="preserve"> </w:t>
      </w:r>
      <w:r w:rsidR="000F137F" w:rsidRPr="00C23102">
        <w:rPr>
          <w:rFonts w:ascii="Times" w:hAnsi="Times"/>
          <w:color w:val="000000" w:themeColor="text1"/>
        </w:rPr>
        <w:t>1</w:t>
      </w:r>
      <w:r w:rsidR="009946C4" w:rsidRPr="00C23102">
        <w:rPr>
          <w:rFonts w:ascii="Times" w:hAnsi="Times"/>
          <w:color w:val="000000" w:themeColor="text1"/>
        </w:rPr>
        <w:t>3</w:t>
      </w:r>
      <w:r w:rsidRPr="00C23102">
        <w:rPr>
          <w:rFonts w:ascii="Times" w:hAnsi="Times"/>
          <w:color w:val="000000" w:themeColor="text1"/>
        </w:rPr>
        <w:t xml:space="preserve"> </w:t>
      </w:r>
      <w:r w:rsidR="000F137F" w:rsidRPr="00C23102">
        <w:rPr>
          <w:rFonts w:ascii="Times" w:hAnsi="Times"/>
          <w:color w:val="000000" w:themeColor="text1"/>
        </w:rPr>
        <w:t>vocational school</w:t>
      </w:r>
      <w:r w:rsidRPr="00C23102">
        <w:rPr>
          <w:rFonts w:ascii="Times" w:hAnsi="Times"/>
          <w:color w:val="000000" w:themeColor="text1"/>
        </w:rPr>
        <w:t>s</w:t>
      </w:r>
      <w:r w:rsidR="000F137F" w:rsidRPr="00C23102">
        <w:rPr>
          <w:rFonts w:ascii="Times" w:hAnsi="Times"/>
          <w:color w:val="000000" w:themeColor="text1"/>
        </w:rPr>
        <w:t xml:space="preserve"> and 32 research and application centers </w:t>
      </w:r>
      <w:r w:rsidRPr="00C23102">
        <w:rPr>
          <w:rFonts w:ascii="Times" w:hAnsi="Times"/>
          <w:color w:val="000000" w:themeColor="text1"/>
        </w:rPr>
        <w:t xml:space="preserve">within the universities in Samsun. Analysing the number of faculties, institutes, colleges, research and application centers and departments, </w:t>
      </w:r>
      <w:r w:rsidR="00CA5DA7" w:rsidRPr="00C23102">
        <w:rPr>
          <w:rFonts w:ascii="Times" w:hAnsi="Times"/>
          <w:color w:val="000000" w:themeColor="text1"/>
        </w:rPr>
        <w:t xml:space="preserve">Ondokuz </w:t>
      </w:r>
      <w:r w:rsidR="00044B5F" w:rsidRPr="00C23102">
        <w:rPr>
          <w:rFonts w:ascii="Times" w:hAnsi="Times"/>
          <w:color w:val="000000" w:themeColor="text1"/>
        </w:rPr>
        <w:t>Mayis</w:t>
      </w:r>
      <w:r w:rsidRPr="00C23102">
        <w:rPr>
          <w:rFonts w:ascii="Times" w:hAnsi="Times"/>
          <w:color w:val="000000" w:themeColor="text1"/>
        </w:rPr>
        <w:t xml:space="preserve"> University ranks </w:t>
      </w:r>
      <w:r w:rsidR="000F137F" w:rsidRPr="00C23102">
        <w:rPr>
          <w:rFonts w:ascii="Times" w:hAnsi="Times"/>
          <w:color w:val="000000" w:themeColor="text1"/>
        </w:rPr>
        <w:t>first,</w:t>
      </w:r>
      <w:r w:rsidRPr="00C23102">
        <w:rPr>
          <w:rFonts w:ascii="Times" w:hAnsi="Times"/>
          <w:color w:val="000000" w:themeColor="text1"/>
        </w:rPr>
        <w:t xml:space="preserve"> and Samsun University ranks second (Table </w:t>
      </w:r>
      <w:r w:rsidR="00E1251B" w:rsidRPr="00C23102">
        <w:rPr>
          <w:rFonts w:ascii="Times" w:hAnsi="Times"/>
          <w:color w:val="000000" w:themeColor="text1"/>
        </w:rPr>
        <w:t>4</w:t>
      </w:r>
      <w:r w:rsidR="00044B5F" w:rsidRPr="00C23102">
        <w:rPr>
          <w:rFonts w:ascii="Times" w:hAnsi="Times"/>
          <w:color w:val="000000" w:themeColor="text1"/>
        </w:rPr>
        <w:t>).</w:t>
      </w:r>
    </w:p>
    <w:p w14:paraId="4B22F5F3" w14:textId="5FCB343F" w:rsidR="0047657A" w:rsidRPr="00C23102" w:rsidRDefault="0047657A" w:rsidP="00F44FEC">
      <w:pPr>
        <w:spacing w:before="240" w:after="120" w:line="240" w:lineRule="auto"/>
        <w:ind w:left="0"/>
        <w:jc w:val="center"/>
        <w:rPr>
          <w:rFonts w:ascii="Times" w:hAnsi="Times"/>
          <w:b/>
          <w:bCs/>
          <w:color w:val="000000" w:themeColor="text1"/>
          <w:sz w:val="24"/>
          <w:szCs w:val="24"/>
        </w:rPr>
      </w:pPr>
      <w:r w:rsidRPr="00C23102">
        <w:rPr>
          <w:rFonts w:ascii="Times" w:hAnsi="Times"/>
          <w:b/>
          <w:bCs/>
          <w:color w:val="000000" w:themeColor="text1"/>
          <w:sz w:val="24"/>
          <w:szCs w:val="24"/>
        </w:rPr>
        <w:t xml:space="preserve">Table 4. </w:t>
      </w:r>
      <w:bookmarkStart w:id="17" w:name="_Hlk74775366"/>
      <w:r w:rsidRPr="00C23102">
        <w:rPr>
          <w:rFonts w:ascii="Times" w:hAnsi="Times"/>
          <w:b/>
          <w:bCs/>
          <w:color w:val="000000" w:themeColor="text1"/>
          <w:sz w:val="24"/>
          <w:szCs w:val="24"/>
        </w:rPr>
        <w:t>Number of Units in Universities in Samsun Province</w:t>
      </w:r>
      <w:bookmarkEnd w:id="17"/>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701"/>
        <w:gridCol w:w="1340"/>
        <w:gridCol w:w="1276"/>
      </w:tblGrid>
      <w:tr w:rsidR="00E1251B" w:rsidRPr="00C23102" w14:paraId="5D21B4FB" w14:textId="77777777" w:rsidTr="00223FF3">
        <w:trPr>
          <w:jc w:val="center"/>
        </w:trPr>
        <w:tc>
          <w:tcPr>
            <w:tcW w:w="3402" w:type="dxa"/>
            <w:tcBorders>
              <w:top w:val="single" w:sz="4" w:space="0" w:color="auto"/>
              <w:bottom w:val="single" w:sz="4" w:space="0" w:color="auto"/>
            </w:tcBorders>
          </w:tcPr>
          <w:p w14:paraId="78E74A25" w14:textId="1CFA2C0C" w:rsidR="00E1251B" w:rsidRPr="00C23102" w:rsidRDefault="00E1251B" w:rsidP="009E26EA">
            <w:pPr>
              <w:jc w:val="left"/>
              <w:rPr>
                <w:rFonts w:ascii="Times" w:hAnsi="Times"/>
                <w:b/>
                <w:bCs/>
                <w:sz w:val="24"/>
                <w:szCs w:val="24"/>
              </w:rPr>
            </w:pPr>
            <w:r w:rsidRPr="00C23102">
              <w:rPr>
                <w:rFonts w:ascii="Times" w:hAnsi="Times"/>
                <w:b/>
                <w:bCs/>
                <w:sz w:val="24"/>
                <w:szCs w:val="24"/>
              </w:rPr>
              <w:t>Units</w:t>
            </w:r>
          </w:p>
        </w:tc>
        <w:tc>
          <w:tcPr>
            <w:tcW w:w="1701" w:type="dxa"/>
            <w:tcBorders>
              <w:top w:val="single" w:sz="4" w:space="0" w:color="auto"/>
              <w:bottom w:val="single" w:sz="4" w:space="0" w:color="auto"/>
            </w:tcBorders>
          </w:tcPr>
          <w:p w14:paraId="5C14531E" w14:textId="74CFC2C5" w:rsidR="00E1251B" w:rsidRPr="00C23102" w:rsidRDefault="00CA5DA7" w:rsidP="009E26EA">
            <w:pPr>
              <w:jc w:val="left"/>
              <w:rPr>
                <w:rFonts w:ascii="Times" w:hAnsi="Times"/>
                <w:b/>
                <w:bCs/>
                <w:sz w:val="24"/>
                <w:szCs w:val="24"/>
              </w:rPr>
            </w:pPr>
            <w:r w:rsidRPr="00C23102">
              <w:rPr>
                <w:rFonts w:ascii="Times" w:hAnsi="Times"/>
                <w:b/>
                <w:bCs/>
                <w:sz w:val="24"/>
                <w:szCs w:val="24"/>
              </w:rPr>
              <w:t xml:space="preserve">Ondokuz </w:t>
            </w:r>
            <w:r w:rsidR="00044B5F" w:rsidRPr="00C23102">
              <w:rPr>
                <w:rFonts w:ascii="Times" w:hAnsi="Times"/>
                <w:b/>
                <w:bCs/>
                <w:sz w:val="24"/>
                <w:szCs w:val="24"/>
              </w:rPr>
              <w:t>Mayis</w:t>
            </w:r>
            <w:r w:rsidR="00E1251B" w:rsidRPr="00C23102">
              <w:rPr>
                <w:rFonts w:ascii="Times" w:hAnsi="Times"/>
                <w:b/>
                <w:bCs/>
                <w:sz w:val="24"/>
                <w:szCs w:val="24"/>
              </w:rPr>
              <w:t xml:space="preserve"> University</w:t>
            </w:r>
          </w:p>
        </w:tc>
        <w:tc>
          <w:tcPr>
            <w:tcW w:w="1340" w:type="dxa"/>
            <w:tcBorders>
              <w:top w:val="single" w:sz="4" w:space="0" w:color="auto"/>
              <w:bottom w:val="single" w:sz="4" w:space="0" w:color="auto"/>
            </w:tcBorders>
          </w:tcPr>
          <w:p w14:paraId="12C59279" w14:textId="35D0782F" w:rsidR="00E1251B" w:rsidRPr="00C23102" w:rsidRDefault="00E1251B" w:rsidP="009E26EA">
            <w:pPr>
              <w:jc w:val="left"/>
              <w:rPr>
                <w:rFonts w:ascii="Times" w:hAnsi="Times"/>
                <w:b/>
                <w:bCs/>
                <w:sz w:val="24"/>
                <w:szCs w:val="24"/>
              </w:rPr>
            </w:pPr>
            <w:r w:rsidRPr="00C23102">
              <w:rPr>
                <w:rFonts w:ascii="Times" w:hAnsi="Times"/>
                <w:b/>
                <w:bCs/>
                <w:sz w:val="24"/>
                <w:szCs w:val="24"/>
              </w:rPr>
              <w:t>Samsun University</w:t>
            </w:r>
          </w:p>
        </w:tc>
        <w:tc>
          <w:tcPr>
            <w:tcW w:w="1276" w:type="dxa"/>
            <w:tcBorders>
              <w:top w:val="single" w:sz="4" w:space="0" w:color="auto"/>
              <w:bottom w:val="single" w:sz="4" w:space="0" w:color="auto"/>
            </w:tcBorders>
          </w:tcPr>
          <w:p w14:paraId="4090E700" w14:textId="199F7652" w:rsidR="00E1251B" w:rsidRPr="00C23102" w:rsidRDefault="00E1251B" w:rsidP="009E26EA">
            <w:pPr>
              <w:jc w:val="left"/>
              <w:rPr>
                <w:rFonts w:ascii="Times" w:hAnsi="Times"/>
                <w:b/>
                <w:bCs/>
                <w:sz w:val="24"/>
                <w:szCs w:val="24"/>
              </w:rPr>
            </w:pPr>
            <w:r w:rsidRPr="00C23102">
              <w:rPr>
                <w:rFonts w:ascii="Times" w:hAnsi="Times"/>
                <w:b/>
                <w:bCs/>
                <w:sz w:val="24"/>
                <w:szCs w:val="24"/>
              </w:rPr>
              <w:t>Total</w:t>
            </w:r>
          </w:p>
        </w:tc>
      </w:tr>
      <w:tr w:rsidR="00E1251B" w:rsidRPr="00C23102" w14:paraId="4B4E8C3C" w14:textId="7D267943" w:rsidTr="00223FF3">
        <w:trPr>
          <w:jc w:val="center"/>
        </w:trPr>
        <w:tc>
          <w:tcPr>
            <w:tcW w:w="3402" w:type="dxa"/>
            <w:tcBorders>
              <w:top w:val="single" w:sz="4" w:space="0" w:color="auto"/>
            </w:tcBorders>
          </w:tcPr>
          <w:p w14:paraId="7FB21744" w14:textId="0A6F905F" w:rsidR="00E1251B" w:rsidRPr="00C23102" w:rsidRDefault="00E1251B" w:rsidP="009E26EA">
            <w:pPr>
              <w:jc w:val="left"/>
              <w:rPr>
                <w:rFonts w:ascii="Times" w:hAnsi="Times"/>
                <w:sz w:val="24"/>
                <w:szCs w:val="24"/>
              </w:rPr>
            </w:pPr>
            <w:r w:rsidRPr="00C23102">
              <w:rPr>
                <w:rFonts w:ascii="Times" w:hAnsi="Times"/>
                <w:sz w:val="24"/>
                <w:szCs w:val="24"/>
              </w:rPr>
              <w:t>Faculty</w:t>
            </w:r>
          </w:p>
        </w:tc>
        <w:tc>
          <w:tcPr>
            <w:tcW w:w="1701" w:type="dxa"/>
            <w:tcBorders>
              <w:top w:val="single" w:sz="4" w:space="0" w:color="auto"/>
            </w:tcBorders>
          </w:tcPr>
          <w:p w14:paraId="6E339100" w14:textId="1028DADB" w:rsidR="00E1251B" w:rsidRPr="00C23102" w:rsidRDefault="00EE4A81" w:rsidP="009E26EA">
            <w:pPr>
              <w:jc w:val="left"/>
              <w:rPr>
                <w:rFonts w:ascii="Times" w:hAnsi="Times"/>
                <w:sz w:val="24"/>
                <w:szCs w:val="24"/>
              </w:rPr>
            </w:pPr>
            <w:r w:rsidRPr="00C23102">
              <w:rPr>
                <w:rFonts w:ascii="Times" w:hAnsi="Times"/>
                <w:sz w:val="24"/>
                <w:szCs w:val="24"/>
              </w:rPr>
              <w:t>18</w:t>
            </w:r>
          </w:p>
        </w:tc>
        <w:tc>
          <w:tcPr>
            <w:tcW w:w="1340" w:type="dxa"/>
            <w:tcBorders>
              <w:top w:val="single" w:sz="4" w:space="0" w:color="auto"/>
            </w:tcBorders>
          </w:tcPr>
          <w:p w14:paraId="065BFED2" w14:textId="2D25BE1E" w:rsidR="00E1251B" w:rsidRPr="00C23102" w:rsidRDefault="00EE4A81" w:rsidP="009E26EA">
            <w:pPr>
              <w:jc w:val="left"/>
              <w:rPr>
                <w:rFonts w:ascii="Times" w:hAnsi="Times"/>
                <w:sz w:val="24"/>
                <w:szCs w:val="24"/>
              </w:rPr>
            </w:pPr>
            <w:r w:rsidRPr="00C23102">
              <w:rPr>
                <w:rFonts w:ascii="Times" w:hAnsi="Times"/>
                <w:sz w:val="24"/>
                <w:szCs w:val="24"/>
              </w:rPr>
              <w:t>5</w:t>
            </w:r>
          </w:p>
        </w:tc>
        <w:tc>
          <w:tcPr>
            <w:tcW w:w="1276" w:type="dxa"/>
            <w:tcBorders>
              <w:top w:val="single" w:sz="4" w:space="0" w:color="auto"/>
            </w:tcBorders>
          </w:tcPr>
          <w:p w14:paraId="4426E9E1" w14:textId="600511F4" w:rsidR="00E1251B" w:rsidRPr="00C23102" w:rsidRDefault="009946C4" w:rsidP="009E26EA">
            <w:pPr>
              <w:jc w:val="left"/>
              <w:rPr>
                <w:rFonts w:ascii="Times" w:hAnsi="Times"/>
                <w:sz w:val="24"/>
                <w:szCs w:val="24"/>
              </w:rPr>
            </w:pPr>
            <w:r w:rsidRPr="00C23102">
              <w:rPr>
                <w:rFonts w:ascii="Times" w:hAnsi="Times"/>
                <w:sz w:val="24"/>
                <w:szCs w:val="24"/>
              </w:rPr>
              <w:t>23</w:t>
            </w:r>
          </w:p>
        </w:tc>
      </w:tr>
      <w:tr w:rsidR="00E1251B" w:rsidRPr="00C23102" w14:paraId="0299C800" w14:textId="517792CB" w:rsidTr="00223FF3">
        <w:trPr>
          <w:jc w:val="center"/>
        </w:trPr>
        <w:tc>
          <w:tcPr>
            <w:tcW w:w="3402" w:type="dxa"/>
          </w:tcPr>
          <w:p w14:paraId="4142CEAE" w14:textId="740FAB0D" w:rsidR="00E1251B" w:rsidRPr="00C23102" w:rsidRDefault="00E1251B" w:rsidP="009E26EA">
            <w:pPr>
              <w:jc w:val="left"/>
              <w:rPr>
                <w:rFonts w:ascii="Times" w:hAnsi="Times"/>
                <w:sz w:val="24"/>
                <w:szCs w:val="24"/>
              </w:rPr>
            </w:pPr>
            <w:r w:rsidRPr="00C23102">
              <w:rPr>
                <w:rFonts w:ascii="Times" w:hAnsi="Times"/>
                <w:sz w:val="24"/>
                <w:szCs w:val="24"/>
              </w:rPr>
              <w:t>Institute</w:t>
            </w:r>
          </w:p>
        </w:tc>
        <w:tc>
          <w:tcPr>
            <w:tcW w:w="1701" w:type="dxa"/>
          </w:tcPr>
          <w:p w14:paraId="3AFFCE4A" w14:textId="0A60C26D" w:rsidR="00E1251B" w:rsidRPr="00C23102" w:rsidRDefault="00EE4A81" w:rsidP="009E26EA">
            <w:pPr>
              <w:jc w:val="left"/>
              <w:rPr>
                <w:rFonts w:ascii="Times" w:hAnsi="Times"/>
                <w:sz w:val="24"/>
                <w:szCs w:val="24"/>
              </w:rPr>
            </w:pPr>
            <w:r w:rsidRPr="00C23102">
              <w:rPr>
                <w:rFonts w:ascii="Times" w:hAnsi="Times"/>
                <w:sz w:val="24"/>
                <w:szCs w:val="24"/>
              </w:rPr>
              <w:t>2</w:t>
            </w:r>
          </w:p>
        </w:tc>
        <w:tc>
          <w:tcPr>
            <w:tcW w:w="1340" w:type="dxa"/>
          </w:tcPr>
          <w:p w14:paraId="74DF2C49" w14:textId="1BFB4F9B" w:rsidR="00E1251B" w:rsidRPr="00C23102" w:rsidRDefault="00EE4A81" w:rsidP="009E26EA">
            <w:pPr>
              <w:jc w:val="left"/>
              <w:rPr>
                <w:rFonts w:ascii="Times" w:hAnsi="Times"/>
                <w:sz w:val="24"/>
                <w:szCs w:val="24"/>
              </w:rPr>
            </w:pPr>
            <w:r w:rsidRPr="00C23102">
              <w:rPr>
                <w:rFonts w:ascii="Times" w:hAnsi="Times"/>
                <w:sz w:val="24"/>
                <w:szCs w:val="24"/>
              </w:rPr>
              <w:t>1</w:t>
            </w:r>
          </w:p>
        </w:tc>
        <w:tc>
          <w:tcPr>
            <w:tcW w:w="1276" w:type="dxa"/>
          </w:tcPr>
          <w:p w14:paraId="7A870204" w14:textId="3D8E9874" w:rsidR="00E1251B" w:rsidRPr="00C23102" w:rsidRDefault="009946C4" w:rsidP="009E26EA">
            <w:pPr>
              <w:jc w:val="left"/>
              <w:rPr>
                <w:rFonts w:ascii="Times" w:hAnsi="Times"/>
                <w:sz w:val="24"/>
                <w:szCs w:val="24"/>
              </w:rPr>
            </w:pPr>
            <w:r w:rsidRPr="00C23102">
              <w:rPr>
                <w:rFonts w:ascii="Times" w:hAnsi="Times"/>
                <w:sz w:val="24"/>
                <w:szCs w:val="24"/>
              </w:rPr>
              <w:t>3</w:t>
            </w:r>
          </w:p>
        </w:tc>
      </w:tr>
      <w:tr w:rsidR="00E1251B" w:rsidRPr="00C23102" w14:paraId="34FB0FAA" w14:textId="14180466" w:rsidTr="00223FF3">
        <w:trPr>
          <w:jc w:val="center"/>
        </w:trPr>
        <w:tc>
          <w:tcPr>
            <w:tcW w:w="3402" w:type="dxa"/>
          </w:tcPr>
          <w:p w14:paraId="609A56AE" w14:textId="6CC3521A" w:rsidR="00E1251B" w:rsidRPr="00C23102" w:rsidRDefault="00E1251B" w:rsidP="009E26EA">
            <w:pPr>
              <w:jc w:val="left"/>
              <w:rPr>
                <w:rFonts w:ascii="Times" w:hAnsi="Times"/>
                <w:sz w:val="24"/>
                <w:szCs w:val="24"/>
              </w:rPr>
            </w:pPr>
            <w:r w:rsidRPr="00C23102">
              <w:rPr>
                <w:rFonts w:ascii="Times" w:hAnsi="Times"/>
                <w:sz w:val="24"/>
                <w:szCs w:val="24"/>
              </w:rPr>
              <w:t>College</w:t>
            </w:r>
          </w:p>
        </w:tc>
        <w:tc>
          <w:tcPr>
            <w:tcW w:w="1701" w:type="dxa"/>
          </w:tcPr>
          <w:p w14:paraId="1BFC3146" w14:textId="3D0F9249" w:rsidR="00E1251B" w:rsidRPr="00C23102" w:rsidRDefault="00EE4A81" w:rsidP="009E26EA">
            <w:pPr>
              <w:jc w:val="left"/>
              <w:rPr>
                <w:rFonts w:ascii="Times" w:hAnsi="Times"/>
                <w:sz w:val="24"/>
                <w:szCs w:val="24"/>
              </w:rPr>
            </w:pPr>
            <w:r w:rsidRPr="00C23102">
              <w:rPr>
                <w:rFonts w:ascii="Times" w:hAnsi="Times"/>
                <w:sz w:val="24"/>
                <w:szCs w:val="24"/>
              </w:rPr>
              <w:t>2</w:t>
            </w:r>
          </w:p>
        </w:tc>
        <w:tc>
          <w:tcPr>
            <w:tcW w:w="1340" w:type="dxa"/>
          </w:tcPr>
          <w:p w14:paraId="579E3014" w14:textId="1329A475" w:rsidR="00E1251B" w:rsidRPr="00C23102" w:rsidRDefault="00EE4A81" w:rsidP="009E26EA">
            <w:pPr>
              <w:jc w:val="left"/>
              <w:rPr>
                <w:rFonts w:ascii="Times" w:hAnsi="Times"/>
                <w:sz w:val="24"/>
                <w:szCs w:val="24"/>
              </w:rPr>
            </w:pPr>
            <w:r w:rsidRPr="00C23102">
              <w:rPr>
                <w:rFonts w:ascii="Times" w:hAnsi="Times"/>
                <w:sz w:val="24"/>
                <w:szCs w:val="24"/>
              </w:rPr>
              <w:t>1</w:t>
            </w:r>
          </w:p>
        </w:tc>
        <w:tc>
          <w:tcPr>
            <w:tcW w:w="1276" w:type="dxa"/>
          </w:tcPr>
          <w:p w14:paraId="5383578D" w14:textId="227B79AD" w:rsidR="00E1251B" w:rsidRPr="00C23102" w:rsidRDefault="009946C4" w:rsidP="009E26EA">
            <w:pPr>
              <w:jc w:val="left"/>
              <w:rPr>
                <w:rFonts w:ascii="Times" w:hAnsi="Times"/>
                <w:sz w:val="24"/>
                <w:szCs w:val="24"/>
              </w:rPr>
            </w:pPr>
            <w:r w:rsidRPr="00C23102">
              <w:rPr>
                <w:rFonts w:ascii="Times" w:hAnsi="Times"/>
                <w:sz w:val="24"/>
                <w:szCs w:val="24"/>
              </w:rPr>
              <w:t>3</w:t>
            </w:r>
          </w:p>
        </w:tc>
      </w:tr>
      <w:tr w:rsidR="00E1251B" w:rsidRPr="00C23102" w14:paraId="294FB130" w14:textId="1818B360" w:rsidTr="00223FF3">
        <w:trPr>
          <w:jc w:val="center"/>
        </w:trPr>
        <w:tc>
          <w:tcPr>
            <w:tcW w:w="3402" w:type="dxa"/>
          </w:tcPr>
          <w:p w14:paraId="1E94C04E" w14:textId="055EBBC8" w:rsidR="00E1251B" w:rsidRPr="00C23102" w:rsidRDefault="00E1251B" w:rsidP="009E26EA">
            <w:pPr>
              <w:jc w:val="left"/>
              <w:rPr>
                <w:rFonts w:ascii="Times" w:hAnsi="Times"/>
                <w:sz w:val="24"/>
                <w:szCs w:val="24"/>
              </w:rPr>
            </w:pPr>
            <w:bookmarkStart w:id="18" w:name="_Hlk73383665"/>
            <w:r w:rsidRPr="00C23102">
              <w:rPr>
                <w:rFonts w:ascii="Times" w:hAnsi="Times"/>
                <w:sz w:val="24"/>
                <w:szCs w:val="24"/>
              </w:rPr>
              <w:t>Vocational School</w:t>
            </w:r>
            <w:bookmarkEnd w:id="18"/>
          </w:p>
        </w:tc>
        <w:tc>
          <w:tcPr>
            <w:tcW w:w="1701" w:type="dxa"/>
          </w:tcPr>
          <w:p w14:paraId="4BA2381E" w14:textId="56CA7598" w:rsidR="00E1251B" w:rsidRPr="00C23102" w:rsidRDefault="00EE4A81" w:rsidP="009E26EA">
            <w:pPr>
              <w:jc w:val="left"/>
              <w:rPr>
                <w:rFonts w:ascii="Times" w:hAnsi="Times"/>
                <w:sz w:val="24"/>
                <w:szCs w:val="24"/>
              </w:rPr>
            </w:pPr>
            <w:r w:rsidRPr="00C23102">
              <w:rPr>
                <w:rFonts w:ascii="Times" w:hAnsi="Times"/>
                <w:sz w:val="24"/>
                <w:szCs w:val="24"/>
              </w:rPr>
              <w:t>12</w:t>
            </w:r>
          </w:p>
        </w:tc>
        <w:tc>
          <w:tcPr>
            <w:tcW w:w="1340" w:type="dxa"/>
          </w:tcPr>
          <w:p w14:paraId="30922CA0" w14:textId="3F96EA5B" w:rsidR="00E1251B" w:rsidRPr="00C23102" w:rsidRDefault="00EE4A81" w:rsidP="009E26EA">
            <w:pPr>
              <w:jc w:val="left"/>
              <w:rPr>
                <w:rFonts w:ascii="Times" w:hAnsi="Times"/>
                <w:sz w:val="24"/>
                <w:szCs w:val="24"/>
              </w:rPr>
            </w:pPr>
            <w:r w:rsidRPr="00C23102">
              <w:rPr>
                <w:rFonts w:ascii="Times" w:hAnsi="Times"/>
                <w:sz w:val="24"/>
                <w:szCs w:val="24"/>
              </w:rPr>
              <w:t>1</w:t>
            </w:r>
          </w:p>
        </w:tc>
        <w:tc>
          <w:tcPr>
            <w:tcW w:w="1276" w:type="dxa"/>
          </w:tcPr>
          <w:p w14:paraId="760BFE13" w14:textId="398F5BA4" w:rsidR="00E1251B" w:rsidRPr="00C23102" w:rsidRDefault="009946C4" w:rsidP="009E26EA">
            <w:pPr>
              <w:jc w:val="left"/>
              <w:rPr>
                <w:rFonts w:ascii="Times" w:hAnsi="Times"/>
                <w:sz w:val="24"/>
                <w:szCs w:val="24"/>
              </w:rPr>
            </w:pPr>
            <w:r w:rsidRPr="00C23102">
              <w:rPr>
                <w:rFonts w:ascii="Times" w:hAnsi="Times"/>
                <w:sz w:val="24"/>
                <w:szCs w:val="24"/>
              </w:rPr>
              <w:t>13</w:t>
            </w:r>
          </w:p>
        </w:tc>
      </w:tr>
      <w:tr w:rsidR="00E1251B" w:rsidRPr="00C23102" w14:paraId="02603896" w14:textId="30C334B6" w:rsidTr="00223FF3">
        <w:trPr>
          <w:jc w:val="center"/>
        </w:trPr>
        <w:tc>
          <w:tcPr>
            <w:tcW w:w="3402" w:type="dxa"/>
          </w:tcPr>
          <w:p w14:paraId="714D538E" w14:textId="3DA499D3" w:rsidR="00E1251B" w:rsidRPr="00C23102" w:rsidRDefault="00E1251B" w:rsidP="009E26EA">
            <w:pPr>
              <w:jc w:val="left"/>
              <w:rPr>
                <w:rFonts w:ascii="Times" w:hAnsi="Times"/>
                <w:sz w:val="24"/>
                <w:szCs w:val="24"/>
              </w:rPr>
            </w:pPr>
            <w:r w:rsidRPr="00C23102">
              <w:rPr>
                <w:rFonts w:ascii="Times" w:hAnsi="Times"/>
                <w:sz w:val="24"/>
                <w:szCs w:val="24"/>
              </w:rPr>
              <w:t>Research and Application Center</w:t>
            </w:r>
          </w:p>
        </w:tc>
        <w:tc>
          <w:tcPr>
            <w:tcW w:w="1701" w:type="dxa"/>
          </w:tcPr>
          <w:p w14:paraId="3E8B559D" w14:textId="4EE0C176" w:rsidR="00E1251B" w:rsidRPr="00C23102" w:rsidRDefault="00EE4A81" w:rsidP="009E26EA">
            <w:pPr>
              <w:jc w:val="left"/>
              <w:rPr>
                <w:rFonts w:ascii="Times" w:hAnsi="Times"/>
                <w:sz w:val="24"/>
                <w:szCs w:val="24"/>
              </w:rPr>
            </w:pPr>
            <w:r w:rsidRPr="00C23102">
              <w:rPr>
                <w:rFonts w:ascii="Times" w:hAnsi="Times"/>
                <w:sz w:val="24"/>
                <w:szCs w:val="24"/>
              </w:rPr>
              <w:t>23</w:t>
            </w:r>
          </w:p>
        </w:tc>
        <w:tc>
          <w:tcPr>
            <w:tcW w:w="1340" w:type="dxa"/>
          </w:tcPr>
          <w:p w14:paraId="4F30B365" w14:textId="1F6AAAE1" w:rsidR="00E1251B" w:rsidRPr="00C23102" w:rsidRDefault="00EE4A81" w:rsidP="009E26EA">
            <w:pPr>
              <w:jc w:val="left"/>
              <w:rPr>
                <w:rFonts w:ascii="Times" w:hAnsi="Times"/>
                <w:sz w:val="24"/>
                <w:szCs w:val="24"/>
              </w:rPr>
            </w:pPr>
            <w:r w:rsidRPr="00C23102">
              <w:rPr>
                <w:rFonts w:ascii="Times" w:hAnsi="Times"/>
                <w:sz w:val="24"/>
                <w:szCs w:val="24"/>
              </w:rPr>
              <w:t>9</w:t>
            </w:r>
          </w:p>
        </w:tc>
        <w:tc>
          <w:tcPr>
            <w:tcW w:w="1276" w:type="dxa"/>
          </w:tcPr>
          <w:p w14:paraId="535E3E8F" w14:textId="6F6ACB87" w:rsidR="00E1251B" w:rsidRPr="00C23102" w:rsidRDefault="009946C4" w:rsidP="009E26EA">
            <w:pPr>
              <w:jc w:val="left"/>
              <w:rPr>
                <w:rFonts w:ascii="Times" w:hAnsi="Times"/>
                <w:sz w:val="24"/>
                <w:szCs w:val="24"/>
              </w:rPr>
            </w:pPr>
            <w:r w:rsidRPr="00C23102">
              <w:rPr>
                <w:rFonts w:ascii="Times" w:hAnsi="Times"/>
                <w:sz w:val="24"/>
                <w:szCs w:val="24"/>
              </w:rPr>
              <w:t>32</w:t>
            </w:r>
          </w:p>
        </w:tc>
      </w:tr>
      <w:tr w:rsidR="00E1251B" w:rsidRPr="00C23102" w14:paraId="482EC2D6" w14:textId="1B6C14B4" w:rsidTr="00223FF3">
        <w:trPr>
          <w:jc w:val="center"/>
        </w:trPr>
        <w:tc>
          <w:tcPr>
            <w:tcW w:w="3402" w:type="dxa"/>
          </w:tcPr>
          <w:p w14:paraId="40679015" w14:textId="2CD9D7CB" w:rsidR="00E1251B" w:rsidRPr="00C23102" w:rsidRDefault="00E1251B" w:rsidP="009E26EA">
            <w:pPr>
              <w:jc w:val="left"/>
              <w:rPr>
                <w:rFonts w:ascii="Times" w:hAnsi="Times"/>
                <w:sz w:val="24"/>
                <w:szCs w:val="24"/>
              </w:rPr>
            </w:pPr>
            <w:r w:rsidRPr="00C23102">
              <w:rPr>
                <w:rFonts w:ascii="Times" w:hAnsi="Times"/>
                <w:sz w:val="24"/>
                <w:szCs w:val="24"/>
              </w:rPr>
              <w:t>Episode</w:t>
            </w:r>
          </w:p>
        </w:tc>
        <w:tc>
          <w:tcPr>
            <w:tcW w:w="1701" w:type="dxa"/>
          </w:tcPr>
          <w:p w14:paraId="600F5B4F" w14:textId="6AEBD30C" w:rsidR="00E1251B" w:rsidRPr="00C23102" w:rsidRDefault="00EE4A81" w:rsidP="009E26EA">
            <w:pPr>
              <w:jc w:val="left"/>
              <w:rPr>
                <w:rFonts w:ascii="Times" w:hAnsi="Times"/>
                <w:sz w:val="24"/>
                <w:szCs w:val="24"/>
              </w:rPr>
            </w:pPr>
            <w:r w:rsidRPr="00C23102">
              <w:rPr>
                <w:rFonts w:ascii="Times" w:hAnsi="Times"/>
                <w:sz w:val="24"/>
                <w:szCs w:val="24"/>
              </w:rPr>
              <w:t>197</w:t>
            </w:r>
          </w:p>
        </w:tc>
        <w:tc>
          <w:tcPr>
            <w:tcW w:w="1340" w:type="dxa"/>
          </w:tcPr>
          <w:p w14:paraId="4AC9820F" w14:textId="7F824296" w:rsidR="00E1251B" w:rsidRPr="00C23102" w:rsidRDefault="00EE4A81" w:rsidP="009E26EA">
            <w:pPr>
              <w:jc w:val="left"/>
              <w:rPr>
                <w:rFonts w:ascii="Times" w:hAnsi="Times"/>
                <w:sz w:val="24"/>
                <w:szCs w:val="24"/>
              </w:rPr>
            </w:pPr>
            <w:r w:rsidRPr="00C23102">
              <w:rPr>
                <w:rFonts w:ascii="Times" w:hAnsi="Times"/>
                <w:sz w:val="24"/>
                <w:szCs w:val="24"/>
              </w:rPr>
              <w:t>50</w:t>
            </w:r>
          </w:p>
        </w:tc>
        <w:tc>
          <w:tcPr>
            <w:tcW w:w="1276" w:type="dxa"/>
          </w:tcPr>
          <w:p w14:paraId="5874A9FA" w14:textId="3E342C9D" w:rsidR="00E1251B" w:rsidRPr="00C23102" w:rsidRDefault="009946C4" w:rsidP="009E26EA">
            <w:pPr>
              <w:jc w:val="left"/>
              <w:rPr>
                <w:rFonts w:ascii="Times" w:hAnsi="Times"/>
                <w:sz w:val="24"/>
                <w:szCs w:val="24"/>
              </w:rPr>
            </w:pPr>
            <w:r w:rsidRPr="00C23102">
              <w:rPr>
                <w:rFonts w:ascii="Times" w:hAnsi="Times"/>
                <w:sz w:val="24"/>
                <w:szCs w:val="24"/>
              </w:rPr>
              <w:t>247</w:t>
            </w:r>
          </w:p>
        </w:tc>
      </w:tr>
      <w:tr w:rsidR="00E1251B" w:rsidRPr="00C23102" w14:paraId="2C969238" w14:textId="1AED4441" w:rsidTr="00223FF3">
        <w:trPr>
          <w:jc w:val="center"/>
        </w:trPr>
        <w:tc>
          <w:tcPr>
            <w:tcW w:w="3402" w:type="dxa"/>
          </w:tcPr>
          <w:p w14:paraId="44F55D1D" w14:textId="3E6452F8" w:rsidR="00E1251B" w:rsidRPr="00C23102" w:rsidRDefault="00E1251B" w:rsidP="009E26EA">
            <w:pPr>
              <w:jc w:val="left"/>
              <w:rPr>
                <w:rFonts w:ascii="Times" w:hAnsi="Times"/>
                <w:sz w:val="24"/>
                <w:szCs w:val="24"/>
              </w:rPr>
            </w:pPr>
            <w:r w:rsidRPr="00C23102">
              <w:rPr>
                <w:rFonts w:ascii="Times" w:hAnsi="Times"/>
                <w:sz w:val="24"/>
                <w:szCs w:val="24"/>
              </w:rPr>
              <w:t>Program</w:t>
            </w:r>
          </w:p>
        </w:tc>
        <w:tc>
          <w:tcPr>
            <w:tcW w:w="1701" w:type="dxa"/>
          </w:tcPr>
          <w:p w14:paraId="1402056B" w14:textId="17F1AE3A" w:rsidR="00E1251B" w:rsidRPr="00C23102" w:rsidRDefault="00EE4A81" w:rsidP="009E26EA">
            <w:pPr>
              <w:jc w:val="left"/>
              <w:rPr>
                <w:rFonts w:ascii="Times" w:hAnsi="Times"/>
                <w:sz w:val="24"/>
                <w:szCs w:val="24"/>
              </w:rPr>
            </w:pPr>
            <w:r w:rsidRPr="00C23102">
              <w:rPr>
                <w:rFonts w:ascii="Times" w:hAnsi="Times"/>
                <w:sz w:val="24"/>
                <w:szCs w:val="24"/>
              </w:rPr>
              <w:t>371</w:t>
            </w:r>
          </w:p>
        </w:tc>
        <w:tc>
          <w:tcPr>
            <w:tcW w:w="1340" w:type="dxa"/>
          </w:tcPr>
          <w:p w14:paraId="2A5DF9D4" w14:textId="2947F19E" w:rsidR="00E1251B" w:rsidRPr="00C23102" w:rsidRDefault="00EE4A81" w:rsidP="009E26EA">
            <w:pPr>
              <w:jc w:val="left"/>
              <w:rPr>
                <w:rFonts w:ascii="Times" w:hAnsi="Times"/>
                <w:sz w:val="24"/>
                <w:szCs w:val="24"/>
              </w:rPr>
            </w:pPr>
            <w:r w:rsidRPr="00C23102">
              <w:rPr>
                <w:rFonts w:ascii="Times" w:hAnsi="Times"/>
                <w:sz w:val="24"/>
                <w:szCs w:val="24"/>
              </w:rPr>
              <w:t>135</w:t>
            </w:r>
          </w:p>
        </w:tc>
        <w:tc>
          <w:tcPr>
            <w:tcW w:w="1276" w:type="dxa"/>
          </w:tcPr>
          <w:p w14:paraId="1F51CA14" w14:textId="189599E9" w:rsidR="00E1251B" w:rsidRPr="00C23102" w:rsidRDefault="009946C4" w:rsidP="009E26EA">
            <w:pPr>
              <w:jc w:val="left"/>
              <w:rPr>
                <w:rFonts w:ascii="Times" w:hAnsi="Times"/>
                <w:sz w:val="24"/>
                <w:szCs w:val="24"/>
              </w:rPr>
            </w:pPr>
            <w:r w:rsidRPr="00C23102">
              <w:rPr>
                <w:rFonts w:ascii="Times" w:hAnsi="Times"/>
                <w:sz w:val="24"/>
                <w:szCs w:val="24"/>
              </w:rPr>
              <w:t>506</w:t>
            </w:r>
          </w:p>
        </w:tc>
      </w:tr>
      <w:tr w:rsidR="00E1251B" w:rsidRPr="00C23102" w14:paraId="5646E384" w14:textId="5408632E" w:rsidTr="00223FF3">
        <w:trPr>
          <w:jc w:val="center"/>
        </w:trPr>
        <w:tc>
          <w:tcPr>
            <w:tcW w:w="3402" w:type="dxa"/>
          </w:tcPr>
          <w:p w14:paraId="27743899" w14:textId="23C5DF61" w:rsidR="00E1251B" w:rsidRPr="00C23102" w:rsidRDefault="00E1251B" w:rsidP="009E26EA">
            <w:pPr>
              <w:jc w:val="left"/>
              <w:rPr>
                <w:rFonts w:ascii="Times" w:hAnsi="Times"/>
                <w:sz w:val="24"/>
                <w:szCs w:val="24"/>
              </w:rPr>
            </w:pPr>
            <w:r w:rsidRPr="00C23102">
              <w:rPr>
                <w:rFonts w:ascii="Times" w:hAnsi="Times"/>
                <w:sz w:val="24"/>
                <w:szCs w:val="24"/>
              </w:rPr>
              <w:t>Department</w:t>
            </w:r>
          </w:p>
        </w:tc>
        <w:tc>
          <w:tcPr>
            <w:tcW w:w="1701" w:type="dxa"/>
          </w:tcPr>
          <w:p w14:paraId="30AC1FA6" w14:textId="3E973FE6" w:rsidR="00E1251B" w:rsidRPr="00C23102" w:rsidRDefault="00EE4A81" w:rsidP="009E26EA">
            <w:pPr>
              <w:jc w:val="left"/>
              <w:rPr>
                <w:rFonts w:ascii="Times" w:hAnsi="Times"/>
                <w:sz w:val="24"/>
                <w:szCs w:val="24"/>
              </w:rPr>
            </w:pPr>
            <w:r w:rsidRPr="00C23102">
              <w:rPr>
                <w:rFonts w:ascii="Times" w:hAnsi="Times"/>
                <w:sz w:val="24"/>
                <w:szCs w:val="24"/>
              </w:rPr>
              <w:t>75</w:t>
            </w:r>
          </w:p>
        </w:tc>
        <w:tc>
          <w:tcPr>
            <w:tcW w:w="1340" w:type="dxa"/>
          </w:tcPr>
          <w:p w14:paraId="051E4E1D" w14:textId="4B7B276E" w:rsidR="00E1251B" w:rsidRPr="00C23102" w:rsidRDefault="00EE4A81" w:rsidP="009E26EA">
            <w:pPr>
              <w:jc w:val="left"/>
              <w:rPr>
                <w:rFonts w:ascii="Times" w:hAnsi="Times"/>
                <w:sz w:val="24"/>
                <w:szCs w:val="24"/>
              </w:rPr>
            </w:pPr>
            <w:r w:rsidRPr="00C23102">
              <w:rPr>
                <w:rFonts w:ascii="Times" w:hAnsi="Times"/>
                <w:sz w:val="24"/>
                <w:szCs w:val="24"/>
              </w:rPr>
              <w:t>0</w:t>
            </w:r>
          </w:p>
        </w:tc>
        <w:tc>
          <w:tcPr>
            <w:tcW w:w="1276" w:type="dxa"/>
          </w:tcPr>
          <w:p w14:paraId="7577199D" w14:textId="72F4212A" w:rsidR="00E1251B" w:rsidRPr="00C23102" w:rsidRDefault="009946C4" w:rsidP="009E26EA">
            <w:pPr>
              <w:jc w:val="left"/>
              <w:rPr>
                <w:rFonts w:ascii="Times" w:hAnsi="Times"/>
                <w:sz w:val="24"/>
                <w:szCs w:val="24"/>
              </w:rPr>
            </w:pPr>
            <w:r w:rsidRPr="00C23102">
              <w:rPr>
                <w:rFonts w:ascii="Times" w:hAnsi="Times"/>
                <w:sz w:val="24"/>
                <w:szCs w:val="24"/>
              </w:rPr>
              <w:t>75</w:t>
            </w:r>
          </w:p>
        </w:tc>
      </w:tr>
      <w:tr w:rsidR="00EE4A81" w:rsidRPr="00C23102" w14:paraId="7DF0B3BE" w14:textId="77777777" w:rsidTr="00223FF3">
        <w:trPr>
          <w:jc w:val="center"/>
        </w:trPr>
        <w:tc>
          <w:tcPr>
            <w:tcW w:w="3402" w:type="dxa"/>
          </w:tcPr>
          <w:p w14:paraId="0D706BB3" w14:textId="08D78D18" w:rsidR="00EE4A81" w:rsidRPr="00C23102" w:rsidRDefault="00EE4A81" w:rsidP="009E26EA">
            <w:pPr>
              <w:jc w:val="left"/>
              <w:rPr>
                <w:rFonts w:ascii="Times" w:hAnsi="Times"/>
                <w:sz w:val="24"/>
                <w:szCs w:val="24"/>
              </w:rPr>
            </w:pPr>
            <w:r w:rsidRPr="00C23102">
              <w:rPr>
                <w:rFonts w:ascii="Times" w:hAnsi="Times"/>
                <w:sz w:val="24"/>
                <w:szCs w:val="24"/>
              </w:rPr>
              <w:t>Associate Degree Program</w:t>
            </w:r>
          </w:p>
        </w:tc>
        <w:tc>
          <w:tcPr>
            <w:tcW w:w="1701" w:type="dxa"/>
          </w:tcPr>
          <w:p w14:paraId="2CE05B64" w14:textId="74627493" w:rsidR="00EE4A81" w:rsidRPr="00C23102" w:rsidRDefault="00EE4A81" w:rsidP="009E26EA">
            <w:pPr>
              <w:jc w:val="left"/>
              <w:rPr>
                <w:rFonts w:ascii="Times" w:hAnsi="Times"/>
                <w:sz w:val="24"/>
                <w:szCs w:val="24"/>
              </w:rPr>
            </w:pPr>
            <w:r w:rsidRPr="00C23102">
              <w:rPr>
                <w:rFonts w:ascii="Times" w:hAnsi="Times"/>
                <w:sz w:val="24"/>
                <w:szCs w:val="24"/>
              </w:rPr>
              <w:t>88</w:t>
            </w:r>
          </w:p>
        </w:tc>
        <w:tc>
          <w:tcPr>
            <w:tcW w:w="1340" w:type="dxa"/>
          </w:tcPr>
          <w:p w14:paraId="361EC8FF" w14:textId="001F0F10" w:rsidR="00EE4A81" w:rsidRPr="00C23102" w:rsidRDefault="00EE4A81" w:rsidP="009E26EA">
            <w:pPr>
              <w:jc w:val="left"/>
              <w:rPr>
                <w:rFonts w:ascii="Times" w:hAnsi="Times"/>
                <w:sz w:val="24"/>
                <w:szCs w:val="24"/>
              </w:rPr>
            </w:pPr>
            <w:r w:rsidRPr="00C23102">
              <w:rPr>
                <w:rFonts w:ascii="Times" w:hAnsi="Times"/>
                <w:sz w:val="24"/>
                <w:szCs w:val="24"/>
              </w:rPr>
              <w:t>10</w:t>
            </w:r>
          </w:p>
        </w:tc>
        <w:tc>
          <w:tcPr>
            <w:tcW w:w="1276" w:type="dxa"/>
          </w:tcPr>
          <w:p w14:paraId="5611A4EB" w14:textId="696D9E22" w:rsidR="00EE4A81" w:rsidRPr="00C23102" w:rsidRDefault="009946C4" w:rsidP="009E26EA">
            <w:pPr>
              <w:jc w:val="left"/>
              <w:rPr>
                <w:rFonts w:ascii="Times" w:hAnsi="Times"/>
                <w:sz w:val="24"/>
                <w:szCs w:val="24"/>
              </w:rPr>
            </w:pPr>
            <w:r w:rsidRPr="00C23102">
              <w:rPr>
                <w:rFonts w:ascii="Times" w:hAnsi="Times"/>
                <w:sz w:val="24"/>
                <w:szCs w:val="24"/>
              </w:rPr>
              <w:t>98</w:t>
            </w:r>
          </w:p>
        </w:tc>
      </w:tr>
      <w:tr w:rsidR="00EE4A81" w:rsidRPr="00C23102" w14:paraId="5C422C0D" w14:textId="645D4062" w:rsidTr="00223FF3">
        <w:trPr>
          <w:jc w:val="center"/>
        </w:trPr>
        <w:tc>
          <w:tcPr>
            <w:tcW w:w="3402" w:type="dxa"/>
          </w:tcPr>
          <w:p w14:paraId="74660493" w14:textId="54F36A7F" w:rsidR="00EE4A81" w:rsidRPr="00C23102" w:rsidRDefault="00EE4A81" w:rsidP="009E26EA">
            <w:pPr>
              <w:jc w:val="left"/>
              <w:rPr>
                <w:rFonts w:ascii="Times" w:hAnsi="Times"/>
                <w:sz w:val="24"/>
                <w:szCs w:val="24"/>
              </w:rPr>
            </w:pPr>
            <w:r w:rsidRPr="00C23102">
              <w:rPr>
                <w:rFonts w:ascii="Times" w:hAnsi="Times"/>
                <w:sz w:val="24"/>
                <w:szCs w:val="24"/>
              </w:rPr>
              <w:t>Bachelor’s Program</w:t>
            </w:r>
          </w:p>
        </w:tc>
        <w:tc>
          <w:tcPr>
            <w:tcW w:w="1701" w:type="dxa"/>
          </w:tcPr>
          <w:p w14:paraId="08CA844D" w14:textId="33C32EFF" w:rsidR="00EE4A81" w:rsidRPr="00C23102" w:rsidRDefault="00EE4A81" w:rsidP="009E26EA">
            <w:pPr>
              <w:jc w:val="left"/>
              <w:rPr>
                <w:rFonts w:ascii="Times" w:hAnsi="Times"/>
                <w:sz w:val="24"/>
                <w:szCs w:val="24"/>
              </w:rPr>
            </w:pPr>
            <w:r w:rsidRPr="00C23102">
              <w:rPr>
                <w:rFonts w:ascii="Times" w:hAnsi="Times"/>
                <w:sz w:val="24"/>
                <w:szCs w:val="24"/>
              </w:rPr>
              <w:t>93</w:t>
            </w:r>
          </w:p>
        </w:tc>
        <w:tc>
          <w:tcPr>
            <w:tcW w:w="1340" w:type="dxa"/>
          </w:tcPr>
          <w:p w14:paraId="3CB5134D" w14:textId="1E8EFB86" w:rsidR="00EE4A81" w:rsidRPr="00C23102" w:rsidRDefault="00EE4A81" w:rsidP="009E26EA">
            <w:pPr>
              <w:jc w:val="left"/>
              <w:rPr>
                <w:rFonts w:ascii="Times" w:hAnsi="Times"/>
                <w:sz w:val="24"/>
                <w:szCs w:val="24"/>
              </w:rPr>
            </w:pPr>
            <w:r w:rsidRPr="00C23102">
              <w:rPr>
                <w:rFonts w:ascii="Times" w:hAnsi="Times"/>
                <w:sz w:val="24"/>
                <w:szCs w:val="24"/>
              </w:rPr>
              <w:t>24</w:t>
            </w:r>
          </w:p>
        </w:tc>
        <w:tc>
          <w:tcPr>
            <w:tcW w:w="1276" w:type="dxa"/>
          </w:tcPr>
          <w:p w14:paraId="3B882A86" w14:textId="0783726A" w:rsidR="00EE4A81" w:rsidRPr="00C23102" w:rsidRDefault="009946C4" w:rsidP="009E26EA">
            <w:pPr>
              <w:jc w:val="left"/>
              <w:rPr>
                <w:rFonts w:ascii="Times" w:hAnsi="Times"/>
                <w:sz w:val="24"/>
                <w:szCs w:val="24"/>
              </w:rPr>
            </w:pPr>
            <w:r w:rsidRPr="00C23102">
              <w:rPr>
                <w:rFonts w:ascii="Times" w:hAnsi="Times"/>
                <w:sz w:val="24"/>
                <w:szCs w:val="24"/>
              </w:rPr>
              <w:t>117</w:t>
            </w:r>
          </w:p>
        </w:tc>
      </w:tr>
      <w:tr w:rsidR="00EE4A81" w:rsidRPr="00C23102" w14:paraId="30AC918F" w14:textId="7ECF5296" w:rsidTr="00223FF3">
        <w:trPr>
          <w:jc w:val="center"/>
        </w:trPr>
        <w:tc>
          <w:tcPr>
            <w:tcW w:w="3402" w:type="dxa"/>
          </w:tcPr>
          <w:p w14:paraId="66EA3FE3" w14:textId="5B6B59ED" w:rsidR="00EE4A81" w:rsidRPr="00C23102" w:rsidRDefault="00EE4A81" w:rsidP="009E26EA">
            <w:pPr>
              <w:jc w:val="left"/>
              <w:rPr>
                <w:rFonts w:ascii="Times" w:hAnsi="Times"/>
                <w:sz w:val="24"/>
                <w:szCs w:val="24"/>
              </w:rPr>
            </w:pPr>
            <w:r w:rsidRPr="00C23102">
              <w:rPr>
                <w:rFonts w:ascii="Times" w:hAnsi="Times"/>
                <w:sz w:val="24"/>
                <w:szCs w:val="24"/>
              </w:rPr>
              <w:t>Master's Program</w:t>
            </w:r>
          </w:p>
        </w:tc>
        <w:tc>
          <w:tcPr>
            <w:tcW w:w="1701" w:type="dxa"/>
          </w:tcPr>
          <w:p w14:paraId="43A1C919" w14:textId="38787E21" w:rsidR="00EE4A81" w:rsidRPr="00C23102" w:rsidRDefault="00EE4A81" w:rsidP="009E26EA">
            <w:pPr>
              <w:jc w:val="left"/>
              <w:rPr>
                <w:rFonts w:ascii="Times" w:hAnsi="Times"/>
                <w:sz w:val="24"/>
                <w:szCs w:val="24"/>
              </w:rPr>
            </w:pPr>
            <w:r w:rsidRPr="00C23102">
              <w:rPr>
                <w:rFonts w:ascii="Times" w:hAnsi="Times"/>
                <w:sz w:val="24"/>
                <w:szCs w:val="24"/>
              </w:rPr>
              <w:t>145</w:t>
            </w:r>
          </w:p>
        </w:tc>
        <w:tc>
          <w:tcPr>
            <w:tcW w:w="1340" w:type="dxa"/>
          </w:tcPr>
          <w:p w14:paraId="74D39E28" w14:textId="018B76EF" w:rsidR="00EE4A81" w:rsidRPr="00C23102" w:rsidRDefault="00EE4A81" w:rsidP="009E26EA">
            <w:pPr>
              <w:jc w:val="left"/>
              <w:rPr>
                <w:rFonts w:ascii="Times" w:hAnsi="Times"/>
                <w:sz w:val="24"/>
                <w:szCs w:val="24"/>
              </w:rPr>
            </w:pPr>
            <w:r w:rsidRPr="00C23102">
              <w:rPr>
                <w:rFonts w:ascii="Times" w:hAnsi="Times"/>
                <w:sz w:val="24"/>
                <w:szCs w:val="24"/>
              </w:rPr>
              <w:t>9</w:t>
            </w:r>
          </w:p>
        </w:tc>
        <w:tc>
          <w:tcPr>
            <w:tcW w:w="1276" w:type="dxa"/>
          </w:tcPr>
          <w:p w14:paraId="4A36B9EC" w14:textId="70F5BAED" w:rsidR="00EE4A81" w:rsidRPr="00C23102" w:rsidRDefault="009946C4" w:rsidP="009E26EA">
            <w:pPr>
              <w:jc w:val="left"/>
              <w:rPr>
                <w:rFonts w:ascii="Times" w:hAnsi="Times"/>
                <w:sz w:val="24"/>
                <w:szCs w:val="24"/>
              </w:rPr>
            </w:pPr>
            <w:r w:rsidRPr="00C23102">
              <w:rPr>
                <w:rFonts w:ascii="Times" w:hAnsi="Times"/>
                <w:sz w:val="24"/>
                <w:szCs w:val="24"/>
              </w:rPr>
              <w:t>154</w:t>
            </w:r>
          </w:p>
        </w:tc>
      </w:tr>
      <w:tr w:rsidR="00EE4A81" w:rsidRPr="00C23102" w14:paraId="3E40FFC1" w14:textId="0684345A" w:rsidTr="00223FF3">
        <w:trPr>
          <w:jc w:val="center"/>
        </w:trPr>
        <w:tc>
          <w:tcPr>
            <w:tcW w:w="3402" w:type="dxa"/>
          </w:tcPr>
          <w:p w14:paraId="6758EDBE" w14:textId="1843B639" w:rsidR="00EE4A81" w:rsidRPr="00C23102" w:rsidRDefault="00EE4A81" w:rsidP="009E26EA">
            <w:pPr>
              <w:jc w:val="left"/>
              <w:rPr>
                <w:rFonts w:ascii="Times" w:hAnsi="Times"/>
                <w:sz w:val="24"/>
                <w:szCs w:val="24"/>
              </w:rPr>
            </w:pPr>
            <w:r w:rsidRPr="00C23102">
              <w:rPr>
                <w:rFonts w:ascii="Times" w:hAnsi="Times"/>
                <w:sz w:val="24"/>
                <w:szCs w:val="24"/>
              </w:rPr>
              <w:t>Doctorate Program</w:t>
            </w:r>
          </w:p>
        </w:tc>
        <w:tc>
          <w:tcPr>
            <w:tcW w:w="1701" w:type="dxa"/>
          </w:tcPr>
          <w:p w14:paraId="59A58736" w14:textId="63811194" w:rsidR="00EE4A81" w:rsidRPr="00C23102" w:rsidRDefault="00EE4A81" w:rsidP="009E26EA">
            <w:pPr>
              <w:jc w:val="left"/>
              <w:rPr>
                <w:rFonts w:ascii="Times" w:hAnsi="Times"/>
                <w:sz w:val="24"/>
                <w:szCs w:val="24"/>
              </w:rPr>
            </w:pPr>
            <w:r w:rsidRPr="00C23102">
              <w:rPr>
                <w:rFonts w:ascii="Times" w:hAnsi="Times"/>
                <w:sz w:val="24"/>
                <w:szCs w:val="24"/>
              </w:rPr>
              <w:t>94</w:t>
            </w:r>
          </w:p>
        </w:tc>
        <w:tc>
          <w:tcPr>
            <w:tcW w:w="1340" w:type="dxa"/>
          </w:tcPr>
          <w:p w14:paraId="1A459569" w14:textId="698C4769" w:rsidR="00EE4A81" w:rsidRPr="00C23102" w:rsidRDefault="00EE4A81" w:rsidP="009E26EA">
            <w:pPr>
              <w:jc w:val="left"/>
              <w:rPr>
                <w:rFonts w:ascii="Times" w:hAnsi="Times"/>
                <w:sz w:val="24"/>
                <w:szCs w:val="24"/>
              </w:rPr>
            </w:pPr>
            <w:r w:rsidRPr="00C23102">
              <w:rPr>
                <w:rFonts w:ascii="Times" w:hAnsi="Times"/>
                <w:sz w:val="24"/>
                <w:szCs w:val="24"/>
              </w:rPr>
              <w:t>2</w:t>
            </w:r>
          </w:p>
        </w:tc>
        <w:tc>
          <w:tcPr>
            <w:tcW w:w="1276" w:type="dxa"/>
          </w:tcPr>
          <w:p w14:paraId="574BAA57" w14:textId="0CFC62E7" w:rsidR="00EE4A81" w:rsidRPr="00C23102" w:rsidRDefault="009946C4" w:rsidP="009E26EA">
            <w:pPr>
              <w:jc w:val="left"/>
              <w:rPr>
                <w:rFonts w:ascii="Times" w:hAnsi="Times"/>
                <w:sz w:val="24"/>
                <w:szCs w:val="24"/>
              </w:rPr>
            </w:pPr>
            <w:r w:rsidRPr="00C23102">
              <w:rPr>
                <w:rFonts w:ascii="Times" w:hAnsi="Times"/>
                <w:sz w:val="24"/>
                <w:szCs w:val="24"/>
              </w:rPr>
              <w:t>96</w:t>
            </w:r>
          </w:p>
        </w:tc>
      </w:tr>
      <w:tr w:rsidR="00EE4A81" w:rsidRPr="00C23102" w14:paraId="743A5ACE" w14:textId="5C4C1D9E" w:rsidTr="00223FF3">
        <w:trPr>
          <w:jc w:val="center"/>
        </w:trPr>
        <w:tc>
          <w:tcPr>
            <w:tcW w:w="3402" w:type="dxa"/>
          </w:tcPr>
          <w:p w14:paraId="5EA0607C" w14:textId="72051503" w:rsidR="00EE4A81" w:rsidRPr="00C23102" w:rsidRDefault="00EE4A81" w:rsidP="009E26EA">
            <w:pPr>
              <w:jc w:val="left"/>
              <w:rPr>
                <w:rFonts w:ascii="Times" w:hAnsi="Times"/>
                <w:sz w:val="24"/>
                <w:szCs w:val="24"/>
              </w:rPr>
            </w:pPr>
            <w:r w:rsidRPr="00C23102">
              <w:rPr>
                <w:rFonts w:ascii="Times" w:hAnsi="Times"/>
                <w:sz w:val="24"/>
                <w:szCs w:val="24"/>
              </w:rPr>
              <w:t>Proficiency in Art Program</w:t>
            </w:r>
          </w:p>
        </w:tc>
        <w:tc>
          <w:tcPr>
            <w:tcW w:w="1701" w:type="dxa"/>
          </w:tcPr>
          <w:p w14:paraId="49A258ED" w14:textId="632C0901" w:rsidR="00EE4A81" w:rsidRPr="00C23102" w:rsidRDefault="00AE721C" w:rsidP="009E26EA">
            <w:pPr>
              <w:jc w:val="left"/>
              <w:rPr>
                <w:rFonts w:ascii="Times" w:hAnsi="Times"/>
                <w:sz w:val="24"/>
                <w:szCs w:val="24"/>
              </w:rPr>
            </w:pPr>
            <w:r w:rsidRPr="00C23102">
              <w:rPr>
                <w:rFonts w:ascii="Times" w:hAnsi="Times"/>
                <w:sz w:val="24"/>
                <w:szCs w:val="24"/>
              </w:rPr>
              <w:t>2</w:t>
            </w:r>
          </w:p>
        </w:tc>
        <w:tc>
          <w:tcPr>
            <w:tcW w:w="1340" w:type="dxa"/>
          </w:tcPr>
          <w:p w14:paraId="576237C3" w14:textId="2B626114" w:rsidR="00EE4A81" w:rsidRPr="00C23102" w:rsidRDefault="00AE721C" w:rsidP="009E26EA">
            <w:pPr>
              <w:jc w:val="left"/>
              <w:rPr>
                <w:rFonts w:ascii="Times" w:hAnsi="Times"/>
                <w:sz w:val="24"/>
                <w:szCs w:val="24"/>
              </w:rPr>
            </w:pPr>
            <w:r w:rsidRPr="00C23102">
              <w:rPr>
                <w:rFonts w:ascii="Times" w:hAnsi="Times"/>
                <w:sz w:val="24"/>
                <w:szCs w:val="24"/>
              </w:rPr>
              <w:t>0</w:t>
            </w:r>
          </w:p>
        </w:tc>
        <w:tc>
          <w:tcPr>
            <w:tcW w:w="1276" w:type="dxa"/>
          </w:tcPr>
          <w:p w14:paraId="088C334E" w14:textId="496AF536" w:rsidR="00EE4A81" w:rsidRPr="00C23102" w:rsidRDefault="009946C4" w:rsidP="009E26EA">
            <w:pPr>
              <w:jc w:val="left"/>
              <w:rPr>
                <w:rFonts w:ascii="Times" w:hAnsi="Times"/>
                <w:sz w:val="24"/>
                <w:szCs w:val="24"/>
              </w:rPr>
            </w:pPr>
            <w:r w:rsidRPr="00C23102">
              <w:rPr>
                <w:rFonts w:ascii="Times" w:hAnsi="Times"/>
                <w:sz w:val="24"/>
                <w:szCs w:val="24"/>
              </w:rPr>
              <w:t>2</w:t>
            </w:r>
          </w:p>
        </w:tc>
      </w:tr>
      <w:tr w:rsidR="00EE4A81" w:rsidRPr="00C23102" w14:paraId="19A7A66A" w14:textId="3367D99B" w:rsidTr="00223FF3">
        <w:trPr>
          <w:jc w:val="center"/>
        </w:trPr>
        <w:tc>
          <w:tcPr>
            <w:tcW w:w="3402" w:type="dxa"/>
          </w:tcPr>
          <w:p w14:paraId="7DBA8173" w14:textId="5FADD170" w:rsidR="00EE4A81" w:rsidRPr="00C23102" w:rsidRDefault="00EE4A81" w:rsidP="009E26EA">
            <w:pPr>
              <w:jc w:val="left"/>
              <w:rPr>
                <w:rFonts w:ascii="Times" w:hAnsi="Times"/>
                <w:sz w:val="24"/>
                <w:szCs w:val="24"/>
              </w:rPr>
            </w:pPr>
            <w:r w:rsidRPr="00C23102">
              <w:rPr>
                <w:rFonts w:ascii="Times" w:hAnsi="Times"/>
                <w:sz w:val="24"/>
                <w:szCs w:val="24"/>
              </w:rPr>
              <w:t>Interdisciplinary Master's</w:t>
            </w:r>
          </w:p>
        </w:tc>
        <w:tc>
          <w:tcPr>
            <w:tcW w:w="1701" w:type="dxa"/>
          </w:tcPr>
          <w:p w14:paraId="77051947" w14:textId="57A28F49" w:rsidR="00EE4A81" w:rsidRPr="00C23102" w:rsidRDefault="00AE721C" w:rsidP="009E26EA">
            <w:pPr>
              <w:jc w:val="left"/>
              <w:rPr>
                <w:rFonts w:ascii="Times" w:hAnsi="Times"/>
                <w:sz w:val="24"/>
                <w:szCs w:val="24"/>
              </w:rPr>
            </w:pPr>
            <w:r w:rsidRPr="00C23102">
              <w:rPr>
                <w:rFonts w:ascii="Times" w:hAnsi="Times"/>
                <w:sz w:val="24"/>
                <w:szCs w:val="24"/>
              </w:rPr>
              <w:t>26</w:t>
            </w:r>
          </w:p>
        </w:tc>
        <w:tc>
          <w:tcPr>
            <w:tcW w:w="1340" w:type="dxa"/>
          </w:tcPr>
          <w:p w14:paraId="5F60A30E" w14:textId="125FD93C" w:rsidR="00EE4A81" w:rsidRPr="00C23102" w:rsidRDefault="00AE721C" w:rsidP="009E26EA">
            <w:pPr>
              <w:jc w:val="left"/>
              <w:rPr>
                <w:rFonts w:ascii="Times" w:hAnsi="Times"/>
                <w:sz w:val="24"/>
                <w:szCs w:val="24"/>
              </w:rPr>
            </w:pPr>
            <w:r w:rsidRPr="00C23102">
              <w:rPr>
                <w:rFonts w:ascii="Times" w:hAnsi="Times"/>
                <w:sz w:val="24"/>
                <w:szCs w:val="24"/>
              </w:rPr>
              <w:t>0</w:t>
            </w:r>
          </w:p>
        </w:tc>
        <w:tc>
          <w:tcPr>
            <w:tcW w:w="1276" w:type="dxa"/>
          </w:tcPr>
          <w:p w14:paraId="56891E54" w14:textId="71F41FD9" w:rsidR="00EE4A81" w:rsidRPr="00C23102" w:rsidRDefault="009946C4" w:rsidP="009E26EA">
            <w:pPr>
              <w:jc w:val="left"/>
              <w:rPr>
                <w:rFonts w:ascii="Times" w:hAnsi="Times"/>
                <w:sz w:val="24"/>
                <w:szCs w:val="24"/>
              </w:rPr>
            </w:pPr>
            <w:r w:rsidRPr="00C23102">
              <w:rPr>
                <w:rFonts w:ascii="Times" w:hAnsi="Times"/>
                <w:sz w:val="24"/>
                <w:szCs w:val="24"/>
              </w:rPr>
              <w:t>26</w:t>
            </w:r>
          </w:p>
        </w:tc>
      </w:tr>
      <w:tr w:rsidR="00EE4A81" w:rsidRPr="00C23102" w14:paraId="2BBB4681" w14:textId="77777777" w:rsidTr="00223FF3">
        <w:trPr>
          <w:jc w:val="center"/>
        </w:trPr>
        <w:tc>
          <w:tcPr>
            <w:tcW w:w="3402" w:type="dxa"/>
          </w:tcPr>
          <w:p w14:paraId="70D7F5A1" w14:textId="41C76564" w:rsidR="00EE4A81" w:rsidRPr="00C23102" w:rsidRDefault="00EE4A81" w:rsidP="009E26EA">
            <w:pPr>
              <w:jc w:val="left"/>
              <w:rPr>
                <w:rFonts w:ascii="Times" w:hAnsi="Times"/>
                <w:sz w:val="24"/>
                <w:szCs w:val="24"/>
              </w:rPr>
            </w:pPr>
            <w:r w:rsidRPr="00C23102">
              <w:rPr>
                <w:rFonts w:ascii="Times" w:hAnsi="Times"/>
                <w:sz w:val="24"/>
                <w:szCs w:val="24"/>
              </w:rPr>
              <w:t>Integrated Doctorate Program</w:t>
            </w:r>
          </w:p>
        </w:tc>
        <w:tc>
          <w:tcPr>
            <w:tcW w:w="1701" w:type="dxa"/>
          </w:tcPr>
          <w:p w14:paraId="27F71029" w14:textId="217E23EE" w:rsidR="00EE4A81" w:rsidRPr="00C23102" w:rsidRDefault="00AE721C" w:rsidP="009E26EA">
            <w:pPr>
              <w:jc w:val="left"/>
              <w:rPr>
                <w:rFonts w:ascii="Times" w:hAnsi="Times"/>
                <w:sz w:val="24"/>
                <w:szCs w:val="24"/>
              </w:rPr>
            </w:pPr>
            <w:r w:rsidRPr="00C23102">
              <w:rPr>
                <w:rFonts w:ascii="Times" w:hAnsi="Times"/>
                <w:sz w:val="24"/>
                <w:szCs w:val="24"/>
              </w:rPr>
              <w:t>0</w:t>
            </w:r>
          </w:p>
        </w:tc>
        <w:tc>
          <w:tcPr>
            <w:tcW w:w="1340" w:type="dxa"/>
          </w:tcPr>
          <w:p w14:paraId="4C33B34F" w14:textId="7F351725" w:rsidR="00EE4A81" w:rsidRPr="00C23102" w:rsidRDefault="00AE721C" w:rsidP="009E26EA">
            <w:pPr>
              <w:jc w:val="left"/>
              <w:rPr>
                <w:rFonts w:ascii="Times" w:hAnsi="Times"/>
                <w:sz w:val="24"/>
                <w:szCs w:val="24"/>
              </w:rPr>
            </w:pPr>
            <w:r w:rsidRPr="00C23102">
              <w:rPr>
                <w:rFonts w:ascii="Times" w:hAnsi="Times"/>
                <w:sz w:val="24"/>
                <w:szCs w:val="24"/>
              </w:rPr>
              <w:t>0</w:t>
            </w:r>
          </w:p>
        </w:tc>
        <w:tc>
          <w:tcPr>
            <w:tcW w:w="1276" w:type="dxa"/>
          </w:tcPr>
          <w:p w14:paraId="7672C34D" w14:textId="3D76C723" w:rsidR="00EE4A81" w:rsidRPr="00C23102" w:rsidRDefault="009946C4" w:rsidP="009E26EA">
            <w:pPr>
              <w:jc w:val="left"/>
              <w:rPr>
                <w:rFonts w:ascii="Times" w:hAnsi="Times"/>
                <w:sz w:val="24"/>
                <w:szCs w:val="24"/>
              </w:rPr>
            </w:pPr>
            <w:r w:rsidRPr="00C23102">
              <w:rPr>
                <w:rFonts w:ascii="Times" w:hAnsi="Times"/>
                <w:sz w:val="24"/>
                <w:szCs w:val="24"/>
              </w:rPr>
              <w:t>0</w:t>
            </w:r>
          </w:p>
        </w:tc>
      </w:tr>
      <w:tr w:rsidR="00EE4A81" w:rsidRPr="00C23102" w14:paraId="0335A11C" w14:textId="77777777" w:rsidTr="00223FF3">
        <w:trPr>
          <w:jc w:val="center"/>
        </w:trPr>
        <w:tc>
          <w:tcPr>
            <w:tcW w:w="3402" w:type="dxa"/>
          </w:tcPr>
          <w:p w14:paraId="0D9E2A92" w14:textId="496FCCAF" w:rsidR="00EE4A81" w:rsidRPr="00C23102" w:rsidRDefault="00EE4A81" w:rsidP="009E26EA">
            <w:pPr>
              <w:jc w:val="left"/>
              <w:rPr>
                <w:rFonts w:ascii="Times" w:hAnsi="Times"/>
                <w:sz w:val="24"/>
                <w:szCs w:val="24"/>
              </w:rPr>
            </w:pPr>
            <w:r w:rsidRPr="00C23102">
              <w:rPr>
                <w:rFonts w:ascii="Times" w:hAnsi="Times"/>
                <w:sz w:val="24"/>
                <w:szCs w:val="24"/>
              </w:rPr>
              <w:t>Interdisciplinary Doctorate Program</w:t>
            </w:r>
          </w:p>
        </w:tc>
        <w:tc>
          <w:tcPr>
            <w:tcW w:w="1701" w:type="dxa"/>
          </w:tcPr>
          <w:p w14:paraId="07D3D313" w14:textId="43C3056F" w:rsidR="00EE4A81" w:rsidRPr="00C23102" w:rsidRDefault="00AE721C" w:rsidP="009E26EA">
            <w:pPr>
              <w:jc w:val="left"/>
              <w:rPr>
                <w:rFonts w:ascii="Times" w:hAnsi="Times"/>
                <w:sz w:val="24"/>
                <w:szCs w:val="24"/>
              </w:rPr>
            </w:pPr>
            <w:r w:rsidRPr="00C23102">
              <w:rPr>
                <w:rFonts w:ascii="Times" w:hAnsi="Times"/>
                <w:sz w:val="24"/>
                <w:szCs w:val="24"/>
              </w:rPr>
              <w:t>12</w:t>
            </w:r>
          </w:p>
        </w:tc>
        <w:tc>
          <w:tcPr>
            <w:tcW w:w="1340" w:type="dxa"/>
          </w:tcPr>
          <w:p w14:paraId="64552913" w14:textId="2BB459D4" w:rsidR="00EE4A81" w:rsidRPr="00C23102" w:rsidRDefault="00AE721C" w:rsidP="009E26EA">
            <w:pPr>
              <w:jc w:val="left"/>
              <w:rPr>
                <w:rFonts w:ascii="Times" w:hAnsi="Times"/>
                <w:sz w:val="24"/>
                <w:szCs w:val="24"/>
              </w:rPr>
            </w:pPr>
            <w:r w:rsidRPr="00C23102">
              <w:rPr>
                <w:rFonts w:ascii="Times" w:hAnsi="Times"/>
                <w:sz w:val="24"/>
                <w:szCs w:val="24"/>
              </w:rPr>
              <w:t>0</w:t>
            </w:r>
          </w:p>
        </w:tc>
        <w:tc>
          <w:tcPr>
            <w:tcW w:w="1276" w:type="dxa"/>
          </w:tcPr>
          <w:p w14:paraId="3215A3B2" w14:textId="0A332A20" w:rsidR="00EE4A81" w:rsidRPr="00C23102" w:rsidRDefault="009946C4" w:rsidP="009E26EA">
            <w:pPr>
              <w:jc w:val="left"/>
              <w:rPr>
                <w:rFonts w:ascii="Times" w:hAnsi="Times"/>
                <w:sz w:val="24"/>
                <w:szCs w:val="24"/>
              </w:rPr>
            </w:pPr>
            <w:r w:rsidRPr="00C23102">
              <w:rPr>
                <w:rFonts w:ascii="Times" w:hAnsi="Times"/>
                <w:sz w:val="24"/>
                <w:szCs w:val="24"/>
              </w:rPr>
              <w:t>12</w:t>
            </w:r>
          </w:p>
        </w:tc>
      </w:tr>
    </w:tbl>
    <w:p w14:paraId="303E8A18" w14:textId="6BA1BE9D" w:rsidR="00223FF3" w:rsidRPr="00C23102" w:rsidRDefault="00223FF3" w:rsidP="00223FF3">
      <w:pPr>
        <w:pStyle w:val="BodyText"/>
        <w:spacing w:after="120" w:line="240" w:lineRule="auto"/>
        <w:ind w:left="0"/>
        <w:jc w:val="center"/>
        <w:rPr>
          <w:rFonts w:ascii="Times" w:hAnsi="Times"/>
          <w:b/>
          <w:bCs/>
          <w:color w:val="000000" w:themeColor="text1"/>
        </w:rPr>
      </w:pPr>
      <w:r w:rsidRPr="00C23102">
        <w:rPr>
          <w:rFonts w:ascii="Times" w:hAnsi="Times"/>
          <w:color w:val="000000" w:themeColor="text1"/>
          <w:sz w:val="22"/>
          <w:szCs w:val="22"/>
        </w:rPr>
        <w:t>Source: YÖK, 2021a</w:t>
      </w:r>
    </w:p>
    <w:p w14:paraId="48ABF0B4" w14:textId="46C467A3" w:rsidR="000F137F" w:rsidRPr="00C23102" w:rsidRDefault="000F137F" w:rsidP="00F44FEC">
      <w:pPr>
        <w:pStyle w:val="BodyText"/>
        <w:spacing w:before="240" w:after="120" w:line="240" w:lineRule="auto"/>
        <w:ind w:left="0" w:firstLine="720"/>
        <w:rPr>
          <w:rFonts w:ascii="Times" w:hAnsi="Times"/>
          <w:color w:val="050505"/>
        </w:rPr>
      </w:pPr>
      <w:r w:rsidRPr="00C23102">
        <w:rPr>
          <w:rFonts w:ascii="Times" w:hAnsi="Times"/>
          <w:color w:val="050505"/>
        </w:rPr>
        <w:lastRenderedPageBreak/>
        <w:t>Researchers are the most important resource in education and training activities as well as in R&amp;D and innovation studies. In order to increase the innovation performance of universities, regions and countries, it is extremely important to increase this power as well as to use it effectively. The number of researchers in the regions covere</w:t>
      </w:r>
      <w:r w:rsidRPr="00C23102">
        <w:rPr>
          <w:rFonts w:ascii="Times" w:hAnsi="Times"/>
          <w:color w:val="000000" w:themeColor="text1"/>
        </w:rPr>
        <w:t xml:space="preserve">d by the research is parallel to the number of universities. Among the provinces included in the study, </w:t>
      </w:r>
      <w:r w:rsidR="00333D4C" w:rsidRPr="00C23102">
        <w:rPr>
          <w:rFonts w:ascii="Times" w:hAnsi="Times"/>
          <w:color w:val="000000" w:themeColor="text1"/>
        </w:rPr>
        <w:t>Kocaeli</w:t>
      </w:r>
      <w:r w:rsidRPr="00C23102">
        <w:rPr>
          <w:rFonts w:ascii="Times" w:hAnsi="Times"/>
          <w:color w:val="000000" w:themeColor="text1"/>
        </w:rPr>
        <w:t xml:space="preserve"> has the highest number of universities, with </w:t>
      </w:r>
      <w:r w:rsidR="00333D4C" w:rsidRPr="00C23102">
        <w:rPr>
          <w:rFonts w:ascii="Times" w:hAnsi="Times"/>
          <w:color w:val="000000" w:themeColor="text1"/>
        </w:rPr>
        <w:t>1.</w:t>
      </w:r>
      <w:r w:rsidRPr="00C23102">
        <w:rPr>
          <w:rFonts w:ascii="Times" w:hAnsi="Times"/>
          <w:color w:val="000000" w:themeColor="text1"/>
        </w:rPr>
        <w:t>8</w:t>
      </w:r>
      <w:r w:rsidR="00333D4C" w:rsidRPr="00C23102">
        <w:rPr>
          <w:rFonts w:ascii="Times" w:hAnsi="Times"/>
          <w:color w:val="000000" w:themeColor="text1"/>
        </w:rPr>
        <w:t>64</w:t>
      </w:r>
      <w:r w:rsidRPr="00C23102">
        <w:rPr>
          <w:rFonts w:ascii="Times" w:hAnsi="Times"/>
          <w:color w:val="000000" w:themeColor="text1"/>
        </w:rPr>
        <w:t xml:space="preserve"> researchers </w:t>
      </w:r>
      <w:r w:rsidR="00333D4C" w:rsidRPr="00C23102">
        <w:rPr>
          <w:rFonts w:ascii="Times" w:hAnsi="Times"/>
          <w:color w:val="000000" w:themeColor="text1"/>
        </w:rPr>
        <w:t>in 2021</w:t>
      </w:r>
      <w:r w:rsidRPr="00C23102">
        <w:rPr>
          <w:rFonts w:ascii="Times" w:hAnsi="Times"/>
          <w:color w:val="000000" w:themeColor="text1"/>
        </w:rPr>
        <w:t xml:space="preserve">, and </w:t>
      </w:r>
      <w:r w:rsidR="00333D4C" w:rsidRPr="00C23102">
        <w:rPr>
          <w:rFonts w:ascii="Times" w:hAnsi="Times"/>
          <w:color w:val="000000" w:themeColor="text1"/>
        </w:rPr>
        <w:t xml:space="preserve">1.834 </w:t>
      </w:r>
      <w:r w:rsidRPr="00C23102">
        <w:rPr>
          <w:rFonts w:ascii="Times" w:hAnsi="Times"/>
          <w:color w:val="000000" w:themeColor="text1"/>
        </w:rPr>
        <w:t xml:space="preserve">researchers in </w:t>
      </w:r>
      <w:r w:rsidR="00333D4C" w:rsidRPr="00C23102">
        <w:rPr>
          <w:rFonts w:ascii="Times" w:hAnsi="Times"/>
          <w:color w:val="000000" w:themeColor="text1"/>
        </w:rPr>
        <w:t>Kayseri</w:t>
      </w:r>
      <w:r w:rsidRPr="00C23102">
        <w:rPr>
          <w:rFonts w:ascii="Times" w:hAnsi="Times"/>
          <w:color w:val="000000" w:themeColor="text1"/>
        </w:rPr>
        <w:t xml:space="preserve">. </w:t>
      </w:r>
      <w:r w:rsidR="00044B5F" w:rsidRPr="00C23102">
        <w:rPr>
          <w:rFonts w:ascii="Times" w:hAnsi="Times"/>
          <w:color w:val="000000" w:themeColor="text1"/>
        </w:rPr>
        <w:t>Mugla</w:t>
      </w:r>
      <w:r w:rsidRPr="00C23102">
        <w:rPr>
          <w:rFonts w:ascii="Times" w:hAnsi="Times"/>
          <w:color w:val="000000" w:themeColor="text1"/>
        </w:rPr>
        <w:t>, one of our regional provinces, ranks fourth with 1</w:t>
      </w:r>
      <w:r w:rsidR="00333D4C" w:rsidRPr="00C23102">
        <w:rPr>
          <w:rFonts w:ascii="Times" w:hAnsi="Times"/>
          <w:color w:val="000000" w:themeColor="text1"/>
        </w:rPr>
        <w:t>.299</w:t>
      </w:r>
      <w:r w:rsidRPr="00C23102">
        <w:rPr>
          <w:rFonts w:ascii="Times" w:hAnsi="Times"/>
          <w:color w:val="000000" w:themeColor="text1"/>
        </w:rPr>
        <w:t xml:space="preserve"> researchers, while </w:t>
      </w:r>
      <w:r w:rsidR="00333D4C" w:rsidRPr="00C23102">
        <w:rPr>
          <w:rFonts w:ascii="Times" w:hAnsi="Times"/>
          <w:color w:val="000000" w:themeColor="text1"/>
        </w:rPr>
        <w:t>Samsun</w:t>
      </w:r>
      <w:r w:rsidRPr="00C23102">
        <w:rPr>
          <w:rFonts w:ascii="Times" w:hAnsi="Times"/>
          <w:color w:val="000000" w:themeColor="text1"/>
        </w:rPr>
        <w:t xml:space="preserve"> ranks third with 1</w:t>
      </w:r>
      <w:r w:rsidR="00333D4C" w:rsidRPr="00C23102">
        <w:rPr>
          <w:rFonts w:ascii="Times" w:hAnsi="Times"/>
          <w:color w:val="000000" w:themeColor="text1"/>
        </w:rPr>
        <w:t>.630</w:t>
      </w:r>
      <w:r w:rsidRPr="00C23102">
        <w:rPr>
          <w:rFonts w:ascii="Times" w:hAnsi="Times"/>
          <w:color w:val="000000" w:themeColor="text1"/>
        </w:rPr>
        <w:t xml:space="preserve"> researchers (</w:t>
      </w:r>
      <w:r w:rsidR="00BB73AF" w:rsidRPr="00C23102">
        <w:rPr>
          <w:rFonts w:ascii="Times" w:hAnsi="Times"/>
          <w:color w:val="000000" w:themeColor="text1"/>
        </w:rPr>
        <w:t>Figure 1</w:t>
      </w:r>
      <w:r w:rsidRPr="00C23102">
        <w:rPr>
          <w:rFonts w:ascii="Times" w:hAnsi="Times"/>
          <w:color w:val="000000" w:themeColor="text1"/>
        </w:rPr>
        <w:t xml:space="preserve">). </w:t>
      </w:r>
    </w:p>
    <w:p w14:paraId="0824A8D6" w14:textId="21A51484" w:rsidR="009E26EA" w:rsidRPr="00C23102" w:rsidRDefault="0047657A" w:rsidP="00F44FEC">
      <w:pPr>
        <w:spacing w:before="240" w:after="120" w:line="240" w:lineRule="auto"/>
        <w:ind w:left="0"/>
        <w:jc w:val="center"/>
        <w:rPr>
          <w:rFonts w:ascii="Times" w:hAnsi="Times"/>
          <w:b/>
          <w:bCs/>
          <w:color w:val="000000" w:themeColor="text1"/>
          <w:sz w:val="24"/>
          <w:szCs w:val="24"/>
        </w:rPr>
      </w:pPr>
      <w:bookmarkStart w:id="19" w:name="_Hlk74775558"/>
      <w:r w:rsidRPr="00C23102">
        <w:rPr>
          <w:rFonts w:ascii="Times" w:hAnsi="Times"/>
          <w:b/>
          <w:bCs/>
          <w:color w:val="000000" w:themeColor="text1"/>
          <w:sz w:val="24"/>
          <w:szCs w:val="24"/>
        </w:rPr>
        <w:t>Figure 1</w:t>
      </w:r>
      <w:r w:rsidR="001B1255" w:rsidRPr="00C23102">
        <w:rPr>
          <w:rFonts w:ascii="Times" w:hAnsi="Times"/>
          <w:b/>
          <w:bCs/>
          <w:color w:val="000000" w:themeColor="text1"/>
          <w:sz w:val="24"/>
          <w:szCs w:val="24"/>
        </w:rPr>
        <w:t>.</w:t>
      </w:r>
      <w:r w:rsidR="00044B5F" w:rsidRPr="00C23102">
        <w:rPr>
          <w:rFonts w:ascii="Times" w:hAnsi="Times"/>
          <w:b/>
          <w:bCs/>
          <w:color w:val="000000" w:themeColor="text1"/>
          <w:sz w:val="24"/>
          <w:szCs w:val="24"/>
        </w:rPr>
        <w:t xml:space="preserve"> </w:t>
      </w:r>
      <w:r w:rsidRPr="00C23102">
        <w:rPr>
          <w:rFonts w:ascii="Times" w:hAnsi="Times"/>
          <w:b/>
          <w:bCs/>
          <w:color w:val="000000" w:themeColor="text1"/>
          <w:sz w:val="24"/>
          <w:szCs w:val="24"/>
        </w:rPr>
        <w:t>Number of Researchers in Universities in 2020</w:t>
      </w:r>
      <w:bookmarkEnd w:id="19"/>
    </w:p>
    <w:p w14:paraId="4BE1FB50" w14:textId="206CC740" w:rsidR="0047657A" w:rsidRPr="00C23102" w:rsidRDefault="009E26EA" w:rsidP="00F44FEC">
      <w:pPr>
        <w:spacing w:before="240" w:after="120" w:line="240" w:lineRule="auto"/>
        <w:ind w:left="0"/>
        <w:jc w:val="center"/>
        <w:rPr>
          <w:rFonts w:ascii="Times" w:hAnsi="Times"/>
          <w:color w:val="000000" w:themeColor="text1"/>
          <w:sz w:val="24"/>
          <w:szCs w:val="24"/>
        </w:rPr>
      </w:pPr>
      <w:r w:rsidRPr="00C23102">
        <w:rPr>
          <w:rFonts w:ascii="Times" w:hAnsi="Times"/>
          <w:noProof/>
          <w:sz w:val="24"/>
          <w:szCs w:val="24"/>
        </w:rPr>
        <w:t xml:space="preserve"> </w:t>
      </w:r>
      <w:r w:rsidRPr="00C23102">
        <w:rPr>
          <w:rFonts w:ascii="Times" w:hAnsi="Times"/>
          <w:noProof/>
          <w:sz w:val="24"/>
          <w:szCs w:val="24"/>
        </w:rPr>
        <w:drawing>
          <wp:inline distT="0" distB="0" distL="0" distR="0" wp14:anchorId="1386CC3F" wp14:editId="12DE4300">
            <wp:extent cx="4067175" cy="1524000"/>
            <wp:effectExtent l="0" t="0" r="9525" b="0"/>
            <wp:docPr id="6" name="Chart 6">
              <a:extLst xmlns:a="http://schemas.openxmlformats.org/drawingml/2006/main">
                <a:ext uri="{FF2B5EF4-FFF2-40B4-BE49-F238E27FC236}">
                  <a16:creationId xmlns:a16="http://schemas.microsoft.com/office/drawing/2014/main" id="{F871DAD3-CB6B-45D5-9ECA-DCB24C237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9DED4B" w14:textId="77777777" w:rsidR="00223FF3" w:rsidRPr="00C23102" w:rsidRDefault="00223FF3" w:rsidP="00223FF3">
      <w:pPr>
        <w:pStyle w:val="BodyText"/>
        <w:spacing w:after="120" w:line="240" w:lineRule="auto"/>
        <w:ind w:left="0"/>
        <w:jc w:val="center"/>
        <w:rPr>
          <w:rFonts w:ascii="Times" w:hAnsi="Times"/>
          <w:b/>
          <w:bCs/>
          <w:color w:val="000000" w:themeColor="text1"/>
        </w:rPr>
      </w:pPr>
      <w:r w:rsidRPr="00C23102">
        <w:rPr>
          <w:rFonts w:ascii="Times" w:hAnsi="Times"/>
          <w:color w:val="000000" w:themeColor="text1"/>
          <w:sz w:val="22"/>
          <w:szCs w:val="22"/>
        </w:rPr>
        <w:t>Source: YÖK, 2021a</w:t>
      </w:r>
    </w:p>
    <w:p w14:paraId="6C849960" w14:textId="048D73E1" w:rsidR="00DA6C3D" w:rsidRPr="00C23102" w:rsidRDefault="002B08C3" w:rsidP="00F44FEC">
      <w:pPr>
        <w:pStyle w:val="BodyText"/>
        <w:spacing w:before="0" w:line="240" w:lineRule="auto"/>
        <w:ind w:left="0" w:firstLine="567"/>
        <w:rPr>
          <w:rFonts w:ascii="Times" w:hAnsi="Times"/>
          <w:color w:val="050505"/>
        </w:rPr>
      </w:pPr>
      <w:r w:rsidRPr="00C23102">
        <w:rPr>
          <w:rFonts w:ascii="Times" w:hAnsi="Times"/>
          <w:color w:val="050505"/>
        </w:rPr>
        <w:t>In addition to total number of researchers in Samsun, when the development of the academic staff between the years 2016-2020 is examined, it is seen that there is an increase of 19.23% between the beginning and end of the period (Figure 2). The number of researchers, which was 1.367 in 2016, tended to increase and reached 1.630 in 2020. The continuous increase in the number of researchers is a positive indicator for Samsun's innovation performance. However, as in many fields, the quality of the researchers is much more important than the number of researchers in terms of innovation.</w:t>
      </w:r>
    </w:p>
    <w:p w14:paraId="7E996E40" w14:textId="2513D2DF" w:rsidR="009E26EA" w:rsidRPr="00C23102" w:rsidRDefault="009E26EA" w:rsidP="009E26EA">
      <w:pPr>
        <w:pStyle w:val="BodyText"/>
        <w:spacing w:before="240" w:after="240" w:line="240" w:lineRule="auto"/>
        <w:ind w:left="1276" w:hanging="1276"/>
        <w:jc w:val="center"/>
        <w:rPr>
          <w:rFonts w:ascii="Times" w:hAnsi="Times"/>
          <w:b/>
          <w:bCs/>
          <w:color w:val="050505"/>
        </w:rPr>
      </w:pPr>
      <w:bookmarkStart w:id="20" w:name="_Hlk73388007"/>
      <w:bookmarkStart w:id="21" w:name="_Hlk74775828"/>
      <w:r w:rsidRPr="00C23102">
        <w:rPr>
          <w:rFonts w:ascii="Times" w:hAnsi="Times"/>
          <w:b/>
          <w:bCs/>
          <w:color w:val="050505"/>
        </w:rPr>
        <w:t>Figure 2.</w:t>
      </w:r>
      <w:r w:rsidR="00044B5F" w:rsidRPr="00C23102">
        <w:rPr>
          <w:rFonts w:ascii="Times" w:hAnsi="Times"/>
          <w:b/>
          <w:bCs/>
          <w:color w:val="050505"/>
        </w:rPr>
        <w:t xml:space="preserve"> </w:t>
      </w:r>
      <w:r w:rsidRPr="00C23102">
        <w:rPr>
          <w:rFonts w:ascii="Times" w:hAnsi="Times"/>
          <w:b/>
          <w:bCs/>
          <w:color w:val="050505"/>
        </w:rPr>
        <w:t>Number of Researchers in Samsun by Years (2016-2020)</w:t>
      </w:r>
    </w:p>
    <w:bookmarkEnd w:id="21"/>
    <w:p w14:paraId="1850F1F8" w14:textId="12D1F5EB" w:rsidR="002B08C3" w:rsidRPr="00C23102" w:rsidRDefault="009E26EA" w:rsidP="00F44FEC">
      <w:pPr>
        <w:pStyle w:val="BodyText"/>
        <w:spacing w:before="240" w:after="240" w:line="240" w:lineRule="auto"/>
        <w:ind w:left="0"/>
        <w:jc w:val="center"/>
        <w:rPr>
          <w:rFonts w:ascii="Times" w:hAnsi="Times"/>
          <w:color w:val="050505"/>
        </w:rPr>
      </w:pPr>
      <w:r w:rsidRPr="00C23102">
        <w:rPr>
          <w:rFonts w:ascii="Times" w:hAnsi="Times"/>
          <w:noProof/>
        </w:rPr>
        <w:drawing>
          <wp:inline distT="0" distB="0" distL="0" distR="0" wp14:anchorId="1BD3F37E" wp14:editId="4B844257">
            <wp:extent cx="4219575" cy="1323975"/>
            <wp:effectExtent l="0" t="0" r="9525" b="9525"/>
            <wp:docPr id="8" name="Chart 8">
              <a:extLst xmlns:a="http://schemas.openxmlformats.org/drawingml/2006/main">
                <a:ext uri="{FF2B5EF4-FFF2-40B4-BE49-F238E27FC236}">
                  <a16:creationId xmlns:a16="http://schemas.microsoft.com/office/drawing/2014/main" id="{1279B197-2D83-466F-B171-3512A6596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bookmarkEnd w:id="20"/>
    <w:p w14:paraId="78671169" w14:textId="77777777" w:rsidR="00223FF3" w:rsidRPr="00C23102" w:rsidRDefault="00223FF3" w:rsidP="00223FF3">
      <w:pPr>
        <w:pStyle w:val="BodyText"/>
        <w:spacing w:after="120" w:line="240" w:lineRule="auto"/>
        <w:ind w:left="0"/>
        <w:jc w:val="center"/>
        <w:rPr>
          <w:rFonts w:ascii="Times" w:hAnsi="Times"/>
          <w:b/>
          <w:bCs/>
          <w:color w:val="000000" w:themeColor="text1"/>
        </w:rPr>
      </w:pPr>
      <w:r w:rsidRPr="00C23102">
        <w:rPr>
          <w:rFonts w:ascii="Times" w:hAnsi="Times"/>
          <w:color w:val="000000" w:themeColor="text1"/>
          <w:sz w:val="22"/>
          <w:szCs w:val="22"/>
        </w:rPr>
        <w:t>Source: YÖK, 2021a</w:t>
      </w:r>
    </w:p>
    <w:p w14:paraId="101E89BA" w14:textId="31BED986" w:rsidR="00F279A6" w:rsidRPr="00C23102" w:rsidRDefault="00C23102" w:rsidP="00C23102">
      <w:pPr>
        <w:pStyle w:val="BodyText"/>
        <w:spacing w:after="120" w:line="240" w:lineRule="auto"/>
        <w:ind w:left="0"/>
        <w:jc w:val="left"/>
        <w:rPr>
          <w:rFonts w:ascii="Times" w:hAnsi="Times"/>
          <w:b/>
          <w:bCs/>
          <w:color w:val="000000" w:themeColor="text1"/>
        </w:rPr>
      </w:pPr>
      <w:r w:rsidRPr="00C23102">
        <w:rPr>
          <w:rFonts w:ascii="Times" w:hAnsi="Times"/>
          <w:b/>
          <w:bCs/>
          <w:color w:val="000000" w:themeColor="text1"/>
        </w:rPr>
        <w:t>4.1.1.</w:t>
      </w:r>
      <w:r>
        <w:rPr>
          <w:rFonts w:ascii="Times" w:hAnsi="Times"/>
          <w:b/>
          <w:bCs/>
          <w:color w:val="000000" w:themeColor="text1"/>
        </w:rPr>
        <w:t xml:space="preserve">1. </w:t>
      </w:r>
      <w:r w:rsidR="00F279A6" w:rsidRPr="00C23102">
        <w:rPr>
          <w:rFonts w:ascii="Times" w:hAnsi="Times"/>
          <w:b/>
          <w:bCs/>
          <w:color w:val="000000" w:themeColor="text1"/>
        </w:rPr>
        <w:t>Capacity of Academic Projects and Innovation</w:t>
      </w:r>
    </w:p>
    <w:p w14:paraId="3AEADC47" w14:textId="18AE0D36" w:rsidR="00F279A6" w:rsidRPr="00C23102" w:rsidRDefault="00F279A6" w:rsidP="00F44FEC">
      <w:pPr>
        <w:pStyle w:val="BodyText"/>
        <w:spacing w:before="0" w:line="240" w:lineRule="auto"/>
        <w:ind w:left="0" w:firstLine="567"/>
        <w:rPr>
          <w:rFonts w:ascii="Times" w:hAnsi="Times"/>
          <w:color w:val="050505"/>
        </w:rPr>
      </w:pPr>
      <w:r w:rsidRPr="00C23102">
        <w:rPr>
          <w:rFonts w:ascii="Times" w:hAnsi="Times"/>
          <w:color w:val="050505"/>
        </w:rPr>
        <w:t>Projects aiming to produce new knowledge, high value-added goods and services constitute the basis of R&amp;D and innovation studies. Firms and academic units in the private sector constitute the first step of innovation production with the projects they carry out. While benefiting from private sector own resources and the support of public institutions and organizations for the financing of these activities, academic units mainly benefit from research funds of national and international institutions and organizations and carry out project studies.</w:t>
      </w:r>
      <w:r w:rsidR="005A5731" w:rsidRPr="00C23102">
        <w:rPr>
          <w:rFonts w:ascii="Times" w:hAnsi="Times"/>
          <w:color w:val="050505"/>
        </w:rPr>
        <w:t xml:space="preserve"> </w:t>
      </w:r>
      <w:r w:rsidR="00044B5F" w:rsidRPr="00C23102">
        <w:rPr>
          <w:rFonts w:ascii="Times" w:hAnsi="Times"/>
          <w:color w:val="050505"/>
        </w:rPr>
        <w:t>TÜBITA</w:t>
      </w:r>
      <w:r w:rsidRPr="00C23102">
        <w:rPr>
          <w:rFonts w:ascii="Times" w:hAnsi="Times"/>
          <w:color w:val="050505"/>
        </w:rPr>
        <w:t xml:space="preserve">K is the most important institution that funds academic projects at the national level, </w:t>
      </w:r>
      <w:r w:rsidRPr="00C23102">
        <w:rPr>
          <w:rFonts w:ascii="Times" w:hAnsi="Times"/>
          <w:color w:val="050505"/>
        </w:rPr>
        <w:lastRenderedPageBreak/>
        <w:t xml:space="preserve">together with the universities' own research funds. In this section, the </w:t>
      </w:r>
      <w:r w:rsidR="00044B5F" w:rsidRPr="00C23102">
        <w:rPr>
          <w:rFonts w:ascii="Times" w:hAnsi="Times"/>
          <w:color w:val="050505"/>
        </w:rPr>
        <w:t>TÜBITA</w:t>
      </w:r>
      <w:r w:rsidRPr="00C23102">
        <w:rPr>
          <w:rFonts w:ascii="Times" w:hAnsi="Times"/>
          <w:color w:val="050505"/>
        </w:rPr>
        <w:t>K ARDEB performances of the universities in the provinces within the scope of the study were examined comparatively.</w:t>
      </w:r>
    </w:p>
    <w:p w14:paraId="0B0CE197" w14:textId="1DC19EB5" w:rsidR="005A5731" w:rsidRPr="00C23102" w:rsidRDefault="005A5731"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4.1.</w:t>
      </w:r>
      <w:r w:rsidR="005841BE" w:rsidRPr="00C23102">
        <w:rPr>
          <w:rFonts w:ascii="Times" w:hAnsi="Times"/>
          <w:b/>
          <w:bCs/>
          <w:color w:val="000000" w:themeColor="text1"/>
        </w:rPr>
        <w:t>1</w:t>
      </w:r>
      <w:r w:rsidRPr="00C23102">
        <w:rPr>
          <w:rFonts w:ascii="Times" w:hAnsi="Times"/>
          <w:b/>
          <w:bCs/>
          <w:color w:val="000000" w:themeColor="text1"/>
        </w:rPr>
        <w:t>.</w:t>
      </w:r>
      <w:r w:rsidR="005841BE" w:rsidRPr="00C23102">
        <w:rPr>
          <w:rFonts w:ascii="Times" w:hAnsi="Times"/>
          <w:b/>
          <w:bCs/>
          <w:color w:val="000000" w:themeColor="text1"/>
        </w:rPr>
        <w:t>1.1.</w:t>
      </w:r>
      <w:r w:rsidRPr="00C23102">
        <w:rPr>
          <w:rFonts w:ascii="Times" w:hAnsi="Times"/>
          <w:b/>
          <w:bCs/>
          <w:color w:val="000000" w:themeColor="text1"/>
        </w:rPr>
        <w:t xml:space="preserve"> </w:t>
      </w:r>
      <w:r w:rsidR="00044B5F" w:rsidRPr="00C23102">
        <w:rPr>
          <w:rFonts w:ascii="Times" w:hAnsi="Times"/>
          <w:b/>
          <w:bCs/>
          <w:color w:val="000000" w:themeColor="text1"/>
        </w:rPr>
        <w:t>TÜBITA</w:t>
      </w:r>
      <w:r w:rsidRPr="00C23102">
        <w:rPr>
          <w:rFonts w:ascii="Times" w:hAnsi="Times"/>
          <w:b/>
          <w:bCs/>
          <w:color w:val="000000" w:themeColor="text1"/>
        </w:rPr>
        <w:t>K-ARDEB Project Performances</w:t>
      </w:r>
    </w:p>
    <w:p w14:paraId="267FA7B3" w14:textId="166451C0" w:rsidR="005A5731" w:rsidRPr="00C23102" w:rsidRDefault="00044B5F" w:rsidP="00844A80">
      <w:pPr>
        <w:pStyle w:val="BodyText"/>
        <w:spacing w:before="0" w:line="240" w:lineRule="auto"/>
        <w:ind w:left="0" w:firstLine="709"/>
        <w:rPr>
          <w:rFonts w:ascii="Times" w:hAnsi="Times"/>
          <w:color w:val="050505"/>
        </w:rPr>
      </w:pPr>
      <w:r w:rsidRPr="00C23102">
        <w:rPr>
          <w:rFonts w:ascii="Times" w:hAnsi="Times"/>
          <w:color w:val="050505"/>
        </w:rPr>
        <w:t>TÜBITA</w:t>
      </w:r>
      <w:r w:rsidR="005A5731" w:rsidRPr="00C23102">
        <w:rPr>
          <w:rFonts w:ascii="Times" w:hAnsi="Times"/>
          <w:color w:val="050505"/>
        </w:rPr>
        <w:t>K supports academic R&amp;D and innovation projects with ARDEB programme. Besides providing an important support for scientific research, the program is a prestige fund for beneficiaries. The number of projects within this scope is an important indicator in terms of R&amp;D and innovation, as it forms the basis of innovative products and services.</w:t>
      </w:r>
    </w:p>
    <w:p w14:paraId="30BD08B0" w14:textId="35AA42A8" w:rsidR="005A5731" w:rsidRPr="00C23102" w:rsidRDefault="005A5731" w:rsidP="00844A80">
      <w:pPr>
        <w:pStyle w:val="BodyText"/>
        <w:spacing w:after="120" w:line="240" w:lineRule="auto"/>
        <w:ind w:left="0" w:firstLine="709"/>
        <w:rPr>
          <w:rFonts w:ascii="Times" w:hAnsi="Times"/>
          <w:color w:val="050505"/>
        </w:rPr>
      </w:pPr>
      <w:bookmarkStart w:id="22" w:name="_Hlk74908424"/>
      <w:r w:rsidRPr="00C23102">
        <w:rPr>
          <w:rFonts w:ascii="Times" w:hAnsi="Times"/>
          <w:color w:val="050505"/>
        </w:rPr>
        <w:t xml:space="preserve">When the number of project applications within the scope of the </w:t>
      </w:r>
      <w:r w:rsidR="00044B5F" w:rsidRPr="00C23102">
        <w:rPr>
          <w:rFonts w:ascii="Times" w:hAnsi="Times"/>
          <w:color w:val="050505"/>
        </w:rPr>
        <w:t>TÜBITA</w:t>
      </w:r>
      <w:r w:rsidRPr="00C23102">
        <w:rPr>
          <w:rFonts w:ascii="Times" w:hAnsi="Times"/>
          <w:color w:val="050505"/>
        </w:rPr>
        <w:t xml:space="preserve">K-ARDEB program </w:t>
      </w:r>
      <w:r w:rsidRPr="00C23102">
        <w:rPr>
          <w:rFonts w:ascii="Times" w:hAnsi="Times"/>
          <w:color w:val="000000" w:themeColor="text1"/>
        </w:rPr>
        <w:t xml:space="preserve">between 2016 and 2020 in the provinces within the scope of the research is examined, </w:t>
      </w:r>
      <w:r w:rsidR="005269A4" w:rsidRPr="00C23102">
        <w:rPr>
          <w:rFonts w:ascii="Times" w:hAnsi="Times"/>
          <w:color w:val="000000" w:themeColor="text1"/>
        </w:rPr>
        <w:t>Kocaeli</w:t>
      </w:r>
      <w:r w:rsidRPr="00C23102">
        <w:rPr>
          <w:rFonts w:ascii="Times" w:hAnsi="Times"/>
          <w:color w:val="000000" w:themeColor="text1"/>
        </w:rPr>
        <w:t xml:space="preserve"> </w:t>
      </w:r>
      <w:r w:rsidR="005269A4" w:rsidRPr="00C23102">
        <w:rPr>
          <w:rFonts w:ascii="Times" w:hAnsi="Times"/>
          <w:color w:val="000000" w:themeColor="text1"/>
        </w:rPr>
        <w:t xml:space="preserve">and Kayseri </w:t>
      </w:r>
      <w:r w:rsidRPr="00C23102">
        <w:rPr>
          <w:rFonts w:ascii="Times" w:hAnsi="Times"/>
          <w:color w:val="000000" w:themeColor="text1"/>
        </w:rPr>
        <w:t xml:space="preserve">is in the first place with </w:t>
      </w:r>
      <w:r w:rsidR="005269A4" w:rsidRPr="00C23102">
        <w:rPr>
          <w:rFonts w:ascii="Times" w:hAnsi="Times"/>
          <w:color w:val="000000" w:themeColor="text1"/>
        </w:rPr>
        <w:t>1.444</w:t>
      </w:r>
      <w:r w:rsidRPr="00C23102">
        <w:rPr>
          <w:rFonts w:ascii="Times" w:hAnsi="Times"/>
          <w:color w:val="000000" w:themeColor="text1"/>
        </w:rPr>
        <w:t xml:space="preserve"> project applications, </w:t>
      </w:r>
      <w:r w:rsidR="005269A4" w:rsidRPr="00C23102">
        <w:rPr>
          <w:rFonts w:ascii="Times" w:hAnsi="Times"/>
          <w:color w:val="000000" w:themeColor="text1"/>
        </w:rPr>
        <w:t xml:space="preserve">Samsun </w:t>
      </w:r>
      <w:r w:rsidRPr="00C23102">
        <w:rPr>
          <w:rFonts w:ascii="Times" w:hAnsi="Times"/>
          <w:color w:val="000000" w:themeColor="text1"/>
        </w:rPr>
        <w:t xml:space="preserve">is in the third place with </w:t>
      </w:r>
      <w:r w:rsidR="005269A4" w:rsidRPr="00C23102">
        <w:rPr>
          <w:rFonts w:ascii="Times" w:hAnsi="Times"/>
          <w:color w:val="000000" w:themeColor="text1"/>
        </w:rPr>
        <w:t>778</w:t>
      </w:r>
      <w:r w:rsidRPr="00C23102">
        <w:rPr>
          <w:rFonts w:ascii="Times" w:hAnsi="Times"/>
          <w:color w:val="000000" w:themeColor="text1"/>
        </w:rPr>
        <w:t xml:space="preserve"> projects</w:t>
      </w:r>
      <w:r w:rsidR="005269A4" w:rsidRPr="00C23102">
        <w:rPr>
          <w:rFonts w:ascii="Times" w:hAnsi="Times"/>
          <w:color w:val="000000" w:themeColor="text1"/>
        </w:rPr>
        <w:t xml:space="preserve">, </w:t>
      </w:r>
      <w:r w:rsidR="00044B5F" w:rsidRPr="00C23102">
        <w:rPr>
          <w:rFonts w:ascii="Times" w:hAnsi="Times"/>
          <w:color w:val="000000" w:themeColor="text1"/>
        </w:rPr>
        <w:t>Mugla</w:t>
      </w:r>
      <w:r w:rsidRPr="00C23102">
        <w:rPr>
          <w:rFonts w:ascii="Times" w:hAnsi="Times"/>
          <w:color w:val="000000" w:themeColor="text1"/>
        </w:rPr>
        <w:t xml:space="preserve"> ranks fourth with a total of </w:t>
      </w:r>
      <w:r w:rsidR="005269A4" w:rsidRPr="00C23102">
        <w:rPr>
          <w:rFonts w:ascii="Times" w:hAnsi="Times"/>
          <w:color w:val="000000" w:themeColor="text1"/>
        </w:rPr>
        <w:t>464</w:t>
      </w:r>
      <w:r w:rsidRPr="00C23102">
        <w:rPr>
          <w:rFonts w:ascii="Times" w:hAnsi="Times"/>
          <w:color w:val="000000" w:themeColor="text1"/>
        </w:rPr>
        <w:t xml:space="preserve"> project applications</w:t>
      </w:r>
      <w:r w:rsidR="005269A4" w:rsidRPr="00C23102">
        <w:rPr>
          <w:rFonts w:ascii="Times" w:hAnsi="Times"/>
          <w:color w:val="000000" w:themeColor="text1"/>
        </w:rPr>
        <w:t xml:space="preserve">, Manisa is in the fifth, </w:t>
      </w:r>
      <w:r w:rsidR="00044B5F" w:rsidRPr="00C23102">
        <w:rPr>
          <w:rFonts w:ascii="Times" w:hAnsi="Times"/>
          <w:color w:val="000000" w:themeColor="text1"/>
        </w:rPr>
        <w:t>Kahramanmaras</w:t>
      </w:r>
      <w:r w:rsidR="005269A4" w:rsidRPr="00C23102">
        <w:rPr>
          <w:rFonts w:ascii="Times" w:hAnsi="Times"/>
          <w:color w:val="000000" w:themeColor="text1"/>
        </w:rPr>
        <w:t xml:space="preserve"> is in the sixth and </w:t>
      </w:r>
      <w:r w:rsidR="00044B5F" w:rsidRPr="00C23102">
        <w:rPr>
          <w:rFonts w:ascii="Times" w:hAnsi="Times"/>
          <w:color w:val="000000" w:themeColor="text1"/>
        </w:rPr>
        <w:t>Balikesir</w:t>
      </w:r>
      <w:r w:rsidR="005269A4" w:rsidRPr="00C23102">
        <w:rPr>
          <w:rFonts w:ascii="Times" w:hAnsi="Times"/>
          <w:color w:val="000000" w:themeColor="text1"/>
        </w:rPr>
        <w:t xml:space="preserve"> is in the seventh.</w:t>
      </w:r>
      <w:r w:rsidRPr="00C23102">
        <w:rPr>
          <w:rFonts w:ascii="Times" w:hAnsi="Times"/>
          <w:color w:val="000000" w:themeColor="text1"/>
        </w:rPr>
        <w:t xml:space="preserve"> (</w:t>
      </w:r>
      <w:r w:rsidR="004526AD" w:rsidRPr="00C23102">
        <w:rPr>
          <w:rFonts w:ascii="Times" w:hAnsi="Times"/>
          <w:color w:val="000000" w:themeColor="text1"/>
        </w:rPr>
        <w:t>Figure 3</w:t>
      </w:r>
      <w:r w:rsidRPr="00C23102">
        <w:rPr>
          <w:rFonts w:ascii="Times" w:hAnsi="Times"/>
          <w:color w:val="000000" w:themeColor="text1"/>
        </w:rPr>
        <w:t xml:space="preserve">). When the number of projects supported within the scope of the </w:t>
      </w:r>
      <w:r w:rsidR="00044B5F" w:rsidRPr="00C23102">
        <w:rPr>
          <w:rFonts w:ascii="Times" w:hAnsi="Times"/>
          <w:color w:val="000000" w:themeColor="text1"/>
        </w:rPr>
        <w:t>TÜBITA</w:t>
      </w:r>
      <w:r w:rsidRPr="00C23102">
        <w:rPr>
          <w:rFonts w:ascii="Times" w:hAnsi="Times"/>
          <w:color w:val="000000" w:themeColor="text1"/>
        </w:rPr>
        <w:t xml:space="preserve">K-ARDEB program between 2016 and 2020 in the provinces is examined, </w:t>
      </w:r>
      <w:r w:rsidR="005269A4" w:rsidRPr="00C23102">
        <w:rPr>
          <w:rFonts w:ascii="Times" w:hAnsi="Times"/>
          <w:color w:val="000000" w:themeColor="text1"/>
        </w:rPr>
        <w:t xml:space="preserve">Kocaeli </w:t>
      </w:r>
      <w:r w:rsidRPr="00C23102">
        <w:rPr>
          <w:rFonts w:ascii="Times" w:hAnsi="Times"/>
          <w:color w:val="000000" w:themeColor="text1"/>
        </w:rPr>
        <w:t xml:space="preserve">is in </w:t>
      </w:r>
      <w:r w:rsidR="00AF470B" w:rsidRPr="00C23102">
        <w:rPr>
          <w:rFonts w:ascii="Times" w:hAnsi="Times"/>
          <w:color w:val="000000" w:themeColor="text1"/>
        </w:rPr>
        <w:t xml:space="preserve">in the first place with 273 supported projects, Kayseri is in the second place with 180 supported projects, </w:t>
      </w:r>
      <w:r w:rsidR="005269A4" w:rsidRPr="00C23102">
        <w:rPr>
          <w:rFonts w:ascii="Times" w:hAnsi="Times"/>
          <w:color w:val="000000" w:themeColor="text1"/>
        </w:rPr>
        <w:t>Samsun</w:t>
      </w:r>
      <w:r w:rsidRPr="00C23102">
        <w:rPr>
          <w:rFonts w:ascii="Times" w:hAnsi="Times"/>
          <w:color w:val="000000" w:themeColor="text1"/>
        </w:rPr>
        <w:t xml:space="preserve"> is in the third place with </w:t>
      </w:r>
      <w:r w:rsidR="005269A4" w:rsidRPr="00C23102">
        <w:rPr>
          <w:rFonts w:ascii="Times" w:hAnsi="Times"/>
          <w:color w:val="000000" w:themeColor="text1"/>
        </w:rPr>
        <w:t>91</w:t>
      </w:r>
      <w:r w:rsidRPr="00C23102">
        <w:rPr>
          <w:rFonts w:ascii="Times" w:hAnsi="Times"/>
          <w:color w:val="000000" w:themeColor="text1"/>
        </w:rPr>
        <w:t xml:space="preserve"> </w:t>
      </w:r>
      <w:r w:rsidR="00AF470B" w:rsidRPr="00C23102">
        <w:rPr>
          <w:rFonts w:ascii="Times" w:hAnsi="Times"/>
          <w:color w:val="000000" w:themeColor="text1"/>
        </w:rPr>
        <w:t xml:space="preserve">supported </w:t>
      </w:r>
      <w:r w:rsidRPr="00C23102">
        <w:rPr>
          <w:rFonts w:ascii="Times" w:hAnsi="Times"/>
          <w:color w:val="000000" w:themeColor="text1"/>
        </w:rPr>
        <w:t xml:space="preserve">projects. </w:t>
      </w:r>
      <w:r w:rsidR="00044B5F" w:rsidRPr="00C23102">
        <w:rPr>
          <w:rFonts w:ascii="Times" w:hAnsi="Times"/>
          <w:color w:val="000000" w:themeColor="text1"/>
        </w:rPr>
        <w:t>Mugla</w:t>
      </w:r>
      <w:r w:rsidR="005269A4" w:rsidRPr="00C23102">
        <w:rPr>
          <w:rFonts w:ascii="Times" w:hAnsi="Times"/>
          <w:color w:val="000000" w:themeColor="text1"/>
        </w:rPr>
        <w:t xml:space="preserve"> ranks fourth with a total of 48 project</w:t>
      </w:r>
      <w:r w:rsidR="00AF470B" w:rsidRPr="00C23102">
        <w:rPr>
          <w:rFonts w:ascii="Times" w:hAnsi="Times"/>
          <w:color w:val="000000" w:themeColor="text1"/>
        </w:rPr>
        <w:t>s</w:t>
      </w:r>
      <w:r w:rsidR="005269A4" w:rsidRPr="00C23102">
        <w:rPr>
          <w:rFonts w:ascii="Times" w:hAnsi="Times"/>
          <w:color w:val="000000" w:themeColor="text1"/>
        </w:rPr>
        <w:t>, Manisa is in the fifth</w:t>
      </w:r>
      <w:r w:rsidR="00AF470B" w:rsidRPr="00C23102">
        <w:rPr>
          <w:rFonts w:ascii="Times" w:hAnsi="Times"/>
          <w:color w:val="000000" w:themeColor="text1"/>
        </w:rPr>
        <w:t xml:space="preserve"> with a total of 40 projects</w:t>
      </w:r>
      <w:r w:rsidR="005269A4" w:rsidRPr="00C23102">
        <w:rPr>
          <w:rFonts w:ascii="Times" w:hAnsi="Times"/>
          <w:color w:val="000000" w:themeColor="text1"/>
        </w:rPr>
        <w:t xml:space="preserve">, </w:t>
      </w:r>
      <w:r w:rsidR="00044B5F" w:rsidRPr="00C23102">
        <w:rPr>
          <w:rFonts w:ascii="Times" w:hAnsi="Times"/>
          <w:color w:val="000000" w:themeColor="text1"/>
        </w:rPr>
        <w:t>Kahramanmaras</w:t>
      </w:r>
      <w:r w:rsidR="005269A4" w:rsidRPr="00C23102">
        <w:rPr>
          <w:rFonts w:ascii="Times" w:hAnsi="Times"/>
          <w:color w:val="000000" w:themeColor="text1"/>
        </w:rPr>
        <w:t xml:space="preserve"> is in the sixth </w:t>
      </w:r>
      <w:r w:rsidR="00AF470B" w:rsidRPr="00C23102">
        <w:rPr>
          <w:rFonts w:ascii="Times" w:hAnsi="Times"/>
          <w:color w:val="000000" w:themeColor="text1"/>
        </w:rPr>
        <w:t xml:space="preserve">with a total of 30 projects </w:t>
      </w:r>
      <w:r w:rsidR="005269A4" w:rsidRPr="00C23102">
        <w:rPr>
          <w:rFonts w:ascii="Times" w:hAnsi="Times"/>
          <w:color w:val="000000" w:themeColor="text1"/>
        </w:rPr>
        <w:t xml:space="preserve">and </w:t>
      </w:r>
      <w:r w:rsidR="00044B5F" w:rsidRPr="00C23102">
        <w:rPr>
          <w:rFonts w:ascii="Times" w:hAnsi="Times"/>
          <w:color w:val="000000" w:themeColor="text1"/>
        </w:rPr>
        <w:t>Balikesir</w:t>
      </w:r>
      <w:r w:rsidR="005269A4" w:rsidRPr="00C23102">
        <w:rPr>
          <w:rFonts w:ascii="Times" w:hAnsi="Times"/>
          <w:color w:val="000000" w:themeColor="text1"/>
        </w:rPr>
        <w:t xml:space="preserve"> is in the seventh</w:t>
      </w:r>
      <w:r w:rsidR="00AF470B" w:rsidRPr="00C23102">
        <w:rPr>
          <w:rFonts w:ascii="Times" w:hAnsi="Times"/>
          <w:color w:val="000000" w:themeColor="text1"/>
        </w:rPr>
        <w:t xml:space="preserve"> with a total of 19 projects</w:t>
      </w:r>
      <w:r w:rsidR="00811D78" w:rsidRPr="00C23102">
        <w:rPr>
          <w:rFonts w:ascii="Times" w:hAnsi="Times"/>
          <w:color w:val="000000" w:themeColor="text1"/>
        </w:rPr>
        <w:t xml:space="preserve"> (Figure 3).</w:t>
      </w:r>
      <w:r w:rsidR="009E26EA" w:rsidRPr="00C23102">
        <w:rPr>
          <w:rFonts w:ascii="Times" w:hAnsi="Times"/>
          <w:color w:val="050505"/>
        </w:rPr>
        <w:t xml:space="preserve"> </w:t>
      </w:r>
      <w:r w:rsidR="004526AD" w:rsidRPr="00C23102">
        <w:rPr>
          <w:rFonts w:ascii="Times" w:hAnsi="Times"/>
          <w:color w:val="050505"/>
        </w:rPr>
        <w:t xml:space="preserve">Although the number of projects is an important indicator in the graph of the general </w:t>
      </w:r>
      <w:r w:rsidR="004526AD" w:rsidRPr="00C23102">
        <w:rPr>
          <w:rFonts w:ascii="Times" w:hAnsi="Times"/>
          <w:color w:val="000000" w:themeColor="text1"/>
        </w:rPr>
        <w:t xml:space="preserve">distribution of the projects within the scope of the </w:t>
      </w:r>
      <w:r w:rsidR="00044B5F" w:rsidRPr="00C23102">
        <w:rPr>
          <w:rFonts w:ascii="Times" w:hAnsi="Times"/>
          <w:color w:val="000000" w:themeColor="text1"/>
        </w:rPr>
        <w:t>TÜBITA</w:t>
      </w:r>
      <w:r w:rsidR="004526AD" w:rsidRPr="00C23102">
        <w:rPr>
          <w:rFonts w:ascii="Times" w:hAnsi="Times"/>
          <w:color w:val="000000" w:themeColor="text1"/>
        </w:rPr>
        <w:t xml:space="preserve">K-ARDEB program between 2016 and 2020, the project </w:t>
      </w:r>
      <w:r w:rsidR="00D90977" w:rsidRPr="00C23102">
        <w:rPr>
          <w:rFonts w:ascii="Times" w:hAnsi="Times"/>
          <w:color w:val="000000" w:themeColor="text1"/>
        </w:rPr>
        <w:t>awarding</w:t>
      </w:r>
      <w:r w:rsidR="004526AD" w:rsidRPr="00C23102">
        <w:rPr>
          <w:rFonts w:ascii="Times" w:hAnsi="Times"/>
          <w:color w:val="000000" w:themeColor="text1"/>
        </w:rPr>
        <w:t xml:space="preserve"> rate (total supported/total applications) is an indicator that has meaning in terms of the R&amp;D and innovation quality of the projects. From this point of view, </w:t>
      </w:r>
      <w:r w:rsidR="005269A4" w:rsidRPr="00C23102">
        <w:rPr>
          <w:rFonts w:ascii="Times" w:hAnsi="Times"/>
          <w:color w:val="000000" w:themeColor="text1"/>
        </w:rPr>
        <w:t xml:space="preserve">Kocaeli </w:t>
      </w:r>
      <w:r w:rsidR="004526AD" w:rsidRPr="00C23102">
        <w:rPr>
          <w:rFonts w:ascii="Times" w:hAnsi="Times"/>
          <w:color w:val="000000" w:themeColor="text1"/>
        </w:rPr>
        <w:t xml:space="preserve">is in the first place with an average rate of </w:t>
      </w:r>
      <w:r w:rsidR="005269A4" w:rsidRPr="00C23102">
        <w:rPr>
          <w:rFonts w:ascii="Times" w:hAnsi="Times"/>
          <w:color w:val="000000" w:themeColor="text1"/>
        </w:rPr>
        <w:t>18,91</w:t>
      </w:r>
      <w:r w:rsidR="004526AD" w:rsidRPr="00C23102">
        <w:rPr>
          <w:rFonts w:ascii="Times" w:hAnsi="Times"/>
          <w:color w:val="000000" w:themeColor="text1"/>
        </w:rPr>
        <w:t xml:space="preserve">%, </w:t>
      </w:r>
      <w:r w:rsidR="005269A4" w:rsidRPr="00C23102">
        <w:rPr>
          <w:rFonts w:ascii="Times" w:hAnsi="Times"/>
          <w:color w:val="000000" w:themeColor="text1"/>
        </w:rPr>
        <w:t>Kayseri</w:t>
      </w:r>
      <w:r w:rsidR="004526AD" w:rsidRPr="00C23102">
        <w:rPr>
          <w:rFonts w:ascii="Times" w:hAnsi="Times"/>
          <w:color w:val="000000" w:themeColor="text1"/>
        </w:rPr>
        <w:t xml:space="preserve"> is in the second place with a rate of </w:t>
      </w:r>
      <w:r w:rsidR="005269A4" w:rsidRPr="00C23102">
        <w:rPr>
          <w:rFonts w:ascii="Times" w:hAnsi="Times"/>
          <w:color w:val="000000" w:themeColor="text1"/>
        </w:rPr>
        <w:t>12</w:t>
      </w:r>
      <w:r w:rsidR="004526AD" w:rsidRPr="00C23102">
        <w:rPr>
          <w:rFonts w:ascii="Times" w:hAnsi="Times"/>
          <w:color w:val="000000" w:themeColor="text1"/>
        </w:rPr>
        <w:t>.4</w:t>
      </w:r>
      <w:r w:rsidR="005269A4" w:rsidRPr="00C23102">
        <w:rPr>
          <w:rFonts w:ascii="Times" w:hAnsi="Times"/>
          <w:color w:val="000000" w:themeColor="text1"/>
        </w:rPr>
        <w:t>7</w:t>
      </w:r>
      <w:r w:rsidR="004526AD" w:rsidRPr="00C23102">
        <w:rPr>
          <w:rFonts w:ascii="Times" w:hAnsi="Times"/>
          <w:color w:val="000000" w:themeColor="text1"/>
        </w:rPr>
        <w:t xml:space="preserve">%, and </w:t>
      </w:r>
      <w:r w:rsidR="005269A4" w:rsidRPr="00C23102">
        <w:rPr>
          <w:rFonts w:ascii="Times" w:hAnsi="Times"/>
          <w:color w:val="000000" w:themeColor="text1"/>
        </w:rPr>
        <w:t xml:space="preserve">Manisa </w:t>
      </w:r>
      <w:r w:rsidR="004526AD" w:rsidRPr="00C23102">
        <w:rPr>
          <w:rFonts w:ascii="Times" w:hAnsi="Times"/>
          <w:color w:val="000000" w:themeColor="text1"/>
        </w:rPr>
        <w:t xml:space="preserve">is in the third place with a rate of </w:t>
      </w:r>
      <w:r w:rsidR="005269A4" w:rsidRPr="00C23102">
        <w:rPr>
          <w:rFonts w:ascii="Times" w:hAnsi="Times"/>
          <w:color w:val="000000" w:themeColor="text1"/>
        </w:rPr>
        <w:t>11,83</w:t>
      </w:r>
      <w:r w:rsidR="004526AD" w:rsidRPr="00C23102">
        <w:rPr>
          <w:rFonts w:ascii="Times" w:hAnsi="Times"/>
          <w:color w:val="000000" w:themeColor="text1"/>
        </w:rPr>
        <w:t xml:space="preserve">%. </w:t>
      </w:r>
      <w:r w:rsidR="005269A4" w:rsidRPr="00C23102">
        <w:rPr>
          <w:rFonts w:ascii="Times" w:hAnsi="Times"/>
          <w:color w:val="000000" w:themeColor="text1"/>
        </w:rPr>
        <w:t>Samsun</w:t>
      </w:r>
      <w:r w:rsidR="004526AD" w:rsidRPr="00C23102">
        <w:rPr>
          <w:rFonts w:ascii="Times" w:hAnsi="Times"/>
          <w:color w:val="000000" w:themeColor="text1"/>
        </w:rPr>
        <w:t xml:space="preserve"> is fourth with an average of 1</w:t>
      </w:r>
      <w:r w:rsidR="005269A4" w:rsidRPr="00C23102">
        <w:rPr>
          <w:rFonts w:ascii="Times" w:hAnsi="Times"/>
          <w:color w:val="000000" w:themeColor="text1"/>
        </w:rPr>
        <w:t>1</w:t>
      </w:r>
      <w:r w:rsidR="004526AD" w:rsidRPr="00C23102">
        <w:rPr>
          <w:rFonts w:ascii="Times" w:hAnsi="Times"/>
          <w:color w:val="000000" w:themeColor="text1"/>
        </w:rPr>
        <w:t>.</w:t>
      </w:r>
      <w:r w:rsidR="005269A4" w:rsidRPr="00C23102">
        <w:rPr>
          <w:rFonts w:ascii="Times" w:hAnsi="Times"/>
          <w:color w:val="000000" w:themeColor="text1"/>
        </w:rPr>
        <w:t>70</w:t>
      </w:r>
      <w:r w:rsidR="004526AD" w:rsidRPr="00C23102">
        <w:rPr>
          <w:rFonts w:ascii="Times" w:hAnsi="Times"/>
          <w:color w:val="000000" w:themeColor="text1"/>
        </w:rPr>
        <w:t>%</w:t>
      </w:r>
      <w:r w:rsidR="005269A4" w:rsidRPr="00C23102">
        <w:rPr>
          <w:rFonts w:ascii="Times" w:hAnsi="Times"/>
          <w:color w:val="000000" w:themeColor="text1"/>
        </w:rPr>
        <w:t>.</w:t>
      </w:r>
      <w:r w:rsidR="004526AD" w:rsidRPr="00C23102">
        <w:rPr>
          <w:rFonts w:ascii="Times" w:hAnsi="Times"/>
          <w:color w:val="000000" w:themeColor="text1"/>
        </w:rPr>
        <w:t xml:space="preserve"> Although there is not a big difference in project success rate </w:t>
      </w:r>
      <w:r w:rsidR="005269A4" w:rsidRPr="00C23102">
        <w:rPr>
          <w:rFonts w:ascii="Times" w:hAnsi="Times"/>
          <w:color w:val="000000" w:themeColor="text1"/>
        </w:rPr>
        <w:t>among those</w:t>
      </w:r>
      <w:r w:rsidR="004526AD" w:rsidRPr="00C23102">
        <w:rPr>
          <w:rFonts w:ascii="Times" w:hAnsi="Times"/>
          <w:color w:val="000000" w:themeColor="text1"/>
        </w:rPr>
        <w:t xml:space="preserve"> cities, </w:t>
      </w:r>
      <w:r w:rsidR="005269A4" w:rsidRPr="00C23102">
        <w:rPr>
          <w:rFonts w:ascii="Times" w:hAnsi="Times"/>
          <w:color w:val="000000" w:themeColor="text1"/>
        </w:rPr>
        <w:t>Samsun</w:t>
      </w:r>
      <w:r w:rsidR="004526AD" w:rsidRPr="00C23102">
        <w:rPr>
          <w:rFonts w:ascii="Times" w:hAnsi="Times"/>
          <w:color w:val="000000" w:themeColor="text1"/>
        </w:rPr>
        <w:t xml:space="preserve"> has the potential to increase this rate in terms of R&amp;D and innovation studies (Figure 3).</w:t>
      </w:r>
    </w:p>
    <w:bookmarkEnd w:id="22"/>
    <w:p w14:paraId="59BE8DC5" w14:textId="5C5FA6F4" w:rsidR="00AF1EE7" w:rsidRPr="00C23102" w:rsidRDefault="00AF1EE7" w:rsidP="00223FF3">
      <w:pPr>
        <w:pStyle w:val="BodyText"/>
        <w:spacing w:before="240" w:after="240" w:line="240" w:lineRule="auto"/>
        <w:ind w:left="1276" w:hanging="1276"/>
        <w:jc w:val="center"/>
        <w:rPr>
          <w:rFonts w:ascii="Times" w:hAnsi="Times"/>
          <w:b/>
          <w:bCs/>
          <w:color w:val="050505"/>
        </w:rPr>
      </w:pPr>
      <w:r w:rsidRPr="00C23102">
        <w:rPr>
          <w:rFonts w:ascii="Times" w:hAnsi="Times"/>
          <w:b/>
          <w:bCs/>
          <w:color w:val="050505"/>
        </w:rPr>
        <w:t xml:space="preserve">Figure </w:t>
      </w:r>
      <w:r w:rsidR="00976F56" w:rsidRPr="00C23102">
        <w:rPr>
          <w:rFonts w:ascii="Times" w:hAnsi="Times"/>
          <w:b/>
          <w:bCs/>
          <w:color w:val="050505"/>
        </w:rPr>
        <w:t>3.</w:t>
      </w:r>
      <w:bookmarkStart w:id="23" w:name="_Hlk74776691"/>
      <w:bookmarkStart w:id="24" w:name="_Hlk74776863"/>
      <w:r w:rsidR="00044B5F" w:rsidRPr="00C23102">
        <w:rPr>
          <w:rFonts w:ascii="Times" w:hAnsi="Times"/>
          <w:b/>
          <w:bCs/>
          <w:color w:val="050505"/>
        </w:rPr>
        <w:t xml:space="preserve"> </w:t>
      </w:r>
      <w:r w:rsidR="00E55188" w:rsidRPr="00C23102">
        <w:rPr>
          <w:rFonts w:ascii="Times" w:hAnsi="Times"/>
          <w:b/>
          <w:bCs/>
          <w:color w:val="050505"/>
        </w:rPr>
        <w:t>TUB</w:t>
      </w:r>
      <w:r w:rsidR="00044B5F" w:rsidRPr="00C23102">
        <w:rPr>
          <w:rFonts w:ascii="Times" w:hAnsi="Times"/>
          <w:b/>
          <w:bCs/>
          <w:color w:val="050505"/>
        </w:rPr>
        <w:t>I</w:t>
      </w:r>
      <w:r w:rsidR="00E55188" w:rsidRPr="00C23102">
        <w:rPr>
          <w:rFonts w:ascii="Times" w:hAnsi="Times"/>
          <w:b/>
          <w:bCs/>
          <w:color w:val="050505"/>
        </w:rPr>
        <w:t>TAK ARDEB Projects per Provinces</w:t>
      </w:r>
      <w:r w:rsidRPr="00C23102">
        <w:rPr>
          <w:rFonts w:ascii="Times" w:hAnsi="Times"/>
          <w:b/>
          <w:bCs/>
          <w:color w:val="050505"/>
        </w:rPr>
        <w:t xml:space="preserve"> (2016-2020)</w:t>
      </w:r>
      <w:bookmarkEnd w:id="23"/>
      <w:bookmarkEnd w:id="24"/>
    </w:p>
    <w:p w14:paraId="768213A5" w14:textId="77777777" w:rsidR="009E26EA" w:rsidRPr="00C23102" w:rsidRDefault="009E26EA" w:rsidP="00F44FEC">
      <w:pPr>
        <w:pStyle w:val="BodyText"/>
        <w:spacing w:after="240" w:line="240" w:lineRule="auto"/>
        <w:ind w:left="0" w:firstLine="567"/>
        <w:rPr>
          <w:rFonts w:ascii="Times" w:hAnsi="Times"/>
          <w:color w:val="000000" w:themeColor="text1"/>
        </w:rPr>
      </w:pPr>
      <w:r w:rsidRPr="00C23102">
        <w:rPr>
          <w:rFonts w:ascii="Times" w:hAnsi="Times"/>
          <w:noProof/>
        </w:rPr>
        <w:drawing>
          <wp:inline distT="0" distB="0" distL="0" distR="0" wp14:anchorId="7A19EEA7" wp14:editId="4FE56C3C">
            <wp:extent cx="4781550" cy="2295525"/>
            <wp:effectExtent l="0" t="0" r="0" b="9525"/>
            <wp:docPr id="9" name="Chart 9">
              <a:extLst xmlns:a="http://schemas.openxmlformats.org/drawingml/2006/main">
                <a:ext uri="{FF2B5EF4-FFF2-40B4-BE49-F238E27FC236}">
                  <a16:creationId xmlns:a16="http://schemas.microsoft.com/office/drawing/2014/main" id="{D3DFA016-79A9-421D-92E7-11FA0D94D6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A3416D" w14:textId="29B9EA56" w:rsidR="00223FF3" w:rsidRPr="00C23102" w:rsidRDefault="00223FF3" w:rsidP="00223FF3">
      <w:pPr>
        <w:pStyle w:val="BodyText"/>
        <w:spacing w:after="120" w:line="240" w:lineRule="auto"/>
        <w:ind w:left="0"/>
        <w:jc w:val="center"/>
        <w:rPr>
          <w:rFonts w:ascii="Times" w:hAnsi="Times"/>
          <w:b/>
          <w:bCs/>
          <w:color w:val="000000" w:themeColor="text1"/>
        </w:rPr>
      </w:pPr>
      <w:r w:rsidRPr="00C23102">
        <w:rPr>
          <w:rFonts w:ascii="Times" w:hAnsi="Times"/>
          <w:color w:val="000000" w:themeColor="text1"/>
          <w:sz w:val="22"/>
          <w:szCs w:val="22"/>
        </w:rPr>
        <w:t xml:space="preserve">Source: </w:t>
      </w:r>
      <w:r w:rsidRPr="00C23102">
        <w:rPr>
          <w:rFonts w:ascii="Times" w:hAnsi="Times"/>
          <w:color w:val="000000" w:themeColor="text1"/>
          <w:sz w:val="22"/>
          <w:szCs w:val="22"/>
        </w:rPr>
        <w:t>TUBITAK</w:t>
      </w:r>
      <w:r w:rsidRPr="00C23102">
        <w:rPr>
          <w:rFonts w:ascii="Times" w:hAnsi="Times"/>
          <w:color w:val="000000" w:themeColor="text1"/>
          <w:sz w:val="22"/>
          <w:szCs w:val="22"/>
        </w:rPr>
        <w:t>, 2021a</w:t>
      </w:r>
    </w:p>
    <w:p w14:paraId="0994D774" w14:textId="23EF9DBC" w:rsidR="00E55188" w:rsidRPr="00C23102" w:rsidRDefault="00572EF6" w:rsidP="00844A80">
      <w:pPr>
        <w:pStyle w:val="BodyText"/>
        <w:spacing w:after="240" w:line="240" w:lineRule="auto"/>
        <w:ind w:left="0" w:firstLine="709"/>
        <w:rPr>
          <w:rFonts w:ascii="Times" w:hAnsi="Times"/>
          <w:color w:val="000000" w:themeColor="text1"/>
        </w:rPr>
      </w:pPr>
      <w:r w:rsidRPr="00C23102">
        <w:rPr>
          <w:rFonts w:ascii="Times" w:hAnsi="Times"/>
          <w:color w:val="000000" w:themeColor="text1"/>
        </w:rPr>
        <w:t xml:space="preserve">When the project awarding rates within the scope of the </w:t>
      </w:r>
      <w:r w:rsidR="00044B5F" w:rsidRPr="00C23102">
        <w:rPr>
          <w:rFonts w:ascii="Times" w:hAnsi="Times"/>
          <w:color w:val="000000" w:themeColor="text1"/>
        </w:rPr>
        <w:t>TÜBITA</w:t>
      </w:r>
      <w:r w:rsidRPr="00C23102">
        <w:rPr>
          <w:rFonts w:ascii="Times" w:hAnsi="Times"/>
          <w:color w:val="000000" w:themeColor="text1"/>
        </w:rPr>
        <w:t xml:space="preserve">K-ARDEB program are examined in Samsun in the periods of 2014-2018, 2015-2019, 2016-2020, a decreasing trend </w:t>
      </w:r>
      <w:r w:rsidRPr="00C23102">
        <w:rPr>
          <w:rFonts w:ascii="Times" w:hAnsi="Times"/>
          <w:color w:val="000000" w:themeColor="text1"/>
        </w:rPr>
        <w:lastRenderedPageBreak/>
        <w:t xml:space="preserve">is observed. The awarding rate, which was 14.56% between 2014-2018, decreased to 13.86% in the 2015-2019 period and to 11.70% in the 2016-2020 period. </w:t>
      </w:r>
      <w:r w:rsidR="00B66E0D" w:rsidRPr="00C23102">
        <w:rPr>
          <w:rFonts w:ascii="Times" w:hAnsi="Times"/>
          <w:color w:val="000000" w:themeColor="text1"/>
        </w:rPr>
        <w:t>(</w:t>
      </w:r>
      <w:r w:rsidRPr="00C23102">
        <w:rPr>
          <w:rFonts w:ascii="Times" w:hAnsi="Times"/>
          <w:color w:val="000000" w:themeColor="text1"/>
        </w:rPr>
        <w:t>Figure 4</w:t>
      </w:r>
      <w:r w:rsidR="00B66E0D" w:rsidRPr="00C23102">
        <w:rPr>
          <w:rFonts w:ascii="Times" w:hAnsi="Times"/>
          <w:color w:val="000000" w:themeColor="text1"/>
        </w:rPr>
        <w:t>).</w:t>
      </w:r>
    </w:p>
    <w:p w14:paraId="313D77B3" w14:textId="56F91F92" w:rsidR="009E26EA" w:rsidRPr="00C23102" w:rsidRDefault="00E55188" w:rsidP="00223FF3">
      <w:pPr>
        <w:pStyle w:val="BodyText"/>
        <w:spacing w:before="240" w:after="240" w:line="240" w:lineRule="auto"/>
        <w:ind w:left="993" w:hanging="993"/>
        <w:jc w:val="center"/>
        <w:rPr>
          <w:rFonts w:ascii="Times" w:hAnsi="Times"/>
          <w:b/>
          <w:bCs/>
          <w:color w:val="000000" w:themeColor="text1"/>
        </w:rPr>
      </w:pPr>
      <w:r w:rsidRPr="00C23102">
        <w:rPr>
          <w:rFonts w:ascii="Times" w:hAnsi="Times"/>
          <w:b/>
          <w:bCs/>
          <w:color w:val="050505"/>
        </w:rPr>
        <w:t>Figure 4.</w:t>
      </w:r>
      <w:bookmarkStart w:id="25" w:name="_Hlk74776985"/>
      <w:r w:rsidR="00044B5F" w:rsidRPr="00C23102">
        <w:rPr>
          <w:rFonts w:ascii="Times" w:hAnsi="Times"/>
          <w:b/>
          <w:bCs/>
          <w:color w:val="050505"/>
        </w:rPr>
        <w:t xml:space="preserve"> TÜBITA</w:t>
      </w:r>
      <w:r w:rsidRPr="00C23102">
        <w:rPr>
          <w:rFonts w:ascii="Times" w:hAnsi="Times"/>
          <w:b/>
          <w:bCs/>
          <w:color w:val="050505"/>
        </w:rPr>
        <w:t>K ARDEB Project Awarding Rate of Samsun per 5-year-Period</w:t>
      </w:r>
      <w:bookmarkEnd w:id="25"/>
    </w:p>
    <w:p w14:paraId="7BB66954" w14:textId="1E25CBC5" w:rsidR="00E55188" w:rsidRPr="00C23102" w:rsidRDefault="009E26EA" w:rsidP="009E26EA">
      <w:pPr>
        <w:pStyle w:val="BodyText"/>
        <w:spacing w:before="240" w:after="240" w:line="240" w:lineRule="auto"/>
        <w:ind w:left="1276" w:hanging="1276"/>
        <w:jc w:val="center"/>
        <w:rPr>
          <w:rFonts w:ascii="Times" w:hAnsi="Times"/>
          <w:color w:val="050505"/>
        </w:rPr>
      </w:pPr>
      <w:r w:rsidRPr="00C23102">
        <w:rPr>
          <w:rFonts w:ascii="Times" w:hAnsi="Times"/>
          <w:noProof/>
        </w:rPr>
        <w:drawing>
          <wp:inline distT="0" distB="0" distL="0" distR="0" wp14:anchorId="082BE07D" wp14:editId="164FD82E">
            <wp:extent cx="4686300" cy="1838325"/>
            <wp:effectExtent l="0" t="0" r="0" b="9525"/>
            <wp:docPr id="3" name="Chart 3">
              <a:extLst xmlns:a="http://schemas.openxmlformats.org/drawingml/2006/main">
                <a:ext uri="{FF2B5EF4-FFF2-40B4-BE49-F238E27FC236}">
                  <a16:creationId xmlns:a16="http://schemas.microsoft.com/office/drawing/2014/main" id="{AD58E688-213A-49A6-BC18-B1DF36FC9F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3D0F90" w14:textId="77777777" w:rsidR="00223FF3" w:rsidRPr="00C23102" w:rsidRDefault="00223FF3" w:rsidP="00223FF3">
      <w:pPr>
        <w:pStyle w:val="BodyText"/>
        <w:spacing w:after="120" w:line="240" w:lineRule="auto"/>
        <w:ind w:left="0"/>
        <w:jc w:val="center"/>
        <w:rPr>
          <w:rFonts w:ascii="Times" w:hAnsi="Times"/>
          <w:b/>
          <w:bCs/>
          <w:color w:val="000000" w:themeColor="text1"/>
        </w:rPr>
      </w:pPr>
      <w:r w:rsidRPr="00C23102">
        <w:rPr>
          <w:rFonts w:ascii="Times" w:hAnsi="Times"/>
          <w:color w:val="000000" w:themeColor="text1"/>
          <w:sz w:val="22"/>
          <w:szCs w:val="22"/>
        </w:rPr>
        <w:t>Source: TUBITAK, 2021a</w:t>
      </w:r>
    </w:p>
    <w:p w14:paraId="72592AF2" w14:textId="3A82E8EC" w:rsidR="00811D78" w:rsidRPr="00C23102" w:rsidRDefault="00BE7D60" w:rsidP="00844A80">
      <w:pPr>
        <w:pStyle w:val="BodyText"/>
        <w:spacing w:after="120" w:line="240" w:lineRule="auto"/>
        <w:ind w:left="0" w:firstLine="709"/>
        <w:rPr>
          <w:rFonts w:ascii="Times" w:hAnsi="Times"/>
          <w:color w:val="050505"/>
        </w:rPr>
      </w:pPr>
      <w:r w:rsidRPr="00C23102">
        <w:rPr>
          <w:rFonts w:ascii="Times" w:hAnsi="Times"/>
          <w:color w:val="050505"/>
        </w:rPr>
        <w:t xml:space="preserve">Considering the average distribution of project budgets within the scope of the </w:t>
      </w:r>
      <w:r w:rsidR="00044B5F" w:rsidRPr="00C23102">
        <w:rPr>
          <w:rFonts w:ascii="Times" w:hAnsi="Times"/>
          <w:color w:val="050505"/>
        </w:rPr>
        <w:t>TÜBITA</w:t>
      </w:r>
      <w:r w:rsidRPr="00C23102">
        <w:rPr>
          <w:rFonts w:ascii="Times" w:hAnsi="Times"/>
          <w:color w:val="050505"/>
        </w:rPr>
        <w:t xml:space="preserve">K-ARDEB program between the years 2016-2020 in the provinces, Kocaeli ranks first with a total project budget of 370.8 million TL, Kayseri is the second with 58.6million TL and Samsun is the third with 40.1 million TL. Mugla is fourth with 22.5 million TL, </w:t>
      </w:r>
      <w:r w:rsidR="00044B5F" w:rsidRPr="00C23102">
        <w:rPr>
          <w:rFonts w:ascii="Times" w:hAnsi="Times"/>
          <w:color w:val="050505"/>
        </w:rPr>
        <w:t>Balikesir</w:t>
      </w:r>
      <w:r w:rsidRPr="00C23102">
        <w:rPr>
          <w:rFonts w:ascii="Times" w:hAnsi="Times"/>
          <w:color w:val="050505"/>
        </w:rPr>
        <w:t xml:space="preserve"> is fifth with 15.0 million TL, </w:t>
      </w:r>
      <w:r w:rsidR="00044B5F" w:rsidRPr="00C23102">
        <w:rPr>
          <w:rFonts w:ascii="Times" w:hAnsi="Times"/>
          <w:color w:val="050505"/>
        </w:rPr>
        <w:t>Kahramanmaras</w:t>
      </w:r>
      <w:r w:rsidRPr="00C23102">
        <w:rPr>
          <w:rFonts w:ascii="Times" w:hAnsi="Times"/>
          <w:color w:val="050505"/>
        </w:rPr>
        <w:t xml:space="preserve"> is sixth with 11.1 million TL and Manisa is seventh with 5.4 million TL</w:t>
      </w:r>
      <w:r w:rsidR="00136624" w:rsidRPr="00C23102">
        <w:rPr>
          <w:rFonts w:ascii="Times" w:hAnsi="Times"/>
          <w:color w:val="050505"/>
        </w:rPr>
        <w:t xml:space="preserve"> </w:t>
      </w:r>
      <w:r w:rsidRPr="00C23102">
        <w:rPr>
          <w:rFonts w:ascii="Times" w:hAnsi="Times"/>
          <w:color w:val="050505"/>
        </w:rPr>
        <w:t>(Figure 5).</w:t>
      </w:r>
    </w:p>
    <w:p w14:paraId="16DA9C64" w14:textId="52BE521E" w:rsidR="009E26EA" w:rsidRPr="00C23102" w:rsidRDefault="00E55188" w:rsidP="00223FF3">
      <w:pPr>
        <w:pStyle w:val="BodyText"/>
        <w:spacing w:before="240" w:after="240" w:line="240" w:lineRule="auto"/>
        <w:ind w:left="993" w:hanging="993"/>
        <w:jc w:val="center"/>
        <w:rPr>
          <w:rFonts w:ascii="Times" w:hAnsi="Times"/>
          <w:b/>
          <w:bCs/>
          <w:color w:val="000000" w:themeColor="text1"/>
        </w:rPr>
      </w:pPr>
      <w:r w:rsidRPr="00C23102">
        <w:rPr>
          <w:rFonts w:ascii="Times" w:hAnsi="Times"/>
          <w:b/>
          <w:bCs/>
          <w:color w:val="050505"/>
        </w:rPr>
        <w:t xml:space="preserve">Figure </w:t>
      </w:r>
      <w:r w:rsidR="00862F67" w:rsidRPr="00C23102">
        <w:rPr>
          <w:rFonts w:ascii="Times" w:hAnsi="Times"/>
          <w:b/>
          <w:bCs/>
          <w:color w:val="050505"/>
        </w:rPr>
        <w:t>5</w:t>
      </w:r>
      <w:r w:rsidRPr="00C23102">
        <w:rPr>
          <w:rFonts w:ascii="Times" w:hAnsi="Times"/>
          <w:b/>
          <w:bCs/>
          <w:color w:val="050505"/>
        </w:rPr>
        <w:t>.</w:t>
      </w:r>
      <w:bookmarkStart w:id="26" w:name="_Hlk74777316"/>
      <w:r w:rsidR="00044B5F" w:rsidRPr="00C23102">
        <w:rPr>
          <w:rFonts w:ascii="Times" w:hAnsi="Times"/>
          <w:b/>
          <w:bCs/>
          <w:color w:val="050505"/>
        </w:rPr>
        <w:t xml:space="preserve"> </w:t>
      </w:r>
      <w:r w:rsidRPr="00C23102">
        <w:rPr>
          <w:rFonts w:ascii="Times" w:hAnsi="Times"/>
          <w:b/>
          <w:bCs/>
          <w:color w:val="050505"/>
        </w:rPr>
        <w:t xml:space="preserve">Average Budget of </w:t>
      </w:r>
      <w:r w:rsidR="00044B5F" w:rsidRPr="00C23102">
        <w:rPr>
          <w:rFonts w:ascii="Times" w:hAnsi="Times"/>
          <w:b/>
          <w:bCs/>
          <w:color w:val="050505"/>
        </w:rPr>
        <w:t>TÜBITA</w:t>
      </w:r>
      <w:r w:rsidRPr="00C23102">
        <w:rPr>
          <w:rFonts w:ascii="Times" w:hAnsi="Times"/>
          <w:b/>
          <w:bCs/>
          <w:color w:val="050505"/>
        </w:rPr>
        <w:t>K ARDEB Projects</w:t>
      </w:r>
      <w:bookmarkEnd w:id="26"/>
      <w:r w:rsidR="00862F67" w:rsidRPr="00C23102">
        <w:rPr>
          <w:rFonts w:ascii="Times" w:hAnsi="Times"/>
          <w:b/>
          <w:bCs/>
          <w:color w:val="050505"/>
        </w:rPr>
        <w:t xml:space="preserve"> (TL) (2016-2020)</w:t>
      </w:r>
    </w:p>
    <w:p w14:paraId="7156989D" w14:textId="5BAE677E" w:rsidR="00E55188" w:rsidRPr="00C23102" w:rsidRDefault="009E26EA" w:rsidP="009E26EA">
      <w:pPr>
        <w:pStyle w:val="BodyText"/>
        <w:spacing w:before="240" w:after="240" w:line="240" w:lineRule="auto"/>
        <w:ind w:left="1276" w:hanging="1276"/>
        <w:jc w:val="center"/>
        <w:rPr>
          <w:rFonts w:ascii="Times" w:hAnsi="Times"/>
          <w:color w:val="050505"/>
        </w:rPr>
      </w:pPr>
      <w:r w:rsidRPr="00C23102">
        <w:rPr>
          <w:rFonts w:ascii="Times" w:hAnsi="Times"/>
          <w:noProof/>
        </w:rPr>
        <w:drawing>
          <wp:inline distT="0" distB="0" distL="0" distR="0" wp14:anchorId="5271F072" wp14:editId="782214D6">
            <wp:extent cx="4733925" cy="1981200"/>
            <wp:effectExtent l="0" t="0" r="9525" b="0"/>
            <wp:docPr id="4" name="Chart 4">
              <a:extLst xmlns:a="http://schemas.openxmlformats.org/drawingml/2006/main">
                <a:ext uri="{FF2B5EF4-FFF2-40B4-BE49-F238E27FC236}">
                  <a16:creationId xmlns:a16="http://schemas.microsoft.com/office/drawing/2014/main" id="{F0656B99-684E-4975-BD67-CE82712A46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B2E8558" w14:textId="77777777" w:rsidR="00223FF3" w:rsidRPr="00C23102" w:rsidRDefault="00223FF3" w:rsidP="00223FF3">
      <w:pPr>
        <w:pStyle w:val="BodyText"/>
        <w:spacing w:after="120" w:line="240" w:lineRule="auto"/>
        <w:ind w:left="0"/>
        <w:jc w:val="center"/>
        <w:rPr>
          <w:rFonts w:ascii="Times" w:hAnsi="Times"/>
          <w:b/>
          <w:bCs/>
          <w:color w:val="000000" w:themeColor="text1"/>
        </w:rPr>
      </w:pPr>
      <w:r w:rsidRPr="00C23102">
        <w:rPr>
          <w:rFonts w:ascii="Times" w:hAnsi="Times"/>
          <w:color w:val="000000" w:themeColor="text1"/>
          <w:sz w:val="22"/>
          <w:szCs w:val="22"/>
        </w:rPr>
        <w:t>Source: TUBITAK, 2021a</w:t>
      </w:r>
    </w:p>
    <w:p w14:paraId="1509F590" w14:textId="6A6117DF" w:rsidR="00BE7D60" w:rsidRPr="00C23102" w:rsidRDefault="00BE7D60" w:rsidP="00844A80">
      <w:pPr>
        <w:pStyle w:val="BodyText"/>
        <w:spacing w:before="0" w:line="240" w:lineRule="auto"/>
        <w:ind w:left="0" w:firstLine="709"/>
        <w:rPr>
          <w:rFonts w:ascii="Times" w:hAnsi="Times"/>
          <w:color w:val="050505"/>
        </w:rPr>
      </w:pPr>
      <w:r w:rsidRPr="00C23102">
        <w:rPr>
          <w:rFonts w:ascii="Times" w:hAnsi="Times"/>
          <w:color w:val="050505"/>
        </w:rPr>
        <w:t xml:space="preserve">It would be incomplete to make comments based on the number of projects applied and supported and to plan accordingly. In this context, the number of projects per researcher is the most accurate performance indicator. When the number of projects per 100 researchers in terms of project applications and supported projects between the years 2016-2020 is examined, Kayseri ranks first with 78.7 projects per 100 researchers, while Kocaeli is the second with 77.4 projects and Samsun with 47.7 projects is the third. </w:t>
      </w:r>
      <w:r w:rsidR="00044B5F" w:rsidRPr="00C23102">
        <w:rPr>
          <w:rFonts w:ascii="Times" w:hAnsi="Times"/>
          <w:color w:val="050505"/>
        </w:rPr>
        <w:t>Mugla</w:t>
      </w:r>
      <w:r w:rsidRPr="00C23102">
        <w:rPr>
          <w:rFonts w:ascii="Times" w:hAnsi="Times"/>
          <w:color w:val="050505"/>
        </w:rPr>
        <w:t xml:space="preserve"> is fourth with 35.72 projects, Manisa is fifth with 31.07 projects, </w:t>
      </w:r>
      <w:r w:rsidR="00044B5F" w:rsidRPr="00C23102">
        <w:rPr>
          <w:rFonts w:ascii="Times" w:hAnsi="Times"/>
          <w:color w:val="050505"/>
        </w:rPr>
        <w:t>Kahramanmaras</w:t>
      </w:r>
      <w:r w:rsidRPr="00C23102">
        <w:rPr>
          <w:rFonts w:ascii="Times" w:hAnsi="Times"/>
          <w:color w:val="050505"/>
        </w:rPr>
        <w:t xml:space="preserve"> is sixth with 31.04 projects and </w:t>
      </w:r>
      <w:r w:rsidR="00044B5F" w:rsidRPr="00C23102">
        <w:rPr>
          <w:rFonts w:ascii="Times" w:hAnsi="Times"/>
          <w:color w:val="050505"/>
        </w:rPr>
        <w:t>Balikesir</w:t>
      </w:r>
      <w:r w:rsidRPr="00C23102">
        <w:rPr>
          <w:rFonts w:ascii="Times" w:hAnsi="Times"/>
          <w:color w:val="050505"/>
        </w:rPr>
        <w:t xml:space="preserve"> is seventh with 19.91 projects.</w:t>
      </w:r>
      <w:r w:rsidR="009E26EA" w:rsidRPr="00C23102">
        <w:rPr>
          <w:rFonts w:ascii="Times" w:hAnsi="Times"/>
          <w:color w:val="050505"/>
        </w:rPr>
        <w:t xml:space="preserve"> </w:t>
      </w:r>
      <w:r w:rsidRPr="00C23102">
        <w:rPr>
          <w:rFonts w:ascii="Times" w:hAnsi="Times"/>
          <w:color w:val="050505"/>
        </w:rPr>
        <w:t xml:space="preserve">When evaluated in terms of the number of projects supported, Kocaeli ranks first with 14.6 projects, Kayseri takes the second with 9.8 projects, and Samsun takes the </w:t>
      </w:r>
      <w:r w:rsidRPr="00C23102">
        <w:rPr>
          <w:rFonts w:ascii="Times" w:hAnsi="Times"/>
          <w:color w:val="050505"/>
        </w:rPr>
        <w:lastRenderedPageBreak/>
        <w:t xml:space="preserve">third with 5.5 projects. </w:t>
      </w:r>
      <w:r w:rsidR="00044B5F" w:rsidRPr="00C23102">
        <w:rPr>
          <w:rFonts w:ascii="Times" w:hAnsi="Times"/>
          <w:color w:val="050505"/>
        </w:rPr>
        <w:t>Mugla</w:t>
      </w:r>
      <w:r w:rsidRPr="00C23102">
        <w:rPr>
          <w:rFonts w:ascii="Times" w:hAnsi="Times"/>
          <w:color w:val="050505"/>
        </w:rPr>
        <w:t xml:space="preserve"> is in fourth with 3.7 projects, Manisa is in fifth with 3.6 projects, </w:t>
      </w:r>
      <w:r w:rsidR="00044B5F" w:rsidRPr="00C23102">
        <w:rPr>
          <w:rFonts w:ascii="Times" w:hAnsi="Times"/>
          <w:color w:val="050505"/>
        </w:rPr>
        <w:t>Kahramanmaras</w:t>
      </w:r>
      <w:r w:rsidRPr="00C23102">
        <w:rPr>
          <w:rFonts w:ascii="Times" w:hAnsi="Times"/>
          <w:color w:val="050505"/>
        </w:rPr>
        <w:t xml:space="preserve"> is in sixth place with 3.03 projects and </w:t>
      </w:r>
      <w:r w:rsidR="00044B5F" w:rsidRPr="00C23102">
        <w:rPr>
          <w:rFonts w:ascii="Times" w:hAnsi="Times"/>
          <w:color w:val="050505"/>
        </w:rPr>
        <w:t>Balikesir</w:t>
      </w:r>
      <w:r w:rsidRPr="00C23102">
        <w:rPr>
          <w:rFonts w:ascii="Times" w:hAnsi="Times"/>
          <w:color w:val="050505"/>
        </w:rPr>
        <w:t xml:space="preserve"> is in seventh with 1.68 projects. (Figure 6).</w:t>
      </w:r>
    </w:p>
    <w:p w14:paraId="5CCAC0E6" w14:textId="7C8EAF86" w:rsidR="009E26EA" w:rsidRPr="00C23102" w:rsidRDefault="00862F67" w:rsidP="003A7803">
      <w:pPr>
        <w:pStyle w:val="BodyText"/>
        <w:spacing w:before="240" w:after="240" w:line="240" w:lineRule="auto"/>
        <w:ind w:left="993" w:hanging="993"/>
        <w:jc w:val="center"/>
        <w:rPr>
          <w:rFonts w:ascii="Times" w:hAnsi="Times"/>
          <w:b/>
          <w:bCs/>
          <w:noProof/>
        </w:rPr>
      </w:pPr>
      <w:r w:rsidRPr="00C23102">
        <w:rPr>
          <w:rFonts w:ascii="Times" w:hAnsi="Times"/>
          <w:b/>
          <w:bCs/>
          <w:color w:val="050505"/>
        </w:rPr>
        <w:t>Figure 6.</w:t>
      </w:r>
      <w:bookmarkStart w:id="27" w:name="_Hlk74777672"/>
      <w:r w:rsidR="00044B5F" w:rsidRPr="00C23102">
        <w:rPr>
          <w:rFonts w:ascii="Times" w:hAnsi="Times"/>
          <w:b/>
          <w:bCs/>
          <w:color w:val="050505"/>
        </w:rPr>
        <w:t xml:space="preserve"> </w:t>
      </w:r>
      <w:r w:rsidRPr="00C23102">
        <w:rPr>
          <w:rFonts w:ascii="Times" w:hAnsi="Times"/>
          <w:b/>
          <w:bCs/>
          <w:color w:val="050505"/>
        </w:rPr>
        <w:t xml:space="preserve">Number of </w:t>
      </w:r>
      <w:r w:rsidR="00044B5F" w:rsidRPr="00C23102">
        <w:rPr>
          <w:rFonts w:ascii="Times" w:hAnsi="Times"/>
          <w:b/>
          <w:bCs/>
          <w:color w:val="050505"/>
        </w:rPr>
        <w:t>TÜBITA</w:t>
      </w:r>
      <w:r w:rsidRPr="00C23102">
        <w:rPr>
          <w:rFonts w:ascii="Times" w:hAnsi="Times"/>
          <w:b/>
          <w:bCs/>
          <w:color w:val="050505"/>
        </w:rPr>
        <w:t>K ARDEB Projects per 100 Researchers (2016-2020)</w:t>
      </w:r>
      <w:bookmarkEnd w:id="27"/>
    </w:p>
    <w:p w14:paraId="1DE4FBF7" w14:textId="71FEF35A" w:rsidR="00862F67" w:rsidRPr="00C23102" w:rsidRDefault="009E26EA" w:rsidP="009E26EA">
      <w:pPr>
        <w:pStyle w:val="BodyText"/>
        <w:spacing w:before="240" w:after="240" w:line="240" w:lineRule="auto"/>
        <w:ind w:left="1276" w:hanging="1276"/>
        <w:jc w:val="center"/>
        <w:rPr>
          <w:rFonts w:ascii="Times" w:hAnsi="Times"/>
          <w:color w:val="050505"/>
        </w:rPr>
      </w:pPr>
      <w:r w:rsidRPr="00C23102">
        <w:rPr>
          <w:rFonts w:ascii="Times" w:hAnsi="Times"/>
          <w:noProof/>
        </w:rPr>
        <w:drawing>
          <wp:inline distT="0" distB="0" distL="0" distR="0" wp14:anchorId="389CA8D0" wp14:editId="6D050F92">
            <wp:extent cx="4962525" cy="2409825"/>
            <wp:effectExtent l="0" t="0" r="9525" b="9525"/>
            <wp:docPr id="5" name="Chart 5">
              <a:extLst xmlns:a="http://schemas.openxmlformats.org/drawingml/2006/main">
                <a:ext uri="{FF2B5EF4-FFF2-40B4-BE49-F238E27FC236}">
                  <a16:creationId xmlns:a16="http://schemas.microsoft.com/office/drawing/2014/main" id="{2ED2D961-B790-4EF2-B2C1-21BE3A0B7F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DDB116" w14:textId="77777777" w:rsidR="00223FF3" w:rsidRPr="00C23102" w:rsidRDefault="00223FF3" w:rsidP="00223FF3">
      <w:pPr>
        <w:pStyle w:val="BodyText"/>
        <w:spacing w:after="120" w:line="240" w:lineRule="auto"/>
        <w:ind w:left="0"/>
        <w:jc w:val="center"/>
        <w:rPr>
          <w:rFonts w:ascii="Times" w:hAnsi="Times"/>
          <w:b/>
          <w:bCs/>
          <w:color w:val="000000" w:themeColor="text1"/>
        </w:rPr>
      </w:pPr>
      <w:r w:rsidRPr="00C23102">
        <w:rPr>
          <w:rFonts w:ascii="Times" w:hAnsi="Times"/>
          <w:color w:val="000000" w:themeColor="text1"/>
          <w:sz w:val="22"/>
          <w:szCs w:val="22"/>
        </w:rPr>
        <w:t>Source: TUBITAK, 2021a</w:t>
      </w:r>
    </w:p>
    <w:p w14:paraId="5F65075A" w14:textId="0BDB124E" w:rsidR="00B66E0D" w:rsidRPr="00C23102" w:rsidRDefault="00B66E0D"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4.1.</w:t>
      </w:r>
      <w:r w:rsidR="005841BE" w:rsidRPr="00C23102">
        <w:rPr>
          <w:rFonts w:ascii="Times" w:hAnsi="Times"/>
          <w:b/>
          <w:bCs/>
          <w:color w:val="000000" w:themeColor="text1"/>
        </w:rPr>
        <w:t>1</w:t>
      </w:r>
      <w:r w:rsidRPr="00C23102">
        <w:rPr>
          <w:rFonts w:ascii="Times" w:hAnsi="Times"/>
          <w:b/>
          <w:bCs/>
          <w:color w:val="000000" w:themeColor="text1"/>
        </w:rPr>
        <w:t>.</w:t>
      </w:r>
      <w:r w:rsidR="005841BE" w:rsidRPr="00C23102">
        <w:rPr>
          <w:rFonts w:ascii="Times" w:hAnsi="Times"/>
          <w:b/>
          <w:bCs/>
          <w:color w:val="000000" w:themeColor="text1"/>
        </w:rPr>
        <w:t>2.</w:t>
      </w:r>
      <w:r w:rsidRPr="00C23102">
        <w:rPr>
          <w:rFonts w:ascii="Times" w:hAnsi="Times"/>
          <w:b/>
          <w:bCs/>
          <w:color w:val="000000" w:themeColor="text1"/>
        </w:rPr>
        <w:t xml:space="preserve"> University Competence Analysis</w:t>
      </w:r>
    </w:p>
    <w:p w14:paraId="5F51AF55" w14:textId="0DBC3431" w:rsidR="008A6BC7" w:rsidRPr="00C23102" w:rsidRDefault="008A6BC7" w:rsidP="00844A80">
      <w:pPr>
        <w:pStyle w:val="BodyText"/>
        <w:spacing w:after="120" w:line="240" w:lineRule="auto"/>
        <w:ind w:left="0" w:firstLine="709"/>
        <w:rPr>
          <w:rFonts w:ascii="Times" w:hAnsi="Times"/>
          <w:color w:val="050505"/>
        </w:rPr>
      </w:pPr>
      <w:r w:rsidRPr="00C23102">
        <w:rPr>
          <w:rFonts w:ascii="Times" w:hAnsi="Times"/>
          <w:color w:val="050505"/>
        </w:rPr>
        <w:t xml:space="preserve">The </w:t>
      </w:r>
      <w:r w:rsidR="00AD158C" w:rsidRPr="00C23102">
        <w:rPr>
          <w:rFonts w:ascii="Times" w:hAnsi="Times"/>
          <w:color w:val="050505"/>
        </w:rPr>
        <w:t xml:space="preserve">study of </w:t>
      </w:r>
      <w:r w:rsidRPr="00C23102">
        <w:rPr>
          <w:rFonts w:ascii="Times" w:hAnsi="Times"/>
          <w:color w:val="050505"/>
        </w:rPr>
        <w:t>Field-Based Competency Analysis of Universities</w:t>
      </w:r>
      <w:r w:rsidR="00AD158C" w:rsidRPr="00C23102">
        <w:rPr>
          <w:rFonts w:ascii="Times" w:hAnsi="Times"/>
          <w:color w:val="050505"/>
        </w:rPr>
        <w:t xml:space="preserve"> </w:t>
      </w:r>
      <w:r w:rsidRPr="00C23102">
        <w:rPr>
          <w:rFonts w:ascii="Times" w:hAnsi="Times"/>
          <w:color w:val="050505"/>
        </w:rPr>
        <w:t>which was created by the Scientific and Technological Research Council of Turkey (TUBITAK) and first published in 2016, has been updated and published</w:t>
      </w:r>
      <w:r w:rsidR="00AD158C" w:rsidRPr="00C23102">
        <w:rPr>
          <w:rFonts w:ascii="Times" w:hAnsi="Times"/>
          <w:color w:val="050505"/>
        </w:rPr>
        <w:t xml:space="preserve"> (TUBITAK, 2021b)</w:t>
      </w:r>
      <w:r w:rsidRPr="00C23102">
        <w:rPr>
          <w:rFonts w:ascii="Times" w:hAnsi="Times"/>
          <w:color w:val="050505"/>
        </w:rPr>
        <w:t>.</w:t>
      </w:r>
      <w:r w:rsidR="009E26EA" w:rsidRPr="00C23102">
        <w:rPr>
          <w:rFonts w:ascii="Times" w:hAnsi="Times"/>
          <w:color w:val="050505"/>
        </w:rPr>
        <w:t xml:space="preserve"> </w:t>
      </w:r>
      <w:r w:rsidRPr="00C23102">
        <w:rPr>
          <w:rFonts w:ascii="Times" w:hAnsi="Times"/>
          <w:color w:val="050505"/>
        </w:rPr>
        <w:t xml:space="preserve">The purpose of the Field-Based Competency Analysis of Universities study is to enable the performances of universities to be evaluated comparatively on the basis of research fields. The study included 131 sub-research areas. University competency analysis was carried out on the basis of volume and quality indicators; quality indicators have a weight of 60% and volume indicators have a weight of 40%. In 2021, updates were made in order to measure the system with a more quality focus and to increase the quality of the measured indicators. In this context, the previous quality dimension, which consists of the relative citation effect of the publications to the world and the number of publications in the top 10% of the highest citations worldwide, has been expanded. In addition to these indicators, research efficiency of academics; The nature of R&amp;D and innovation projects; the number of publications cited by patents; and international cooperation, and its contribution to the internationalization of our country/university have been added. In the volume dimension, 4 indicators are included. These are the contribution to the knowledge in the world, the share of the critical mass that creates academic value in that field in Turkey, the R&amp;D and innovation project volume, the relative focus index of the university on Turkey in the relevant field. Within the scope of the current competency analysis study, 2014-2018 for data related to publications and citations; based on the 2014-2019 period for the data on the projects; 160 universities established in 2014 and before were evaluated. Data on the indicators were obtained separately for Turkey and the world through the Scopus database and the SciVal program. TUBITAK database was used for project data; </w:t>
      </w:r>
      <w:r w:rsidR="007D6B1C" w:rsidRPr="00C23102">
        <w:rPr>
          <w:rFonts w:ascii="Times" w:hAnsi="Times"/>
          <w:color w:val="050505"/>
        </w:rPr>
        <w:t>b</w:t>
      </w:r>
      <w:r w:rsidRPr="00C23102">
        <w:rPr>
          <w:rFonts w:ascii="Times" w:hAnsi="Times"/>
          <w:color w:val="050505"/>
        </w:rPr>
        <w:t xml:space="preserve">oth national and international project data of universities are included in the calculations. As a result of the calculations, graphics that visually present the competency levels for research fields and universities are included in the report. Competency graphs with volume and quality axes were drawn for those who have at </w:t>
      </w:r>
      <w:r w:rsidRPr="00C23102">
        <w:rPr>
          <w:rFonts w:ascii="Times" w:hAnsi="Times"/>
          <w:color w:val="050505"/>
        </w:rPr>
        <w:lastRenderedPageBreak/>
        <w:t>least 6 data on the basis of fields and universities.</w:t>
      </w:r>
      <w:r w:rsidR="004249FF" w:rsidRPr="00C23102">
        <w:rPr>
          <w:rFonts w:ascii="Times" w:hAnsi="Times"/>
          <w:color w:val="050505"/>
        </w:rPr>
        <w:t xml:space="preserve"> </w:t>
      </w:r>
      <w:r w:rsidRPr="00C23102">
        <w:rPr>
          <w:rFonts w:ascii="Times" w:hAnsi="Times"/>
          <w:color w:val="050505"/>
        </w:rPr>
        <w:t>The study was first published in November 2020</w:t>
      </w:r>
      <w:r w:rsidR="007D6B1C" w:rsidRPr="00C23102">
        <w:rPr>
          <w:rFonts w:ascii="Times" w:hAnsi="Times"/>
          <w:color w:val="050505"/>
        </w:rPr>
        <w:t xml:space="preserve"> and</w:t>
      </w:r>
      <w:r w:rsidRPr="00C23102">
        <w:rPr>
          <w:rFonts w:ascii="Times" w:hAnsi="Times"/>
          <w:color w:val="050505"/>
        </w:rPr>
        <w:t xml:space="preserve"> has been updated in February 2021</w:t>
      </w:r>
      <w:r w:rsidR="007D6B1C" w:rsidRPr="00C23102">
        <w:rPr>
          <w:rFonts w:ascii="Times" w:hAnsi="Times"/>
          <w:color w:val="050505"/>
        </w:rPr>
        <w:t>.</w:t>
      </w:r>
      <w:r w:rsidRPr="00C23102">
        <w:rPr>
          <w:rFonts w:ascii="Times" w:hAnsi="Times"/>
          <w:color w:val="050505"/>
        </w:rPr>
        <w:t xml:space="preserve"> </w:t>
      </w:r>
    </w:p>
    <w:p w14:paraId="0E6659CE" w14:textId="6CC423E3" w:rsidR="00A31C99" w:rsidRPr="00C23102" w:rsidRDefault="00F62D15" w:rsidP="00844A80">
      <w:pPr>
        <w:pStyle w:val="BodyText"/>
        <w:spacing w:after="120" w:line="240" w:lineRule="auto"/>
        <w:ind w:left="0" w:firstLine="709"/>
        <w:rPr>
          <w:rFonts w:ascii="Times" w:hAnsi="Times"/>
          <w:color w:val="050505"/>
        </w:rPr>
      </w:pPr>
      <w:r w:rsidRPr="00C23102">
        <w:rPr>
          <w:rFonts w:ascii="Times" w:hAnsi="Times"/>
          <w:color w:val="050505"/>
        </w:rPr>
        <w:t>Ondokuz</w:t>
      </w:r>
      <w:r w:rsidR="00AD158C" w:rsidRPr="00C23102">
        <w:rPr>
          <w:rFonts w:ascii="Times" w:hAnsi="Times"/>
          <w:color w:val="050505"/>
        </w:rPr>
        <w:t xml:space="preserve"> </w:t>
      </w:r>
      <w:r w:rsidR="00044B5F" w:rsidRPr="00C23102">
        <w:rPr>
          <w:rFonts w:ascii="Times" w:hAnsi="Times"/>
          <w:color w:val="050505"/>
        </w:rPr>
        <w:t>Mayis</w:t>
      </w:r>
      <w:r w:rsidRPr="00C23102">
        <w:rPr>
          <w:rFonts w:ascii="Times" w:hAnsi="Times"/>
          <w:color w:val="050505"/>
        </w:rPr>
        <w:t xml:space="preserve"> University is competent in food processing, bioenergy and plant protection (</w:t>
      </w:r>
      <w:r w:rsidR="00E13F4C" w:rsidRPr="00C23102">
        <w:rPr>
          <w:rFonts w:ascii="Times" w:hAnsi="Times"/>
          <w:color w:val="050505"/>
        </w:rPr>
        <w:t>Figure 7</w:t>
      </w:r>
      <w:r w:rsidRPr="00C23102">
        <w:rPr>
          <w:rFonts w:ascii="Times" w:hAnsi="Times"/>
          <w:color w:val="050505"/>
        </w:rPr>
        <w:t>)</w:t>
      </w:r>
      <w:r w:rsidR="00E13F4C" w:rsidRPr="00C23102">
        <w:rPr>
          <w:rFonts w:ascii="Times" w:hAnsi="Times"/>
          <w:color w:val="050505"/>
        </w:rPr>
        <w:t xml:space="preserve"> </w:t>
      </w:r>
      <w:r w:rsidRPr="00C23102">
        <w:rPr>
          <w:rFonts w:ascii="Times" w:hAnsi="Times"/>
          <w:color w:val="050505"/>
        </w:rPr>
        <w:t>This situation paves the way for a sectoral structuring in Samsun, which is at the forefront in food areas.</w:t>
      </w:r>
      <w:r w:rsidR="00B712B1" w:rsidRPr="00C23102">
        <w:rPr>
          <w:rFonts w:ascii="Times" w:hAnsi="Times"/>
          <w:color w:val="050505"/>
        </w:rPr>
        <w:t xml:space="preserve"> </w:t>
      </w:r>
      <w:r w:rsidRPr="00C23102">
        <w:rPr>
          <w:rFonts w:ascii="Times" w:hAnsi="Times"/>
          <w:color w:val="050505"/>
        </w:rPr>
        <w:t xml:space="preserve">Samsun University is competent in inorganic chemistry and robotics (Figure </w:t>
      </w:r>
      <w:r w:rsidR="00E13F4C" w:rsidRPr="00C23102">
        <w:rPr>
          <w:rFonts w:ascii="Times" w:hAnsi="Times"/>
          <w:color w:val="050505"/>
        </w:rPr>
        <w:t>8</w:t>
      </w:r>
      <w:r w:rsidRPr="00C23102">
        <w:rPr>
          <w:rFonts w:ascii="Times" w:hAnsi="Times"/>
          <w:color w:val="050505"/>
        </w:rPr>
        <w:t>). The concentration on these areas points to a prominent structure in the chemistry and robotic sectors in Samsun. However, this structure needs to be transformed into result-oriented studies in cooperation with industry.</w:t>
      </w:r>
    </w:p>
    <w:p w14:paraId="29FDD972" w14:textId="3BA1B97F" w:rsidR="009E26EA" w:rsidRPr="00C23102" w:rsidRDefault="00AD158C" w:rsidP="00F44FEC">
      <w:pPr>
        <w:pStyle w:val="BodyText"/>
        <w:spacing w:before="240" w:after="240" w:line="240" w:lineRule="auto"/>
        <w:ind w:left="1276" w:hanging="1276"/>
        <w:jc w:val="center"/>
        <w:rPr>
          <w:rFonts w:ascii="Times" w:hAnsi="Times"/>
          <w:b/>
          <w:bCs/>
          <w:color w:val="000000" w:themeColor="text1"/>
        </w:rPr>
      </w:pPr>
      <w:r w:rsidRPr="00C23102">
        <w:rPr>
          <w:rFonts w:ascii="Times" w:hAnsi="Times"/>
          <w:b/>
          <w:bCs/>
          <w:color w:val="050505"/>
        </w:rPr>
        <w:t xml:space="preserve">Figure </w:t>
      </w:r>
      <w:r w:rsidR="00137D00" w:rsidRPr="00C23102">
        <w:rPr>
          <w:rFonts w:ascii="Times" w:hAnsi="Times"/>
          <w:b/>
          <w:bCs/>
          <w:color w:val="050505"/>
        </w:rPr>
        <w:t>7</w:t>
      </w:r>
      <w:r w:rsidRPr="00C23102">
        <w:rPr>
          <w:rFonts w:ascii="Times" w:hAnsi="Times"/>
          <w:b/>
          <w:bCs/>
          <w:color w:val="050505"/>
        </w:rPr>
        <w:t>.</w:t>
      </w:r>
      <w:bookmarkStart w:id="28" w:name="_Hlk74778716"/>
      <w:r w:rsidR="00044B5F" w:rsidRPr="00C23102">
        <w:rPr>
          <w:rFonts w:ascii="Times" w:hAnsi="Times"/>
          <w:b/>
          <w:bCs/>
          <w:color w:val="050505"/>
        </w:rPr>
        <w:t xml:space="preserve"> </w:t>
      </w:r>
      <w:r w:rsidRPr="00C23102">
        <w:rPr>
          <w:rFonts w:ascii="Times" w:hAnsi="Times"/>
          <w:b/>
          <w:bCs/>
          <w:color w:val="050505"/>
        </w:rPr>
        <w:t xml:space="preserve">Ondokuz </w:t>
      </w:r>
      <w:r w:rsidR="00044B5F" w:rsidRPr="00C23102">
        <w:rPr>
          <w:rFonts w:ascii="Times" w:hAnsi="Times"/>
          <w:b/>
          <w:bCs/>
          <w:color w:val="050505"/>
        </w:rPr>
        <w:t>Mayis</w:t>
      </w:r>
      <w:r w:rsidRPr="00C23102">
        <w:rPr>
          <w:rFonts w:ascii="Times" w:hAnsi="Times"/>
          <w:b/>
          <w:bCs/>
          <w:color w:val="050505"/>
        </w:rPr>
        <w:t xml:space="preserve"> University Competence Analysis</w:t>
      </w:r>
      <w:bookmarkEnd w:id="28"/>
    </w:p>
    <w:p w14:paraId="04AFBF59" w14:textId="71F389E9" w:rsidR="00AD158C" w:rsidRPr="00C23102" w:rsidRDefault="009E26EA" w:rsidP="00F44FEC">
      <w:pPr>
        <w:pStyle w:val="BodyText"/>
        <w:spacing w:before="240" w:after="240" w:line="240" w:lineRule="auto"/>
        <w:ind w:left="1276" w:hanging="1276"/>
        <w:jc w:val="center"/>
        <w:rPr>
          <w:rFonts w:ascii="Times" w:hAnsi="Times"/>
          <w:noProof/>
          <w:color w:val="050505"/>
        </w:rPr>
      </w:pPr>
      <w:r w:rsidRPr="00C23102">
        <w:rPr>
          <w:rFonts w:ascii="Times" w:hAnsi="Times"/>
          <w:noProof/>
          <w:color w:val="050505"/>
        </w:rPr>
        <w:t xml:space="preserve"> </w:t>
      </w:r>
      <w:r w:rsidRPr="00C23102">
        <w:rPr>
          <w:rFonts w:ascii="Times" w:hAnsi="Times"/>
          <w:noProof/>
          <w:color w:val="050505"/>
        </w:rPr>
        <w:drawing>
          <wp:inline distT="0" distB="0" distL="0" distR="0" wp14:anchorId="05FF9D5C" wp14:editId="3A4485F9">
            <wp:extent cx="5220749" cy="2614819"/>
            <wp:effectExtent l="19050" t="19050" r="18415" b="14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70676" cy="2639825"/>
                    </a:xfrm>
                    <a:prstGeom prst="rect">
                      <a:avLst/>
                    </a:prstGeom>
                    <a:noFill/>
                    <a:ln>
                      <a:solidFill>
                        <a:schemeClr val="tx1"/>
                      </a:solidFill>
                    </a:ln>
                  </pic:spPr>
                </pic:pic>
              </a:graphicData>
            </a:graphic>
          </wp:inline>
        </w:drawing>
      </w:r>
    </w:p>
    <w:p w14:paraId="26FEB312" w14:textId="14288419" w:rsidR="00044B5F" w:rsidRPr="00C23102" w:rsidRDefault="00044B5F" w:rsidP="00F44FEC">
      <w:pPr>
        <w:pStyle w:val="BodyText"/>
        <w:spacing w:before="240" w:after="240" w:line="240" w:lineRule="auto"/>
        <w:ind w:left="1276" w:hanging="1276"/>
        <w:jc w:val="center"/>
        <w:rPr>
          <w:rFonts w:ascii="Times" w:hAnsi="Times"/>
          <w:color w:val="050505"/>
        </w:rPr>
      </w:pPr>
      <w:r w:rsidRPr="00C23102">
        <w:rPr>
          <w:rFonts w:ascii="Times" w:hAnsi="Times"/>
          <w:color w:val="000000" w:themeColor="text1"/>
          <w:sz w:val="22"/>
          <w:szCs w:val="22"/>
        </w:rPr>
        <w:t>Source: TÜBITAK, 2021b</w:t>
      </w:r>
    </w:p>
    <w:p w14:paraId="04D0753F" w14:textId="58A9222D" w:rsidR="004249FF" w:rsidRPr="00C23102" w:rsidRDefault="00044B5F" w:rsidP="00F44FEC">
      <w:pPr>
        <w:pStyle w:val="BodyText"/>
        <w:spacing w:before="0" w:line="240" w:lineRule="auto"/>
        <w:ind w:left="0"/>
        <w:jc w:val="center"/>
        <w:rPr>
          <w:rFonts w:ascii="Times" w:hAnsi="Times"/>
          <w:b/>
          <w:bCs/>
          <w:color w:val="2F5496" w:themeColor="accent5" w:themeShade="BF"/>
        </w:rPr>
      </w:pPr>
      <w:r w:rsidRPr="00C23102">
        <w:rPr>
          <w:rFonts w:ascii="Times" w:hAnsi="Times"/>
          <w:b/>
          <w:bCs/>
          <w:color w:val="050505"/>
        </w:rPr>
        <w:t>Figure 8.</w:t>
      </w:r>
      <w:r w:rsidRPr="00C23102">
        <w:rPr>
          <w:rFonts w:ascii="Times" w:hAnsi="Times"/>
          <w:b/>
          <w:bCs/>
          <w:color w:val="050505"/>
        </w:rPr>
        <w:t xml:space="preserve"> </w:t>
      </w:r>
      <w:r w:rsidRPr="00C23102">
        <w:rPr>
          <w:rFonts w:ascii="Times" w:hAnsi="Times"/>
          <w:b/>
          <w:bCs/>
          <w:color w:val="000000" w:themeColor="text1"/>
        </w:rPr>
        <w:t>Samsun</w:t>
      </w:r>
      <w:r w:rsidRPr="00C23102">
        <w:rPr>
          <w:rFonts w:ascii="Times" w:hAnsi="Times"/>
          <w:b/>
          <w:bCs/>
          <w:color w:val="050505"/>
        </w:rPr>
        <w:t xml:space="preserve"> University Competence Analysis</w:t>
      </w:r>
    </w:p>
    <w:p w14:paraId="1F9EB924" w14:textId="252A876E" w:rsidR="009E26EA" w:rsidRPr="00C23102" w:rsidRDefault="009E26EA" w:rsidP="00F44FEC">
      <w:pPr>
        <w:pStyle w:val="BodyText"/>
        <w:spacing w:before="240" w:after="240" w:line="240" w:lineRule="auto"/>
        <w:ind w:left="1276" w:hanging="1276"/>
        <w:jc w:val="center"/>
        <w:rPr>
          <w:rFonts w:ascii="Times" w:hAnsi="Times"/>
          <w:color w:val="000000" w:themeColor="text1"/>
        </w:rPr>
      </w:pPr>
      <w:bookmarkStart w:id="29" w:name="_Hlk74778692"/>
      <w:r w:rsidRPr="00C23102">
        <w:rPr>
          <w:rFonts w:ascii="Times" w:hAnsi="Times"/>
          <w:b/>
          <w:bCs/>
          <w:noProof/>
          <w:color w:val="2F5496" w:themeColor="accent5" w:themeShade="BF"/>
        </w:rPr>
        <w:drawing>
          <wp:anchor distT="0" distB="0" distL="114300" distR="114300" simplePos="0" relativeHeight="251658240" behindDoc="0" locked="0" layoutInCell="1" allowOverlap="1" wp14:anchorId="3EED0340" wp14:editId="4FB4463D">
            <wp:simplePos x="0" y="0"/>
            <wp:positionH relativeFrom="column">
              <wp:posOffset>209160</wp:posOffset>
            </wp:positionH>
            <wp:positionV relativeFrom="paragraph">
              <wp:posOffset>242611</wp:posOffset>
            </wp:positionV>
            <wp:extent cx="5281295" cy="2645410"/>
            <wp:effectExtent l="19050" t="19050" r="14605" b="2159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1295" cy="2645410"/>
                    </a:xfrm>
                    <a:prstGeom prst="rect">
                      <a:avLst/>
                    </a:prstGeom>
                    <a:noFill/>
                    <a:ln>
                      <a:solidFill>
                        <a:schemeClr val="tx1"/>
                      </a:solidFill>
                    </a:ln>
                  </pic:spPr>
                </pic:pic>
              </a:graphicData>
            </a:graphic>
          </wp:anchor>
        </w:drawing>
      </w:r>
      <w:r w:rsidR="00B34B6A" w:rsidRPr="00C23102">
        <w:rPr>
          <w:rFonts w:ascii="Times" w:hAnsi="Times"/>
          <w:b/>
          <w:bCs/>
          <w:color w:val="050505"/>
        </w:rPr>
        <w:t xml:space="preserve"> </w:t>
      </w:r>
      <w:r w:rsidR="00044B5F" w:rsidRPr="00C23102">
        <w:rPr>
          <w:rFonts w:ascii="Times" w:hAnsi="Times"/>
          <w:color w:val="000000" w:themeColor="text1"/>
          <w:sz w:val="22"/>
          <w:szCs w:val="22"/>
        </w:rPr>
        <w:t>Source: TÜBITA</w:t>
      </w:r>
      <w:r w:rsidR="00B34B6A" w:rsidRPr="00C23102">
        <w:rPr>
          <w:rFonts w:ascii="Times" w:hAnsi="Times"/>
          <w:color w:val="000000" w:themeColor="text1"/>
          <w:sz w:val="22"/>
          <w:szCs w:val="22"/>
        </w:rPr>
        <w:t>K, 2021b</w:t>
      </w:r>
    </w:p>
    <w:bookmarkEnd w:id="29"/>
    <w:p w14:paraId="356101CA" w14:textId="3125EF17" w:rsidR="004249FF" w:rsidRPr="00C23102" w:rsidRDefault="004249FF"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lastRenderedPageBreak/>
        <w:t>4.1.</w:t>
      </w:r>
      <w:r w:rsidR="005841BE" w:rsidRPr="00C23102">
        <w:rPr>
          <w:rFonts w:ascii="Times" w:hAnsi="Times"/>
          <w:b/>
          <w:bCs/>
          <w:color w:val="000000" w:themeColor="text1"/>
        </w:rPr>
        <w:t>1</w:t>
      </w:r>
      <w:r w:rsidRPr="00C23102">
        <w:rPr>
          <w:rFonts w:ascii="Times" w:hAnsi="Times"/>
          <w:b/>
          <w:bCs/>
          <w:color w:val="000000" w:themeColor="text1"/>
        </w:rPr>
        <w:t>.</w:t>
      </w:r>
      <w:r w:rsidR="005841BE" w:rsidRPr="00C23102">
        <w:rPr>
          <w:rFonts w:ascii="Times" w:hAnsi="Times"/>
          <w:b/>
          <w:bCs/>
          <w:color w:val="000000" w:themeColor="text1"/>
        </w:rPr>
        <w:t>3.</w:t>
      </w:r>
      <w:r w:rsidRPr="00C23102">
        <w:rPr>
          <w:rFonts w:ascii="Times" w:hAnsi="Times"/>
          <w:b/>
          <w:bCs/>
          <w:color w:val="000000" w:themeColor="text1"/>
        </w:rPr>
        <w:t xml:space="preserve"> </w:t>
      </w:r>
      <w:r w:rsidR="00E5748C" w:rsidRPr="00C23102">
        <w:rPr>
          <w:rFonts w:ascii="Times" w:hAnsi="Times"/>
          <w:b/>
          <w:bCs/>
          <w:color w:val="000000" w:themeColor="text1"/>
        </w:rPr>
        <w:t xml:space="preserve">Universities’ Performance in </w:t>
      </w:r>
      <w:r w:rsidRPr="00C23102">
        <w:rPr>
          <w:rFonts w:ascii="Times" w:hAnsi="Times"/>
          <w:b/>
          <w:bCs/>
          <w:color w:val="000000" w:themeColor="text1"/>
        </w:rPr>
        <w:t xml:space="preserve">Intellectual Property Rights (IPR) </w:t>
      </w:r>
    </w:p>
    <w:p w14:paraId="3D4F6990" w14:textId="4CB0C02B" w:rsidR="00A43EFC" w:rsidRPr="00C23102" w:rsidRDefault="00D22FC7" w:rsidP="00844A80">
      <w:pPr>
        <w:pStyle w:val="BodyText"/>
        <w:spacing w:after="240" w:line="240" w:lineRule="auto"/>
        <w:ind w:left="0" w:firstLine="709"/>
        <w:rPr>
          <w:rFonts w:ascii="Times" w:hAnsi="Times"/>
          <w:color w:val="FF0000"/>
        </w:rPr>
      </w:pPr>
      <w:bookmarkStart w:id="30" w:name="_Hlk74134406"/>
      <w:r w:rsidRPr="00C23102">
        <w:rPr>
          <w:rFonts w:ascii="Times" w:hAnsi="Times"/>
          <w:color w:val="050505"/>
        </w:rPr>
        <w:t xml:space="preserve">According to the data of the Turkish Patent Office, when the patent performances of the universities in the provinces within the scope of the research are compared </w:t>
      </w:r>
      <w:r w:rsidR="007E64E4" w:rsidRPr="00C23102">
        <w:rPr>
          <w:rFonts w:ascii="Times" w:hAnsi="Times"/>
          <w:color w:val="050505"/>
        </w:rPr>
        <w:t>in</w:t>
      </w:r>
      <w:r w:rsidRPr="00C23102">
        <w:rPr>
          <w:rFonts w:ascii="Times" w:hAnsi="Times"/>
          <w:color w:val="050505"/>
        </w:rPr>
        <w:t xml:space="preserve"> 2019</w:t>
      </w:r>
      <w:bookmarkEnd w:id="30"/>
      <w:r w:rsidRPr="00C23102">
        <w:rPr>
          <w:rFonts w:ascii="Times" w:hAnsi="Times"/>
          <w:color w:val="050505"/>
        </w:rPr>
        <w:t xml:space="preserve">, Kayseri is in the first place with </w:t>
      </w:r>
      <w:r w:rsidR="007E64E4" w:rsidRPr="00C23102">
        <w:rPr>
          <w:rFonts w:ascii="Times" w:hAnsi="Times"/>
          <w:color w:val="050505"/>
        </w:rPr>
        <w:t>91</w:t>
      </w:r>
      <w:r w:rsidRPr="00C23102">
        <w:rPr>
          <w:rFonts w:ascii="Times" w:hAnsi="Times"/>
          <w:color w:val="050505"/>
        </w:rPr>
        <w:t xml:space="preserve"> patent applications, Samsun is in the second place with </w:t>
      </w:r>
      <w:r w:rsidR="007E64E4" w:rsidRPr="00C23102">
        <w:rPr>
          <w:rFonts w:ascii="Times" w:hAnsi="Times"/>
          <w:color w:val="050505"/>
        </w:rPr>
        <w:t>31</w:t>
      </w:r>
      <w:r w:rsidRPr="00C23102">
        <w:rPr>
          <w:rFonts w:ascii="Times" w:hAnsi="Times"/>
          <w:color w:val="050505"/>
        </w:rPr>
        <w:t xml:space="preserve"> patent applications and </w:t>
      </w:r>
      <w:r w:rsidR="00044B5F" w:rsidRPr="00C23102">
        <w:rPr>
          <w:rFonts w:ascii="Times" w:hAnsi="Times"/>
          <w:color w:val="050505"/>
        </w:rPr>
        <w:t>Kahramanmaras</w:t>
      </w:r>
      <w:r w:rsidRPr="00C23102">
        <w:rPr>
          <w:rFonts w:ascii="Times" w:hAnsi="Times"/>
          <w:color w:val="050505"/>
        </w:rPr>
        <w:t xml:space="preserve"> is in the third place with 13 patent applications. Kocaeli is the fourth with 6 patent applications, Manisa is the fifth with 2 patent applications, and </w:t>
      </w:r>
      <w:r w:rsidR="00044B5F" w:rsidRPr="00C23102">
        <w:rPr>
          <w:rFonts w:ascii="Times" w:hAnsi="Times"/>
          <w:color w:val="050505"/>
        </w:rPr>
        <w:t>Balikesir</w:t>
      </w:r>
      <w:r w:rsidRPr="00C23102">
        <w:rPr>
          <w:rFonts w:ascii="Times" w:hAnsi="Times"/>
          <w:color w:val="050505"/>
        </w:rPr>
        <w:t xml:space="preserve"> and </w:t>
      </w:r>
      <w:r w:rsidR="00044B5F" w:rsidRPr="00C23102">
        <w:rPr>
          <w:rFonts w:ascii="Times" w:hAnsi="Times"/>
          <w:color w:val="050505"/>
        </w:rPr>
        <w:t>Mugla</w:t>
      </w:r>
      <w:r w:rsidRPr="00C23102">
        <w:rPr>
          <w:rFonts w:ascii="Times" w:hAnsi="Times"/>
          <w:color w:val="050505"/>
        </w:rPr>
        <w:t xml:space="preserve"> are sharing the sixth place with 1 patent application</w:t>
      </w:r>
      <w:r w:rsidR="00223FF3" w:rsidRPr="00C23102">
        <w:rPr>
          <w:rFonts w:ascii="Times" w:hAnsi="Times"/>
          <w:color w:val="050505"/>
        </w:rPr>
        <w:t xml:space="preserve"> </w:t>
      </w:r>
      <w:r w:rsidR="00223FF3" w:rsidRPr="00C23102">
        <w:rPr>
          <w:rFonts w:ascii="Times" w:hAnsi="Times"/>
          <w:color w:val="050505"/>
        </w:rPr>
        <w:t xml:space="preserve">(Figure </w:t>
      </w:r>
      <w:r w:rsidR="00223FF3" w:rsidRPr="00C23102">
        <w:rPr>
          <w:rFonts w:ascii="Times" w:hAnsi="Times"/>
          <w:color w:val="050505"/>
        </w:rPr>
        <w:t>9</w:t>
      </w:r>
      <w:r w:rsidR="00223FF3" w:rsidRPr="00C23102">
        <w:rPr>
          <w:rFonts w:ascii="Times" w:hAnsi="Times"/>
          <w:color w:val="050505"/>
        </w:rPr>
        <w:t>).</w:t>
      </w:r>
      <w:r w:rsidRPr="00C23102">
        <w:rPr>
          <w:rFonts w:ascii="Times" w:hAnsi="Times"/>
          <w:color w:val="050505"/>
        </w:rPr>
        <w:t xml:space="preserve"> </w:t>
      </w:r>
    </w:p>
    <w:p w14:paraId="3472597B" w14:textId="0E0FD6FA" w:rsidR="00844A80" w:rsidRPr="00C23102" w:rsidRDefault="00B34B6A" w:rsidP="00223FF3">
      <w:pPr>
        <w:pStyle w:val="BodyText"/>
        <w:spacing w:before="240" w:after="240" w:line="240" w:lineRule="auto"/>
        <w:ind w:left="1276" w:hanging="1276"/>
        <w:jc w:val="center"/>
        <w:rPr>
          <w:rFonts w:ascii="Times" w:hAnsi="Times"/>
          <w:b/>
          <w:bCs/>
          <w:color w:val="000000" w:themeColor="text1"/>
        </w:rPr>
      </w:pPr>
      <w:r w:rsidRPr="00C23102">
        <w:rPr>
          <w:rFonts w:ascii="Times" w:hAnsi="Times"/>
          <w:b/>
          <w:bCs/>
          <w:color w:val="050505"/>
        </w:rPr>
        <w:t xml:space="preserve">Figure </w:t>
      </w:r>
      <w:r w:rsidR="00864765" w:rsidRPr="00C23102">
        <w:rPr>
          <w:rFonts w:ascii="Times" w:hAnsi="Times"/>
          <w:b/>
          <w:bCs/>
          <w:color w:val="050505"/>
        </w:rPr>
        <w:t>9</w:t>
      </w:r>
      <w:r w:rsidRPr="00C23102">
        <w:rPr>
          <w:rFonts w:ascii="Times" w:hAnsi="Times"/>
          <w:b/>
          <w:bCs/>
          <w:color w:val="050505"/>
        </w:rPr>
        <w:t>.</w:t>
      </w:r>
      <w:bookmarkStart w:id="31" w:name="_Hlk74822596"/>
      <w:r w:rsidR="00044B5F" w:rsidRPr="00C23102">
        <w:rPr>
          <w:rFonts w:ascii="Times" w:hAnsi="Times"/>
          <w:b/>
          <w:bCs/>
          <w:color w:val="050505"/>
        </w:rPr>
        <w:t xml:space="preserve"> </w:t>
      </w:r>
      <w:r w:rsidRPr="00C23102">
        <w:rPr>
          <w:rFonts w:ascii="Times" w:hAnsi="Times"/>
          <w:b/>
          <w:bCs/>
          <w:color w:val="000000" w:themeColor="text1"/>
        </w:rPr>
        <w:t>Number of Patent Application by Universities (2019)</w:t>
      </w:r>
      <w:bookmarkEnd w:id="31"/>
    </w:p>
    <w:p w14:paraId="2A9A04BC" w14:textId="21DF877F" w:rsidR="00B34B6A" w:rsidRPr="00C23102" w:rsidRDefault="00844A80" w:rsidP="00844A80">
      <w:pPr>
        <w:pStyle w:val="BodyText"/>
        <w:spacing w:before="240" w:after="240" w:line="240" w:lineRule="auto"/>
        <w:ind w:left="1276" w:hanging="1276"/>
        <w:jc w:val="center"/>
        <w:rPr>
          <w:rFonts w:ascii="Times" w:hAnsi="Times"/>
          <w:color w:val="050505"/>
        </w:rPr>
      </w:pPr>
      <w:r w:rsidRPr="00C23102">
        <w:rPr>
          <w:rFonts w:ascii="Times" w:hAnsi="Times"/>
          <w:noProof/>
        </w:rPr>
        <w:drawing>
          <wp:inline distT="0" distB="0" distL="0" distR="0" wp14:anchorId="60030892" wp14:editId="6F6CB190">
            <wp:extent cx="4352925" cy="2114550"/>
            <wp:effectExtent l="0" t="0" r="9525" b="0"/>
            <wp:docPr id="1" name="Chart 1">
              <a:extLst xmlns:a="http://schemas.openxmlformats.org/drawingml/2006/main">
                <a:ext uri="{FF2B5EF4-FFF2-40B4-BE49-F238E27FC236}">
                  <a16:creationId xmlns:a16="http://schemas.microsoft.com/office/drawing/2014/main" id="{D9C8008F-7154-46DF-9A79-9D7B1ADB46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8A9772B" w14:textId="47A13234" w:rsidR="00223FF3" w:rsidRPr="00C23102" w:rsidRDefault="00223FF3" w:rsidP="00223FF3">
      <w:pPr>
        <w:pStyle w:val="BodyText"/>
        <w:spacing w:after="240" w:line="240" w:lineRule="auto"/>
        <w:ind w:left="0"/>
        <w:jc w:val="center"/>
        <w:rPr>
          <w:rFonts w:ascii="Times" w:hAnsi="Times"/>
          <w:color w:val="050505"/>
        </w:rPr>
      </w:pPr>
      <w:r w:rsidRPr="00C23102">
        <w:rPr>
          <w:rFonts w:ascii="Times" w:hAnsi="Times"/>
          <w:color w:val="000000" w:themeColor="text1"/>
          <w:sz w:val="22"/>
          <w:szCs w:val="22"/>
        </w:rPr>
        <w:t>Source: TURKPATENT, 2020</w:t>
      </w:r>
    </w:p>
    <w:p w14:paraId="133288DE" w14:textId="17DA6BD6" w:rsidR="007E64E4" w:rsidRPr="00C23102" w:rsidRDefault="00D22FC7" w:rsidP="00844A80">
      <w:pPr>
        <w:pStyle w:val="BodyText"/>
        <w:spacing w:after="240" w:line="240" w:lineRule="auto"/>
        <w:ind w:left="0" w:firstLine="709"/>
        <w:rPr>
          <w:rFonts w:ascii="Times" w:hAnsi="Times"/>
          <w:color w:val="050505"/>
        </w:rPr>
      </w:pPr>
      <w:r w:rsidRPr="00C23102">
        <w:rPr>
          <w:rFonts w:ascii="Times" w:hAnsi="Times"/>
          <w:color w:val="050505"/>
        </w:rPr>
        <w:t xml:space="preserve">When the number of university patent applications per 1,000 researchers is </w:t>
      </w:r>
      <w:r w:rsidR="007E64E4" w:rsidRPr="00C23102">
        <w:rPr>
          <w:rFonts w:ascii="Times" w:hAnsi="Times"/>
          <w:color w:val="050505"/>
        </w:rPr>
        <w:t>analysed</w:t>
      </w:r>
      <w:r w:rsidRPr="00C23102">
        <w:rPr>
          <w:rFonts w:ascii="Times" w:hAnsi="Times"/>
          <w:color w:val="050505"/>
        </w:rPr>
        <w:t xml:space="preserve">, </w:t>
      </w:r>
      <w:r w:rsidR="007E64E4" w:rsidRPr="00C23102">
        <w:rPr>
          <w:rFonts w:ascii="Times" w:hAnsi="Times"/>
          <w:color w:val="050505"/>
        </w:rPr>
        <w:t xml:space="preserve">Kayseri is in the first place with 49,62 patent applications, Samsun is in the second place with 19,02 patent applications and </w:t>
      </w:r>
      <w:r w:rsidR="00044B5F" w:rsidRPr="00C23102">
        <w:rPr>
          <w:rFonts w:ascii="Times" w:hAnsi="Times"/>
          <w:color w:val="050505"/>
        </w:rPr>
        <w:t>Kahramanmaras</w:t>
      </w:r>
      <w:r w:rsidR="007E64E4" w:rsidRPr="00C23102">
        <w:rPr>
          <w:rFonts w:ascii="Times" w:hAnsi="Times"/>
          <w:color w:val="050505"/>
        </w:rPr>
        <w:t xml:space="preserve"> is in the third place with 13,14 patent applications. Kocaeli is the fourth with 6,44 patent applications, Manisa is the fifth with 1,84 patent applications, </w:t>
      </w:r>
      <w:r w:rsidR="00044B5F" w:rsidRPr="00C23102">
        <w:rPr>
          <w:rFonts w:ascii="Times" w:hAnsi="Times"/>
          <w:color w:val="050505"/>
        </w:rPr>
        <w:t>Balikesir</w:t>
      </w:r>
      <w:r w:rsidR="007E64E4" w:rsidRPr="00C23102">
        <w:rPr>
          <w:rFonts w:ascii="Times" w:hAnsi="Times"/>
          <w:color w:val="050505"/>
        </w:rPr>
        <w:t xml:space="preserve"> is the sixth with 0,88 patent applications and </w:t>
      </w:r>
      <w:r w:rsidR="00044B5F" w:rsidRPr="00C23102">
        <w:rPr>
          <w:rFonts w:ascii="Times" w:hAnsi="Times"/>
          <w:color w:val="050505"/>
        </w:rPr>
        <w:t>Mugla</w:t>
      </w:r>
      <w:r w:rsidR="007E64E4" w:rsidRPr="00C23102">
        <w:rPr>
          <w:rFonts w:ascii="Times" w:hAnsi="Times"/>
          <w:color w:val="050505"/>
        </w:rPr>
        <w:t xml:space="preserve"> is the seventh place with 0,77 patent application (Figure </w:t>
      </w:r>
      <w:r w:rsidR="00864765" w:rsidRPr="00C23102">
        <w:rPr>
          <w:rFonts w:ascii="Times" w:hAnsi="Times"/>
          <w:color w:val="050505"/>
        </w:rPr>
        <w:t>10</w:t>
      </w:r>
      <w:r w:rsidR="007E64E4" w:rsidRPr="00C23102">
        <w:rPr>
          <w:rFonts w:ascii="Times" w:hAnsi="Times"/>
          <w:color w:val="050505"/>
        </w:rPr>
        <w:t>).</w:t>
      </w:r>
    </w:p>
    <w:p w14:paraId="311BA948" w14:textId="5743699D" w:rsidR="00864765" w:rsidRPr="00C23102" w:rsidRDefault="00864765" w:rsidP="00F44FEC">
      <w:pPr>
        <w:pStyle w:val="BodyText"/>
        <w:spacing w:before="240" w:after="240" w:line="240" w:lineRule="auto"/>
        <w:ind w:left="1276" w:hanging="1276"/>
        <w:jc w:val="center"/>
        <w:rPr>
          <w:rFonts w:ascii="Times" w:hAnsi="Times"/>
          <w:b/>
          <w:bCs/>
          <w:color w:val="000000" w:themeColor="text1"/>
        </w:rPr>
      </w:pPr>
      <w:r w:rsidRPr="00C23102">
        <w:rPr>
          <w:rFonts w:ascii="Times" w:hAnsi="Times"/>
          <w:b/>
          <w:bCs/>
          <w:color w:val="050505"/>
        </w:rPr>
        <w:t>Figure 10.</w:t>
      </w:r>
      <w:r w:rsidR="00044B5F" w:rsidRPr="00C23102">
        <w:rPr>
          <w:rFonts w:ascii="Times" w:hAnsi="Times"/>
          <w:b/>
          <w:bCs/>
          <w:color w:val="050505"/>
        </w:rPr>
        <w:t xml:space="preserve"> </w:t>
      </w:r>
      <w:r w:rsidRPr="00C23102">
        <w:rPr>
          <w:rFonts w:ascii="Times" w:hAnsi="Times"/>
          <w:b/>
          <w:bCs/>
          <w:color w:val="000000" w:themeColor="text1"/>
        </w:rPr>
        <w:t>Number of Patent Application per 100 Researchers (2019)</w:t>
      </w:r>
    </w:p>
    <w:p w14:paraId="7290F4B9" w14:textId="479D09FC" w:rsidR="00844A80" w:rsidRPr="00C23102" w:rsidRDefault="00844A80" w:rsidP="00F44FEC">
      <w:pPr>
        <w:pStyle w:val="BodyText"/>
        <w:spacing w:before="240" w:after="240" w:line="240" w:lineRule="auto"/>
        <w:ind w:left="1276" w:hanging="1276"/>
        <w:jc w:val="center"/>
        <w:rPr>
          <w:rFonts w:ascii="Times" w:hAnsi="Times"/>
          <w:color w:val="050505"/>
        </w:rPr>
      </w:pPr>
      <w:r w:rsidRPr="00C23102">
        <w:rPr>
          <w:rFonts w:ascii="Times" w:hAnsi="Times"/>
          <w:noProof/>
        </w:rPr>
        <w:drawing>
          <wp:inline distT="0" distB="0" distL="0" distR="0" wp14:anchorId="6E94D87E" wp14:editId="5F4252B5">
            <wp:extent cx="4629785" cy="2139950"/>
            <wp:effectExtent l="0" t="0" r="18415" b="12700"/>
            <wp:docPr id="12" name="Chart 12">
              <a:extLst xmlns:a="http://schemas.openxmlformats.org/drawingml/2006/main">
                <a:ext uri="{FF2B5EF4-FFF2-40B4-BE49-F238E27FC236}">
                  <a16:creationId xmlns:a16="http://schemas.microsoft.com/office/drawing/2014/main" id="{CDB4C42B-D952-4F25-9287-97B331920F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1B57D23" w14:textId="77777777" w:rsidR="00223FF3" w:rsidRPr="00C23102" w:rsidRDefault="00223FF3" w:rsidP="00223FF3">
      <w:pPr>
        <w:pStyle w:val="BodyText"/>
        <w:spacing w:after="240" w:line="240" w:lineRule="auto"/>
        <w:ind w:left="0"/>
        <w:jc w:val="center"/>
        <w:rPr>
          <w:rFonts w:ascii="Times" w:hAnsi="Times"/>
          <w:color w:val="050505"/>
        </w:rPr>
      </w:pPr>
      <w:r w:rsidRPr="00C23102">
        <w:rPr>
          <w:rFonts w:ascii="Times" w:hAnsi="Times"/>
          <w:color w:val="000000" w:themeColor="text1"/>
          <w:sz w:val="22"/>
          <w:szCs w:val="22"/>
        </w:rPr>
        <w:t>Source: TURKPATENT, 2020</w:t>
      </w:r>
    </w:p>
    <w:p w14:paraId="0A326B26" w14:textId="5FCBED03" w:rsidR="00D22FC7" w:rsidRPr="00C23102" w:rsidRDefault="007E64E4" w:rsidP="00844A80">
      <w:pPr>
        <w:pStyle w:val="BodyText"/>
        <w:spacing w:after="120" w:line="240" w:lineRule="auto"/>
        <w:ind w:left="0" w:firstLine="709"/>
        <w:rPr>
          <w:rFonts w:ascii="Times" w:hAnsi="Times"/>
          <w:color w:val="050505"/>
        </w:rPr>
      </w:pPr>
      <w:r w:rsidRPr="00C23102">
        <w:rPr>
          <w:rFonts w:ascii="Times" w:hAnsi="Times"/>
          <w:color w:val="050505"/>
        </w:rPr>
        <w:lastRenderedPageBreak/>
        <w:t xml:space="preserve">When the number of university patent </w:t>
      </w:r>
      <w:r w:rsidR="00A43EFC" w:rsidRPr="00C23102">
        <w:rPr>
          <w:rFonts w:ascii="Times" w:hAnsi="Times"/>
          <w:color w:val="050505"/>
        </w:rPr>
        <w:t>registrations</w:t>
      </w:r>
      <w:r w:rsidRPr="00C23102">
        <w:rPr>
          <w:rFonts w:ascii="Times" w:hAnsi="Times"/>
          <w:color w:val="050505"/>
        </w:rPr>
        <w:t xml:space="preserve"> per 1,000 researchers is analysed,</w:t>
      </w:r>
      <w:r w:rsidR="00A43EFC" w:rsidRPr="00C23102">
        <w:rPr>
          <w:rFonts w:ascii="Times" w:hAnsi="Times"/>
        </w:rPr>
        <w:t xml:space="preserve"> </w:t>
      </w:r>
      <w:r w:rsidR="00044B5F" w:rsidRPr="00C23102">
        <w:rPr>
          <w:rFonts w:ascii="Times" w:hAnsi="Times"/>
          <w:color w:val="050505"/>
        </w:rPr>
        <w:t>Kahramanmaras</w:t>
      </w:r>
      <w:r w:rsidRPr="00C23102">
        <w:rPr>
          <w:rFonts w:ascii="Times" w:hAnsi="Times"/>
          <w:color w:val="050505"/>
        </w:rPr>
        <w:t xml:space="preserve"> is in the first place with </w:t>
      </w:r>
      <w:r w:rsidR="00A43EFC" w:rsidRPr="00C23102">
        <w:rPr>
          <w:rFonts w:ascii="Times" w:hAnsi="Times"/>
          <w:color w:val="050505"/>
        </w:rPr>
        <w:t>7</w:t>
      </w:r>
      <w:r w:rsidRPr="00C23102">
        <w:rPr>
          <w:rFonts w:ascii="Times" w:hAnsi="Times"/>
          <w:color w:val="050505"/>
        </w:rPr>
        <w:t>,</w:t>
      </w:r>
      <w:r w:rsidR="00A43EFC" w:rsidRPr="00C23102">
        <w:rPr>
          <w:rFonts w:ascii="Times" w:hAnsi="Times"/>
          <w:color w:val="050505"/>
        </w:rPr>
        <w:t>08</w:t>
      </w:r>
      <w:r w:rsidRPr="00C23102">
        <w:rPr>
          <w:rFonts w:ascii="Times" w:hAnsi="Times"/>
          <w:color w:val="050505"/>
        </w:rPr>
        <w:t xml:space="preserve"> patent </w:t>
      </w:r>
      <w:r w:rsidR="00A43EFC" w:rsidRPr="00C23102">
        <w:rPr>
          <w:rFonts w:ascii="Times" w:hAnsi="Times"/>
          <w:color w:val="050505"/>
        </w:rPr>
        <w:t>registrations</w:t>
      </w:r>
      <w:r w:rsidRPr="00C23102">
        <w:rPr>
          <w:rFonts w:ascii="Times" w:hAnsi="Times"/>
          <w:color w:val="050505"/>
        </w:rPr>
        <w:t xml:space="preserve">, </w:t>
      </w:r>
      <w:r w:rsidR="00A43EFC" w:rsidRPr="00C23102">
        <w:rPr>
          <w:rFonts w:ascii="Times" w:hAnsi="Times"/>
          <w:color w:val="050505"/>
        </w:rPr>
        <w:t>Kocaeli</w:t>
      </w:r>
      <w:r w:rsidRPr="00C23102">
        <w:rPr>
          <w:rFonts w:ascii="Times" w:hAnsi="Times"/>
          <w:color w:val="050505"/>
        </w:rPr>
        <w:t xml:space="preserve"> is in the second place with </w:t>
      </w:r>
      <w:r w:rsidR="00A43EFC" w:rsidRPr="00C23102">
        <w:rPr>
          <w:rFonts w:ascii="Times" w:hAnsi="Times"/>
          <w:color w:val="050505"/>
        </w:rPr>
        <w:t>5</w:t>
      </w:r>
      <w:r w:rsidRPr="00C23102">
        <w:rPr>
          <w:rFonts w:ascii="Times" w:hAnsi="Times"/>
          <w:color w:val="050505"/>
        </w:rPr>
        <w:t>,</w:t>
      </w:r>
      <w:r w:rsidR="00A43EFC" w:rsidRPr="00C23102">
        <w:rPr>
          <w:rFonts w:ascii="Times" w:hAnsi="Times"/>
          <w:color w:val="050505"/>
        </w:rPr>
        <w:t>90</w:t>
      </w:r>
      <w:r w:rsidRPr="00C23102">
        <w:rPr>
          <w:rFonts w:ascii="Times" w:hAnsi="Times"/>
          <w:color w:val="050505"/>
        </w:rPr>
        <w:t xml:space="preserve"> patent </w:t>
      </w:r>
      <w:r w:rsidR="00A43EFC" w:rsidRPr="00C23102">
        <w:rPr>
          <w:rFonts w:ascii="Times" w:hAnsi="Times"/>
          <w:color w:val="050505"/>
        </w:rPr>
        <w:t>registrations</w:t>
      </w:r>
      <w:r w:rsidRPr="00C23102">
        <w:rPr>
          <w:rFonts w:ascii="Times" w:hAnsi="Times"/>
          <w:color w:val="050505"/>
        </w:rPr>
        <w:t xml:space="preserve"> and Ka</w:t>
      </w:r>
      <w:r w:rsidR="00A43EFC" w:rsidRPr="00C23102">
        <w:rPr>
          <w:rFonts w:ascii="Times" w:hAnsi="Times"/>
          <w:color w:val="050505"/>
        </w:rPr>
        <w:t>yseri</w:t>
      </w:r>
      <w:r w:rsidRPr="00C23102">
        <w:rPr>
          <w:rFonts w:ascii="Times" w:hAnsi="Times"/>
          <w:color w:val="050505"/>
        </w:rPr>
        <w:t xml:space="preserve"> is in the third place with </w:t>
      </w:r>
      <w:r w:rsidR="00A43EFC" w:rsidRPr="00C23102">
        <w:rPr>
          <w:rFonts w:ascii="Times" w:hAnsi="Times"/>
          <w:color w:val="050505"/>
        </w:rPr>
        <w:t>5</w:t>
      </w:r>
      <w:r w:rsidRPr="00C23102">
        <w:rPr>
          <w:rFonts w:ascii="Times" w:hAnsi="Times"/>
          <w:color w:val="050505"/>
        </w:rPr>
        <w:t>,</w:t>
      </w:r>
      <w:r w:rsidR="00A43EFC" w:rsidRPr="00C23102">
        <w:rPr>
          <w:rFonts w:ascii="Times" w:hAnsi="Times"/>
          <w:color w:val="050505"/>
        </w:rPr>
        <w:t>45</w:t>
      </w:r>
      <w:r w:rsidRPr="00C23102">
        <w:rPr>
          <w:rFonts w:ascii="Times" w:hAnsi="Times"/>
          <w:color w:val="050505"/>
        </w:rPr>
        <w:t xml:space="preserve"> patent </w:t>
      </w:r>
      <w:r w:rsidR="00A43EFC" w:rsidRPr="00C23102">
        <w:rPr>
          <w:rFonts w:ascii="Times" w:hAnsi="Times"/>
          <w:color w:val="050505"/>
        </w:rPr>
        <w:t>registrations</w:t>
      </w:r>
      <w:r w:rsidRPr="00C23102">
        <w:rPr>
          <w:rFonts w:ascii="Times" w:hAnsi="Times"/>
          <w:color w:val="050505"/>
        </w:rPr>
        <w:t xml:space="preserve">. </w:t>
      </w:r>
      <w:r w:rsidR="00044B5F" w:rsidRPr="00C23102">
        <w:rPr>
          <w:rFonts w:ascii="Times" w:hAnsi="Times"/>
          <w:color w:val="050505"/>
        </w:rPr>
        <w:t>Balikesir</w:t>
      </w:r>
      <w:r w:rsidRPr="00C23102">
        <w:rPr>
          <w:rFonts w:ascii="Times" w:hAnsi="Times"/>
          <w:color w:val="050505"/>
        </w:rPr>
        <w:t xml:space="preserve"> is the fourth with </w:t>
      </w:r>
      <w:r w:rsidR="00A43EFC" w:rsidRPr="00C23102">
        <w:rPr>
          <w:rFonts w:ascii="Times" w:hAnsi="Times"/>
          <w:color w:val="050505"/>
        </w:rPr>
        <w:t>5</w:t>
      </w:r>
      <w:r w:rsidRPr="00C23102">
        <w:rPr>
          <w:rFonts w:ascii="Times" w:hAnsi="Times"/>
          <w:color w:val="050505"/>
        </w:rPr>
        <w:t>,</w:t>
      </w:r>
      <w:r w:rsidR="00A43EFC" w:rsidRPr="00C23102">
        <w:rPr>
          <w:rFonts w:ascii="Times" w:hAnsi="Times"/>
          <w:color w:val="050505"/>
        </w:rPr>
        <w:t>31</w:t>
      </w:r>
      <w:r w:rsidRPr="00C23102">
        <w:rPr>
          <w:rFonts w:ascii="Times" w:hAnsi="Times"/>
          <w:color w:val="050505"/>
        </w:rPr>
        <w:t xml:space="preserve"> patent </w:t>
      </w:r>
      <w:r w:rsidR="00A43EFC" w:rsidRPr="00C23102">
        <w:rPr>
          <w:rFonts w:ascii="Times" w:hAnsi="Times"/>
          <w:color w:val="050505"/>
        </w:rPr>
        <w:t>registrations</w:t>
      </w:r>
      <w:r w:rsidRPr="00C23102">
        <w:rPr>
          <w:rFonts w:ascii="Times" w:hAnsi="Times"/>
          <w:color w:val="050505"/>
        </w:rPr>
        <w:t xml:space="preserve">, </w:t>
      </w:r>
      <w:r w:rsidR="00A43EFC" w:rsidRPr="00C23102">
        <w:rPr>
          <w:rFonts w:ascii="Times" w:hAnsi="Times"/>
          <w:color w:val="050505"/>
        </w:rPr>
        <w:t>Samsun</w:t>
      </w:r>
      <w:r w:rsidRPr="00C23102">
        <w:rPr>
          <w:rFonts w:ascii="Times" w:hAnsi="Times"/>
          <w:color w:val="050505"/>
        </w:rPr>
        <w:t xml:space="preserve"> is the fifth with </w:t>
      </w:r>
      <w:r w:rsidR="00A43EFC" w:rsidRPr="00C23102">
        <w:rPr>
          <w:rFonts w:ascii="Times" w:hAnsi="Times"/>
          <w:color w:val="050505"/>
        </w:rPr>
        <w:t>0</w:t>
      </w:r>
      <w:r w:rsidRPr="00C23102">
        <w:rPr>
          <w:rFonts w:ascii="Times" w:hAnsi="Times"/>
          <w:color w:val="050505"/>
        </w:rPr>
        <w:t>,</w:t>
      </w:r>
      <w:r w:rsidR="00A43EFC" w:rsidRPr="00C23102">
        <w:rPr>
          <w:rFonts w:ascii="Times" w:hAnsi="Times"/>
          <w:color w:val="050505"/>
        </w:rPr>
        <w:t>61</w:t>
      </w:r>
      <w:r w:rsidRPr="00C23102">
        <w:rPr>
          <w:rFonts w:ascii="Times" w:hAnsi="Times"/>
          <w:color w:val="050505"/>
        </w:rPr>
        <w:t xml:space="preserve"> patent </w:t>
      </w:r>
      <w:r w:rsidR="00A43EFC" w:rsidRPr="00C23102">
        <w:rPr>
          <w:rFonts w:ascii="Times" w:hAnsi="Times"/>
          <w:color w:val="050505"/>
        </w:rPr>
        <w:t>registrations</w:t>
      </w:r>
      <w:r w:rsidRPr="00C23102">
        <w:rPr>
          <w:rFonts w:ascii="Times" w:hAnsi="Times"/>
          <w:color w:val="050505"/>
        </w:rPr>
        <w:t xml:space="preserve">, </w:t>
      </w:r>
      <w:r w:rsidR="00A43EFC" w:rsidRPr="00C23102">
        <w:rPr>
          <w:rFonts w:ascii="Times" w:hAnsi="Times"/>
          <w:color w:val="050505"/>
        </w:rPr>
        <w:t xml:space="preserve">Manisa and </w:t>
      </w:r>
      <w:r w:rsidR="00044B5F" w:rsidRPr="00C23102">
        <w:rPr>
          <w:rFonts w:ascii="Times" w:hAnsi="Times"/>
          <w:color w:val="050505"/>
        </w:rPr>
        <w:t>Mugla</w:t>
      </w:r>
      <w:r w:rsidRPr="00C23102">
        <w:rPr>
          <w:rFonts w:ascii="Times" w:hAnsi="Times"/>
          <w:color w:val="050505"/>
        </w:rPr>
        <w:t xml:space="preserve"> </w:t>
      </w:r>
      <w:r w:rsidR="00A43EFC" w:rsidRPr="00C23102">
        <w:rPr>
          <w:rFonts w:ascii="Times" w:hAnsi="Times"/>
          <w:color w:val="050505"/>
        </w:rPr>
        <w:t xml:space="preserve">shares </w:t>
      </w:r>
      <w:r w:rsidRPr="00C23102">
        <w:rPr>
          <w:rFonts w:ascii="Times" w:hAnsi="Times"/>
          <w:color w:val="050505"/>
        </w:rPr>
        <w:t xml:space="preserve">the seventh place with </w:t>
      </w:r>
      <w:r w:rsidR="007D6B1C" w:rsidRPr="00C23102">
        <w:rPr>
          <w:rFonts w:ascii="Times" w:hAnsi="Times"/>
          <w:color w:val="050505"/>
        </w:rPr>
        <w:t>zero</w:t>
      </w:r>
      <w:r w:rsidRPr="00C23102">
        <w:rPr>
          <w:rFonts w:ascii="Times" w:hAnsi="Times"/>
          <w:color w:val="050505"/>
        </w:rPr>
        <w:t xml:space="preserve"> patent </w:t>
      </w:r>
      <w:r w:rsidR="00A43EFC" w:rsidRPr="00C23102">
        <w:rPr>
          <w:rFonts w:ascii="Times" w:hAnsi="Times"/>
          <w:color w:val="050505"/>
        </w:rPr>
        <w:t>registrations</w:t>
      </w:r>
      <w:r w:rsidRPr="00C23102">
        <w:rPr>
          <w:rFonts w:ascii="Times" w:hAnsi="Times"/>
          <w:color w:val="050505"/>
        </w:rPr>
        <w:t xml:space="preserve">. (Figure </w:t>
      </w:r>
      <w:r w:rsidR="00A43EFC" w:rsidRPr="00C23102">
        <w:rPr>
          <w:rFonts w:ascii="Times" w:hAnsi="Times"/>
          <w:color w:val="050505"/>
        </w:rPr>
        <w:t>1</w:t>
      </w:r>
      <w:r w:rsidR="00864765" w:rsidRPr="00C23102">
        <w:rPr>
          <w:rFonts w:ascii="Times" w:hAnsi="Times"/>
          <w:color w:val="050505"/>
        </w:rPr>
        <w:t>1</w:t>
      </w:r>
      <w:r w:rsidRPr="00C23102">
        <w:rPr>
          <w:rFonts w:ascii="Times" w:hAnsi="Times"/>
          <w:color w:val="050505"/>
        </w:rPr>
        <w:t>).</w:t>
      </w:r>
      <w:r w:rsidR="00844A80" w:rsidRPr="00C23102">
        <w:rPr>
          <w:rFonts w:ascii="Times" w:hAnsi="Times"/>
          <w:color w:val="050505"/>
        </w:rPr>
        <w:t xml:space="preserve"> </w:t>
      </w:r>
      <w:r w:rsidR="00A43EFC" w:rsidRPr="00C23102">
        <w:rPr>
          <w:rFonts w:ascii="Times" w:hAnsi="Times"/>
          <w:color w:val="050505"/>
        </w:rPr>
        <w:t xml:space="preserve">The low number of patent registrations is closely related to whether universities have an intellectual property rights policy, whether these policies can encourage researchers or not, and the potential of patents to turn into a commercial product. However, it should be noted that patent registrations take between 3 and 5 years on average, so the numbers may change instantly. </w:t>
      </w:r>
    </w:p>
    <w:p w14:paraId="1B781EF2" w14:textId="449E6A15" w:rsidR="00864765" w:rsidRPr="00C23102" w:rsidRDefault="00864765" w:rsidP="00F44FEC">
      <w:pPr>
        <w:pStyle w:val="BodyText"/>
        <w:spacing w:before="240" w:after="240" w:line="240" w:lineRule="auto"/>
        <w:ind w:left="1276" w:hanging="1276"/>
        <w:jc w:val="center"/>
        <w:rPr>
          <w:rFonts w:ascii="Times" w:hAnsi="Times"/>
          <w:b/>
          <w:bCs/>
          <w:color w:val="000000" w:themeColor="text1"/>
        </w:rPr>
      </w:pPr>
      <w:r w:rsidRPr="00C23102">
        <w:rPr>
          <w:rFonts w:ascii="Times" w:hAnsi="Times"/>
          <w:b/>
          <w:bCs/>
          <w:color w:val="050505"/>
        </w:rPr>
        <w:t>Figure 11.</w:t>
      </w:r>
      <w:r w:rsidR="00044B5F" w:rsidRPr="00C23102">
        <w:rPr>
          <w:rFonts w:ascii="Times" w:hAnsi="Times"/>
          <w:b/>
          <w:bCs/>
          <w:color w:val="050505"/>
        </w:rPr>
        <w:t xml:space="preserve"> </w:t>
      </w:r>
      <w:r w:rsidRPr="00C23102">
        <w:rPr>
          <w:rFonts w:ascii="Times" w:hAnsi="Times"/>
          <w:b/>
          <w:bCs/>
          <w:color w:val="000000" w:themeColor="text1"/>
        </w:rPr>
        <w:t>Number of Patent Registered per 100 Researchers (2019)</w:t>
      </w:r>
    </w:p>
    <w:p w14:paraId="473AA87D" w14:textId="7363DADD" w:rsidR="00844A80" w:rsidRPr="00C23102" w:rsidRDefault="00844A80" w:rsidP="00F44FEC">
      <w:pPr>
        <w:pStyle w:val="BodyText"/>
        <w:spacing w:before="240" w:after="240" w:line="240" w:lineRule="auto"/>
        <w:ind w:left="1276" w:hanging="1276"/>
        <w:jc w:val="center"/>
        <w:rPr>
          <w:rFonts w:ascii="Times" w:hAnsi="Times"/>
          <w:color w:val="050505"/>
        </w:rPr>
      </w:pPr>
      <w:r w:rsidRPr="00C23102">
        <w:rPr>
          <w:rFonts w:ascii="Times" w:hAnsi="Times"/>
          <w:noProof/>
        </w:rPr>
        <w:drawing>
          <wp:inline distT="0" distB="0" distL="0" distR="0" wp14:anchorId="58D03B5B" wp14:editId="478201A0">
            <wp:extent cx="4620260" cy="2237105"/>
            <wp:effectExtent l="0" t="0" r="8890" b="10795"/>
            <wp:docPr id="13" name="Chart 13">
              <a:extLst xmlns:a="http://schemas.openxmlformats.org/drawingml/2006/main">
                <a:ext uri="{FF2B5EF4-FFF2-40B4-BE49-F238E27FC236}">
                  <a16:creationId xmlns:a16="http://schemas.microsoft.com/office/drawing/2014/main" id="{9496945D-3DD9-4F05-BDBE-6BE508B762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4D3879" w14:textId="77777777" w:rsidR="00223FF3" w:rsidRPr="00C23102" w:rsidRDefault="00223FF3" w:rsidP="00223FF3">
      <w:pPr>
        <w:pStyle w:val="BodyText"/>
        <w:spacing w:after="240" w:line="240" w:lineRule="auto"/>
        <w:ind w:left="0"/>
        <w:jc w:val="center"/>
        <w:rPr>
          <w:rFonts w:ascii="Times" w:hAnsi="Times"/>
          <w:color w:val="050505"/>
        </w:rPr>
      </w:pPr>
      <w:r w:rsidRPr="00C23102">
        <w:rPr>
          <w:rFonts w:ascii="Times" w:hAnsi="Times"/>
          <w:color w:val="000000" w:themeColor="text1"/>
          <w:sz w:val="22"/>
          <w:szCs w:val="22"/>
        </w:rPr>
        <w:t>Source: TURKPATENT, 2020</w:t>
      </w:r>
    </w:p>
    <w:p w14:paraId="4212E37E" w14:textId="30978DA0" w:rsidR="0082478D" w:rsidRPr="00C23102" w:rsidRDefault="0082478D" w:rsidP="003A7803">
      <w:pPr>
        <w:pStyle w:val="BodyText"/>
        <w:spacing w:after="120"/>
        <w:ind w:left="0" w:right="74"/>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2. Innovation Capacity in Private Sector</w:t>
      </w:r>
    </w:p>
    <w:p w14:paraId="69AE371B" w14:textId="28213DC3" w:rsidR="0082478D" w:rsidRPr="00C23102" w:rsidRDefault="0082478D"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2.1. Private Sector Infrastructure</w:t>
      </w:r>
    </w:p>
    <w:p w14:paraId="257CACFA" w14:textId="3F8AC278" w:rsidR="0082478D" w:rsidRPr="00C23102" w:rsidRDefault="0082478D" w:rsidP="00F44FEC">
      <w:pPr>
        <w:pStyle w:val="BodyText"/>
        <w:spacing w:after="120" w:line="240" w:lineRule="auto"/>
        <w:ind w:left="0" w:firstLine="567"/>
        <w:rPr>
          <w:rFonts w:ascii="Times" w:hAnsi="Times"/>
          <w:color w:val="050505"/>
        </w:rPr>
      </w:pPr>
      <w:r w:rsidRPr="00C23102">
        <w:rPr>
          <w:rFonts w:ascii="Times" w:hAnsi="Times"/>
          <w:color w:val="050505"/>
        </w:rPr>
        <w:t xml:space="preserve">R&amp;D and Design centers established by private sector companies are another important part of the R&amp;D and innovation ecosystem in our country. Because the main purpose of these structures is to increase both the profitability and competitiveness of their parent companies by producing high value-added goods and services. In this section, the innovation status of the private sector is analysed through R&amp;D </w:t>
      </w:r>
      <w:r w:rsidR="00191C3E" w:rsidRPr="00C23102">
        <w:rPr>
          <w:rFonts w:ascii="Times" w:hAnsi="Times"/>
          <w:color w:val="050505"/>
        </w:rPr>
        <w:t xml:space="preserve">centers that’s because there is not any </w:t>
      </w:r>
      <w:r w:rsidRPr="00C23102">
        <w:rPr>
          <w:rFonts w:ascii="Times" w:hAnsi="Times"/>
          <w:color w:val="050505"/>
        </w:rPr>
        <w:t>design center</w:t>
      </w:r>
      <w:r w:rsidR="00191C3E" w:rsidRPr="00C23102">
        <w:rPr>
          <w:rFonts w:ascii="Times" w:hAnsi="Times"/>
          <w:color w:val="050505"/>
        </w:rPr>
        <w:t xml:space="preserve"> in Samsun as of 2021 yet</w:t>
      </w:r>
      <w:r w:rsidR="000545DE" w:rsidRPr="00C23102">
        <w:rPr>
          <w:rFonts w:ascii="Times" w:hAnsi="Times"/>
          <w:color w:val="050505"/>
        </w:rPr>
        <w:t>, performance in project processing and Intellectual Property Rights and for Supporting R&amp;D and Innovation.</w:t>
      </w:r>
    </w:p>
    <w:p w14:paraId="57E6B83D" w14:textId="4648FEE0" w:rsidR="0082478D" w:rsidRPr="00C23102" w:rsidRDefault="0082478D"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2.1.1. Research and Development (R&amp;D) Centers</w:t>
      </w:r>
    </w:p>
    <w:p w14:paraId="295EEAAF" w14:textId="77777777" w:rsidR="0082478D" w:rsidRPr="00C23102" w:rsidRDefault="0082478D" w:rsidP="00844A80">
      <w:pPr>
        <w:pStyle w:val="BodyText"/>
        <w:spacing w:after="120" w:line="240" w:lineRule="auto"/>
        <w:ind w:left="0" w:firstLine="709"/>
        <w:rPr>
          <w:rFonts w:ascii="Times" w:hAnsi="Times"/>
          <w:color w:val="050505"/>
        </w:rPr>
      </w:pPr>
      <w:r w:rsidRPr="00C23102">
        <w:rPr>
          <w:rFonts w:ascii="Times" w:hAnsi="Times"/>
          <w:color w:val="050505"/>
        </w:rPr>
        <w:t>R&amp;D centers, which were established by the private sector for the first time in 2008 within the scope of Law No. 5746, are supported by the government with R&amp;D discounts, exemptions and incentives. These centers house trained engineers, technicians, designers, etc. It not only provides qualified employment with its manpower, but also contributes to the competitiveness of the company and the country with high value-added goods and services produced as a result of R&amp;D and innovation activities.</w:t>
      </w:r>
    </w:p>
    <w:p w14:paraId="49D366D1" w14:textId="777C5358" w:rsidR="0082478D" w:rsidRPr="00C23102" w:rsidRDefault="0082478D" w:rsidP="00844A80">
      <w:pPr>
        <w:pStyle w:val="BodyText"/>
        <w:spacing w:after="240" w:line="240" w:lineRule="auto"/>
        <w:ind w:left="0" w:firstLine="709"/>
        <w:rPr>
          <w:rFonts w:ascii="Times" w:hAnsi="Times"/>
          <w:color w:val="050505"/>
        </w:rPr>
      </w:pPr>
      <w:r w:rsidRPr="00C23102">
        <w:rPr>
          <w:rFonts w:ascii="Times" w:hAnsi="Times"/>
          <w:color w:val="050505"/>
        </w:rPr>
        <w:lastRenderedPageBreak/>
        <w:t>According to the data of the Ministry of Industry and Technology, the number of R&amp;D centers in our country, which has increased since 2008, reached 1229 as of 20</w:t>
      </w:r>
      <w:r w:rsidR="00C0532A" w:rsidRPr="00C23102">
        <w:rPr>
          <w:rFonts w:ascii="Times" w:hAnsi="Times"/>
          <w:color w:val="050505"/>
        </w:rPr>
        <w:t>21</w:t>
      </w:r>
      <w:r w:rsidRPr="00C23102">
        <w:rPr>
          <w:rFonts w:ascii="Times" w:hAnsi="Times"/>
          <w:color w:val="050505"/>
        </w:rPr>
        <w:t xml:space="preserve">. When the number of R&amp;D centers in the provinces within the scope of the research is examined, </w:t>
      </w:r>
      <w:r w:rsidR="00C0532A" w:rsidRPr="00C23102">
        <w:rPr>
          <w:rFonts w:ascii="Times" w:hAnsi="Times"/>
          <w:color w:val="050505"/>
        </w:rPr>
        <w:t xml:space="preserve">Kocaeli </w:t>
      </w:r>
      <w:r w:rsidRPr="00C23102">
        <w:rPr>
          <w:rFonts w:ascii="Times" w:hAnsi="Times"/>
          <w:color w:val="050505"/>
        </w:rPr>
        <w:t>ranks first with 12</w:t>
      </w:r>
      <w:r w:rsidR="00C0532A" w:rsidRPr="00C23102">
        <w:rPr>
          <w:rFonts w:ascii="Times" w:hAnsi="Times"/>
          <w:color w:val="050505"/>
        </w:rPr>
        <w:t>4</w:t>
      </w:r>
      <w:r w:rsidRPr="00C23102">
        <w:rPr>
          <w:rFonts w:ascii="Times" w:hAnsi="Times"/>
          <w:color w:val="050505"/>
        </w:rPr>
        <w:t xml:space="preserve"> R&amp;D centers and </w:t>
      </w:r>
      <w:r w:rsidR="00C0532A" w:rsidRPr="00C23102">
        <w:rPr>
          <w:rFonts w:ascii="Times" w:hAnsi="Times"/>
          <w:color w:val="050505"/>
        </w:rPr>
        <w:t xml:space="preserve">Manisa </w:t>
      </w:r>
      <w:r w:rsidRPr="00C23102">
        <w:rPr>
          <w:rFonts w:ascii="Times" w:hAnsi="Times"/>
          <w:color w:val="050505"/>
        </w:rPr>
        <w:t xml:space="preserve">ranks second with </w:t>
      </w:r>
      <w:r w:rsidR="00C0532A" w:rsidRPr="00C23102">
        <w:rPr>
          <w:rFonts w:ascii="Times" w:hAnsi="Times"/>
          <w:color w:val="050505"/>
        </w:rPr>
        <w:t>33</w:t>
      </w:r>
      <w:r w:rsidRPr="00C23102">
        <w:rPr>
          <w:rFonts w:ascii="Times" w:hAnsi="Times"/>
          <w:color w:val="050505"/>
        </w:rPr>
        <w:t xml:space="preserve"> R&amp;D centers. While </w:t>
      </w:r>
      <w:r w:rsidR="00C0532A" w:rsidRPr="00C23102">
        <w:rPr>
          <w:rFonts w:ascii="Times" w:hAnsi="Times"/>
          <w:color w:val="050505"/>
        </w:rPr>
        <w:t>Kayseri</w:t>
      </w:r>
      <w:r w:rsidRPr="00C23102">
        <w:rPr>
          <w:rFonts w:ascii="Times" w:hAnsi="Times"/>
          <w:color w:val="050505"/>
        </w:rPr>
        <w:t xml:space="preserve"> ranks third with 1</w:t>
      </w:r>
      <w:r w:rsidR="00C0532A" w:rsidRPr="00C23102">
        <w:rPr>
          <w:rFonts w:ascii="Times" w:hAnsi="Times"/>
          <w:color w:val="050505"/>
        </w:rPr>
        <w:t>3</w:t>
      </w:r>
      <w:r w:rsidRPr="00C23102">
        <w:rPr>
          <w:rFonts w:ascii="Times" w:hAnsi="Times"/>
          <w:color w:val="050505"/>
        </w:rPr>
        <w:t xml:space="preserve"> R&amp;D centers, </w:t>
      </w:r>
      <w:r w:rsidR="00044B5F" w:rsidRPr="00C23102">
        <w:rPr>
          <w:rFonts w:ascii="Times" w:hAnsi="Times"/>
          <w:color w:val="050505"/>
        </w:rPr>
        <w:t>Kahramanmaras</w:t>
      </w:r>
      <w:r w:rsidRPr="00C23102">
        <w:rPr>
          <w:rFonts w:ascii="Times" w:hAnsi="Times"/>
          <w:color w:val="050505"/>
        </w:rPr>
        <w:t xml:space="preserve"> ranks fourth with </w:t>
      </w:r>
      <w:r w:rsidR="00C0532A" w:rsidRPr="00C23102">
        <w:rPr>
          <w:rFonts w:ascii="Times" w:hAnsi="Times"/>
          <w:color w:val="050505"/>
        </w:rPr>
        <w:t>12</w:t>
      </w:r>
      <w:r w:rsidRPr="00C23102">
        <w:rPr>
          <w:rFonts w:ascii="Times" w:hAnsi="Times"/>
          <w:color w:val="050505"/>
        </w:rPr>
        <w:t xml:space="preserve"> R&amp;D centres</w:t>
      </w:r>
      <w:r w:rsidR="00C0532A" w:rsidRPr="00C23102">
        <w:rPr>
          <w:rFonts w:ascii="Times" w:hAnsi="Times"/>
          <w:color w:val="050505"/>
        </w:rPr>
        <w:t xml:space="preserve">, </w:t>
      </w:r>
      <w:r w:rsidR="00044B5F" w:rsidRPr="00C23102">
        <w:rPr>
          <w:rFonts w:ascii="Times" w:hAnsi="Times"/>
          <w:color w:val="050505"/>
        </w:rPr>
        <w:t>Balikesir</w:t>
      </w:r>
      <w:r w:rsidR="00C0532A" w:rsidRPr="00C23102">
        <w:rPr>
          <w:rFonts w:ascii="Times" w:hAnsi="Times"/>
          <w:color w:val="050505"/>
        </w:rPr>
        <w:t xml:space="preserve"> ranks fifth with 11 R&amp;D centres, Samsun ranks sixth with 3 R&amp;D centres</w:t>
      </w:r>
      <w:r w:rsidR="00EC1AFB" w:rsidRPr="00C23102">
        <w:rPr>
          <w:rFonts w:ascii="Times" w:hAnsi="Times"/>
          <w:color w:val="050505"/>
        </w:rPr>
        <w:t xml:space="preserve"> and </w:t>
      </w:r>
      <w:r w:rsidR="00044B5F" w:rsidRPr="00C23102">
        <w:rPr>
          <w:rFonts w:ascii="Times" w:hAnsi="Times"/>
          <w:color w:val="050505"/>
        </w:rPr>
        <w:t>Mugla</w:t>
      </w:r>
      <w:r w:rsidR="00EC1AFB" w:rsidRPr="00C23102">
        <w:rPr>
          <w:rFonts w:ascii="Times" w:hAnsi="Times"/>
          <w:color w:val="050505"/>
        </w:rPr>
        <w:t xml:space="preserve"> ranks seventh with 1 R&amp;D centre</w:t>
      </w:r>
      <w:r w:rsidRPr="00C23102">
        <w:rPr>
          <w:rFonts w:ascii="Times" w:hAnsi="Times"/>
          <w:color w:val="050505"/>
        </w:rPr>
        <w:t>. (</w:t>
      </w:r>
      <w:r w:rsidR="00C0532A" w:rsidRPr="00C23102">
        <w:rPr>
          <w:rFonts w:ascii="Times" w:hAnsi="Times"/>
          <w:color w:val="050505"/>
        </w:rPr>
        <w:t>Figure 1</w:t>
      </w:r>
      <w:r w:rsidR="00DD2345" w:rsidRPr="00C23102">
        <w:rPr>
          <w:rFonts w:ascii="Times" w:hAnsi="Times"/>
          <w:color w:val="050505"/>
        </w:rPr>
        <w:t>2</w:t>
      </w:r>
      <w:r w:rsidRPr="00C23102">
        <w:rPr>
          <w:rFonts w:ascii="Times" w:hAnsi="Times"/>
          <w:color w:val="050505"/>
        </w:rPr>
        <w:t xml:space="preserve">). The number of R&amp;D Centers in </w:t>
      </w:r>
      <w:r w:rsidR="00EC1AFB" w:rsidRPr="00C23102">
        <w:rPr>
          <w:rFonts w:ascii="Times" w:hAnsi="Times"/>
          <w:color w:val="050505"/>
        </w:rPr>
        <w:t>Samsun</w:t>
      </w:r>
      <w:r w:rsidRPr="00C23102">
        <w:rPr>
          <w:rFonts w:ascii="Times" w:hAnsi="Times"/>
          <w:color w:val="050505"/>
        </w:rPr>
        <w:t xml:space="preserve"> constitutes </w:t>
      </w:r>
      <w:r w:rsidR="00EC1AFB" w:rsidRPr="00C23102">
        <w:rPr>
          <w:rFonts w:ascii="Times" w:hAnsi="Times"/>
          <w:color w:val="050505"/>
        </w:rPr>
        <w:t>00,24</w:t>
      </w:r>
      <w:r w:rsidRPr="00C23102">
        <w:rPr>
          <w:rFonts w:ascii="Times" w:hAnsi="Times"/>
          <w:color w:val="050505"/>
        </w:rPr>
        <w:t xml:space="preserve">% of Turkey. This situation shows that the competition level of private sector innovation capacity is low when compared to </w:t>
      </w:r>
      <w:r w:rsidR="00EC1AFB" w:rsidRPr="00C23102">
        <w:rPr>
          <w:rFonts w:ascii="Times" w:hAnsi="Times"/>
          <w:color w:val="050505"/>
        </w:rPr>
        <w:t>other</w:t>
      </w:r>
      <w:r w:rsidRPr="00C23102">
        <w:rPr>
          <w:rFonts w:ascii="Times" w:hAnsi="Times"/>
          <w:color w:val="050505"/>
        </w:rPr>
        <w:t xml:space="preserve"> cities. When the situation of companies operating in </w:t>
      </w:r>
      <w:r w:rsidR="00EC1AFB" w:rsidRPr="00C23102">
        <w:rPr>
          <w:rFonts w:ascii="Times" w:hAnsi="Times"/>
          <w:color w:val="050505"/>
        </w:rPr>
        <w:t>Samsun</w:t>
      </w:r>
      <w:r w:rsidRPr="00C23102">
        <w:rPr>
          <w:rFonts w:ascii="Times" w:hAnsi="Times"/>
          <w:color w:val="050505"/>
        </w:rPr>
        <w:t xml:space="preserve"> is examined, it is seen that they have the potential to establish much more R&amp;D centers. For this reason, it is expected that the number of R&amp;D centers will increase in this direction in the future.</w:t>
      </w:r>
    </w:p>
    <w:p w14:paraId="1EFEF513" w14:textId="5A6C5D71" w:rsidR="00864765" w:rsidRPr="00C23102" w:rsidRDefault="00864765" w:rsidP="00F44FEC">
      <w:pPr>
        <w:pStyle w:val="BodyText"/>
        <w:spacing w:before="240" w:after="240" w:line="240" w:lineRule="auto"/>
        <w:ind w:left="1276" w:hanging="1276"/>
        <w:jc w:val="center"/>
        <w:rPr>
          <w:rFonts w:ascii="Times" w:hAnsi="Times"/>
          <w:b/>
          <w:bCs/>
          <w:color w:val="000000" w:themeColor="text1"/>
        </w:rPr>
      </w:pPr>
      <w:bookmarkStart w:id="32" w:name="_Hlk74823887"/>
      <w:r w:rsidRPr="00C23102">
        <w:rPr>
          <w:rFonts w:ascii="Times" w:hAnsi="Times"/>
          <w:b/>
          <w:bCs/>
          <w:color w:val="050505"/>
        </w:rPr>
        <w:t>Figure 1</w:t>
      </w:r>
      <w:r w:rsidR="00DD2345" w:rsidRPr="00C23102">
        <w:rPr>
          <w:rFonts w:ascii="Times" w:hAnsi="Times"/>
          <w:b/>
          <w:bCs/>
          <w:color w:val="050505"/>
        </w:rPr>
        <w:t>2</w:t>
      </w:r>
      <w:r w:rsidRPr="00C23102">
        <w:rPr>
          <w:rFonts w:ascii="Times" w:hAnsi="Times"/>
          <w:b/>
          <w:bCs/>
          <w:color w:val="050505"/>
        </w:rPr>
        <w:t>.</w:t>
      </w:r>
      <w:r w:rsidR="00044B5F" w:rsidRPr="00C23102">
        <w:rPr>
          <w:rFonts w:ascii="Times" w:hAnsi="Times"/>
          <w:b/>
          <w:bCs/>
          <w:color w:val="050505"/>
        </w:rPr>
        <w:t xml:space="preserve"> </w:t>
      </w:r>
      <w:r w:rsidRPr="00C23102">
        <w:rPr>
          <w:rFonts w:ascii="Times" w:hAnsi="Times"/>
          <w:b/>
          <w:bCs/>
          <w:color w:val="000000" w:themeColor="text1"/>
        </w:rPr>
        <w:t>Number of R&amp;D Centers (2021)</w:t>
      </w:r>
      <w:bookmarkEnd w:id="32"/>
    </w:p>
    <w:p w14:paraId="505D86C0" w14:textId="26CA68A8" w:rsidR="00844A80" w:rsidRPr="00C23102" w:rsidRDefault="00844A80" w:rsidP="00F44FEC">
      <w:pPr>
        <w:pStyle w:val="BodyText"/>
        <w:spacing w:before="240" w:after="240" w:line="240" w:lineRule="auto"/>
        <w:ind w:left="1276" w:hanging="1276"/>
        <w:jc w:val="center"/>
        <w:rPr>
          <w:rFonts w:ascii="Times" w:hAnsi="Times"/>
          <w:color w:val="050505"/>
        </w:rPr>
      </w:pPr>
      <w:r w:rsidRPr="00C23102">
        <w:rPr>
          <w:rFonts w:ascii="Times" w:hAnsi="Times"/>
          <w:noProof/>
        </w:rPr>
        <w:drawing>
          <wp:inline distT="0" distB="0" distL="0" distR="0" wp14:anchorId="3E1DAA88" wp14:editId="1323F169">
            <wp:extent cx="4585970" cy="2404745"/>
            <wp:effectExtent l="0" t="0" r="5080" b="14605"/>
            <wp:docPr id="14" name="Chart 14">
              <a:extLst xmlns:a="http://schemas.openxmlformats.org/drawingml/2006/main">
                <a:ext uri="{FF2B5EF4-FFF2-40B4-BE49-F238E27FC236}">
                  <a16:creationId xmlns:a16="http://schemas.microsoft.com/office/drawing/2014/main" id="{FC5ECDE2-405A-4F4C-9FC8-E6F08662A9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964B8E" w14:textId="2FA0CF13" w:rsidR="00223FF3" w:rsidRPr="00C23102" w:rsidRDefault="00223FF3" w:rsidP="00223FF3">
      <w:pPr>
        <w:pStyle w:val="BodyText"/>
        <w:spacing w:after="240" w:line="240" w:lineRule="auto"/>
        <w:ind w:left="0"/>
        <w:jc w:val="center"/>
        <w:rPr>
          <w:rFonts w:ascii="Times" w:hAnsi="Times"/>
          <w:color w:val="050505"/>
        </w:rPr>
      </w:pPr>
      <w:r w:rsidRPr="00C23102">
        <w:rPr>
          <w:rFonts w:ascii="Times" w:hAnsi="Times"/>
          <w:color w:val="000000" w:themeColor="text1"/>
          <w:sz w:val="22"/>
          <w:szCs w:val="22"/>
        </w:rPr>
        <w:t>Source: MoIT, 2021</w:t>
      </w:r>
    </w:p>
    <w:p w14:paraId="520361D7" w14:textId="7458B4C3" w:rsidR="00191C3E" w:rsidRPr="00C23102" w:rsidRDefault="00191C3E"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2.2. Project and Innovation Performance of Private Sector</w:t>
      </w:r>
    </w:p>
    <w:p w14:paraId="3A976E30" w14:textId="5CDA7CDB" w:rsidR="00191C3E" w:rsidRPr="00C23102" w:rsidRDefault="00191C3E" w:rsidP="00844A80">
      <w:pPr>
        <w:pStyle w:val="BodyText"/>
        <w:spacing w:after="120" w:line="240" w:lineRule="auto"/>
        <w:ind w:left="0" w:firstLine="709"/>
        <w:rPr>
          <w:rFonts w:ascii="Times" w:hAnsi="Times"/>
          <w:color w:val="050505"/>
        </w:rPr>
      </w:pPr>
      <w:r w:rsidRPr="00C23102">
        <w:rPr>
          <w:rFonts w:ascii="Times" w:hAnsi="Times"/>
          <w:color w:val="050505"/>
        </w:rPr>
        <w:t xml:space="preserve">R&amp;D and innovation constitute the most important work area for private sector companies in providing competitive advantage. </w:t>
      </w:r>
      <w:r w:rsidR="00B4074F" w:rsidRPr="00C23102">
        <w:rPr>
          <w:rFonts w:ascii="Times" w:hAnsi="Times"/>
          <w:color w:val="050505"/>
        </w:rPr>
        <w:t>P</w:t>
      </w:r>
      <w:r w:rsidRPr="00C23102">
        <w:rPr>
          <w:rFonts w:ascii="Times" w:hAnsi="Times"/>
          <w:color w:val="050505"/>
        </w:rPr>
        <w:t xml:space="preserve">rivate sector companies increase their competitiveness in the national and international arena. However, due to the very low success rate of R&amp;D and innovation </w:t>
      </w:r>
      <w:r w:rsidR="00B4074F" w:rsidRPr="00C23102">
        <w:rPr>
          <w:rFonts w:ascii="Times" w:hAnsi="Times"/>
          <w:color w:val="050505"/>
        </w:rPr>
        <w:t>actions</w:t>
      </w:r>
      <w:r w:rsidRPr="00C23102">
        <w:rPr>
          <w:rFonts w:ascii="Times" w:hAnsi="Times"/>
          <w:color w:val="050505"/>
        </w:rPr>
        <w:t>, companies often cannot allocate sufficient resources to these activities. This situation is also negative for the technological development of our country.</w:t>
      </w:r>
      <w:r w:rsidR="00844A80" w:rsidRPr="00C23102">
        <w:rPr>
          <w:rFonts w:ascii="Times" w:hAnsi="Times"/>
          <w:color w:val="050505"/>
        </w:rPr>
        <w:t xml:space="preserve"> </w:t>
      </w:r>
      <w:r w:rsidRPr="00C23102">
        <w:rPr>
          <w:rFonts w:ascii="Times" w:hAnsi="Times"/>
          <w:color w:val="050505"/>
        </w:rPr>
        <w:t xml:space="preserve">In this context, the government has designed support mechanisms to encourage the private sector to R&amp;D and innovation. The purpose of these mechanisms is to encourage companies to R&amp;D and innovation activities by supporting the risk that the private sector will have difficulty in taking. Public support for R&amp;D and innovation activities of the private sector is given in different programs by </w:t>
      </w:r>
      <w:r w:rsidR="00044B5F" w:rsidRPr="00C23102">
        <w:rPr>
          <w:rFonts w:ascii="Times" w:hAnsi="Times"/>
          <w:color w:val="050505"/>
        </w:rPr>
        <w:t>TÜBITA</w:t>
      </w:r>
      <w:r w:rsidRPr="00C23102">
        <w:rPr>
          <w:rFonts w:ascii="Times" w:hAnsi="Times"/>
          <w:color w:val="050505"/>
        </w:rPr>
        <w:t>K-TEYDEB, KOSGEB and the Ministry of Industry and Technology.</w:t>
      </w:r>
      <w:r w:rsidR="00B4074F" w:rsidRPr="00C23102">
        <w:rPr>
          <w:rFonts w:ascii="Times" w:hAnsi="Times"/>
          <w:color w:val="050505"/>
        </w:rPr>
        <w:t xml:space="preserve"> With this study, we leave the entrepreneurship issue aside and focus on the performance of </w:t>
      </w:r>
      <w:r w:rsidR="00044B5F" w:rsidRPr="00C23102">
        <w:rPr>
          <w:rFonts w:ascii="Times" w:hAnsi="Times"/>
          <w:color w:val="050505"/>
        </w:rPr>
        <w:t>TÜBITA</w:t>
      </w:r>
      <w:r w:rsidR="00B4074F" w:rsidRPr="00C23102">
        <w:rPr>
          <w:rFonts w:ascii="Times" w:hAnsi="Times"/>
          <w:color w:val="050505"/>
        </w:rPr>
        <w:t>K-TEYDEB programs and Intellectual Property Rights.</w:t>
      </w:r>
    </w:p>
    <w:p w14:paraId="2C4382B2" w14:textId="7CE461F0" w:rsidR="00B4074F" w:rsidRPr="00C23102" w:rsidRDefault="00B4074F"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 xml:space="preserve">2.2.1. Project Performance in </w:t>
      </w:r>
      <w:r w:rsidR="00044B5F" w:rsidRPr="00C23102">
        <w:rPr>
          <w:rFonts w:ascii="Times" w:hAnsi="Times"/>
          <w:b/>
          <w:bCs/>
          <w:color w:val="000000" w:themeColor="text1"/>
        </w:rPr>
        <w:t>TÜBITA</w:t>
      </w:r>
      <w:r w:rsidRPr="00C23102">
        <w:rPr>
          <w:rFonts w:ascii="Times" w:hAnsi="Times"/>
          <w:b/>
          <w:bCs/>
          <w:color w:val="000000" w:themeColor="text1"/>
        </w:rPr>
        <w:t>K-TEYDEB Program</w:t>
      </w:r>
    </w:p>
    <w:p w14:paraId="3EF3D866" w14:textId="199776E7" w:rsidR="00A53A43" w:rsidRPr="00C23102" w:rsidRDefault="00A53A43" w:rsidP="00F44FEC">
      <w:pPr>
        <w:pStyle w:val="BodyText"/>
        <w:spacing w:after="120" w:line="240" w:lineRule="auto"/>
        <w:ind w:left="0" w:firstLine="567"/>
        <w:rPr>
          <w:rFonts w:ascii="Times" w:hAnsi="Times"/>
          <w:color w:val="050505"/>
        </w:rPr>
      </w:pPr>
      <w:r w:rsidRPr="00C23102">
        <w:rPr>
          <w:rFonts w:ascii="Times" w:hAnsi="Times"/>
          <w:color w:val="050505"/>
        </w:rPr>
        <w:t xml:space="preserve">In line with our country's science, technology and innovation policies, </w:t>
      </w:r>
      <w:r w:rsidR="00044B5F" w:rsidRPr="00C23102">
        <w:rPr>
          <w:rFonts w:ascii="Times" w:hAnsi="Times"/>
          <w:color w:val="050505"/>
        </w:rPr>
        <w:t>TÜBITA</w:t>
      </w:r>
      <w:r w:rsidRPr="00C23102">
        <w:rPr>
          <w:rFonts w:ascii="Times" w:hAnsi="Times"/>
          <w:color w:val="050505"/>
        </w:rPr>
        <w:t xml:space="preserve">K-TEYDEB aims to contribute to increasing the competitiveness of private sector organizations </w:t>
      </w:r>
      <w:r w:rsidRPr="00C23102">
        <w:rPr>
          <w:rFonts w:ascii="Times" w:hAnsi="Times"/>
          <w:color w:val="050505"/>
        </w:rPr>
        <w:lastRenderedPageBreak/>
        <w:t xml:space="preserve">and to the dissemination of R&amp;D culture by supporting research-technology development and innovation activities. </w:t>
      </w:r>
      <w:r w:rsidR="00044B5F" w:rsidRPr="00C23102">
        <w:rPr>
          <w:rFonts w:ascii="Times" w:hAnsi="Times"/>
          <w:color w:val="050505"/>
        </w:rPr>
        <w:t>TÜBITA</w:t>
      </w:r>
      <w:r w:rsidRPr="00C23102">
        <w:rPr>
          <w:rFonts w:ascii="Times" w:hAnsi="Times"/>
          <w:color w:val="050505"/>
        </w:rPr>
        <w:t>K-TEYDEB programme has been supporting R&amp;D and innovation in our country for 23 years, especially SMEs since 1995. These supports are in the form of non-refundable grants and are given according to the R&amp;D nature of the projects and vary between 50% and 75%. Projects that do not develop new goods and services, do not provide competitive advantage to the company and do not have export potential are not supported. For this reason, it is essential that the projects include real R&amp;D and innovation, be of the type that will provide a competitive advantage to the company and increase employment.</w:t>
      </w:r>
    </w:p>
    <w:p w14:paraId="138E5AFA" w14:textId="53F03893" w:rsidR="00A53A43" w:rsidRPr="00C23102" w:rsidRDefault="00A53A43" w:rsidP="00F44FEC">
      <w:pPr>
        <w:pStyle w:val="BodyText"/>
        <w:spacing w:after="240" w:line="240" w:lineRule="auto"/>
        <w:ind w:left="0" w:firstLine="567"/>
        <w:rPr>
          <w:rFonts w:ascii="Times" w:hAnsi="Times"/>
          <w:color w:val="FF0000"/>
        </w:rPr>
      </w:pPr>
      <w:r w:rsidRPr="00C23102">
        <w:rPr>
          <w:rFonts w:ascii="Times" w:hAnsi="Times"/>
          <w:color w:val="050505"/>
        </w:rPr>
        <w:t xml:space="preserve">When the number of completed projects in the </w:t>
      </w:r>
      <w:r w:rsidR="00044B5F" w:rsidRPr="00C23102">
        <w:rPr>
          <w:rFonts w:ascii="Times" w:hAnsi="Times"/>
          <w:color w:val="050505"/>
        </w:rPr>
        <w:t>TÜBITA</w:t>
      </w:r>
      <w:r w:rsidRPr="00C23102">
        <w:rPr>
          <w:rFonts w:ascii="Times" w:hAnsi="Times"/>
          <w:color w:val="050505"/>
        </w:rPr>
        <w:t xml:space="preserve">K TEYDEB programme between 2015-2020 is analysed, Kocaeli ranks first with 331 projects, Manisa ranks second with 138 projects, and Kayseri ranks third with 64 projects. </w:t>
      </w:r>
      <w:r w:rsidR="00044B5F" w:rsidRPr="00C23102">
        <w:rPr>
          <w:rFonts w:ascii="Times" w:hAnsi="Times"/>
          <w:color w:val="050505"/>
        </w:rPr>
        <w:t>Balikesir</w:t>
      </w:r>
      <w:r w:rsidRPr="00C23102">
        <w:rPr>
          <w:rFonts w:ascii="Times" w:hAnsi="Times"/>
          <w:color w:val="050505"/>
        </w:rPr>
        <w:t xml:space="preserve"> is fourth with 23 projects and </w:t>
      </w:r>
      <w:r w:rsidR="00044B5F" w:rsidRPr="00C23102">
        <w:rPr>
          <w:rFonts w:ascii="Times" w:hAnsi="Times"/>
          <w:color w:val="050505"/>
        </w:rPr>
        <w:t>Kahramanmaras</w:t>
      </w:r>
      <w:r w:rsidRPr="00C23102">
        <w:rPr>
          <w:rFonts w:ascii="Times" w:hAnsi="Times"/>
          <w:color w:val="050505"/>
        </w:rPr>
        <w:t xml:space="preserve"> is fifth with 15 projects. Samsun and </w:t>
      </w:r>
      <w:r w:rsidR="00044B5F" w:rsidRPr="00C23102">
        <w:rPr>
          <w:rFonts w:ascii="Times" w:hAnsi="Times"/>
          <w:color w:val="050505"/>
        </w:rPr>
        <w:t>Mugla</w:t>
      </w:r>
      <w:r w:rsidRPr="00C23102">
        <w:rPr>
          <w:rFonts w:ascii="Times" w:hAnsi="Times"/>
          <w:color w:val="050505"/>
        </w:rPr>
        <w:t xml:space="preserve"> share the sixth place with 6 projects each</w:t>
      </w:r>
      <w:r w:rsidR="00223FF3" w:rsidRPr="00C23102">
        <w:rPr>
          <w:rFonts w:ascii="Times" w:hAnsi="Times"/>
          <w:color w:val="050505"/>
        </w:rPr>
        <w:t xml:space="preserve"> (Figure 13)</w:t>
      </w:r>
      <w:r w:rsidRPr="00C23102">
        <w:rPr>
          <w:rFonts w:ascii="Times" w:hAnsi="Times"/>
          <w:color w:val="050505"/>
        </w:rPr>
        <w:t>.</w:t>
      </w:r>
    </w:p>
    <w:p w14:paraId="5FC3CEFF" w14:textId="76F5B868" w:rsidR="00DD2345" w:rsidRPr="00C23102" w:rsidRDefault="00DD2345" w:rsidP="00223FF3">
      <w:pPr>
        <w:pStyle w:val="BodyText"/>
        <w:spacing w:before="240" w:after="240" w:line="240" w:lineRule="auto"/>
        <w:ind w:left="1418" w:hanging="1418"/>
        <w:jc w:val="center"/>
        <w:rPr>
          <w:rFonts w:ascii="Times" w:hAnsi="Times"/>
          <w:b/>
          <w:bCs/>
          <w:color w:val="000000" w:themeColor="text1"/>
        </w:rPr>
      </w:pPr>
      <w:r w:rsidRPr="00C23102">
        <w:rPr>
          <w:rFonts w:ascii="Times" w:hAnsi="Times"/>
          <w:b/>
          <w:bCs/>
          <w:color w:val="050505"/>
        </w:rPr>
        <w:t xml:space="preserve">Figure </w:t>
      </w:r>
      <w:r w:rsidR="00044B5F" w:rsidRPr="00C23102">
        <w:rPr>
          <w:rFonts w:ascii="Times" w:hAnsi="Times"/>
          <w:b/>
          <w:bCs/>
          <w:color w:val="050505"/>
        </w:rPr>
        <w:t>13</w:t>
      </w:r>
      <w:r w:rsidRPr="00C23102">
        <w:rPr>
          <w:rFonts w:ascii="Times" w:hAnsi="Times"/>
          <w:b/>
          <w:bCs/>
          <w:color w:val="050505"/>
        </w:rPr>
        <w:t xml:space="preserve">. </w:t>
      </w:r>
      <w:bookmarkStart w:id="33" w:name="_Hlk74823812"/>
      <w:r w:rsidRPr="00C23102">
        <w:rPr>
          <w:rFonts w:ascii="Times" w:hAnsi="Times"/>
          <w:b/>
          <w:bCs/>
          <w:color w:val="050505"/>
        </w:rPr>
        <w:t xml:space="preserve">Number of Completed </w:t>
      </w:r>
      <w:r w:rsidR="00044B5F" w:rsidRPr="00C23102">
        <w:rPr>
          <w:rFonts w:ascii="Times" w:hAnsi="Times"/>
          <w:b/>
          <w:bCs/>
          <w:color w:val="050505"/>
        </w:rPr>
        <w:t>TÜBITA</w:t>
      </w:r>
      <w:r w:rsidRPr="00C23102">
        <w:rPr>
          <w:rFonts w:ascii="Times" w:hAnsi="Times"/>
          <w:b/>
          <w:bCs/>
          <w:color w:val="050505"/>
        </w:rPr>
        <w:t xml:space="preserve">K TEYDEB Projects </w:t>
      </w:r>
      <w:r w:rsidRPr="00C23102">
        <w:rPr>
          <w:rFonts w:ascii="Times" w:hAnsi="Times"/>
          <w:b/>
          <w:bCs/>
          <w:color w:val="000000" w:themeColor="text1"/>
        </w:rPr>
        <w:t>(2016-2020)</w:t>
      </w:r>
      <w:bookmarkEnd w:id="33"/>
    </w:p>
    <w:p w14:paraId="456AEB64" w14:textId="5FC52335" w:rsidR="00844A80" w:rsidRPr="00C23102" w:rsidRDefault="00844A80" w:rsidP="00844A80">
      <w:pPr>
        <w:pStyle w:val="BodyText"/>
        <w:spacing w:before="240" w:after="240" w:line="240" w:lineRule="auto"/>
        <w:ind w:left="1418" w:hanging="1418"/>
        <w:jc w:val="center"/>
        <w:rPr>
          <w:rFonts w:ascii="Times" w:hAnsi="Times"/>
          <w:color w:val="000000" w:themeColor="text1"/>
        </w:rPr>
      </w:pPr>
      <w:r w:rsidRPr="00C23102">
        <w:rPr>
          <w:rFonts w:ascii="Times" w:hAnsi="Times"/>
          <w:noProof/>
        </w:rPr>
        <w:drawing>
          <wp:inline distT="0" distB="0" distL="0" distR="0" wp14:anchorId="28E49E7E" wp14:editId="1A7E17E9">
            <wp:extent cx="4400550" cy="1733550"/>
            <wp:effectExtent l="0" t="0" r="0" b="0"/>
            <wp:docPr id="16" name="Chart 16">
              <a:extLst xmlns:a="http://schemas.openxmlformats.org/drawingml/2006/main">
                <a:ext uri="{FF2B5EF4-FFF2-40B4-BE49-F238E27FC236}">
                  <a16:creationId xmlns:a16="http://schemas.microsoft.com/office/drawing/2014/main" id="{303926EA-A7B1-4945-9043-ABCACDA92A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D7A2974" w14:textId="61BE8E90" w:rsidR="00223FF3" w:rsidRPr="00C23102" w:rsidRDefault="00223FF3" w:rsidP="00223FF3">
      <w:pPr>
        <w:pStyle w:val="BodyText"/>
        <w:spacing w:after="240" w:line="240" w:lineRule="auto"/>
        <w:ind w:left="0"/>
        <w:jc w:val="center"/>
        <w:rPr>
          <w:rFonts w:ascii="Times" w:hAnsi="Times"/>
          <w:color w:val="050505"/>
        </w:rPr>
      </w:pPr>
      <w:r w:rsidRPr="00C23102">
        <w:rPr>
          <w:rFonts w:ascii="Times" w:hAnsi="Times"/>
          <w:color w:val="000000" w:themeColor="text1"/>
          <w:sz w:val="22"/>
          <w:szCs w:val="22"/>
        </w:rPr>
        <w:t>Source: TÜBITAK, 2021c</w:t>
      </w:r>
    </w:p>
    <w:p w14:paraId="41D42D29" w14:textId="47E5144F" w:rsidR="00A53A43" w:rsidRPr="00C23102" w:rsidRDefault="00A53A43"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 xml:space="preserve">2.2.2. </w:t>
      </w:r>
      <w:r w:rsidR="00BE2348" w:rsidRPr="00C23102">
        <w:rPr>
          <w:rFonts w:ascii="Times" w:hAnsi="Times"/>
          <w:b/>
          <w:bCs/>
          <w:color w:val="000000" w:themeColor="text1"/>
        </w:rPr>
        <w:t>Performance in Intellectual Property Rights (IPR)</w:t>
      </w:r>
    </w:p>
    <w:p w14:paraId="143A65BC" w14:textId="77777777" w:rsidR="00950CE5" w:rsidRPr="00C23102" w:rsidRDefault="00BE2348" w:rsidP="00F44FEC">
      <w:pPr>
        <w:pStyle w:val="BodyText"/>
        <w:spacing w:before="0" w:line="240" w:lineRule="auto"/>
        <w:ind w:left="0" w:firstLine="567"/>
        <w:rPr>
          <w:rFonts w:ascii="Times" w:hAnsi="Times"/>
          <w:color w:val="050505"/>
        </w:rPr>
      </w:pPr>
      <w:r w:rsidRPr="00C23102">
        <w:rPr>
          <w:rFonts w:ascii="Times" w:hAnsi="Times"/>
          <w:color w:val="050505"/>
        </w:rPr>
        <w:t>Patent is one of the internationally important R&amp;D and innovation performance indicators. Both universities and private sector companies are encouraged to obtain patents for the invention and know-how they have obtained as a result of their R&amp;D and innovation studies. Because the patent provides the company with a monopoly right and competitive advantage for a maximum of 20 years in relation to the product. The higher the number of patents in a region, the higher the R&amp;D and innovation performance of that region, and accordingly, the higher its competitiveness. For this reason, patenting is a subject that is encouraged and supported by companies.</w:t>
      </w:r>
    </w:p>
    <w:p w14:paraId="1D3D9633" w14:textId="463B602E" w:rsidR="00950CE5" w:rsidRPr="00C23102" w:rsidRDefault="00950CE5" w:rsidP="00F44FEC">
      <w:pPr>
        <w:pStyle w:val="BodyText"/>
        <w:spacing w:after="240" w:line="240" w:lineRule="auto"/>
        <w:ind w:left="0" w:firstLine="567"/>
        <w:rPr>
          <w:rFonts w:ascii="Times" w:hAnsi="Times"/>
          <w:color w:val="050505"/>
        </w:rPr>
      </w:pPr>
      <w:r w:rsidRPr="00C23102">
        <w:rPr>
          <w:rFonts w:ascii="Times" w:hAnsi="Times"/>
          <w:color w:val="050505"/>
        </w:rPr>
        <w:t xml:space="preserve">Considering the patent applications filed and registered between the years 2015-2020, Manisa with 2,108 patent applications in total is followed by Kocaeli with 1,631 patents, Kayseri with 691 patents, Samsun with 278 patents, </w:t>
      </w:r>
      <w:r w:rsidR="00044B5F" w:rsidRPr="00C23102">
        <w:rPr>
          <w:rFonts w:ascii="Times" w:hAnsi="Times"/>
          <w:color w:val="050505"/>
        </w:rPr>
        <w:t>Kahramanmaras</w:t>
      </w:r>
      <w:r w:rsidRPr="00C23102">
        <w:rPr>
          <w:rFonts w:ascii="Times" w:hAnsi="Times"/>
          <w:color w:val="050505"/>
        </w:rPr>
        <w:t xml:space="preserve"> with 205 patents, </w:t>
      </w:r>
      <w:r w:rsidR="00044B5F" w:rsidRPr="00C23102">
        <w:rPr>
          <w:rFonts w:ascii="Times" w:hAnsi="Times"/>
          <w:color w:val="050505"/>
        </w:rPr>
        <w:t>Balikesir</w:t>
      </w:r>
      <w:r w:rsidRPr="00C23102">
        <w:rPr>
          <w:rFonts w:ascii="Times" w:hAnsi="Times"/>
          <w:color w:val="050505"/>
        </w:rPr>
        <w:t xml:space="preserve"> with 194 patents and </w:t>
      </w:r>
      <w:r w:rsidR="00044B5F" w:rsidRPr="00C23102">
        <w:rPr>
          <w:rFonts w:ascii="Times" w:hAnsi="Times"/>
          <w:color w:val="050505"/>
        </w:rPr>
        <w:t>Mugla</w:t>
      </w:r>
      <w:r w:rsidRPr="00C23102">
        <w:rPr>
          <w:rFonts w:ascii="Times" w:hAnsi="Times"/>
          <w:color w:val="050505"/>
        </w:rPr>
        <w:t xml:space="preserve"> with 186 patents. is following. Considering the number of registrations, Kocaeli with a total of 565 patents is followed by Manisa with 337 patents, Kayseri with 135 patents, Samsun with 33 patents, </w:t>
      </w:r>
      <w:r w:rsidR="00044B5F" w:rsidRPr="00C23102">
        <w:rPr>
          <w:rFonts w:ascii="Times" w:hAnsi="Times"/>
          <w:color w:val="050505"/>
        </w:rPr>
        <w:t>Balikesir</w:t>
      </w:r>
      <w:r w:rsidRPr="00C23102">
        <w:rPr>
          <w:rFonts w:ascii="Times" w:hAnsi="Times"/>
          <w:color w:val="050505"/>
        </w:rPr>
        <w:t xml:space="preserve"> with 30 patents, </w:t>
      </w:r>
      <w:r w:rsidR="00044B5F" w:rsidRPr="00C23102">
        <w:rPr>
          <w:rFonts w:ascii="Times" w:hAnsi="Times"/>
          <w:color w:val="050505"/>
        </w:rPr>
        <w:t>Kahramanmaras</w:t>
      </w:r>
      <w:r w:rsidRPr="00C23102">
        <w:rPr>
          <w:rFonts w:ascii="Times" w:hAnsi="Times"/>
          <w:color w:val="050505"/>
        </w:rPr>
        <w:t xml:space="preserve"> with 27 patents and </w:t>
      </w:r>
      <w:r w:rsidR="00044B5F" w:rsidRPr="00C23102">
        <w:rPr>
          <w:rFonts w:ascii="Times" w:hAnsi="Times"/>
          <w:color w:val="050505"/>
        </w:rPr>
        <w:t>Mugla</w:t>
      </w:r>
      <w:r w:rsidRPr="00C23102">
        <w:rPr>
          <w:rFonts w:ascii="Times" w:hAnsi="Times"/>
          <w:color w:val="050505"/>
        </w:rPr>
        <w:t xml:space="preserve"> with 17 patents. However, since the registration of patent applications takes 3 to 5 years, these numbers change over time (Figure 1</w:t>
      </w:r>
      <w:r w:rsidR="002B1421" w:rsidRPr="00C23102">
        <w:rPr>
          <w:rFonts w:ascii="Times" w:hAnsi="Times"/>
          <w:color w:val="050505"/>
        </w:rPr>
        <w:t>4</w:t>
      </w:r>
      <w:r w:rsidRPr="00C23102">
        <w:rPr>
          <w:rFonts w:ascii="Times" w:hAnsi="Times"/>
          <w:color w:val="050505"/>
        </w:rPr>
        <w:t>).</w:t>
      </w:r>
    </w:p>
    <w:p w14:paraId="7BA06F5D" w14:textId="77777777" w:rsidR="00C23102" w:rsidRDefault="00C23102" w:rsidP="001266C3">
      <w:pPr>
        <w:pStyle w:val="BodyText"/>
        <w:spacing w:before="240" w:after="240" w:line="240" w:lineRule="auto"/>
        <w:ind w:left="1418" w:hanging="1418"/>
        <w:jc w:val="center"/>
        <w:rPr>
          <w:rFonts w:ascii="Times" w:hAnsi="Times"/>
          <w:b/>
          <w:bCs/>
          <w:color w:val="050505"/>
        </w:rPr>
      </w:pPr>
    </w:p>
    <w:p w14:paraId="742265EC" w14:textId="2BF1F067" w:rsidR="002A5E3A" w:rsidRPr="00C23102" w:rsidRDefault="002A5E3A" w:rsidP="001266C3">
      <w:pPr>
        <w:pStyle w:val="BodyText"/>
        <w:spacing w:before="240" w:after="240" w:line="240" w:lineRule="auto"/>
        <w:ind w:left="1418" w:hanging="1418"/>
        <w:jc w:val="center"/>
        <w:rPr>
          <w:rFonts w:ascii="Times" w:hAnsi="Times"/>
          <w:b/>
          <w:bCs/>
          <w:color w:val="000000" w:themeColor="text1"/>
        </w:rPr>
      </w:pPr>
      <w:r w:rsidRPr="00C23102">
        <w:rPr>
          <w:rFonts w:ascii="Times" w:hAnsi="Times"/>
          <w:b/>
          <w:bCs/>
          <w:color w:val="050505"/>
        </w:rPr>
        <w:lastRenderedPageBreak/>
        <w:t xml:space="preserve">Figure </w:t>
      </w:r>
      <w:r w:rsidR="00044B5F" w:rsidRPr="00C23102">
        <w:rPr>
          <w:rFonts w:ascii="Times" w:hAnsi="Times"/>
          <w:b/>
          <w:bCs/>
          <w:color w:val="050505"/>
        </w:rPr>
        <w:t>14</w:t>
      </w:r>
      <w:r w:rsidRPr="00C23102">
        <w:rPr>
          <w:rFonts w:ascii="Times" w:hAnsi="Times"/>
          <w:b/>
          <w:bCs/>
          <w:color w:val="050505"/>
        </w:rPr>
        <w:t xml:space="preserve">. Number of Patent Applications &amp; Registrations in Total </w:t>
      </w:r>
      <w:r w:rsidRPr="00C23102">
        <w:rPr>
          <w:rFonts w:ascii="Times" w:hAnsi="Times"/>
          <w:b/>
          <w:bCs/>
          <w:color w:val="000000" w:themeColor="text1"/>
        </w:rPr>
        <w:t>(2015-2020)</w:t>
      </w:r>
    </w:p>
    <w:p w14:paraId="6226045E" w14:textId="56BDAA0F" w:rsidR="00844A80" w:rsidRPr="00C23102" w:rsidRDefault="00844A80" w:rsidP="00844A80">
      <w:pPr>
        <w:pStyle w:val="BodyText"/>
        <w:spacing w:before="240" w:after="240" w:line="240" w:lineRule="auto"/>
        <w:ind w:left="1418" w:hanging="1418"/>
        <w:jc w:val="center"/>
        <w:rPr>
          <w:rFonts w:ascii="Times" w:hAnsi="Times"/>
          <w:color w:val="000000" w:themeColor="text1"/>
        </w:rPr>
      </w:pPr>
      <w:r w:rsidRPr="00C23102">
        <w:rPr>
          <w:rFonts w:ascii="Times" w:hAnsi="Times"/>
          <w:noProof/>
        </w:rPr>
        <w:drawing>
          <wp:inline distT="0" distB="0" distL="0" distR="0" wp14:anchorId="4531DE6F" wp14:editId="2FFEB583">
            <wp:extent cx="4295775" cy="1933575"/>
            <wp:effectExtent l="0" t="0" r="9525" b="9525"/>
            <wp:docPr id="17" name="Chart 17">
              <a:extLst xmlns:a="http://schemas.openxmlformats.org/drawingml/2006/main">
                <a:ext uri="{FF2B5EF4-FFF2-40B4-BE49-F238E27FC236}">
                  <a16:creationId xmlns:a16="http://schemas.microsoft.com/office/drawing/2014/main" id="{3F7C0A29-A41A-405F-961E-984D94C0FE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E5A597" w14:textId="77777777" w:rsidR="002B1421" w:rsidRPr="00C23102" w:rsidRDefault="002B1421" w:rsidP="002B1421">
      <w:pPr>
        <w:pStyle w:val="BodyText"/>
        <w:spacing w:after="240" w:line="240" w:lineRule="auto"/>
        <w:ind w:left="0"/>
        <w:jc w:val="center"/>
        <w:rPr>
          <w:rFonts w:ascii="Times" w:hAnsi="Times"/>
          <w:color w:val="050505"/>
        </w:rPr>
      </w:pPr>
      <w:r w:rsidRPr="00C23102">
        <w:rPr>
          <w:rFonts w:ascii="Times" w:hAnsi="Times"/>
          <w:color w:val="000000" w:themeColor="text1"/>
          <w:sz w:val="22"/>
          <w:szCs w:val="22"/>
        </w:rPr>
        <w:t>Source: TÜBITAK, 2021c</w:t>
      </w:r>
    </w:p>
    <w:p w14:paraId="65AC8ED3" w14:textId="79AEBBF4" w:rsidR="00E5748C" w:rsidRPr="00C23102" w:rsidRDefault="00E5748C" w:rsidP="003A7803">
      <w:pPr>
        <w:pStyle w:val="BodyText"/>
        <w:spacing w:after="120"/>
        <w:ind w:left="0" w:right="74"/>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3. Infrastructure for Supporting R&amp;D and Innovation</w:t>
      </w:r>
    </w:p>
    <w:p w14:paraId="27F02E90" w14:textId="070EAAD6" w:rsidR="00E5748C" w:rsidRPr="00C23102" w:rsidRDefault="00E5748C"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 xml:space="preserve">3.1. Interface Institutions </w:t>
      </w:r>
    </w:p>
    <w:p w14:paraId="163D5675" w14:textId="54F5317F" w:rsidR="00E5748C" w:rsidRPr="00C23102" w:rsidRDefault="00E5748C"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 xml:space="preserve">3.1.1. Samsun Technology Development Zone (Samsun Teknopark) </w:t>
      </w:r>
    </w:p>
    <w:p w14:paraId="13FE9719" w14:textId="4B0CFBDD" w:rsidR="000A232A" w:rsidRPr="00C23102" w:rsidRDefault="00E5748C" w:rsidP="00F44FEC">
      <w:pPr>
        <w:pStyle w:val="BodyText"/>
        <w:spacing w:after="120" w:line="240" w:lineRule="auto"/>
        <w:ind w:left="0" w:firstLine="567"/>
        <w:rPr>
          <w:rFonts w:ascii="Times" w:hAnsi="Times"/>
          <w:color w:val="050505"/>
        </w:rPr>
      </w:pPr>
      <w:r w:rsidRPr="00C23102">
        <w:rPr>
          <w:rFonts w:ascii="Times" w:hAnsi="Times"/>
          <w:color w:val="050505"/>
        </w:rPr>
        <w:t xml:space="preserve">Technology Development Zones are academic, social and cultural sites established to encourage and enable entrepreneurs, researchers, and academicians who want to create goods and services with new or advanced technologies, to conduct their industrial and commercial activities within university premises and benefit from its resources. The establishment of the Samsun Technology Development Zone was initiated on an 80.000 m² plot in Ondokuz </w:t>
      </w:r>
      <w:r w:rsidR="00044B5F" w:rsidRPr="00C23102">
        <w:rPr>
          <w:rFonts w:ascii="Times" w:hAnsi="Times"/>
          <w:color w:val="050505"/>
        </w:rPr>
        <w:t>Mayis</w:t>
      </w:r>
      <w:r w:rsidRPr="00C23102">
        <w:rPr>
          <w:rFonts w:ascii="Times" w:hAnsi="Times"/>
          <w:color w:val="050505"/>
        </w:rPr>
        <w:t xml:space="preserve"> University's Atakum Campus with the decree of the Council of Ministers announced in July 2009. Samsun Technology Development Zone Managing Corporation, also known as Samsun Teknopark, was founded in June 2010 with the partnership of the university, public-private sector, and NGOs. The construction of the Samsun Teknopark Administration Building and Incubation Center started in March 2012 and was put into service in the second quarter of 2014. Samsun Teknopark encourages its stakeholders to turn their scientific knowledge potential into technological products and navigates research with the aim to address the needs of industry.</w:t>
      </w:r>
      <w:r w:rsidR="000A232A" w:rsidRPr="00C23102">
        <w:rPr>
          <w:rFonts w:ascii="Times" w:hAnsi="Times"/>
          <w:color w:val="050505"/>
        </w:rPr>
        <w:t xml:space="preserve"> </w:t>
      </w:r>
    </w:p>
    <w:p w14:paraId="1CBDE9A0" w14:textId="71E8139C" w:rsidR="000A232A" w:rsidRPr="00C23102" w:rsidRDefault="00E5748C" w:rsidP="00F44FEC">
      <w:pPr>
        <w:pStyle w:val="BodyText"/>
        <w:spacing w:after="120" w:line="240" w:lineRule="auto"/>
        <w:ind w:left="0" w:firstLine="567"/>
        <w:rPr>
          <w:rFonts w:ascii="Times" w:hAnsi="Times"/>
          <w:color w:val="050505"/>
        </w:rPr>
      </w:pPr>
      <w:r w:rsidRPr="00C23102">
        <w:rPr>
          <w:rFonts w:ascii="Times" w:hAnsi="Times"/>
          <w:color w:val="050505"/>
        </w:rPr>
        <w:t xml:space="preserve">Samsun Teknopark thrives to create an environment where the scientific knowledge potential can turn into technological products and </w:t>
      </w:r>
      <w:r w:rsidR="00C532D4" w:rsidRPr="00C23102">
        <w:rPr>
          <w:rFonts w:ascii="Times" w:hAnsi="Times"/>
          <w:color w:val="050505"/>
        </w:rPr>
        <w:t>researches</w:t>
      </w:r>
      <w:r w:rsidRPr="00C23102">
        <w:rPr>
          <w:rFonts w:ascii="Times" w:hAnsi="Times"/>
          <w:color w:val="050505"/>
        </w:rPr>
        <w:t xml:space="preserve"> within the university can be developed to address the needs of the industry. It aims to carry out activities in fields including but not limited to information technologies, automation, material development, nanotechnology, pharmaceuticals, molecular biology, biotechnology, defense technology, environmental technology, medical technology, and mechatronics.</w:t>
      </w:r>
      <w:r w:rsidR="000A232A" w:rsidRPr="00C23102">
        <w:rPr>
          <w:rFonts w:ascii="Times" w:hAnsi="Times"/>
          <w:color w:val="050505"/>
        </w:rPr>
        <w:t xml:space="preserve"> There are two basic services for entrepreneurs in Samsun Teknopark; pre-incubation center and incubation offices. Entrepreneurs can receive pre-incubation support for the testing and commercialization of innovative business ideas. In addition, entrepreneurs who demonstrate R&amp;D and innovation work at the pre-incubator center can continue to work and take advantage of the support by taking part in our incubation offices. These structures are form so that entrepreneurs can work with other entrepreneurs, enabling communication and interaction. </w:t>
      </w:r>
    </w:p>
    <w:p w14:paraId="0802AAB1" w14:textId="5AFFF80F" w:rsidR="000A232A" w:rsidRPr="00C23102" w:rsidRDefault="000A232A" w:rsidP="00F44FEC">
      <w:pPr>
        <w:pStyle w:val="BodyText"/>
        <w:spacing w:after="120" w:line="240" w:lineRule="auto"/>
        <w:ind w:left="0" w:firstLine="567"/>
        <w:rPr>
          <w:rFonts w:ascii="Times" w:hAnsi="Times"/>
          <w:color w:val="050505"/>
        </w:rPr>
      </w:pPr>
      <w:r w:rsidRPr="00C23102">
        <w:rPr>
          <w:rFonts w:ascii="Times" w:hAnsi="Times"/>
          <w:color w:val="050505"/>
        </w:rPr>
        <w:t xml:space="preserve">There are 71 companies in Samsun Teknopark. As considering the sectoral distribution, 61% of the Companies are in the field of software, 8% in energy, 8% in machinery equipment, 10% in agriculture and 13% in other industries including packaging, food, electronics, </w:t>
      </w:r>
      <w:r w:rsidRPr="00C23102">
        <w:rPr>
          <w:rFonts w:ascii="Times" w:hAnsi="Times"/>
          <w:color w:val="050505"/>
        </w:rPr>
        <w:lastRenderedPageBreak/>
        <w:t>manufacturing, construction, medical, chemistry, automotive supplier industry and telecommunication. As of June 2021, approximately 342 full-time and part-time personnel are employed in Companies in Samsun Teknopark</w:t>
      </w:r>
      <w:r w:rsidR="005C06D4" w:rsidRPr="00C23102">
        <w:rPr>
          <w:rFonts w:ascii="Times" w:hAnsi="Times"/>
          <w:color w:val="050505"/>
        </w:rPr>
        <w:t xml:space="preserve"> (SAMSUN TEKNOPARK, 2021).</w:t>
      </w:r>
    </w:p>
    <w:p w14:paraId="6FFBD45A" w14:textId="154885F9" w:rsidR="000A232A" w:rsidRPr="00C23102" w:rsidRDefault="000A232A"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3.1.</w:t>
      </w:r>
      <w:r w:rsidR="009E1F2A" w:rsidRPr="00C23102">
        <w:rPr>
          <w:rFonts w:ascii="Times" w:hAnsi="Times"/>
          <w:b/>
          <w:bCs/>
          <w:color w:val="000000" w:themeColor="text1"/>
        </w:rPr>
        <w:t>2</w:t>
      </w:r>
      <w:r w:rsidRPr="00C23102">
        <w:rPr>
          <w:rFonts w:ascii="Times" w:hAnsi="Times"/>
          <w:b/>
          <w:bCs/>
          <w:color w:val="000000" w:themeColor="text1"/>
        </w:rPr>
        <w:t>. Ondokuz</w:t>
      </w:r>
      <w:r w:rsidR="00044B5F" w:rsidRPr="00C23102">
        <w:rPr>
          <w:rFonts w:ascii="Times" w:hAnsi="Times"/>
          <w:b/>
          <w:bCs/>
          <w:color w:val="000000" w:themeColor="text1"/>
        </w:rPr>
        <w:t>Mayis</w:t>
      </w:r>
      <w:r w:rsidRPr="00C23102">
        <w:rPr>
          <w:rFonts w:ascii="Times" w:hAnsi="Times"/>
          <w:b/>
          <w:bCs/>
          <w:color w:val="000000" w:themeColor="text1"/>
        </w:rPr>
        <w:t xml:space="preserve"> University Technology Transfer Office (OMU TTO) </w:t>
      </w:r>
    </w:p>
    <w:p w14:paraId="4BEC74B9" w14:textId="643FA2E0" w:rsidR="009E1F2A" w:rsidRPr="00C23102" w:rsidRDefault="000A232A" w:rsidP="00F44FEC">
      <w:pPr>
        <w:pStyle w:val="BodyText"/>
        <w:spacing w:after="120" w:line="240" w:lineRule="auto"/>
        <w:ind w:left="0" w:firstLine="567"/>
        <w:rPr>
          <w:rFonts w:ascii="Times" w:hAnsi="Times"/>
          <w:color w:val="050505"/>
        </w:rPr>
      </w:pPr>
      <w:r w:rsidRPr="00C23102">
        <w:rPr>
          <w:rFonts w:ascii="Times" w:hAnsi="Times"/>
          <w:color w:val="050505"/>
        </w:rPr>
        <w:t xml:space="preserve">Ondokuz </w:t>
      </w:r>
      <w:r w:rsidR="00044B5F" w:rsidRPr="00C23102">
        <w:rPr>
          <w:rFonts w:ascii="Times" w:hAnsi="Times"/>
          <w:color w:val="050505"/>
        </w:rPr>
        <w:t>Mayis</w:t>
      </w:r>
      <w:r w:rsidRPr="00C23102">
        <w:rPr>
          <w:rFonts w:ascii="Times" w:hAnsi="Times"/>
          <w:color w:val="050505"/>
        </w:rPr>
        <w:t xml:space="preserve"> University Technology Transfer Office is </w:t>
      </w:r>
      <w:r w:rsidR="009E1F2A" w:rsidRPr="00C23102">
        <w:rPr>
          <w:rFonts w:ascii="Times" w:hAnsi="Times"/>
          <w:color w:val="050505"/>
        </w:rPr>
        <w:t xml:space="preserve">acted </w:t>
      </w:r>
      <w:r w:rsidRPr="00C23102">
        <w:rPr>
          <w:rFonts w:ascii="Times" w:hAnsi="Times"/>
          <w:color w:val="050505"/>
        </w:rPr>
        <w:t xml:space="preserve">between universities, research centers and the private sector; was established to provide necessary and needed connections with researchers, entrepreneurs, investors and industrialists. </w:t>
      </w:r>
      <w:r w:rsidR="009E1F2A" w:rsidRPr="00C23102">
        <w:rPr>
          <w:rFonts w:ascii="Times" w:hAnsi="Times"/>
          <w:color w:val="050505"/>
        </w:rPr>
        <w:t>OMU TTO is in service with five different modules as Module 1. Awareness Promotion and Information Training Services, Module 2. Services for Benefiting from Support Programs, Module 3. Project Development Management Services University-Industry Cooperation Activities, Module 4. Intellectual Property Rights Management and Licensing Services, and Module 5.  Incorporation and Entrepreneurship Services</w:t>
      </w:r>
      <w:r w:rsidR="005C06D4" w:rsidRPr="00C23102">
        <w:rPr>
          <w:rFonts w:ascii="Times" w:hAnsi="Times"/>
          <w:color w:val="050505"/>
        </w:rPr>
        <w:t xml:space="preserve"> (OMU TTO, 2021)</w:t>
      </w:r>
      <w:r w:rsidR="009E1F2A" w:rsidRPr="00C23102">
        <w:rPr>
          <w:rFonts w:ascii="Times" w:hAnsi="Times"/>
          <w:color w:val="050505"/>
        </w:rPr>
        <w:t>.</w:t>
      </w:r>
    </w:p>
    <w:p w14:paraId="71D73702" w14:textId="4C19297F" w:rsidR="00AD40D2" w:rsidRPr="00C23102" w:rsidRDefault="009E1F2A" w:rsidP="003A7803">
      <w:pPr>
        <w:pStyle w:val="BodyText"/>
        <w:spacing w:after="120"/>
        <w:ind w:left="0"/>
        <w:jc w:val="left"/>
        <w:rPr>
          <w:rFonts w:ascii="Times" w:hAnsi="Times"/>
          <w:b/>
          <w:bCs/>
          <w:color w:val="000000" w:themeColor="text1"/>
        </w:rPr>
      </w:pPr>
      <w:r w:rsidRPr="00C23102">
        <w:rPr>
          <w:rFonts w:ascii="Times" w:hAnsi="Times"/>
          <w:b/>
          <w:bCs/>
          <w:color w:val="000000" w:themeColor="text1"/>
        </w:rPr>
        <w:t>4.</w:t>
      </w:r>
      <w:r w:rsidR="00AD40D2" w:rsidRPr="00C23102">
        <w:rPr>
          <w:rFonts w:ascii="Times" w:hAnsi="Times"/>
          <w:b/>
          <w:bCs/>
          <w:color w:val="000000" w:themeColor="text1"/>
        </w:rPr>
        <w:t>1.</w:t>
      </w:r>
      <w:r w:rsidRPr="00C23102">
        <w:rPr>
          <w:rFonts w:ascii="Times" w:hAnsi="Times"/>
          <w:b/>
          <w:bCs/>
          <w:color w:val="000000" w:themeColor="text1"/>
        </w:rPr>
        <w:t xml:space="preserve">3.1.3. Samsun University Technology Transfer Office Research and Application Center (SAMÜ-TTO) </w:t>
      </w:r>
    </w:p>
    <w:p w14:paraId="12A28929" w14:textId="366B8B13" w:rsidR="009E1F2A" w:rsidRPr="00C23102" w:rsidRDefault="009E1F2A" w:rsidP="00F44FEC">
      <w:pPr>
        <w:pStyle w:val="BodyText"/>
        <w:spacing w:after="120" w:line="240" w:lineRule="auto"/>
        <w:ind w:left="0" w:firstLine="567"/>
        <w:rPr>
          <w:rFonts w:ascii="Times" w:hAnsi="Times"/>
          <w:color w:val="050505"/>
        </w:rPr>
      </w:pPr>
      <w:r w:rsidRPr="00C23102">
        <w:rPr>
          <w:rFonts w:ascii="Times" w:hAnsi="Times"/>
          <w:color w:val="050505"/>
        </w:rPr>
        <w:t xml:space="preserve">Samsun University Technology Transfer Office Research and Application Center (SAMÜ-TTO) was established within Samsun University with the official gazette number 30808 published on 21 June 2019.  SAMÜ-TTO, with its experienced team in project development, business development and public, university and industry collaborations, provides information and consultancy services on outsourced project development, national and international support programs, organizing informative events, creating cooperation between academics and industrialists and creating projects together. continues its activities with the aim of establishing the culture of development, creating national and international collaborations, encouraging entrepreneurship and providing consultancy services to researchers and industrialists with whom it cooperates on intellectual and industrial property rights. </w:t>
      </w:r>
      <w:r w:rsidR="00AD40D2" w:rsidRPr="00C23102">
        <w:rPr>
          <w:rFonts w:ascii="Times" w:hAnsi="Times"/>
          <w:color w:val="050505"/>
        </w:rPr>
        <w:t>SAMU TTO is in service with five different modules as Module 1. Awareness Promotion and Information Training Services, Module 2. Services for Benefiting from Support Programs, Module 3. Project Development Management Services University-Industry Cooperation Activities, Module 4. Intellectual Property Rights Management and Licensing Services, and Module 5.  Incorporation and Entrepreneurship Services</w:t>
      </w:r>
      <w:r w:rsidR="005C06D4" w:rsidRPr="00C23102">
        <w:rPr>
          <w:rFonts w:ascii="Times" w:hAnsi="Times"/>
          <w:color w:val="050505"/>
        </w:rPr>
        <w:t xml:space="preserve"> (SAMU TTO, 2021)</w:t>
      </w:r>
      <w:r w:rsidR="00AD40D2" w:rsidRPr="00C23102">
        <w:rPr>
          <w:rFonts w:ascii="Times" w:hAnsi="Times"/>
          <w:color w:val="050505"/>
        </w:rPr>
        <w:t>.</w:t>
      </w:r>
    </w:p>
    <w:p w14:paraId="00F52FB7" w14:textId="2021DE03" w:rsidR="006B506B" w:rsidRPr="00C23102" w:rsidRDefault="006B506B" w:rsidP="003A7803">
      <w:pPr>
        <w:pStyle w:val="BodyText"/>
        <w:spacing w:after="120"/>
        <w:ind w:left="0" w:right="74"/>
        <w:jc w:val="left"/>
        <w:rPr>
          <w:rFonts w:ascii="Times" w:hAnsi="Times"/>
          <w:color w:val="000000" w:themeColor="text1"/>
        </w:rPr>
      </w:pPr>
      <w:r w:rsidRPr="00C23102">
        <w:rPr>
          <w:rFonts w:ascii="Times" w:hAnsi="Times"/>
          <w:b/>
          <w:bCs/>
          <w:color w:val="000000" w:themeColor="text1"/>
        </w:rPr>
        <w:t>CONCLUSION</w:t>
      </w:r>
    </w:p>
    <w:p w14:paraId="350845A1" w14:textId="1DE1F210" w:rsidR="00EA1BD4" w:rsidRPr="00C23102" w:rsidRDefault="00EA1BD4" w:rsidP="009E26EA">
      <w:pPr>
        <w:pStyle w:val="BodyText"/>
        <w:spacing w:after="120" w:line="240" w:lineRule="auto"/>
        <w:ind w:left="0" w:firstLine="709"/>
        <w:rPr>
          <w:rFonts w:ascii="Times" w:hAnsi="Times"/>
          <w:color w:val="000000" w:themeColor="text1"/>
        </w:rPr>
      </w:pPr>
      <w:r w:rsidRPr="00C23102">
        <w:rPr>
          <w:rFonts w:ascii="Times" w:hAnsi="Times"/>
          <w:color w:val="000000" w:themeColor="text1"/>
        </w:rPr>
        <w:t xml:space="preserve">R&amp;D and innovation have become one of the indispensable elements of competition today. Countries whose industry is supported by effective R&amp;D incentives are at the top of the World Competitiveness Rankings. </w:t>
      </w:r>
      <w:r w:rsidR="00C226EE" w:rsidRPr="00C23102">
        <w:rPr>
          <w:rFonts w:ascii="Times" w:hAnsi="Times"/>
          <w:color w:val="000000" w:themeColor="text1"/>
        </w:rPr>
        <w:t>E</w:t>
      </w:r>
      <w:r w:rsidRPr="00C23102">
        <w:rPr>
          <w:rFonts w:ascii="Times" w:hAnsi="Times"/>
          <w:color w:val="000000" w:themeColor="text1"/>
        </w:rPr>
        <w:t>xpectation as a country</w:t>
      </w:r>
      <w:r w:rsidR="00C226EE" w:rsidRPr="00C23102">
        <w:rPr>
          <w:rFonts w:ascii="Times" w:hAnsi="Times"/>
          <w:color w:val="000000" w:themeColor="text1"/>
        </w:rPr>
        <w:t xml:space="preserve"> or region</w:t>
      </w:r>
      <w:r w:rsidRPr="00C23102">
        <w:rPr>
          <w:rFonts w:ascii="Times" w:hAnsi="Times"/>
          <w:color w:val="000000" w:themeColor="text1"/>
        </w:rPr>
        <w:t xml:space="preserve"> is the return of the R&amp;D studies carried out as products containing advanced technology that will create added value for </w:t>
      </w:r>
      <w:r w:rsidR="00C226EE" w:rsidRPr="00C23102">
        <w:rPr>
          <w:rFonts w:ascii="Times" w:hAnsi="Times"/>
          <w:color w:val="000000" w:themeColor="text1"/>
        </w:rPr>
        <w:t>a</w:t>
      </w:r>
      <w:r w:rsidRPr="00C23102">
        <w:rPr>
          <w:rFonts w:ascii="Times" w:hAnsi="Times"/>
          <w:color w:val="000000" w:themeColor="text1"/>
        </w:rPr>
        <w:t xml:space="preserve"> country's</w:t>
      </w:r>
      <w:r w:rsidR="00C226EE" w:rsidRPr="00C23102">
        <w:rPr>
          <w:rFonts w:ascii="Times" w:hAnsi="Times"/>
          <w:color w:val="000000" w:themeColor="text1"/>
        </w:rPr>
        <w:t xml:space="preserve"> and/or region’s</w:t>
      </w:r>
      <w:r w:rsidRPr="00C23102">
        <w:rPr>
          <w:rFonts w:ascii="Times" w:hAnsi="Times"/>
          <w:color w:val="000000" w:themeColor="text1"/>
        </w:rPr>
        <w:t xml:space="preserve"> economy and increase </w:t>
      </w:r>
      <w:r w:rsidR="00C226EE" w:rsidRPr="00C23102">
        <w:rPr>
          <w:rFonts w:ascii="Times" w:hAnsi="Times"/>
          <w:color w:val="000000" w:themeColor="text1"/>
        </w:rPr>
        <w:t>national and/or regional</w:t>
      </w:r>
      <w:r w:rsidRPr="00C23102">
        <w:rPr>
          <w:rFonts w:ascii="Times" w:hAnsi="Times"/>
          <w:color w:val="000000" w:themeColor="text1"/>
        </w:rPr>
        <w:t xml:space="preserve"> competitiveness in the international market</w:t>
      </w:r>
      <w:r w:rsidR="000545DE" w:rsidRPr="00C23102">
        <w:rPr>
          <w:rFonts w:ascii="Times" w:hAnsi="Times"/>
          <w:color w:val="000000" w:themeColor="text1"/>
        </w:rPr>
        <w:t xml:space="preserve"> in line with the J.A. Schumpeter’s (2017) theory of economic </w:t>
      </w:r>
      <w:r w:rsidR="00EF7A60" w:rsidRPr="00C23102">
        <w:rPr>
          <w:rFonts w:ascii="Times" w:hAnsi="Times"/>
          <w:color w:val="000000" w:themeColor="text1"/>
        </w:rPr>
        <w:t>development. In</w:t>
      </w:r>
      <w:r w:rsidRPr="00C23102">
        <w:rPr>
          <w:rFonts w:ascii="Times" w:hAnsi="Times"/>
          <w:color w:val="000000" w:themeColor="text1"/>
        </w:rPr>
        <w:t xml:space="preserve"> connection with the national targets, regional development goals</w:t>
      </w:r>
      <w:r w:rsidR="00C226EE" w:rsidRPr="00C23102">
        <w:rPr>
          <w:rFonts w:ascii="Times" w:hAnsi="Times"/>
          <w:color w:val="000000" w:themeColor="text1"/>
        </w:rPr>
        <w:t xml:space="preserve"> of Samsun</w:t>
      </w:r>
      <w:r w:rsidRPr="00C23102">
        <w:rPr>
          <w:rFonts w:ascii="Times" w:hAnsi="Times"/>
          <w:color w:val="000000" w:themeColor="text1"/>
        </w:rPr>
        <w:t xml:space="preserve"> include developing infrastructures for R&amp;D and innovation-oriented, medium-high and high value-added production, increasing the efficiency and competence of universities and research institutions as well as supporting technology-oriented entrepreneurship. The Samsun Innovation Ecosystem Analysis study, which was prepared as a preliminary step for understanding the capacity of </w:t>
      </w:r>
      <w:r w:rsidR="00C226EE" w:rsidRPr="00C23102">
        <w:rPr>
          <w:rFonts w:ascii="Times" w:hAnsi="Times"/>
          <w:color w:val="000000" w:themeColor="text1"/>
        </w:rPr>
        <w:t>Samsun</w:t>
      </w:r>
      <w:r w:rsidRPr="00C23102">
        <w:rPr>
          <w:rFonts w:ascii="Times" w:hAnsi="Times"/>
          <w:color w:val="000000" w:themeColor="text1"/>
        </w:rPr>
        <w:t xml:space="preserve"> on innovation.</w:t>
      </w:r>
    </w:p>
    <w:p w14:paraId="21B55EC6" w14:textId="6D4761F1" w:rsidR="00F2434B" w:rsidRPr="00C23102" w:rsidRDefault="00F2434B" w:rsidP="009E26EA">
      <w:pPr>
        <w:pStyle w:val="BodyText"/>
        <w:spacing w:after="120" w:line="240" w:lineRule="auto"/>
        <w:ind w:left="0" w:firstLine="709"/>
        <w:rPr>
          <w:rFonts w:ascii="Times" w:hAnsi="Times"/>
          <w:color w:val="000000" w:themeColor="text1"/>
        </w:rPr>
      </w:pPr>
      <w:r w:rsidRPr="00C23102">
        <w:rPr>
          <w:rFonts w:ascii="Times" w:hAnsi="Times"/>
          <w:color w:val="000000" w:themeColor="text1"/>
        </w:rPr>
        <w:t xml:space="preserve">From the </w:t>
      </w:r>
      <w:r w:rsidR="00BD7C63" w:rsidRPr="00C23102">
        <w:rPr>
          <w:rFonts w:ascii="Times" w:hAnsi="Times"/>
          <w:color w:val="000000" w:themeColor="text1"/>
        </w:rPr>
        <w:t xml:space="preserve">perspective of infrastructure in </w:t>
      </w:r>
      <w:r w:rsidRPr="00C23102">
        <w:rPr>
          <w:rFonts w:ascii="Times" w:hAnsi="Times"/>
          <w:color w:val="000000" w:themeColor="text1"/>
        </w:rPr>
        <w:t xml:space="preserve">academic research, Samsun, which has 2 universities, ranks third with 1.630 researchers in the regions covered by the research. In </w:t>
      </w:r>
      <w:r w:rsidRPr="00C23102">
        <w:rPr>
          <w:rFonts w:ascii="Times" w:hAnsi="Times"/>
          <w:color w:val="000000" w:themeColor="text1"/>
        </w:rPr>
        <w:lastRenderedPageBreak/>
        <w:t xml:space="preserve">addition to total number of researchers in Samsun, there is an increase of 19.23% of the academic staff between the years 2016-2020. The continuous increase in the number of researchers is a positive indicator for Samsun's innovation performance in line with the Jackson’s (2011) emphasis on human &amp; financial resources. However, as Samsun is in the third place with 778 projects applications and 91 projects supported within the scope of the </w:t>
      </w:r>
      <w:r w:rsidR="00044B5F" w:rsidRPr="00C23102">
        <w:rPr>
          <w:rFonts w:ascii="Times" w:hAnsi="Times"/>
          <w:color w:val="000000" w:themeColor="text1"/>
        </w:rPr>
        <w:t>TÜBITA</w:t>
      </w:r>
      <w:r w:rsidRPr="00C23102">
        <w:rPr>
          <w:rFonts w:ascii="Times" w:hAnsi="Times"/>
          <w:color w:val="000000" w:themeColor="text1"/>
        </w:rPr>
        <w:t xml:space="preserve">K-ARDEB program, the project awarding rate (total supported/total applications) of Samsun is 11.70% means as fourth ranking among peer regions, although Samsun has the potential to increase this rate in terms of R&amp;D and innovation studies. The most remarkable issue is that the project awarding rates within the scope of the </w:t>
      </w:r>
      <w:r w:rsidR="00044B5F" w:rsidRPr="00C23102">
        <w:rPr>
          <w:rFonts w:ascii="Times" w:hAnsi="Times"/>
          <w:color w:val="000000" w:themeColor="text1"/>
        </w:rPr>
        <w:t>TÜBITA</w:t>
      </w:r>
      <w:r w:rsidRPr="00C23102">
        <w:rPr>
          <w:rFonts w:ascii="Times" w:hAnsi="Times"/>
          <w:color w:val="000000" w:themeColor="text1"/>
        </w:rPr>
        <w:t>K-ARDEB program are examined in Samsun in the periods of 2014-2018, 2015-2019, 2016-2020, a decreasing trend is observed.</w:t>
      </w:r>
      <w:r w:rsidR="00C51116" w:rsidRPr="00C23102">
        <w:rPr>
          <w:rFonts w:ascii="Times" w:hAnsi="Times"/>
          <w:color w:val="000000" w:themeColor="text1"/>
        </w:rPr>
        <w:t xml:space="preserve"> </w:t>
      </w:r>
      <w:r w:rsidRPr="00C23102">
        <w:rPr>
          <w:rFonts w:ascii="Times" w:hAnsi="Times"/>
          <w:color w:val="000000" w:themeColor="text1"/>
        </w:rPr>
        <w:t xml:space="preserve">On the other hand, Ondokuz </w:t>
      </w:r>
      <w:r w:rsidR="00044B5F" w:rsidRPr="00C23102">
        <w:rPr>
          <w:rFonts w:ascii="Times" w:hAnsi="Times"/>
          <w:color w:val="000000" w:themeColor="text1"/>
        </w:rPr>
        <w:t>Mayis</w:t>
      </w:r>
      <w:r w:rsidRPr="00C23102">
        <w:rPr>
          <w:rFonts w:ascii="Times" w:hAnsi="Times"/>
          <w:color w:val="000000" w:themeColor="text1"/>
        </w:rPr>
        <w:t xml:space="preserve"> University is competent in food processing, bioenergy and plant protection while Samsun University is competent in inorganic chemistry and robotics. The concentration on these areas points to a prominent structure in the chemistry and robotic sectors in Samsun. However, this structure needs to be transformed into result-oriented studies in cooperation with industry. As a result of innovation studies, Samsun is in the second place among the regions with 31 patent applications. This proves that universities in Samsun have an intellectual property rights policy encouraging researchers.</w:t>
      </w:r>
    </w:p>
    <w:p w14:paraId="7EAAD7BB" w14:textId="2E75DBF2" w:rsidR="00EA1BD4" w:rsidRPr="00C23102" w:rsidRDefault="00F2434B" w:rsidP="009E26EA">
      <w:pPr>
        <w:pStyle w:val="BodyText"/>
        <w:spacing w:after="120" w:line="240" w:lineRule="auto"/>
        <w:ind w:left="0" w:firstLine="709"/>
        <w:rPr>
          <w:rFonts w:ascii="Times" w:hAnsi="Times"/>
          <w:color w:val="000000" w:themeColor="text1"/>
        </w:rPr>
      </w:pPr>
      <w:r w:rsidRPr="00C23102">
        <w:rPr>
          <w:rFonts w:ascii="Times" w:hAnsi="Times"/>
          <w:color w:val="000000" w:themeColor="text1"/>
        </w:rPr>
        <w:t>As i</w:t>
      </w:r>
      <w:r w:rsidR="00EA1BD4" w:rsidRPr="00C23102">
        <w:rPr>
          <w:rFonts w:ascii="Times" w:hAnsi="Times"/>
          <w:color w:val="000000" w:themeColor="text1"/>
        </w:rPr>
        <w:t>nnovation capacity of the private sector in Samsun is low compared to the provinces within the scope of the study</w:t>
      </w:r>
      <w:r w:rsidRPr="00C23102">
        <w:rPr>
          <w:rFonts w:ascii="Times" w:hAnsi="Times"/>
          <w:color w:val="000000" w:themeColor="text1"/>
        </w:rPr>
        <w:t xml:space="preserve"> in terms of the number of R&amp;D centers and even not any design center</w:t>
      </w:r>
      <w:r w:rsidR="00223BE8" w:rsidRPr="00C23102">
        <w:rPr>
          <w:rFonts w:ascii="Times" w:hAnsi="Times"/>
          <w:color w:val="000000" w:themeColor="text1"/>
        </w:rPr>
        <w:t>, i</w:t>
      </w:r>
      <w:r w:rsidR="00EA1BD4" w:rsidRPr="00C23102">
        <w:rPr>
          <w:rFonts w:ascii="Times" w:hAnsi="Times"/>
          <w:color w:val="000000" w:themeColor="text1"/>
        </w:rPr>
        <w:t xml:space="preserve">t is possible to say that the presence of high value-added sectors in the province, especially the </w:t>
      </w:r>
      <w:r w:rsidR="00223BE8" w:rsidRPr="00C23102">
        <w:rPr>
          <w:rFonts w:ascii="Times" w:hAnsi="Times"/>
          <w:color w:val="000000" w:themeColor="text1"/>
        </w:rPr>
        <w:t>defence and automotive</w:t>
      </w:r>
      <w:r w:rsidR="00EA1BD4" w:rsidRPr="00C23102">
        <w:rPr>
          <w:rFonts w:ascii="Times" w:hAnsi="Times"/>
          <w:color w:val="000000" w:themeColor="text1"/>
        </w:rPr>
        <w:t xml:space="preserve"> industry, may have a positive effect on the increase in R&amp;D and design centers in the coming period.</w:t>
      </w:r>
      <w:r w:rsidR="00223BE8" w:rsidRPr="00C23102">
        <w:rPr>
          <w:rFonts w:ascii="Times" w:hAnsi="Times"/>
          <w:color w:val="000000" w:themeColor="text1"/>
        </w:rPr>
        <w:t xml:space="preserve"> However, although </w:t>
      </w:r>
      <w:r w:rsidR="00EA1BD4" w:rsidRPr="00C23102">
        <w:rPr>
          <w:rFonts w:ascii="Times" w:hAnsi="Times"/>
          <w:color w:val="000000" w:themeColor="text1"/>
        </w:rPr>
        <w:t xml:space="preserve">the competition level of Samsun industry is lower than other provinces in the number of TEYDEB R&amp;D project </w:t>
      </w:r>
      <w:r w:rsidR="00223BE8" w:rsidRPr="00C23102">
        <w:rPr>
          <w:rFonts w:ascii="Times" w:hAnsi="Times"/>
          <w:color w:val="000000" w:themeColor="text1"/>
        </w:rPr>
        <w:t>completed</w:t>
      </w:r>
      <w:r w:rsidR="00EA1BD4" w:rsidRPr="00C23102">
        <w:rPr>
          <w:rFonts w:ascii="Times" w:hAnsi="Times"/>
          <w:color w:val="000000" w:themeColor="text1"/>
        </w:rPr>
        <w:t xml:space="preserve"> </w:t>
      </w:r>
      <w:r w:rsidR="00223BE8" w:rsidRPr="00C23102">
        <w:rPr>
          <w:rFonts w:ascii="Times" w:hAnsi="Times"/>
          <w:color w:val="000000" w:themeColor="text1"/>
        </w:rPr>
        <w:t>(6) deserves the sixth ranking in seven, it’s performance in number of patent applications (278) and registrations (33)</w:t>
      </w:r>
      <w:r w:rsidR="00EA1BD4" w:rsidRPr="00C23102">
        <w:rPr>
          <w:rFonts w:ascii="Times" w:hAnsi="Times"/>
          <w:color w:val="000000" w:themeColor="text1"/>
        </w:rPr>
        <w:t xml:space="preserve"> </w:t>
      </w:r>
      <w:r w:rsidR="00223BE8" w:rsidRPr="00C23102">
        <w:rPr>
          <w:rFonts w:ascii="Times" w:hAnsi="Times"/>
          <w:color w:val="000000" w:themeColor="text1"/>
        </w:rPr>
        <w:t xml:space="preserve">is successful </w:t>
      </w:r>
      <w:r w:rsidR="00EA1BD4" w:rsidRPr="00C23102">
        <w:rPr>
          <w:rFonts w:ascii="Times" w:hAnsi="Times"/>
          <w:color w:val="000000" w:themeColor="text1"/>
        </w:rPr>
        <w:t>among the provinces in the region</w:t>
      </w:r>
      <w:r w:rsidR="00223BE8" w:rsidRPr="00C23102">
        <w:rPr>
          <w:rFonts w:ascii="Times" w:hAnsi="Times"/>
          <w:color w:val="000000" w:themeColor="text1"/>
        </w:rPr>
        <w:t xml:space="preserve"> between 2015-2020.</w:t>
      </w:r>
    </w:p>
    <w:p w14:paraId="103D1986" w14:textId="43716AE8" w:rsidR="008F718C" w:rsidRPr="00C23102" w:rsidRDefault="008F718C" w:rsidP="009E26EA">
      <w:pPr>
        <w:pStyle w:val="BodyText"/>
        <w:spacing w:after="120" w:line="240" w:lineRule="auto"/>
        <w:ind w:left="0" w:firstLine="709"/>
        <w:rPr>
          <w:rFonts w:ascii="Times" w:hAnsi="Times"/>
          <w:color w:val="000000" w:themeColor="text1"/>
        </w:rPr>
      </w:pPr>
      <w:bookmarkStart w:id="34" w:name="_Hlk74913681"/>
      <w:r w:rsidRPr="00C23102">
        <w:rPr>
          <w:rFonts w:ascii="Times" w:hAnsi="Times"/>
          <w:color w:val="000000" w:themeColor="text1"/>
        </w:rPr>
        <w:t xml:space="preserve">As a result, there is a need for a </w:t>
      </w:r>
      <w:r w:rsidR="00BD7C63" w:rsidRPr="00C23102">
        <w:rPr>
          <w:rFonts w:ascii="Times" w:hAnsi="Times"/>
          <w:color w:val="000000" w:themeColor="text1"/>
        </w:rPr>
        <w:t xml:space="preserve">stronger </w:t>
      </w:r>
      <w:r w:rsidRPr="00C23102">
        <w:rPr>
          <w:rFonts w:ascii="Times" w:hAnsi="Times"/>
          <w:color w:val="000000" w:themeColor="text1"/>
        </w:rPr>
        <w:t xml:space="preserve">university-industry cooperation model on a </w:t>
      </w:r>
      <w:r w:rsidR="00BD7C63" w:rsidRPr="00C23102">
        <w:rPr>
          <w:rFonts w:ascii="Times" w:hAnsi="Times"/>
          <w:color w:val="000000" w:themeColor="text1"/>
        </w:rPr>
        <w:t>city</w:t>
      </w:r>
      <w:r w:rsidRPr="00C23102">
        <w:rPr>
          <w:rFonts w:ascii="Times" w:hAnsi="Times"/>
          <w:color w:val="000000" w:themeColor="text1"/>
        </w:rPr>
        <w:t xml:space="preserve"> scale</w:t>
      </w:r>
      <w:r w:rsidR="00BD7C63" w:rsidRPr="00C23102">
        <w:rPr>
          <w:rFonts w:ascii="Times" w:hAnsi="Times"/>
          <w:color w:val="000000" w:themeColor="text1"/>
        </w:rPr>
        <w:t xml:space="preserve"> in line with some researchers’ arguments (iUrban, 2014; Cooke, 2008; Kinay, 2006). This cooperation </w:t>
      </w:r>
      <w:r w:rsidRPr="00C23102">
        <w:rPr>
          <w:rFonts w:ascii="Times" w:hAnsi="Times"/>
          <w:color w:val="000000" w:themeColor="text1"/>
        </w:rPr>
        <w:t>will both support the university and contribute to the holistic development of the province in the medium and long term</w:t>
      </w:r>
      <w:r w:rsidR="00BD7C63" w:rsidRPr="00C23102">
        <w:rPr>
          <w:rFonts w:ascii="Times" w:hAnsi="Times"/>
          <w:color w:val="000000" w:themeColor="text1"/>
        </w:rPr>
        <w:t xml:space="preserve">. </w:t>
      </w:r>
    </w:p>
    <w:bookmarkEnd w:id="34"/>
    <w:p w14:paraId="15CF7069" w14:textId="77777777" w:rsidR="00490FCA" w:rsidRPr="00C23102" w:rsidRDefault="00490FCA" w:rsidP="00F44FEC">
      <w:pPr>
        <w:spacing w:after="120" w:line="240" w:lineRule="auto"/>
        <w:ind w:left="0"/>
        <w:jc w:val="center"/>
        <w:rPr>
          <w:rFonts w:ascii="Times" w:hAnsi="Times"/>
          <w:b/>
          <w:bCs/>
          <w:color w:val="000000" w:themeColor="text1"/>
          <w:sz w:val="24"/>
          <w:szCs w:val="24"/>
        </w:rPr>
      </w:pPr>
    </w:p>
    <w:p w14:paraId="06EE8A6D" w14:textId="77777777" w:rsidR="00BD1119" w:rsidRPr="00C23102" w:rsidRDefault="00BD1119" w:rsidP="003A7803">
      <w:pPr>
        <w:spacing w:after="120"/>
        <w:ind w:left="0"/>
        <w:jc w:val="left"/>
        <w:rPr>
          <w:rFonts w:ascii="Times" w:hAnsi="Times"/>
          <w:b/>
          <w:bCs/>
          <w:color w:val="000000" w:themeColor="text1"/>
          <w:sz w:val="24"/>
          <w:szCs w:val="24"/>
        </w:rPr>
      </w:pPr>
      <w:r w:rsidRPr="00C23102">
        <w:rPr>
          <w:rFonts w:ascii="Times" w:hAnsi="Times"/>
          <w:b/>
          <w:bCs/>
          <w:color w:val="000000" w:themeColor="text1"/>
          <w:sz w:val="24"/>
          <w:szCs w:val="24"/>
        </w:rPr>
        <w:t>REFERENCES</w:t>
      </w:r>
    </w:p>
    <w:p w14:paraId="496E6EEF"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Adner, R. (2006) "</w:t>
      </w:r>
      <w:r w:rsidRPr="00C23102">
        <w:rPr>
          <w:rFonts w:ascii="Times" w:hAnsi="Times"/>
          <w:i/>
          <w:iCs/>
          <w:color w:val="000000" w:themeColor="text1"/>
          <w:sz w:val="24"/>
          <w:szCs w:val="24"/>
        </w:rPr>
        <w:t>Match Your Innovation Strategy to Your Innovation Ecosystem</w:t>
      </w:r>
      <w:r w:rsidRPr="00C23102">
        <w:rPr>
          <w:rFonts w:ascii="Times" w:hAnsi="Times"/>
          <w:color w:val="000000" w:themeColor="text1"/>
          <w:sz w:val="24"/>
          <w:szCs w:val="24"/>
        </w:rPr>
        <w:t>", Harvard Business Review, 84(4): 98–107.</w:t>
      </w:r>
    </w:p>
    <w:p w14:paraId="752B74BD"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Allen, P. M., Maguire, S. and McKelvey, B. (2011). The SAGE Handbook of Complexity and Management. pp. 79–93. </w:t>
      </w:r>
    </w:p>
    <w:p w14:paraId="32495373"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BEBKA (2020a). Bursa Inovasyon Ekosistemi Analizi. Retrieved June 6, 2020, from </w:t>
      </w:r>
      <w:hyperlink r:id="rId22" w:history="1">
        <w:r w:rsidRPr="00C23102">
          <w:rPr>
            <w:rStyle w:val="Hyperlink"/>
            <w:rFonts w:ascii="Times" w:hAnsi="Times"/>
            <w:color w:val="000000" w:themeColor="text1"/>
            <w:sz w:val="24"/>
            <w:szCs w:val="24"/>
          </w:rPr>
          <w:t>https://www.bebka.org.tr/admin/datas/sayfas/89/2020-bebka-bursa-inovasyon-3_1601991053.pdf</w:t>
        </w:r>
      </w:hyperlink>
      <w:r w:rsidRPr="00C23102">
        <w:rPr>
          <w:rStyle w:val="Hyperlink"/>
          <w:rFonts w:ascii="Times" w:hAnsi="Times"/>
          <w:color w:val="000000" w:themeColor="text1"/>
          <w:sz w:val="24"/>
          <w:szCs w:val="24"/>
        </w:rPr>
        <w:t>.</w:t>
      </w:r>
    </w:p>
    <w:p w14:paraId="421332E0"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BEBKA (2020b). Bilecik Inovasyon Ekosistemi Analizi. Retrieved June 6, 2020, from https://www.bebka.org.tr/admin/datas/yayins/234/bilecik-inovasyon-2020-final_1598007815.pdf.</w:t>
      </w:r>
    </w:p>
    <w:p w14:paraId="75939BE1"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BEBKA (2020c). Eskişehir Inovasyon Ekosistemi Analizi. Retrieved June 6, 2020, from </w:t>
      </w:r>
      <w:hyperlink r:id="rId23" w:history="1">
        <w:r w:rsidRPr="00C23102">
          <w:rPr>
            <w:rStyle w:val="Hyperlink"/>
            <w:rFonts w:ascii="Times" w:hAnsi="Times"/>
            <w:color w:val="000000" w:themeColor="text1"/>
            <w:sz w:val="24"/>
            <w:szCs w:val="24"/>
          </w:rPr>
          <w:t>http://bebka.org.tr/admin/datas/yayins/232/eskisehir-inovasyon-ekosistemi-2020_1596099034.pdf</w:t>
        </w:r>
      </w:hyperlink>
      <w:r w:rsidRPr="00C23102">
        <w:rPr>
          <w:rStyle w:val="Hyperlink"/>
          <w:rFonts w:ascii="Times" w:hAnsi="Times"/>
          <w:color w:val="000000" w:themeColor="text1"/>
          <w:sz w:val="24"/>
          <w:szCs w:val="24"/>
        </w:rPr>
        <w:t>.</w:t>
      </w:r>
    </w:p>
    <w:p w14:paraId="3AD00525"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lastRenderedPageBreak/>
        <w:t>Bergek, A. et al. (2008) Functions in Innovation System Approaches, Technological Forecasting and Social Change, 79(4), pp. 413–432. doi:10.1016/j.techfore.2006.03.002.</w:t>
      </w:r>
    </w:p>
    <w:p w14:paraId="59622066"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Bijker, W. (1995) Of Bicycles, Bakelites, and Bulbs: Toward a Theory of Sociotechnical Change, Inside Technology, p. 390. doi: 10.2307/2077312. </w:t>
      </w:r>
    </w:p>
    <w:p w14:paraId="4FAD8ABD"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Carlsson, B. and Stank (1991) ‘On the nature, function and composition of technological systems’, Journal of Evolutionary Economics, 1, pp. 93–118.</w:t>
      </w:r>
    </w:p>
    <w:p w14:paraId="12A5C31E"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Cooke P. (2008). Proximities, knowledges and innovation biographies, EURODITE Project Papers.</w:t>
      </w:r>
    </w:p>
    <w:p w14:paraId="7C3B15F5"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Core Cities Working Group. (2004). Our Cities are Back: Competitive Cities Make Prosperous Regions and Sustainable Communities. London: ODPM. </w:t>
      </w:r>
    </w:p>
    <w:p w14:paraId="46E1CC49"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Creswell, J.W. (2012). Educational research: planning, conducting, and evaluating quantitative and qualitative research. Boston: Pearson Education, Inc.</w:t>
      </w:r>
    </w:p>
    <w:p w14:paraId="074D23DE"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Dedehayir, O., Mäkinen, S. J. and Roland Ortt, J. (2016) ‘</w:t>
      </w:r>
      <w:r w:rsidRPr="00C23102">
        <w:rPr>
          <w:rFonts w:ascii="Times" w:hAnsi="Times"/>
          <w:i/>
          <w:iCs/>
          <w:color w:val="000000" w:themeColor="text1"/>
          <w:sz w:val="24"/>
          <w:szCs w:val="24"/>
        </w:rPr>
        <w:t>Roles during innovation ecosystem genesis: A literature review’</w:t>
      </w:r>
      <w:r w:rsidRPr="00C23102">
        <w:rPr>
          <w:rFonts w:ascii="Times" w:hAnsi="Times"/>
          <w:color w:val="000000" w:themeColor="text1"/>
          <w:sz w:val="24"/>
          <w:szCs w:val="24"/>
        </w:rPr>
        <w:t xml:space="preserve">, Technological Forecasting and Social Change. Elsevier Inc., pp. 1–12. doi: 10.1016/j.techfore.2016.11.028. </w:t>
      </w:r>
    </w:p>
    <w:p w14:paraId="27773E6D"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EC (2012). Research and Innovation Strategies for Intelligent Specialization. Retrieved June 6, 2020, from </w:t>
      </w:r>
      <w:hyperlink w:history="1">
        <w:r w:rsidRPr="00C23102">
          <w:rPr>
            <w:rStyle w:val="Hyperlink"/>
            <w:rFonts w:ascii="Times" w:hAnsi="Times"/>
            <w:color w:val="000000" w:themeColor="text1"/>
            <w:sz w:val="24"/>
            <w:szCs w:val="24"/>
          </w:rPr>
          <w:t>https:// ec.europa.eu/regional_policy/sources/docgener/presenta/smart_specialisation/smart_ris3_ 2012.pdf</w:t>
        </w:r>
      </w:hyperlink>
    </w:p>
    <w:p w14:paraId="24A2AE8C"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Edquist, C. (1997) Systems of Innovation: Technologies, Institutions and Organizations.Cassell Academic.</w:t>
      </w:r>
    </w:p>
    <w:p w14:paraId="3ADCB1F9"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European Union (2015) Growing A Digital Social Innovation Ecosystem For Europe: DSI Final Report. doi: 10.2759/448169.</w:t>
      </w:r>
    </w:p>
    <w:p w14:paraId="3FA47AAC"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European Union (2016) Regional innovation ecosystems CoR guide: learning from the EU’s cities and regions. Available at: https://publications.europa.eu/en/publicationdetail/-/publication/6a43bcbb-85a9-43fc-afa3-db58c42f4730/language-en.</w:t>
      </w:r>
    </w:p>
    <w:p w14:paraId="2402E177"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European Union (2017) Place-Based Innovation Ecosystems: Espoo Innovation Garden and Aalto University (Finland). doi: 10.2760/31587.</w:t>
      </w:r>
    </w:p>
    <w:p w14:paraId="1D9068ED"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Freeman, C. and Luc, S. (1997) The economics of industrial innovation. Psychology Press.</w:t>
      </w:r>
    </w:p>
    <w:p w14:paraId="0FE3519A"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Gomes, L. A. de V. et al. (2015) ‘</w:t>
      </w:r>
      <w:r w:rsidRPr="00C23102">
        <w:rPr>
          <w:rFonts w:ascii="Times" w:hAnsi="Times"/>
          <w:i/>
          <w:iCs/>
          <w:color w:val="000000" w:themeColor="text1"/>
          <w:sz w:val="24"/>
          <w:szCs w:val="24"/>
        </w:rPr>
        <w:t>Unpacking the innovation ecosystem construct: Evolution, gaps and trends’</w:t>
      </w:r>
      <w:r w:rsidRPr="00C23102">
        <w:rPr>
          <w:rFonts w:ascii="Times" w:hAnsi="Times"/>
          <w:color w:val="000000" w:themeColor="text1"/>
          <w:sz w:val="24"/>
          <w:szCs w:val="24"/>
        </w:rPr>
        <w:t xml:space="preserve">, Technological Forecasting and Social Change. Elsevier Inc. doi: 10.1016/j.techfore.2016.11.009. </w:t>
      </w:r>
    </w:p>
    <w:p w14:paraId="32AEAF84"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Håkansson, H. (1990) ‘</w:t>
      </w:r>
      <w:r w:rsidRPr="00C23102">
        <w:rPr>
          <w:rFonts w:ascii="Times" w:hAnsi="Times"/>
          <w:i/>
          <w:iCs/>
          <w:color w:val="000000" w:themeColor="text1"/>
          <w:sz w:val="24"/>
          <w:szCs w:val="24"/>
        </w:rPr>
        <w:t>Technological collaboration in industrial networks’</w:t>
      </w:r>
      <w:r w:rsidRPr="00C23102">
        <w:rPr>
          <w:rFonts w:ascii="Times" w:hAnsi="Times"/>
          <w:color w:val="000000" w:themeColor="text1"/>
          <w:sz w:val="24"/>
          <w:szCs w:val="24"/>
        </w:rPr>
        <w:t xml:space="preserve">, European Management Journal, 8(3), pp. 371–379. doi: 10.1016/0263-2373(90)90016-Y. </w:t>
      </w:r>
    </w:p>
    <w:p w14:paraId="72903A2F"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Iansiti, M. and Levien, R. (2004) ‘</w:t>
      </w:r>
      <w:r w:rsidRPr="00C23102">
        <w:rPr>
          <w:rFonts w:ascii="Times" w:hAnsi="Times"/>
          <w:i/>
          <w:iCs/>
          <w:color w:val="000000" w:themeColor="text1"/>
          <w:sz w:val="24"/>
          <w:szCs w:val="24"/>
        </w:rPr>
        <w:t>Keystones and dominators: framing operating and technology strategy in a business ecosystem’</w:t>
      </w:r>
      <w:r w:rsidRPr="00C23102">
        <w:rPr>
          <w:rFonts w:ascii="Times" w:hAnsi="Times"/>
          <w:color w:val="000000" w:themeColor="text1"/>
          <w:sz w:val="24"/>
          <w:szCs w:val="24"/>
        </w:rPr>
        <w:t xml:space="preserve">, Harvard Business School, Working Paper, pp. 3–61. </w:t>
      </w:r>
    </w:p>
    <w:p w14:paraId="23F75A9C"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Jucevicius, G., &amp; Grumadaite, K. (2014) "</w:t>
      </w:r>
      <w:r w:rsidRPr="00C23102">
        <w:rPr>
          <w:rFonts w:ascii="Times" w:hAnsi="Times"/>
          <w:i/>
          <w:iCs/>
          <w:color w:val="000000" w:themeColor="text1"/>
          <w:sz w:val="24"/>
          <w:szCs w:val="24"/>
        </w:rPr>
        <w:t>Smart Development of Innovation Ecosystem</w:t>
      </w:r>
      <w:r w:rsidRPr="00C23102">
        <w:rPr>
          <w:rFonts w:ascii="Times" w:hAnsi="Times"/>
          <w:color w:val="000000" w:themeColor="text1"/>
          <w:sz w:val="24"/>
          <w:szCs w:val="24"/>
        </w:rPr>
        <w:t>", 19th International Scientific Conference; Economics and Management (pp.125-129). Riga, Latvia: Procedia.</w:t>
      </w:r>
    </w:p>
    <w:p w14:paraId="68987722"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Lundvall, B. (1992) National Systems of Innovation: Towards a Theory of Innovation and Interactive Learning. Pinter Publishers. Retrieved June 6, 2020, from </w:t>
      </w:r>
      <w:r w:rsidRPr="00C23102">
        <w:rPr>
          <w:rFonts w:ascii="Times" w:hAnsi="Times"/>
          <w:color w:val="000000" w:themeColor="text1"/>
          <w:sz w:val="24"/>
          <w:szCs w:val="24"/>
        </w:rPr>
        <w:lastRenderedPageBreak/>
        <w:t xml:space="preserve">https://books.google.fi/books/about/National_Systems_of_Innovation.html?id=B_C3AAAAIAAJ&amp;redir_esc=y. </w:t>
      </w:r>
    </w:p>
    <w:p w14:paraId="17EF4A9B" w14:textId="77777777" w:rsidR="00BD1119" w:rsidRPr="00C23102" w:rsidRDefault="00BD1119" w:rsidP="00AD3DA5">
      <w:pPr>
        <w:spacing w:after="120" w:line="240" w:lineRule="auto"/>
        <w:ind w:left="0" w:right="2"/>
        <w:rPr>
          <w:rStyle w:val="Hyperlink"/>
          <w:rFonts w:ascii="Times" w:hAnsi="Times"/>
          <w:color w:val="000000" w:themeColor="text1"/>
          <w:sz w:val="24"/>
          <w:szCs w:val="24"/>
          <w:u w:val="none"/>
        </w:rPr>
      </w:pPr>
      <w:r w:rsidRPr="00C23102">
        <w:rPr>
          <w:rFonts w:ascii="Times" w:hAnsi="Times"/>
          <w:color w:val="000000" w:themeColor="text1"/>
          <w:sz w:val="24"/>
          <w:szCs w:val="24"/>
        </w:rPr>
        <w:t xml:space="preserve">Mersin TSO (2008). Mersin Inovasyon Stratejisi 2006-2016. Retrieved June 14, 2020, from </w:t>
      </w:r>
      <w:hyperlink r:id="rId24" w:history="1">
        <w:r w:rsidRPr="00C23102">
          <w:rPr>
            <w:rFonts w:ascii="Times" w:hAnsi="Times"/>
            <w:color w:val="000000" w:themeColor="text1"/>
            <w:sz w:val="24"/>
            <w:szCs w:val="24"/>
          </w:rPr>
          <w:t xml:space="preserve"> </w:t>
        </w:r>
        <w:r w:rsidRPr="00C23102">
          <w:rPr>
            <w:rStyle w:val="Hyperlink"/>
            <w:rFonts w:ascii="Times" w:hAnsi="Times"/>
            <w:color w:val="000000" w:themeColor="text1"/>
            <w:sz w:val="24"/>
            <w:szCs w:val="24"/>
            <w:u w:val="none"/>
          </w:rPr>
          <w:t>http://oda.mtso.org.tr/files/mersin_inovasyon_stratejisi.pdf</w:t>
        </w:r>
      </w:hyperlink>
      <w:r w:rsidRPr="00C23102">
        <w:rPr>
          <w:rStyle w:val="Hyperlink"/>
          <w:rFonts w:ascii="Times" w:hAnsi="Times"/>
          <w:color w:val="000000" w:themeColor="text1"/>
          <w:sz w:val="24"/>
          <w:szCs w:val="24"/>
          <w:u w:val="none"/>
        </w:rPr>
        <w:t>.</w:t>
      </w:r>
    </w:p>
    <w:p w14:paraId="520DE61D"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MoIT (2019). The National Industry and Technology Strategy Document of Turkey (2019). Retrieved June 6, 2020, from </w:t>
      </w:r>
      <w:hyperlink r:id="rId25" w:history="1">
        <w:r w:rsidRPr="00C23102">
          <w:rPr>
            <w:rStyle w:val="Hyperlink"/>
            <w:rFonts w:ascii="Times" w:hAnsi="Times"/>
            <w:color w:val="000000" w:themeColor="text1"/>
            <w:sz w:val="24"/>
            <w:szCs w:val="24"/>
          </w:rPr>
          <w:t>https://sanayi.gov.tr/anasayfa</w:t>
        </w:r>
      </w:hyperlink>
      <w:r w:rsidRPr="00C23102">
        <w:rPr>
          <w:rStyle w:val="Hyperlink"/>
          <w:rFonts w:ascii="Times" w:hAnsi="Times"/>
          <w:color w:val="000000" w:themeColor="text1"/>
          <w:sz w:val="24"/>
          <w:szCs w:val="24"/>
        </w:rPr>
        <w:t>.</w:t>
      </w:r>
    </w:p>
    <w:p w14:paraId="7A41BD26" w14:textId="6ED2FC98" w:rsidR="00BD1119" w:rsidRPr="00C23102" w:rsidRDefault="00BD1119" w:rsidP="00AD3DA5">
      <w:pPr>
        <w:spacing w:after="120" w:line="240" w:lineRule="auto"/>
        <w:ind w:left="0" w:right="2"/>
        <w:rPr>
          <w:rStyle w:val="Hyperlink"/>
          <w:rFonts w:ascii="Times" w:hAnsi="Times"/>
          <w:color w:val="000000" w:themeColor="text1"/>
          <w:sz w:val="24"/>
          <w:szCs w:val="24"/>
          <w:u w:val="none"/>
        </w:rPr>
      </w:pPr>
      <w:r w:rsidRPr="00C23102">
        <w:rPr>
          <w:rFonts w:ascii="Times" w:hAnsi="Times"/>
          <w:color w:val="000000" w:themeColor="text1"/>
          <w:sz w:val="24"/>
          <w:szCs w:val="24"/>
        </w:rPr>
        <w:t>MoIT (2021). Ar-Ge, Tasar</w:t>
      </w:r>
      <w:r w:rsidR="00223FF3" w:rsidRPr="00C23102">
        <w:rPr>
          <w:rFonts w:ascii="Times" w:hAnsi="Times"/>
          <w:color w:val="000000" w:themeColor="text1"/>
          <w:sz w:val="24"/>
          <w:szCs w:val="24"/>
        </w:rPr>
        <w:t>i</w:t>
      </w:r>
      <w:r w:rsidRPr="00C23102">
        <w:rPr>
          <w:rFonts w:ascii="Times" w:hAnsi="Times"/>
          <w:color w:val="000000" w:themeColor="text1"/>
          <w:sz w:val="24"/>
          <w:szCs w:val="24"/>
        </w:rPr>
        <w:t>m Merkezleri ve Teknoloji Geli</w:t>
      </w:r>
      <w:r w:rsidR="00223FF3" w:rsidRPr="00C23102">
        <w:rPr>
          <w:rFonts w:ascii="Times" w:hAnsi="Times"/>
          <w:color w:val="000000" w:themeColor="text1"/>
          <w:sz w:val="24"/>
          <w:szCs w:val="24"/>
        </w:rPr>
        <w:t>s</w:t>
      </w:r>
      <w:r w:rsidRPr="00C23102">
        <w:rPr>
          <w:rFonts w:ascii="Times" w:hAnsi="Times"/>
          <w:color w:val="000000" w:themeColor="text1"/>
          <w:sz w:val="24"/>
          <w:szCs w:val="24"/>
        </w:rPr>
        <w:t>tirme Bölgeleri. Retrieved May 17, 2021, from https://www.sanayi.gov.tr/arge-tasarim-merkezleri-ve-tgb.</w:t>
      </w:r>
    </w:p>
    <w:p w14:paraId="47025A1C"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Moore, J. F. (1993). Predators and prey: a new ecology of competition. Harvard Business Review, 71(3), 75–86. doi:Article.</w:t>
      </w:r>
    </w:p>
    <w:p w14:paraId="191264A1"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Nelson, R. R. (1992) ‘</w:t>
      </w:r>
      <w:r w:rsidRPr="00C23102">
        <w:rPr>
          <w:rFonts w:ascii="Times" w:hAnsi="Times"/>
          <w:i/>
          <w:iCs/>
          <w:color w:val="000000" w:themeColor="text1"/>
          <w:sz w:val="24"/>
          <w:szCs w:val="24"/>
        </w:rPr>
        <w:t>National innovation systems: A retrospective on a study’</w:t>
      </w:r>
      <w:r w:rsidRPr="00C23102">
        <w:rPr>
          <w:rFonts w:ascii="Times" w:hAnsi="Times"/>
          <w:color w:val="000000" w:themeColor="text1"/>
          <w:sz w:val="24"/>
          <w:szCs w:val="24"/>
        </w:rPr>
        <w:t>, Industrial and Corporate Change. doi: 10.1093/icc/1.2.347.</w:t>
      </w:r>
    </w:p>
    <w:p w14:paraId="71AB3A18"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OECD. (2013). OECD Science, Technology and Industry: Scoreboard 2013. Organisation for Innovation For Growth. </w:t>
      </w:r>
    </w:p>
    <w:p w14:paraId="50E0A11B" w14:textId="57572688"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Öğüt, A. (2001). Bilgi Ça</w:t>
      </w:r>
      <w:r w:rsidR="00223FF3" w:rsidRPr="00C23102">
        <w:rPr>
          <w:rFonts w:ascii="Times" w:hAnsi="Times"/>
          <w:color w:val="000000" w:themeColor="text1"/>
          <w:sz w:val="24"/>
          <w:szCs w:val="24"/>
        </w:rPr>
        <w:t>gi</w:t>
      </w:r>
      <w:r w:rsidRPr="00C23102">
        <w:rPr>
          <w:rFonts w:ascii="Times" w:hAnsi="Times"/>
          <w:color w:val="000000" w:themeColor="text1"/>
          <w:sz w:val="24"/>
          <w:szCs w:val="24"/>
        </w:rPr>
        <w:t>nda Yönetim. Ankara: Nobel Yay</w:t>
      </w:r>
      <w:r w:rsidR="00223FF3" w:rsidRPr="00C23102">
        <w:rPr>
          <w:rFonts w:ascii="Times" w:hAnsi="Times"/>
          <w:color w:val="000000" w:themeColor="text1"/>
          <w:sz w:val="24"/>
          <w:szCs w:val="24"/>
        </w:rPr>
        <w:t>i</w:t>
      </w:r>
      <w:r w:rsidRPr="00C23102">
        <w:rPr>
          <w:rFonts w:ascii="Times" w:hAnsi="Times"/>
          <w:color w:val="000000" w:themeColor="text1"/>
          <w:sz w:val="24"/>
          <w:szCs w:val="24"/>
        </w:rPr>
        <w:t>n Da</w:t>
      </w:r>
      <w:r w:rsidR="00223FF3" w:rsidRPr="00C23102">
        <w:rPr>
          <w:rFonts w:ascii="Times" w:hAnsi="Times"/>
          <w:color w:val="000000" w:themeColor="text1"/>
          <w:sz w:val="24"/>
          <w:szCs w:val="24"/>
        </w:rPr>
        <w:t>giti</w:t>
      </w:r>
      <w:r w:rsidRPr="00C23102">
        <w:rPr>
          <w:rFonts w:ascii="Times" w:hAnsi="Times"/>
          <w:color w:val="000000" w:themeColor="text1"/>
          <w:sz w:val="24"/>
          <w:szCs w:val="24"/>
        </w:rPr>
        <w:t>m.</w:t>
      </w:r>
    </w:p>
    <w:p w14:paraId="54916259"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Oh, D.-S., Phillips, F., Park, S., &amp; Lee, E. (2016) "</w:t>
      </w:r>
      <w:r w:rsidRPr="00C23102">
        <w:rPr>
          <w:rFonts w:ascii="Times" w:hAnsi="Times"/>
          <w:i/>
          <w:iCs/>
          <w:color w:val="000000" w:themeColor="text1"/>
          <w:sz w:val="24"/>
          <w:szCs w:val="24"/>
        </w:rPr>
        <w:t>Innovation Ecosystems: A Critical Examination"</w:t>
      </w:r>
      <w:r w:rsidRPr="00C23102">
        <w:rPr>
          <w:rFonts w:ascii="Times" w:hAnsi="Times"/>
          <w:color w:val="000000" w:themeColor="text1"/>
          <w:sz w:val="24"/>
          <w:szCs w:val="24"/>
        </w:rPr>
        <w:t>, Technovation, 54:1-6.</w:t>
      </w:r>
    </w:p>
    <w:p w14:paraId="6876CC7E"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OKA (2017a). TR83 Middle Black Sea Regional Innovation Strategy. Retrieved June 6, 2020, from https://www.oka.org.tr/assets/upload/dosyalar/bolgesel-inovasyon-stratejisi-ingilizce-13-63.pdf.</w:t>
      </w:r>
    </w:p>
    <w:p w14:paraId="1BB69809" w14:textId="77777777" w:rsidR="00BD1119" w:rsidRPr="00C23102" w:rsidRDefault="00BD1119" w:rsidP="00AD3DA5">
      <w:pPr>
        <w:spacing w:after="120" w:line="240" w:lineRule="auto"/>
        <w:ind w:left="0" w:right="2"/>
        <w:rPr>
          <w:rStyle w:val="Hyperlink"/>
          <w:rFonts w:ascii="Times" w:hAnsi="Times"/>
          <w:color w:val="000000" w:themeColor="text1"/>
          <w:sz w:val="24"/>
          <w:szCs w:val="24"/>
          <w:u w:val="none"/>
        </w:rPr>
      </w:pPr>
      <w:r w:rsidRPr="00C23102">
        <w:rPr>
          <w:rFonts w:ascii="Times" w:hAnsi="Times"/>
          <w:color w:val="000000" w:themeColor="text1"/>
          <w:sz w:val="24"/>
          <w:szCs w:val="24"/>
        </w:rPr>
        <w:t>OMU TTO (2021). Retrieved May 9, 2021, from https://tto.samsunteknopark.com/.</w:t>
      </w:r>
    </w:p>
    <w:p w14:paraId="4CFB2780"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Powell, W. W., Koput, K. W. and Smith-Doerr, L. (1996) ‘Interorganizational Collaboration and the Locus of Innovation: Networks of Learning in Locus of Innovation: Networks of Learning in Biotechnology’, Source: Administrative Science Quarterly, 41(1), pp. 116–145. doi: 10.2307/2393988. </w:t>
      </w:r>
    </w:p>
    <w:p w14:paraId="2FF73F1A"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Rothschild, M. (1990) Bionomics: Economy As Ecosystem. Retrieved Jan. 6, 2020, from </w:t>
      </w:r>
      <w:hyperlink r:id="rId26" w:history="1">
        <w:r w:rsidRPr="00C23102">
          <w:rPr>
            <w:rStyle w:val="Hyperlink"/>
            <w:rFonts w:ascii="Times" w:hAnsi="Times"/>
            <w:color w:val="000000" w:themeColor="text1"/>
            <w:sz w:val="24"/>
            <w:szCs w:val="24"/>
          </w:rPr>
          <w:t>http://www.amazon.com/Bionomics-Economy-Ecosystem-Michael-</w:t>
        </w:r>
      </w:hyperlink>
      <w:r w:rsidRPr="00C23102">
        <w:rPr>
          <w:rFonts w:ascii="Times" w:hAnsi="Times"/>
          <w:color w:val="000000" w:themeColor="text1"/>
          <w:sz w:val="24"/>
          <w:szCs w:val="24"/>
        </w:rPr>
        <w:t xml:space="preserve"> Rothschild/dp/0805019790. </w:t>
      </w:r>
    </w:p>
    <w:p w14:paraId="49420E17" w14:textId="77777777" w:rsidR="00BD1119" w:rsidRPr="00C23102" w:rsidRDefault="00BD1119" w:rsidP="00AD3DA5">
      <w:pPr>
        <w:spacing w:after="120" w:line="240" w:lineRule="auto"/>
        <w:ind w:left="0" w:right="2"/>
        <w:rPr>
          <w:rStyle w:val="Hyperlink"/>
          <w:rFonts w:ascii="Times" w:hAnsi="Times"/>
          <w:color w:val="000000" w:themeColor="text1"/>
          <w:sz w:val="24"/>
          <w:szCs w:val="24"/>
          <w:u w:val="none"/>
        </w:rPr>
      </w:pPr>
      <w:r w:rsidRPr="00C23102">
        <w:rPr>
          <w:rFonts w:ascii="Times" w:hAnsi="Times"/>
          <w:color w:val="000000" w:themeColor="text1"/>
          <w:sz w:val="24"/>
          <w:szCs w:val="24"/>
        </w:rPr>
        <w:t>Samsun TEKNOPARK (2021). Retrieved May 9, 2021, from https://www.samsunteknopark.com/tr.</w:t>
      </w:r>
    </w:p>
    <w:p w14:paraId="0623771A" w14:textId="77777777" w:rsidR="00BD1119" w:rsidRPr="00C23102" w:rsidRDefault="00BD1119" w:rsidP="00AD3DA5">
      <w:pPr>
        <w:spacing w:after="120" w:line="240" w:lineRule="auto"/>
        <w:ind w:left="0" w:right="2"/>
        <w:rPr>
          <w:rStyle w:val="Hyperlink"/>
          <w:rFonts w:ascii="Times" w:hAnsi="Times"/>
          <w:color w:val="000000" w:themeColor="text1"/>
          <w:sz w:val="24"/>
          <w:szCs w:val="24"/>
          <w:u w:val="none"/>
        </w:rPr>
      </w:pPr>
      <w:r w:rsidRPr="00C23102">
        <w:rPr>
          <w:rFonts w:ascii="Times" w:hAnsi="Times"/>
          <w:color w:val="000000" w:themeColor="text1"/>
          <w:sz w:val="24"/>
          <w:szCs w:val="24"/>
        </w:rPr>
        <w:t>SAMU TTO (2021). Retrieved May 9, 2021, from https://tto.samsun.edu.tr/.</w:t>
      </w:r>
    </w:p>
    <w:p w14:paraId="28444F78"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Suominen, A., Seppänen, M. and Dedehayir, O. (2016) Innovation Systems and Ecosystems : a Review and Synthesis, in The XXVII ISPIM Innovation Conference –Blending Tomorrow’s Innovation Vintage, Porto, Portugal on 19-22.06.2016.</w:t>
      </w:r>
    </w:p>
    <w:p w14:paraId="0BC6F2D7" w14:textId="52DD16E3" w:rsidR="00BD1119" w:rsidRPr="00C23102" w:rsidRDefault="00BD1119" w:rsidP="00AD3DA5">
      <w:pPr>
        <w:spacing w:after="120" w:line="240" w:lineRule="auto"/>
        <w:ind w:left="0" w:right="2"/>
        <w:rPr>
          <w:rStyle w:val="Hyperlink"/>
          <w:rFonts w:ascii="Times" w:hAnsi="Times"/>
          <w:color w:val="000000" w:themeColor="text1"/>
          <w:sz w:val="24"/>
          <w:szCs w:val="24"/>
          <w:u w:val="none"/>
        </w:rPr>
      </w:pPr>
      <w:r w:rsidRPr="00C23102">
        <w:rPr>
          <w:rFonts w:ascii="Times" w:hAnsi="Times"/>
          <w:color w:val="000000" w:themeColor="text1"/>
          <w:sz w:val="24"/>
          <w:szCs w:val="24"/>
        </w:rPr>
        <w:t>TUB</w:t>
      </w:r>
      <w:r w:rsidR="00223FF3" w:rsidRPr="00C23102">
        <w:rPr>
          <w:rFonts w:ascii="Times" w:hAnsi="Times"/>
          <w:color w:val="000000" w:themeColor="text1"/>
          <w:sz w:val="24"/>
          <w:szCs w:val="24"/>
        </w:rPr>
        <w:t>I</w:t>
      </w:r>
      <w:r w:rsidRPr="00C23102">
        <w:rPr>
          <w:rFonts w:ascii="Times" w:hAnsi="Times"/>
          <w:color w:val="000000" w:themeColor="text1"/>
          <w:sz w:val="24"/>
          <w:szCs w:val="24"/>
        </w:rPr>
        <w:t xml:space="preserve">TAK (2021a). Üniversiteler Bazinda ARDEB Destek </w:t>
      </w:r>
      <w:r w:rsidR="00223FF3" w:rsidRPr="00C23102">
        <w:rPr>
          <w:rFonts w:ascii="Times" w:hAnsi="Times"/>
          <w:color w:val="000000" w:themeColor="text1"/>
          <w:sz w:val="24"/>
          <w:szCs w:val="24"/>
        </w:rPr>
        <w:t>i</w:t>
      </w:r>
      <w:r w:rsidRPr="00C23102">
        <w:rPr>
          <w:rFonts w:ascii="Times" w:hAnsi="Times"/>
          <w:color w:val="000000" w:themeColor="text1"/>
          <w:sz w:val="24"/>
          <w:szCs w:val="24"/>
        </w:rPr>
        <w:t>statistikleri (2016-2020). Retrieved April 6, 2021, from https://www.tubitak.gov.tr/sites/default/files/18842/9_universiteler_bazinda_ardeb_destek_istatistikleri_2016-2020.pdf.</w:t>
      </w:r>
    </w:p>
    <w:p w14:paraId="6A5EC7DE" w14:textId="4CCE0116"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TUB</w:t>
      </w:r>
      <w:r w:rsidR="00223FF3" w:rsidRPr="00C23102">
        <w:rPr>
          <w:rFonts w:ascii="Times" w:hAnsi="Times"/>
          <w:color w:val="000000" w:themeColor="text1"/>
          <w:sz w:val="24"/>
          <w:szCs w:val="24"/>
        </w:rPr>
        <w:t>I</w:t>
      </w:r>
      <w:r w:rsidRPr="00C23102">
        <w:rPr>
          <w:rFonts w:ascii="Times" w:hAnsi="Times"/>
          <w:color w:val="000000" w:themeColor="text1"/>
          <w:sz w:val="24"/>
          <w:szCs w:val="24"/>
        </w:rPr>
        <w:t>TAK (2021b). Üniversitelerin Alan Baz</w:t>
      </w:r>
      <w:r w:rsidR="00223FF3" w:rsidRPr="00C23102">
        <w:rPr>
          <w:rFonts w:ascii="Times" w:hAnsi="Times"/>
          <w:color w:val="000000" w:themeColor="text1"/>
          <w:sz w:val="24"/>
          <w:szCs w:val="24"/>
        </w:rPr>
        <w:t>i</w:t>
      </w:r>
      <w:r w:rsidRPr="00C23102">
        <w:rPr>
          <w:rFonts w:ascii="Times" w:hAnsi="Times"/>
          <w:color w:val="000000" w:themeColor="text1"/>
          <w:sz w:val="24"/>
          <w:szCs w:val="24"/>
        </w:rPr>
        <w:t xml:space="preserve">nda Yetkinlik Analizi. Retrieved June 7, 2021, from </w:t>
      </w:r>
      <w:hyperlink r:id="rId27" w:history="1">
        <w:r w:rsidRPr="00C23102">
          <w:rPr>
            <w:rStyle w:val="Hyperlink"/>
            <w:rFonts w:ascii="Times" w:hAnsi="Times"/>
            <w:color w:val="000000" w:themeColor="text1"/>
            <w:sz w:val="24"/>
            <w:szCs w:val="24"/>
          </w:rPr>
          <w:t>https://www.tubitak.gov.tr/sites/default/files/Guncel_Universitelerin_Alan_Bazli_Yetkinlik_Analizi.pdf</w:t>
        </w:r>
      </w:hyperlink>
      <w:r w:rsidRPr="00C23102">
        <w:rPr>
          <w:rStyle w:val="Hyperlink"/>
          <w:rFonts w:ascii="Times" w:hAnsi="Times"/>
          <w:color w:val="000000" w:themeColor="text1"/>
          <w:sz w:val="24"/>
          <w:szCs w:val="24"/>
        </w:rPr>
        <w:t>.</w:t>
      </w:r>
    </w:p>
    <w:p w14:paraId="51267E77" w14:textId="594A4719" w:rsidR="00BD1119" w:rsidRPr="00C23102" w:rsidRDefault="00BD1119" w:rsidP="00AD3DA5">
      <w:pPr>
        <w:spacing w:after="120" w:line="240" w:lineRule="auto"/>
        <w:ind w:left="0" w:right="2"/>
        <w:rPr>
          <w:rStyle w:val="Hyperlink"/>
          <w:rFonts w:ascii="Times" w:hAnsi="Times"/>
          <w:color w:val="000000" w:themeColor="text1"/>
          <w:sz w:val="24"/>
          <w:szCs w:val="24"/>
          <w:u w:val="none"/>
        </w:rPr>
      </w:pPr>
      <w:r w:rsidRPr="00C23102">
        <w:rPr>
          <w:rFonts w:ascii="Times" w:hAnsi="Times"/>
          <w:color w:val="000000" w:themeColor="text1"/>
          <w:sz w:val="24"/>
          <w:szCs w:val="24"/>
        </w:rPr>
        <w:lastRenderedPageBreak/>
        <w:t>TUB</w:t>
      </w:r>
      <w:r w:rsidR="00223FF3" w:rsidRPr="00C23102">
        <w:rPr>
          <w:rFonts w:ascii="Times" w:hAnsi="Times"/>
          <w:color w:val="000000" w:themeColor="text1"/>
          <w:sz w:val="24"/>
          <w:szCs w:val="24"/>
        </w:rPr>
        <w:t>I</w:t>
      </w:r>
      <w:r w:rsidRPr="00C23102">
        <w:rPr>
          <w:rFonts w:ascii="Times" w:hAnsi="Times"/>
          <w:color w:val="000000" w:themeColor="text1"/>
          <w:sz w:val="24"/>
          <w:szCs w:val="24"/>
        </w:rPr>
        <w:t>TAK (2021c). E-TEYDEB_Tamamlanm</w:t>
      </w:r>
      <w:r w:rsidR="00223FF3" w:rsidRPr="00C23102">
        <w:rPr>
          <w:rFonts w:ascii="Times" w:hAnsi="Times"/>
          <w:color w:val="000000" w:themeColor="text1"/>
          <w:sz w:val="24"/>
          <w:szCs w:val="24"/>
        </w:rPr>
        <w:t>is</w:t>
      </w:r>
      <w:r w:rsidRPr="00C23102">
        <w:rPr>
          <w:rFonts w:ascii="Times" w:hAnsi="Times"/>
          <w:color w:val="000000" w:themeColor="text1"/>
          <w:sz w:val="24"/>
          <w:szCs w:val="24"/>
        </w:rPr>
        <w:t xml:space="preserve"> Proje Sorgula. Retrieved June 7, 2021, from https://eteydeb.tubitak.gov.tr/teydebtamamlanmisprojeler.htm.</w:t>
      </w:r>
    </w:p>
    <w:p w14:paraId="4CCE8DDF" w14:textId="593D2CED" w:rsidR="00BD1119" w:rsidRPr="00C23102" w:rsidRDefault="00BD1119" w:rsidP="00AD3DA5">
      <w:pPr>
        <w:spacing w:after="120" w:line="240" w:lineRule="auto"/>
        <w:ind w:left="0" w:right="2"/>
        <w:rPr>
          <w:rStyle w:val="Hyperlink"/>
          <w:rFonts w:ascii="Times" w:hAnsi="Times"/>
          <w:color w:val="000000" w:themeColor="text1"/>
          <w:sz w:val="24"/>
          <w:szCs w:val="24"/>
          <w:u w:val="none"/>
        </w:rPr>
      </w:pPr>
      <w:r w:rsidRPr="00C23102">
        <w:rPr>
          <w:rFonts w:ascii="Times" w:hAnsi="Times"/>
          <w:color w:val="000000" w:themeColor="text1"/>
          <w:sz w:val="24"/>
          <w:szCs w:val="24"/>
        </w:rPr>
        <w:t xml:space="preserve">TURKPATENT (2020). </w:t>
      </w:r>
      <w:r w:rsidR="00223FF3" w:rsidRPr="00C23102">
        <w:rPr>
          <w:rFonts w:ascii="Times" w:hAnsi="Times"/>
          <w:color w:val="000000" w:themeColor="text1"/>
          <w:sz w:val="24"/>
          <w:szCs w:val="24"/>
        </w:rPr>
        <w:t>i</w:t>
      </w:r>
      <w:r w:rsidRPr="00C23102">
        <w:rPr>
          <w:rFonts w:ascii="Times" w:hAnsi="Times"/>
          <w:color w:val="000000" w:themeColor="text1"/>
          <w:sz w:val="24"/>
          <w:szCs w:val="24"/>
        </w:rPr>
        <w:t>statistikler. Retrieved June 7, 2020, from https://www.turkpatent.gov.tr/TURKPATENT/statistics/.</w:t>
      </w:r>
    </w:p>
    <w:p w14:paraId="2B257A68" w14:textId="301878A3"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TURKSTAT (2020). Adrese Dayalı Nüfus Kay</w:t>
      </w:r>
      <w:r w:rsidR="00223FF3" w:rsidRPr="00C23102">
        <w:rPr>
          <w:rFonts w:ascii="Times" w:hAnsi="Times"/>
          <w:color w:val="000000" w:themeColor="text1"/>
          <w:sz w:val="24"/>
          <w:szCs w:val="24"/>
        </w:rPr>
        <w:t>i</w:t>
      </w:r>
      <w:r w:rsidRPr="00C23102">
        <w:rPr>
          <w:rFonts w:ascii="Times" w:hAnsi="Times"/>
          <w:color w:val="000000" w:themeColor="text1"/>
          <w:sz w:val="24"/>
          <w:szCs w:val="24"/>
        </w:rPr>
        <w:t>t Sistemi Sonuçları, 2020. Retrieved June 6, 2020, from https://data.tuik.gov.tr/Kategori/GetKategori?p=Nufus-ve-Demografi-109.</w:t>
      </w:r>
    </w:p>
    <w:p w14:paraId="5544EB6E" w14:textId="7C2FC083"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 xml:space="preserve">URAK (2019). </w:t>
      </w:r>
      <w:r w:rsidR="00223FF3" w:rsidRPr="00C23102">
        <w:rPr>
          <w:rFonts w:ascii="Times" w:hAnsi="Times"/>
          <w:color w:val="000000" w:themeColor="text1"/>
          <w:sz w:val="24"/>
          <w:szCs w:val="24"/>
        </w:rPr>
        <w:t>i</w:t>
      </w:r>
      <w:r w:rsidRPr="00C23102">
        <w:rPr>
          <w:rFonts w:ascii="Times" w:hAnsi="Times"/>
          <w:color w:val="000000" w:themeColor="text1"/>
          <w:sz w:val="24"/>
          <w:szCs w:val="24"/>
        </w:rPr>
        <w:t>lleraras</w:t>
      </w:r>
      <w:r w:rsidR="00223FF3" w:rsidRPr="00C23102">
        <w:rPr>
          <w:rFonts w:ascii="Times" w:hAnsi="Times"/>
          <w:color w:val="000000" w:themeColor="text1"/>
          <w:sz w:val="24"/>
          <w:szCs w:val="24"/>
        </w:rPr>
        <w:t>i</w:t>
      </w:r>
      <w:r w:rsidRPr="00C23102">
        <w:rPr>
          <w:rFonts w:ascii="Times" w:hAnsi="Times"/>
          <w:color w:val="000000" w:themeColor="text1"/>
          <w:sz w:val="24"/>
          <w:szCs w:val="24"/>
        </w:rPr>
        <w:t xml:space="preserve"> Rekabetçilik Endeksi 2018. Retrieved June 6, 2020, from </w:t>
      </w:r>
      <w:hyperlink r:id="rId28" w:history="1">
        <w:r w:rsidRPr="00C23102">
          <w:rPr>
            <w:rStyle w:val="Hyperlink"/>
            <w:rFonts w:ascii="Times" w:hAnsi="Times"/>
            <w:color w:val="000000" w:themeColor="text1"/>
            <w:sz w:val="24"/>
            <w:szCs w:val="24"/>
          </w:rPr>
          <w:t>http://www.urak.org/wp-content/uploads/2019/05/URAK_%C4%B0RE_2018-2.pdf</w:t>
        </w:r>
      </w:hyperlink>
      <w:r w:rsidRPr="00C23102">
        <w:rPr>
          <w:rStyle w:val="Hyperlink"/>
          <w:rFonts w:ascii="Times" w:hAnsi="Times"/>
          <w:color w:val="000000" w:themeColor="text1"/>
          <w:sz w:val="24"/>
          <w:szCs w:val="24"/>
        </w:rPr>
        <w:t>.</w:t>
      </w:r>
    </w:p>
    <w:p w14:paraId="5008B3D3" w14:textId="77777777" w:rsidR="00BD1119" w:rsidRPr="00C23102" w:rsidRDefault="00BD1119" w:rsidP="00AD3DA5">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Valkokari, K. (2015) ‘</w:t>
      </w:r>
      <w:r w:rsidRPr="00C23102">
        <w:rPr>
          <w:rFonts w:ascii="Times" w:hAnsi="Times"/>
          <w:i/>
          <w:iCs/>
          <w:color w:val="000000" w:themeColor="text1"/>
          <w:sz w:val="24"/>
          <w:szCs w:val="24"/>
        </w:rPr>
        <w:t>Business, Innovation , and Knowledge Ecosystems: How They Differ and How to Survive and Thrive within Them’</w:t>
      </w:r>
      <w:r w:rsidRPr="00C23102">
        <w:rPr>
          <w:rFonts w:ascii="Times" w:hAnsi="Times"/>
          <w:color w:val="000000" w:themeColor="text1"/>
          <w:sz w:val="24"/>
          <w:szCs w:val="24"/>
        </w:rPr>
        <w:t xml:space="preserve">, Technology Innovation Management Review, 5(8), pp. 17–24. </w:t>
      </w:r>
    </w:p>
    <w:p w14:paraId="5AFF15A7" w14:textId="60BC0EBF" w:rsidR="00BD1119" w:rsidRPr="00F44FEC" w:rsidRDefault="00BD1119" w:rsidP="00C23102">
      <w:pPr>
        <w:spacing w:after="120" w:line="240" w:lineRule="auto"/>
        <w:ind w:left="0" w:right="2"/>
        <w:rPr>
          <w:rFonts w:ascii="Times" w:hAnsi="Times"/>
          <w:color w:val="000000" w:themeColor="text1"/>
          <w:sz w:val="24"/>
          <w:szCs w:val="24"/>
        </w:rPr>
      </w:pPr>
      <w:r w:rsidRPr="00C23102">
        <w:rPr>
          <w:rFonts w:ascii="Times" w:hAnsi="Times"/>
          <w:color w:val="000000" w:themeColor="text1"/>
          <w:sz w:val="24"/>
          <w:szCs w:val="24"/>
        </w:rPr>
        <w:t>YÖK (2021a). Üniversitelerimiz. Retrieved June 6, 2021, from https://www.yok.gov.tr/universiteler/universitelerimiz.</w:t>
      </w:r>
    </w:p>
    <w:sectPr w:rsidR="00BD1119" w:rsidRPr="00F44FEC" w:rsidSect="009A6CD2">
      <w:footerReference w:type="even" r:id="rId29"/>
      <w:footerReference w:type="default" r:id="rId30"/>
      <w:pgSz w:w="11910" w:h="16840" w:code="9"/>
      <w:pgMar w:top="1418" w:right="1418" w:bottom="1418" w:left="1418" w:header="709" w:footer="70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C73A" w14:textId="77777777" w:rsidR="00B24EDF" w:rsidRDefault="00B24EDF" w:rsidP="00BF3CA8">
      <w:r>
        <w:separator/>
      </w:r>
    </w:p>
  </w:endnote>
  <w:endnote w:type="continuationSeparator" w:id="0">
    <w:p w14:paraId="03E95C8B" w14:textId="77777777" w:rsidR="00B24EDF" w:rsidRDefault="00B24EDF" w:rsidP="00BF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616268"/>
      <w:docPartObj>
        <w:docPartGallery w:val="Page Numbers (Bottom of Page)"/>
        <w:docPartUnique/>
      </w:docPartObj>
    </w:sdtPr>
    <w:sdtEndPr>
      <w:rPr>
        <w:noProof/>
        <w:sz w:val="24"/>
        <w:szCs w:val="24"/>
      </w:rPr>
    </w:sdtEndPr>
    <w:sdtContent>
      <w:p w14:paraId="3C5B623C" w14:textId="26E4E53D" w:rsidR="00C23102" w:rsidRPr="00C23102" w:rsidRDefault="00C23102">
        <w:pPr>
          <w:pStyle w:val="Footer"/>
          <w:jc w:val="center"/>
          <w:rPr>
            <w:sz w:val="24"/>
            <w:szCs w:val="24"/>
          </w:rPr>
        </w:pPr>
        <w:r w:rsidRPr="00C23102">
          <w:rPr>
            <w:sz w:val="24"/>
            <w:szCs w:val="24"/>
          </w:rPr>
          <w:fldChar w:fldCharType="begin"/>
        </w:r>
        <w:r w:rsidRPr="00C23102">
          <w:rPr>
            <w:sz w:val="24"/>
            <w:szCs w:val="24"/>
          </w:rPr>
          <w:instrText xml:space="preserve"> PAGE   \* MERGEFORMAT </w:instrText>
        </w:r>
        <w:r w:rsidRPr="00C23102">
          <w:rPr>
            <w:sz w:val="24"/>
            <w:szCs w:val="24"/>
          </w:rPr>
          <w:fldChar w:fldCharType="separate"/>
        </w:r>
        <w:r w:rsidRPr="00C23102">
          <w:rPr>
            <w:noProof/>
            <w:sz w:val="24"/>
            <w:szCs w:val="24"/>
          </w:rPr>
          <w:t>2</w:t>
        </w:r>
        <w:r w:rsidRPr="00C23102">
          <w:rPr>
            <w:noProof/>
            <w:sz w:val="24"/>
            <w:szCs w:val="24"/>
          </w:rPr>
          <w:fldChar w:fldCharType="end"/>
        </w:r>
      </w:p>
    </w:sdtContent>
  </w:sdt>
  <w:p w14:paraId="15F90B21" w14:textId="77777777" w:rsidR="00C23102" w:rsidRDefault="00C23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492815"/>
      <w:docPartObj>
        <w:docPartGallery w:val="Page Numbers (Bottom of Page)"/>
        <w:docPartUnique/>
      </w:docPartObj>
    </w:sdtPr>
    <w:sdtEndPr>
      <w:rPr>
        <w:noProof/>
      </w:rPr>
    </w:sdtEndPr>
    <w:sdtContent>
      <w:p w14:paraId="1C369855" w14:textId="17C57475" w:rsidR="00C23102" w:rsidRDefault="00C231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592BBD" w14:textId="2A011CCE" w:rsidR="00F44FEC" w:rsidRPr="00F44FEC" w:rsidRDefault="00F44FEC" w:rsidP="00F44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343AE" w14:textId="77777777" w:rsidR="00B24EDF" w:rsidRDefault="00B24EDF" w:rsidP="00BF3CA8">
      <w:r>
        <w:separator/>
      </w:r>
    </w:p>
  </w:footnote>
  <w:footnote w:type="continuationSeparator" w:id="0">
    <w:p w14:paraId="4C397C5D" w14:textId="77777777" w:rsidR="00B24EDF" w:rsidRDefault="00B24EDF" w:rsidP="00BF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18F"/>
    <w:multiLevelType w:val="hybridMultilevel"/>
    <w:tmpl w:val="474E08BC"/>
    <w:lvl w:ilvl="0" w:tplc="66AC5D72">
      <w:numFmt w:val="bullet"/>
      <w:lvlText w:val="•"/>
      <w:lvlJc w:val="left"/>
      <w:pPr>
        <w:ind w:left="293" w:hanging="227"/>
      </w:pPr>
      <w:rPr>
        <w:rFonts w:ascii="Trebuchet MS" w:eastAsia="Trebuchet MS" w:hAnsi="Trebuchet MS" w:cs="Trebuchet MS" w:hint="default"/>
        <w:color w:val="1B1C20"/>
        <w:w w:val="64"/>
        <w:sz w:val="16"/>
        <w:szCs w:val="16"/>
        <w:lang w:val="tr-TR" w:eastAsia="tr-TR" w:bidi="tr-TR"/>
      </w:rPr>
    </w:lvl>
    <w:lvl w:ilvl="1" w:tplc="5764333C">
      <w:numFmt w:val="bullet"/>
      <w:lvlText w:val="•"/>
      <w:lvlJc w:val="left"/>
      <w:pPr>
        <w:ind w:left="577" w:hanging="227"/>
      </w:pPr>
      <w:rPr>
        <w:rFonts w:hint="default"/>
        <w:lang w:val="tr-TR" w:eastAsia="tr-TR" w:bidi="tr-TR"/>
      </w:rPr>
    </w:lvl>
    <w:lvl w:ilvl="2" w:tplc="0BAAC032">
      <w:numFmt w:val="bullet"/>
      <w:lvlText w:val="•"/>
      <w:lvlJc w:val="left"/>
      <w:pPr>
        <w:ind w:left="854" w:hanging="227"/>
      </w:pPr>
      <w:rPr>
        <w:rFonts w:hint="default"/>
        <w:lang w:val="tr-TR" w:eastAsia="tr-TR" w:bidi="tr-TR"/>
      </w:rPr>
    </w:lvl>
    <w:lvl w:ilvl="3" w:tplc="B8062C48">
      <w:numFmt w:val="bullet"/>
      <w:lvlText w:val="•"/>
      <w:lvlJc w:val="left"/>
      <w:pPr>
        <w:ind w:left="1132" w:hanging="227"/>
      </w:pPr>
      <w:rPr>
        <w:rFonts w:hint="default"/>
        <w:lang w:val="tr-TR" w:eastAsia="tr-TR" w:bidi="tr-TR"/>
      </w:rPr>
    </w:lvl>
    <w:lvl w:ilvl="4" w:tplc="261ED848">
      <w:numFmt w:val="bullet"/>
      <w:lvlText w:val="•"/>
      <w:lvlJc w:val="left"/>
      <w:pPr>
        <w:ind w:left="1409" w:hanging="227"/>
      </w:pPr>
      <w:rPr>
        <w:rFonts w:hint="default"/>
        <w:lang w:val="tr-TR" w:eastAsia="tr-TR" w:bidi="tr-TR"/>
      </w:rPr>
    </w:lvl>
    <w:lvl w:ilvl="5" w:tplc="DCDC8DDA">
      <w:numFmt w:val="bullet"/>
      <w:lvlText w:val="•"/>
      <w:lvlJc w:val="left"/>
      <w:pPr>
        <w:ind w:left="1687" w:hanging="227"/>
      </w:pPr>
      <w:rPr>
        <w:rFonts w:hint="default"/>
        <w:lang w:val="tr-TR" w:eastAsia="tr-TR" w:bidi="tr-TR"/>
      </w:rPr>
    </w:lvl>
    <w:lvl w:ilvl="6" w:tplc="498A9E74">
      <w:numFmt w:val="bullet"/>
      <w:lvlText w:val="•"/>
      <w:lvlJc w:val="left"/>
      <w:pPr>
        <w:ind w:left="1964" w:hanging="227"/>
      </w:pPr>
      <w:rPr>
        <w:rFonts w:hint="default"/>
        <w:lang w:val="tr-TR" w:eastAsia="tr-TR" w:bidi="tr-TR"/>
      </w:rPr>
    </w:lvl>
    <w:lvl w:ilvl="7" w:tplc="76D43C78">
      <w:numFmt w:val="bullet"/>
      <w:lvlText w:val="•"/>
      <w:lvlJc w:val="left"/>
      <w:pPr>
        <w:ind w:left="2241" w:hanging="227"/>
      </w:pPr>
      <w:rPr>
        <w:rFonts w:hint="default"/>
        <w:lang w:val="tr-TR" w:eastAsia="tr-TR" w:bidi="tr-TR"/>
      </w:rPr>
    </w:lvl>
    <w:lvl w:ilvl="8" w:tplc="2ECEFCD8">
      <w:numFmt w:val="bullet"/>
      <w:lvlText w:val="•"/>
      <w:lvlJc w:val="left"/>
      <w:pPr>
        <w:ind w:left="2519" w:hanging="227"/>
      </w:pPr>
      <w:rPr>
        <w:rFonts w:hint="default"/>
        <w:lang w:val="tr-TR" w:eastAsia="tr-TR" w:bidi="tr-TR"/>
      </w:rPr>
    </w:lvl>
  </w:abstractNum>
  <w:abstractNum w:abstractNumId="1" w15:restartNumberingAfterBreak="0">
    <w:nsid w:val="05E37FE0"/>
    <w:multiLevelType w:val="hybridMultilevel"/>
    <w:tmpl w:val="2358580C"/>
    <w:lvl w:ilvl="0" w:tplc="B14EAD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47F30"/>
    <w:multiLevelType w:val="hybridMultilevel"/>
    <w:tmpl w:val="0E60EF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C0476A"/>
    <w:multiLevelType w:val="multilevel"/>
    <w:tmpl w:val="F7728336"/>
    <w:styleLink w:val="Style1"/>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A43B3F"/>
    <w:multiLevelType w:val="hybridMultilevel"/>
    <w:tmpl w:val="1EFE5D58"/>
    <w:lvl w:ilvl="0" w:tplc="0809000F">
      <w:start w:val="1"/>
      <w:numFmt w:val="decimal"/>
      <w:lvlText w:val="%1."/>
      <w:lvlJc w:val="left"/>
      <w:pPr>
        <w:ind w:left="673" w:hanging="360"/>
      </w:p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5" w15:restartNumberingAfterBreak="0">
    <w:nsid w:val="1ACE0E0D"/>
    <w:multiLevelType w:val="hybridMultilevel"/>
    <w:tmpl w:val="744C04C2"/>
    <w:lvl w:ilvl="0" w:tplc="0809000F">
      <w:start w:val="1"/>
      <w:numFmt w:val="decimal"/>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6" w15:restartNumberingAfterBreak="0">
    <w:nsid w:val="2A1B779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2B5BC1"/>
    <w:multiLevelType w:val="hybridMultilevel"/>
    <w:tmpl w:val="AB324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A4A39"/>
    <w:multiLevelType w:val="hybridMultilevel"/>
    <w:tmpl w:val="3EBC1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0F7DD5"/>
    <w:multiLevelType w:val="hybridMultilevel"/>
    <w:tmpl w:val="60F63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E619EC"/>
    <w:multiLevelType w:val="hybridMultilevel"/>
    <w:tmpl w:val="63E8109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1" w15:restartNumberingAfterBreak="0">
    <w:nsid w:val="444001D3"/>
    <w:multiLevelType w:val="hybridMultilevel"/>
    <w:tmpl w:val="730E4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9B033E"/>
    <w:multiLevelType w:val="hybridMultilevel"/>
    <w:tmpl w:val="168C76A6"/>
    <w:lvl w:ilvl="0" w:tplc="97C857C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BD46E7"/>
    <w:multiLevelType w:val="hybridMultilevel"/>
    <w:tmpl w:val="A41C7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F1488C"/>
    <w:multiLevelType w:val="hybridMultilevel"/>
    <w:tmpl w:val="F20C6280"/>
    <w:lvl w:ilvl="0" w:tplc="52A2665E">
      <w:numFmt w:val="bullet"/>
      <w:lvlText w:val="•"/>
      <w:lvlJc w:val="left"/>
      <w:pPr>
        <w:ind w:left="293" w:hanging="227"/>
      </w:pPr>
      <w:rPr>
        <w:rFonts w:hint="default"/>
        <w:w w:val="64"/>
        <w:lang w:val="tr-TR" w:eastAsia="tr-TR" w:bidi="tr-TR"/>
      </w:rPr>
    </w:lvl>
    <w:lvl w:ilvl="1" w:tplc="C1DA45A6">
      <w:numFmt w:val="bullet"/>
      <w:lvlText w:val="•"/>
      <w:lvlJc w:val="left"/>
      <w:pPr>
        <w:ind w:left="577" w:hanging="227"/>
      </w:pPr>
      <w:rPr>
        <w:rFonts w:hint="default"/>
        <w:lang w:val="tr-TR" w:eastAsia="tr-TR" w:bidi="tr-TR"/>
      </w:rPr>
    </w:lvl>
    <w:lvl w:ilvl="2" w:tplc="54326F1E">
      <w:numFmt w:val="bullet"/>
      <w:lvlText w:val="•"/>
      <w:lvlJc w:val="left"/>
      <w:pPr>
        <w:ind w:left="854" w:hanging="227"/>
      </w:pPr>
      <w:rPr>
        <w:rFonts w:hint="default"/>
        <w:lang w:val="tr-TR" w:eastAsia="tr-TR" w:bidi="tr-TR"/>
      </w:rPr>
    </w:lvl>
    <w:lvl w:ilvl="3" w:tplc="548AB900">
      <w:numFmt w:val="bullet"/>
      <w:lvlText w:val="•"/>
      <w:lvlJc w:val="left"/>
      <w:pPr>
        <w:ind w:left="1132" w:hanging="227"/>
      </w:pPr>
      <w:rPr>
        <w:rFonts w:hint="default"/>
        <w:lang w:val="tr-TR" w:eastAsia="tr-TR" w:bidi="tr-TR"/>
      </w:rPr>
    </w:lvl>
    <w:lvl w:ilvl="4" w:tplc="EF08A9BC">
      <w:numFmt w:val="bullet"/>
      <w:lvlText w:val="•"/>
      <w:lvlJc w:val="left"/>
      <w:pPr>
        <w:ind w:left="1409" w:hanging="227"/>
      </w:pPr>
      <w:rPr>
        <w:rFonts w:hint="default"/>
        <w:lang w:val="tr-TR" w:eastAsia="tr-TR" w:bidi="tr-TR"/>
      </w:rPr>
    </w:lvl>
    <w:lvl w:ilvl="5" w:tplc="3B5C839E">
      <w:numFmt w:val="bullet"/>
      <w:lvlText w:val="•"/>
      <w:lvlJc w:val="left"/>
      <w:pPr>
        <w:ind w:left="1687" w:hanging="227"/>
      </w:pPr>
      <w:rPr>
        <w:rFonts w:hint="default"/>
        <w:lang w:val="tr-TR" w:eastAsia="tr-TR" w:bidi="tr-TR"/>
      </w:rPr>
    </w:lvl>
    <w:lvl w:ilvl="6" w:tplc="D5C68F88">
      <w:numFmt w:val="bullet"/>
      <w:lvlText w:val="•"/>
      <w:lvlJc w:val="left"/>
      <w:pPr>
        <w:ind w:left="1964" w:hanging="227"/>
      </w:pPr>
      <w:rPr>
        <w:rFonts w:hint="default"/>
        <w:lang w:val="tr-TR" w:eastAsia="tr-TR" w:bidi="tr-TR"/>
      </w:rPr>
    </w:lvl>
    <w:lvl w:ilvl="7" w:tplc="CAD6242C">
      <w:numFmt w:val="bullet"/>
      <w:lvlText w:val="•"/>
      <w:lvlJc w:val="left"/>
      <w:pPr>
        <w:ind w:left="2241" w:hanging="227"/>
      </w:pPr>
      <w:rPr>
        <w:rFonts w:hint="default"/>
        <w:lang w:val="tr-TR" w:eastAsia="tr-TR" w:bidi="tr-TR"/>
      </w:rPr>
    </w:lvl>
    <w:lvl w:ilvl="8" w:tplc="09A41F0C">
      <w:numFmt w:val="bullet"/>
      <w:lvlText w:val="•"/>
      <w:lvlJc w:val="left"/>
      <w:pPr>
        <w:ind w:left="2519" w:hanging="227"/>
      </w:pPr>
      <w:rPr>
        <w:rFonts w:hint="default"/>
        <w:lang w:val="tr-TR" w:eastAsia="tr-TR" w:bidi="tr-TR"/>
      </w:rPr>
    </w:lvl>
  </w:abstractNum>
  <w:abstractNum w:abstractNumId="15" w15:restartNumberingAfterBreak="0">
    <w:nsid w:val="59320EEC"/>
    <w:multiLevelType w:val="hybridMultilevel"/>
    <w:tmpl w:val="504CC3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E26FC4"/>
    <w:multiLevelType w:val="hybridMultilevel"/>
    <w:tmpl w:val="EFBCB282"/>
    <w:lvl w:ilvl="0" w:tplc="B14EAD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2279AA"/>
    <w:multiLevelType w:val="hybridMultilevel"/>
    <w:tmpl w:val="80B2A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937632"/>
    <w:multiLevelType w:val="hybridMultilevel"/>
    <w:tmpl w:val="7C9CF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2C1229"/>
    <w:multiLevelType w:val="hybridMultilevel"/>
    <w:tmpl w:val="C19E7F92"/>
    <w:lvl w:ilvl="0" w:tplc="0809000F">
      <w:start w:val="1"/>
      <w:numFmt w:val="decimal"/>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0" w15:restartNumberingAfterBreak="0">
    <w:nsid w:val="79D4082E"/>
    <w:multiLevelType w:val="hybridMultilevel"/>
    <w:tmpl w:val="10167960"/>
    <w:lvl w:ilvl="0" w:tplc="C010D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5"/>
  </w:num>
  <w:num w:numId="3">
    <w:abstractNumId w:val="9"/>
  </w:num>
  <w:num w:numId="4">
    <w:abstractNumId w:val="18"/>
  </w:num>
  <w:num w:numId="5">
    <w:abstractNumId w:val="8"/>
  </w:num>
  <w:num w:numId="6">
    <w:abstractNumId w:val="13"/>
  </w:num>
  <w:num w:numId="7">
    <w:abstractNumId w:val="0"/>
  </w:num>
  <w:num w:numId="8">
    <w:abstractNumId w:val="14"/>
  </w:num>
  <w:num w:numId="9">
    <w:abstractNumId w:val="6"/>
  </w:num>
  <w:num w:numId="10">
    <w:abstractNumId w:val="10"/>
  </w:num>
  <w:num w:numId="11">
    <w:abstractNumId w:val="19"/>
  </w:num>
  <w:num w:numId="12">
    <w:abstractNumId w:val="5"/>
  </w:num>
  <w:num w:numId="13">
    <w:abstractNumId w:val="11"/>
  </w:num>
  <w:num w:numId="14">
    <w:abstractNumId w:val="7"/>
  </w:num>
  <w:num w:numId="15">
    <w:abstractNumId w:val="20"/>
  </w:num>
  <w:num w:numId="16">
    <w:abstractNumId w:val="4"/>
  </w:num>
  <w:num w:numId="17">
    <w:abstractNumId w:val="1"/>
  </w:num>
  <w:num w:numId="18">
    <w:abstractNumId w:val="16"/>
  </w:num>
  <w:num w:numId="19">
    <w:abstractNumId w:val="17"/>
  </w:num>
  <w:num w:numId="20">
    <w:abstractNumId w:val="2"/>
  </w:num>
  <w:num w:numId="2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CA"/>
    <w:rsid w:val="000066C8"/>
    <w:rsid w:val="0001014E"/>
    <w:rsid w:val="00010237"/>
    <w:rsid w:val="0001086B"/>
    <w:rsid w:val="0001149C"/>
    <w:rsid w:val="0001299E"/>
    <w:rsid w:val="000138BF"/>
    <w:rsid w:val="000142C3"/>
    <w:rsid w:val="00016E22"/>
    <w:rsid w:val="00022114"/>
    <w:rsid w:val="00023153"/>
    <w:rsid w:val="00023D73"/>
    <w:rsid w:val="000244D3"/>
    <w:rsid w:val="000254FD"/>
    <w:rsid w:val="00026FBD"/>
    <w:rsid w:val="00034149"/>
    <w:rsid w:val="00040EA0"/>
    <w:rsid w:val="000411FC"/>
    <w:rsid w:val="00042094"/>
    <w:rsid w:val="00044B5F"/>
    <w:rsid w:val="00053324"/>
    <w:rsid w:val="000545DE"/>
    <w:rsid w:val="00054CEE"/>
    <w:rsid w:val="00054D21"/>
    <w:rsid w:val="0007229C"/>
    <w:rsid w:val="000827D6"/>
    <w:rsid w:val="000834CB"/>
    <w:rsid w:val="00085EA5"/>
    <w:rsid w:val="00090989"/>
    <w:rsid w:val="000A232A"/>
    <w:rsid w:val="000A4B40"/>
    <w:rsid w:val="000A4D45"/>
    <w:rsid w:val="000A4F2E"/>
    <w:rsid w:val="000A7835"/>
    <w:rsid w:val="000C0D2E"/>
    <w:rsid w:val="000C0FCB"/>
    <w:rsid w:val="000C25AA"/>
    <w:rsid w:val="000C46F3"/>
    <w:rsid w:val="000D0B70"/>
    <w:rsid w:val="000D1ABC"/>
    <w:rsid w:val="000E1533"/>
    <w:rsid w:val="000E2BA3"/>
    <w:rsid w:val="000E4EC9"/>
    <w:rsid w:val="000E74FA"/>
    <w:rsid w:val="000F137F"/>
    <w:rsid w:val="0011059A"/>
    <w:rsid w:val="001118D5"/>
    <w:rsid w:val="00114B9F"/>
    <w:rsid w:val="00116F21"/>
    <w:rsid w:val="00117772"/>
    <w:rsid w:val="00121667"/>
    <w:rsid w:val="00122F0E"/>
    <w:rsid w:val="001260B0"/>
    <w:rsid w:val="001266C3"/>
    <w:rsid w:val="00132432"/>
    <w:rsid w:val="001332CA"/>
    <w:rsid w:val="00135C93"/>
    <w:rsid w:val="00136624"/>
    <w:rsid w:val="00137D00"/>
    <w:rsid w:val="00140692"/>
    <w:rsid w:val="00141B37"/>
    <w:rsid w:val="00142004"/>
    <w:rsid w:val="00142867"/>
    <w:rsid w:val="00144708"/>
    <w:rsid w:val="00147961"/>
    <w:rsid w:val="0015324F"/>
    <w:rsid w:val="001566A0"/>
    <w:rsid w:val="00160D41"/>
    <w:rsid w:val="0016468E"/>
    <w:rsid w:val="00164DA7"/>
    <w:rsid w:val="0016517A"/>
    <w:rsid w:val="00174CC2"/>
    <w:rsid w:val="00176A19"/>
    <w:rsid w:val="00176EF4"/>
    <w:rsid w:val="00182DBA"/>
    <w:rsid w:val="00184236"/>
    <w:rsid w:val="00186C3A"/>
    <w:rsid w:val="00187504"/>
    <w:rsid w:val="00191C3E"/>
    <w:rsid w:val="00194460"/>
    <w:rsid w:val="00197CA2"/>
    <w:rsid w:val="001A1A01"/>
    <w:rsid w:val="001A326E"/>
    <w:rsid w:val="001A6744"/>
    <w:rsid w:val="001A6D4E"/>
    <w:rsid w:val="001B1255"/>
    <w:rsid w:val="001B18EB"/>
    <w:rsid w:val="001C046A"/>
    <w:rsid w:val="001C2E9E"/>
    <w:rsid w:val="001C3521"/>
    <w:rsid w:val="001C3F60"/>
    <w:rsid w:val="001C7791"/>
    <w:rsid w:val="001D6973"/>
    <w:rsid w:val="001D7507"/>
    <w:rsid w:val="001E1A93"/>
    <w:rsid w:val="001E3030"/>
    <w:rsid w:val="001E341A"/>
    <w:rsid w:val="001F1727"/>
    <w:rsid w:val="00201263"/>
    <w:rsid w:val="00214570"/>
    <w:rsid w:val="00214CC6"/>
    <w:rsid w:val="00216021"/>
    <w:rsid w:val="00220342"/>
    <w:rsid w:val="00223BE8"/>
    <w:rsid w:val="00223FF3"/>
    <w:rsid w:val="00224F9B"/>
    <w:rsid w:val="00230AC8"/>
    <w:rsid w:val="00230F10"/>
    <w:rsid w:val="002345EA"/>
    <w:rsid w:val="002452FF"/>
    <w:rsid w:val="002534C0"/>
    <w:rsid w:val="00254224"/>
    <w:rsid w:val="002608F9"/>
    <w:rsid w:val="00260CC9"/>
    <w:rsid w:val="00266EFE"/>
    <w:rsid w:val="00267402"/>
    <w:rsid w:val="00275523"/>
    <w:rsid w:val="0027596B"/>
    <w:rsid w:val="00280A9C"/>
    <w:rsid w:val="002823DA"/>
    <w:rsid w:val="00283CE1"/>
    <w:rsid w:val="002861A0"/>
    <w:rsid w:val="002930CC"/>
    <w:rsid w:val="002940FA"/>
    <w:rsid w:val="002A06F0"/>
    <w:rsid w:val="002A1A0C"/>
    <w:rsid w:val="002A274F"/>
    <w:rsid w:val="002A31C5"/>
    <w:rsid w:val="002A36DC"/>
    <w:rsid w:val="002A4487"/>
    <w:rsid w:val="002A5E3A"/>
    <w:rsid w:val="002A6E0B"/>
    <w:rsid w:val="002A7B2C"/>
    <w:rsid w:val="002B0819"/>
    <w:rsid w:val="002B08C3"/>
    <w:rsid w:val="002B1421"/>
    <w:rsid w:val="002B35AC"/>
    <w:rsid w:val="002B3609"/>
    <w:rsid w:val="002C45B0"/>
    <w:rsid w:val="002D04FD"/>
    <w:rsid w:val="002D34A5"/>
    <w:rsid w:val="002D7069"/>
    <w:rsid w:val="002E4848"/>
    <w:rsid w:val="002F0608"/>
    <w:rsid w:val="002F362C"/>
    <w:rsid w:val="002F57DF"/>
    <w:rsid w:val="002F6BC6"/>
    <w:rsid w:val="002F6FD5"/>
    <w:rsid w:val="00300037"/>
    <w:rsid w:val="003001B3"/>
    <w:rsid w:val="003003D9"/>
    <w:rsid w:val="00300906"/>
    <w:rsid w:val="003016FA"/>
    <w:rsid w:val="00305536"/>
    <w:rsid w:val="00306067"/>
    <w:rsid w:val="003070AA"/>
    <w:rsid w:val="00310BB3"/>
    <w:rsid w:val="003150A7"/>
    <w:rsid w:val="00325A41"/>
    <w:rsid w:val="00327130"/>
    <w:rsid w:val="00331F18"/>
    <w:rsid w:val="00333D4C"/>
    <w:rsid w:val="00334935"/>
    <w:rsid w:val="00336218"/>
    <w:rsid w:val="00337156"/>
    <w:rsid w:val="00351030"/>
    <w:rsid w:val="00353DC3"/>
    <w:rsid w:val="00356B1D"/>
    <w:rsid w:val="00366C79"/>
    <w:rsid w:val="00370A81"/>
    <w:rsid w:val="00374CFF"/>
    <w:rsid w:val="00376409"/>
    <w:rsid w:val="003847E5"/>
    <w:rsid w:val="00387467"/>
    <w:rsid w:val="00390C83"/>
    <w:rsid w:val="00397B11"/>
    <w:rsid w:val="003A0E85"/>
    <w:rsid w:val="003A6491"/>
    <w:rsid w:val="003A7803"/>
    <w:rsid w:val="003B30BD"/>
    <w:rsid w:val="003B43F9"/>
    <w:rsid w:val="003B509A"/>
    <w:rsid w:val="003B5EDB"/>
    <w:rsid w:val="003C2053"/>
    <w:rsid w:val="003C332B"/>
    <w:rsid w:val="003D0A22"/>
    <w:rsid w:val="003D0F76"/>
    <w:rsid w:val="003D25F8"/>
    <w:rsid w:val="003D4068"/>
    <w:rsid w:val="003E779E"/>
    <w:rsid w:val="003F015B"/>
    <w:rsid w:val="003F183B"/>
    <w:rsid w:val="003F3CE2"/>
    <w:rsid w:val="003F6D93"/>
    <w:rsid w:val="004020E8"/>
    <w:rsid w:val="00406AA7"/>
    <w:rsid w:val="00410237"/>
    <w:rsid w:val="00415F01"/>
    <w:rsid w:val="00416618"/>
    <w:rsid w:val="004249FF"/>
    <w:rsid w:val="0043566B"/>
    <w:rsid w:val="00436798"/>
    <w:rsid w:val="00437404"/>
    <w:rsid w:val="00440316"/>
    <w:rsid w:val="00442E4D"/>
    <w:rsid w:val="00443F03"/>
    <w:rsid w:val="004460AF"/>
    <w:rsid w:val="004526AD"/>
    <w:rsid w:val="004611A8"/>
    <w:rsid w:val="00461B06"/>
    <w:rsid w:val="00465709"/>
    <w:rsid w:val="00467FD5"/>
    <w:rsid w:val="00472E8F"/>
    <w:rsid w:val="0047435B"/>
    <w:rsid w:val="00474D18"/>
    <w:rsid w:val="004762D9"/>
    <w:rsid w:val="0047657A"/>
    <w:rsid w:val="00476BA7"/>
    <w:rsid w:val="00476D4A"/>
    <w:rsid w:val="00476F36"/>
    <w:rsid w:val="00477089"/>
    <w:rsid w:val="00481344"/>
    <w:rsid w:val="00487B16"/>
    <w:rsid w:val="00490FCA"/>
    <w:rsid w:val="004942D9"/>
    <w:rsid w:val="004A063D"/>
    <w:rsid w:val="004A3E18"/>
    <w:rsid w:val="004A6F32"/>
    <w:rsid w:val="004A7C1F"/>
    <w:rsid w:val="004B1CB2"/>
    <w:rsid w:val="004C578E"/>
    <w:rsid w:val="004D0A75"/>
    <w:rsid w:val="004D4022"/>
    <w:rsid w:val="004D4811"/>
    <w:rsid w:val="004D510C"/>
    <w:rsid w:val="004E5170"/>
    <w:rsid w:val="004E5669"/>
    <w:rsid w:val="004F0018"/>
    <w:rsid w:val="004F3247"/>
    <w:rsid w:val="004F5545"/>
    <w:rsid w:val="00502823"/>
    <w:rsid w:val="0050333E"/>
    <w:rsid w:val="005077DD"/>
    <w:rsid w:val="00510E50"/>
    <w:rsid w:val="00511529"/>
    <w:rsid w:val="00523121"/>
    <w:rsid w:val="00523946"/>
    <w:rsid w:val="005269A4"/>
    <w:rsid w:val="00541296"/>
    <w:rsid w:val="00552033"/>
    <w:rsid w:val="00563D16"/>
    <w:rsid w:val="00567E3A"/>
    <w:rsid w:val="00572EF6"/>
    <w:rsid w:val="00575612"/>
    <w:rsid w:val="005764E2"/>
    <w:rsid w:val="005816A6"/>
    <w:rsid w:val="005841BE"/>
    <w:rsid w:val="00586DC2"/>
    <w:rsid w:val="005912AD"/>
    <w:rsid w:val="00591449"/>
    <w:rsid w:val="0059281C"/>
    <w:rsid w:val="00595FFC"/>
    <w:rsid w:val="0059753A"/>
    <w:rsid w:val="005A30DE"/>
    <w:rsid w:val="005A36CB"/>
    <w:rsid w:val="005A5731"/>
    <w:rsid w:val="005A71D3"/>
    <w:rsid w:val="005C06D4"/>
    <w:rsid w:val="005C0E09"/>
    <w:rsid w:val="005C31BA"/>
    <w:rsid w:val="005C3D26"/>
    <w:rsid w:val="005C5CB0"/>
    <w:rsid w:val="005D3824"/>
    <w:rsid w:val="005D40F2"/>
    <w:rsid w:val="005D41E8"/>
    <w:rsid w:val="005D4B1C"/>
    <w:rsid w:val="005D6080"/>
    <w:rsid w:val="005F388B"/>
    <w:rsid w:val="005F61BD"/>
    <w:rsid w:val="005F75C2"/>
    <w:rsid w:val="00603812"/>
    <w:rsid w:val="00603E94"/>
    <w:rsid w:val="00605D73"/>
    <w:rsid w:val="00606B43"/>
    <w:rsid w:val="006120AE"/>
    <w:rsid w:val="0061474B"/>
    <w:rsid w:val="00620800"/>
    <w:rsid w:val="006234E5"/>
    <w:rsid w:val="006309FE"/>
    <w:rsid w:val="0063168B"/>
    <w:rsid w:val="006402F8"/>
    <w:rsid w:val="00642337"/>
    <w:rsid w:val="00647CAF"/>
    <w:rsid w:val="00650492"/>
    <w:rsid w:val="0065494F"/>
    <w:rsid w:val="00654B4E"/>
    <w:rsid w:val="006616BC"/>
    <w:rsid w:val="00670237"/>
    <w:rsid w:val="00673241"/>
    <w:rsid w:val="00676BD2"/>
    <w:rsid w:val="00682909"/>
    <w:rsid w:val="00683E14"/>
    <w:rsid w:val="00687DC0"/>
    <w:rsid w:val="00692F88"/>
    <w:rsid w:val="00695119"/>
    <w:rsid w:val="006A02F7"/>
    <w:rsid w:val="006A6CFE"/>
    <w:rsid w:val="006B0069"/>
    <w:rsid w:val="006B0567"/>
    <w:rsid w:val="006B4DED"/>
    <w:rsid w:val="006B506B"/>
    <w:rsid w:val="006C0EE7"/>
    <w:rsid w:val="006C2A7D"/>
    <w:rsid w:val="006C302A"/>
    <w:rsid w:val="006C340A"/>
    <w:rsid w:val="006C64E3"/>
    <w:rsid w:val="006D0282"/>
    <w:rsid w:val="006D1753"/>
    <w:rsid w:val="006D17F4"/>
    <w:rsid w:val="006D4E70"/>
    <w:rsid w:val="006D680A"/>
    <w:rsid w:val="006E286B"/>
    <w:rsid w:val="006E7CC6"/>
    <w:rsid w:val="006F4E18"/>
    <w:rsid w:val="006F7111"/>
    <w:rsid w:val="00710F1B"/>
    <w:rsid w:val="00715596"/>
    <w:rsid w:val="007318C0"/>
    <w:rsid w:val="00736DDF"/>
    <w:rsid w:val="00740215"/>
    <w:rsid w:val="00743BFF"/>
    <w:rsid w:val="007441EE"/>
    <w:rsid w:val="007444CB"/>
    <w:rsid w:val="007543EA"/>
    <w:rsid w:val="00756842"/>
    <w:rsid w:val="00761350"/>
    <w:rsid w:val="0076416A"/>
    <w:rsid w:val="00765C46"/>
    <w:rsid w:val="0076746C"/>
    <w:rsid w:val="007675FB"/>
    <w:rsid w:val="00772A89"/>
    <w:rsid w:val="00774748"/>
    <w:rsid w:val="007776F0"/>
    <w:rsid w:val="00781103"/>
    <w:rsid w:val="0078330D"/>
    <w:rsid w:val="007A2D8B"/>
    <w:rsid w:val="007A3F44"/>
    <w:rsid w:val="007B067F"/>
    <w:rsid w:val="007B2F58"/>
    <w:rsid w:val="007B374C"/>
    <w:rsid w:val="007B5DC6"/>
    <w:rsid w:val="007C30F5"/>
    <w:rsid w:val="007D405C"/>
    <w:rsid w:val="007D4F2E"/>
    <w:rsid w:val="007D6A59"/>
    <w:rsid w:val="007D6B1C"/>
    <w:rsid w:val="007E0D99"/>
    <w:rsid w:val="007E1466"/>
    <w:rsid w:val="007E4E3C"/>
    <w:rsid w:val="007E64E4"/>
    <w:rsid w:val="007F4C62"/>
    <w:rsid w:val="0080057F"/>
    <w:rsid w:val="00807679"/>
    <w:rsid w:val="00811D78"/>
    <w:rsid w:val="00814D31"/>
    <w:rsid w:val="0082110E"/>
    <w:rsid w:val="00821161"/>
    <w:rsid w:val="0082478D"/>
    <w:rsid w:val="00826230"/>
    <w:rsid w:val="0083490C"/>
    <w:rsid w:val="0083501A"/>
    <w:rsid w:val="00840029"/>
    <w:rsid w:val="00844A80"/>
    <w:rsid w:val="00854670"/>
    <w:rsid w:val="00855026"/>
    <w:rsid w:val="00856DDA"/>
    <w:rsid w:val="008613EB"/>
    <w:rsid w:val="00862F67"/>
    <w:rsid w:val="00863D00"/>
    <w:rsid w:val="00864765"/>
    <w:rsid w:val="00866606"/>
    <w:rsid w:val="00871FA2"/>
    <w:rsid w:val="00874C8E"/>
    <w:rsid w:val="00874CE5"/>
    <w:rsid w:val="0087596B"/>
    <w:rsid w:val="00881FF3"/>
    <w:rsid w:val="008850FA"/>
    <w:rsid w:val="008867CE"/>
    <w:rsid w:val="00890CB0"/>
    <w:rsid w:val="008A078E"/>
    <w:rsid w:val="008A6BC7"/>
    <w:rsid w:val="008A7BCA"/>
    <w:rsid w:val="008B5506"/>
    <w:rsid w:val="008C3DCA"/>
    <w:rsid w:val="008D67E7"/>
    <w:rsid w:val="008E0EF9"/>
    <w:rsid w:val="008E6A0B"/>
    <w:rsid w:val="008E7D8F"/>
    <w:rsid w:val="008F085F"/>
    <w:rsid w:val="008F10C5"/>
    <w:rsid w:val="008F1408"/>
    <w:rsid w:val="008F4402"/>
    <w:rsid w:val="008F718C"/>
    <w:rsid w:val="0090004E"/>
    <w:rsid w:val="0090791E"/>
    <w:rsid w:val="00910D69"/>
    <w:rsid w:val="009144D2"/>
    <w:rsid w:val="00915F15"/>
    <w:rsid w:val="00927C45"/>
    <w:rsid w:val="00936AB3"/>
    <w:rsid w:val="00945669"/>
    <w:rsid w:val="0094700C"/>
    <w:rsid w:val="009475F6"/>
    <w:rsid w:val="00950CE5"/>
    <w:rsid w:val="00950EEB"/>
    <w:rsid w:val="009578A9"/>
    <w:rsid w:val="00957E38"/>
    <w:rsid w:val="0096199A"/>
    <w:rsid w:val="00965D18"/>
    <w:rsid w:val="0097103F"/>
    <w:rsid w:val="00972B33"/>
    <w:rsid w:val="00972BD3"/>
    <w:rsid w:val="00974F0C"/>
    <w:rsid w:val="00976F56"/>
    <w:rsid w:val="00980A6A"/>
    <w:rsid w:val="009844C0"/>
    <w:rsid w:val="009859FC"/>
    <w:rsid w:val="00987214"/>
    <w:rsid w:val="009903E0"/>
    <w:rsid w:val="0099373C"/>
    <w:rsid w:val="009946C4"/>
    <w:rsid w:val="009954B6"/>
    <w:rsid w:val="0099556C"/>
    <w:rsid w:val="009A038A"/>
    <w:rsid w:val="009A5D8B"/>
    <w:rsid w:val="009A6CD2"/>
    <w:rsid w:val="009B1C08"/>
    <w:rsid w:val="009B32E6"/>
    <w:rsid w:val="009D5FF7"/>
    <w:rsid w:val="009D63B1"/>
    <w:rsid w:val="009E0B9A"/>
    <w:rsid w:val="009E1F2A"/>
    <w:rsid w:val="009E26EA"/>
    <w:rsid w:val="009E59E2"/>
    <w:rsid w:val="009F3AC0"/>
    <w:rsid w:val="00A01A75"/>
    <w:rsid w:val="00A15EE6"/>
    <w:rsid w:val="00A17C89"/>
    <w:rsid w:val="00A23CC0"/>
    <w:rsid w:val="00A24B2C"/>
    <w:rsid w:val="00A27B09"/>
    <w:rsid w:val="00A308E9"/>
    <w:rsid w:val="00A31C99"/>
    <w:rsid w:val="00A33CF7"/>
    <w:rsid w:val="00A357A1"/>
    <w:rsid w:val="00A35E36"/>
    <w:rsid w:val="00A36B5A"/>
    <w:rsid w:val="00A43EFC"/>
    <w:rsid w:val="00A445F3"/>
    <w:rsid w:val="00A47F4B"/>
    <w:rsid w:val="00A50ED0"/>
    <w:rsid w:val="00A53A43"/>
    <w:rsid w:val="00A540B2"/>
    <w:rsid w:val="00A66E4C"/>
    <w:rsid w:val="00A71512"/>
    <w:rsid w:val="00A81E5D"/>
    <w:rsid w:val="00A872D1"/>
    <w:rsid w:val="00A9044C"/>
    <w:rsid w:val="00A92FA9"/>
    <w:rsid w:val="00AA15A5"/>
    <w:rsid w:val="00AA1692"/>
    <w:rsid w:val="00AB0F1A"/>
    <w:rsid w:val="00AB1F79"/>
    <w:rsid w:val="00AB39F9"/>
    <w:rsid w:val="00AB7220"/>
    <w:rsid w:val="00AD1027"/>
    <w:rsid w:val="00AD158C"/>
    <w:rsid w:val="00AD2268"/>
    <w:rsid w:val="00AD3DA5"/>
    <w:rsid w:val="00AD40D2"/>
    <w:rsid w:val="00AD49CE"/>
    <w:rsid w:val="00AD50CC"/>
    <w:rsid w:val="00AD56C0"/>
    <w:rsid w:val="00AE0AAC"/>
    <w:rsid w:val="00AE17E1"/>
    <w:rsid w:val="00AE4B35"/>
    <w:rsid w:val="00AE6307"/>
    <w:rsid w:val="00AE721C"/>
    <w:rsid w:val="00AF18D0"/>
    <w:rsid w:val="00AF1EE7"/>
    <w:rsid w:val="00AF3C90"/>
    <w:rsid w:val="00AF470B"/>
    <w:rsid w:val="00AF64A4"/>
    <w:rsid w:val="00AF7502"/>
    <w:rsid w:val="00B02266"/>
    <w:rsid w:val="00B04E78"/>
    <w:rsid w:val="00B05048"/>
    <w:rsid w:val="00B057E7"/>
    <w:rsid w:val="00B108FE"/>
    <w:rsid w:val="00B126F2"/>
    <w:rsid w:val="00B129DB"/>
    <w:rsid w:val="00B23D76"/>
    <w:rsid w:val="00B24117"/>
    <w:rsid w:val="00B24CE8"/>
    <w:rsid w:val="00B24EDF"/>
    <w:rsid w:val="00B25511"/>
    <w:rsid w:val="00B30C07"/>
    <w:rsid w:val="00B32319"/>
    <w:rsid w:val="00B3343C"/>
    <w:rsid w:val="00B34088"/>
    <w:rsid w:val="00B34B6A"/>
    <w:rsid w:val="00B3570B"/>
    <w:rsid w:val="00B37364"/>
    <w:rsid w:val="00B4074F"/>
    <w:rsid w:val="00B4730F"/>
    <w:rsid w:val="00B50924"/>
    <w:rsid w:val="00B55629"/>
    <w:rsid w:val="00B559CD"/>
    <w:rsid w:val="00B55AF1"/>
    <w:rsid w:val="00B576F4"/>
    <w:rsid w:val="00B604EA"/>
    <w:rsid w:val="00B628CC"/>
    <w:rsid w:val="00B66E0D"/>
    <w:rsid w:val="00B700E0"/>
    <w:rsid w:val="00B712B1"/>
    <w:rsid w:val="00B74624"/>
    <w:rsid w:val="00B768AB"/>
    <w:rsid w:val="00B76C3E"/>
    <w:rsid w:val="00B77F57"/>
    <w:rsid w:val="00B82750"/>
    <w:rsid w:val="00B843C6"/>
    <w:rsid w:val="00B847F5"/>
    <w:rsid w:val="00B84EC4"/>
    <w:rsid w:val="00B872DE"/>
    <w:rsid w:val="00B87CD7"/>
    <w:rsid w:val="00B94C08"/>
    <w:rsid w:val="00B95070"/>
    <w:rsid w:val="00BA171A"/>
    <w:rsid w:val="00BA1D9E"/>
    <w:rsid w:val="00BA4272"/>
    <w:rsid w:val="00BA4E9E"/>
    <w:rsid w:val="00BA5883"/>
    <w:rsid w:val="00BA6201"/>
    <w:rsid w:val="00BB02FA"/>
    <w:rsid w:val="00BB15C3"/>
    <w:rsid w:val="00BB3D12"/>
    <w:rsid w:val="00BB73AF"/>
    <w:rsid w:val="00BC012D"/>
    <w:rsid w:val="00BC0F4D"/>
    <w:rsid w:val="00BC2370"/>
    <w:rsid w:val="00BC60E2"/>
    <w:rsid w:val="00BD1119"/>
    <w:rsid w:val="00BD14C1"/>
    <w:rsid w:val="00BD3003"/>
    <w:rsid w:val="00BD7256"/>
    <w:rsid w:val="00BD7C63"/>
    <w:rsid w:val="00BE2348"/>
    <w:rsid w:val="00BE7D60"/>
    <w:rsid w:val="00BF219D"/>
    <w:rsid w:val="00BF38DF"/>
    <w:rsid w:val="00BF3CA8"/>
    <w:rsid w:val="00BF65CA"/>
    <w:rsid w:val="00BF6BF6"/>
    <w:rsid w:val="00C049C9"/>
    <w:rsid w:val="00C0532A"/>
    <w:rsid w:val="00C115ED"/>
    <w:rsid w:val="00C11B48"/>
    <w:rsid w:val="00C12BA0"/>
    <w:rsid w:val="00C142DC"/>
    <w:rsid w:val="00C14953"/>
    <w:rsid w:val="00C14983"/>
    <w:rsid w:val="00C15559"/>
    <w:rsid w:val="00C226EE"/>
    <w:rsid w:val="00C23102"/>
    <w:rsid w:val="00C247D9"/>
    <w:rsid w:val="00C25B88"/>
    <w:rsid w:val="00C26D0C"/>
    <w:rsid w:val="00C317DC"/>
    <w:rsid w:val="00C35869"/>
    <w:rsid w:val="00C35A38"/>
    <w:rsid w:val="00C35FC9"/>
    <w:rsid w:val="00C46A80"/>
    <w:rsid w:val="00C51116"/>
    <w:rsid w:val="00C532D4"/>
    <w:rsid w:val="00C6156A"/>
    <w:rsid w:val="00C661A7"/>
    <w:rsid w:val="00C664E1"/>
    <w:rsid w:val="00C674F3"/>
    <w:rsid w:val="00C7337F"/>
    <w:rsid w:val="00C81F06"/>
    <w:rsid w:val="00C82882"/>
    <w:rsid w:val="00C83563"/>
    <w:rsid w:val="00C8587E"/>
    <w:rsid w:val="00C87BCD"/>
    <w:rsid w:val="00C90D1B"/>
    <w:rsid w:val="00C9319B"/>
    <w:rsid w:val="00CA13F1"/>
    <w:rsid w:val="00CA3DB8"/>
    <w:rsid w:val="00CA4D06"/>
    <w:rsid w:val="00CA5803"/>
    <w:rsid w:val="00CA5DA7"/>
    <w:rsid w:val="00CA6750"/>
    <w:rsid w:val="00CB13AA"/>
    <w:rsid w:val="00CB5900"/>
    <w:rsid w:val="00CB7002"/>
    <w:rsid w:val="00CB7495"/>
    <w:rsid w:val="00CC5D92"/>
    <w:rsid w:val="00CC70D7"/>
    <w:rsid w:val="00CD5542"/>
    <w:rsid w:val="00CE7B60"/>
    <w:rsid w:val="00CF2541"/>
    <w:rsid w:val="00CF2A00"/>
    <w:rsid w:val="00D02605"/>
    <w:rsid w:val="00D05B25"/>
    <w:rsid w:val="00D20304"/>
    <w:rsid w:val="00D20E57"/>
    <w:rsid w:val="00D2289E"/>
    <w:rsid w:val="00D22FC7"/>
    <w:rsid w:val="00D35586"/>
    <w:rsid w:val="00D36BB1"/>
    <w:rsid w:val="00D51D50"/>
    <w:rsid w:val="00D51E64"/>
    <w:rsid w:val="00D543B0"/>
    <w:rsid w:val="00D618AF"/>
    <w:rsid w:val="00D634B9"/>
    <w:rsid w:val="00D63DAB"/>
    <w:rsid w:val="00D63EE2"/>
    <w:rsid w:val="00D662D3"/>
    <w:rsid w:val="00D71B86"/>
    <w:rsid w:val="00D7231B"/>
    <w:rsid w:val="00D723FE"/>
    <w:rsid w:val="00D72803"/>
    <w:rsid w:val="00D8038D"/>
    <w:rsid w:val="00D80999"/>
    <w:rsid w:val="00D80ED0"/>
    <w:rsid w:val="00D831CA"/>
    <w:rsid w:val="00D85897"/>
    <w:rsid w:val="00D8746E"/>
    <w:rsid w:val="00D90635"/>
    <w:rsid w:val="00D90977"/>
    <w:rsid w:val="00D94A69"/>
    <w:rsid w:val="00DA193E"/>
    <w:rsid w:val="00DA452C"/>
    <w:rsid w:val="00DA6460"/>
    <w:rsid w:val="00DA6852"/>
    <w:rsid w:val="00DA6C3D"/>
    <w:rsid w:val="00DB2C07"/>
    <w:rsid w:val="00DB3F3E"/>
    <w:rsid w:val="00DB45E3"/>
    <w:rsid w:val="00DB6535"/>
    <w:rsid w:val="00DB75DA"/>
    <w:rsid w:val="00DD1A52"/>
    <w:rsid w:val="00DD2345"/>
    <w:rsid w:val="00DD26A1"/>
    <w:rsid w:val="00DD2ED0"/>
    <w:rsid w:val="00DE1EE8"/>
    <w:rsid w:val="00DE448E"/>
    <w:rsid w:val="00DE4C23"/>
    <w:rsid w:val="00DF1D8A"/>
    <w:rsid w:val="00DF45CB"/>
    <w:rsid w:val="00DF480E"/>
    <w:rsid w:val="00E053C0"/>
    <w:rsid w:val="00E06B6F"/>
    <w:rsid w:val="00E1251B"/>
    <w:rsid w:val="00E13F4C"/>
    <w:rsid w:val="00E13FA8"/>
    <w:rsid w:val="00E140F3"/>
    <w:rsid w:val="00E1662D"/>
    <w:rsid w:val="00E22698"/>
    <w:rsid w:val="00E31F67"/>
    <w:rsid w:val="00E36365"/>
    <w:rsid w:val="00E41E66"/>
    <w:rsid w:val="00E42DB0"/>
    <w:rsid w:val="00E46645"/>
    <w:rsid w:val="00E46FCA"/>
    <w:rsid w:val="00E53634"/>
    <w:rsid w:val="00E55188"/>
    <w:rsid w:val="00E5748C"/>
    <w:rsid w:val="00E623F3"/>
    <w:rsid w:val="00E62797"/>
    <w:rsid w:val="00E655ED"/>
    <w:rsid w:val="00E66C7A"/>
    <w:rsid w:val="00E70494"/>
    <w:rsid w:val="00E8380E"/>
    <w:rsid w:val="00E8586F"/>
    <w:rsid w:val="00E93356"/>
    <w:rsid w:val="00E94FF9"/>
    <w:rsid w:val="00E95BE1"/>
    <w:rsid w:val="00EA1B46"/>
    <w:rsid w:val="00EA1BD4"/>
    <w:rsid w:val="00EA27A7"/>
    <w:rsid w:val="00EA6B8B"/>
    <w:rsid w:val="00EA762B"/>
    <w:rsid w:val="00EB131E"/>
    <w:rsid w:val="00EC1AFB"/>
    <w:rsid w:val="00EC1B39"/>
    <w:rsid w:val="00EC2D02"/>
    <w:rsid w:val="00EC64D8"/>
    <w:rsid w:val="00EC73AB"/>
    <w:rsid w:val="00EE130D"/>
    <w:rsid w:val="00EE367A"/>
    <w:rsid w:val="00EE4A5C"/>
    <w:rsid w:val="00EE4A81"/>
    <w:rsid w:val="00EE6084"/>
    <w:rsid w:val="00EF0A10"/>
    <w:rsid w:val="00EF0C6C"/>
    <w:rsid w:val="00EF1542"/>
    <w:rsid w:val="00EF2445"/>
    <w:rsid w:val="00EF2D03"/>
    <w:rsid w:val="00EF4006"/>
    <w:rsid w:val="00EF51A0"/>
    <w:rsid w:val="00EF7A60"/>
    <w:rsid w:val="00F019B9"/>
    <w:rsid w:val="00F01E48"/>
    <w:rsid w:val="00F0550F"/>
    <w:rsid w:val="00F05C6A"/>
    <w:rsid w:val="00F10FE9"/>
    <w:rsid w:val="00F111DC"/>
    <w:rsid w:val="00F14CF3"/>
    <w:rsid w:val="00F17FA2"/>
    <w:rsid w:val="00F23F36"/>
    <w:rsid w:val="00F2434B"/>
    <w:rsid w:val="00F279A6"/>
    <w:rsid w:val="00F33254"/>
    <w:rsid w:val="00F33CF3"/>
    <w:rsid w:val="00F33D34"/>
    <w:rsid w:val="00F3412D"/>
    <w:rsid w:val="00F375D2"/>
    <w:rsid w:val="00F44FEC"/>
    <w:rsid w:val="00F502DA"/>
    <w:rsid w:val="00F60F4C"/>
    <w:rsid w:val="00F62D15"/>
    <w:rsid w:val="00F65EC4"/>
    <w:rsid w:val="00F6768D"/>
    <w:rsid w:val="00F735BC"/>
    <w:rsid w:val="00F744F1"/>
    <w:rsid w:val="00F7497A"/>
    <w:rsid w:val="00F76FD0"/>
    <w:rsid w:val="00F854D5"/>
    <w:rsid w:val="00F87CE4"/>
    <w:rsid w:val="00F945B1"/>
    <w:rsid w:val="00FA50F6"/>
    <w:rsid w:val="00FA5C88"/>
    <w:rsid w:val="00FA5EF2"/>
    <w:rsid w:val="00FA6F6A"/>
    <w:rsid w:val="00FA6F76"/>
    <w:rsid w:val="00FA7279"/>
    <w:rsid w:val="00FA73F4"/>
    <w:rsid w:val="00FA7510"/>
    <w:rsid w:val="00FB057B"/>
    <w:rsid w:val="00FB2D7F"/>
    <w:rsid w:val="00FC00C7"/>
    <w:rsid w:val="00FC0A42"/>
    <w:rsid w:val="00FC1EB4"/>
    <w:rsid w:val="00FC6766"/>
    <w:rsid w:val="00FD24E9"/>
    <w:rsid w:val="00FD2CD6"/>
    <w:rsid w:val="00FD3406"/>
    <w:rsid w:val="00FD4D15"/>
    <w:rsid w:val="00FE20B4"/>
    <w:rsid w:val="00FF7E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B59CF"/>
  <w15:docId w15:val="{804D3A7B-3E66-4341-ADE6-1B06249D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pPr>
        <w:spacing w:before="120" w:line="360" w:lineRule="auto"/>
        <w:ind w:left="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C3DCA"/>
    <w:rPr>
      <w:rFonts w:ascii="Times New Roman" w:eastAsia="Times New Roman" w:hAnsi="Times New Roman"/>
      <w:sz w:val="22"/>
      <w:szCs w:val="22"/>
      <w:lang w:val="en-GB" w:eastAsia="en-US"/>
    </w:rPr>
  </w:style>
  <w:style w:type="paragraph" w:styleId="Heading1">
    <w:name w:val="heading 1"/>
    <w:basedOn w:val="Normal"/>
    <w:next w:val="Normal"/>
    <w:link w:val="Heading1Char"/>
    <w:uiPriority w:val="9"/>
    <w:qFormat/>
    <w:rsid w:val="003A0E85"/>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0A1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C82882"/>
    <w:pPr>
      <w:widowControl w:val="0"/>
      <w:autoSpaceDE w:val="0"/>
      <w:autoSpaceDN w:val="0"/>
      <w:spacing w:before="59" w:line="240" w:lineRule="auto"/>
      <w:ind w:left="697"/>
      <w:jc w:val="left"/>
      <w:outlineLvl w:val="2"/>
    </w:pPr>
    <w:rPr>
      <w:rFonts w:ascii="Calibri" w:eastAsia="Calibri" w:hAnsi="Calibri" w:cs="Calibri"/>
      <w:b/>
      <w:bCs/>
      <w:sz w:val="28"/>
      <w:szCs w:val="28"/>
      <w:lang w:val="tr-TR" w:eastAsia="tr-TR" w:bidi="tr-TR"/>
    </w:rPr>
  </w:style>
  <w:style w:type="paragraph" w:styleId="Heading4">
    <w:name w:val="heading 4"/>
    <w:basedOn w:val="Normal"/>
    <w:link w:val="Heading4Char"/>
    <w:uiPriority w:val="9"/>
    <w:unhideWhenUsed/>
    <w:qFormat/>
    <w:rsid w:val="00C82882"/>
    <w:pPr>
      <w:widowControl w:val="0"/>
      <w:autoSpaceDE w:val="0"/>
      <w:autoSpaceDN w:val="0"/>
      <w:spacing w:before="121" w:line="329" w:lineRule="exact"/>
      <w:ind w:left="667"/>
      <w:jc w:val="left"/>
      <w:outlineLvl w:val="3"/>
    </w:pPr>
    <w:rPr>
      <w:rFonts w:ascii="Tahoma" w:eastAsia="Tahoma" w:hAnsi="Tahoma" w:cs="Tahoma"/>
      <w:sz w:val="28"/>
      <w:szCs w:val="28"/>
      <w:lang w:val="tr-TR" w:eastAsia="tr-TR" w:bidi="tr-TR"/>
    </w:rPr>
  </w:style>
  <w:style w:type="paragraph" w:styleId="Heading5">
    <w:name w:val="heading 5"/>
    <w:basedOn w:val="Normal"/>
    <w:link w:val="Heading5Char"/>
    <w:uiPriority w:val="9"/>
    <w:unhideWhenUsed/>
    <w:qFormat/>
    <w:rsid w:val="00C82882"/>
    <w:pPr>
      <w:widowControl w:val="0"/>
      <w:autoSpaceDE w:val="0"/>
      <w:autoSpaceDN w:val="0"/>
      <w:spacing w:before="134" w:line="240" w:lineRule="auto"/>
      <w:ind w:left="668"/>
      <w:jc w:val="left"/>
      <w:outlineLvl w:val="4"/>
    </w:pPr>
    <w:rPr>
      <w:rFonts w:ascii="Calibri" w:eastAsia="Calibri" w:hAnsi="Calibri" w:cs="Calibri"/>
      <w:b/>
      <w:bCs/>
      <w:sz w:val="24"/>
      <w:szCs w:val="24"/>
      <w:lang w:val="tr-TR" w:eastAsia="tr-TR" w:bidi="tr-TR"/>
    </w:rPr>
  </w:style>
  <w:style w:type="paragraph" w:styleId="Heading6">
    <w:name w:val="heading 6"/>
    <w:basedOn w:val="Normal"/>
    <w:link w:val="Heading6Char"/>
    <w:uiPriority w:val="9"/>
    <w:unhideWhenUsed/>
    <w:qFormat/>
    <w:rsid w:val="00C82882"/>
    <w:pPr>
      <w:widowControl w:val="0"/>
      <w:autoSpaceDE w:val="0"/>
      <w:autoSpaceDN w:val="0"/>
      <w:spacing w:before="0" w:line="240" w:lineRule="auto"/>
      <w:ind w:left="2"/>
      <w:jc w:val="center"/>
      <w:outlineLvl w:val="5"/>
    </w:pPr>
    <w:rPr>
      <w:rFonts w:ascii="Calibri" w:eastAsia="Calibri" w:hAnsi="Calibri" w:cs="Calibri"/>
      <w:b/>
      <w:bCs/>
      <w:lang w:val="tr-TR" w:eastAsia="tr-TR" w:bidi="tr-TR"/>
    </w:rPr>
  </w:style>
  <w:style w:type="paragraph" w:styleId="Heading7">
    <w:name w:val="heading 7"/>
    <w:basedOn w:val="Normal"/>
    <w:link w:val="Heading7Char"/>
    <w:uiPriority w:val="1"/>
    <w:qFormat/>
    <w:rsid w:val="00C82882"/>
    <w:pPr>
      <w:widowControl w:val="0"/>
      <w:autoSpaceDE w:val="0"/>
      <w:autoSpaceDN w:val="0"/>
      <w:spacing w:before="0" w:line="240" w:lineRule="auto"/>
      <w:ind w:left="152"/>
      <w:jc w:val="left"/>
      <w:outlineLvl w:val="6"/>
    </w:pPr>
    <w:rPr>
      <w:rFonts w:ascii="Book Antiqua" w:eastAsia="Book Antiqua" w:hAnsi="Book Antiqua" w:cs="Book Antiqua"/>
      <w:i/>
      <w:lang w:val="tr-TR" w:eastAsia="tr-TR" w:bidi="tr-TR"/>
    </w:rPr>
  </w:style>
  <w:style w:type="paragraph" w:styleId="Heading8">
    <w:name w:val="heading 8"/>
    <w:basedOn w:val="Normal"/>
    <w:link w:val="Heading8Char"/>
    <w:uiPriority w:val="1"/>
    <w:qFormat/>
    <w:rsid w:val="00C82882"/>
    <w:pPr>
      <w:widowControl w:val="0"/>
      <w:autoSpaceDE w:val="0"/>
      <w:autoSpaceDN w:val="0"/>
      <w:spacing w:before="0" w:line="240" w:lineRule="auto"/>
      <w:ind w:left="443" w:right="-1253"/>
      <w:jc w:val="left"/>
      <w:outlineLvl w:val="7"/>
    </w:pPr>
    <w:rPr>
      <w:rFonts w:ascii="Trebuchet MS" w:eastAsia="Trebuchet MS" w:hAnsi="Trebuchet MS" w:cs="Trebuchet MS"/>
      <w:sz w:val="20"/>
      <w:szCs w:val="20"/>
      <w:lang w:val="tr-TR" w:eastAsia="tr-TR" w:bidi="tr-TR"/>
    </w:rPr>
  </w:style>
  <w:style w:type="paragraph" w:styleId="Heading9">
    <w:name w:val="heading 9"/>
    <w:basedOn w:val="Normal"/>
    <w:link w:val="Heading9Char"/>
    <w:uiPriority w:val="1"/>
    <w:qFormat/>
    <w:rsid w:val="00C82882"/>
    <w:pPr>
      <w:widowControl w:val="0"/>
      <w:autoSpaceDE w:val="0"/>
      <w:autoSpaceDN w:val="0"/>
      <w:spacing w:before="0" w:line="240" w:lineRule="auto"/>
      <w:ind w:left="1198"/>
      <w:jc w:val="left"/>
      <w:outlineLvl w:val="8"/>
    </w:pPr>
    <w:rPr>
      <w:rFonts w:ascii="Trebuchet MS" w:eastAsia="Trebuchet MS" w:hAnsi="Trebuchet MS" w:cs="Trebuchet MS"/>
      <w:b/>
      <w:bCs/>
      <w:sz w:val="18"/>
      <w:szCs w:val="18"/>
      <w:lang w:val="tr-TR" w:eastAsia="tr-TR" w:bidi="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8C3DCA"/>
    <w:pPr>
      <w:widowControl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8C3DCA"/>
    <w:rPr>
      <w:sz w:val="24"/>
      <w:szCs w:val="24"/>
    </w:rPr>
  </w:style>
  <w:style w:type="paragraph" w:customStyle="1" w:styleId="Balk11">
    <w:name w:val="Başlık 11"/>
    <w:basedOn w:val="Normal"/>
    <w:uiPriority w:val="1"/>
    <w:qFormat/>
    <w:rsid w:val="008C3DCA"/>
    <w:pPr>
      <w:spacing w:before="65"/>
      <w:ind w:left="2268" w:right="1697"/>
      <w:jc w:val="center"/>
      <w:outlineLvl w:val="1"/>
    </w:pPr>
    <w:rPr>
      <w:b/>
      <w:bCs/>
      <w:sz w:val="28"/>
      <w:szCs w:val="28"/>
    </w:rPr>
  </w:style>
  <w:style w:type="paragraph" w:customStyle="1" w:styleId="Balk21">
    <w:name w:val="Başlık 21"/>
    <w:basedOn w:val="Normal"/>
    <w:uiPriority w:val="1"/>
    <w:qFormat/>
    <w:rsid w:val="008C3DCA"/>
    <w:pPr>
      <w:spacing w:before="66"/>
      <w:ind w:left="1469"/>
      <w:jc w:val="center"/>
      <w:outlineLvl w:val="2"/>
    </w:pPr>
    <w:rPr>
      <w:b/>
      <w:bCs/>
      <w:sz w:val="26"/>
      <w:szCs w:val="26"/>
    </w:rPr>
  </w:style>
  <w:style w:type="paragraph" w:customStyle="1" w:styleId="Balk31">
    <w:name w:val="Başlık 31"/>
    <w:basedOn w:val="Normal"/>
    <w:uiPriority w:val="1"/>
    <w:qFormat/>
    <w:rsid w:val="008C3DCA"/>
    <w:pPr>
      <w:ind w:left="102"/>
      <w:outlineLvl w:val="3"/>
    </w:pPr>
    <w:rPr>
      <w:b/>
      <w:bCs/>
      <w:sz w:val="24"/>
      <w:szCs w:val="24"/>
    </w:rPr>
  </w:style>
  <w:style w:type="paragraph" w:styleId="ListParagraph">
    <w:name w:val="List Paragraph"/>
    <w:basedOn w:val="Normal"/>
    <w:uiPriority w:val="1"/>
    <w:qFormat/>
    <w:rsid w:val="008C3DCA"/>
    <w:pPr>
      <w:ind w:left="405" w:hanging="283"/>
    </w:pPr>
  </w:style>
  <w:style w:type="paragraph" w:customStyle="1" w:styleId="TableParagraph">
    <w:name w:val="Table Paragraph"/>
    <w:basedOn w:val="Normal"/>
    <w:uiPriority w:val="1"/>
    <w:qFormat/>
    <w:rsid w:val="008C3DCA"/>
  </w:style>
  <w:style w:type="paragraph" w:styleId="BalloonText">
    <w:name w:val="Balloon Text"/>
    <w:basedOn w:val="Normal"/>
    <w:link w:val="BalloonTextChar"/>
    <w:uiPriority w:val="99"/>
    <w:semiHidden/>
    <w:unhideWhenUsed/>
    <w:rsid w:val="00B559CD"/>
    <w:rPr>
      <w:rFonts w:ascii="Tahoma" w:hAnsi="Tahoma" w:cs="Tahoma"/>
      <w:sz w:val="16"/>
      <w:szCs w:val="16"/>
    </w:rPr>
  </w:style>
  <w:style w:type="character" w:customStyle="1" w:styleId="BalloonTextChar">
    <w:name w:val="Balloon Text Char"/>
    <w:link w:val="BalloonText"/>
    <w:uiPriority w:val="99"/>
    <w:semiHidden/>
    <w:rsid w:val="00B559C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BF3CA8"/>
    <w:rPr>
      <w:sz w:val="20"/>
      <w:szCs w:val="20"/>
    </w:rPr>
  </w:style>
  <w:style w:type="character" w:customStyle="1" w:styleId="FootnoteTextChar">
    <w:name w:val="Footnote Text Char"/>
    <w:link w:val="FootnoteText"/>
    <w:uiPriority w:val="99"/>
    <w:semiHidden/>
    <w:rsid w:val="00BF3CA8"/>
    <w:rPr>
      <w:rFonts w:ascii="Times New Roman" w:eastAsia="Times New Roman" w:hAnsi="Times New Roman" w:cs="Times New Roman"/>
      <w:sz w:val="20"/>
      <w:szCs w:val="20"/>
    </w:rPr>
  </w:style>
  <w:style w:type="character" w:styleId="FootnoteReference">
    <w:name w:val="footnote reference"/>
    <w:uiPriority w:val="99"/>
    <w:semiHidden/>
    <w:unhideWhenUsed/>
    <w:rsid w:val="00BF3CA8"/>
    <w:rPr>
      <w:vertAlign w:val="superscript"/>
    </w:rPr>
  </w:style>
  <w:style w:type="character" w:customStyle="1" w:styleId="Heading1Char">
    <w:name w:val="Heading 1 Char"/>
    <w:basedOn w:val="DefaultParagraphFont"/>
    <w:link w:val="Heading1"/>
    <w:uiPriority w:val="9"/>
    <w:rsid w:val="003A0E85"/>
    <w:rPr>
      <w:rFonts w:asciiTheme="majorHAnsi" w:eastAsiaTheme="majorEastAsia" w:hAnsiTheme="majorHAnsi" w:cstheme="majorBidi"/>
      <w:color w:val="2E74B5" w:themeColor="accent1" w:themeShade="BF"/>
      <w:sz w:val="32"/>
      <w:szCs w:val="32"/>
      <w:lang w:val="en-US" w:eastAsia="en-US"/>
    </w:rPr>
  </w:style>
  <w:style w:type="paragraph" w:styleId="Bibliography">
    <w:name w:val="Bibliography"/>
    <w:basedOn w:val="Normal"/>
    <w:next w:val="Normal"/>
    <w:uiPriority w:val="37"/>
    <w:unhideWhenUsed/>
    <w:rsid w:val="003A0E85"/>
  </w:style>
  <w:style w:type="character" w:customStyle="1" w:styleId="BodyTextChar">
    <w:name w:val="Body Text Char"/>
    <w:basedOn w:val="DefaultParagraphFont"/>
    <w:link w:val="BodyText"/>
    <w:uiPriority w:val="1"/>
    <w:rsid w:val="00936AB3"/>
    <w:rPr>
      <w:rFonts w:ascii="Times New Roman" w:eastAsia="Times New Roman" w:hAnsi="Times New Roman"/>
      <w:sz w:val="24"/>
      <w:szCs w:val="24"/>
      <w:lang w:val="en-US" w:eastAsia="en-US"/>
    </w:rPr>
  </w:style>
  <w:style w:type="numbering" w:customStyle="1" w:styleId="Style1">
    <w:name w:val="Style1"/>
    <w:uiPriority w:val="99"/>
    <w:rsid w:val="00936AB3"/>
    <w:pPr>
      <w:numPr>
        <w:numId w:val="1"/>
      </w:numPr>
    </w:pPr>
  </w:style>
  <w:style w:type="character" w:styleId="CommentReference">
    <w:name w:val="annotation reference"/>
    <w:basedOn w:val="DefaultParagraphFont"/>
    <w:uiPriority w:val="99"/>
    <w:semiHidden/>
    <w:unhideWhenUsed/>
    <w:rsid w:val="002930CC"/>
    <w:rPr>
      <w:sz w:val="16"/>
      <w:szCs w:val="16"/>
    </w:rPr>
  </w:style>
  <w:style w:type="paragraph" w:styleId="CommentText">
    <w:name w:val="annotation text"/>
    <w:basedOn w:val="Normal"/>
    <w:link w:val="CommentTextChar"/>
    <w:uiPriority w:val="99"/>
    <w:semiHidden/>
    <w:unhideWhenUsed/>
    <w:rsid w:val="002930CC"/>
    <w:rPr>
      <w:sz w:val="20"/>
      <w:szCs w:val="20"/>
    </w:rPr>
  </w:style>
  <w:style w:type="character" w:customStyle="1" w:styleId="CommentTextChar">
    <w:name w:val="Comment Text Char"/>
    <w:basedOn w:val="DefaultParagraphFont"/>
    <w:link w:val="CommentText"/>
    <w:uiPriority w:val="99"/>
    <w:semiHidden/>
    <w:rsid w:val="002930CC"/>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2930CC"/>
    <w:rPr>
      <w:b/>
      <w:bCs/>
    </w:rPr>
  </w:style>
  <w:style w:type="character" w:customStyle="1" w:styleId="CommentSubjectChar">
    <w:name w:val="Comment Subject Char"/>
    <w:basedOn w:val="CommentTextChar"/>
    <w:link w:val="CommentSubject"/>
    <w:uiPriority w:val="99"/>
    <w:semiHidden/>
    <w:rsid w:val="002930CC"/>
    <w:rPr>
      <w:rFonts w:ascii="Times New Roman" w:eastAsia="Times New Roman" w:hAnsi="Times New Roman"/>
      <w:b/>
      <w:bCs/>
      <w:lang w:val="en-US" w:eastAsia="en-US"/>
    </w:rPr>
  </w:style>
  <w:style w:type="paragraph" w:styleId="Header">
    <w:name w:val="header"/>
    <w:basedOn w:val="Normal"/>
    <w:link w:val="HeaderChar"/>
    <w:uiPriority w:val="99"/>
    <w:unhideWhenUsed/>
    <w:rsid w:val="001A6D4E"/>
    <w:pPr>
      <w:tabs>
        <w:tab w:val="center" w:pos="4513"/>
        <w:tab w:val="right" w:pos="9026"/>
      </w:tabs>
    </w:pPr>
  </w:style>
  <w:style w:type="character" w:customStyle="1" w:styleId="HeaderChar">
    <w:name w:val="Header Char"/>
    <w:basedOn w:val="DefaultParagraphFont"/>
    <w:link w:val="Header"/>
    <w:uiPriority w:val="99"/>
    <w:rsid w:val="001A6D4E"/>
    <w:rPr>
      <w:rFonts w:ascii="Times New Roman" w:eastAsia="Times New Roman" w:hAnsi="Times New Roman"/>
      <w:sz w:val="22"/>
      <w:szCs w:val="22"/>
      <w:lang w:val="en-US" w:eastAsia="en-US"/>
    </w:rPr>
  </w:style>
  <w:style w:type="paragraph" w:styleId="Footer">
    <w:name w:val="footer"/>
    <w:basedOn w:val="Normal"/>
    <w:link w:val="FooterChar"/>
    <w:uiPriority w:val="99"/>
    <w:unhideWhenUsed/>
    <w:rsid w:val="001A6D4E"/>
    <w:pPr>
      <w:tabs>
        <w:tab w:val="center" w:pos="4513"/>
        <w:tab w:val="right" w:pos="9026"/>
      </w:tabs>
    </w:pPr>
  </w:style>
  <w:style w:type="character" w:customStyle="1" w:styleId="FooterChar">
    <w:name w:val="Footer Char"/>
    <w:basedOn w:val="DefaultParagraphFont"/>
    <w:link w:val="Footer"/>
    <w:uiPriority w:val="99"/>
    <w:rsid w:val="001A6D4E"/>
    <w:rPr>
      <w:rFonts w:ascii="Times New Roman" w:eastAsia="Times New Roman" w:hAnsi="Times New Roman"/>
      <w:sz w:val="22"/>
      <w:szCs w:val="22"/>
      <w:lang w:val="en-US" w:eastAsia="en-US"/>
    </w:rPr>
  </w:style>
  <w:style w:type="character" w:styleId="Hyperlink">
    <w:name w:val="Hyperlink"/>
    <w:basedOn w:val="DefaultParagraphFont"/>
    <w:uiPriority w:val="99"/>
    <w:unhideWhenUsed/>
    <w:rsid w:val="00DB2C07"/>
    <w:rPr>
      <w:color w:val="0563C1" w:themeColor="hyperlink"/>
      <w:u w:val="single"/>
    </w:rPr>
  </w:style>
  <w:style w:type="character" w:styleId="UnresolvedMention">
    <w:name w:val="Unresolved Mention"/>
    <w:basedOn w:val="DefaultParagraphFont"/>
    <w:uiPriority w:val="99"/>
    <w:semiHidden/>
    <w:unhideWhenUsed/>
    <w:rsid w:val="00DB2C07"/>
    <w:rPr>
      <w:color w:val="605E5C"/>
      <w:shd w:val="clear" w:color="auto" w:fill="E1DFDD"/>
    </w:rPr>
  </w:style>
  <w:style w:type="paragraph" w:customStyle="1" w:styleId="Default">
    <w:name w:val="Default"/>
    <w:rsid w:val="00980A6A"/>
    <w:pPr>
      <w:autoSpaceDE w:val="0"/>
      <w:autoSpaceDN w:val="0"/>
      <w:adjustRightInd w:val="0"/>
      <w:spacing w:before="0" w:line="240" w:lineRule="auto"/>
      <w:ind w:left="0"/>
      <w:jc w:val="left"/>
    </w:pPr>
    <w:rPr>
      <w:rFonts w:ascii="Times New Roman" w:hAnsi="Times New Roman"/>
      <w:color w:val="000000"/>
      <w:sz w:val="24"/>
      <w:szCs w:val="24"/>
    </w:rPr>
  </w:style>
  <w:style w:type="paragraph" w:styleId="TOCHeading">
    <w:name w:val="TOC Heading"/>
    <w:basedOn w:val="Heading1"/>
    <w:next w:val="Normal"/>
    <w:uiPriority w:val="39"/>
    <w:unhideWhenUsed/>
    <w:qFormat/>
    <w:rsid w:val="003B5EDB"/>
    <w:pPr>
      <w:ind w:left="0"/>
      <w:jc w:val="left"/>
      <w:outlineLvl w:val="9"/>
    </w:pPr>
  </w:style>
  <w:style w:type="paragraph" w:styleId="TOC2">
    <w:name w:val="toc 2"/>
    <w:basedOn w:val="Normal"/>
    <w:next w:val="Normal"/>
    <w:autoRedefine/>
    <w:uiPriority w:val="39"/>
    <w:unhideWhenUsed/>
    <w:rsid w:val="003B5EDB"/>
    <w:pPr>
      <w:spacing w:after="100"/>
      <w:ind w:left="220"/>
    </w:pPr>
  </w:style>
  <w:style w:type="character" w:customStyle="1" w:styleId="Heading2Char">
    <w:name w:val="Heading 2 Char"/>
    <w:basedOn w:val="DefaultParagraphFont"/>
    <w:link w:val="Heading2"/>
    <w:uiPriority w:val="9"/>
    <w:rsid w:val="00EF0A10"/>
    <w:rPr>
      <w:rFonts w:asciiTheme="majorHAnsi" w:eastAsiaTheme="majorEastAsia" w:hAnsiTheme="majorHAnsi" w:cstheme="majorBidi"/>
      <w:color w:val="2E74B5" w:themeColor="accent1" w:themeShade="BF"/>
      <w:sz w:val="26"/>
      <w:szCs w:val="26"/>
      <w:lang w:val="en-US" w:eastAsia="en-US"/>
    </w:rPr>
  </w:style>
  <w:style w:type="table" w:styleId="TableGrid">
    <w:name w:val="Table Grid"/>
    <w:basedOn w:val="TableNormal"/>
    <w:uiPriority w:val="59"/>
    <w:rsid w:val="00FA5C8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2882"/>
    <w:rPr>
      <w:rFonts w:cs="Calibri"/>
      <w:b/>
      <w:bCs/>
      <w:sz w:val="28"/>
      <w:szCs w:val="28"/>
      <w:lang w:bidi="tr-TR"/>
    </w:rPr>
  </w:style>
  <w:style w:type="character" w:customStyle="1" w:styleId="Heading4Char">
    <w:name w:val="Heading 4 Char"/>
    <w:basedOn w:val="DefaultParagraphFont"/>
    <w:link w:val="Heading4"/>
    <w:uiPriority w:val="9"/>
    <w:rsid w:val="00C82882"/>
    <w:rPr>
      <w:rFonts w:ascii="Tahoma" w:eastAsia="Tahoma" w:hAnsi="Tahoma" w:cs="Tahoma"/>
      <w:sz w:val="28"/>
      <w:szCs w:val="28"/>
      <w:lang w:bidi="tr-TR"/>
    </w:rPr>
  </w:style>
  <w:style w:type="character" w:customStyle="1" w:styleId="Heading5Char">
    <w:name w:val="Heading 5 Char"/>
    <w:basedOn w:val="DefaultParagraphFont"/>
    <w:link w:val="Heading5"/>
    <w:uiPriority w:val="9"/>
    <w:rsid w:val="00C82882"/>
    <w:rPr>
      <w:rFonts w:cs="Calibri"/>
      <w:b/>
      <w:bCs/>
      <w:sz w:val="24"/>
      <w:szCs w:val="24"/>
      <w:lang w:bidi="tr-TR"/>
    </w:rPr>
  </w:style>
  <w:style w:type="character" w:customStyle="1" w:styleId="Heading6Char">
    <w:name w:val="Heading 6 Char"/>
    <w:basedOn w:val="DefaultParagraphFont"/>
    <w:link w:val="Heading6"/>
    <w:uiPriority w:val="9"/>
    <w:rsid w:val="00C82882"/>
    <w:rPr>
      <w:rFonts w:cs="Calibri"/>
      <w:b/>
      <w:bCs/>
      <w:sz w:val="22"/>
      <w:szCs w:val="22"/>
      <w:lang w:bidi="tr-TR"/>
    </w:rPr>
  </w:style>
  <w:style w:type="character" w:customStyle="1" w:styleId="Heading7Char">
    <w:name w:val="Heading 7 Char"/>
    <w:basedOn w:val="DefaultParagraphFont"/>
    <w:link w:val="Heading7"/>
    <w:uiPriority w:val="1"/>
    <w:rsid w:val="00C82882"/>
    <w:rPr>
      <w:rFonts w:ascii="Book Antiqua" w:eastAsia="Book Antiqua" w:hAnsi="Book Antiqua" w:cs="Book Antiqua"/>
      <w:i/>
      <w:sz w:val="22"/>
      <w:szCs w:val="22"/>
      <w:lang w:bidi="tr-TR"/>
    </w:rPr>
  </w:style>
  <w:style w:type="character" w:customStyle="1" w:styleId="Heading8Char">
    <w:name w:val="Heading 8 Char"/>
    <w:basedOn w:val="DefaultParagraphFont"/>
    <w:link w:val="Heading8"/>
    <w:uiPriority w:val="1"/>
    <w:rsid w:val="00C82882"/>
    <w:rPr>
      <w:rFonts w:ascii="Trebuchet MS" w:eastAsia="Trebuchet MS" w:hAnsi="Trebuchet MS" w:cs="Trebuchet MS"/>
      <w:lang w:bidi="tr-TR"/>
    </w:rPr>
  </w:style>
  <w:style w:type="character" w:customStyle="1" w:styleId="Heading9Char">
    <w:name w:val="Heading 9 Char"/>
    <w:basedOn w:val="DefaultParagraphFont"/>
    <w:link w:val="Heading9"/>
    <w:uiPriority w:val="1"/>
    <w:rsid w:val="00C82882"/>
    <w:rPr>
      <w:rFonts w:ascii="Trebuchet MS" w:eastAsia="Trebuchet MS" w:hAnsi="Trebuchet MS" w:cs="Trebuchet MS"/>
      <w:b/>
      <w:bCs/>
      <w:sz w:val="18"/>
      <w:szCs w:val="18"/>
      <w:lang w:bidi="tr-TR"/>
    </w:rPr>
  </w:style>
  <w:style w:type="character" w:styleId="Strong">
    <w:name w:val="Strong"/>
    <w:basedOn w:val="DefaultParagraphFont"/>
    <w:uiPriority w:val="22"/>
    <w:qFormat/>
    <w:rsid w:val="00C82882"/>
    <w:rPr>
      <w:b/>
      <w:bCs/>
    </w:rPr>
  </w:style>
  <w:style w:type="paragraph" w:customStyle="1" w:styleId="KapakBalk2">
    <w:name w:val="Kapak_Başlık 2"/>
    <w:basedOn w:val="Normal"/>
    <w:link w:val="KapakBalk2Char"/>
    <w:autoRedefine/>
    <w:qFormat/>
    <w:rsid w:val="00C049C9"/>
    <w:pPr>
      <w:spacing w:before="0" w:line="240" w:lineRule="auto"/>
      <w:ind w:left="0"/>
      <w:jc w:val="center"/>
    </w:pPr>
    <w:rPr>
      <w:rFonts w:eastAsiaTheme="minorHAnsi"/>
      <w:b/>
      <w:caps/>
      <w:sz w:val="24"/>
      <w:szCs w:val="24"/>
      <w:lang w:bidi="tr-TR"/>
    </w:rPr>
  </w:style>
  <w:style w:type="character" w:customStyle="1" w:styleId="KapakBalk2Char">
    <w:name w:val="Kapak_Başlık 2 Char"/>
    <w:basedOn w:val="BodyTextChar"/>
    <w:link w:val="KapakBalk2"/>
    <w:rsid w:val="00C049C9"/>
    <w:rPr>
      <w:rFonts w:ascii="Times New Roman" w:eastAsiaTheme="minorHAnsi" w:hAnsi="Times New Roman"/>
      <w:b/>
      <w:caps/>
      <w:sz w:val="24"/>
      <w:szCs w:val="24"/>
      <w:lang w:val="en-US" w:eastAsia="en-US" w:bidi="tr-TR"/>
    </w:rPr>
  </w:style>
  <w:style w:type="paragraph" w:customStyle="1" w:styleId="zet">
    <w:name w:val="Özet"/>
    <w:basedOn w:val="NoSpacing"/>
    <w:link w:val="zetChar"/>
    <w:qFormat/>
    <w:rsid w:val="00C049C9"/>
    <w:pPr>
      <w:spacing w:after="120" w:line="259" w:lineRule="auto"/>
      <w:ind w:left="0"/>
      <w:jc w:val="center"/>
    </w:pPr>
    <w:rPr>
      <w:rFonts w:eastAsiaTheme="minorHAnsi"/>
      <w:b/>
      <w:noProof/>
      <w:sz w:val="24"/>
      <w:szCs w:val="24"/>
      <w:lang w:val="tr-TR"/>
    </w:rPr>
  </w:style>
  <w:style w:type="character" w:customStyle="1" w:styleId="zetChar">
    <w:name w:val="Özet Char"/>
    <w:basedOn w:val="DefaultParagraphFont"/>
    <w:link w:val="zet"/>
    <w:rsid w:val="00C049C9"/>
    <w:rPr>
      <w:rFonts w:ascii="Times New Roman" w:eastAsiaTheme="minorHAnsi" w:hAnsi="Times New Roman"/>
      <w:b/>
      <w:noProof/>
      <w:sz w:val="24"/>
      <w:szCs w:val="24"/>
      <w:lang w:eastAsia="en-US"/>
    </w:rPr>
  </w:style>
  <w:style w:type="paragraph" w:customStyle="1" w:styleId="DanmanAd">
    <w:name w:val="DanışmanAdı"/>
    <w:basedOn w:val="zet"/>
    <w:link w:val="DanmanAdChar"/>
    <w:qFormat/>
    <w:rsid w:val="00C049C9"/>
  </w:style>
  <w:style w:type="character" w:customStyle="1" w:styleId="DanmanAdChar">
    <w:name w:val="DanışmanAdı Char"/>
    <w:basedOn w:val="zetChar"/>
    <w:link w:val="DanmanAd"/>
    <w:rsid w:val="00C049C9"/>
    <w:rPr>
      <w:rFonts w:ascii="Times New Roman" w:eastAsiaTheme="minorHAnsi" w:hAnsi="Times New Roman"/>
      <w:b/>
      <w:noProof/>
      <w:sz w:val="24"/>
      <w:szCs w:val="24"/>
      <w:lang w:eastAsia="en-US"/>
    </w:rPr>
  </w:style>
  <w:style w:type="paragraph" w:styleId="NoSpacing">
    <w:name w:val="No Spacing"/>
    <w:uiPriority w:val="1"/>
    <w:qFormat/>
    <w:rsid w:val="00C049C9"/>
    <w:pPr>
      <w:spacing w:before="0" w:line="240" w:lineRule="auto"/>
    </w:pPr>
    <w:rPr>
      <w:rFonts w:ascii="Times New Roman" w:eastAsia="Times New Roman" w:hAnsi="Times New Roman"/>
      <w:sz w:val="22"/>
      <w:szCs w:val="22"/>
      <w:lang w:val="en-US" w:eastAsia="en-US"/>
    </w:rPr>
  </w:style>
  <w:style w:type="character" w:styleId="PlaceholderText">
    <w:name w:val="Placeholder Text"/>
    <w:basedOn w:val="DefaultParagraphFont"/>
    <w:uiPriority w:val="99"/>
    <w:semiHidden/>
    <w:rsid w:val="006D0282"/>
    <w:rPr>
      <w:color w:val="808080"/>
    </w:rPr>
  </w:style>
  <w:style w:type="paragraph" w:styleId="NormalWeb">
    <w:name w:val="Normal (Web)"/>
    <w:basedOn w:val="Normal"/>
    <w:uiPriority w:val="99"/>
    <w:semiHidden/>
    <w:unhideWhenUsed/>
    <w:rsid w:val="00A53A43"/>
    <w:pPr>
      <w:spacing w:before="100" w:beforeAutospacing="1" w:after="100" w:afterAutospacing="1" w:line="240" w:lineRule="auto"/>
      <w:ind w:left="0"/>
      <w:jc w:val="left"/>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020">
      <w:bodyDiv w:val="1"/>
      <w:marLeft w:val="0"/>
      <w:marRight w:val="0"/>
      <w:marTop w:val="0"/>
      <w:marBottom w:val="0"/>
      <w:divBdr>
        <w:top w:val="none" w:sz="0" w:space="0" w:color="auto"/>
        <w:left w:val="none" w:sz="0" w:space="0" w:color="auto"/>
        <w:bottom w:val="none" w:sz="0" w:space="0" w:color="auto"/>
        <w:right w:val="none" w:sz="0" w:space="0" w:color="auto"/>
      </w:divBdr>
    </w:div>
    <w:div w:id="58552415">
      <w:bodyDiv w:val="1"/>
      <w:marLeft w:val="0"/>
      <w:marRight w:val="0"/>
      <w:marTop w:val="0"/>
      <w:marBottom w:val="0"/>
      <w:divBdr>
        <w:top w:val="none" w:sz="0" w:space="0" w:color="auto"/>
        <w:left w:val="none" w:sz="0" w:space="0" w:color="auto"/>
        <w:bottom w:val="none" w:sz="0" w:space="0" w:color="auto"/>
        <w:right w:val="none" w:sz="0" w:space="0" w:color="auto"/>
      </w:divBdr>
    </w:div>
    <w:div w:id="78868848">
      <w:bodyDiv w:val="1"/>
      <w:marLeft w:val="0"/>
      <w:marRight w:val="0"/>
      <w:marTop w:val="0"/>
      <w:marBottom w:val="0"/>
      <w:divBdr>
        <w:top w:val="none" w:sz="0" w:space="0" w:color="auto"/>
        <w:left w:val="none" w:sz="0" w:space="0" w:color="auto"/>
        <w:bottom w:val="none" w:sz="0" w:space="0" w:color="auto"/>
        <w:right w:val="none" w:sz="0" w:space="0" w:color="auto"/>
      </w:divBdr>
    </w:div>
    <w:div w:id="111899254">
      <w:bodyDiv w:val="1"/>
      <w:marLeft w:val="0"/>
      <w:marRight w:val="0"/>
      <w:marTop w:val="0"/>
      <w:marBottom w:val="0"/>
      <w:divBdr>
        <w:top w:val="none" w:sz="0" w:space="0" w:color="auto"/>
        <w:left w:val="none" w:sz="0" w:space="0" w:color="auto"/>
        <w:bottom w:val="none" w:sz="0" w:space="0" w:color="auto"/>
        <w:right w:val="none" w:sz="0" w:space="0" w:color="auto"/>
      </w:divBdr>
    </w:div>
    <w:div w:id="121272098">
      <w:bodyDiv w:val="1"/>
      <w:marLeft w:val="0"/>
      <w:marRight w:val="0"/>
      <w:marTop w:val="0"/>
      <w:marBottom w:val="0"/>
      <w:divBdr>
        <w:top w:val="none" w:sz="0" w:space="0" w:color="auto"/>
        <w:left w:val="none" w:sz="0" w:space="0" w:color="auto"/>
        <w:bottom w:val="none" w:sz="0" w:space="0" w:color="auto"/>
        <w:right w:val="none" w:sz="0" w:space="0" w:color="auto"/>
      </w:divBdr>
    </w:div>
    <w:div w:id="174610660">
      <w:bodyDiv w:val="1"/>
      <w:marLeft w:val="0"/>
      <w:marRight w:val="0"/>
      <w:marTop w:val="0"/>
      <w:marBottom w:val="0"/>
      <w:divBdr>
        <w:top w:val="none" w:sz="0" w:space="0" w:color="auto"/>
        <w:left w:val="none" w:sz="0" w:space="0" w:color="auto"/>
        <w:bottom w:val="none" w:sz="0" w:space="0" w:color="auto"/>
        <w:right w:val="none" w:sz="0" w:space="0" w:color="auto"/>
      </w:divBdr>
    </w:div>
    <w:div w:id="231545274">
      <w:bodyDiv w:val="1"/>
      <w:marLeft w:val="0"/>
      <w:marRight w:val="0"/>
      <w:marTop w:val="0"/>
      <w:marBottom w:val="0"/>
      <w:divBdr>
        <w:top w:val="none" w:sz="0" w:space="0" w:color="auto"/>
        <w:left w:val="none" w:sz="0" w:space="0" w:color="auto"/>
        <w:bottom w:val="none" w:sz="0" w:space="0" w:color="auto"/>
        <w:right w:val="none" w:sz="0" w:space="0" w:color="auto"/>
      </w:divBdr>
    </w:div>
    <w:div w:id="233930421">
      <w:bodyDiv w:val="1"/>
      <w:marLeft w:val="0"/>
      <w:marRight w:val="0"/>
      <w:marTop w:val="0"/>
      <w:marBottom w:val="0"/>
      <w:divBdr>
        <w:top w:val="none" w:sz="0" w:space="0" w:color="auto"/>
        <w:left w:val="none" w:sz="0" w:space="0" w:color="auto"/>
        <w:bottom w:val="none" w:sz="0" w:space="0" w:color="auto"/>
        <w:right w:val="none" w:sz="0" w:space="0" w:color="auto"/>
      </w:divBdr>
    </w:div>
    <w:div w:id="281960461">
      <w:bodyDiv w:val="1"/>
      <w:marLeft w:val="0"/>
      <w:marRight w:val="0"/>
      <w:marTop w:val="0"/>
      <w:marBottom w:val="0"/>
      <w:divBdr>
        <w:top w:val="none" w:sz="0" w:space="0" w:color="auto"/>
        <w:left w:val="none" w:sz="0" w:space="0" w:color="auto"/>
        <w:bottom w:val="none" w:sz="0" w:space="0" w:color="auto"/>
        <w:right w:val="none" w:sz="0" w:space="0" w:color="auto"/>
      </w:divBdr>
    </w:div>
    <w:div w:id="356279701">
      <w:bodyDiv w:val="1"/>
      <w:marLeft w:val="0"/>
      <w:marRight w:val="0"/>
      <w:marTop w:val="0"/>
      <w:marBottom w:val="0"/>
      <w:divBdr>
        <w:top w:val="none" w:sz="0" w:space="0" w:color="auto"/>
        <w:left w:val="none" w:sz="0" w:space="0" w:color="auto"/>
        <w:bottom w:val="none" w:sz="0" w:space="0" w:color="auto"/>
        <w:right w:val="none" w:sz="0" w:space="0" w:color="auto"/>
      </w:divBdr>
    </w:div>
    <w:div w:id="373771847">
      <w:bodyDiv w:val="1"/>
      <w:marLeft w:val="0"/>
      <w:marRight w:val="0"/>
      <w:marTop w:val="0"/>
      <w:marBottom w:val="0"/>
      <w:divBdr>
        <w:top w:val="none" w:sz="0" w:space="0" w:color="auto"/>
        <w:left w:val="none" w:sz="0" w:space="0" w:color="auto"/>
        <w:bottom w:val="none" w:sz="0" w:space="0" w:color="auto"/>
        <w:right w:val="none" w:sz="0" w:space="0" w:color="auto"/>
      </w:divBdr>
    </w:div>
    <w:div w:id="391581934">
      <w:bodyDiv w:val="1"/>
      <w:marLeft w:val="0"/>
      <w:marRight w:val="0"/>
      <w:marTop w:val="0"/>
      <w:marBottom w:val="0"/>
      <w:divBdr>
        <w:top w:val="none" w:sz="0" w:space="0" w:color="auto"/>
        <w:left w:val="none" w:sz="0" w:space="0" w:color="auto"/>
        <w:bottom w:val="none" w:sz="0" w:space="0" w:color="auto"/>
        <w:right w:val="none" w:sz="0" w:space="0" w:color="auto"/>
      </w:divBdr>
    </w:div>
    <w:div w:id="391927090">
      <w:bodyDiv w:val="1"/>
      <w:marLeft w:val="0"/>
      <w:marRight w:val="0"/>
      <w:marTop w:val="0"/>
      <w:marBottom w:val="0"/>
      <w:divBdr>
        <w:top w:val="none" w:sz="0" w:space="0" w:color="auto"/>
        <w:left w:val="none" w:sz="0" w:space="0" w:color="auto"/>
        <w:bottom w:val="none" w:sz="0" w:space="0" w:color="auto"/>
        <w:right w:val="none" w:sz="0" w:space="0" w:color="auto"/>
      </w:divBdr>
    </w:div>
    <w:div w:id="395127247">
      <w:bodyDiv w:val="1"/>
      <w:marLeft w:val="0"/>
      <w:marRight w:val="0"/>
      <w:marTop w:val="0"/>
      <w:marBottom w:val="0"/>
      <w:divBdr>
        <w:top w:val="none" w:sz="0" w:space="0" w:color="auto"/>
        <w:left w:val="none" w:sz="0" w:space="0" w:color="auto"/>
        <w:bottom w:val="none" w:sz="0" w:space="0" w:color="auto"/>
        <w:right w:val="none" w:sz="0" w:space="0" w:color="auto"/>
      </w:divBdr>
    </w:div>
    <w:div w:id="414864178">
      <w:bodyDiv w:val="1"/>
      <w:marLeft w:val="0"/>
      <w:marRight w:val="0"/>
      <w:marTop w:val="0"/>
      <w:marBottom w:val="0"/>
      <w:divBdr>
        <w:top w:val="none" w:sz="0" w:space="0" w:color="auto"/>
        <w:left w:val="none" w:sz="0" w:space="0" w:color="auto"/>
        <w:bottom w:val="none" w:sz="0" w:space="0" w:color="auto"/>
        <w:right w:val="none" w:sz="0" w:space="0" w:color="auto"/>
      </w:divBdr>
    </w:div>
    <w:div w:id="417869459">
      <w:bodyDiv w:val="1"/>
      <w:marLeft w:val="0"/>
      <w:marRight w:val="0"/>
      <w:marTop w:val="0"/>
      <w:marBottom w:val="0"/>
      <w:divBdr>
        <w:top w:val="none" w:sz="0" w:space="0" w:color="auto"/>
        <w:left w:val="none" w:sz="0" w:space="0" w:color="auto"/>
        <w:bottom w:val="none" w:sz="0" w:space="0" w:color="auto"/>
        <w:right w:val="none" w:sz="0" w:space="0" w:color="auto"/>
      </w:divBdr>
    </w:div>
    <w:div w:id="451440931">
      <w:bodyDiv w:val="1"/>
      <w:marLeft w:val="0"/>
      <w:marRight w:val="0"/>
      <w:marTop w:val="0"/>
      <w:marBottom w:val="0"/>
      <w:divBdr>
        <w:top w:val="none" w:sz="0" w:space="0" w:color="auto"/>
        <w:left w:val="none" w:sz="0" w:space="0" w:color="auto"/>
        <w:bottom w:val="none" w:sz="0" w:space="0" w:color="auto"/>
        <w:right w:val="none" w:sz="0" w:space="0" w:color="auto"/>
      </w:divBdr>
    </w:div>
    <w:div w:id="458690276">
      <w:bodyDiv w:val="1"/>
      <w:marLeft w:val="0"/>
      <w:marRight w:val="0"/>
      <w:marTop w:val="0"/>
      <w:marBottom w:val="0"/>
      <w:divBdr>
        <w:top w:val="none" w:sz="0" w:space="0" w:color="auto"/>
        <w:left w:val="none" w:sz="0" w:space="0" w:color="auto"/>
        <w:bottom w:val="none" w:sz="0" w:space="0" w:color="auto"/>
        <w:right w:val="none" w:sz="0" w:space="0" w:color="auto"/>
      </w:divBdr>
    </w:div>
    <w:div w:id="464666875">
      <w:bodyDiv w:val="1"/>
      <w:marLeft w:val="0"/>
      <w:marRight w:val="0"/>
      <w:marTop w:val="0"/>
      <w:marBottom w:val="0"/>
      <w:divBdr>
        <w:top w:val="none" w:sz="0" w:space="0" w:color="auto"/>
        <w:left w:val="none" w:sz="0" w:space="0" w:color="auto"/>
        <w:bottom w:val="none" w:sz="0" w:space="0" w:color="auto"/>
        <w:right w:val="none" w:sz="0" w:space="0" w:color="auto"/>
      </w:divBdr>
    </w:div>
    <w:div w:id="475805707">
      <w:bodyDiv w:val="1"/>
      <w:marLeft w:val="0"/>
      <w:marRight w:val="0"/>
      <w:marTop w:val="0"/>
      <w:marBottom w:val="0"/>
      <w:divBdr>
        <w:top w:val="none" w:sz="0" w:space="0" w:color="auto"/>
        <w:left w:val="none" w:sz="0" w:space="0" w:color="auto"/>
        <w:bottom w:val="none" w:sz="0" w:space="0" w:color="auto"/>
        <w:right w:val="none" w:sz="0" w:space="0" w:color="auto"/>
      </w:divBdr>
    </w:div>
    <w:div w:id="482895004">
      <w:bodyDiv w:val="1"/>
      <w:marLeft w:val="0"/>
      <w:marRight w:val="0"/>
      <w:marTop w:val="0"/>
      <w:marBottom w:val="0"/>
      <w:divBdr>
        <w:top w:val="none" w:sz="0" w:space="0" w:color="auto"/>
        <w:left w:val="none" w:sz="0" w:space="0" w:color="auto"/>
        <w:bottom w:val="none" w:sz="0" w:space="0" w:color="auto"/>
        <w:right w:val="none" w:sz="0" w:space="0" w:color="auto"/>
      </w:divBdr>
    </w:div>
    <w:div w:id="482896819">
      <w:bodyDiv w:val="1"/>
      <w:marLeft w:val="0"/>
      <w:marRight w:val="0"/>
      <w:marTop w:val="0"/>
      <w:marBottom w:val="0"/>
      <w:divBdr>
        <w:top w:val="none" w:sz="0" w:space="0" w:color="auto"/>
        <w:left w:val="none" w:sz="0" w:space="0" w:color="auto"/>
        <w:bottom w:val="none" w:sz="0" w:space="0" w:color="auto"/>
        <w:right w:val="none" w:sz="0" w:space="0" w:color="auto"/>
      </w:divBdr>
    </w:div>
    <w:div w:id="489636212">
      <w:bodyDiv w:val="1"/>
      <w:marLeft w:val="0"/>
      <w:marRight w:val="0"/>
      <w:marTop w:val="0"/>
      <w:marBottom w:val="0"/>
      <w:divBdr>
        <w:top w:val="none" w:sz="0" w:space="0" w:color="auto"/>
        <w:left w:val="none" w:sz="0" w:space="0" w:color="auto"/>
        <w:bottom w:val="none" w:sz="0" w:space="0" w:color="auto"/>
        <w:right w:val="none" w:sz="0" w:space="0" w:color="auto"/>
      </w:divBdr>
    </w:div>
    <w:div w:id="531184808">
      <w:bodyDiv w:val="1"/>
      <w:marLeft w:val="0"/>
      <w:marRight w:val="0"/>
      <w:marTop w:val="0"/>
      <w:marBottom w:val="0"/>
      <w:divBdr>
        <w:top w:val="none" w:sz="0" w:space="0" w:color="auto"/>
        <w:left w:val="none" w:sz="0" w:space="0" w:color="auto"/>
        <w:bottom w:val="none" w:sz="0" w:space="0" w:color="auto"/>
        <w:right w:val="none" w:sz="0" w:space="0" w:color="auto"/>
      </w:divBdr>
    </w:div>
    <w:div w:id="569510478">
      <w:bodyDiv w:val="1"/>
      <w:marLeft w:val="0"/>
      <w:marRight w:val="0"/>
      <w:marTop w:val="0"/>
      <w:marBottom w:val="0"/>
      <w:divBdr>
        <w:top w:val="none" w:sz="0" w:space="0" w:color="auto"/>
        <w:left w:val="none" w:sz="0" w:space="0" w:color="auto"/>
        <w:bottom w:val="none" w:sz="0" w:space="0" w:color="auto"/>
        <w:right w:val="none" w:sz="0" w:space="0" w:color="auto"/>
      </w:divBdr>
    </w:div>
    <w:div w:id="579562366">
      <w:bodyDiv w:val="1"/>
      <w:marLeft w:val="0"/>
      <w:marRight w:val="0"/>
      <w:marTop w:val="0"/>
      <w:marBottom w:val="0"/>
      <w:divBdr>
        <w:top w:val="none" w:sz="0" w:space="0" w:color="auto"/>
        <w:left w:val="none" w:sz="0" w:space="0" w:color="auto"/>
        <w:bottom w:val="none" w:sz="0" w:space="0" w:color="auto"/>
        <w:right w:val="none" w:sz="0" w:space="0" w:color="auto"/>
      </w:divBdr>
    </w:div>
    <w:div w:id="591473513">
      <w:bodyDiv w:val="1"/>
      <w:marLeft w:val="0"/>
      <w:marRight w:val="0"/>
      <w:marTop w:val="0"/>
      <w:marBottom w:val="0"/>
      <w:divBdr>
        <w:top w:val="none" w:sz="0" w:space="0" w:color="auto"/>
        <w:left w:val="none" w:sz="0" w:space="0" w:color="auto"/>
        <w:bottom w:val="none" w:sz="0" w:space="0" w:color="auto"/>
        <w:right w:val="none" w:sz="0" w:space="0" w:color="auto"/>
      </w:divBdr>
    </w:div>
    <w:div w:id="597376198">
      <w:bodyDiv w:val="1"/>
      <w:marLeft w:val="0"/>
      <w:marRight w:val="0"/>
      <w:marTop w:val="0"/>
      <w:marBottom w:val="0"/>
      <w:divBdr>
        <w:top w:val="none" w:sz="0" w:space="0" w:color="auto"/>
        <w:left w:val="none" w:sz="0" w:space="0" w:color="auto"/>
        <w:bottom w:val="none" w:sz="0" w:space="0" w:color="auto"/>
        <w:right w:val="none" w:sz="0" w:space="0" w:color="auto"/>
      </w:divBdr>
    </w:div>
    <w:div w:id="604118487">
      <w:bodyDiv w:val="1"/>
      <w:marLeft w:val="0"/>
      <w:marRight w:val="0"/>
      <w:marTop w:val="0"/>
      <w:marBottom w:val="0"/>
      <w:divBdr>
        <w:top w:val="none" w:sz="0" w:space="0" w:color="auto"/>
        <w:left w:val="none" w:sz="0" w:space="0" w:color="auto"/>
        <w:bottom w:val="none" w:sz="0" w:space="0" w:color="auto"/>
        <w:right w:val="none" w:sz="0" w:space="0" w:color="auto"/>
      </w:divBdr>
    </w:div>
    <w:div w:id="621107849">
      <w:bodyDiv w:val="1"/>
      <w:marLeft w:val="0"/>
      <w:marRight w:val="0"/>
      <w:marTop w:val="0"/>
      <w:marBottom w:val="0"/>
      <w:divBdr>
        <w:top w:val="none" w:sz="0" w:space="0" w:color="auto"/>
        <w:left w:val="none" w:sz="0" w:space="0" w:color="auto"/>
        <w:bottom w:val="none" w:sz="0" w:space="0" w:color="auto"/>
        <w:right w:val="none" w:sz="0" w:space="0" w:color="auto"/>
      </w:divBdr>
    </w:div>
    <w:div w:id="649941455">
      <w:bodyDiv w:val="1"/>
      <w:marLeft w:val="0"/>
      <w:marRight w:val="0"/>
      <w:marTop w:val="0"/>
      <w:marBottom w:val="0"/>
      <w:divBdr>
        <w:top w:val="none" w:sz="0" w:space="0" w:color="auto"/>
        <w:left w:val="none" w:sz="0" w:space="0" w:color="auto"/>
        <w:bottom w:val="none" w:sz="0" w:space="0" w:color="auto"/>
        <w:right w:val="none" w:sz="0" w:space="0" w:color="auto"/>
      </w:divBdr>
    </w:div>
    <w:div w:id="656803405">
      <w:bodyDiv w:val="1"/>
      <w:marLeft w:val="0"/>
      <w:marRight w:val="0"/>
      <w:marTop w:val="0"/>
      <w:marBottom w:val="0"/>
      <w:divBdr>
        <w:top w:val="none" w:sz="0" w:space="0" w:color="auto"/>
        <w:left w:val="none" w:sz="0" w:space="0" w:color="auto"/>
        <w:bottom w:val="none" w:sz="0" w:space="0" w:color="auto"/>
        <w:right w:val="none" w:sz="0" w:space="0" w:color="auto"/>
      </w:divBdr>
    </w:div>
    <w:div w:id="725566777">
      <w:bodyDiv w:val="1"/>
      <w:marLeft w:val="0"/>
      <w:marRight w:val="0"/>
      <w:marTop w:val="0"/>
      <w:marBottom w:val="0"/>
      <w:divBdr>
        <w:top w:val="none" w:sz="0" w:space="0" w:color="auto"/>
        <w:left w:val="none" w:sz="0" w:space="0" w:color="auto"/>
        <w:bottom w:val="none" w:sz="0" w:space="0" w:color="auto"/>
        <w:right w:val="none" w:sz="0" w:space="0" w:color="auto"/>
      </w:divBdr>
    </w:div>
    <w:div w:id="732584381">
      <w:bodyDiv w:val="1"/>
      <w:marLeft w:val="0"/>
      <w:marRight w:val="0"/>
      <w:marTop w:val="0"/>
      <w:marBottom w:val="0"/>
      <w:divBdr>
        <w:top w:val="none" w:sz="0" w:space="0" w:color="auto"/>
        <w:left w:val="none" w:sz="0" w:space="0" w:color="auto"/>
        <w:bottom w:val="none" w:sz="0" w:space="0" w:color="auto"/>
        <w:right w:val="none" w:sz="0" w:space="0" w:color="auto"/>
      </w:divBdr>
    </w:div>
    <w:div w:id="752581057">
      <w:bodyDiv w:val="1"/>
      <w:marLeft w:val="0"/>
      <w:marRight w:val="0"/>
      <w:marTop w:val="0"/>
      <w:marBottom w:val="0"/>
      <w:divBdr>
        <w:top w:val="none" w:sz="0" w:space="0" w:color="auto"/>
        <w:left w:val="none" w:sz="0" w:space="0" w:color="auto"/>
        <w:bottom w:val="none" w:sz="0" w:space="0" w:color="auto"/>
        <w:right w:val="none" w:sz="0" w:space="0" w:color="auto"/>
      </w:divBdr>
    </w:div>
    <w:div w:id="773325978">
      <w:bodyDiv w:val="1"/>
      <w:marLeft w:val="0"/>
      <w:marRight w:val="0"/>
      <w:marTop w:val="0"/>
      <w:marBottom w:val="0"/>
      <w:divBdr>
        <w:top w:val="none" w:sz="0" w:space="0" w:color="auto"/>
        <w:left w:val="none" w:sz="0" w:space="0" w:color="auto"/>
        <w:bottom w:val="none" w:sz="0" w:space="0" w:color="auto"/>
        <w:right w:val="none" w:sz="0" w:space="0" w:color="auto"/>
      </w:divBdr>
    </w:div>
    <w:div w:id="774204041">
      <w:bodyDiv w:val="1"/>
      <w:marLeft w:val="0"/>
      <w:marRight w:val="0"/>
      <w:marTop w:val="0"/>
      <w:marBottom w:val="0"/>
      <w:divBdr>
        <w:top w:val="none" w:sz="0" w:space="0" w:color="auto"/>
        <w:left w:val="none" w:sz="0" w:space="0" w:color="auto"/>
        <w:bottom w:val="none" w:sz="0" w:space="0" w:color="auto"/>
        <w:right w:val="none" w:sz="0" w:space="0" w:color="auto"/>
      </w:divBdr>
    </w:div>
    <w:div w:id="780495505">
      <w:bodyDiv w:val="1"/>
      <w:marLeft w:val="0"/>
      <w:marRight w:val="0"/>
      <w:marTop w:val="0"/>
      <w:marBottom w:val="0"/>
      <w:divBdr>
        <w:top w:val="none" w:sz="0" w:space="0" w:color="auto"/>
        <w:left w:val="none" w:sz="0" w:space="0" w:color="auto"/>
        <w:bottom w:val="none" w:sz="0" w:space="0" w:color="auto"/>
        <w:right w:val="none" w:sz="0" w:space="0" w:color="auto"/>
      </w:divBdr>
    </w:div>
    <w:div w:id="792676108">
      <w:bodyDiv w:val="1"/>
      <w:marLeft w:val="0"/>
      <w:marRight w:val="0"/>
      <w:marTop w:val="0"/>
      <w:marBottom w:val="0"/>
      <w:divBdr>
        <w:top w:val="none" w:sz="0" w:space="0" w:color="auto"/>
        <w:left w:val="none" w:sz="0" w:space="0" w:color="auto"/>
        <w:bottom w:val="none" w:sz="0" w:space="0" w:color="auto"/>
        <w:right w:val="none" w:sz="0" w:space="0" w:color="auto"/>
      </w:divBdr>
    </w:div>
    <w:div w:id="801112766">
      <w:bodyDiv w:val="1"/>
      <w:marLeft w:val="0"/>
      <w:marRight w:val="0"/>
      <w:marTop w:val="0"/>
      <w:marBottom w:val="0"/>
      <w:divBdr>
        <w:top w:val="none" w:sz="0" w:space="0" w:color="auto"/>
        <w:left w:val="none" w:sz="0" w:space="0" w:color="auto"/>
        <w:bottom w:val="none" w:sz="0" w:space="0" w:color="auto"/>
        <w:right w:val="none" w:sz="0" w:space="0" w:color="auto"/>
      </w:divBdr>
    </w:div>
    <w:div w:id="802314327">
      <w:bodyDiv w:val="1"/>
      <w:marLeft w:val="0"/>
      <w:marRight w:val="0"/>
      <w:marTop w:val="0"/>
      <w:marBottom w:val="0"/>
      <w:divBdr>
        <w:top w:val="none" w:sz="0" w:space="0" w:color="auto"/>
        <w:left w:val="none" w:sz="0" w:space="0" w:color="auto"/>
        <w:bottom w:val="none" w:sz="0" w:space="0" w:color="auto"/>
        <w:right w:val="none" w:sz="0" w:space="0" w:color="auto"/>
      </w:divBdr>
    </w:div>
    <w:div w:id="820657199">
      <w:bodyDiv w:val="1"/>
      <w:marLeft w:val="0"/>
      <w:marRight w:val="0"/>
      <w:marTop w:val="0"/>
      <w:marBottom w:val="0"/>
      <w:divBdr>
        <w:top w:val="none" w:sz="0" w:space="0" w:color="auto"/>
        <w:left w:val="none" w:sz="0" w:space="0" w:color="auto"/>
        <w:bottom w:val="none" w:sz="0" w:space="0" w:color="auto"/>
        <w:right w:val="none" w:sz="0" w:space="0" w:color="auto"/>
      </w:divBdr>
    </w:div>
    <w:div w:id="833953601">
      <w:bodyDiv w:val="1"/>
      <w:marLeft w:val="0"/>
      <w:marRight w:val="0"/>
      <w:marTop w:val="0"/>
      <w:marBottom w:val="0"/>
      <w:divBdr>
        <w:top w:val="none" w:sz="0" w:space="0" w:color="auto"/>
        <w:left w:val="none" w:sz="0" w:space="0" w:color="auto"/>
        <w:bottom w:val="none" w:sz="0" w:space="0" w:color="auto"/>
        <w:right w:val="none" w:sz="0" w:space="0" w:color="auto"/>
      </w:divBdr>
    </w:div>
    <w:div w:id="868447869">
      <w:bodyDiv w:val="1"/>
      <w:marLeft w:val="0"/>
      <w:marRight w:val="0"/>
      <w:marTop w:val="0"/>
      <w:marBottom w:val="0"/>
      <w:divBdr>
        <w:top w:val="none" w:sz="0" w:space="0" w:color="auto"/>
        <w:left w:val="none" w:sz="0" w:space="0" w:color="auto"/>
        <w:bottom w:val="none" w:sz="0" w:space="0" w:color="auto"/>
        <w:right w:val="none" w:sz="0" w:space="0" w:color="auto"/>
      </w:divBdr>
    </w:div>
    <w:div w:id="880939281">
      <w:bodyDiv w:val="1"/>
      <w:marLeft w:val="0"/>
      <w:marRight w:val="0"/>
      <w:marTop w:val="0"/>
      <w:marBottom w:val="0"/>
      <w:divBdr>
        <w:top w:val="none" w:sz="0" w:space="0" w:color="auto"/>
        <w:left w:val="none" w:sz="0" w:space="0" w:color="auto"/>
        <w:bottom w:val="none" w:sz="0" w:space="0" w:color="auto"/>
        <w:right w:val="none" w:sz="0" w:space="0" w:color="auto"/>
      </w:divBdr>
    </w:div>
    <w:div w:id="892618928">
      <w:bodyDiv w:val="1"/>
      <w:marLeft w:val="0"/>
      <w:marRight w:val="0"/>
      <w:marTop w:val="0"/>
      <w:marBottom w:val="0"/>
      <w:divBdr>
        <w:top w:val="none" w:sz="0" w:space="0" w:color="auto"/>
        <w:left w:val="none" w:sz="0" w:space="0" w:color="auto"/>
        <w:bottom w:val="none" w:sz="0" w:space="0" w:color="auto"/>
        <w:right w:val="none" w:sz="0" w:space="0" w:color="auto"/>
      </w:divBdr>
    </w:div>
    <w:div w:id="952513957">
      <w:bodyDiv w:val="1"/>
      <w:marLeft w:val="0"/>
      <w:marRight w:val="0"/>
      <w:marTop w:val="0"/>
      <w:marBottom w:val="0"/>
      <w:divBdr>
        <w:top w:val="none" w:sz="0" w:space="0" w:color="auto"/>
        <w:left w:val="none" w:sz="0" w:space="0" w:color="auto"/>
        <w:bottom w:val="none" w:sz="0" w:space="0" w:color="auto"/>
        <w:right w:val="none" w:sz="0" w:space="0" w:color="auto"/>
      </w:divBdr>
    </w:div>
    <w:div w:id="956958140">
      <w:bodyDiv w:val="1"/>
      <w:marLeft w:val="0"/>
      <w:marRight w:val="0"/>
      <w:marTop w:val="0"/>
      <w:marBottom w:val="0"/>
      <w:divBdr>
        <w:top w:val="none" w:sz="0" w:space="0" w:color="auto"/>
        <w:left w:val="none" w:sz="0" w:space="0" w:color="auto"/>
        <w:bottom w:val="none" w:sz="0" w:space="0" w:color="auto"/>
        <w:right w:val="none" w:sz="0" w:space="0" w:color="auto"/>
      </w:divBdr>
    </w:div>
    <w:div w:id="975185671">
      <w:bodyDiv w:val="1"/>
      <w:marLeft w:val="0"/>
      <w:marRight w:val="0"/>
      <w:marTop w:val="0"/>
      <w:marBottom w:val="0"/>
      <w:divBdr>
        <w:top w:val="none" w:sz="0" w:space="0" w:color="auto"/>
        <w:left w:val="none" w:sz="0" w:space="0" w:color="auto"/>
        <w:bottom w:val="none" w:sz="0" w:space="0" w:color="auto"/>
        <w:right w:val="none" w:sz="0" w:space="0" w:color="auto"/>
      </w:divBdr>
    </w:div>
    <w:div w:id="1009865931">
      <w:bodyDiv w:val="1"/>
      <w:marLeft w:val="0"/>
      <w:marRight w:val="0"/>
      <w:marTop w:val="0"/>
      <w:marBottom w:val="0"/>
      <w:divBdr>
        <w:top w:val="none" w:sz="0" w:space="0" w:color="auto"/>
        <w:left w:val="none" w:sz="0" w:space="0" w:color="auto"/>
        <w:bottom w:val="none" w:sz="0" w:space="0" w:color="auto"/>
        <w:right w:val="none" w:sz="0" w:space="0" w:color="auto"/>
      </w:divBdr>
    </w:div>
    <w:div w:id="1054155769">
      <w:bodyDiv w:val="1"/>
      <w:marLeft w:val="0"/>
      <w:marRight w:val="0"/>
      <w:marTop w:val="0"/>
      <w:marBottom w:val="0"/>
      <w:divBdr>
        <w:top w:val="none" w:sz="0" w:space="0" w:color="auto"/>
        <w:left w:val="none" w:sz="0" w:space="0" w:color="auto"/>
        <w:bottom w:val="none" w:sz="0" w:space="0" w:color="auto"/>
        <w:right w:val="none" w:sz="0" w:space="0" w:color="auto"/>
      </w:divBdr>
    </w:div>
    <w:div w:id="1055393149">
      <w:bodyDiv w:val="1"/>
      <w:marLeft w:val="0"/>
      <w:marRight w:val="0"/>
      <w:marTop w:val="0"/>
      <w:marBottom w:val="0"/>
      <w:divBdr>
        <w:top w:val="none" w:sz="0" w:space="0" w:color="auto"/>
        <w:left w:val="none" w:sz="0" w:space="0" w:color="auto"/>
        <w:bottom w:val="none" w:sz="0" w:space="0" w:color="auto"/>
        <w:right w:val="none" w:sz="0" w:space="0" w:color="auto"/>
      </w:divBdr>
    </w:div>
    <w:div w:id="1064983182">
      <w:bodyDiv w:val="1"/>
      <w:marLeft w:val="0"/>
      <w:marRight w:val="0"/>
      <w:marTop w:val="0"/>
      <w:marBottom w:val="0"/>
      <w:divBdr>
        <w:top w:val="none" w:sz="0" w:space="0" w:color="auto"/>
        <w:left w:val="none" w:sz="0" w:space="0" w:color="auto"/>
        <w:bottom w:val="none" w:sz="0" w:space="0" w:color="auto"/>
        <w:right w:val="none" w:sz="0" w:space="0" w:color="auto"/>
      </w:divBdr>
    </w:div>
    <w:div w:id="1141583804">
      <w:bodyDiv w:val="1"/>
      <w:marLeft w:val="0"/>
      <w:marRight w:val="0"/>
      <w:marTop w:val="0"/>
      <w:marBottom w:val="0"/>
      <w:divBdr>
        <w:top w:val="none" w:sz="0" w:space="0" w:color="auto"/>
        <w:left w:val="none" w:sz="0" w:space="0" w:color="auto"/>
        <w:bottom w:val="none" w:sz="0" w:space="0" w:color="auto"/>
        <w:right w:val="none" w:sz="0" w:space="0" w:color="auto"/>
      </w:divBdr>
    </w:div>
    <w:div w:id="1154758703">
      <w:bodyDiv w:val="1"/>
      <w:marLeft w:val="0"/>
      <w:marRight w:val="0"/>
      <w:marTop w:val="0"/>
      <w:marBottom w:val="0"/>
      <w:divBdr>
        <w:top w:val="none" w:sz="0" w:space="0" w:color="auto"/>
        <w:left w:val="none" w:sz="0" w:space="0" w:color="auto"/>
        <w:bottom w:val="none" w:sz="0" w:space="0" w:color="auto"/>
        <w:right w:val="none" w:sz="0" w:space="0" w:color="auto"/>
      </w:divBdr>
    </w:div>
    <w:div w:id="1156141984">
      <w:bodyDiv w:val="1"/>
      <w:marLeft w:val="0"/>
      <w:marRight w:val="0"/>
      <w:marTop w:val="0"/>
      <w:marBottom w:val="0"/>
      <w:divBdr>
        <w:top w:val="none" w:sz="0" w:space="0" w:color="auto"/>
        <w:left w:val="none" w:sz="0" w:space="0" w:color="auto"/>
        <w:bottom w:val="none" w:sz="0" w:space="0" w:color="auto"/>
        <w:right w:val="none" w:sz="0" w:space="0" w:color="auto"/>
      </w:divBdr>
    </w:div>
    <w:div w:id="1213082679">
      <w:bodyDiv w:val="1"/>
      <w:marLeft w:val="0"/>
      <w:marRight w:val="0"/>
      <w:marTop w:val="0"/>
      <w:marBottom w:val="0"/>
      <w:divBdr>
        <w:top w:val="none" w:sz="0" w:space="0" w:color="auto"/>
        <w:left w:val="none" w:sz="0" w:space="0" w:color="auto"/>
        <w:bottom w:val="none" w:sz="0" w:space="0" w:color="auto"/>
        <w:right w:val="none" w:sz="0" w:space="0" w:color="auto"/>
      </w:divBdr>
    </w:div>
    <w:div w:id="1221555270">
      <w:bodyDiv w:val="1"/>
      <w:marLeft w:val="0"/>
      <w:marRight w:val="0"/>
      <w:marTop w:val="0"/>
      <w:marBottom w:val="0"/>
      <w:divBdr>
        <w:top w:val="none" w:sz="0" w:space="0" w:color="auto"/>
        <w:left w:val="none" w:sz="0" w:space="0" w:color="auto"/>
        <w:bottom w:val="none" w:sz="0" w:space="0" w:color="auto"/>
        <w:right w:val="none" w:sz="0" w:space="0" w:color="auto"/>
      </w:divBdr>
    </w:div>
    <w:div w:id="1230575473">
      <w:bodyDiv w:val="1"/>
      <w:marLeft w:val="0"/>
      <w:marRight w:val="0"/>
      <w:marTop w:val="0"/>
      <w:marBottom w:val="0"/>
      <w:divBdr>
        <w:top w:val="none" w:sz="0" w:space="0" w:color="auto"/>
        <w:left w:val="none" w:sz="0" w:space="0" w:color="auto"/>
        <w:bottom w:val="none" w:sz="0" w:space="0" w:color="auto"/>
        <w:right w:val="none" w:sz="0" w:space="0" w:color="auto"/>
      </w:divBdr>
    </w:div>
    <w:div w:id="1230657382">
      <w:bodyDiv w:val="1"/>
      <w:marLeft w:val="0"/>
      <w:marRight w:val="0"/>
      <w:marTop w:val="0"/>
      <w:marBottom w:val="0"/>
      <w:divBdr>
        <w:top w:val="none" w:sz="0" w:space="0" w:color="auto"/>
        <w:left w:val="none" w:sz="0" w:space="0" w:color="auto"/>
        <w:bottom w:val="none" w:sz="0" w:space="0" w:color="auto"/>
        <w:right w:val="none" w:sz="0" w:space="0" w:color="auto"/>
      </w:divBdr>
    </w:div>
    <w:div w:id="1231816116">
      <w:bodyDiv w:val="1"/>
      <w:marLeft w:val="0"/>
      <w:marRight w:val="0"/>
      <w:marTop w:val="0"/>
      <w:marBottom w:val="0"/>
      <w:divBdr>
        <w:top w:val="none" w:sz="0" w:space="0" w:color="auto"/>
        <w:left w:val="none" w:sz="0" w:space="0" w:color="auto"/>
        <w:bottom w:val="none" w:sz="0" w:space="0" w:color="auto"/>
        <w:right w:val="none" w:sz="0" w:space="0" w:color="auto"/>
      </w:divBdr>
    </w:div>
    <w:div w:id="1256131451">
      <w:bodyDiv w:val="1"/>
      <w:marLeft w:val="0"/>
      <w:marRight w:val="0"/>
      <w:marTop w:val="0"/>
      <w:marBottom w:val="0"/>
      <w:divBdr>
        <w:top w:val="none" w:sz="0" w:space="0" w:color="auto"/>
        <w:left w:val="none" w:sz="0" w:space="0" w:color="auto"/>
        <w:bottom w:val="none" w:sz="0" w:space="0" w:color="auto"/>
        <w:right w:val="none" w:sz="0" w:space="0" w:color="auto"/>
      </w:divBdr>
    </w:div>
    <w:div w:id="1266961107">
      <w:bodyDiv w:val="1"/>
      <w:marLeft w:val="0"/>
      <w:marRight w:val="0"/>
      <w:marTop w:val="0"/>
      <w:marBottom w:val="0"/>
      <w:divBdr>
        <w:top w:val="none" w:sz="0" w:space="0" w:color="auto"/>
        <w:left w:val="none" w:sz="0" w:space="0" w:color="auto"/>
        <w:bottom w:val="none" w:sz="0" w:space="0" w:color="auto"/>
        <w:right w:val="none" w:sz="0" w:space="0" w:color="auto"/>
      </w:divBdr>
    </w:div>
    <w:div w:id="1278679213">
      <w:bodyDiv w:val="1"/>
      <w:marLeft w:val="0"/>
      <w:marRight w:val="0"/>
      <w:marTop w:val="0"/>
      <w:marBottom w:val="0"/>
      <w:divBdr>
        <w:top w:val="none" w:sz="0" w:space="0" w:color="auto"/>
        <w:left w:val="none" w:sz="0" w:space="0" w:color="auto"/>
        <w:bottom w:val="none" w:sz="0" w:space="0" w:color="auto"/>
        <w:right w:val="none" w:sz="0" w:space="0" w:color="auto"/>
      </w:divBdr>
    </w:div>
    <w:div w:id="1295016627">
      <w:bodyDiv w:val="1"/>
      <w:marLeft w:val="0"/>
      <w:marRight w:val="0"/>
      <w:marTop w:val="0"/>
      <w:marBottom w:val="0"/>
      <w:divBdr>
        <w:top w:val="none" w:sz="0" w:space="0" w:color="auto"/>
        <w:left w:val="none" w:sz="0" w:space="0" w:color="auto"/>
        <w:bottom w:val="none" w:sz="0" w:space="0" w:color="auto"/>
        <w:right w:val="none" w:sz="0" w:space="0" w:color="auto"/>
      </w:divBdr>
    </w:div>
    <w:div w:id="1316108528">
      <w:bodyDiv w:val="1"/>
      <w:marLeft w:val="0"/>
      <w:marRight w:val="0"/>
      <w:marTop w:val="0"/>
      <w:marBottom w:val="0"/>
      <w:divBdr>
        <w:top w:val="none" w:sz="0" w:space="0" w:color="auto"/>
        <w:left w:val="none" w:sz="0" w:space="0" w:color="auto"/>
        <w:bottom w:val="none" w:sz="0" w:space="0" w:color="auto"/>
        <w:right w:val="none" w:sz="0" w:space="0" w:color="auto"/>
      </w:divBdr>
    </w:div>
    <w:div w:id="1390111664">
      <w:bodyDiv w:val="1"/>
      <w:marLeft w:val="0"/>
      <w:marRight w:val="0"/>
      <w:marTop w:val="0"/>
      <w:marBottom w:val="0"/>
      <w:divBdr>
        <w:top w:val="none" w:sz="0" w:space="0" w:color="auto"/>
        <w:left w:val="none" w:sz="0" w:space="0" w:color="auto"/>
        <w:bottom w:val="none" w:sz="0" w:space="0" w:color="auto"/>
        <w:right w:val="none" w:sz="0" w:space="0" w:color="auto"/>
      </w:divBdr>
    </w:div>
    <w:div w:id="1397581171">
      <w:bodyDiv w:val="1"/>
      <w:marLeft w:val="0"/>
      <w:marRight w:val="0"/>
      <w:marTop w:val="0"/>
      <w:marBottom w:val="0"/>
      <w:divBdr>
        <w:top w:val="none" w:sz="0" w:space="0" w:color="auto"/>
        <w:left w:val="none" w:sz="0" w:space="0" w:color="auto"/>
        <w:bottom w:val="none" w:sz="0" w:space="0" w:color="auto"/>
        <w:right w:val="none" w:sz="0" w:space="0" w:color="auto"/>
      </w:divBdr>
    </w:div>
    <w:div w:id="1423917866">
      <w:bodyDiv w:val="1"/>
      <w:marLeft w:val="0"/>
      <w:marRight w:val="0"/>
      <w:marTop w:val="0"/>
      <w:marBottom w:val="0"/>
      <w:divBdr>
        <w:top w:val="none" w:sz="0" w:space="0" w:color="auto"/>
        <w:left w:val="none" w:sz="0" w:space="0" w:color="auto"/>
        <w:bottom w:val="none" w:sz="0" w:space="0" w:color="auto"/>
        <w:right w:val="none" w:sz="0" w:space="0" w:color="auto"/>
      </w:divBdr>
    </w:div>
    <w:div w:id="1426683437">
      <w:bodyDiv w:val="1"/>
      <w:marLeft w:val="0"/>
      <w:marRight w:val="0"/>
      <w:marTop w:val="0"/>
      <w:marBottom w:val="0"/>
      <w:divBdr>
        <w:top w:val="none" w:sz="0" w:space="0" w:color="auto"/>
        <w:left w:val="none" w:sz="0" w:space="0" w:color="auto"/>
        <w:bottom w:val="none" w:sz="0" w:space="0" w:color="auto"/>
        <w:right w:val="none" w:sz="0" w:space="0" w:color="auto"/>
      </w:divBdr>
    </w:div>
    <w:div w:id="1434857604">
      <w:bodyDiv w:val="1"/>
      <w:marLeft w:val="0"/>
      <w:marRight w:val="0"/>
      <w:marTop w:val="0"/>
      <w:marBottom w:val="0"/>
      <w:divBdr>
        <w:top w:val="none" w:sz="0" w:space="0" w:color="auto"/>
        <w:left w:val="none" w:sz="0" w:space="0" w:color="auto"/>
        <w:bottom w:val="none" w:sz="0" w:space="0" w:color="auto"/>
        <w:right w:val="none" w:sz="0" w:space="0" w:color="auto"/>
      </w:divBdr>
    </w:div>
    <w:div w:id="1438717825">
      <w:bodyDiv w:val="1"/>
      <w:marLeft w:val="0"/>
      <w:marRight w:val="0"/>
      <w:marTop w:val="0"/>
      <w:marBottom w:val="0"/>
      <w:divBdr>
        <w:top w:val="none" w:sz="0" w:space="0" w:color="auto"/>
        <w:left w:val="none" w:sz="0" w:space="0" w:color="auto"/>
        <w:bottom w:val="none" w:sz="0" w:space="0" w:color="auto"/>
        <w:right w:val="none" w:sz="0" w:space="0" w:color="auto"/>
      </w:divBdr>
    </w:div>
    <w:div w:id="1473207986">
      <w:bodyDiv w:val="1"/>
      <w:marLeft w:val="0"/>
      <w:marRight w:val="0"/>
      <w:marTop w:val="0"/>
      <w:marBottom w:val="0"/>
      <w:divBdr>
        <w:top w:val="none" w:sz="0" w:space="0" w:color="auto"/>
        <w:left w:val="none" w:sz="0" w:space="0" w:color="auto"/>
        <w:bottom w:val="none" w:sz="0" w:space="0" w:color="auto"/>
        <w:right w:val="none" w:sz="0" w:space="0" w:color="auto"/>
      </w:divBdr>
    </w:div>
    <w:div w:id="1476878077">
      <w:bodyDiv w:val="1"/>
      <w:marLeft w:val="0"/>
      <w:marRight w:val="0"/>
      <w:marTop w:val="0"/>
      <w:marBottom w:val="0"/>
      <w:divBdr>
        <w:top w:val="none" w:sz="0" w:space="0" w:color="auto"/>
        <w:left w:val="none" w:sz="0" w:space="0" w:color="auto"/>
        <w:bottom w:val="none" w:sz="0" w:space="0" w:color="auto"/>
        <w:right w:val="none" w:sz="0" w:space="0" w:color="auto"/>
      </w:divBdr>
    </w:div>
    <w:div w:id="1497571819">
      <w:bodyDiv w:val="1"/>
      <w:marLeft w:val="0"/>
      <w:marRight w:val="0"/>
      <w:marTop w:val="0"/>
      <w:marBottom w:val="0"/>
      <w:divBdr>
        <w:top w:val="none" w:sz="0" w:space="0" w:color="auto"/>
        <w:left w:val="none" w:sz="0" w:space="0" w:color="auto"/>
        <w:bottom w:val="none" w:sz="0" w:space="0" w:color="auto"/>
        <w:right w:val="none" w:sz="0" w:space="0" w:color="auto"/>
      </w:divBdr>
    </w:div>
    <w:div w:id="1500341923">
      <w:bodyDiv w:val="1"/>
      <w:marLeft w:val="0"/>
      <w:marRight w:val="0"/>
      <w:marTop w:val="0"/>
      <w:marBottom w:val="0"/>
      <w:divBdr>
        <w:top w:val="none" w:sz="0" w:space="0" w:color="auto"/>
        <w:left w:val="none" w:sz="0" w:space="0" w:color="auto"/>
        <w:bottom w:val="none" w:sz="0" w:space="0" w:color="auto"/>
        <w:right w:val="none" w:sz="0" w:space="0" w:color="auto"/>
      </w:divBdr>
    </w:div>
    <w:div w:id="1511024615">
      <w:bodyDiv w:val="1"/>
      <w:marLeft w:val="0"/>
      <w:marRight w:val="0"/>
      <w:marTop w:val="0"/>
      <w:marBottom w:val="0"/>
      <w:divBdr>
        <w:top w:val="none" w:sz="0" w:space="0" w:color="auto"/>
        <w:left w:val="none" w:sz="0" w:space="0" w:color="auto"/>
        <w:bottom w:val="none" w:sz="0" w:space="0" w:color="auto"/>
        <w:right w:val="none" w:sz="0" w:space="0" w:color="auto"/>
      </w:divBdr>
    </w:div>
    <w:div w:id="1526868122">
      <w:bodyDiv w:val="1"/>
      <w:marLeft w:val="0"/>
      <w:marRight w:val="0"/>
      <w:marTop w:val="0"/>
      <w:marBottom w:val="0"/>
      <w:divBdr>
        <w:top w:val="none" w:sz="0" w:space="0" w:color="auto"/>
        <w:left w:val="none" w:sz="0" w:space="0" w:color="auto"/>
        <w:bottom w:val="none" w:sz="0" w:space="0" w:color="auto"/>
        <w:right w:val="none" w:sz="0" w:space="0" w:color="auto"/>
      </w:divBdr>
    </w:div>
    <w:div w:id="1546791390">
      <w:bodyDiv w:val="1"/>
      <w:marLeft w:val="0"/>
      <w:marRight w:val="0"/>
      <w:marTop w:val="0"/>
      <w:marBottom w:val="0"/>
      <w:divBdr>
        <w:top w:val="none" w:sz="0" w:space="0" w:color="auto"/>
        <w:left w:val="none" w:sz="0" w:space="0" w:color="auto"/>
        <w:bottom w:val="none" w:sz="0" w:space="0" w:color="auto"/>
        <w:right w:val="none" w:sz="0" w:space="0" w:color="auto"/>
      </w:divBdr>
    </w:div>
    <w:div w:id="1585801581">
      <w:bodyDiv w:val="1"/>
      <w:marLeft w:val="0"/>
      <w:marRight w:val="0"/>
      <w:marTop w:val="0"/>
      <w:marBottom w:val="0"/>
      <w:divBdr>
        <w:top w:val="none" w:sz="0" w:space="0" w:color="auto"/>
        <w:left w:val="none" w:sz="0" w:space="0" w:color="auto"/>
        <w:bottom w:val="none" w:sz="0" w:space="0" w:color="auto"/>
        <w:right w:val="none" w:sz="0" w:space="0" w:color="auto"/>
      </w:divBdr>
    </w:div>
    <w:div w:id="1607083276">
      <w:bodyDiv w:val="1"/>
      <w:marLeft w:val="0"/>
      <w:marRight w:val="0"/>
      <w:marTop w:val="0"/>
      <w:marBottom w:val="0"/>
      <w:divBdr>
        <w:top w:val="none" w:sz="0" w:space="0" w:color="auto"/>
        <w:left w:val="none" w:sz="0" w:space="0" w:color="auto"/>
        <w:bottom w:val="none" w:sz="0" w:space="0" w:color="auto"/>
        <w:right w:val="none" w:sz="0" w:space="0" w:color="auto"/>
      </w:divBdr>
    </w:div>
    <w:div w:id="1640187229">
      <w:bodyDiv w:val="1"/>
      <w:marLeft w:val="0"/>
      <w:marRight w:val="0"/>
      <w:marTop w:val="0"/>
      <w:marBottom w:val="0"/>
      <w:divBdr>
        <w:top w:val="none" w:sz="0" w:space="0" w:color="auto"/>
        <w:left w:val="none" w:sz="0" w:space="0" w:color="auto"/>
        <w:bottom w:val="none" w:sz="0" w:space="0" w:color="auto"/>
        <w:right w:val="none" w:sz="0" w:space="0" w:color="auto"/>
      </w:divBdr>
    </w:div>
    <w:div w:id="1681539203">
      <w:bodyDiv w:val="1"/>
      <w:marLeft w:val="0"/>
      <w:marRight w:val="0"/>
      <w:marTop w:val="0"/>
      <w:marBottom w:val="0"/>
      <w:divBdr>
        <w:top w:val="none" w:sz="0" w:space="0" w:color="auto"/>
        <w:left w:val="none" w:sz="0" w:space="0" w:color="auto"/>
        <w:bottom w:val="none" w:sz="0" w:space="0" w:color="auto"/>
        <w:right w:val="none" w:sz="0" w:space="0" w:color="auto"/>
      </w:divBdr>
    </w:div>
    <w:div w:id="1703479966">
      <w:bodyDiv w:val="1"/>
      <w:marLeft w:val="0"/>
      <w:marRight w:val="0"/>
      <w:marTop w:val="0"/>
      <w:marBottom w:val="0"/>
      <w:divBdr>
        <w:top w:val="none" w:sz="0" w:space="0" w:color="auto"/>
        <w:left w:val="none" w:sz="0" w:space="0" w:color="auto"/>
        <w:bottom w:val="none" w:sz="0" w:space="0" w:color="auto"/>
        <w:right w:val="none" w:sz="0" w:space="0" w:color="auto"/>
      </w:divBdr>
    </w:div>
    <w:div w:id="1704089650">
      <w:bodyDiv w:val="1"/>
      <w:marLeft w:val="0"/>
      <w:marRight w:val="0"/>
      <w:marTop w:val="0"/>
      <w:marBottom w:val="0"/>
      <w:divBdr>
        <w:top w:val="none" w:sz="0" w:space="0" w:color="auto"/>
        <w:left w:val="none" w:sz="0" w:space="0" w:color="auto"/>
        <w:bottom w:val="none" w:sz="0" w:space="0" w:color="auto"/>
        <w:right w:val="none" w:sz="0" w:space="0" w:color="auto"/>
      </w:divBdr>
    </w:div>
    <w:div w:id="1709329828">
      <w:bodyDiv w:val="1"/>
      <w:marLeft w:val="0"/>
      <w:marRight w:val="0"/>
      <w:marTop w:val="0"/>
      <w:marBottom w:val="0"/>
      <w:divBdr>
        <w:top w:val="none" w:sz="0" w:space="0" w:color="auto"/>
        <w:left w:val="none" w:sz="0" w:space="0" w:color="auto"/>
        <w:bottom w:val="none" w:sz="0" w:space="0" w:color="auto"/>
        <w:right w:val="none" w:sz="0" w:space="0" w:color="auto"/>
      </w:divBdr>
    </w:div>
    <w:div w:id="1720519197">
      <w:bodyDiv w:val="1"/>
      <w:marLeft w:val="0"/>
      <w:marRight w:val="0"/>
      <w:marTop w:val="0"/>
      <w:marBottom w:val="0"/>
      <w:divBdr>
        <w:top w:val="none" w:sz="0" w:space="0" w:color="auto"/>
        <w:left w:val="none" w:sz="0" w:space="0" w:color="auto"/>
        <w:bottom w:val="none" w:sz="0" w:space="0" w:color="auto"/>
        <w:right w:val="none" w:sz="0" w:space="0" w:color="auto"/>
      </w:divBdr>
    </w:div>
    <w:div w:id="1733187121">
      <w:bodyDiv w:val="1"/>
      <w:marLeft w:val="0"/>
      <w:marRight w:val="0"/>
      <w:marTop w:val="0"/>
      <w:marBottom w:val="0"/>
      <w:divBdr>
        <w:top w:val="none" w:sz="0" w:space="0" w:color="auto"/>
        <w:left w:val="none" w:sz="0" w:space="0" w:color="auto"/>
        <w:bottom w:val="none" w:sz="0" w:space="0" w:color="auto"/>
        <w:right w:val="none" w:sz="0" w:space="0" w:color="auto"/>
      </w:divBdr>
    </w:div>
    <w:div w:id="1763259139">
      <w:bodyDiv w:val="1"/>
      <w:marLeft w:val="0"/>
      <w:marRight w:val="0"/>
      <w:marTop w:val="0"/>
      <w:marBottom w:val="0"/>
      <w:divBdr>
        <w:top w:val="none" w:sz="0" w:space="0" w:color="auto"/>
        <w:left w:val="none" w:sz="0" w:space="0" w:color="auto"/>
        <w:bottom w:val="none" w:sz="0" w:space="0" w:color="auto"/>
        <w:right w:val="none" w:sz="0" w:space="0" w:color="auto"/>
      </w:divBdr>
    </w:div>
    <w:div w:id="1772163541">
      <w:bodyDiv w:val="1"/>
      <w:marLeft w:val="0"/>
      <w:marRight w:val="0"/>
      <w:marTop w:val="0"/>
      <w:marBottom w:val="0"/>
      <w:divBdr>
        <w:top w:val="none" w:sz="0" w:space="0" w:color="auto"/>
        <w:left w:val="none" w:sz="0" w:space="0" w:color="auto"/>
        <w:bottom w:val="none" w:sz="0" w:space="0" w:color="auto"/>
        <w:right w:val="none" w:sz="0" w:space="0" w:color="auto"/>
      </w:divBdr>
    </w:div>
    <w:div w:id="1776899734">
      <w:bodyDiv w:val="1"/>
      <w:marLeft w:val="0"/>
      <w:marRight w:val="0"/>
      <w:marTop w:val="0"/>
      <w:marBottom w:val="0"/>
      <w:divBdr>
        <w:top w:val="none" w:sz="0" w:space="0" w:color="auto"/>
        <w:left w:val="none" w:sz="0" w:space="0" w:color="auto"/>
        <w:bottom w:val="none" w:sz="0" w:space="0" w:color="auto"/>
        <w:right w:val="none" w:sz="0" w:space="0" w:color="auto"/>
      </w:divBdr>
    </w:div>
    <w:div w:id="1789160682">
      <w:bodyDiv w:val="1"/>
      <w:marLeft w:val="0"/>
      <w:marRight w:val="0"/>
      <w:marTop w:val="0"/>
      <w:marBottom w:val="0"/>
      <w:divBdr>
        <w:top w:val="none" w:sz="0" w:space="0" w:color="auto"/>
        <w:left w:val="none" w:sz="0" w:space="0" w:color="auto"/>
        <w:bottom w:val="none" w:sz="0" w:space="0" w:color="auto"/>
        <w:right w:val="none" w:sz="0" w:space="0" w:color="auto"/>
      </w:divBdr>
    </w:div>
    <w:div w:id="1806970139">
      <w:bodyDiv w:val="1"/>
      <w:marLeft w:val="0"/>
      <w:marRight w:val="0"/>
      <w:marTop w:val="0"/>
      <w:marBottom w:val="0"/>
      <w:divBdr>
        <w:top w:val="none" w:sz="0" w:space="0" w:color="auto"/>
        <w:left w:val="none" w:sz="0" w:space="0" w:color="auto"/>
        <w:bottom w:val="none" w:sz="0" w:space="0" w:color="auto"/>
        <w:right w:val="none" w:sz="0" w:space="0" w:color="auto"/>
      </w:divBdr>
    </w:div>
    <w:div w:id="1820224491">
      <w:bodyDiv w:val="1"/>
      <w:marLeft w:val="0"/>
      <w:marRight w:val="0"/>
      <w:marTop w:val="0"/>
      <w:marBottom w:val="0"/>
      <w:divBdr>
        <w:top w:val="none" w:sz="0" w:space="0" w:color="auto"/>
        <w:left w:val="none" w:sz="0" w:space="0" w:color="auto"/>
        <w:bottom w:val="none" w:sz="0" w:space="0" w:color="auto"/>
        <w:right w:val="none" w:sz="0" w:space="0" w:color="auto"/>
      </w:divBdr>
    </w:div>
    <w:div w:id="1939367680">
      <w:bodyDiv w:val="1"/>
      <w:marLeft w:val="0"/>
      <w:marRight w:val="0"/>
      <w:marTop w:val="0"/>
      <w:marBottom w:val="0"/>
      <w:divBdr>
        <w:top w:val="none" w:sz="0" w:space="0" w:color="auto"/>
        <w:left w:val="none" w:sz="0" w:space="0" w:color="auto"/>
        <w:bottom w:val="none" w:sz="0" w:space="0" w:color="auto"/>
        <w:right w:val="none" w:sz="0" w:space="0" w:color="auto"/>
      </w:divBdr>
    </w:div>
    <w:div w:id="1952391482">
      <w:bodyDiv w:val="1"/>
      <w:marLeft w:val="0"/>
      <w:marRight w:val="0"/>
      <w:marTop w:val="0"/>
      <w:marBottom w:val="0"/>
      <w:divBdr>
        <w:top w:val="none" w:sz="0" w:space="0" w:color="auto"/>
        <w:left w:val="none" w:sz="0" w:space="0" w:color="auto"/>
        <w:bottom w:val="none" w:sz="0" w:space="0" w:color="auto"/>
        <w:right w:val="none" w:sz="0" w:space="0" w:color="auto"/>
      </w:divBdr>
    </w:div>
    <w:div w:id="1961717222">
      <w:bodyDiv w:val="1"/>
      <w:marLeft w:val="0"/>
      <w:marRight w:val="0"/>
      <w:marTop w:val="0"/>
      <w:marBottom w:val="0"/>
      <w:divBdr>
        <w:top w:val="none" w:sz="0" w:space="0" w:color="auto"/>
        <w:left w:val="none" w:sz="0" w:space="0" w:color="auto"/>
        <w:bottom w:val="none" w:sz="0" w:space="0" w:color="auto"/>
        <w:right w:val="none" w:sz="0" w:space="0" w:color="auto"/>
      </w:divBdr>
    </w:div>
    <w:div w:id="2016759228">
      <w:bodyDiv w:val="1"/>
      <w:marLeft w:val="0"/>
      <w:marRight w:val="0"/>
      <w:marTop w:val="0"/>
      <w:marBottom w:val="0"/>
      <w:divBdr>
        <w:top w:val="none" w:sz="0" w:space="0" w:color="auto"/>
        <w:left w:val="none" w:sz="0" w:space="0" w:color="auto"/>
        <w:bottom w:val="none" w:sz="0" w:space="0" w:color="auto"/>
        <w:right w:val="none" w:sz="0" w:space="0" w:color="auto"/>
      </w:divBdr>
    </w:div>
    <w:div w:id="2054428597">
      <w:bodyDiv w:val="1"/>
      <w:marLeft w:val="0"/>
      <w:marRight w:val="0"/>
      <w:marTop w:val="0"/>
      <w:marBottom w:val="0"/>
      <w:divBdr>
        <w:top w:val="none" w:sz="0" w:space="0" w:color="auto"/>
        <w:left w:val="none" w:sz="0" w:space="0" w:color="auto"/>
        <w:bottom w:val="none" w:sz="0" w:space="0" w:color="auto"/>
        <w:right w:val="none" w:sz="0" w:space="0" w:color="auto"/>
      </w:divBdr>
    </w:div>
    <w:div w:id="2064332973">
      <w:bodyDiv w:val="1"/>
      <w:marLeft w:val="0"/>
      <w:marRight w:val="0"/>
      <w:marTop w:val="0"/>
      <w:marBottom w:val="0"/>
      <w:divBdr>
        <w:top w:val="none" w:sz="0" w:space="0" w:color="auto"/>
        <w:left w:val="none" w:sz="0" w:space="0" w:color="auto"/>
        <w:bottom w:val="none" w:sz="0" w:space="0" w:color="auto"/>
        <w:right w:val="none" w:sz="0" w:space="0" w:color="auto"/>
      </w:divBdr>
    </w:div>
    <w:div w:id="2083021578">
      <w:bodyDiv w:val="1"/>
      <w:marLeft w:val="0"/>
      <w:marRight w:val="0"/>
      <w:marTop w:val="0"/>
      <w:marBottom w:val="0"/>
      <w:divBdr>
        <w:top w:val="none" w:sz="0" w:space="0" w:color="auto"/>
        <w:left w:val="none" w:sz="0" w:space="0" w:color="auto"/>
        <w:bottom w:val="none" w:sz="0" w:space="0" w:color="auto"/>
        <w:right w:val="none" w:sz="0" w:space="0" w:color="auto"/>
      </w:divBdr>
    </w:div>
    <w:div w:id="2117285482">
      <w:bodyDiv w:val="1"/>
      <w:marLeft w:val="0"/>
      <w:marRight w:val="0"/>
      <w:marTop w:val="0"/>
      <w:marBottom w:val="0"/>
      <w:divBdr>
        <w:top w:val="none" w:sz="0" w:space="0" w:color="auto"/>
        <w:left w:val="none" w:sz="0" w:space="0" w:color="auto"/>
        <w:bottom w:val="none" w:sz="0" w:space="0" w:color="auto"/>
        <w:right w:val="none" w:sz="0" w:space="0" w:color="auto"/>
      </w:divBdr>
    </w:div>
    <w:div w:id="2117404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9.xml"/><Relationship Id="rId26" Type="http://schemas.openxmlformats.org/officeDocument/2006/relationships/hyperlink" Target="http://www.amazon.com/Bionomics-Economy-Ecosystem-Michael-"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8.xml"/><Relationship Id="rId25" Type="http://schemas.openxmlformats.org/officeDocument/2006/relationships/hyperlink" Target="https://sanayi.gov.tr/anasayfa"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kosgeb.gov.tr/Content/Upload/Dosya/Mali%20Tablolar/KSEP/Kobi_Stratejisi_ve_Eylem_Plani_(2015-2018).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bebka.org.tr/admin/datas/yayins/232/eskisehir-inovasyon-ekosistemi-2020_1596099034.pdf" TargetMode="External"/><Relationship Id="rId28" Type="http://schemas.openxmlformats.org/officeDocument/2006/relationships/hyperlink" Target="http://www.urak.org/wp-content/uploads/2019/05/URAK_%C4%B0RE_2018-2.pdf" TargetMode="External"/><Relationship Id="rId10" Type="http://schemas.openxmlformats.org/officeDocument/2006/relationships/chart" Target="charts/chart3.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 Id="rId22" Type="http://schemas.openxmlformats.org/officeDocument/2006/relationships/hyperlink" Target="https://www.bebka.org.tr/admin/datas/sayfas/89/2020-bebka-bursa-inovasyon-3_1601991053.pdf" TargetMode="External"/><Relationship Id="rId27" Type="http://schemas.openxmlformats.org/officeDocument/2006/relationships/hyperlink" Target="https://www.tubitak.gov.tr/sites/default/files/Guncel_Universitelerin_Alan_Bazli_Yetkinlik_Analizi.pdf" TargetMode="Externa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Master%20Degree\03%20Thesis\DRAFT%20THESIS\Thesis\DATA%20SET\Data%20Set%2031.05.202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bg1">
                <a:lumMod val="75000"/>
              </a:schemeClr>
            </a:solidFill>
            <a:ln>
              <a:noFill/>
            </a:ln>
            <a:effectLst/>
          </c:spPr>
          <c:invertIfNegative val="0"/>
          <c:dPt>
            <c:idx val="2"/>
            <c:invertIfNegative val="0"/>
            <c:bubble3D val="0"/>
            <c:spPr>
              <a:solidFill>
                <a:srgbClr val="C00000"/>
              </a:solidFill>
              <a:ln>
                <a:noFill/>
              </a:ln>
              <a:effectLst/>
            </c:spPr>
            <c:extLst>
              <c:ext xmlns:c16="http://schemas.microsoft.com/office/drawing/2014/chart" uri="{C3380CC4-5D6E-409C-BE32-E72D297353CC}">
                <c16:uniqueId val="{00000001-8A09-4817-84A4-EA9B67D91AEE}"/>
              </c:ext>
            </c:extLst>
          </c:dPt>
          <c:dLbls>
            <c:dLbl>
              <c:idx val="2"/>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8A09-4817-84A4-EA9B67D91A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Sheet1!$B$16:$B$22</c:f>
              <c:strCache>
                <c:ptCount val="7"/>
                <c:pt idx="0">
                  <c:v>Kocaeli</c:v>
                </c:pt>
                <c:pt idx="1">
                  <c:v>Kayseri</c:v>
                </c:pt>
                <c:pt idx="2">
                  <c:v>Samsun</c:v>
                </c:pt>
                <c:pt idx="3">
                  <c:v>Muğla</c:v>
                </c:pt>
                <c:pt idx="4">
                  <c:v>Balıkesir</c:v>
                </c:pt>
                <c:pt idx="5">
                  <c:v>Muğla</c:v>
                </c:pt>
                <c:pt idx="6">
                  <c:v>Manisa</c:v>
                </c:pt>
              </c:strCache>
            </c:strRef>
          </c:cat>
          <c:val>
            <c:numRef>
              <c:f>Sheet1!$C$16:$C$22</c:f>
              <c:numCache>
                <c:formatCode>#,##0</c:formatCode>
                <c:ptCount val="7"/>
                <c:pt idx="0">
                  <c:v>1864</c:v>
                </c:pt>
                <c:pt idx="1">
                  <c:v>1834</c:v>
                </c:pt>
                <c:pt idx="2">
                  <c:v>1630</c:v>
                </c:pt>
                <c:pt idx="3">
                  <c:v>1299</c:v>
                </c:pt>
                <c:pt idx="4">
                  <c:v>1130</c:v>
                </c:pt>
                <c:pt idx="5">
                  <c:v>1299</c:v>
                </c:pt>
                <c:pt idx="6">
                  <c:v>1088</c:v>
                </c:pt>
              </c:numCache>
            </c:numRef>
          </c:val>
          <c:extLst>
            <c:ext xmlns:c16="http://schemas.microsoft.com/office/drawing/2014/chart" uri="{C3380CC4-5D6E-409C-BE32-E72D297353CC}">
              <c16:uniqueId val="{00000002-8A09-4817-84A4-EA9B67D91AEE}"/>
            </c:ext>
          </c:extLst>
        </c:ser>
        <c:dLbls>
          <c:showLegendKey val="0"/>
          <c:showVal val="0"/>
          <c:showCatName val="0"/>
          <c:showSerName val="0"/>
          <c:showPercent val="0"/>
          <c:showBubbleSize val="0"/>
        </c:dLbls>
        <c:gapWidth val="150"/>
        <c:axId val="589362848"/>
        <c:axId val="589362192"/>
      </c:barChart>
      <c:catAx>
        <c:axId val="589362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362192"/>
        <c:crosses val="autoZero"/>
        <c:auto val="1"/>
        <c:lblAlgn val="ctr"/>
        <c:lblOffset val="100"/>
        <c:noMultiLvlLbl val="0"/>
      </c:catAx>
      <c:valAx>
        <c:axId val="589362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9362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Sheet1!$C$77</c:f>
              <c:strCache>
                <c:ptCount val="1"/>
                <c:pt idx="0">
                  <c:v>Ar-Ge Merkezlerinin Sayısı (5746 Kanun) </c:v>
                </c:pt>
              </c:strCache>
            </c:strRef>
          </c:tx>
          <c:spPr>
            <a:solidFill>
              <a:schemeClr val="bg1">
                <a:lumMod val="8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600A-4830-8275-509EC6560D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Sheet1!$B$78:$B$84</c:f>
              <c:strCache>
                <c:ptCount val="7"/>
                <c:pt idx="0">
                  <c:v>Kocaeli</c:v>
                </c:pt>
                <c:pt idx="1">
                  <c:v>Kayseri</c:v>
                </c:pt>
                <c:pt idx="2">
                  <c:v>Manisa</c:v>
                </c:pt>
                <c:pt idx="3">
                  <c:v>Samsun</c:v>
                </c:pt>
                <c:pt idx="4">
                  <c:v>Kahramanmaraş</c:v>
                </c:pt>
                <c:pt idx="5">
                  <c:v>Balıkesir</c:v>
                </c:pt>
                <c:pt idx="6">
                  <c:v>Muğla</c:v>
                </c:pt>
              </c:strCache>
            </c:strRef>
          </c:cat>
          <c:val>
            <c:numRef>
              <c:f>Sheet1!$C$78:$C$84</c:f>
              <c:numCache>
                <c:formatCode>0</c:formatCode>
                <c:ptCount val="7"/>
                <c:pt idx="0">
                  <c:v>124</c:v>
                </c:pt>
                <c:pt idx="1">
                  <c:v>13</c:v>
                </c:pt>
                <c:pt idx="2">
                  <c:v>33</c:v>
                </c:pt>
                <c:pt idx="3">
                  <c:v>3</c:v>
                </c:pt>
                <c:pt idx="4">
                  <c:v>12</c:v>
                </c:pt>
                <c:pt idx="5">
                  <c:v>11</c:v>
                </c:pt>
                <c:pt idx="6">
                  <c:v>1</c:v>
                </c:pt>
              </c:numCache>
            </c:numRef>
          </c:val>
          <c:extLst>
            <c:ext xmlns:c16="http://schemas.microsoft.com/office/drawing/2014/chart" uri="{C3380CC4-5D6E-409C-BE32-E72D297353CC}">
              <c16:uniqueId val="{00000002-600A-4830-8275-509EC6560D26}"/>
            </c:ext>
          </c:extLst>
        </c:ser>
        <c:dLbls>
          <c:showLegendKey val="0"/>
          <c:showVal val="0"/>
          <c:showCatName val="0"/>
          <c:showSerName val="0"/>
          <c:showPercent val="0"/>
          <c:showBubbleSize val="0"/>
        </c:dLbls>
        <c:gapWidth val="219"/>
        <c:overlap val="-27"/>
        <c:axId val="426728152"/>
        <c:axId val="426734712"/>
      </c:barChart>
      <c:catAx>
        <c:axId val="42672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34712"/>
        <c:crosses val="autoZero"/>
        <c:auto val="1"/>
        <c:lblAlgn val="ctr"/>
        <c:lblOffset val="100"/>
        <c:noMultiLvlLbl val="0"/>
      </c:catAx>
      <c:valAx>
        <c:axId val="4267347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728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Sheet1!$C$92</c:f>
              <c:strCache>
                <c:ptCount val="1"/>
                <c:pt idx="0">
                  <c:v>TÜBİTAK TEYDEB Tamamlanan Projelerin Miktarı (2016-2020)</c:v>
                </c:pt>
              </c:strCache>
            </c:strRef>
          </c:tx>
          <c:spPr>
            <a:solidFill>
              <a:schemeClr val="bg1">
                <a:lumMod val="8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E35B-4BF7-99EE-5B951E988243}"/>
              </c:ext>
            </c:extLst>
          </c:dPt>
          <c:dLbls>
            <c:dLbl>
              <c:idx val="3"/>
              <c:tx>
                <c:rich>
                  <a:bodyPr/>
                  <a:lstStyle/>
                  <a:p>
                    <a:fld id="{6C822CBA-36A1-47DA-B1CA-C2E23EBBB915}" type="VALUE">
                      <a:rPr lang="en-US">
                        <a:solidFill>
                          <a:srgbClr val="C00000"/>
                        </a:solidFill>
                      </a:rPr>
                      <a:pPr/>
                      <a:t>[VALUE]</a:t>
                    </a:fld>
                    <a:endParaRPr lang="en-GB"/>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35B-4BF7-99EE-5B951E98824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Sheet1!$B$93:$B$99</c:f>
              <c:strCache>
                <c:ptCount val="7"/>
                <c:pt idx="0">
                  <c:v>Kocaeli</c:v>
                </c:pt>
                <c:pt idx="1">
                  <c:v>Kayseri</c:v>
                </c:pt>
                <c:pt idx="2">
                  <c:v>Manisa</c:v>
                </c:pt>
                <c:pt idx="3">
                  <c:v>Samsun</c:v>
                </c:pt>
                <c:pt idx="4">
                  <c:v>Kahramanmaraş</c:v>
                </c:pt>
                <c:pt idx="5">
                  <c:v>Balıkesir</c:v>
                </c:pt>
                <c:pt idx="6">
                  <c:v>Muğla</c:v>
                </c:pt>
              </c:strCache>
            </c:strRef>
          </c:cat>
          <c:val>
            <c:numRef>
              <c:f>Sheet1!$C$93:$C$99</c:f>
              <c:numCache>
                <c:formatCode>0</c:formatCode>
                <c:ptCount val="7"/>
                <c:pt idx="0">
                  <c:v>331</c:v>
                </c:pt>
                <c:pt idx="1">
                  <c:v>64</c:v>
                </c:pt>
                <c:pt idx="2">
                  <c:v>138</c:v>
                </c:pt>
                <c:pt idx="3">
                  <c:v>6</c:v>
                </c:pt>
                <c:pt idx="4">
                  <c:v>15</c:v>
                </c:pt>
                <c:pt idx="5">
                  <c:v>23</c:v>
                </c:pt>
                <c:pt idx="6">
                  <c:v>6</c:v>
                </c:pt>
              </c:numCache>
            </c:numRef>
          </c:val>
          <c:extLst>
            <c:ext xmlns:c16="http://schemas.microsoft.com/office/drawing/2014/chart" uri="{C3380CC4-5D6E-409C-BE32-E72D297353CC}">
              <c16:uniqueId val="{00000002-E35B-4BF7-99EE-5B951E988243}"/>
            </c:ext>
          </c:extLst>
        </c:ser>
        <c:dLbls>
          <c:showLegendKey val="0"/>
          <c:showVal val="0"/>
          <c:showCatName val="0"/>
          <c:showSerName val="0"/>
          <c:showPercent val="0"/>
          <c:showBubbleSize val="0"/>
        </c:dLbls>
        <c:gapWidth val="219"/>
        <c:overlap val="-27"/>
        <c:axId val="432521752"/>
        <c:axId val="432520440"/>
      </c:barChart>
      <c:catAx>
        <c:axId val="432521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520440"/>
        <c:crosses val="autoZero"/>
        <c:auto val="1"/>
        <c:lblAlgn val="ctr"/>
        <c:lblOffset val="100"/>
        <c:noMultiLvlLbl val="0"/>
      </c:catAx>
      <c:valAx>
        <c:axId val="432520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52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Sheet1!$C$102</c:f>
              <c:strCache>
                <c:ptCount val="1"/>
                <c:pt idx="0">
                  <c:v>Number of Patent Applications in Total</c:v>
                </c:pt>
              </c:strCache>
            </c:strRef>
          </c:tx>
          <c:spPr>
            <a:solidFill>
              <a:schemeClr val="bg1">
                <a:lumMod val="8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F9F6-4AD2-B96D-E29A87228234}"/>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75000"/>
                        </a:schemeClr>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F9F6-4AD2-B96D-E29A8722823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Sheet1!$B$103:$B$109</c:f>
              <c:strCache>
                <c:ptCount val="7"/>
                <c:pt idx="0">
                  <c:v>Kocaeli</c:v>
                </c:pt>
                <c:pt idx="1">
                  <c:v>Kayseri</c:v>
                </c:pt>
                <c:pt idx="2">
                  <c:v>Manisa</c:v>
                </c:pt>
                <c:pt idx="3">
                  <c:v>Samsun</c:v>
                </c:pt>
                <c:pt idx="4">
                  <c:v>Kahramanmaraş</c:v>
                </c:pt>
                <c:pt idx="5">
                  <c:v>Balıkesir</c:v>
                </c:pt>
                <c:pt idx="6">
                  <c:v>Muğla</c:v>
                </c:pt>
              </c:strCache>
            </c:strRef>
          </c:cat>
          <c:val>
            <c:numRef>
              <c:f>Sheet1!$C$103:$C$109</c:f>
              <c:numCache>
                <c:formatCode>General</c:formatCode>
                <c:ptCount val="7"/>
                <c:pt idx="0">
                  <c:v>1631</c:v>
                </c:pt>
                <c:pt idx="1">
                  <c:v>691</c:v>
                </c:pt>
                <c:pt idx="2">
                  <c:v>2108</c:v>
                </c:pt>
                <c:pt idx="3">
                  <c:v>278</c:v>
                </c:pt>
                <c:pt idx="4">
                  <c:v>205</c:v>
                </c:pt>
                <c:pt idx="5">
                  <c:v>194</c:v>
                </c:pt>
                <c:pt idx="6">
                  <c:v>186</c:v>
                </c:pt>
              </c:numCache>
            </c:numRef>
          </c:val>
          <c:extLst>
            <c:ext xmlns:c16="http://schemas.microsoft.com/office/drawing/2014/chart" uri="{C3380CC4-5D6E-409C-BE32-E72D297353CC}">
              <c16:uniqueId val="{00000002-F9F6-4AD2-B96D-E29A87228234}"/>
            </c:ext>
          </c:extLst>
        </c:ser>
        <c:ser>
          <c:idx val="1"/>
          <c:order val="1"/>
          <c:tx>
            <c:strRef>
              <c:f>Sheet1!$D$102</c:f>
              <c:strCache>
                <c:ptCount val="1"/>
                <c:pt idx="0">
                  <c:v>Number of Patent Registered in Total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Sheet1!$B$103:$B$109</c:f>
              <c:strCache>
                <c:ptCount val="7"/>
                <c:pt idx="0">
                  <c:v>Kocaeli</c:v>
                </c:pt>
                <c:pt idx="1">
                  <c:v>Kayseri</c:v>
                </c:pt>
                <c:pt idx="2">
                  <c:v>Manisa</c:v>
                </c:pt>
                <c:pt idx="3">
                  <c:v>Samsun</c:v>
                </c:pt>
                <c:pt idx="4">
                  <c:v>Kahramanmaraş</c:v>
                </c:pt>
                <c:pt idx="5">
                  <c:v>Balıkesir</c:v>
                </c:pt>
                <c:pt idx="6">
                  <c:v>Muğla</c:v>
                </c:pt>
              </c:strCache>
            </c:strRef>
          </c:cat>
          <c:val>
            <c:numRef>
              <c:f>Sheet1!$D$103:$D$109</c:f>
              <c:numCache>
                <c:formatCode>General</c:formatCode>
                <c:ptCount val="7"/>
                <c:pt idx="0">
                  <c:v>565</c:v>
                </c:pt>
                <c:pt idx="1">
                  <c:v>135</c:v>
                </c:pt>
                <c:pt idx="2">
                  <c:v>337</c:v>
                </c:pt>
                <c:pt idx="3">
                  <c:v>33</c:v>
                </c:pt>
                <c:pt idx="4">
                  <c:v>27</c:v>
                </c:pt>
                <c:pt idx="5">
                  <c:v>30</c:v>
                </c:pt>
                <c:pt idx="6">
                  <c:v>17</c:v>
                </c:pt>
              </c:numCache>
            </c:numRef>
          </c:val>
          <c:extLst>
            <c:ext xmlns:c16="http://schemas.microsoft.com/office/drawing/2014/chart" uri="{C3380CC4-5D6E-409C-BE32-E72D297353CC}">
              <c16:uniqueId val="{00000003-F9F6-4AD2-B96D-E29A87228234}"/>
            </c:ext>
          </c:extLst>
        </c:ser>
        <c:dLbls>
          <c:showLegendKey val="0"/>
          <c:showVal val="0"/>
          <c:showCatName val="0"/>
          <c:showSerName val="0"/>
          <c:showPercent val="0"/>
          <c:showBubbleSize val="0"/>
        </c:dLbls>
        <c:gapWidth val="219"/>
        <c:overlap val="-27"/>
        <c:axId val="600599872"/>
        <c:axId val="600605448"/>
      </c:barChart>
      <c:catAx>
        <c:axId val="60059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05448"/>
        <c:crosses val="autoZero"/>
        <c:auto val="1"/>
        <c:lblAlgn val="ctr"/>
        <c:lblOffset val="100"/>
        <c:noMultiLvlLbl val="0"/>
      </c:catAx>
      <c:valAx>
        <c:axId val="600605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59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Sheet1!$B$27:$F$27</c:f>
              <c:strCache>
                <c:ptCount val="5"/>
                <c:pt idx="0">
                  <c:v>1367</c:v>
                </c:pt>
                <c:pt idx="1">
                  <c:v>1235</c:v>
                </c:pt>
                <c:pt idx="2">
                  <c:v>1415</c:v>
                </c:pt>
                <c:pt idx="3">
                  <c:v>1502</c:v>
                </c:pt>
                <c:pt idx="4">
                  <c:v>1630</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Sheet1!$B$32:$F$32</c:f>
              <c:numCache>
                <c:formatCode>General</c:formatCode>
                <c:ptCount val="5"/>
                <c:pt idx="0">
                  <c:v>2016</c:v>
                </c:pt>
                <c:pt idx="1">
                  <c:v>2017</c:v>
                </c:pt>
                <c:pt idx="2">
                  <c:v>2018</c:v>
                </c:pt>
                <c:pt idx="3">
                  <c:v>2019</c:v>
                </c:pt>
                <c:pt idx="4">
                  <c:v>2020</c:v>
                </c:pt>
              </c:numCache>
            </c:numRef>
          </c:cat>
          <c:val>
            <c:numRef>
              <c:f>Sheet1!$B$27:$F$27</c:f>
              <c:numCache>
                <c:formatCode>General</c:formatCode>
                <c:ptCount val="5"/>
                <c:pt idx="0">
                  <c:v>1367</c:v>
                </c:pt>
                <c:pt idx="1">
                  <c:v>1235</c:v>
                </c:pt>
                <c:pt idx="2">
                  <c:v>1415</c:v>
                </c:pt>
                <c:pt idx="3">
                  <c:v>1502</c:v>
                </c:pt>
                <c:pt idx="4">
                  <c:v>1630</c:v>
                </c:pt>
              </c:numCache>
            </c:numRef>
          </c:val>
          <c:extLst>
            <c:ext xmlns:c16="http://schemas.microsoft.com/office/drawing/2014/chart" uri="{C3380CC4-5D6E-409C-BE32-E72D297353CC}">
              <c16:uniqueId val="{00000000-0C53-4C1F-9EF9-1C61EBF11A04}"/>
            </c:ext>
          </c:extLst>
        </c:ser>
        <c:dLbls>
          <c:showLegendKey val="0"/>
          <c:showVal val="0"/>
          <c:showCatName val="0"/>
          <c:showSerName val="0"/>
          <c:showPercent val="0"/>
          <c:showBubbleSize val="0"/>
        </c:dLbls>
        <c:gapWidth val="219"/>
        <c:axId val="600680352"/>
        <c:axId val="600681664"/>
      </c:barChart>
      <c:catAx>
        <c:axId val="60068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81664"/>
        <c:crosses val="autoZero"/>
        <c:auto val="1"/>
        <c:lblAlgn val="ctr"/>
        <c:lblOffset val="100"/>
        <c:noMultiLvlLbl val="0"/>
      </c:catAx>
      <c:valAx>
        <c:axId val="60068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80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Sheet1!$C$34</c:f>
              <c:strCache>
                <c:ptCount val="1"/>
                <c:pt idx="0">
                  <c:v>Number of Project Applied</c:v>
                </c:pt>
              </c:strCache>
            </c:strRef>
          </c:tx>
          <c:spPr>
            <a:solidFill>
              <a:schemeClr val="bg1">
                <a:lumMod val="7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E8B3-472E-BB2C-13A053B49B0F}"/>
              </c:ext>
            </c:extLst>
          </c:dPt>
          <c:dLbls>
            <c:dLbl>
              <c:idx val="3"/>
              <c:layout>
                <c:manualLayout>
                  <c:x val="0"/>
                  <c:y val="1.2924068890375402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B3-472E-BB2C-13A053B49B0F}"/>
                </c:ext>
              </c:extLst>
            </c:dLbl>
            <c:dLbl>
              <c:idx val="6"/>
              <c:layout>
                <c:manualLayout>
                  <c:x val="-4.5121263395376723E-3"/>
                  <c:y val="-7.897950861871542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B3-472E-BB2C-13A053B49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Sheet1!$B$35:$B$41</c:f>
              <c:strCache>
                <c:ptCount val="7"/>
                <c:pt idx="0">
                  <c:v>Kocaeli</c:v>
                </c:pt>
                <c:pt idx="1">
                  <c:v>Kayseri</c:v>
                </c:pt>
                <c:pt idx="2">
                  <c:v>Manisa</c:v>
                </c:pt>
                <c:pt idx="3">
                  <c:v>Samsun</c:v>
                </c:pt>
                <c:pt idx="4">
                  <c:v>Kahramanmaraş</c:v>
                </c:pt>
                <c:pt idx="5">
                  <c:v>Balıkesir</c:v>
                </c:pt>
                <c:pt idx="6">
                  <c:v>Muğla</c:v>
                </c:pt>
              </c:strCache>
            </c:strRef>
          </c:cat>
          <c:val>
            <c:numRef>
              <c:f>Sheet1!$C$35:$C$41</c:f>
              <c:numCache>
                <c:formatCode>0</c:formatCode>
                <c:ptCount val="7"/>
                <c:pt idx="0">
                  <c:v>1444</c:v>
                </c:pt>
                <c:pt idx="1">
                  <c:v>1444</c:v>
                </c:pt>
                <c:pt idx="2">
                  <c:v>338</c:v>
                </c:pt>
                <c:pt idx="3">
                  <c:v>778</c:v>
                </c:pt>
                <c:pt idx="4">
                  <c:v>307</c:v>
                </c:pt>
                <c:pt idx="5">
                  <c:v>225</c:v>
                </c:pt>
                <c:pt idx="6">
                  <c:v>464</c:v>
                </c:pt>
              </c:numCache>
            </c:numRef>
          </c:val>
          <c:extLst>
            <c:ext xmlns:c16="http://schemas.microsoft.com/office/drawing/2014/chart" uri="{C3380CC4-5D6E-409C-BE32-E72D297353CC}">
              <c16:uniqueId val="{00000003-E8B3-472E-BB2C-13A053B49B0F}"/>
            </c:ext>
          </c:extLst>
        </c:ser>
        <c:ser>
          <c:idx val="1"/>
          <c:order val="1"/>
          <c:tx>
            <c:strRef>
              <c:f>Sheet1!$D$34</c:f>
              <c:strCache>
                <c:ptCount val="1"/>
                <c:pt idx="0">
                  <c:v>Number of Project Awarded</c:v>
                </c:pt>
              </c:strCache>
            </c:strRef>
          </c:tx>
          <c:spPr>
            <a:solidFill>
              <a:schemeClr val="bg1">
                <a:lumMod val="50000"/>
              </a:schemeClr>
            </a:solidFill>
            <a:ln>
              <a:noFill/>
            </a:ln>
            <a:effectLst/>
          </c:spPr>
          <c:invertIfNegative val="0"/>
          <c:dPt>
            <c:idx val="3"/>
            <c:invertIfNegative val="0"/>
            <c:bubble3D val="0"/>
            <c:spPr>
              <a:solidFill>
                <a:srgbClr val="F4735E"/>
              </a:solidFill>
              <a:ln>
                <a:noFill/>
              </a:ln>
              <a:effectLst/>
            </c:spPr>
            <c:extLst>
              <c:ext xmlns:c16="http://schemas.microsoft.com/office/drawing/2014/chart" uri="{C3380CC4-5D6E-409C-BE32-E72D297353CC}">
                <c16:uniqueId val="{00000005-E8B3-472E-BB2C-13A053B49B0F}"/>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5-E8B3-472E-BB2C-13A053B49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Sheet1!$B$35:$B$41</c:f>
              <c:strCache>
                <c:ptCount val="7"/>
                <c:pt idx="0">
                  <c:v>Kocaeli</c:v>
                </c:pt>
                <c:pt idx="1">
                  <c:v>Kayseri</c:v>
                </c:pt>
                <c:pt idx="2">
                  <c:v>Manisa</c:v>
                </c:pt>
                <c:pt idx="3">
                  <c:v>Samsun</c:v>
                </c:pt>
                <c:pt idx="4">
                  <c:v>Kahramanmaraş</c:v>
                </c:pt>
                <c:pt idx="5">
                  <c:v>Balıkesir</c:v>
                </c:pt>
                <c:pt idx="6">
                  <c:v>Muğla</c:v>
                </c:pt>
              </c:strCache>
            </c:strRef>
          </c:cat>
          <c:val>
            <c:numRef>
              <c:f>Sheet1!$D$35:$D$41</c:f>
              <c:numCache>
                <c:formatCode>0</c:formatCode>
                <c:ptCount val="7"/>
                <c:pt idx="0">
                  <c:v>273</c:v>
                </c:pt>
                <c:pt idx="1">
                  <c:v>180</c:v>
                </c:pt>
                <c:pt idx="2">
                  <c:v>40</c:v>
                </c:pt>
                <c:pt idx="3">
                  <c:v>91</c:v>
                </c:pt>
                <c:pt idx="4">
                  <c:v>30</c:v>
                </c:pt>
                <c:pt idx="5">
                  <c:v>19</c:v>
                </c:pt>
                <c:pt idx="6">
                  <c:v>48</c:v>
                </c:pt>
              </c:numCache>
            </c:numRef>
          </c:val>
          <c:extLst>
            <c:ext xmlns:c16="http://schemas.microsoft.com/office/drawing/2014/chart" uri="{C3380CC4-5D6E-409C-BE32-E72D297353CC}">
              <c16:uniqueId val="{00000006-E8B3-472E-BB2C-13A053B49B0F}"/>
            </c:ext>
          </c:extLst>
        </c:ser>
        <c:dLbls>
          <c:showLegendKey val="0"/>
          <c:showVal val="0"/>
          <c:showCatName val="0"/>
          <c:showSerName val="0"/>
          <c:showPercent val="0"/>
          <c:showBubbleSize val="0"/>
        </c:dLbls>
        <c:gapWidth val="150"/>
        <c:axId val="610020848"/>
        <c:axId val="610024128"/>
      </c:barChart>
      <c:lineChart>
        <c:grouping val="standard"/>
        <c:varyColors val="0"/>
        <c:ser>
          <c:idx val="2"/>
          <c:order val="2"/>
          <c:tx>
            <c:strRef>
              <c:f>Sheet1!$E$34</c:f>
              <c:strCache>
                <c:ptCount val="1"/>
                <c:pt idx="0">
                  <c:v>Awarding Percentage (%)</c:v>
                </c:pt>
              </c:strCache>
            </c:strRef>
          </c:tx>
          <c:spPr>
            <a:ln w="28575" cap="rnd">
              <a:solidFill>
                <a:schemeClr val="accent6">
                  <a:lumMod val="75000"/>
                </a:schemeClr>
              </a:solidFill>
              <a:round/>
            </a:ln>
            <a:effectLst/>
          </c:spPr>
          <c:marker>
            <c:symbol val="none"/>
          </c:marker>
          <c:dLbls>
            <c:dLbl>
              <c:idx val="0"/>
              <c:layout>
                <c:manualLayout>
                  <c:x val="2.2560631697687329E-3"/>
                  <c:y val="-5.1696275561501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8B3-472E-BB2C-13A053B49B0F}"/>
                </c:ext>
              </c:extLst>
            </c:dLbl>
            <c:dLbl>
              <c:idx val="1"/>
              <c:layout>
                <c:manualLayout>
                  <c:x val="1.1280315848843727E-2"/>
                  <c:y val="-7.32363903787939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8B3-472E-BB2C-13A053B49B0F}"/>
                </c:ext>
              </c:extLst>
            </c:dLbl>
            <c:dLbl>
              <c:idx val="2"/>
              <c:layout>
                <c:manualLayout>
                  <c:x val="0"/>
                  <c:y val="-9.4776505196086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8B3-472E-BB2C-13A053B49B0F}"/>
                </c:ext>
              </c:extLst>
            </c:dLbl>
            <c:dLbl>
              <c:idx val="3"/>
              <c:layout>
                <c:manualLayout>
                  <c:x val="-8.2721360620637518E-17"/>
                  <c:y val="-6.0312321488418578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8B3-472E-BB2C-13A053B49B0F}"/>
                </c:ext>
              </c:extLst>
            </c:dLbl>
            <c:dLbl>
              <c:idx val="4"/>
              <c:layout>
                <c:manualLayout>
                  <c:x val="-8.2721360620637518E-17"/>
                  <c:y val="-6.03123214884185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8B3-472E-BB2C-13A053B49B0F}"/>
                </c:ext>
              </c:extLst>
            </c:dLbl>
            <c:dLbl>
              <c:idx val="5"/>
              <c:layout>
                <c:manualLayout>
                  <c:x val="-6.7681895093062603E-3"/>
                  <c:y val="-9.046848223262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8B3-472E-BB2C-13A053B49B0F}"/>
                </c:ext>
              </c:extLst>
            </c:dLbl>
            <c:dLbl>
              <c:idx val="6"/>
              <c:layout>
                <c:manualLayout>
                  <c:x val="-6.7681895093062603E-3"/>
                  <c:y val="-6.03123214884185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8B3-472E-BB2C-13A053B49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Sheet1!$B$35:$B$41</c:f>
              <c:strCache>
                <c:ptCount val="7"/>
                <c:pt idx="0">
                  <c:v>Kocaeli</c:v>
                </c:pt>
                <c:pt idx="1">
                  <c:v>Kayseri</c:v>
                </c:pt>
                <c:pt idx="2">
                  <c:v>Manisa</c:v>
                </c:pt>
                <c:pt idx="3">
                  <c:v>Samsun</c:v>
                </c:pt>
                <c:pt idx="4">
                  <c:v>Kahramanmaraş</c:v>
                </c:pt>
                <c:pt idx="5">
                  <c:v>Balıkesir</c:v>
                </c:pt>
                <c:pt idx="6">
                  <c:v>Muğla</c:v>
                </c:pt>
              </c:strCache>
            </c:strRef>
          </c:cat>
          <c:val>
            <c:numRef>
              <c:f>Sheet1!$E$35:$E$41</c:f>
              <c:numCache>
                <c:formatCode>0.00</c:formatCode>
                <c:ptCount val="7"/>
                <c:pt idx="0">
                  <c:v>18.905817174515235</c:v>
                </c:pt>
                <c:pt idx="1">
                  <c:v>12.465373961218837</c:v>
                </c:pt>
                <c:pt idx="2">
                  <c:v>11.834319526627219</c:v>
                </c:pt>
                <c:pt idx="3">
                  <c:v>11.696658097686376</c:v>
                </c:pt>
                <c:pt idx="4">
                  <c:v>9.7719869706840399</c:v>
                </c:pt>
                <c:pt idx="5">
                  <c:v>8.4444444444444446</c:v>
                </c:pt>
                <c:pt idx="6">
                  <c:v>10.344827586206897</c:v>
                </c:pt>
              </c:numCache>
            </c:numRef>
          </c:val>
          <c:smooth val="0"/>
          <c:extLst>
            <c:ext xmlns:c16="http://schemas.microsoft.com/office/drawing/2014/chart" uri="{C3380CC4-5D6E-409C-BE32-E72D297353CC}">
              <c16:uniqueId val="{0000000E-E8B3-472E-BB2C-13A053B49B0F}"/>
            </c:ext>
          </c:extLst>
        </c:ser>
        <c:dLbls>
          <c:showLegendKey val="0"/>
          <c:showVal val="0"/>
          <c:showCatName val="0"/>
          <c:showSerName val="0"/>
          <c:showPercent val="0"/>
          <c:showBubbleSize val="0"/>
        </c:dLbls>
        <c:marker val="1"/>
        <c:smooth val="0"/>
        <c:axId val="600637384"/>
        <c:axId val="600639352"/>
      </c:lineChart>
      <c:catAx>
        <c:axId val="61002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024128"/>
        <c:crosses val="autoZero"/>
        <c:auto val="1"/>
        <c:lblAlgn val="ctr"/>
        <c:lblOffset val="100"/>
        <c:noMultiLvlLbl val="0"/>
      </c:catAx>
      <c:valAx>
        <c:axId val="610024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0020848"/>
        <c:crosses val="autoZero"/>
        <c:crossBetween val="between"/>
      </c:valAx>
      <c:valAx>
        <c:axId val="60063935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0637384"/>
        <c:crosses val="max"/>
        <c:crossBetween val="between"/>
      </c:valAx>
      <c:catAx>
        <c:axId val="600637384"/>
        <c:scaling>
          <c:orientation val="minMax"/>
        </c:scaling>
        <c:delete val="1"/>
        <c:axPos val="b"/>
        <c:numFmt formatCode="General" sourceLinked="1"/>
        <c:majorTickMark val="out"/>
        <c:minorTickMark val="none"/>
        <c:tickLblPos val="nextTo"/>
        <c:crossAx val="6006393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3"/>
          <c:order val="3"/>
          <c:tx>
            <c:strRef>
              <c:f>Sheet1!$F$45</c:f>
              <c:strCache>
                <c:ptCount val="1"/>
                <c:pt idx="0">
                  <c:v>Project Budget (1000 TL) </c:v>
                </c:pt>
              </c:strCache>
            </c:strRef>
          </c:tx>
          <c:spPr>
            <a:solidFill>
              <a:schemeClr val="bg1">
                <a:lumMod val="95000"/>
              </a:schemeClr>
            </a:solidFill>
            <a:ln>
              <a:noFill/>
            </a:ln>
            <a:effectLst/>
          </c:spPr>
          <c:dLbls>
            <c:dLbl>
              <c:idx val="0"/>
              <c:layout>
                <c:manualLayout>
                  <c:x val="3.6383092562867841E-2"/>
                  <c:y val="-0.236877490082062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AF-4C6E-B472-8B723B2B82F1}"/>
                </c:ext>
              </c:extLst>
            </c:dLbl>
            <c:dLbl>
              <c:idx val="1"/>
              <c:layout>
                <c:manualLayout>
                  <c:x val="1.0700909577313993E-2"/>
                  <c:y val="-0.3481381293630307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AF-4C6E-B472-8B723B2B82F1}"/>
                </c:ext>
              </c:extLst>
            </c:dLbl>
            <c:dLbl>
              <c:idx val="2"/>
              <c:layout>
                <c:manualLayout>
                  <c:x val="2.7822364901016586E-2"/>
                  <c:y val="-0.294302336162562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3AF-4C6E-B472-8B723B2B82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lumMod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Sheet1!$B$46:$B$48</c:f>
              <c:strCache>
                <c:ptCount val="3"/>
                <c:pt idx="0">
                  <c:v>2014-2018</c:v>
                </c:pt>
                <c:pt idx="1">
                  <c:v>2015-2019</c:v>
                </c:pt>
                <c:pt idx="2">
                  <c:v>2016-2020</c:v>
                </c:pt>
              </c:strCache>
            </c:strRef>
          </c:cat>
          <c:val>
            <c:numRef>
              <c:f>Sheet1!$F$46:$F$48</c:f>
              <c:numCache>
                <c:formatCode>0.00</c:formatCode>
                <c:ptCount val="3"/>
                <c:pt idx="0">
                  <c:v>25.3</c:v>
                </c:pt>
                <c:pt idx="1">
                  <c:v>28.1</c:v>
                </c:pt>
                <c:pt idx="2">
                  <c:v>22.51</c:v>
                </c:pt>
              </c:numCache>
            </c:numRef>
          </c:val>
          <c:extLst>
            <c:ext xmlns:c16="http://schemas.microsoft.com/office/drawing/2014/chart" uri="{C3380CC4-5D6E-409C-BE32-E72D297353CC}">
              <c16:uniqueId val="{00000003-03AF-4C6E-B472-8B723B2B82F1}"/>
            </c:ext>
          </c:extLst>
        </c:ser>
        <c:dLbls>
          <c:showLegendKey val="0"/>
          <c:showVal val="0"/>
          <c:showCatName val="0"/>
          <c:showSerName val="0"/>
          <c:showPercent val="0"/>
          <c:showBubbleSize val="0"/>
        </c:dLbls>
        <c:axId val="584714728"/>
        <c:axId val="584714400"/>
      </c:areaChart>
      <c:barChart>
        <c:barDir val="col"/>
        <c:grouping val="clustered"/>
        <c:varyColors val="0"/>
        <c:ser>
          <c:idx val="0"/>
          <c:order val="0"/>
          <c:tx>
            <c:strRef>
              <c:f>Sheet1!$C$45</c:f>
              <c:strCache>
                <c:ptCount val="1"/>
                <c:pt idx="0">
                  <c:v>Number of Project Applied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7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Sheet1!$B$46:$B$48</c:f>
              <c:strCache>
                <c:ptCount val="3"/>
                <c:pt idx="0">
                  <c:v>2014-2018</c:v>
                </c:pt>
                <c:pt idx="1">
                  <c:v>2015-2019</c:v>
                </c:pt>
                <c:pt idx="2">
                  <c:v>2016-2020</c:v>
                </c:pt>
              </c:strCache>
            </c:strRef>
          </c:cat>
          <c:val>
            <c:numRef>
              <c:f>Sheet1!$C$46:$C$48</c:f>
              <c:numCache>
                <c:formatCode>General</c:formatCode>
                <c:ptCount val="3"/>
                <c:pt idx="0">
                  <c:v>872</c:v>
                </c:pt>
                <c:pt idx="1">
                  <c:v>837</c:v>
                </c:pt>
                <c:pt idx="2">
                  <c:v>778</c:v>
                </c:pt>
              </c:numCache>
            </c:numRef>
          </c:val>
          <c:extLst>
            <c:ext xmlns:c16="http://schemas.microsoft.com/office/drawing/2014/chart" uri="{C3380CC4-5D6E-409C-BE32-E72D297353CC}">
              <c16:uniqueId val="{00000004-03AF-4C6E-B472-8B723B2B82F1}"/>
            </c:ext>
          </c:extLst>
        </c:ser>
        <c:ser>
          <c:idx val="1"/>
          <c:order val="1"/>
          <c:tx>
            <c:strRef>
              <c:f>Sheet1!$D$45</c:f>
              <c:strCache>
                <c:ptCount val="1"/>
                <c:pt idx="0">
                  <c:v>Number of Project Awarded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Sheet1!$B$46:$B$48</c:f>
              <c:strCache>
                <c:ptCount val="3"/>
                <c:pt idx="0">
                  <c:v>2014-2018</c:v>
                </c:pt>
                <c:pt idx="1">
                  <c:v>2015-2019</c:v>
                </c:pt>
                <c:pt idx="2">
                  <c:v>2016-2020</c:v>
                </c:pt>
              </c:strCache>
            </c:strRef>
          </c:cat>
          <c:val>
            <c:numRef>
              <c:f>Sheet1!$D$46:$D$48</c:f>
              <c:numCache>
                <c:formatCode>General</c:formatCode>
                <c:ptCount val="3"/>
                <c:pt idx="0">
                  <c:v>127</c:v>
                </c:pt>
                <c:pt idx="1">
                  <c:v>116</c:v>
                </c:pt>
                <c:pt idx="2">
                  <c:v>91</c:v>
                </c:pt>
              </c:numCache>
            </c:numRef>
          </c:val>
          <c:extLst>
            <c:ext xmlns:c16="http://schemas.microsoft.com/office/drawing/2014/chart" uri="{C3380CC4-5D6E-409C-BE32-E72D297353CC}">
              <c16:uniqueId val="{00000005-03AF-4C6E-B472-8B723B2B82F1}"/>
            </c:ext>
          </c:extLst>
        </c:ser>
        <c:dLbls>
          <c:showLegendKey val="0"/>
          <c:showVal val="0"/>
          <c:showCatName val="0"/>
          <c:showSerName val="0"/>
          <c:showPercent val="0"/>
          <c:showBubbleSize val="0"/>
        </c:dLbls>
        <c:gapWidth val="219"/>
        <c:axId val="584731128"/>
        <c:axId val="584728504"/>
      </c:barChart>
      <c:lineChart>
        <c:grouping val="stacked"/>
        <c:varyColors val="0"/>
        <c:ser>
          <c:idx val="2"/>
          <c:order val="2"/>
          <c:tx>
            <c:strRef>
              <c:f>Sheet1!$E$45</c:f>
              <c:strCache>
                <c:ptCount val="1"/>
                <c:pt idx="0">
                  <c:v>Awarding Percentage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0"/>
              <c:layout>
                <c:manualLayout>
                  <c:x val="-6.420545746388482E-3"/>
                  <c:y val="-4.6657687440406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3AF-4C6E-B472-8B723B2B82F1}"/>
                </c:ext>
              </c:extLst>
            </c:dLbl>
            <c:dLbl>
              <c:idx val="1"/>
              <c:layout>
                <c:manualLayout>
                  <c:x val="-2.1401819154628142E-3"/>
                  <c:y val="-4.6657687440406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3AF-4C6E-B472-8B723B2B82F1}"/>
                </c:ext>
              </c:extLst>
            </c:dLbl>
            <c:dLbl>
              <c:idx val="2"/>
              <c:layout>
                <c:manualLayout>
                  <c:x val="-6.4205457463886E-3"/>
                  <c:y val="-3.9479581680343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3AF-4C6E-B472-8B723B2B82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Sheet1!$B$46:$B$48</c:f>
              <c:strCache>
                <c:ptCount val="3"/>
                <c:pt idx="0">
                  <c:v>2014-2018</c:v>
                </c:pt>
                <c:pt idx="1">
                  <c:v>2015-2019</c:v>
                </c:pt>
                <c:pt idx="2">
                  <c:v>2016-2020</c:v>
                </c:pt>
              </c:strCache>
            </c:strRef>
          </c:cat>
          <c:val>
            <c:numRef>
              <c:f>Sheet1!$E$46:$E$48</c:f>
              <c:numCache>
                <c:formatCode>0.00</c:formatCode>
                <c:ptCount val="3"/>
                <c:pt idx="0">
                  <c:v>14.564220183486237</c:v>
                </c:pt>
                <c:pt idx="1">
                  <c:v>13.859020310633213</c:v>
                </c:pt>
                <c:pt idx="2">
                  <c:v>11.696658097686376</c:v>
                </c:pt>
              </c:numCache>
            </c:numRef>
          </c:val>
          <c:smooth val="0"/>
          <c:extLst>
            <c:ext xmlns:c16="http://schemas.microsoft.com/office/drawing/2014/chart" uri="{C3380CC4-5D6E-409C-BE32-E72D297353CC}">
              <c16:uniqueId val="{00000009-03AF-4C6E-B472-8B723B2B82F1}"/>
            </c:ext>
          </c:extLst>
        </c:ser>
        <c:dLbls>
          <c:showLegendKey val="0"/>
          <c:showVal val="0"/>
          <c:showCatName val="0"/>
          <c:showSerName val="0"/>
          <c:showPercent val="0"/>
          <c:showBubbleSize val="0"/>
        </c:dLbls>
        <c:marker val="1"/>
        <c:smooth val="0"/>
        <c:axId val="584714728"/>
        <c:axId val="584714400"/>
      </c:lineChart>
      <c:catAx>
        <c:axId val="584731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728504"/>
        <c:crosses val="autoZero"/>
        <c:auto val="1"/>
        <c:lblAlgn val="ctr"/>
        <c:lblOffset val="100"/>
        <c:noMultiLvlLbl val="0"/>
      </c:catAx>
      <c:valAx>
        <c:axId val="584728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731128"/>
        <c:crosses val="autoZero"/>
        <c:crossBetween val="between"/>
      </c:valAx>
      <c:valAx>
        <c:axId val="584714400"/>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4714728"/>
        <c:crosses val="max"/>
        <c:crossBetween val="between"/>
      </c:valAx>
      <c:catAx>
        <c:axId val="584714728"/>
        <c:scaling>
          <c:orientation val="minMax"/>
        </c:scaling>
        <c:delete val="1"/>
        <c:axPos val="b"/>
        <c:numFmt formatCode="General" sourceLinked="1"/>
        <c:majorTickMark val="out"/>
        <c:minorTickMark val="none"/>
        <c:tickLblPos val="nextTo"/>
        <c:crossAx val="5847144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Sheet1!$H$34</c:f>
              <c:strCache>
                <c:ptCount val="1"/>
                <c:pt idx="0">
                  <c:v>ARDEP Project Budget in Total (2016-2020)</c:v>
                </c:pt>
              </c:strCache>
            </c:strRef>
          </c:tx>
          <c:spPr>
            <a:solidFill>
              <a:schemeClr val="bg1">
                <a:lumMod val="8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9388-4449-9E78-C127A94004FB}"/>
              </c:ext>
            </c:extLst>
          </c:dPt>
          <c:dLbls>
            <c:dLbl>
              <c:idx val="4"/>
              <c:layout>
                <c:manualLayout>
                  <c:x val="-8.0482897384306813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88-4449-9E78-C127A94004F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Sheet1!$G$35:$G$41</c:f>
              <c:strCache>
                <c:ptCount val="7"/>
                <c:pt idx="0">
                  <c:v>Kocaeli</c:v>
                </c:pt>
                <c:pt idx="1">
                  <c:v>Kayseri</c:v>
                </c:pt>
                <c:pt idx="2">
                  <c:v>Manisa</c:v>
                </c:pt>
                <c:pt idx="3">
                  <c:v>Samsun</c:v>
                </c:pt>
                <c:pt idx="4">
                  <c:v>Kahramanmaraş</c:v>
                </c:pt>
                <c:pt idx="5">
                  <c:v>Balıkesir</c:v>
                </c:pt>
                <c:pt idx="6">
                  <c:v>Muğla</c:v>
                </c:pt>
              </c:strCache>
            </c:strRef>
          </c:cat>
          <c:val>
            <c:numRef>
              <c:f>Sheet1!$H$35:$H$41</c:f>
              <c:numCache>
                <c:formatCode>#,##0.00</c:formatCode>
                <c:ptCount val="7"/>
                <c:pt idx="0">
                  <c:v>70898099.999999985</c:v>
                </c:pt>
                <c:pt idx="1">
                  <c:v>58608000.000000007</c:v>
                </c:pt>
                <c:pt idx="2">
                  <c:v>5403000</c:v>
                </c:pt>
                <c:pt idx="3">
                  <c:v>40106000.00000003</c:v>
                </c:pt>
                <c:pt idx="4">
                  <c:v>11120000.000000011</c:v>
                </c:pt>
                <c:pt idx="5">
                  <c:v>14999999.999999994</c:v>
                </c:pt>
                <c:pt idx="6">
                  <c:v>22509999.999999981</c:v>
                </c:pt>
              </c:numCache>
            </c:numRef>
          </c:val>
          <c:extLst>
            <c:ext xmlns:c16="http://schemas.microsoft.com/office/drawing/2014/chart" uri="{C3380CC4-5D6E-409C-BE32-E72D297353CC}">
              <c16:uniqueId val="{00000003-9388-4449-9E78-C127A94004FB}"/>
            </c:ext>
          </c:extLst>
        </c:ser>
        <c:dLbls>
          <c:showLegendKey val="0"/>
          <c:showVal val="0"/>
          <c:showCatName val="0"/>
          <c:showSerName val="0"/>
          <c:showPercent val="0"/>
          <c:showBubbleSize val="0"/>
        </c:dLbls>
        <c:gapWidth val="219"/>
        <c:overlap val="-27"/>
        <c:axId val="602692560"/>
        <c:axId val="602698464"/>
      </c:barChart>
      <c:catAx>
        <c:axId val="60269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698464"/>
        <c:crosses val="autoZero"/>
        <c:auto val="1"/>
        <c:lblAlgn val="ctr"/>
        <c:lblOffset val="100"/>
        <c:noMultiLvlLbl val="0"/>
      </c:catAx>
      <c:valAx>
        <c:axId val="602698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2692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Sheet1!$C$57</c:f>
              <c:strCache>
                <c:ptCount val="1"/>
                <c:pt idx="0">
                  <c:v>Number of Projects' Application per 100 Researchers</c:v>
                </c:pt>
              </c:strCache>
            </c:strRef>
          </c:tx>
          <c:spPr>
            <a:solidFill>
              <a:schemeClr val="bg1">
                <a:lumMod val="8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CD08-4126-94CF-FF32268AA474}"/>
              </c:ext>
            </c:extLst>
          </c:dPt>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0000"/>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1-CD08-4126-94CF-FF32268AA4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Sheet1!$B$58:$B$64</c:f>
              <c:strCache>
                <c:ptCount val="7"/>
                <c:pt idx="0">
                  <c:v>Kocaeli</c:v>
                </c:pt>
                <c:pt idx="1">
                  <c:v>Kayseri</c:v>
                </c:pt>
                <c:pt idx="2">
                  <c:v>Manisa</c:v>
                </c:pt>
                <c:pt idx="3">
                  <c:v>Samsun</c:v>
                </c:pt>
                <c:pt idx="4">
                  <c:v>Kahramanmaraş</c:v>
                </c:pt>
                <c:pt idx="5">
                  <c:v>Balıkesir</c:v>
                </c:pt>
                <c:pt idx="6">
                  <c:v>Muğla</c:v>
                </c:pt>
              </c:strCache>
            </c:strRef>
          </c:cat>
          <c:val>
            <c:numRef>
              <c:f>Sheet1!$C$58:$C$64</c:f>
              <c:numCache>
                <c:formatCode>0.00</c:formatCode>
                <c:ptCount val="7"/>
                <c:pt idx="0">
                  <c:v>77.467811158798284</c:v>
                </c:pt>
                <c:pt idx="1">
                  <c:v>78.735005452562703</c:v>
                </c:pt>
                <c:pt idx="2">
                  <c:v>31.066176470588236</c:v>
                </c:pt>
                <c:pt idx="3">
                  <c:v>47.730061349693251</c:v>
                </c:pt>
                <c:pt idx="4">
                  <c:v>31.041456016177957</c:v>
                </c:pt>
                <c:pt idx="5">
                  <c:v>19.911504424778762</c:v>
                </c:pt>
                <c:pt idx="6">
                  <c:v>35.719784449576601</c:v>
                </c:pt>
              </c:numCache>
            </c:numRef>
          </c:val>
          <c:extLst>
            <c:ext xmlns:c16="http://schemas.microsoft.com/office/drawing/2014/chart" uri="{C3380CC4-5D6E-409C-BE32-E72D297353CC}">
              <c16:uniqueId val="{00000002-CD08-4126-94CF-FF32268AA474}"/>
            </c:ext>
          </c:extLst>
        </c:ser>
        <c:ser>
          <c:idx val="1"/>
          <c:order val="1"/>
          <c:tx>
            <c:strRef>
              <c:f>Sheet1!$D$57</c:f>
              <c:strCache>
                <c:ptCount val="1"/>
                <c:pt idx="0">
                  <c:v>Number of Awarded Projects per 100 Researchers</c:v>
                </c:pt>
              </c:strCache>
            </c:strRef>
          </c:tx>
          <c:spPr>
            <a:solidFill>
              <a:schemeClr val="accent2"/>
            </a:solidFill>
            <a:ln>
              <a:noFill/>
            </a:ln>
            <a:effectLst/>
          </c:spPr>
          <c:invertIfNegative val="0"/>
          <c:dLbls>
            <c:dLbl>
              <c:idx val="3"/>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2"/>
                      </a:solidFill>
                      <a:latin typeface="+mn-lt"/>
                      <a:ea typeface="+mn-ea"/>
                      <a:cs typeface="+mn-cs"/>
                    </a:defRPr>
                  </a:pPr>
                  <a:endParaRPr lang="en-US"/>
                </a:p>
              </c:txPr>
              <c:showLegendKey val="0"/>
              <c:showVal val="1"/>
              <c:showCatName val="0"/>
              <c:showSerName val="0"/>
              <c:showPercent val="0"/>
              <c:showBubbleSize val="0"/>
              <c:extLst>
                <c:ext xmlns:c16="http://schemas.microsoft.com/office/drawing/2014/chart" uri="{C3380CC4-5D6E-409C-BE32-E72D297353CC}">
                  <c16:uniqueId val="{00000003-CD08-4126-94CF-FF32268AA4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Sheet1!$B$58:$B$64</c:f>
              <c:strCache>
                <c:ptCount val="7"/>
                <c:pt idx="0">
                  <c:v>Kocaeli</c:v>
                </c:pt>
                <c:pt idx="1">
                  <c:v>Kayseri</c:v>
                </c:pt>
                <c:pt idx="2">
                  <c:v>Manisa</c:v>
                </c:pt>
                <c:pt idx="3">
                  <c:v>Samsun</c:v>
                </c:pt>
                <c:pt idx="4">
                  <c:v>Kahramanmaraş</c:v>
                </c:pt>
                <c:pt idx="5">
                  <c:v>Balıkesir</c:v>
                </c:pt>
                <c:pt idx="6">
                  <c:v>Muğla</c:v>
                </c:pt>
              </c:strCache>
            </c:strRef>
          </c:cat>
          <c:val>
            <c:numRef>
              <c:f>Sheet1!$D$58:$D$64</c:f>
              <c:numCache>
                <c:formatCode>0.00</c:formatCode>
                <c:ptCount val="7"/>
                <c:pt idx="0">
                  <c:v>14.6459227467811</c:v>
                </c:pt>
                <c:pt idx="1">
                  <c:v>9.8146128680479805</c:v>
                </c:pt>
                <c:pt idx="2">
                  <c:v>3.6764705882352939</c:v>
                </c:pt>
                <c:pt idx="3">
                  <c:v>5.5828220858895703</c:v>
                </c:pt>
                <c:pt idx="4">
                  <c:v>3.0333670374115269</c:v>
                </c:pt>
                <c:pt idx="5">
                  <c:v>1.6814159292035398</c:v>
                </c:pt>
                <c:pt idx="6">
                  <c:v>3.695150115473441</c:v>
                </c:pt>
              </c:numCache>
            </c:numRef>
          </c:val>
          <c:extLst>
            <c:ext xmlns:c16="http://schemas.microsoft.com/office/drawing/2014/chart" uri="{C3380CC4-5D6E-409C-BE32-E72D297353CC}">
              <c16:uniqueId val="{00000004-CD08-4126-94CF-FF32268AA474}"/>
            </c:ext>
          </c:extLst>
        </c:ser>
        <c:dLbls>
          <c:showLegendKey val="0"/>
          <c:showVal val="0"/>
          <c:showCatName val="0"/>
          <c:showSerName val="0"/>
          <c:showPercent val="0"/>
          <c:showBubbleSize val="0"/>
        </c:dLbls>
        <c:gapWidth val="219"/>
        <c:overlap val="-27"/>
        <c:axId val="440065056"/>
        <c:axId val="440066368"/>
      </c:barChart>
      <c:catAx>
        <c:axId val="44006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066368"/>
        <c:crosses val="autoZero"/>
        <c:auto val="1"/>
        <c:lblAlgn val="ctr"/>
        <c:lblOffset val="100"/>
        <c:noMultiLvlLbl val="0"/>
      </c:catAx>
      <c:valAx>
        <c:axId val="440066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06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Sheet1!$C$113</c:f>
              <c:strCache>
                <c:ptCount val="1"/>
                <c:pt idx="0">
                  <c:v>Number of Patent Application by Universities</c:v>
                </c:pt>
              </c:strCache>
            </c:strRef>
          </c:tx>
          <c:spPr>
            <a:solidFill>
              <a:schemeClr val="bg1">
                <a:lumMod val="8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24E4-4BEE-ADA9-DEB3F68C259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Sheet1!$B$114:$B$120</c:f>
              <c:strCache>
                <c:ptCount val="7"/>
                <c:pt idx="0">
                  <c:v>Kocaeli</c:v>
                </c:pt>
                <c:pt idx="1">
                  <c:v>Kayseri</c:v>
                </c:pt>
                <c:pt idx="2">
                  <c:v>Manisa</c:v>
                </c:pt>
                <c:pt idx="3">
                  <c:v>Samsun</c:v>
                </c:pt>
                <c:pt idx="4">
                  <c:v>Kahramanmaraş</c:v>
                </c:pt>
                <c:pt idx="5">
                  <c:v>Balıkesir</c:v>
                </c:pt>
                <c:pt idx="6">
                  <c:v>Muğla</c:v>
                </c:pt>
              </c:strCache>
            </c:strRef>
          </c:cat>
          <c:val>
            <c:numRef>
              <c:f>Sheet1!$C$114:$C$120</c:f>
              <c:numCache>
                <c:formatCode>General</c:formatCode>
                <c:ptCount val="7"/>
                <c:pt idx="0">
                  <c:v>6</c:v>
                </c:pt>
                <c:pt idx="1">
                  <c:v>91</c:v>
                </c:pt>
                <c:pt idx="2">
                  <c:v>2</c:v>
                </c:pt>
                <c:pt idx="3">
                  <c:v>31</c:v>
                </c:pt>
                <c:pt idx="4">
                  <c:v>13</c:v>
                </c:pt>
                <c:pt idx="5">
                  <c:v>1</c:v>
                </c:pt>
                <c:pt idx="6">
                  <c:v>1</c:v>
                </c:pt>
              </c:numCache>
            </c:numRef>
          </c:val>
          <c:extLst>
            <c:ext xmlns:c16="http://schemas.microsoft.com/office/drawing/2014/chart" uri="{C3380CC4-5D6E-409C-BE32-E72D297353CC}">
              <c16:uniqueId val="{00000002-24E4-4BEE-ADA9-DEB3F68C2595}"/>
            </c:ext>
          </c:extLst>
        </c:ser>
        <c:dLbls>
          <c:showLegendKey val="0"/>
          <c:showVal val="0"/>
          <c:showCatName val="0"/>
          <c:showSerName val="0"/>
          <c:showPercent val="0"/>
          <c:showBubbleSize val="0"/>
        </c:dLbls>
        <c:gapWidth val="219"/>
        <c:overlap val="-27"/>
        <c:axId val="624087960"/>
        <c:axId val="624088288"/>
      </c:barChart>
      <c:catAx>
        <c:axId val="62408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088288"/>
        <c:crosses val="autoZero"/>
        <c:auto val="1"/>
        <c:lblAlgn val="ctr"/>
        <c:lblOffset val="100"/>
        <c:noMultiLvlLbl val="0"/>
      </c:catAx>
      <c:valAx>
        <c:axId val="62408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087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Sheet1!$C$66</c:f>
              <c:strCache>
                <c:ptCount val="1"/>
                <c:pt idx="0">
                  <c:v>1000 Araştırıcı Başına Düşen Patent Başvuru Sayısı </c:v>
                </c:pt>
              </c:strCache>
            </c:strRef>
          </c:tx>
          <c:spPr>
            <a:solidFill>
              <a:schemeClr val="bg1">
                <a:lumMod val="8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C203-4A93-9D2B-2E399ABD5D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Sheet1!$B$67:$B$73</c:f>
              <c:strCache>
                <c:ptCount val="7"/>
                <c:pt idx="0">
                  <c:v>Kocaeli</c:v>
                </c:pt>
                <c:pt idx="1">
                  <c:v>Kayseri</c:v>
                </c:pt>
                <c:pt idx="2">
                  <c:v>Manisa</c:v>
                </c:pt>
                <c:pt idx="3">
                  <c:v>Samsun</c:v>
                </c:pt>
                <c:pt idx="4">
                  <c:v>Kahramanmaraş</c:v>
                </c:pt>
                <c:pt idx="5">
                  <c:v>Balıkesir</c:v>
                </c:pt>
                <c:pt idx="6">
                  <c:v>Muğla</c:v>
                </c:pt>
              </c:strCache>
            </c:strRef>
          </c:cat>
          <c:val>
            <c:numRef>
              <c:f>Sheet1!$C$67:$C$73</c:f>
              <c:numCache>
                <c:formatCode>0.00</c:formatCode>
                <c:ptCount val="7"/>
                <c:pt idx="0">
                  <c:v>6.437768240343348</c:v>
                </c:pt>
                <c:pt idx="1">
                  <c:v>49.618320610687022</c:v>
                </c:pt>
                <c:pt idx="2">
                  <c:v>1.838235294117647</c:v>
                </c:pt>
                <c:pt idx="3">
                  <c:v>19.018404907975459</c:v>
                </c:pt>
                <c:pt idx="4">
                  <c:v>13.144590495449949</c:v>
                </c:pt>
                <c:pt idx="5">
                  <c:v>0.88495575221238942</c:v>
                </c:pt>
                <c:pt idx="6">
                  <c:v>0.76982294072363355</c:v>
                </c:pt>
              </c:numCache>
            </c:numRef>
          </c:val>
          <c:extLst>
            <c:ext xmlns:c16="http://schemas.microsoft.com/office/drawing/2014/chart" uri="{C3380CC4-5D6E-409C-BE32-E72D297353CC}">
              <c16:uniqueId val="{00000002-C203-4A93-9D2B-2E399ABD5D8B}"/>
            </c:ext>
          </c:extLst>
        </c:ser>
        <c:dLbls>
          <c:showLegendKey val="0"/>
          <c:showVal val="0"/>
          <c:showCatName val="0"/>
          <c:showSerName val="0"/>
          <c:showPercent val="0"/>
          <c:showBubbleSize val="0"/>
        </c:dLbls>
        <c:gapWidth val="219"/>
        <c:overlap val="-27"/>
        <c:axId val="586591272"/>
        <c:axId val="586591600"/>
      </c:barChart>
      <c:catAx>
        <c:axId val="586591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591600"/>
        <c:crosses val="autoZero"/>
        <c:auto val="1"/>
        <c:lblAlgn val="ctr"/>
        <c:lblOffset val="100"/>
        <c:noMultiLvlLbl val="0"/>
      </c:catAx>
      <c:valAx>
        <c:axId val="586591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591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Sheet1!$D$66</c:f>
              <c:strCache>
                <c:ptCount val="1"/>
                <c:pt idx="0">
                  <c:v>1000 Araştırıcı Başına Düşen Patent Tescil Sayısı </c:v>
                </c:pt>
              </c:strCache>
            </c:strRef>
          </c:tx>
          <c:spPr>
            <a:solidFill>
              <a:schemeClr val="bg1">
                <a:lumMod val="85000"/>
              </a:schemeClr>
            </a:solidFill>
            <a:ln>
              <a:noFill/>
            </a:ln>
            <a:effectLst/>
          </c:spPr>
          <c:invertIfNegative val="0"/>
          <c:dPt>
            <c:idx val="3"/>
            <c:invertIfNegative val="0"/>
            <c:bubble3D val="0"/>
            <c:spPr>
              <a:solidFill>
                <a:srgbClr val="C00000"/>
              </a:solidFill>
              <a:ln>
                <a:noFill/>
              </a:ln>
              <a:effectLst/>
            </c:spPr>
            <c:extLst>
              <c:ext xmlns:c16="http://schemas.microsoft.com/office/drawing/2014/chart" uri="{C3380CC4-5D6E-409C-BE32-E72D297353CC}">
                <c16:uniqueId val="{00000001-3956-4AF3-9662-368FC2854B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Sheet1!$B$67:$B$73</c:f>
              <c:strCache>
                <c:ptCount val="7"/>
                <c:pt idx="0">
                  <c:v>Kocaeli</c:v>
                </c:pt>
                <c:pt idx="1">
                  <c:v>Kayseri</c:v>
                </c:pt>
                <c:pt idx="2">
                  <c:v>Manisa</c:v>
                </c:pt>
                <c:pt idx="3">
                  <c:v>Samsun</c:v>
                </c:pt>
                <c:pt idx="4">
                  <c:v>Kahramanmaraş</c:v>
                </c:pt>
                <c:pt idx="5">
                  <c:v>Balıkesir</c:v>
                </c:pt>
                <c:pt idx="6">
                  <c:v>Muğla</c:v>
                </c:pt>
              </c:strCache>
            </c:strRef>
          </c:cat>
          <c:val>
            <c:numRef>
              <c:f>Sheet1!$D$67:$D$73</c:f>
              <c:numCache>
                <c:formatCode>0.00</c:formatCode>
                <c:ptCount val="7"/>
                <c:pt idx="0">
                  <c:v>5.9012875536480687</c:v>
                </c:pt>
                <c:pt idx="1">
                  <c:v>5.4525627044711014</c:v>
                </c:pt>
                <c:pt idx="2">
                  <c:v>0</c:v>
                </c:pt>
                <c:pt idx="3">
                  <c:v>0.61349693251533743</c:v>
                </c:pt>
                <c:pt idx="4">
                  <c:v>7.0778564206268957</c:v>
                </c:pt>
                <c:pt idx="5">
                  <c:v>5.3097345132743365</c:v>
                </c:pt>
                <c:pt idx="6">
                  <c:v>0</c:v>
                </c:pt>
              </c:numCache>
            </c:numRef>
          </c:val>
          <c:extLst>
            <c:ext xmlns:c16="http://schemas.microsoft.com/office/drawing/2014/chart" uri="{C3380CC4-5D6E-409C-BE32-E72D297353CC}">
              <c16:uniqueId val="{00000002-3956-4AF3-9662-368FC2854BDD}"/>
            </c:ext>
          </c:extLst>
        </c:ser>
        <c:dLbls>
          <c:showLegendKey val="0"/>
          <c:showVal val="0"/>
          <c:showCatName val="0"/>
          <c:showSerName val="0"/>
          <c:showPercent val="0"/>
          <c:showBubbleSize val="0"/>
        </c:dLbls>
        <c:gapWidth val="219"/>
        <c:overlap val="-27"/>
        <c:axId val="586591272"/>
        <c:axId val="586591600"/>
      </c:barChart>
      <c:catAx>
        <c:axId val="586591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591600"/>
        <c:crosses val="autoZero"/>
        <c:auto val="1"/>
        <c:lblAlgn val="ctr"/>
        <c:lblOffset val="100"/>
        <c:noMultiLvlLbl val="0"/>
      </c:catAx>
      <c:valAx>
        <c:axId val="5865916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65912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Zhe09</b:Tag>
    <b:SourceType>InternetSite</b:SourceType>
    <b:Guid>{2B87F8CD-EE2D-48A9-92EB-75789081C34D}</b:Guid>
    <b:Author>
      <b:Author>
        <b:NameList xmlns:msxsl="urn:schemas-microsoft-com:xslt" xmlns:b="http://schemas.openxmlformats.org/officeDocument/2006/bibliography">
          <b:Person>
            <b:Last>Zheng</b:Last>
            <b:First>Hai-ao</b:First>
            <b:Middle/>
          </b:Person>
          <b:Person>
            <b:Last>Chanaron</b:Last>
            <b:First>Jean-Jacques</b:First>
            <b:Middle/>
          </b:Person>
          <b:Person>
            <b:Last>You</b:Last>
            <b:First>Jian-xin</b:First>
            <b:Middle/>
          </b:Person>
          <b:Person>
            <b:Last>Chen</b:Last>
            <b:First>Xiao-li</b:First>
            <b:Middle/>
          </b:Person>
        </b:NameList>
      </b:Author>
    </b:Author>
    <b:Title>Designing a key performance indicator system for technological innovation audit at firm's level: A framework and an empirical study</b:Title>
    <b:InternetSiteTitle/>
    <b:ProductionCompany/>
    <b:Year>2009</b:Year>
    <b:Month/>
    <b:Day/>
    <b:YearAccessed>2020</b:YearAccessed>
    <b:MonthAccessed>3</b:MonthAccessed>
    <b:DayAccessed>27</b:DayAccessed>
    <b:URL>http://yadda.icm.edu.pl/yadda/element/bwmeta1.element.ieee-000005373498</b:URL>
    <b:Version/>
    <b:ShortTitle/>
    <b:StandardNumber/>
    <b:Comments/>
    <b:Medium/>
    <b:DOI/>
    <b:RefOrder>4</b:RefOrder>
  </b:Source>
  <b:Source>
    <b:Tag>Abo04</b:Tag>
    <b:SourceType>JournalArticle</b:SourceType>
    <b:Guid>{FFA8A60B-B72E-4833-821A-598E6E0223AD}</b:Guid>
    <b:Author>
      <b:Author>
        <b:NameList xmlns:msxsl="urn:schemas-microsoft-com:xslt" xmlns:b="http://schemas.openxmlformats.org/officeDocument/2006/bibliography">
          <b:Person>
            <b:Last>Abou-Zeid</b:Last>
            <b:First>El-Sayed</b:First>
            <b:Middle/>
          </b:Person>
          <b:Person>
            <b:Last>Cheng</b:Last>
            <b:First>Qianzhen</b:First>
            <b:Middle/>
          </b:Person>
        </b:NameList>
      </b:Author>
    </b:Author>
    <b:Title>The Effectiveness Of Innovation: A Knowledge Management Approach</b:Title>
    <b:JournalName>International Journal of Innovation Management</b:JournalName>
    <b:City/>
    <b:Year>2004</b:Year>
    <b:Month/>
    <b:Day/>
    <b:Pages>261-274</b:Pages>
    <b:Publisher/>
    <b:Volume>08</b:Volume>
    <b:Issue>03</b:Issue>
    <b:ShortTitle/>
    <b:StandardNumber/>
    <b:Comments/>
    <b:Medium/>
    <b:YearAccessed>2020</b:YearAccessed>
    <b:MonthAccessed>3</b:MonthAccessed>
    <b:DayAccessed>27</b:DayAccessed>
    <b:URL>https://worldscientific.com/doi/abs/10.1142/s1363919604001052</b:URL>
    <b:DOI/>
    <b:RefOrder>5</b:RefOrder>
  </b:Source>
  <b:Source>
    <b:Tag>Goy05</b:Tag>
    <b:SourceType>InternetSite</b:SourceType>
    <b:Guid>{4BCB4E3C-2FE1-424F-A667-09E7FC941DC2}</b:Guid>
    <b:Author>
      <b:Author>
        <b:NameList xmlns:msxsl="urn:schemas-microsoft-com:xslt" xmlns:b="http://schemas.openxmlformats.org/officeDocument/2006/bibliography">
          <b:Person>
            <b:Last>Goyal</b:Last>
            <b:First>Sonia</b:First>
            <b:Middle/>
          </b:Person>
          <b:Person>
            <b:Last>Pitt</b:Last>
            <b:First>Michael</b:First>
            <b:Middle/>
          </b:Person>
          <b:Person>
            <b:Last>Sapri</b:Last>
            <b:First>Maimunah</b:First>
            <b:Middle/>
          </b:Person>
        </b:NameList>
      </b:Author>
    </b:Author>
    <b:Title>Innovation as a facilities management tool</b:Title>
    <b:InternetSiteTitle/>
    <b:ProductionCompany/>
    <b:Year>2005</b:Year>
    <b:Month/>
    <b:Day/>
    <b:YearAccessed>2020</b:YearAccessed>
    <b:MonthAccessed>3</b:MonthAccessed>
    <b:DayAccessed>27</b:DayAccessed>
    <b:URL>http://arcom.ac.uk/-docs/proceedings/ar2005-1225-1236_goyal_pitt_and_sapri.pdf</b:URL>
    <b:Version/>
    <b:ShortTitle/>
    <b:StandardNumber/>
    <b:Comments/>
    <b:Medium/>
    <b:DOI/>
    <b:RefOrder>6</b:RefOrder>
  </b:Source>
  <b:Source>
    <b:Tag>Mor14</b:Tag>
    <b:SourceType>InternetSite</b:SourceType>
    <b:Guid>{CCC3FEA7-C219-4F5E-98CC-9FBB5F3C70AD}</b:Guid>
    <b:Author>
      <b:Author>
        <b:NameList xmlns:msxsl="urn:schemas-microsoft-com:xslt" xmlns:b="http://schemas.openxmlformats.org/officeDocument/2006/bibliography">
          <b:Person>
            <b:Last>Moradi</b:Last>
            <b:First>Farnaz</b:First>
            <b:Middle/>
          </b:Person>
        </b:NameList>
      </b:Author>
    </b:Author>
    <b:Title>Improving Community Detection Methods for Network Data Analysis</b:Title>
    <b:InternetSiteTitle/>
    <b:ProductionCompany/>
    <b:Year>2014</b:Year>
    <b:Month/>
    <b:Day/>
    <b:YearAccessed>2020</b:YearAccessed>
    <b:MonthAccessed>3</b:MonthAccessed>
    <b:DayAccessed>27</b:DayAccessed>
    <b:URL>http://cse.chalmers.se/~tsigas/papers/farnaz-thesis.pdf</b:URL>
    <b:Version/>
    <b:ShortTitle/>
    <b:StandardNumber/>
    <b:Comments/>
    <b:Medium/>
    <b:DOI/>
    <b:RefOrder>7</b:RefOrder>
  </b:Source>
  <b:Source>
    <b:Tag>Son16</b:Tag>
    <b:SourceType>JournalArticle</b:SourceType>
    <b:Guid>{A7F1A364-0B86-49DB-B7D5-73B086EA7D56}</b:Guid>
    <b:Author>
      <b:Author>
        <b:NameList xmlns:msxsl="urn:schemas-microsoft-com:xslt" xmlns:b="http://schemas.openxmlformats.org/officeDocument/2006/bibliography">
          <b:Person>
            <b:Last>Song</b:Last>
            <b:First>Juan</b:First>
            <b:Middle/>
          </b:Person>
        </b:NameList>
      </b:Author>
    </b:Author>
    <b:Title>Innovation ecosystem: impact of interactive patterns, member location and member heterogeneity on cooperative innovation performance</b:Title>
    <b:JournalName>Innovation-management Policy &amp; Practice</b:JournalName>
    <b:City/>
    <b:Year>2016</b:Year>
    <b:Month/>
    <b:Day/>
    <b:Pages>13-29</b:Pages>
    <b:Publisher/>
    <b:Volume>18</b:Volume>
    <b:Issue>1</b:Issue>
    <b:ShortTitle/>
    <b:StandardNumber/>
    <b:Comments/>
    <b:Medium/>
    <b:YearAccessed>2020</b:YearAccessed>
    <b:MonthAccessed>3</b:MonthAccessed>
    <b:DayAccessed>30</b:DayAccessed>
    <b:URL>https://tandfonline.com/doi/full/10.1080/14479338.2016.1165624</b:URL>
    <b:DOI/>
    <b:RefOrder>3</b:RefOrder>
  </b:Source>
  <b:Source>
    <b:Tag>Kim13</b:Tag>
    <b:SourceType>InternetSite</b:SourceType>
    <b:Guid>{4D27E7AC-E91B-4D60-AB50-C3A739340208}</b:Guid>
    <b:Author>
      <b:Author>
        <b:NameList xmlns:msxsl="urn:schemas-microsoft-com:xslt" xmlns:b="http://schemas.openxmlformats.org/officeDocument/2006/bibliography">
          <b:Person>
            <b:Last>Kim</b:Last>
            <b:First>So</b:First>
            <b:Middle>Hyeong</b:Middle>
          </b:Person>
        </b:NameList>
      </b:Author>
    </b:Author>
    <b:Title>Open Innovation Ecosystem: Chez Panisse Case Study</b:Title>
    <b:InternetSiteTitle/>
    <b:ProductionCompany/>
    <b:Year>2013</b:Year>
    <b:Month/>
    <b:Day/>
    <b:YearAccessed>2020</b:YearAccessed>
    <b:MonthAccessed>3</b:MonthAccessed>
    <b:DayAccessed>30</b:DayAccessed>
    <b:URL>https://escholarship.org/uc/item/3jq7x9s2</b:URL>
    <b:Version/>
    <b:ShortTitle/>
    <b:StandardNumber/>
    <b:Comments/>
    <b:Medium/>
    <b:DOI/>
    <b:RefOrder>1</b:RefOrder>
  </b:Source>
  <b:Source>
    <b:Tag>Bel19</b:Tag>
    <b:SourceType>JournalArticle</b:SourceType>
    <b:Guid>{11E34FD3-217D-4AFA-B8B0-C114340EED3B}</b:Guid>
    <b:Author>
      <b:Author>
        <b:NameList xmlns:msxsl="urn:schemas-microsoft-com:xslt" xmlns:b="http://schemas.openxmlformats.org/officeDocument/2006/bibliography">
          <b:Person>
            <b:Last>Beliaeva</b:Last>
            <b:First>Tatiana</b:First>
            <b:Middle/>
          </b:Person>
          <b:Person>
            <b:Last>Ferasso</b:Last>
            <b:First>Marcos</b:First>
            <b:Middle/>
          </b:Person>
          <b:Person>
            <b:Last>Kraus</b:Last>
            <b:First>Sascha</b:First>
            <b:Middle/>
          </b:Person>
          <b:Person>
            <b:Last>Damke</b:Last>
            <b:First>Elói</b:First>
            <b:Middle>Junior</b:Middle>
          </b:Person>
        </b:NameList>
      </b:Author>
    </b:Author>
    <b:Title>Dynamics of digital entrepreneurship and the innovation ecosystem</b:Title>
    <b:JournalName>International Journal of Entrepreneurial Behaviour &amp; Research</b:JournalName>
    <b:City/>
    <b:Year>2019</b:Year>
    <b:Month/>
    <b:Day/>
    <b:Pages/>
    <b:Publisher/>
    <b:Volume/>
    <b:Issue/>
    <b:ShortTitle/>
    <b:StandardNumber/>
    <b:Comments/>
    <b:Medium/>
    <b:YearAccessed>2020</b:YearAccessed>
    <b:MonthAccessed>3</b:MonthAccessed>
    <b:DayAccessed>30</b:DayAccessed>
    <b:URL>https://emerald.com/insight/content/doi/10.1108/ijebr-06-2019-0397/full/html</b:URL>
    <b:DOI/>
    <b:RefOrder>2</b:RefOrder>
  </b:Source>
</b:Sources>
</file>

<file path=customXml/itemProps1.xml><?xml version="1.0" encoding="utf-8"?>
<ds:datastoreItem xmlns:ds="http://schemas.openxmlformats.org/officeDocument/2006/customXml" ds:itemID="{2EA17E84-C6B5-421B-A369-A028AE87C3E8}">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24</Pages>
  <Words>8885</Words>
  <Characters>50645</Characters>
  <Application>Microsoft Office Word</Application>
  <DocSecurity>0</DocSecurity>
  <Lines>422</Lines>
  <Paragraphs>118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59412</CharactersWithSpaces>
  <SharedDoc>false</SharedDoc>
  <HLinks>
    <vt:vector size="78" baseType="variant">
      <vt:variant>
        <vt:i4>2293841</vt:i4>
      </vt:variant>
      <vt:variant>
        <vt:i4>36</vt:i4>
      </vt:variant>
      <vt:variant>
        <vt:i4>0</vt:i4>
      </vt:variant>
      <vt:variant>
        <vt:i4>5</vt:i4>
      </vt:variant>
      <vt:variant>
        <vt:lpwstr/>
      </vt:variant>
      <vt:variant>
        <vt:lpwstr>_bookmark12</vt:lpwstr>
      </vt:variant>
      <vt:variant>
        <vt:i4>2293841</vt:i4>
      </vt:variant>
      <vt:variant>
        <vt:i4>33</vt:i4>
      </vt:variant>
      <vt:variant>
        <vt:i4>0</vt:i4>
      </vt:variant>
      <vt:variant>
        <vt:i4>5</vt:i4>
      </vt:variant>
      <vt:variant>
        <vt:lpwstr/>
      </vt:variant>
      <vt:variant>
        <vt:lpwstr>_bookmark11</vt:lpwstr>
      </vt:variant>
      <vt:variant>
        <vt:i4>2293841</vt:i4>
      </vt:variant>
      <vt:variant>
        <vt:i4>30</vt:i4>
      </vt:variant>
      <vt:variant>
        <vt:i4>0</vt:i4>
      </vt:variant>
      <vt:variant>
        <vt:i4>5</vt:i4>
      </vt:variant>
      <vt:variant>
        <vt:lpwstr/>
      </vt:variant>
      <vt:variant>
        <vt:lpwstr>_bookmark10</vt:lpwstr>
      </vt:variant>
      <vt:variant>
        <vt:i4>2818129</vt:i4>
      </vt:variant>
      <vt:variant>
        <vt:i4>27</vt:i4>
      </vt:variant>
      <vt:variant>
        <vt:i4>0</vt:i4>
      </vt:variant>
      <vt:variant>
        <vt:i4>5</vt:i4>
      </vt:variant>
      <vt:variant>
        <vt:lpwstr/>
      </vt:variant>
      <vt:variant>
        <vt:lpwstr>_bookmark9</vt:lpwstr>
      </vt:variant>
      <vt:variant>
        <vt:i4>2752593</vt:i4>
      </vt:variant>
      <vt:variant>
        <vt:i4>24</vt:i4>
      </vt:variant>
      <vt:variant>
        <vt:i4>0</vt:i4>
      </vt:variant>
      <vt:variant>
        <vt:i4>5</vt:i4>
      </vt:variant>
      <vt:variant>
        <vt:lpwstr/>
      </vt:variant>
      <vt:variant>
        <vt:lpwstr>_bookmark8</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2555985</vt:i4>
      </vt:variant>
      <vt:variant>
        <vt:i4>15</vt:i4>
      </vt:variant>
      <vt:variant>
        <vt:i4>0</vt:i4>
      </vt:variant>
      <vt:variant>
        <vt:i4>5</vt:i4>
      </vt:variant>
      <vt:variant>
        <vt:lpwstr/>
      </vt:variant>
      <vt:variant>
        <vt:lpwstr>_bookmark5</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Dante_Im</dc:creator>
  <cp:keywords/>
  <cp:lastModifiedBy>Okan Gumus</cp:lastModifiedBy>
  <cp:revision>654</cp:revision>
  <cp:lastPrinted>2021-06-18T14:33:00Z</cp:lastPrinted>
  <dcterms:created xsi:type="dcterms:W3CDTF">2020-01-28T12:13:00Z</dcterms:created>
  <dcterms:modified xsi:type="dcterms:W3CDTF">2021-10-15T09:32:00Z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2016-03-16T00:00:00Z</vt:filetime>
  </property>
  <property fmtid="{D5CDD505-2E9C-101B-9397-08002B2CF9AE}" pid="3" name="Creator">
    <vt:lpwstr>Microsoft® Word 2013</vt:lpwstr>
  </property>
  <property fmtid="{D5CDD505-2E9C-101B-9397-08002B2CF9AE}" pid="4" name="LastSaved">
    <vt:filetime>2016-06-20T00:00:00Z</vt:filetime>
  </property>
</Properties>
</file>