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34" w:rsidRPr="00AC53A1" w:rsidRDefault="00017734" w:rsidP="001F6E4A">
      <w:pPr>
        <w:spacing w:before="100" w:beforeAutospacing="1"/>
        <w:jc w:val="center"/>
        <w:rPr>
          <w:rFonts w:asciiTheme="majorBidi" w:hAnsiTheme="majorBidi" w:cstheme="majorBidi"/>
          <w:b/>
          <w:sz w:val="24"/>
          <w:szCs w:val="24"/>
          <w:rtl/>
          <w:lang w:bidi="ar-IQ"/>
        </w:rPr>
      </w:pPr>
      <w:r w:rsidRPr="00AC53A1">
        <w:rPr>
          <w:rFonts w:asciiTheme="majorBidi" w:hAnsiTheme="majorBidi" w:cstheme="majorBidi"/>
          <w:b/>
          <w:sz w:val="24"/>
          <w:szCs w:val="24"/>
          <w:lang w:val="tr-TR" w:bidi="ar-IQ"/>
        </w:rPr>
        <w:t>EVALUATION OF ENZYMATIC ANTIOXIDANTS IN LEUKEMIA PATIENTS IN AL-ANBAR GOVERNORATE</w:t>
      </w:r>
    </w:p>
    <w:p w:rsidR="00151A8F" w:rsidRDefault="00017734" w:rsidP="001F6E4A">
      <w:pPr>
        <w:spacing w:before="100" w:beforeAutospacing="1"/>
        <w:rPr>
          <w:b/>
          <w:rtl/>
          <w:lang w:val="tr-TR" w:bidi="ar-IQ"/>
        </w:rPr>
      </w:pPr>
      <w:r>
        <w:rPr>
          <w:vertAlign w:val="superscript"/>
          <w:lang w:bidi="ar-IQ"/>
        </w:rPr>
        <w:t>1</w:t>
      </w:r>
      <w:r w:rsidRPr="00017734">
        <w:rPr>
          <w:rFonts w:ascii="Times New Roman" w:eastAsiaTheme="minorEastAsia" w:hAnsi="Times New Roman" w:cs="Times New Roman"/>
          <w:b/>
          <w:bCs/>
          <w:sz w:val="24"/>
          <w:szCs w:val="24"/>
          <w:lang w:val="tr-TR" w:eastAsia="tr-TR"/>
        </w:rPr>
        <w:t xml:space="preserve"> </w:t>
      </w:r>
      <w:r w:rsidRPr="00017734">
        <w:rPr>
          <w:b/>
          <w:bCs/>
          <w:lang w:val="tr-TR" w:bidi="ar-IQ"/>
        </w:rPr>
        <w:t>SABAH MEJBEL FARHAN AL-JUMAILI</w:t>
      </w:r>
      <w:r w:rsidR="002529E4">
        <w:rPr>
          <w:b/>
          <w:bCs/>
          <w:lang w:val="tr-TR" w:bidi="ar-IQ"/>
        </w:rPr>
        <w:t xml:space="preserve"> ,</w:t>
      </w:r>
      <w:r>
        <w:rPr>
          <w:vertAlign w:val="superscript"/>
          <w:lang w:bidi="ar-IQ"/>
        </w:rPr>
        <w:t xml:space="preserve">  </w:t>
      </w:r>
      <w:r w:rsidR="002529E4">
        <w:rPr>
          <w:vertAlign w:val="superscript"/>
          <w:lang w:bidi="ar-IQ"/>
        </w:rPr>
        <w:t xml:space="preserve">2 </w:t>
      </w:r>
      <w:r>
        <w:rPr>
          <w:vertAlign w:val="superscript"/>
          <w:lang w:bidi="ar-IQ"/>
        </w:rPr>
        <w:t xml:space="preserve"> </w:t>
      </w:r>
      <w:r w:rsidR="002529E4" w:rsidRPr="00017734">
        <w:rPr>
          <w:b/>
          <w:lang w:val="tr-TR" w:bidi="ar-IQ"/>
        </w:rPr>
        <w:t xml:space="preserve">Prof. Dr. Volkan EYÜPOĞLU </w:t>
      </w:r>
    </w:p>
    <w:p w:rsidR="00DF1A8B" w:rsidRDefault="00151A8F" w:rsidP="001F6E4A">
      <w:pPr>
        <w:spacing w:before="100" w:beforeAutospacing="1"/>
        <w:rPr>
          <w:b/>
          <w:bCs/>
          <w:lang w:val="tr-TR" w:bidi="ar-IQ"/>
        </w:rPr>
      </w:pPr>
      <w:r>
        <w:rPr>
          <w:b/>
          <w:vertAlign w:val="superscript"/>
          <w:lang w:val="tr-TR" w:bidi="ar-IQ"/>
        </w:rPr>
        <w:t>1</w:t>
      </w:r>
      <w:r>
        <w:rPr>
          <w:b/>
          <w:lang w:val="tr-TR" w:bidi="ar-IQ"/>
        </w:rPr>
        <w:t xml:space="preserve"> </w:t>
      </w:r>
      <w:r w:rsidRPr="00151A8F">
        <w:rPr>
          <w:b/>
          <w:lang w:val="tr-TR" w:bidi="ar-IQ"/>
        </w:rPr>
        <w:t>Ministry of Higher Education / Middle Technical University</w:t>
      </w:r>
      <w:r>
        <w:rPr>
          <w:b/>
          <w:lang w:val="tr-TR" w:bidi="ar-IQ"/>
        </w:rPr>
        <w:t xml:space="preserve">, </w:t>
      </w:r>
      <w:r>
        <w:rPr>
          <w:b/>
          <w:vertAlign w:val="superscript"/>
          <w:lang w:val="tr-TR" w:bidi="ar-IQ"/>
        </w:rPr>
        <w:t>2</w:t>
      </w:r>
      <w:r>
        <w:rPr>
          <w:b/>
          <w:lang w:val="tr-TR" w:bidi="ar-IQ"/>
        </w:rPr>
        <w:t xml:space="preserve"> </w:t>
      </w:r>
      <w:r w:rsidRPr="00151A8F">
        <w:rPr>
          <w:b/>
          <w:bCs/>
          <w:lang w:val="tr-TR" w:bidi="ar-IQ"/>
        </w:rPr>
        <w:t>ÇANKIRI Univrsity</w:t>
      </w:r>
      <w:r w:rsidR="00DF1A8B">
        <w:rPr>
          <w:b/>
          <w:bCs/>
          <w:lang w:val="tr-TR" w:bidi="ar-IQ"/>
        </w:rPr>
        <w:t>.</w:t>
      </w:r>
    </w:p>
    <w:p w:rsidR="00566057" w:rsidRDefault="00DF1A8B" w:rsidP="00566057">
      <w:pPr>
        <w:spacing w:before="100" w:beforeAutospacing="1"/>
        <w:contextualSpacing/>
        <w:rPr>
          <w:rFonts w:asciiTheme="majorBidi" w:hAnsiTheme="majorBidi" w:cstheme="majorBidi"/>
          <w:b/>
          <w:lang w:bidi="ar-IQ"/>
        </w:rPr>
      </w:pPr>
      <w:r w:rsidRPr="00390261">
        <w:rPr>
          <w:rFonts w:asciiTheme="majorBidi" w:hAnsiTheme="majorBidi" w:cstheme="majorBidi"/>
          <w:b/>
          <w:bCs/>
          <w:lang w:val="tr-TR" w:bidi="ar-IQ"/>
        </w:rPr>
        <w:t>Background :</w:t>
      </w:r>
      <w:r w:rsidRPr="00390261">
        <w:rPr>
          <w:rFonts w:asciiTheme="majorBidi" w:hAnsiTheme="majorBidi" w:cstheme="majorBidi"/>
        </w:rPr>
        <w:t xml:space="preserve"> </w:t>
      </w:r>
      <w:r w:rsidRPr="00390261">
        <w:rPr>
          <w:rFonts w:asciiTheme="majorBidi" w:hAnsiTheme="majorBidi" w:cstheme="majorBidi"/>
          <w:lang w:val="tr-TR" w:bidi="ar-IQ"/>
        </w:rPr>
        <w:t>Leukaemia patients have excessively high WBC counts in their bone marrow and blood. Symptoms of aberrant cells caused by bone marrow loss (i.e.: anaemia, neutropenia and thrombocytopenia). Infiltration (b) (e.g. liver, spleen, lymph nodes, brain, skin or testes). Aerobic organisms have a well-known antioxidant defence system. Oxidative stress causes several biochemical changes and is linked to many chronic diseases such as atherosclerosis, cardiovascular disease, mutagenesis, and cancer</w:t>
      </w:r>
      <w:r w:rsidR="000823B0" w:rsidRPr="00390261">
        <w:rPr>
          <w:rFonts w:asciiTheme="majorBidi" w:hAnsiTheme="majorBidi" w:cstheme="majorBidi"/>
        </w:rPr>
        <w:t xml:space="preserve"> </w:t>
      </w:r>
      <w:r w:rsidR="000823B0" w:rsidRPr="00390261">
        <w:rPr>
          <w:rFonts w:asciiTheme="majorBidi" w:hAnsiTheme="majorBidi" w:cstheme="majorBidi"/>
          <w:lang w:val="tr-TR" w:bidi="ar-IQ"/>
        </w:rPr>
        <w:t>In mammalian cells</w:t>
      </w:r>
      <w:r w:rsidR="000823B0" w:rsidRPr="00390261">
        <w:rPr>
          <w:rFonts w:asciiTheme="majorBidi" w:hAnsiTheme="majorBidi" w:cstheme="majorBidi"/>
          <w:lang w:bidi="ar-IQ"/>
        </w:rPr>
        <w:t>.</w:t>
      </w:r>
      <w:r w:rsidR="000823B0" w:rsidRPr="00390261">
        <w:rPr>
          <w:rFonts w:asciiTheme="majorBidi" w:hAnsiTheme="majorBidi" w:cstheme="majorBidi"/>
        </w:rPr>
        <w:t xml:space="preserve"> </w:t>
      </w:r>
      <w:r w:rsidR="000823B0" w:rsidRPr="00390261">
        <w:rPr>
          <w:rFonts w:asciiTheme="majorBidi" w:hAnsiTheme="majorBidi" w:cstheme="majorBidi"/>
          <w:lang w:bidi="ar-IQ"/>
        </w:rPr>
        <w:t>Recently, free radicals, particularly oxygen radicals, have been linked to the multistep carcinogenesis process. Several antioxidants have been found to prevent neoplastic</w:t>
      </w:r>
      <w:r w:rsidR="00390261">
        <w:rPr>
          <w:rFonts w:asciiTheme="majorBidi" w:hAnsiTheme="majorBidi" w:cstheme="majorBidi"/>
          <w:b/>
          <w:lang w:bidi="ar-IQ"/>
        </w:rPr>
        <w:t>.</w:t>
      </w:r>
    </w:p>
    <w:p w:rsidR="00DF1A8B" w:rsidRPr="00390261" w:rsidRDefault="00390261" w:rsidP="00566057">
      <w:pPr>
        <w:spacing w:before="100" w:beforeAutospacing="1"/>
        <w:contextualSpacing/>
        <w:rPr>
          <w:rFonts w:asciiTheme="majorBidi" w:hAnsiTheme="majorBidi" w:cstheme="majorBidi"/>
          <w:b/>
          <w:lang w:bidi="ar-IQ"/>
        </w:rPr>
      </w:pPr>
      <w:r>
        <w:rPr>
          <w:rFonts w:asciiTheme="majorBidi" w:hAnsiTheme="majorBidi" w:cstheme="majorBidi"/>
          <w:b/>
          <w:lang w:bidi="ar-IQ"/>
        </w:rPr>
        <w:t xml:space="preserve"> </w:t>
      </w:r>
    </w:p>
    <w:p w:rsidR="00D26F2E" w:rsidRDefault="00390261" w:rsidP="001F6E4A">
      <w:pPr>
        <w:spacing w:before="100" w:beforeAutospacing="1"/>
        <w:contextualSpacing/>
        <w:rPr>
          <w:b/>
          <w:lang w:bidi="ar-IQ"/>
        </w:rPr>
      </w:pPr>
      <w:r w:rsidRPr="00D26F2E">
        <w:rPr>
          <w:rFonts w:asciiTheme="majorBidi" w:hAnsiTheme="majorBidi" w:cstheme="majorBidi"/>
          <w:b/>
          <w:bCs/>
          <w:lang w:val="tr-TR" w:bidi="ar-IQ"/>
        </w:rPr>
        <w:t>Aim of thesis</w:t>
      </w:r>
      <w:r w:rsidRPr="00390261">
        <w:rPr>
          <w:b/>
          <w:bCs/>
          <w:lang w:val="tr-TR" w:bidi="ar-IQ"/>
        </w:rPr>
        <w:t>:</w:t>
      </w:r>
      <w:r w:rsidR="00C57BA3" w:rsidRPr="00390261">
        <w:rPr>
          <w:b/>
          <w:lang w:bidi="ar-IQ"/>
        </w:rPr>
        <w:t xml:space="preserve"> </w:t>
      </w:r>
      <w:r>
        <w:rPr>
          <w:bCs/>
          <w:lang w:bidi="ar-IQ"/>
        </w:rPr>
        <w:t xml:space="preserve"> </w:t>
      </w:r>
      <w:r w:rsidRPr="00390261">
        <w:rPr>
          <w:rFonts w:asciiTheme="majorBidi" w:hAnsiTheme="majorBidi" w:cstheme="majorBidi"/>
          <w:bCs/>
          <w:lang w:bidi="ar-IQ"/>
        </w:rPr>
        <w:t>In this project will be to investigate the activity of antioxidant</w:t>
      </w:r>
      <w:r w:rsidR="00AC53A1">
        <w:rPr>
          <w:rFonts w:asciiTheme="majorBidi" w:hAnsiTheme="majorBidi" w:cstheme="majorBidi"/>
          <w:bCs/>
          <w:lang w:bidi="ar-IQ"/>
        </w:rPr>
        <w:t xml:space="preserve"> </w:t>
      </w:r>
      <w:r w:rsidRPr="00390261">
        <w:rPr>
          <w:rFonts w:asciiTheme="majorBidi" w:hAnsiTheme="majorBidi" w:cstheme="majorBidi"/>
          <w:bCs/>
          <w:lang w:bidi="ar-IQ"/>
        </w:rPr>
        <w:t>enzymes including: superoxide dismutase (SOD), and catalase (CAT) in leukemic patients,</w:t>
      </w:r>
      <w:r w:rsidR="00D26F2E">
        <w:rPr>
          <w:rFonts w:asciiTheme="majorBidi" w:hAnsiTheme="majorBidi" w:cstheme="majorBidi"/>
          <w:bCs/>
          <w:lang w:bidi="ar-IQ"/>
        </w:rPr>
        <w:t xml:space="preserve"> in </w:t>
      </w:r>
      <w:r w:rsidRPr="00390261">
        <w:rPr>
          <w:rFonts w:asciiTheme="majorBidi" w:hAnsiTheme="majorBidi" w:cstheme="majorBidi"/>
          <w:bCs/>
          <w:lang w:bidi="ar-IQ"/>
        </w:rPr>
        <w:t xml:space="preserve"> </w:t>
      </w:r>
      <w:r w:rsidR="009F1767" w:rsidRPr="00390261">
        <w:rPr>
          <w:rFonts w:asciiTheme="majorBidi" w:hAnsiTheme="majorBidi" w:cstheme="majorBidi"/>
          <w:bCs/>
          <w:lang w:bidi="ar-IQ"/>
        </w:rPr>
        <w:t>Iraqi</w:t>
      </w:r>
      <w:r w:rsidRPr="00390261">
        <w:rPr>
          <w:rFonts w:asciiTheme="majorBidi" w:hAnsiTheme="majorBidi" w:cstheme="majorBidi"/>
          <w:bCs/>
          <w:lang w:bidi="ar-IQ"/>
        </w:rPr>
        <w:t xml:space="preserve"> patients</w:t>
      </w:r>
      <w:r>
        <w:rPr>
          <w:rFonts w:asciiTheme="majorBidi" w:hAnsiTheme="majorBidi" w:cstheme="majorBidi"/>
          <w:bCs/>
          <w:lang w:bidi="ar-IQ"/>
        </w:rPr>
        <w:t>.</w:t>
      </w:r>
    </w:p>
    <w:p w:rsidR="009F1767" w:rsidRPr="009F1767" w:rsidRDefault="00D26F2E" w:rsidP="00566057">
      <w:pPr>
        <w:spacing w:before="100" w:beforeAutospacing="1"/>
        <w:rPr>
          <w:rFonts w:ascii="Times New Roman" w:eastAsia="Times New Roman" w:hAnsi="Times New Roman" w:cs="Times New Roman"/>
          <w:bCs/>
          <w:lang w:eastAsia="tr-TR" w:bidi="ar-IQ"/>
        </w:rPr>
      </w:pPr>
      <w:r w:rsidRPr="00D26F2E">
        <w:rPr>
          <w:rFonts w:asciiTheme="majorBidi" w:hAnsiTheme="majorBidi" w:cstheme="majorBidi"/>
          <w:b/>
          <w:bCs/>
          <w:lang w:val="tr-TR" w:bidi="ar-IQ"/>
        </w:rPr>
        <w:t>Material and methods:</w:t>
      </w:r>
      <w:r w:rsidR="009F1767" w:rsidRPr="009F1767">
        <w:rPr>
          <w:rFonts w:ascii="Times New Roman" w:eastAsia="Times New Roman" w:hAnsi="Times New Roman" w:cs="Times New Roman"/>
          <w:bCs/>
          <w:lang w:eastAsia="tr-TR" w:bidi="ar-IQ"/>
        </w:rPr>
        <w:t xml:space="preserve"> Our research participants through the utilization of study participants at the National Center for Hematology ,Ramadi- Teaching Hospital. Patients between the ages of 13 and 72 with acute lymphoblastic leukemia (ALL) and acute myeloid leukemia (AML) were enrolled in the study</w:t>
      </w:r>
      <w:r w:rsidR="00566057">
        <w:rPr>
          <w:rFonts w:ascii="Times New Roman" w:eastAsia="Times New Roman" w:hAnsi="Times New Roman" w:cs="Times New Roman"/>
          <w:bCs/>
          <w:lang w:eastAsia="tr-TR" w:bidi="ar-IQ"/>
        </w:rPr>
        <w:t>.</w:t>
      </w:r>
    </w:p>
    <w:p w:rsidR="009F1767" w:rsidRPr="009F1767" w:rsidRDefault="009F1767" w:rsidP="00566057">
      <w:pPr>
        <w:spacing w:before="100" w:beforeAutospacing="1" w:line="240" w:lineRule="auto"/>
        <w:rPr>
          <w:rFonts w:ascii="Times New Roman" w:eastAsia="Times New Roman" w:hAnsi="Times New Roman" w:cs="Times New Roman"/>
          <w:bCs/>
          <w:lang w:eastAsia="tr-TR" w:bidi="ar-IQ"/>
        </w:rPr>
      </w:pPr>
      <w:r w:rsidRPr="009F1767">
        <w:rPr>
          <w:rFonts w:ascii="Times New Roman" w:eastAsia="Times New Roman" w:hAnsi="Times New Roman" w:cs="Times New Roman"/>
          <w:bCs/>
          <w:lang w:eastAsia="tr-TR" w:bidi="ar-IQ"/>
        </w:rPr>
        <w:t>there are three main divisions</w:t>
      </w:r>
      <w:r w:rsidR="008508B5">
        <w:rPr>
          <w:rFonts w:ascii="Times New Roman" w:eastAsia="Times New Roman" w:hAnsi="Times New Roman" w:cs="Times New Roman"/>
          <w:bCs/>
          <w:lang w:eastAsia="tr-TR" w:bidi="ar-IQ"/>
        </w:rPr>
        <w:t>:</w:t>
      </w:r>
    </w:p>
    <w:p w:rsidR="009F1767" w:rsidRPr="009F1767" w:rsidRDefault="009F1767" w:rsidP="00566057">
      <w:pPr>
        <w:spacing w:before="100" w:beforeAutospacing="1" w:line="240" w:lineRule="auto"/>
        <w:rPr>
          <w:rFonts w:ascii="Times New Roman" w:eastAsia="Times New Roman" w:hAnsi="Times New Roman" w:cs="Times New Roman"/>
          <w:bCs/>
          <w:lang w:eastAsia="tr-TR" w:bidi="ar-IQ"/>
        </w:rPr>
      </w:pPr>
      <w:r w:rsidRPr="009F1767">
        <w:rPr>
          <w:rFonts w:ascii="Times New Roman" w:eastAsia="Times New Roman" w:hAnsi="Times New Roman" w:cs="Times New Roman"/>
          <w:bCs/>
          <w:lang w:eastAsia="tr-TR" w:bidi="ar-IQ"/>
        </w:rPr>
        <w:t>Group A (GA):  acute</w:t>
      </w:r>
      <w:r w:rsidR="008F40C1">
        <w:rPr>
          <w:rFonts w:ascii="Times New Roman" w:eastAsia="Times New Roman" w:hAnsi="Times New Roman" w:cs="Times New Roman"/>
          <w:bCs/>
          <w:lang w:eastAsia="tr-TR" w:bidi="ar-IQ"/>
        </w:rPr>
        <w:t xml:space="preserve"> Lymphoblastic Leukemia (ALL) </w:t>
      </w:r>
      <w:r w:rsidRPr="009F1767">
        <w:rPr>
          <w:rFonts w:ascii="Times New Roman" w:eastAsia="Times New Roman" w:hAnsi="Times New Roman" w:cs="Times New Roman"/>
          <w:bCs/>
          <w:lang w:eastAsia="tr-TR" w:bidi="ar-IQ"/>
        </w:rPr>
        <w:t>50</w:t>
      </w:r>
      <w:r w:rsidRPr="009F1767">
        <w:rPr>
          <w:rFonts w:ascii="Times New Roman" w:eastAsia="Times New Roman" w:hAnsi="Times New Roman" w:cs="Times New Roman"/>
          <w:bCs/>
          <w:rtl/>
          <w:lang w:eastAsia="tr-TR" w:bidi="ar-IQ"/>
        </w:rPr>
        <w:t xml:space="preserve"> </w:t>
      </w:r>
    </w:p>
    <w:p w:rsidR="009F1767" w:rsidRPr="009F1767" w:rsidRDefault="009F1767" w:rsidP="00566057">
      <w:pPr>
        <w:spacing w:before="100" w:beforeAutospacing="1" w:line="240" w:lineRule="auto"/>
        <w:rPr>
          <w:rFonts w:ascii="Times New Roman" w:eastAsia="Times New Roman" w:hAnsi="Times New Roman" w:cs="Times New Roman"/>
          <w:bCs/>
          <w:lang w:eastAsia="tr-TR" w:bidi="ar-IQ"/>
        </w:rPr>
      </w:pPr>
      <w:r w:rsidRPr="009F1767">
        <w:rPr>
          <w:rFonts w:ascii="Times New Roman" w:eastAsia="Times New Roman" w:hAnsi="Times New Roman" w:cs="Times New Roman"/>
          <w:bCs/>
          <w:lang w:eastAsia="tr-TR" w:bidi="ar-IQ"/>
        </w:rPr>
        <w:t>Group B (GB):  acute myeloid leukemia (AML) 50</w:t>
      </w:r>
    </w:p>
    <w:p w:rsidR="009F1767" w:rsidRPr="009F1767" w:rsidRDefault="009F1767" w:rsidP="00566057">
      <w:pPr>
        <w:spacing w:before="100" w:beforeAutospacing="1" w:line="240" w:lineRule="auto"/>
        <w:rPr>
          <w:rFonts w:ascii="Times New Roman" w:eastAsia="Times New Roman" w:hAnsi="Times New Roman" w:cs="Times New Roman"/>
          <w:bCs/>
          <w:lang w:eastAsia="tr-TR" w:bidi="ar-IQ"/>
        </w:rPr>
      </w:pPr>
      <w:r w:rsidRPr="009F1767">
        <w:rPr>
          <w:rFonts w:ascii="Times New Roman" w:eastAsia="Times New Roman" w:hAnsi="Times New Roman" w:cs="Times New Roman"/>
          <w:bCs/>
          <w:lang w:eastAsia="tr-TR" w:bidi="ar-IQ"/>
        </w:rPr>
        <w:t xml:space="preserve">Group C </w:t>
      </w:r>
      <w:r w:rsidR="008F40C1">
        <w:rPr>
          <w:rFonts w:ascii="Times New Roman" w:eastAsia="Times New Roman" w:hAnsi="Times New Roman" w:cs="Times New Roman"/>
          <w:bCs/>
          <w:lang w:eastAsia="tr-TR" w:bidi="ar-IQ"/>
        </w:rPr>
        <w:t xml:space="preserve">(GC):  healthy control groups </w:t>
      </w:r>
      <w:r w:rsidRPr="009F1767">
        <w:rPr>
          <w:rFonts w:ascii="Times New Roman" w:eastAsia="Times New Roman" w:hAnsi="Times New Roman" w:cs="Times New Roman"/>
          <w:bCs/>
          <w:lang w:eastAsia="tr-TR" w:bidi="ar-IQ"/>
        </w:rPr>
        <w:t>50 (Controls group)</w:t>
      </w:r>
    </w:p>
    <w:p w:rsidR="00F55CD5" w:rsidRPr="009F1767" w:rsidRDefault="009F1767" w:rsidP="001F6E4A">
      <w:pPr>
        <w:spacing w:before="100" w:beforeAutospacing="1"/>
        <w:rPr>
          <w:rFonts w:ascii="Times New Roman" w:eastAsia="Times New Roman" w:hAnsi="Times New Roman" w:cs="Times New Roman"/>
          <w:bCs/>
          <w:lang w:eastAsia="tr-TR" w:bidi="ar-IQ"/>
        </w:rPr>
      </w:pPr>
      <w:r w:rsidRPr="009F1767">
        <w:rPr>
          <w:rFonts w:ascii="Times New Roman" w:eastAsia="Times New Roman" w:hAnsi="Times New Roman" w:cs="Times New Roman"/>
          <w:bCs/>
          <w:lang w:eastAsia="tr-TR" w:bidi="ar-IQ"/>
        </w:rPr>
        <w:t xml:space="preserve"> The control group consisted of thirty-four adults ranging in age from 19 to 59, all of whom looked to be volunteers. They were divided into two groups: the experimental group and the control group. No one had any clinical or laboratory evidence that could have an impact on the parameters that were going to be evaluated.</w:t>
      </w:r>
    </w:p>
    <w:p w:rsidR="00151A8F" w:rsidRDefault="009F1767" w:rsidP="00566057">
      <w:pPr>
        <w:spacing w:before="100" w:beforeAutospacing="1" w:line="240" w:lineRule="auto"/>
        <w:rPr>
          <w:rFonts w:asciiTheme="majorBidi" w:hAnsiTheme="majorBidi" w:cstheme="majorBidi"/>
          <w:lang w:bidi="ar-IQ"/>
        </w:rPr>
      </w:pPr>
      <w:r w:rsidRPr="009F1767">
        <w:rPr>
          <w:rFonts w:asciiTheme="majorBidi" w:hAnsiTheme="majorBidi" w:cstheme="majorBidi"/>
          <w:b/>
          <w:bCs/>
          <w:lang w:val="tr-TR" w:bidi="ar-IQ"/>
        </w:rPr>
        <w:t>Results :</w:t>
      </w:r>
      <w:r w:rsidRPr="009F1767">
        <w:rPr>
          <w:rFonts w:asciiTheme="majorBidi" w:hAnsiTheme="majorBidi" w:cstheme="majorBidi"/>
          <w:lang w:val="tr-TR" w:bidi="ar-IQ"/>
        </w:rPr>
        <w:t xml:space="preserve"> </w:t>
      </w:r>
      <w:r w:rsidR="004F1190" w:rsidRPr="00151A8F">
        <w:rPr>
          <w:rFonts w:asciiTheme="majorBidi" w:hAnsiTheme="majorBidi" w:cstheme="majorBidi"/>
          <w:lang w:bidi="ar-IQ"/>
        </w:rPr>
        <w:t xml:space="preserve">The study included the determination of the antioxidants levels  . and relationship between enzymatic correlation with leukemia patients. Patients had higher SOD activity than healthy controls (p 0.001) for ALL and AML.  The total serum catalase activity of AML and ALL patients was considerably lower than that of healthy controls (P&lt;0.01).  The AML and ALL mean levels have grown considerably (p&lt;0.001) for both ALL and AML had high amounts of </w:t>
      </w:r>
      <w:proofErr w:type="spellStart"/>
      <w:r w:rsidR="004F1190" w:rsidRPr="00151A8F">
        <w:rPr>
          <w:rFonts w:asciiTheme="majorBidi" w:hAnsiTheme="majorBidi" w:cstheme="majorBidi"/>
          <w:lang w:bidi="ar-IQ"/>
        </w:rPr>
        <w:t>ceruloplasmin</w:t>
      </w:r>
      <w:proofErr w:type="spellEnd"/>
      <w:r w:rsidR="004F1190" w:rsidRPr="00151A8F">
        <w:rPr>
          <w:rFonts w:asciiTheme="majorBidi" w:hAnsiTheme="majorBidi" w:cstheme="majorBidi"/>
          <w:lang w:bidi="ar-IQ"/>
        </w:rPr>
        <w:t>.</w:t>
      </w:r>
    </w:p>
    <w:p w:rsidR="009F1767" w:rsidRPr="009F1767" w:rsidRDefault="009F1767" w:rsidP="00566057">
      <w:pPr>
        <w:spacing w:before="100" w:beforeAutospacing="1" w:line="240" w:lineRule="auto"/>
        <w:rPr>
          <w:rFonts w:asciiTheme="majorBidi" w:hAnsiTheme="majorBidi" w:cstheme="majorBidi"/>
          <w:rtl/>
          <w:lang w:bidi="ar-IQ"/>
        </w:rPr>
      </w:pPr>
      <w:r w:rsidRPr="00C57BA3">
        <w:rPr>
          <w:rFonts w:asciiTheme="majorBidi" w:hAnsiTheme="majorBidi" w:cstheme="majorBidi"/>
          <w:b/>
          <w:bCs/>
          <w:lang w:val="tr-TR" w:bidi="ar-IQ"/>
        </w:rPr>
        <w:t>Conclustions :</w:t>
      </w:r>
      <w:r w:rsidRPr="00C57BA3">
        <w:rPr>
          <w:rFonts w:asciiTheme="majorBidi" w:hAnsiTheme="majorBidi" w:cstheme="majorBidi"/>
          <w:b/>
          <w:bCs/>
        </w:rPr>
        <w:t xml:space="preserve"> </w:t>
      </w:r>
      <w:r w:rsidRPr="00C57BA3">
        <w:rPr>
          <w:rFonts w:asciiTheme="majorBidi" w:hAnsiTheme="majorBidi" w:cstheme="majorBidi"/>
          <w:lang w:val="tr-TR" w:bidi="ar-IQ"/>
        </w:rPr>
        <w:t xml:space="preserve">Serum SOD activity rises significantly in both types </w:t>
      </w:r>
      <w:r w:rsidR="00566057">
        <w:rPr>
          <w:rFonts w:asciiTheme="majorBidi" w:hAnsiTheme="majorBidi" w:cstheme="majorBidi"/>
          <w:lang w:val="tr-TR" w:bidi="ar-IQ"/>
        </w:rPr>
        <w:t xml:space="preserve">of acute leukemia. Oxidative </w:t>
      </w:r>
      <w:r w:rsidRPr="00C57BA3">
        <w:rPr>
          <w:rFonts w:asciiTheme="majorBidi" w:hAnsiTheme="majorBidi" w:cstheme="majorBidi"/>
          <w:lang w:val="tr-TR" w:bidi="ar-IQ"/>
        </w:rPr>
        <w:t xml:space="preserve"> stress may be a contributing factor. On the other hand, differences between AML and ALL may be related to the severity of the disease. Probably around 65 years of age</w:t>
      </w:r>
      <w:r w:rsidR="00C57BA3">
        <w:rPr>
          <w:rFonts w:asciiTheme="majorBidi" w:hAnsiTheme="majorBidi" w:cstheme="majorBidi"/>
          <w:lang w:bidi="ar-IQ"/>
        </w:rPr>
        <w:t>.</w:t>
      </w:r>
    </w:p>
    <w:p w:rsidR="00151A8F" w:rsidRDefault="00151A8F" w:rsidP="001F6E4A">
      <w:pPr>
        <w:spacing w:before="100" w:beforeAutospacing="1"/>
        <w:rPr>
          <w:rFonts w:asciiTheme="majorBidi" w:hAnsiTheme="majorBidi" w:cstheme="majorBidi"/>
          <w:lang w:val="tr-TR" w:bidi="ar-IQ"/>
        </w:rPr>
      </w:pPr>
      <w:r w:rsidRPr="00151A8F">
        <w:rPr>
          <w:rFonts w:asciiTheme="majorBidi" w:hAnsiTheme="majorBidi" w:cstheme="majorBidi"/>
          <w:b/>
          <w:lang w:val="tr-TR" w:bidi="ar-IQ"/>
        </w:rPr>
        <w:t>Keywords:</w:t>
      </w:r>
      <w:r>
        <w:rPr>
          <w:rFonts w:asciiTheme="majorBidi" w:hAnsiTheme="majorBidi" w:cstheme="majorBidi"/>
          <w:lang w:val="tr-TR" w:bidi="ar-IQ"/>
        </w:rPr>
        <w:t xml:space="preserve"> </w:t>
      </w:r>
      <w:r w:rsidRPr="00151A8F">
        <w:rPr>
          <w:rFonts w:asciiTheme="majorBidi" w:hAnsiTheme="majorBidi" w:cstheme="majorBidi"/>
          <w:lang w:val="tr-TR" w:bidi="ar-IQ"/>
        </w:rPr>
        <w:t xml:space="preserve">Acute leukemia, Superoxide dismutase (SOD), </w:t>
      </w:r>
      <w:r>
        <w:rPr>
          <w:rFonts w:asciiTheme="majorBidi" w:hAnsiTheme="majorBidi" w:cstheme="majorBidi"/>
          <w:lang w:val="tr-TR" w:bidi="ar-IQ"/>
        </w:rPr>
        <w:t xml:space="preserve">antioxidant,  </w:t>
      </w:r>
    </w:p>
    <w:p w:rsidR="00B736DB" w:rsidRDefault="00EE1258" w:rsidP="00B736DB">
      <w:pPr>
        <w:spacing w:before="100" w:beforeAutospacing="1"/>
        <w:rPr>
          <w:rFonts w:asciiTheme="majorBidi" w:hAnsiTheme="majorBidi" w:cstheme="majorBidi"/>
          <w:lang w:val="tr-TR" w:bidi="ar-IQ"/>
        </w:rPr>
      </w:pPr>
      <w:r w:rsidRPr="00EE1258">
        <w:rPr>
          <w:rFonts w:asciiTheme="majorBidi" w:hAnsiTheme="majorBidi" w:cstheme="majorBidi"/>
          <w:b/>
          <w:bCs/>
          <w:lang w:val="tr-TR" w:bidi="ar-IQ"/>
        </w:rPr>
        <w:lastRenderedPageBreak/>
        <w:t>1.İntroductions :</w:t>
      </w:r>
      <w:r w:rsidR="0013745F" w:rsidRPr="0013745F">
        <w:rPr>
          <w:rFonts w:asciiTheme="majorBidi" w:eastAsiaTheme="minorEastAsia" w:hAnsiTheme="majorBidi" w:cstheme="majorBidi"/>
          <w:sz w:val="24"/>
          <w:szCs w:val="24"/>
          <w:lang w:val="tr-TR" w:eastAsia="tr-TR"/>
        </w:rPr>
        <w:t xml:space="preserve"> </w:t>
      </w:r>
      <w:r w:rsidR="0013745F" w:rsidRPr="0013745F">
        <w:rPr>
          <w:rFonts w:asciiTheme="majorBidi" w:hAnsiTheme="majorBidi" w:cstheme="majorBidi"/>
          <w:lang w:val="tr-TR" w:bidi="ar-IQ"/>
        </w:rPr>
        <w:t xml:space="preserve">Leukaemia patients have excessively high WBC counts in their bone marrow and blood. Symptoms of aberrant cells caused by bone marrow loss (i.e.: anaemia, neutropenia and thrombocytopenia). Infiltration (b) (e.g. liver, spleen, lymph nodes, brain, skin or testes). Acute and chronic leukemias are lymphoid or myeloid (Shroff </w:t>
      </w:r>
      <w:r w:rsidR="0013745F" w:rsidRPr="0013745F">
        <w:rPr>
          <w:rFonts w:asciiTheme="majorBidi" w:hAnsiTheme="majorBidi" w:cstheme="majorBidi"/>
          <w:i/>
          <w:iCs/>
          <w:lang w:val="tr-TR" w:bidi="ar-IQ"/>
        </w:rPr>
        <w:t>et al.</w:t>
      </w:r>
      <w:r w:rsidR="0013745F" w:rsidRPr="0013745F">
        <w:rPr>
          <w:rFonts w:asciiTheme="majorBidi" w:hAnsiTheme="majorBidi" w:cstheme="majorBidi"/>
          <w:lang w:val="tr-TR" w:bidi="ar-IQ"/>
        </w:rPr>
        <w:t xml:space="preserve"> 2019).</w:t>
      </w:r>
    </w:p>
    <w:p w:rsidR="00B736DB" w:rsidRDefault="0013745F" w:rsidP="00B736DB">
      <w:pPr>
        <w:spacing w:before="100" w:beforeAutospacing="1"/>
        <w:rPr>
          <w:rFonts w:asciiTheme="majorBidi" w:hAnsiTheme="majorBidi" w:cstheme="majorBidi"/>
          <w:lang w:val="tr-TR" w:bidi="ar-IQ"/>
        </w:rPr>
      </w:pPr>
      <w:r w:rsidRPr="0013745F">
        <w:rPr>
          <w:rFonts w:asciiTheme="majorBidi" w:hAnsiTheme="majorBidi" w:cstheme="majorBidi"/>
          <w:lang w:val="tr-TR" w:bidi="ar-IQ"/>
        </w:rPr>
        <w:t xml:space="preserve"> At diagnosis, acute leukemia patients have more than 30% blast cells in their bone marrow. Acute myeloid leukaemia (AML) and acute lymphoblastic leukaemia (ALL) are subtypes of leukemia (Laosai and Chamnongthai 2018). Aerobic organisms have a well-known antioxidant defence system. Oxidative stress causes several biochemical changes and is linked to many chronic diseases such as atherosclerosis, cardiovascular disease, mutagenesis, and cancer (Sharifi-Rad </w:t>
      </w:r>
      <w:r w:rsidRPr="0013745F">
        <w:rPr>
          <w:rFonts w:asciiTheme="majorBidi" w:hAnsiTheme="majorBidi" w:cstheme="majorBidi"/>
          <w:i/>
          <w:iCs/>
          <w:lang w:val="tr-TR" w:bidi="ar-IQ"/>
        </w:rPr>
        <w:t>et al.</w:t>
      </w:r>
      <w:r w:rsidRPr="0013745F">
        <w:rPr>
          <w:rFonts w:asciiTheme="majorBidi" w:hAnsiTheme="majorBidi" w:cstheme="majorBidi"/>
          <w:lang w:val="tr-TR" w:bidi="ar-IQ"/>
        </w:rPr>
        <w:t xml:space="preserve"> 2020). </w:t>
      </w:r>
    </w:p>
    <w:p w:rsidR="00B736DB" w:rsidRDefault="0013745F" w:rsidP="00B736DB">
      <w:pPr>
        <w:spacing w:before="100" w:beforeAutospacing="1"/>
        <w:rPr>
          <w:rFonts w:asciiTheme="majorBidi" w:hAnsiTheme="majorBidi" w:cstheme="majorBidi"/>
          <w:lang w:val="tr-TR" w:bidi="ar-IQ"/>
        </w:rPr>
      </w:pPr>
      <w:r w:rsidRPr="0013745F">
        <w:rPr>
          <w:rFonts w:asciiTheme="majorBidi" w:hAnsiTheme="majorBidi" w:cstheme="majorBidi"/>
          <w:lang w:val="tr-TR" w:bidi="ar-IQ"/>
        </w:rPr>
        <w:t xml:space="preserve">The antioxidant systems, both enzyme-dependent and non-enzymatic, have been associated with many malignancies. Superoxide dismutase, an intracellular enzyme, may allow anticancer drugs and radiation to avoid leukaemia and malignant cells (SOD). The absence of Mn-SOD activity was revealed as a tumor cell phenotypic characteristic (Griess </w:t>
      </w:r>
      <w:r w:rsidRPr="0013745F">
        <w:rPr>
          <w:rFonts w:asciiTheme="majorBidi" w:hAnsiTheme="majorBidi" w:cstheme="majorBidi"/>
          <w:i/>
          <w:iCs/>
          <w:lang w:val="tr-TR" w:bidi="ar-IQ"/>
        </w:rPr>
        <w:t>et al.</w:t>
      </w:r>
      <w:r w:rsidRPr="0013745F">
        <w:rPr>
          <w:rFonts w:asciiTheme="majorBidi" w:hAnsiTheme="majorBidi" w:cstheme="majorBidi"/>
          <w:lang w:val="tr-TR" w:bidi="ar-IQ"/>
        </w:rPr>
        <w:t xml:space="preserve"> 2017).</w:t>
      </w:r>
    </w:p>
    <w:p w:rsidR="00B736DB" w:rsidRDefault="0013745F" w:rsidP="00B736DB">
      <w:pPr>
        <w:spacing w:before="100" w:beforeAutospacing="1"/>
        <w:rPr>
          <w:rFonts w:asciiTheme="majorBidi" w:hAnsiTheme="majorBidi" w:cstheme="majorBidi"/>
          <w:lang w:val="tr-TR" w:bidi="ar-IQ"/>
        </w:rPr>
      </w:pPr>
      <w:r w:rsidRPr="0013745F">
        <w:rPr>
          <w:rFonts w:asciiTheme="majorBidi" w:hAnsiTheme="majorBidi" w:cstheme="majorBidi"/>
          <w:lang w:val="tr-TR" w:bidi="ar-IQ"/>
        </w:rPr>
        <w:t xml:space="preserve"> In mammalian cells, glutathione peroxidase appears to be an essential antioxidant enzyme, but superoxide dismutase, catalase, and peroxidase are all critical. It is thought that enzymes are highly segregated in the cell. Copper and zinc-containing SOD reside in the cytoplasm, while manganese-containing SOD is found in mitochondria. Mn-SOD and CAT activity are reduced in tumor cells, as is Cu, Zn-SOD activity (Kinnula and Crapo 2003). </w:t>
      </w:r>
    </w:p>
    <w:p w:rsidR="00B736DB" w:rsidRDefault="0013745F" w:rsidP="00B736DB">
      <w:pPr>
        <w:spacing w:before="100" w:beforeAutospacing="1"/>
        <w:rPr>
          <w:rFonts w:asciiTheme="majorBidi" w:eastAsiaTheme="minorEastAsia" w:hAnsiTheme="majorBidi" w:cstheme="majorBidi"/>
          <w:b/>
          <w:bCs/>
          <w:lang w:val="tr-TR" w:eastAsia="tr-TR"/>
        </w:rPr>
      </w:pPr>
      <w:r w:rsidRPr="0013745F">
        <w:rPr>
          <w:rFonts w:asciiTheme="majorBidi" w:hAnsiTheme="majorBidi" w:cstheme="majorBidi"/>
          <w:lang w:val="tr-TR" w:bidi="ar-IQ"/>
        </w:rPr>
        <w:t>Recently, free radicals, particularly oxygen radicals, have been linked to the multistep carcinogenesis process. Several antioxidants have been found to prevent neoplastic growth (Kehrer and Klotz 2015).</w:t>
      </w:r>
    </w:p>
    <w:p w:rsidR="00D27A5E" w:rsidRDefault="00B736DB" w:rsidP="00D27A5E">
      <w:pPr>
        <w:spacing w:before="100" w:beforeAutospacing="1"/>
        <w:rPr>
          <w:rFonts w:asciiTheme="majorBidi" w:hAnsiTheme="majorBidi" w:cstheme="majorBidi"/>
          <w:lang w:bidi="ar-IQ"/>
        </w:rPr>
      </w:pPr>
      <w:r w:rsidRPr="00B736DB">
        <w:rPr>
          <w:rFonts w:asciiTheme="majorBidi" w:eastAsiaTheme="minorEastAsia" w:hAnsiTheme="majorBidi" w:cstheme="majorBidi"/>
          <w:b/>
          <w:bCs/>
          <w:lang w:val="tr-TR" w:eastAsia="tr-TR"/>
        </w:rPr>
        <w:t xml:space="preserve"> </w:t>
      </w:r>
      <w:r w:rsidRPr="00B736DB">
        <w:rPr>
          <w:rFonts w:asciiTheme="majorBidi" w:hAnsiTheme="majorBidi" w:cstheme="majorBidi"/>
          <w:b/>
          <w:bCs/>
          <w:lang w:val="tr-TR" w:bidi="ar-IQ"/>
        </w:rPr>
        <w:t>2- Material and methods:</w:t>
      </w:r>
    </w:p>
    <w:p w:rsidR="00D27A5E" w:rsidRDefault="00D27A5E" w:rsidP="00D27A5E">
      <w:pPr>
        <w:spacing w:before="100" w:beforeAutospacing="1"/>
        <w:rPr>
          <w:rFonts w:asciiTheme="majorBidi" w:hAnsiTheme="majorBidi" w:cstheme="majorBidi"/>
          <w:b/>
          <w:bCs/>
          <w:lang w:bidi="ar-IQ"/>
        </w:rPr>
      </w:pPr>
      <w:r w:rsidRPr="00D27A5E">
        <w:rPr>
          <w:rFonts w:asciiTheme="majorBidi" w:hAnsiTheme="majorBidi" w:cstheme="majorBidi"/>
          <w:b/>
          <w:bCs/>
          <w:lang w:bidi="ar-IQ"/>
        </w:rPr>
        <w:t xml:space="preserve"> 2.1 Material</w:t>
      </w:r>
      <w:r>
        <w:rPr>
          <w:rFonts w:asciiTheme="majorBidi" w:hAnsiTheme="majorBidi" w:cstheme="majorBidi"/>
          <w:b/>
          <w:bCs/>
          <w:lang w:bidi="ar-IQ"/>
        </w:rPr>
        <w:t>:</w:t>
      </w:r>
    </w:p>
    <w:p w:rsidR="00652107" w:rsidRPr="00D27A5E" w:rsidRDefault="00D27A5E" w:rsidP="00652107">
      <w:pPr>
        <w:spacing w:after="480" w:line="240" w:lineRule="auto"/>
        <w:rPr>
          <w:rFonts w:asciiTheme="majorBidi" w:hAnsiTheme="majorBidi" w:cstheme="majorBidi"/>
        </w:rPr>
      </w:pPr>
      <w:r w:rsidRPr="00D27A5E">
        <w:rPr>
          <w:rFonts w:asciiTheme="majorBidi" w:hAnsiTheme="majorBidi" w:cstheme="majorBidi"/>
        </w:rPr>
        <w:t xml:space="preserve">These findings were obtained through the utilization of study participants at the National Center for </w:t>
      </w:r>
      <w:r w:rsidR="00652107" w:rsidRPr="00D27A5E">
        <w:rPr>
          <w:rFonts w:asciiTheme="majorBidi" w:hAnsiTheme="majorBidi" w:cstheme="majorBidi"/>
        </w:rPr>
        <w:t>Hematology</w:t>
      </w:r>
      <w:r w:rsidRPr="00D27A5E">
        <w:rPr>
          <w:rFonts w:asciiTheme="majorBidi" w:hAnsiTheme="majorBidi" w:cstheme="majorBidi"/>
        </w:rPr>
        <w:t>, Ramadi- Teaching Hospital. Patients between the ages of 13 and 72 with acute lymphoblastic leukemia (ALL) and acute myeloid leukemia (AML) were enrolled in the study.</w:t>
      </w:r>
    </w:p>
    <w:p w:rsidR="00D27A5E" w:rsidRPr="00D27A5E" w:rsidRDefault="00D27A5E" w:rsidP="00652107">
      <w:pPr>
        <w:spacing w:after="480" w:line="240" w:lineRule="auto"/>
        <w:rPr>
          <w:rFonts w:asciiTheme="majorBidi" w:hAnsiTheme="majorBidi" w:cstheme="majorBidi"/>
        </w:rPr>
      </w:pPr>
      <w:r w:rsidRPr="00D27A5E">
        <w:rPr>
          <w:rFonts w:asciiTheme="majorBidi" w:hAnsiTheme="majorBidi" w:cstheme="majorBidi"/>
        </w:rPr>
        <w:t>There are three main divisions:</w:t>
      </w:r>
    </w:p>
    <w:p w:rsidR="00D27A5E" w:rsidRPr="00D27A5E" w:rsidRDefault="00D27A5E" w:rsidP="00D27A5E">
      <w:pPr>
        <w:spacing w:after="0"/>
        <w:rPr>
          <w:rFonts w:asciiTheme="majorBidi" w:hAnsiTheme="majorBidi" w:cstheme="majorBidi"/>
        </w:rPr>
      </w:pPr>
      <w:r w:rsidRPr="00D27A5E">
        <w:rPr>
          <w:rFonts w:asciiTheme="majorBidi" w:hAnsiTheme="majorBidi" w:cstheme="majorBidi"/>
        </w:rPr>
        <w:t>Group A (GA): Acute Lymphoblastic Leukemia (ALL) 50.</w:t>
      </w:r>
    </w:p>
    <w:p w:rsidR="00D27A5E" w:rsidRPr="00D27A5E" w:rsidRDefault="00D27A5E" w:rsidP="00652107">
      <w:pPr>
        <w:spacing w:after="0"/>
        <w:rPr>
          <w:rFonts w:asciiTheme="majorBidi" w:hAnsiTheme="majorBidi" w:cstheme="majorBidi"/>
        </w:rPr>
      </w:pPr>
      <w:r w:rsidRPr="00D27A5E">
        <w:rPr>
          <w:rFonts w:asciiTheme="majorBidi" w:hAnsiTheme="majorBidi" w:cstheme="majorBidi"/>
        </w:rPr>
        <w:t>Group B (GB): Acute myeloid leukemia (AML) 50.</w:t>
      </w:r>
    </w:p>
    <w:p w:rsidR="00D27A5E" w:rsidRPr="00D27A5E" w:rsidRDefault="00D27A5E" w:rsidP="00652107">
      <w:pPr>
        <w:spacing w:after="480"/>
        <w:rPr>
          <w:rFonts w:asciiTheme="majorBidi" w:hAnsiTheme="majorBidi" w:cstheme="majorBidi"/>
        </w:rPr>
      </w:pPr>
      <w:r w:rsidRPr="00D27A5E">
        <w:rPr>
          <w:rFonts w:asciiTheme="majorBidi" w:hAnsiTheme="majorBidi" w:cstheme="majorBidi"/>
        </w:rPr>
        <w:t>Group C (GC): Healthy control groups 50 (Controls group).</w:t>
      </w:r>
    </w:p>
    <w:p w:rsidR="00652107" w:rsidRPr="002E7D40" w:rsidRDefault="00D27A5E" w:rsidP="002E7D40">
      <w:pPr>
        <w:spacing w:after="480"/>
        <w:rPr>
          <w:rFonts w:asciiTheme="majorBidi" w:hAnsiTheme="majorBidi" w:cstheme="majorBidi"/>
        </w:rPr>
      </w:pPr>
      <w:r w:rsidRPr="00D27A5E">
        <w:rPr>
          <w:rFonts w:asciiTheme="majorBidi" w:hAnsiTheme="majorBidi" w:cstheme="majorBidi"/>
        </w:rPr>
        <w:t>The control group consisted of thirty-four adults ranging in age from 19 to 59, all of whom looked to be volunteers. They were divided into two groups: the experimental group and the control group. No one had any clinical or laboratory evidence that could have an impact on the parameters that were going to be evaluat</w:t>
      </w:r>
      <w:r w:rsidR="002E7D40">
        <w:rPr>
          <w:rFonts w:asciiTheme="majorBidi" w:hAnsiTheme="majorBidi" w:cstheme="majorBidi"/>
        </w:rPr>
        <w:t>ed .</w:t>
      </w:r>
    </w:p>
    <w:p w:rsidR="00441653" w:rsidRDefault="00441653" w:rsidP="0032660F">
      <w:pPr>
        <w:spacing w:before="100" w:beforeAutospacing="1"/>
        <w:ind w:left="0"/>
      </w:pPr>
      <w:r w:rsidRPr="00441653">
        <w:rPr>
          <w:rFonts w:asciiTheme="majorBidi" w:hAnsiTheme="majorBidi" w:cstheme="majorBidi"/>
          <w:b/>
          <w:bCs/>
          <w:lang w:val="tr-TR" w:bidi="ar-IQ"/>
        </w:rPr>
        <w:t>3.</w:t>
      </w:r>
      <w:r>
        <w:rPr>
          <w:rFonts w:asciiTheme="majorBidi" w:hAnsiTheme="majorBidi" w:cstheme="majorBidi"/>
          <w:b/>
          <w:bCs/>
          <w:lang w:val="tr-TR" w:bidi="ar-IQ"/>
        </w:rPr>
        <w:t xml:space="preserve"> </w:t>
      </w:r>
      <w:r w:rsidRPr="00441653">
        <w:rPr>
          <w:rFonts w:asciiTheme="majorBidi" w:hAnsiTheme="majorBidi" w:cstheme="majorBidi"/>
          <w:b/>
          <w:bCs/>
          <w:lang w:val="tr-TR" w:bidi="ar-IQ"/>
        </w:rPr>
        <w:t>RESULTS AND DISCUSSION</w:t>
      </w:r>
      <w:r>
        <w:rPr>
          <w:rFonts w:asciiTheme="majorBidi" w:hAnsiTheme="majorBidi" w:cstheme="majorBidi"/>
          <w:b/>
          <w:bCs/>
          <w:lang w:val="tr-TR" w:bidi="ar-IQ"/>
        </w:rPr>
        <w:t>.</w:t>
      </w:r>
      <w:r w:rsidRPr="00441653">
        <w:t xml:space="preserve"> </w:t>
      </w:r>
    </w:p>
    <w:p w:rsidR="00441653" w:rsidRDefault="00441653" w:rsidP="0032660F">
      <w:pPr>
        <w:spacing w:before="100" w:beforeAutospacing="1"/>
        <w:ind w:left="0"/>
        <w:rPr>
          <w:rFonts w:asciiTheme="majorBidi" w:hAnsiTheme="majorBidi" w:cstheme="majorBidi"/>
          <w:b/>
          <w:bCs/>
          <w:lang w:val="tr-TR" w:bidi="ar-IQ"/>
        </w:rPr>
      </w:pPr>
      <w:r w:rsidRPr="00441653">
        <w:rPr>
          <w:rFonts w:asciiTheme="majorBidi" w:hAnsiTheme="majorBidi" w:cstheme="majorBidi"/>
          <w:b/>
          <w:bCs/>
          <w:lang w:val="tr-TR" w:bidi="ar-IQ"/>
        </w:rPr>
        <w:t>3.1 Demographics and Clinical Characteristics</w:t>
      </w:r>
    </w:p>
    <w:p w:rsidR="00441653" w:rsidRDefault="00441653" w:rsidP="007B6D15">
      <w:pPr>
        <w:spacing w:before="100" w:beforeAutospacing="1"/>
        <w:ind w:left="0"/>
        <w:rPr>
          <w:rFonts w:asciiTheme="majorBidi" w:hAnsiTheme="majorBidi" w:cstheme="majorBidi"/>
          <w:b/>
          <w:bCs/>
          <w:lang w:val="tr-TR" w:bidi="ar-IQ"/>
        </w:rPr>
      </w:pPr>
      <w:r w:rsidRPr="00441653">
        <w:rPr>
          <w:rFonts w:asciiTheme="majorBidi" w:hAnsiTheme="majorBidi" w:cstheme="majorBidi"/>
          <w:lang w:val="tr-TR" w:bidi="ar-IQ"/>
        </w:rPr>
        <w:t>The clinical characteristic and demographics of patiens are presented in Table</w:t>
      </w:r>
      <w:r w:rsidR="00D90C75">
        <w:rPr>
          <w:rFonts w:asciiTheme="majorBidi" w:hAnsiTheme="majorBidi" w:cstheme="majorBidi"/>
          <w:lang w:val="tr-TR" w:bidi="ar-IQ"/>
        </w:rPr>
        <w:t xml:space="preserve"> </w:t>
      </w:r>
      <w:r w:rsidRPr="00441653">
        <w:rPr>
          <w:rFonts w:asciiTheme="majorBidi" w:hAnsiTheme="majorBidi" w:cstheme="majorBidi"/>
          <w:lang w:val="tr-TR" w:bidi="ar-IQ"/>
        </w:rPr>
        <w:t>1</w:t>
      </w:r>
      <w:r w:rsidR="00C4668E">
        <w:rPr>
          <w:rFonts w:asciiTheme="majorBidi" w:hAnsiTheme="majorBidi" w:cstheme="majorBidi"/>
          <w:lang w:val="tr-TR" w:bidi="ar-IQ"/>
        </w:rPr>
        <w:t>.</w:t>
      </w:r>
      <w:r w:rsidRPr="00441653">
        <w:rPr>
          <w:rFonts w:asciiTheme="majorBidi" w:hAnsiTheme="majorBidi" w:cstheme="majorBidi"/>
          <w:lang w:val="tr-TR" w:bidi="ar-IQ"/>
        </w:rPr>
        <w:t xml:space="preserve"> Fifty Acute lymphoblastic leukemia patients were investigated, there were 23 out of 50 (46%) patients with age group &lt;50 years and 27 out of 50 (54%) patients with age group &gt;50 years. The age more than 50 is more frequent for leukemic patients (ALL). Wherase the AML age below 50 is more frequent with this sitution. Our project shown the BMI hav a no correlation between obese and overweghit group with ALL groups 9 (18 %), 8 (16%) respictively. Wherase a slightly correlation may be exist with AML in obese and overweight 12 (24%), 11 (22%) respectively as shown in Figure </w:t>
      </w:r>
      <w:r w:rsidR="007B6D15">
        <w:rPr>
          <w:rFonts w:asciiTheme="majorBidi" w:hAnsiTheme="majorBidi" w:cstheme="majorBidi"/>
          <w:lang w:val="tr-TR" w:bidi="ar-IQ"/>
        </w:rPr>
        <w:t>1</w:t>
      </w:r>
      <w:r w:rsidR="00C4668E">
        <w:rPr>
          <w:rFonts w:asciiTheme="majorBidi" w:hAnsiTheme="majorBidi" w:cstheme="majorBidi"/>
          <w:lang w:val="tr-TR" w:bidi="ar-IQ"/>
        </w:rPr>
        <w:t>.</w:t>
      </w:r>
      <w:r w:rsidRPr="00441653">
        <w:rPr>
          <w:rFonts w:asciiTheme="majorBidi" w:hAnsiTheme="majorBidi" w:cstheme="majorBidi"/>
          <w:lang w:val="tr-TR" w:bidi="ar-IQ"/>
        </w:rPr>
        <w:t xml:space="preserve"> and Figure</w:t>
      </w:r>
      <w:r w:rsidR="00D90C75">
        <w:rPr>
          <w:rFonts w:asciiTheme="majorBidi" w:hAnsiTheme="majorBidi" w:cstheme="majorBidi"/>
          <w:lang w:val="tr-TR" w:bidi="ar-IQ"/>
        </w:rPr>
        <w:t xml:space="preserve"> </w:t>
      </w:r>
      <w:r w:rsidR="007B6D15">
        <w:rPr>
          <w:rFonts w:asciiTheme="majorBidi" w:hAnsiTheme="majorBidi" w:cstheme="majorBidi"/>
          <w:lang w:val="tr-TR" w:bidi="ar-IQ"/>
        </w:rPr>
        <w:t>2</w:t>
      </w:r>
      <w:r w:rsidR="00D90C75">
        <w:rPr>
          <w:rFonts w:asciiTheme="majorBidi" w:hAnsiTheme="majorBidi" w:cstheme="majorBidi"/>
          <w:b/>
          <w:bCs/>
          <w:lang w:val="tr-TR" w:bidi="ar-IQ"/>
        </w:rPr>
        <w:t>.</w:t>
      </w:r>
    </w:p>
    <w:p w:rsidR="00D90C75" w:rsidRDefault="00D90C75" w:rsidP="00441653">
      <w:pPr>
        <w:spacing w:before="100" w:beforeAutospacing="1"/>
        <w:ind w:left="0"/>
        <w:rPr>
          <w:rFonts w:asciiTheme="majorBidi" w:hAnsiTheme="majorBidi" w:cstheme="majorBidi"/>
          <w:b/>
          <w:bCs/>
          <w:lang w:val="tr-TR" w:bidi="ar-IQ"/>
        </w:rPr>
      </w:pPr>
    </w:p>
    <w:p w:rsidR="00D90C75" w:rsidRPr="00D90C75" w:rsidRDefault="00D90C75" w:rsidP="00C4668E">
      <w:pPr>
        <w:spacing w:before="100" w:beforeAutospacing="1"/>
        <w:ind w:left="0"/>
        <w:rPr>
          <w:rFonts w:asciiTheme="majorBidi" w:hAnsiTheme="majorBidi" w:cstheme="majorBidi"/>
          <w:b/>
          <w:bCs/>
          <w:lang w:bidi="ar-IQ"/>
        </w:rPr>
      </w:pPr>
      <w:bookmarkStart w:id="0" w:name="_Toc100254212"/>
      <w:r>
        <w:rPr>
          <w:rFonts w:asciiTheme="majorBidi" w:hAnsiTheme="majorBidi" w:cstheme="majorBidi"/>
          <w:b/>
          <w:bCs/>
          <w:lang w:val="tr-TR" w:bidi="ar-IQ"/>
        </w:rPr>
        <w:t>Table</w:t>
      </w:r>
      <w:r w:rsidRPr="00D90C75">
        <w:rPr>
          <w:rFonts w:asciiTheme="majorBidi" w:hAnsiTheme="majorBidi" w:cstheme="majorBidi"/>
          <w:b/>
          <w:bCs/>
          <w:lang w:val="tr-TR" w:bidi="ar-IQ"/>
        </w:rPr>
        <w:fldChar w:fldCharType="begin"/>
      </w:r>
      <w:r w:rsidRPr="00D90C75">
        <w:rPr>
          <w:rFonts w:asciiTheme="majorBidi" w:hAnsiTheme="majorBidi" w:cstheme="majorBidi"/>
          <w:b/>
          <w:bCs/>
          <w:lang w:val="tr-TR" w:bidi="ar-IQ"/>
        </w:rPr>
        <w:instrText xml:space="preserve"> SEQ Table_4. \* ARABIC </w:instrText>
      </w:r>
      <w:r w:rsidRPr="00D90C75">
        <w:rPr>
          <w:rFonts w:asciiTheme="majorBidi" w:hAnsiTheme="majorBidi" w:cstheme="majorBidi"/>
          <w:b/>
          <w:bCs/>
          <w:lang w:val="tr-TR" w:bidi="ar-IQ"/>
        </w:rPr>
        <w:fldChar w:fldCharType="separate"/>
      </w:r>
      <w:r w:rsidR="00D04714">
        <w:rPr>
          <w:rFonts w:asciiTheme="majorBidi" w:hAnsiTheme="majorBidi" w:cstheme="majorBidi"/>
          <w:b/>
          <w:bCs/>
          <w:noProof/>
          <w:lang w:val="tr-TR" w:bidi="ar-IQ"/>
        </w:rPr>
        <w:t>1</w:t>
      </w:r>
      <w:r w:rsidRPr="00D90C75">
        <w:rPr>
          <w:rFonts w:asciiTheme="majorBidi" w:hAnsiTheme="majorBidi" w:cstheme="majorBidi"/>
          <w:b/>
          <w:bCs/>
          <w:lang w:val="tr-TR" w:bidi="ar-IQ"/>
        </w:rPr>
        <w:fldChar w:fldCharType="end"/>
      </w:r>
      <w:r w:rsidRPr="00D90C75">
        <w:rPr>
          <w:rFonts w:asciiTheme="majorBidi" w:hAnsiTheme="majorBidi" w:cstheme="majorBidi"/>
          <w:b/>
          <w:bCs/>
          <w:lang w:bidi="ar-IQ"/>
        </w:rPr>
        <w:t xml:space="preserve"> clinical </w:t>
      </w:r>
      <w:proofErr w:type="spellStart"/>
      <w:r w:rsidRPr="00D90C75">
        <w:rPr>
          <w:rFonts w:asciiTheme="majorBidi" w:hAnsiTheme="majorBidi" w:cstheme="majorBidi"/>
          <w:b/>
          <w:bCs/>
          <w:lang w:bidi="ar-IQ"/>
        </w:rPr>
        <w:t>frequencey</w:t>
      </w:r>
      <w:proofErr w:type="spellEnd"/>
      <w:r w:rsidRPr="00D90C75">
        <w:rPr>
          <w:rFonts w:asciiTheme="majorBidi" w:hAnsiTheme="majorBidi" w:cstheme="majorBidi"/>
          <w:b/>
          <w:bCs/>
          <w:lang w:bidi="ar-IQ"/>
        </w:rPr>
        <w:t xml:space="preserve"> of aging and BMI in present study groups</w:t>
      </w:r>
      <w:bookmarkEnd w:id="0"/>
    </w:p>
    <w:tbl>
      <w:tblPr>
        <w:tblStyle w:val="a5"/>
        <w:tblW w:w="8359" w:type="dxa"/>
        <w:jc w:val="center"/>
        <w:tblLayout w:type="fixed"/>
        <w:tblLook w:val="04A0" w:firstRow="1" w:lastRow="0" w:firstColumn="1" w:lastColumn="0" w:noHBand="0" w:noVBand="1"/>
      </w:tblPr>
      <w:tblGrid>
        <w:gridCol w:w="1526"/>
        <w:gridCol w:w="1163"/>
        <w:gridCol w:w="1701"/>
        <w:gridCol w:w="1984"/>
        <w:gridCol w:w="1985"/>
      </w:tblGrid>
      <w:tr w:rsidR="00441653" w:rsidRPr="007B345C" w:rsidTr="00514E2A">
        <w:trPr>
          <w:trHeight w:val="930"/>
          <w:jc w:val="center"/>
        </w:trPr>
        <w:tc>
          <w:tcPr>
            <w:tcW w:w="1526" w:type="dxa"/>
          </w:tcPr>
          <w:p w:rsidR="00441653" w:rsidRPr="007B345C" w:rsidRDefault="00441653" w:rsidP="00514E2A">
            <w:pPr>
              <w:jc w:val="center"/>
              <w:rPr>
                <w:rFonts w:asciiTheme="majorBidi" w:hAnsiTheme="majorBidi" w:cstheme="majorBidi"/>
                <w:b/>
                <w:bCs/>
                <w:sz w:val="20"/>
                <w:szCs w:val="20"/>
              </w:rPr>
            </w:pPr>
            <w:r w:rsidRPr="007B345C">
              <w:rPr>
                <w:rFonts w:asciiTheme="majorBidi" w:hAnsiTheme="majorBidi" w:cstheme="majorBidi"/>
                <w:b/>
                <w:bCs/>
                <w:sz w:val="20"/>
                <w:szCs w:val="20"/>
              </w:rPr>
              <w:t>Clinical characterstic</w:t>
            </w:r>
          </w:p>
        </w:tc>
        <w:tc>
          <w:tcPr>
            <w:tcW w:w="1163" w:type="dxa"/>
          </w:tcPr>
          <w:p w:rsidR="00441653" w:rsidRPr="007B345C" w:rsidRDefault="00441653" w:rsidP="00514E2A">
            <w:pPr>
              <w:jc w:val="center"/>
              <w:rPr>
                <w:rFonts w:asciiTheme="majorBidi" w:hAnsiTheme="majorBidi" w:cstheme="majorBidi"/>
                <w:b/>
                <w:bCs/>
                <w:sz w:val="20"/>
                <w:szCs w:val="20"/>
              </w:rPr>
            </w:pPr>
          </w:p>
        </w:tc>
        <w:tc>
          <w:tcPr>
            <w:tcW w:w="1701" w:type="dxa"/>
          </w:tcPr>
          <w:p w:rsidR="00441653" w:rsidRPr="007B345C" w:rsidRDefault="00441653" w:rsidP="00514E2A">
            <w:pPr>
              <w:jc w:val="center"/>
              <w:rPr>
                <w:rFonts w:asciiTheme="majorBidi" w:hAnsiTheme="majorBidi" w:cstheme="majorBidi"/>
                <w:b/>
                <w:bCs/>
                <w:sz w:val="20"/>
                <w:szCs w:val="20"/>
              </w:rPr>
            </w:pPr>
            <w:r w:rsidRPr="007B345C">
              <w:rPr>
                <w:rFonts w:asciiTheme="majorBidi" w:hAnsiTheme="majorBidi" w:cstheme="majorBidi"/>
                <w:b/>
                <w:bCs/>
                <w:sz w:val="20"/>
                <w:szCs w:val="20"/>
              </w:rPr>
              <w:t>Acute Lymphoblastic Leukemia (ALL) No. 50</w:t>
            </w:r>
          </w:p>
        </w:tc>
        <w:tc>
          <w:tcPr>
            <w:tcW w:w="1984" w:type="dxa"/>
          </w:tcPr>
          <w:p w:rsidR="00441653" w:rsidRPr="007B345C" w:rsidRDefault="00441653" w:rsidP="00514E2A">
            <w:pPr>
              <w:jc w:val="center"/>
              <w:rPr>
                <w:rFonts w:asciiTheme="majorBidi" w:hAnsiTheme="majorBidi" w:cstheme="majorBidi"/>
                <w:b/>
                <w:bCs/>
                <w:sz w:val="20"/>
                <w:szCs w:val="20"/>
              </w:rPr>
            </w:pPr>
            <w:r w:rsidRPr="007B345C">
              <w:rPr>
                <w:rFonts w:asciiTheme="majorBidi" w:hAnsiTheme="majorBidi" w:cstheme="majorBidi"/>
                <w:b/>
                <w:bCs/>
                <w:sz w:val="20"/>
                <w:szCs w:val="20"/>
              </w:rPr>
              <w:t>Acute</w:t>
            </w:r>
          </w:p>
          <w:p w:rsidR="00441653" w:rsidRPr="007B345C" w:rsidRDefault="00441653" w:rsidP="00514E2A">
            <w:pPr>
              <w:jc w:val="center"/>
              <w:rPr>
                <w:rFonts w:asciiTheme="majorBidi" w:hAnsiTheme="majorBidi" w:cstheme="majorBidi"/>
                <w:b/>
                <w:bCs/>
                <w:sz w:val="20"/>
                <w:szCs w:val="20"/>
              </w:rPr>
            </w:pPr>
            <w:r w:rsidRPr="007B345C">
              <w:rPr>
                <w:rFonts w:asciiTheme="majorBidi" w:hAnsiTheme="majorBidi" w:cstheme="majorBidi"/>
                <w:b/>
                <w:bCs/>
                <w:sz w:val="20"/>
                <w:szCs w:val="20"/>
              </w:rPr>
              <w:t>Myeloid leukemia (AML) 50</w:t>
            </w:r>
          </w:p>
          <w:p w:rsidR="00441653" w:rsidRPr="007B345C" w:rsidRDefault="00441653" w:rsidP="00514E2A">
            <w:pPr>
              <w:jc w:val="center"/>
              <w:rPr>
                <w:rFonts w:asciiTheme="majorBidi" w:hAnsiTheme="majorBidi" w:cstheme="majorBidi"/>
                <w:b/>
                <w:bCs/>
                <w:sz w:val="20"/>
                <w:szCs w:val="20"/>
              </w:rPr>
            </w:pPr>
          </w:p>
        </w:tc>
        <w:tc>
          <w:tcPr>
            <w:tcW w:w="1985" w:type="dxa"/>
          </w:tcPr>
          <w:p w:rsidR="00441653" w:rsidRPr="007B345C" w:rsidRDefault="00441653" w:rsidP="00514E2A">
            <w:pPr>
              <w:jc w:val="center"/>
              <w:rPr>
                <w:rFonts w:asciiTheme="majorBidi" w:hAnsiTheme="majorBidi" w:cstheme="majorBidi"/>
                <w:b/>
                <w:bCs/>
                <w:sz w:val="20"/>
                <w:szCs w:val="20"/>
              </w:rPr>
            </w:pPr>
            <w:r w:rsidRPr="007B345C">
              <w:rPr>
                <w:rFonts w:asciiTheme="majorBidi" w:hAnsiTheme="majorBidi" w:cstheme="majorBidi"/>
                <w:b/>
                <w:bCs/>
                <w:sz w:val="20"/>
                <w:szCs w:val="20"/>
              </w:rPr>
              <w:t>Healthy control groups 50 (Controls group)</w:t>
            </w:r>
          </w:p>
        </w:tc>
      </w:tr>
      <w:tr w:rsidR="00441653" w:rsidRPr="007B345C" w:rsidTr="00514E2A">
        <w:trPr>
          <w:trHeight w:val="277"/>
          <w:jc w:val="center"/>
        </w:trPr>
        <w:tc>
          <w:tcPr>
            <w:tcW w:w="1526" w:type="dxa"/>
            <w:vMerge w:val="restart"/>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b/>
                <w:bCs/>
                <w:sz w:val="20"/>
                <w:szCs w:val="20"/>
              </w:rPr>
              <w:t>Aging</w:t>
            </w:r>
          </w:p>
        </w:tc>
        <w:tc>
          <w:tcPr>
            <w:tcW w:w="1163"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&lt;50</w:t>
            </w:r>
          </w:p>
        </w:tc>
        <w:tc>
          <w:tcPr>
            <w:tcW w:w="1701" w:type="dxa"/>
          </w:tcPr>
          <w:tbl>
            <w:tblPr>
              <w:bidiVisual/>
              <w:tblW w:w="1781" w:type="dxa"/>
              <w:tblBorders>
                <w:top w:val="nil"/>
                <w:left w:val="nil"/>
                <w:bottom w:val="nil"/>
                <w:right w:val="nil"/>
              </w:tblBorders>
              <w:tblLayout w:type="fixed"/>
              <w:tblLook w:val="0000" w:firstRow="0" w:lastRow="0" w:firstColumn="0" w:lastColumn="0" w:noHBand="0" w:noVBand="0"/>
            </w:tblPr>
            <w:tblGrid>
              <w:gridCol w:w="1781"/>
            </w:tblGrid>
            <w:tr w:rsidR="00441653" w:rsidRPr="007B345C" w:rsidTr="00514E2A">
              <w:trPr>
                <w:trHeight w:val="114"/>
              </w:trPr>
              <w:tc>
                <w:tcPr>
                  <w:tcW w:w="1781" w:type="dxa"/>
                </w:tcPr>
                <w:p w:rsidR="00441653" w:rsidRPr="007B345C" w:rsidRDefault="00441653" w:rsidP="00514E2A">
                  <w:pPr>
                    <w:spacing w:after="0" w:line="240" w:lineRule="auto"/>
                    <w:jc w:val="center"/>
                    <w:rPr>
                      <w:rFonts w:asciiTheme="majorBidi" w:hAnsiTheme="majorBidi" w:cstheme="majorBidi"/>
                      <w:sz w:val="20"/>
                      <w:szCs w:val="20"/>
                    </w:rPr>
                  </w:pPr>
                  <w:r w:rsidRPr="007B345C">
                    <w:rPr>
                      <w:rFonts w:asciiTheme="majorBidi" w:hAnsiTheme="majorBidi" w:cstheme="majorBidi"/>
                      <w:sz w:val="20"/>
                      <w:szCs w:val="20"/>
                    </w:rPr>
                    <w:t>23 (46%)</w:t>
                  </w:r>
                </w:p>
              </w:tc>
            </w:tr>
          </w:tbl>
          <w:p w:rsidR="00441653" w:rsidRPr="007B345C" w:rsidRDefault="00441653" w:rsidP="00514E2A">
            <w:pPr>
              <w:jc w:val="center"/>
              <w:rPr>
                <w:rFonts w:asciiTheme="majorBidi" w:hAnsiTheme="majorBidi" w:cstheme="majorBidi"/>
                <w:sz w:val="20"/>
                <w:szCs w:val="20"/>
              </w:rPr>
            </w:pPr>
          </w:p>
        </w:tc>
        <w:tc>
          <w:tcPr>
            <w:tcW w:w="1984"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35 (65%)</w:t>
            </w:r>
          </w:p>
        </w:tc>
        <w:tc>
          <w:tcPr>
            <w:tcW w:w="1985"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33(66%)</w:t>
            </w:r>
          </w:p>
        </w:tc>
      </w:tr>
      <w:tr w:rsidR="00441653" w:rsidRPr="007B345C" w:rsidTr="00514E2A">
        <w:trPr>
          <w:trHeight w:val="129"/>
          <w:jc w:val="center"/>
        </w:trPr>
        <w:tc>
          <w:tcPr>
            <w:tcW w:w="1526" w:type="dxa"/>
            <w:vMerge/>
          </w:tcPr>
          <w:p w:rsidR="00441653" w:rsidRPr="007B345C" w:rsidRDefault="00441653" w:rsidP="00514E2A">
            <w:pPr>
              <w:jc w:val="both"/>
              <w:rPr>
                <w:rFonts w:asciiTheme="majorBidi" w:hAnsiTheme="majorBidi" w:cstheme="majorBidi"/>
                <w:sz w:val="20"/>
                <w:szCs w:val="20"/>
              </w:rPr>
            </w:pPr>
          </w:p>
        </w:tc>
        <w:tc>
          <w:tcPr>
            <w:tcW w:w="1163"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&gt;50</w:t>
            </w:r>
          </w:p>
        </w:tc>
        <w:tc>
          <w:tcPr>
            <w:tcW w:w="1701"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27 (54%)</w:t>
            </w:r>
          </w:p>
        </w:tc>
        <w:tc>
          <w:tcPr>
            <w:tcW w:w="1984"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15 (35%)</w:t>
            </w:r>
          </w:p>
        </w:tc>
        <w:tc>
          <w:tcPr>
            <w:tcW w:w="1985"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17(34%)</w:t>
            </w:r>
          </w:p>
        </w:tc>
      </w:tr>
      <w:tr w:rsidR="00441653" w:rsidRPr="007B345C" w:rsidTr="00514E2A">
        <w:trPr>
          <w:trHeight w:val="241"/>
          <w:jc w:val="center"/>
        </w:trPr>
        <w:tc>
          <w:tcPr>
            <w:tcW w:w="1526" w:type="dxa"/>
            <w:vMerge w:val="restart"/>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BMI</w:t>
            </w:r>
          </w:p>
        </w:tc>
        <w:tc>
          <w:tcPr>
            <w:tcW w:w="1163"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Normal</w:t>
            </w:r>
          </w:p>
        </w:tc>
        <w:tc>
          <w:tcPr>
            <w:tcW w:w="1701"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33 (66%)</w:t>
            </w:r>
          </w:p>
        </w:tc>
        <w:tc>
          <w:tcPr>
            <w:tcW w:w="1984"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27 (54%)</w:t>
            </w:r>
          </w:p>
        </w:tc>
        <w:tc>
          <w:tcPr>
            <w:tcW w:w="1985"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29 (58%)</w:t>
            </w:r>
          </w:p>
        </w:tc>
      </w:tr>
      <w:tr w:rsidR="00441653" w:rsidRPr="007B345C" w:rsidTr="00514E2A">
        <w:trPr>
          <w:trHeight w:val="129"/>
          <w:jc w:val="center"/>
        </w:trPr>
        <w:tc>
          <w:tcPr>
            <w:tcW w:w="1526" w:type="dxa"/>
            <w:vMerge/>
          </w:tcPr>
          <w:p w:rsidR="00441653" w:rsidRPr="007B345C" w:rsidRDefault="00441653" w:rsidP="00514E2A">
            <w:pPr>
              <w:jc w:val="both"/>
              <w:rPr>
                <w:rFonts w:asciiTheme="majorBidi" w:hAnsiTheme="majorBidi" w:cstheme="majorBidi"/>
                <w:sz w:val="20"/>
                <w:szCs w:val="20"/>
              </w:rPr>
            </w:pPr>
          </w:p>
        </w:tc>
        <w:tc>
          <w:tcPr>
            <w:tcW w:w="1163"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Overweight</w:t>
            </w:r>
          </w:p>
        </w:tc>
        <w:tc>
          <w:tcPr>
            <w:tcW w:w="1701"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8 (16%)</w:t>
            </w:r>
          </w:p>
        </w:tc>
        <w:tc>
          <w:tcPr>
            <w:tcW w:w="1984"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11 (22%)</w:t>
            </w:r>
          </w:p>
        </w:tc>
        <w:tc>
          <w:tcPr>
            <w:tcW w:w="1985"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17 (34%)</w:t>
            </w:r>
          </w:p>
        </w:tc>
      </w:tr>
      <w:tr w:rsidR="00441653" w:rsidRPr="007B345C" w:rsidTr="00514E2A">
        <w:trPr>
          <w:trHeight w:val="129"/>
          <w:jc w:val="center"/>
        </w:trPr>
        <w:tc>
          <w:tcPr>
            <w:tcW w:w="1526" w:type="dxa"/>
            <w:vMerge/>
          </w:tcPr>
          <w:p w:rsidR="00441653" w:rsidRPr="007B345C" w:rsidRDefault="00441653" w:rsidP="00514E2A">
            <w:pPr>
              <w:jc w:val="both"/>
              <w:rPr>
                <w:rFonts w:asciiTheme="majorBidi" w:hAnsiTheme="majorBidi" w:cstheme="majorBidi"/>
                <w:sz w:val="20"/>
                <w:szCs w:val="20"/>
              </w:rPr>
            </w:pPr>
          </w:p>
        </w:tc>
        <w:tc>
          <w:tcPr>
            <w:tcW w:w="1163"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Obese</w:t>
            </w:r>
          </w:p>
        </w:tc>
        <w:tc>
          <w:tcPr>
            <w:tcW w:w="1701"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9 (18 %)</w:t>
            </w:r>
          </w:p>
        </w:tc>
        <w:tc>
          <w:tcPr>
            <w:tcW w:w="1984"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12 (24 %)</w:t>
            </w:r>
          </w:p>
        </w:tc>
        <w:tc>
          <w:tcPr>
            <w:tcW w:w="1985" w:type="dxa"/>
          </w:tcPr>
          <w:p w:rsidR="00441653" w:rsidRPr="007B345C" w:rsidRDefault="00441653" w:rsidP="00514E2A">
            <w:pPr>
              <w:jc w:val="center"/>
              <w:rPr>
                <w:rFonts w:asciiTheme="majorBidi" w:hAnsiTheme="majorBidi" w:cstheme="majorBidi"/>
                <w:sz w:val="20"/>
                <w:szCs w:val="20"/>
              </w:rPr>
            </w:pPr>
            <w:r w:rsidRPr="007B345C">
              <w:rPr>
                <w:rFonts w:asciiTheme="majorBidi" w:hAnsiTheme="majorBidi" w:cstheme="majorBidi"/>
                <w:sz w:val="20"/>
                <w:szCs w:val="20"/>
              </w:rPr>
              <w:t>4 (8%)</w:t>
            </w:r>
          </w:p>
        </w:tc>
      </w:tr>
    </w:tbl>
    <w:p w:rsidR="00265AE6" w:rsidRPr="00441653" w:rsidRDefault="00265AE6" w:rsidP="0032660F">
      <w:pPr>
        <w:spacing w:before="100" w:beforeAutospacing="1"/>
        <w:ind w:left="0"/>
        <w:rPr>
          <w:rFonts w:asciiTheme="majorBidi" w:hAnsiTheme="majorBidi" w:cstheme="majorBidi"/>
          <w:b/>
          <w:bCs/>
          <w:lang w:val="tr-TR" w:bidi="ar-IQ"/>
        </w:rPr>
      </w:pPr>
    </w:p>
    <w:p w:rsidR="00441653" w:rsidRDefault="00D90C75" w:rsidP="0032660F">
      <w:pPr>
        <w:spacing w:before="100" w:beforeAutospacing="1"/>
        <w:ind w:left="0"/>
        <w:rPr>
          <w:rFonts w:asciiTheme="majorBidi" w:hAnsiTheme="majorBidi" w:cstheme="majorBidi"/>
          <w:b/>
          <w:bCs/>
          <w:lang w:val="tr-TR" w:bidi="ar-IQ"/>
        </w:rPr>
      </w:pPr>
      <w:r w:rsidRPr="007B345C">
        <w:rPr>
          <w:rFonts w:asciiTheme="majorBidi" w:hAnsiTheme="majorBidi" w:cstheme="majorBidi"/>
          <w:noProof/>
          <w:sz w:val="24"/>
          <w:szCs w:val="24"/>
        </w:rPr>
        <w:drawing>
          <wp:inline distT="0" distB="0" distL="0" distR="0" wp14:anchorId="4702E976" wp14:editId="55C328AF">
            <wp:extent cx="5334000" cy="3408218"/>
            <wp:effectExtent l="0" t="0" r="19050" b="2095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F40C1" w:rsidRPr="0032660F" w:rsidRDefault="008F40C1" w:rsidP="007B6D15">
      <w:pPr>
        <w:spacing w:before="100" w:beforeAutospacing="1"/>
        <w:ind w:left="0"/>
        <w:rPr>
          <w:rFonts w:asciiTheme="majorBidi" w:hAnsiTheme="majorBidi" w:cstheme="majorBidi"/>
          <w:b/>
          <w:bCs/>
          <w:lang w:val="tr-TR" w:bidi="ar-IQ"/>
        </w:rPr>
      </w:pPr>
      <w:r w:rsidRPr="00D90C75">
        <w:rPr>
          <w:rFonts w:asciiTheme="majorBidi" w:hAnsiTheme="majorBidi" w:cstheme="majorBidi"/>
          <w:lang w:val="tr-TR" w:bidi="ar-IQ"/>
        </w:rPr>
        <w:t xml:space="preserve">Figure </w:t>
      </w:r>
      <w:r w:rsidR="007B6D15">
        <w:rPr>
          <w:rFonts w:asciiTheme="majorBidi" w:hAnsiTheme="majorBidi" w:cstheme="majorBidi"/>
          <w:lang w:val="tr-TR" w:bidi="ar-IQ"/>
        </w:rPr>
        <w:t>1</w:t>
      </w:r>
      <w:r w:rsidRPr="00D90C75">
        <w:rPr>
          <w:rFonts w:asciiTheme="majorBidi" w:hAnsiTheme="majorBidi" w:cstheme="majorBidi"/>
          <w:lang w:val="tr-TR" w:bidi="ar-IQ"/>
        </w:rPr>
        <w:t xml:space="preserve"> Frequency of age in studied groups</w:t>
      </w:r>
    </w:p>
    <w:p w:rsidR="00D90C75" w:rsidRPr="00D90C75" w:rsidRDefault="00D90C75" w:rsidP="00D90C75">
      <w:pPr>
        <w:jc w:val="left"/>
        <w:rPr>
          <w:rFonts w:asciiTheme="majorBidi" w:hAnsiTheme="majorBidi" w:cstheme="majorBidi"/>
          <w:lang w:bidi="ar-IQ"/>
        </w:rPr>
      </w:pPr>
      <w:r w:rsidRPr="007B345C">
        <w:rPr>
          <w:rFonts w:asciiTheme="majorBidi" w:hAnsiTheme="majorBidi" w:cstheme="majorBidi"/>
          <w:noProof/>
          <w:sz w:val="24"/>
          <w:szCs w:val="24"/>
        </w:rPr>
        <w:drawing>
          <wp:inline distT="0" distB="0" distL="0" distR="0" wp14:anchorId="2C57340F" wp14:editId="2874EC22">
            <wp:extent cx="5274310" cy="3536517"/>
            <wp:effectExtent l="0" t="0" r="21590" b="26035"/>
            <wp:docPr id="44" name="مخطط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90C75" w:rsidRPr="00D90C75" w:rsidRDefault="00D90C75" w:rsidP="007B6D15">
      <w:pPr>
        <w:jc w:val="left"/>
        <w:rPr>
          <w:rFonts w:asciiTheme="majorBidi" w:hAnsiTheme="majorBidi" w:cstheme="majorBidi"/>
          <w:lang w:val="tr-TR" w:bidi="ar-IQ"/>
        </w:rPr>
      </w:pPr>
      <w:r w:rsidRPr="00D90C75">
        <w:rPr>
          <w:rFonts w:asciiTheme="majorBidi" w:hAnsiTheme="majorBidi" w:cstheme="majorBidi"/>
          <w:lang w:val="tr-TR" w:bidi="ar-IQ"/>
        </w:rPr>
        <w:t xml:space="preserve">Figure </w:t>
      </w:r>
      <w:r w:rsidR="007B6D15">
        <w:rPr>
          <w:rFonts w:asciiTheme="majorBidi" w:hAnsiTheme="majorBidi" w:cstheme="majorBidi"/>
          <w:lang w:val="tr-TR" w:bidi="ar-IQ"/>
        </w:rPr>
        <w:t>2</w:t>
      </w:r>
      <w:r w:rsidRPr="00D90C75">
        <w:rPr>
          <w:rFonts w:asciiTheme="majorBidi" w:hAnsiTheme="majorBidi" w:cstheme="majorBidi"/>
          <w:lang w:val="tr-TR" w:bidi="ar-IQ"/>
        </w:rPr>
        <w:t>. Frequency of BMI in studied groups</w:t>
      </w:r>
    </w:p>
    <w:p w:rsidR="0032660F" w:rsidRPr="0032660F" w:rsidRDefault="0032660F" w:rsidP="0032660F">
      <w:pPr>
        <w:spacing w:before="100" w:beforeAutospacing="1"/>
        <w:ind w:left="720"/>
        <w:rPr>
          <w:rFonts w:asciiTheme="majorBidi" w:hAnsiTheme="majorBidi" w:cstheme="majorBidi"/>
          <w:lang w:val="tr-TR" w:bidi="ar-IQ"/>
        </w:rPr>
      </w:pPr>
    </w:p>
    <w:p w:rsidR="00D90C75" w:rsidRDefault="00D90C75" w:rsidP="00D90C75">
      <w:pPr>
        <w:spacing w:before="100" w:beforeAutospacing="1"/>
        <w:rPr>
          <w:rFonts w:asciiTheme="majorBidi" w:hAnsiTheme="majorBidi" w:cstheme="majorBidi"/>
          <w:lang w:val="tr-TR" w:bidi="ar-IQ"/>
        </w:rPr>
      </w:pPr>
      <w:r w:rsidRPr="00D90C75">
        <w:rPr>
          <w:rFonts w:asciiTheme="majorBidi" w:hAnsiTheme="majorBidi" w:cstheme="majorBidi"/>
          <w:lang w:val="tr-TR" w:bidi="ar-IQ"/>
        </w:rPr>
        <w:t>3.2 Enzymatic Antioxidant İn Stedied Groups</w:t>
      </w:r>
      <w:r>
        <w:rPr>
          <w:rFonts w:asciiTheme="majorBidi" w:hAnsiTheme="majorBidi" w:cstheme="majorBidi"/>
          <w:lang w:val="tr-TR" w:bidi="ar-IQ"/>
        </w:rPr>
        <w:t>.</w:t>
      </w:r>
    </w:p>
    <w:p w:rsidR="00D90C75" w:rsidRPr="00D90C75" w:rsidRDefault="00D90C75" w:rsidP="007B6D15">
      <w:pPr>
        <w:spacing w:before="100" w:beforeAutospacing="1"/>
        <w:rPr>
          <w:rFonts w:asciiTheme="majorBidi" w:hAnsiTheme="majorBidi" w:cstheme="majorBidi"/>
          <w:lang w:val="tr-TR" w:bidi="ar-IQ"/>
        </w:rPr>
      </w:pPr>
      <w:r w:rsidRPr="00D90C75">
        <w:rPr>
          <w:rFonts w:asciiTheme="majorBidi" w:hAnsiTheme="majorBidi" w:cstheme="majorBidi"/>
          <w:lang w:val="tr-TR" w:bidi="ar-IQ"/>
        </w:rPr>
        <w:t>Serum total SOD activity is indicated in Table 2</w:t>
      </w:r>
      <w:r w:rsidR="00C4668E">
        <w:rPr>
          <w:rFonts w:asciiTheme="majorBidi" w:hAnsiTheme="majorBidi" w:cstheme="majorBidi"/>
          <w:lang w:val="tr-TR" w:bidi="ar-IQ"/>
        </w:rPr>
        <w:t>.</w:t>
      </w:r>
      <w:r w:rsidRPr="00D90C75">
        <w:rPr>
          <w:rFonts w:asciiTheme="majorBidi" w:hAnsiTheme="majorBidi" w:cstheme="majorBidi"/>
          <w:lang w:val="tr-TR" w:bidi="ar-IQ"/>
        </w:rPr>
        <w:t xml:space="preserve"> and Figure </w:t>
      </w:r>
      <w:r w:rsidR="007B6D15">
        <w:rPr>
          <w:rFonts w:asciiTheme="majorBidi" w:hAnsiTheme="majorBidi" w:cstheme="majorBidi"/>
          <w:lang w:val="tr-TR" w:bidi="ar-IQ"/>
        </w:rPr>
        <w:t>3</w:t>
      </w:r>
      <w:r w:rsidR="00C4668E">
        <w:rPr>
          <w:rFonts w:asciiTheme="majorBidi" w:hAnsiTheme="majorBidi" w:cstheme="majorBidi"/>
          <w:lang w:val="tr-TR" w:bidi="ar-IQ"/>
        </w:rPr>
        <w:t>.</w:t>
      </w:r>
      <w:r w:rsidRPr="00D90C75">
        <w:rPr>
          <w:rFonts w:asciiTheme="majorBidi" w:hAnsiTheme="majorBidi" w:cstheme="majorBidi"/>
          <w:lang w:val="tr-TR" w:bidi="ar-IQ"/>
        </w:rPr>
        <w:t xml:space="preserve">in this study SOD activity was found to be significantly greater in patients when compared to healthy controls (p &lt;0.001) (mean 8.42 ± 1.8, 6.76 ±1.22 U/mL) are the mean values for ALL and AML respectively. The controls had an average concentration of (Mean 2.50 ± 0.63 U/mL). Table </w:t>
      </w:r>
      <w:r w:rsidR="00C4668E">
        <w:rPr>
          <w:rFonts w:asciiTheme="majorBidi" w:hAnsiTheme="majorBidi" w:cstheme="majorBidi"/>
          <w:lang w:val="tr-TR" w:bidi="ar-IQ"/>
        </w:rPr>
        <w:t xml:space="preserve">2 . </w:t>
      </w:r>
      <w:r w:rsidRPr="00D90C75">
        <w:rPr>
          <w:rFonts w:asciiTheme="majorBidi" w:hAnsiTheme="majorBidi" w:cstheme="majorBidi"/>
          <w:lang w:val="tr-TR" w:bidi="ar-IQ"/>
        </w:rPr>
        <w:t>shows that AML and ALL mean values differ nonsignificantly (P&gt;0.05).</w:t>
      </w:r>
    </w:p>
    <w:p w:rsidR="00D90C75" w:rsidRPr="00D90C75" w:rsidRDefault="00D90C75" w:rsidP="00B84263">
      <w:pPr>
        <w:spacing w:before="100" w:beforeAutospacing="1"/>
        <w:rPr>
          <w:rFonts w:asciiTheme="majorBidi" w:hAnsiTheme="majorBidi" w:cstheme="majorBidi"/>
          <w:lang w:val="tr-TR" w:bidi="ar-IQ"/>
        </w:rPr>
      </w:pPr>
      <w:r w:rsidRPr="00D90C75">
        <w:rPr>
          <w:rFonts w:asciiTheme="majorBidi" w:hAnsiTheme="majorBidi" w:cstheme="majorBidi"/>
          <w:lang w:val="tr-TR" w:bidi="ar-IQ"/>
        </w:rPr>
        <w:t>Table 2</w:t>
      </w:r>
      <w:r w:rsidR="00C4668E">
        <w:rPr>
          <w:rFonts w:asciiTheme="majorBidi" w:hAnsiTheme="majorBidi" w:cstheme="majorBidi"/>
          <w:lang w:val="tr-TR" w:bidi="ar-IQ"/>
        </w:rPr>
        <w:t>.</w:t>
      </w:r>
      <w:r w:rsidRPr="00D90C75">
        <w:rPr>
          <w:rFonts w:asciiTheme="majorBidi" w:hAnsiTheme="majorBidi" w:cstheme="majorBidi"/>
          <w:lang w:val="tr-TR" w:bidi="ar-IQ"/>
        </w:rPr>
        <w:t xml:space="preserve"> and Figure </w:t>
      </w:r>
      <w:r w:rsidR="00B84263">
        <w:rPr>
          <w:rFonts w:asciiTheme="majorBidi" w:hAnsiTheme="majorBidi" w:cstheme="majorBidi"/>
          <w:lang w:val="tr-TR" w:bidi="ar-IQ"/>
        </w:rPr>
        <w:t>3</w:t>
      </w:r>
      <w:r w:rsidRPr="00D90C75">
        <w:rPr>
          <w:rFonts w:asciiTheme="majorBidi" w:hAnsiTheme="majorBidi" w:cstheme="majorBidi"/>
          <w:lang w:val="tr-TR" w:bidi="ar-IQ"/>
        </w:rPr>
        <w:t>. show the total serum catalase activity AML and ALL patients' catalase activity was significantly lowered when compared to that of healthy controls (P &lt;0.01). Both ALL and AML had an average value of (0.028 ± 0.009 and 0.032 ± 0.006 U/mL). This is the average for the controls (mean 0.11± 0.022 U/mL).</w:t>
      </w:r>
    </w:p>
    <w:p w:rsidR="00347C84" w:rsidRPr="00347C84" w:rsidRDefault="00D90C75" w:rsidP="00B84263">
      <w:pPr>
        <w:spacing w:before="100" w:beforeAutospacing="1"/>
        <w:rPr>
          <w:rFonts w:asciiTheme="majorBidi" w:hAnsiTheme="majorBidi" w:cstheme="majorBidi"/>
          <w:lang w:bidi="ar-IQ"/>
        </w:rPr>
      </w:pPr>
      <w:r w:rsidRPr="00D90C75">
        <w:rPr>
          <w:rFonts w:asciiTheme="majorBidi" w:hAnsiTheme="majorBidi" w:cstheme="majorBidi"/>
          <w:lang w:val="tr-TR" w:bidi="ar-IQ"/>
        </w:rPr>
        <w:t>Mean plasma ceruloplasmin levels in patients and healthy controls are shown in Table2</w:t>
      </w:r>
      <w:r w:rsidR="00C4668E">
        <w:rPr>
          <w:rFonts w:asciiTheme="majorBidi" w:hAnsiTheme="majorBidi" w:cstheme="majorBidi"/>
          <w:lang w:val="tr-TR" w:bidi="ar-IQ"/>
        </w:rPr>
        <w:t>.</w:t>
      </w:r>
      <w:r w:rsidRPr="00D90C75">
        <w:rPr>
          <w:rFonts w:asciiTheme="majorBidi" w:hAnsiTheme="majorBidi" w:cstheme="majorBidi"/>
          <w:lang w:val="tr-TR" w:bidi="ar-IQ"/>
        </w:rPr>
        <w:t xml:space="preserve"> and Figure </w:t>
      </w:r>
      <w:r w:rsidR="00B84263">
        <w:rPr>
          <w:rFonts w:asciiTheme="majorBidi" w:hAnsiTheme="majorBidi" w:cstheme="majorBidi"/>
          <w:lang w:val="tr-TR" w:bidi="ar-IQ"/>
        </w:rPr>
        <w:t>3</w:t>
      </w:r>
      <w:r w:rsidRPr="00D90C75">
        <w:rPr>
          <w:rFonts w:asciiTheme="majorBidi" w:hAnsiTheme="majorBidi" w:cstheme="majorBidi"/>
          <w:lang w:val="tr-TR" w:bidi="ar-IQ"/>
        </w:rPr>
        <w:t>. In compared to healthy controls, AML and ALL median levels have no-significantly (p&gt; 0.001). There is a lot of ceruloplasmin in AML mean levels of p=0.04 as compared with healthy control groups. There was no statistically significant difference in the mean concentration of ceruloplasmin between AML and ALL</w:t>
      </w:r>
      <w:r>
        <w:rPr>
          <w:rFonts w:asciiTheme="majorBidi" w:hAnsiTheme="majorBidi" w:cstheme="majorBidi"/>
          <w:lang w:val="tr-TR" w:bidi="ar-IQ"/>
        </w:rPr>
        <w:t>.</w:t>
      </w:r>
      <w:bookmarkStart w:id="1" w:name="_Toc100254213"/>
      <w:r w:rsidR="00347C84" w:rsidRPr="00347C84">
        <w:rPr>
          <w:rFonts w:asciiTheme="majorBidi" w:eastAsiaTheme="minorEastAsia" w:hAnsiTheme="majorBidi" w:cstheme="majorBidi"/>
          <w:color w:val="000000" w:themeColor="text1"/>
          <w:sz w:val="24"/>
          <w:szCs w:val="24"/>
          <w:lang w:val="tr-TR" w:eastAsia="tr-TR"/>
        </w:rPr>
        <w:t xml:space="preserve"> </w:t>
      </w:r>
      <w:r w:rsidR="00347C84" w:rsidRPr="00B84263">
        <w:rPr>
          <w:rFonts w:asciiTheme="majorBidi" w:hAnsiTheme="majorBidi" w:cstheme="majorBidi"/>
          <w:lang w:val="tr-TR" w:bidi="ar-IQ"/>
        </w:rPr>
        <w:t xml:space="preserve">Table </w:t>
      </w:r>
      <w:r w:rsidR="00B84263" w:rsidRPr="00B84263">
        <w:rPr>
          <w:rFonts w:asciiTheme="majorBidi" w:hAnsiTheme="majorBidi" w:cstheme="majorBidi"/>
          <w:lang w:val="tr-TR" w:bidi="ar-IQ"/>
        </w:rPr>
        <w:t>2</w:t>
      </w:r>
      <w:r w:rsidR="00347C84" w:rsidRPr="00B84263">
        <w:rPr>
          <w:rFonts w:asciiTheme="majorBidi" w:hAnsiTheme="majorBidi" w:cstheme="majorBidi"/>
          <w:lang w:val="tr-TR" w:bidi="ar-IQ"/>
        </w:rPr>
        <w:t>.</w:t>
      </w:r>
      <w:r w:rsidR="00347C84" w:rsidRPr="00347C84">
        <w:rPr>
          <w:rFonts w:asciiTheme="majorBidi" w:hAnsiTheme="majorBidi" w:cstheme="majorBidi"/>
          <w:lang w:bidi="ar-IQ"/>
        </w:rPr>
        <w:t xml:space="preserve"> mean &amp; SD of enzymatic antioxidants in studied group</w:t>
      </w:r>
      <w:bookmarkEnd w:id="1"/>
      <w:r w:rsidR="00B84263">
        <w:rPr>
          <w:rFonts w:asciiTheme="majorBidi" w:hAnsiTheme="majorBidi" w:cstheme="majorBidi"/>
          <w:lang w:bidi="ar-IQ"/>
        </w:rPr>
        <w:t xml:space="preserve"> .</w:t>
      </w:r>
    </w:p>
    <w:p w:rsidR="00347C84" w:rsidRDefault="00347C84" w:rsidP="00347C84">
      <w:pPr>
        <w:spacing w:before="100" w:beforeAutospacing="1"/>
        <w:rPr>
          <w:rFonts w:asciiTheme="majorBidi" w:hAnsiTheme="majorBidi" w:cstheme="majorBidi"/>
          <w:lang w:bidi="ar-IQ"/>
        </w:rPr>
      </w:pPr>
    </w:p>
    <w:p w:rsidR="00F57156" w:rsidRDefault="00F57156" w:rsidP="00347C84">
      <w:pPr>
        <w:spacing w:before="100" w:beforeAutospacing="1"/>
        <w:rPr>
          <w:rFonts w:asciiTheme="majorBidi" w:hAnsiTheme="majorBidi" w:cstheme="majorBidi"/>
          <w:lang w:bidi="ar-IQ"/>
        </w:rPr>
      </w:pPr>
    </w:p>
    <w:p w:rsidR="00F57156" w:rsidRPr="00347C84" w:rsidRDefault="00F57156" w:rsidP="00C4668E">
      <w:pPr>
        <w:spacing w:before="100" w:beforeAutospacing="1"/>
        <w:rPr>
          <w:rFonts w:asciiTheme="majorBidi" w:hAnsiTheme="majorBidi" w:cstheme="majorBidi"/>
          <w:lang w:bidi="ar-IQ"/>
        </w:rPr>
      </w:pPr>
      <w:r w:rsidRPr="00F57156">
        <w:rPr>
          <w:rFonts w:asciiTheme="majorBidi" w:hAnsiTheme="majorBidi" w:cstheme="majorBidi"/>
          <w:b/>
          <w:bCs/>
          <w:lang w:val="tr-TR" w:bidi="ar-IQ"/>
        </w:rPr>
        <w:t xml:space="preserve">Table </w:t>
      </w:r>
      <w:r w:rsidRPr="00F57156">
        <w:rPr>
          <w:rFonts w:asciiTheme="majorBidi" w:hAnsiTheme="majorBidi" w:cstheme="majorBidi"/>
          <w:b/>
          <w:bCs/>
          <w:lang w:val="tr-TR" w:bidi="ar-IQ"/>
        </w:rPr>
        <w:fldChar w:fldCharType="begin"/>
      </w:r>
      <w:r w:rsidRPr="00F57156">
        <w:rPr>
          <w:rFonts w:asciiTheme="majorBidi" w:hAnsiTheme="majorBidi" w:cstheme="majorBidi"/>
          <w:b/>
          <w:bCs/>
          <w:lang w:val="tr-TR" w:bidi="ar-IQ"/>
        </w:rPr>
        <w:instrText xml:space="preserve"> SEQ Table_4. \* ARABIC </w:instrText>
      </w:r>
      <w:r w:rsidRPr="00F57156">
        <w:rPr>
          <w:rFonts w:asciiTheme="majorBidi" w:hAnsiTheme="majorBidi" w:cstheme="majorBidi"/>
          <w:b/>
          <w:bCs/>
          <w:lang w:val="tr-TR" w:bidi="ar-IQ"/>
        </w:rPr>
        <w:fldChar w:fldCharType="separate"/>
      </w:r>
      <w:r w:rsidR="00D04714">
        <w:rPr>
          <w:rFonts w:asciiTheme="majorBidi" w:hAnsiTheme="majorBidi" w:cstheme="majorBidi"/>
          <w:b/>
          <w:bCs/>
          <w:noProof/>
          <w:lang w:val="tr-TR" w:bidi="ar-IQ"/>
        </w:rPr>
        <w:t>2</w:t>
      </w:r>
      <w:r w:rsidRPr="00F57156">
        <w:rPr>
          <w:rFonts w:asciiTheme="majorBidi" w:hAnsiTheme="majorBidi" w:cstheme="majorBidi"/>
          <w:lang w:bidi="ar-IQ"/>
        </w:rPr>
        <w:fldChar w:fldCharType="end"/>
      </w:r>
      <w:r w:rsidRPr="00F57156">
        <w:rPr>
          <w:rFonts w:asciiTheme="majorBidi" w:hAnsiTheme="majorBidi" w:cstheme="majorBidi"/>
          <w:lang w:bidi="ar-IQ"/>
        </w:rPr>
        <w:t xml:space="preserve"> mean &amp; SD of enzymatic antioxi</w:t>
      </w:r>
      <w:bookmarkStart w:id="2" w:name="_GoBack"/>
      <w:bookmarkEnd w:id="2"/>
      <w:r w:rsidRPr="00F57156">
        <w:rPr>
          <w:rFonts w:asciiTheme="majorBidi" w:hAnsiTheme="majorBidi" w:cstheme="majorBidi"/>
          <w:lang w:bidi="ar-IQ"/>
        </w:rPr>
        <w:t>dants in studied group</w:t>
      </w:r>
    </w:p>
    <w:tbl>
      <w:tblPr>
        <w:tblStyle w:val="a5"/>
        <w:tblpPr w:leftFromText="180" w:rightFromText="180" w:vertAnchor="text" w:horzAnchor="margin" w:tblpXSpec="center" w:tblpY="113"/>
        <w:tblW w:w="8500" w:type="dxa"/>
        <w:tblLook w:val="04A0" w:firstRow="1" w:lastRow="0" w:firstColumn="1" w:lastColumn="0" w:noHBand="0" w:noVBand="1"/>
      </w:tblPr>
      <w:tblGrid>
        <w:gridCol w:w="1557"/>
        <w:gridCol w:w="1552"/>
        <w:gridCol w:w="1581"/>
        <w:gridCol w:w="1152"/>
        <w:gridCol w:w="686"/>
        <w:gridCol w:w="986"/>
        <w:gridCol w:w="986"/>
      </w:tblGrid>
      <w:tr w:rsidR="00347C84" w:rsidRPr="00347C84" w:rsidTr="00514E2A">
        <w:trPr>
          <w:trHeight w:val="414"/>
        </w:trPr>
        <w:tc>
          <w:tcPr>
            <w:tcW w:w="1413" w:type="dxa"/>
            <w:vMerge w:val="restart"/>
          </w:tcPr>
          <w:p w:rsidR="00347C84" w:rsidRPr="00347C84" w:rsidRDefault="00347C84" w:rsidP="00347C84">
            <w:pPr>
              <w:spacing w:before="100" w:beforeAutospacing="1"/>
              <w:ind w:left="45"/>
              <w:jc w:val="both"/>
              <w:rPr>
                <w:rFonts w:asciiTheme="majorBidi" w:hAnsiTheme="majorBidi" w:cstheme="majorBidi"/>
                <w:b/>
                <w:bCs/>
                <w:sz w:val="20"/>
                <w:szCs w:val="20"/>
                <w:lang w:bidi="ar-IQ"/>
              </w:rPr>
            </w:pPr>
            <w:r w:rsidRPr="00347C84">
              <w:rPr>
                <w:rFonts w:asciiTheme="majorBidi" w:hAnsiTheme="majorBidi" w:cstheme="majorBidi"/>
                <w:b/>
                <w:bCs/>
                <w:sz w:val="20"/>
                <w:szCs w:val="20"/>
                <w:lang w:bidi="ar-IQ"/>
              </w:rPr>
              <w:t>Enzymatic antioxidant parameter</w:t>
            </w:r>
          </w:p>
        </w:tc>
        <w:tc>
          <w:tcPr>
            <w:tcW w:w="1559" w:type="dxa"/>
            <w:vMerge w:val="restart"/>
          </w:tcPr>
          <w:p w:rsidR="00347C84" w:rsidRPr="00347C84" w:rsidRDefault="00F57156" w:rsidP="00F57156">
            <w:pPr>
              <w:spacing w:before="100" w:beforeAutospacing="1"/>
              <w:ind w:left="45"/>
              <w:jc w:val="both"/>
              <w:rPr>
                <w:rFonts w:asciiTheme="majorBidi" w:hAnsiTheme="majorBidi" w:cstheme="majorBidi"/>
                <w:b/>
                <w:bCs/>
                <w:sz w:val="20"/>
                <w:szCs w:val="20"/>
                <w:lang w:bidi="ar-IQ"/>
              </w:rPr>
            </w:pPr>
            <w:r>
              <w:rPr>
                <w:rFonts w:asciiTheme="majorBidi" w:hAnsiTheme="majorBidi" w:cstheme="majorBidi"/>
                <w:b/>
                <w:bCs/>
                <w:sz w:val="20"/>
                <w:szCs w:val="20"/>
                <w:lang w:bidi="ar-IQ"/>
              </w:rPr>
              <w:t xml:space="preserve">   </w:t>
            </w:r>
            <w:r w:rsidR="00347C84" w:rsidRPr="00347C84">
              <w:rPr>
                <w:rFonts w:asciiTheme="majorBidi" w:hAnsiTheme="majorBidi" w:cstheme="majorBidi"/>
                <w:b/>
                <w:bCs/>
                <w:sz w:val="20"/>
                <w:szCs w:val="20"/>
                <w:lang w:bidi="ar-IQ"/>
              </w:rPr>
              <w:t xml:space="preserve">Acute </w:t>
            </w:r>
            <w:r>
              <w:rPr>
                <w:rFonts w:asciiTheme="majorBidi" w:hAnsiTheme="majorBidi" w:cstheme="majorBidi"/>
                <w:b/>
                <w:bCs/>
                <w:sz w:val="20"/>
                <w:szCs w:val="20"/>
                <w:lang w:bidi="ar-IQ"/>
              </w:rPr>
              <w:t xml:space="preserve"> </w:t>
            </w:r>
            <w:r w:rsidR="00347C84" w:rsidRPr="00347C84">
              <w:rPr>
                <w:rFonts w:asciiTheme="majorBidi" w:hAnsiTheme="majorBidi" w:cstheme="majorBidi"/>
                <w:b/>
                <w:bCs/>
                <w:sz w:val="20"/>
                <w:szCs w:val="20"/>
                <w:lang w:bidi="ar-IQ"/>
              </w:rPr>
              <w:t xml:space="preserve">Lymphoblastic </w:t>
            </w:r>
            <w:r>
              <w:rPr>
                <w:rFonts w:asciiTheme="majorBidi" w:hAnsiTheme="majorBidi" w:cstheme="majorBidi"/>
                <w:b/>
                <w:bCs/>
                <w:sz w:val="20"/>
                <w:szCs w:val="20"/>
                <w:lang w:bidi="ar-IQ"/>
              </w:rPr>
              <w:t xml:space="preserve">  </w:t>
            </w:r>
            <w:r w:rsidR="00347C84" w:rsidRPr="00347C84">
              <w:rPr>
                <w:rFonts w:asciiTheme="majorBidi" w:hAnsiTheme="majorBidi" w:cstheme="majorBidi"/>
                <w:b/>
                <w:bCs/>
                <w:sz w:val="20"/>
                <w:szCs w:val="20"/>
                <w:lang w:bidi="ar-IQ"/>
              </w:rPr>
              <w:t xml:space="preserve">Leukemia (ALL)  </w:t>
            </w:r>
          </w:p>
        </w:tc>
        <w:tc>
          <w:tcPr>
            <w:tcW w:w="1701" w:type="dxa"/>
            <w:vMerge w:val="restart"/>
          </w:tcPr>
          <w:p w:rsidR="00F57156" w:rsidRDefault="00347C84" w:rsidP="00F57156">
            <w:pPr>
              <w:spacing w:before="100" w:beforeAutospacing="1"/>
              <w:ind w:left="45"/>
              <w:jc w:val="center"/>
              <w:rPr>
                <w:rFonts w:asciiTheme="majorBidi" w:hAnsiTheme="majorBidi" w:cstheme="majorBidi"/>
                <w:b/>
                <w:bCs/>
                <w:sz w:val="20"/>
                <w:szCs w:val="20"/>
                <w:lang w:bidi="ar-IQ"/>
              </w:rPr>
            </w:pPr>
            <w:r w:rsidRPr="00347C84">
              <w:rPr>
                <w:rFonts w:asciiTheme="majorBidi" w:hAnsiTheme="majorBidi" w:cstheme="majorBidi"/>
                <w:b/>
                <w:bCs/>
                <w:sz w:val="20"/>
                <w:szCs w:val="20"/>
                <w:lang w:bidi="ar-IQ"/>
              </w:rPr>
              <w:t>Acute</w:t>
            </w:r>
          </w:p>
          <w:p w:rsidR="00347C84" w:rsidRDefault="00F57156" w:rsidP="00F57156">
            <w:pPr>
              <w:ind w:left="45"/>
              <w:jc w:val="center"/>
              <w:rPr>
                <w:rFonts w:asciiTheme="majorBidi" w:hAnsiTheme="majorBidi" w:cstheme="majorBidi"/>
                <w:b/>
                <w:bCs/>
                <w:sz w:val="20"/>
                <w:szCs w:val="20"/>
                <w:lang w:bidi="ar-IQ"/>
              </w:rPr>
            </w:pPr>
            <w:r>
              <w:rPr>
                <w:rFonts w:asciiTheme="majorBidi" w:hAnsiTheme="majorBidi" w:cstheme="majorBidi"/>
                <w:b/>
                <w:bCs/>
                <w:sz w:val="20"/>
                <w:szCs w:val="20"/>
                <w:lang w:bidi="ar-IQ"/>
              </w:rPr>
              <w:t>Myeliod</w:t>
            </w:r>
          </w:p>
          <w:p w:rsidR="00F57156" w:rsidRDefault="00F57156" w:rsidP="00F57156">
            <w:pPr>
              <w:ind w:left="45"/>
              <w:jc w:val="center"/>
              <w:rPr>
                <w:rFonts w:asciiTheme="majorBidi" w:hAnsiTheme="majorBidi" w:cstheme="majorBidi"/>
                <w:b/>
                <w:bCs/>
                <w:sz w:val="20"/>
                <w:szCs w:val="20"/>
                <w:lang w:bidi="ar-IQ"/>
              </w:rPr>
            </w:pPr>
            <w:r>
              <w:rPr>
                <w:rFonts w:asciiTheme="majorBidi" w:hAnsiTheme="majorBidi" w:cstheme="majorBidi"/>
                <w:b/>
                <w:bCs/>
                <w:sz w:val="20"/>
                <w:szCs w:val="20"/>
                <w:lang w:bidi="ar-IQ"/>
              </w:rPr>
              <w:t>Leukemia</w:t>
            </w:r>
          </w:p>
          <w:p w:rsidR="00F57156" w:rsidRPr="00347C84" w:rsidRDefault="00F57156" w:rsidP="00F57156">
            <w:pPr>
              <w:ind w:left="45"/>
              <w:jc w:val="center"/>
              <w:rPr>
                <w:rFonts w:asciiTheme="majorBidi" w:hAnsiTheme="majorBidi" w:cstheme="majorBidi"/>
                <w:b/>
                <w:bCs/>
                <w:sz w:val="20"/>
                <w:szCs w:val="20"/>
                <w:lang w:bidi="ar-IQ"/>
              </w:rPr>
            </w:pPr>
            <w:r>
              <w:rPr>
                <w:rFonts w:asciiTheme="majorBidi" w:hAnsiTheme="majorBidi" w:cstheme="majorBidi"/>
                <w:b/>
                <w:bCs/>
                <w:sz w:val="20"/>
                <w:szCs w:val="20"/>
                <w:lang w:bidi="ar-IQ"/>
              </w:rPr>
              <w:t>(AML)</w:t>
            </w:r>
          </w:p>
        </w:tc>
        <w:tc>
          <w:tcPr>
            <w:tcW w:w="1134" w:type="dxa"/>
            <w:vMerge w:val="restart"/>
          </w:tcPr>
          <w:p w:rsidR="00347C84" w:rsidRPr="00347C84" w:rsidRDefault="00347C84" w:rsidP="00347C84">
            <w:pPr>
              <w:spacing w:before="100" w:beforeAutospacing="1"/>
              <w:ind w:left="45"/>
              <w:jc w:val="both"/>
              <w:rPr>
                <w:rFonts w:asciiTheme="majorBidi" w:hAnsiTheme="majorBidi" w:cstheme="majorBidi"/>
                <w:b/>
                <w:bCs/>
                <w:sz w:val="20"/>
                <w:szCs w:val="20"/>
                <w:lang w:bidi="ar-IQ"/>
              </w:rPr>
            </w:pPr>
            <w:r w:rsidRPr="00347C84">
              <w:rPr>
                <w:rFonts w:asciiTheme="majorBidi" w:hAnsiTheme="majorBidi" w:cstheme="majorBidi"/>
                <w:b/>
                <w:bCs/>
                <w:sz w:val="20"/>
                <w:szCs w:val="20"/>
                <w:lang w:bidi="ar-IQ"/>
              </w:rPr>
              <w:t>Healthy control groups</w:t>
            </w:r>
          </w:p>
        </w:tc>
        <w:tc>
          <w:tcPr>
            <w:tcW w:w="2693" w:type="dxa"/>
            <w:gridSpan w:val="3"/>
          </w:tcPr>
          <w:p w:rsidR="00347C84" w:rsidRPr="00347C84" w:rsidRDefault="00347C84" w:rsidP="00347C84">
            <w:pPr>
              <w:spacing w:before="100" w:beforeAutospacing="1"/>
              <w:ind w:left="45"/>
              <w:jc w:val="both"/>
              <w:rPr>
                <w:rFonts w:asciiTheme="majorBidi" w:hAnsiTheme="majorBidi" w:cstheme="majorBidi"/>
                <w:b/>
                <w:bCs/>
                <w:sz w:val="20"/>
                <w:szCs w:val="20"/>
                <w:lang w:bidi="ar-IQ"/>
              </w:rPr>
            </w:pPr>
            <w:r w:rsidRPr="00347C84">
              <w:rPr>
                <w:rFonts w:asciiTheme="majorBidi" w:hAnsiTheme="majorBidi" w:cstheme="majorBidi"/>
                <w:b/>
                <w:bCs/>
                <w:sz w:val="20"/>
                <w:szCs w:val="20"/>
                <w:lang w:bidi="ar-IQ"/>
              </w:rPr>
              <w:t>p-value</w:t>
            </w:r>
          </w:p>
        </w:tc>
      </w:tr>
      <w:tr w:rsidR="00347C84" w:rsidRPr="00347C84" w:rsidTr="00514E2A">
        <w:trPr>
          <w:trHeight w:val="278"/>
        </w:trPr>
        <w:tc>
          <w:tcPr>
            <w:tcW w:w="1413" w:type="dxa"/>
            <w:vMerge/>
          </w:tcPr>
          <w:p w:rsidR="00347C84" w:rsidRPr="00347C84" w:rsidRDefault="00347C84" w:rsidP="00347C84">
            <w:pPr>
              <w:spacing w:before="100" w:beforeAutospacing="1"/>
              <w:ind w:left="45"/>
              <w:jc w:val="both"/>
              <w:rPr>
                <w:rFonts w:asciiTheme="majorBidi" w:hAnsiTheme="majorBidi" w:cstheme="majorBidi"/>
                <w:b/>
                <w:bCs/>
                <w:lang w:bidi="ar-IQ"/>
              </w:rPr>
            </w:pPr>
          </w:p>
        </w:tc>
        <w:tc>
          <w:tcPr>
            <w:tcW w:w="1559" w:type="dxa"/>
            <w:vMerge/>
          </w:tcPr>
          <w:p w:rsidR="00347C84" w:rsidRPr="00347C84" w:rsidRDefault="00347C84" w:rsidP="00347C84">
            <w:pPr>
              <w:spacing w:before="100" w:beforeAutospacing="1"/>
              <w:ind w:left="45"/>
              <w:jc w:val="both"/>
              <w:rPr>
                <w:rFonts w:asciiTheme="majorBidi" w:hAnsiTheme="majorBidi" w:cstheme="majorBidi"/>
                <w:lang w:bidi="ar-IQ"/>
              </w:rPr>
            </w:pPr>
          </w:p>
        </w:tc>
        <w:tc>
          <w:tcPr>
            <w:tcW w:w="1701" w:type="dxa"/>
            <w:vMerge/>
          </w:tcPr>
          <w:p w:rsidR="00347C84" w:rsidRPr="00347C84" w:rsidRDefault="00347C84" w:rsidP="00347C84">
            <w:pPr>
              <w:spacing w:before="100" w:beforeAutospacing="1"/>
              <w:ind w:left="45"/>
              <w:jc w:val="both"/>
              <w:rPr>
                <w:rFonts w:asciiTheme="majorBidi" w:hAnsiTheme="majorBidi" w:cstheme="majorBidi"/>
                <w:lang w:bidi="ar-IQ"/>
              </w:rPr>
            </w:pPr>
          </w:p>
        </w:tc>
        <w:tc>
          <w:tcPr>
            <w:tcW w:w="1134" w:type="dxa"/>
            <w:vMerge/>
          </w:tcPr>
          <w:p w:rsidR="00347C84" w:rsidRPr="00347C84" w:rsidRDefault="00347C84" w:rsidP="00347C84">
            <w:pPr>
              <w:spacing w:before="100" w:beforeAutospacing="1"/>
              <w:ind w:left="45"/>
              <w:jc w:val="both"/>
              <w:rPr>
                <w:rFonts w:asciiTheme="majorBidi" w:hAnsiTheme="majorBidi" w:cstheme="majorBidi"/>
                <w:lang w:bidi="ar-IQ"/>
              </w:rPr>
            </w:pPr>
          </w:p>
        </w:tc>
        <w:tc>
          <w:tcPr>
            <w:tcW w:w="709" w:type="dxa"/>
          </w:tcPr>
          <w:p w:rsidR="00347C84" w:rsidRPr="00347C84" w:rsidRDefault="00347C84" w:rsidP="00347C84">
            <w:pPr>
              <w:spacing w:before="100" w:beforeAutospacing="1"/>
              <w:ind w:left="45"/>
              <w:jc w:val="both"/>
              <w:rPr>
                <w:rFonts w:asciiTheme="majorBidi" w:hAnsiTheme="majorBidi" w:cstheme="majorBidi"/>
                <w:b/>
                <w:bCs/>
                <w:lang w:bidi="ar-IQ"/>
              </w:rPr>
            </w:pPr>
            <w:r w:rsidRPr="00347C84">
              <w:rPr>
                <w:rFonts w:asciiTheme="majorBidi" w:hAnsiTheme="majorBidi" w:cstheme="majorBidi"/>
                <w:b/>
                <w:bCs/>
                <w:lang w:bidi="ar-IQ"/>
              </w:rPr>
              <w:t>1x2</w:t>
            </w:r>
          </w:p>
        </w:tc>
        <w:tc>
          <w:tcPr>
            <w:tcW w:w="992" w:type="dxa"/>
          </w:tcPr>
          <w:p w:rsidR="00347C84" w:rsidRPr="00347C84" w:rsidRDefault="00347C84" w:rsidP="00347C84">
            <w:pPr>
              <w:spacing w:before="100" w:beforeAutospacing="1"/>
              <w:ind w:left="45"/>
              <w:jc w:val="both"/>
              <w:rPr>
                <w:rFonts w:asciiTheme="majorBidi" w:hAnsiTheme="majorBidi" w:cstheme="majorBidi"/>
                <w:b/>
                <w:bCs/>
                <w:lang w:bidi="ar-IQ"/>
              </w:rPr>
            </w:pPr>
            <w:r w:rsidRPr="00347C84">
              <w:rPr>
                <w:rFonts w:asciiTheme="majorBidi" w:hAnsiTheme="majorBidi" w:cstheme="majorBidi"/>
                <w:b/>
                <w:bCs/>
                <w:lang w:bidi="ar-IQ"/>
              </w:rPr>
              <w:t>1x3</w:t>
            </w:r>
          </w:p>
        </w:tc>
        <w:tc>
          <w:tcPr>
            <w:tcW w:w="992" w:type="dxa"/>
          </w:tcPr>
          <w:p w:rsidR="00347C84" w:rsidRPr="00347C84" w:rsidRDefault="00347C84" w:rsidP="00347C84">
            <w:pPr>
              <w:spacing w:before="100" w:beforeAutospacing="1"/>
              <w:ind w:left="45"/>
              <w:jc w:val="both"/>
              <w:rPr>
                <w:rFonts w:asciiTheme="majorBidi" w:hAnsiTheme="majorBidi" w:cstheme="majorBidi"/>
                <w:b/>
                <w:bCs/>
                <w:lang w:bidi="ar-IQ"/>
              </w:rPr>
            </w:pPr>
            <w:r w:rsidRPr="00347C84">
              <w:rPr>
                <w:rFonts w:asciiTheme="majorBidi" w:hAnsiTheme="majorBidi" w:cstheme="majorBidi"/>
                <w:b/>
                <w:bCs/>
                <w:lang w:bidi="ar-IQ"/>
              </w:rPr>
              <w:t>2x3</w:t>
            </w:r>
          </w:p>
        </w:tc>
      </w:tr>
      <w:tr w:rsidR="00347C84" w:rsidRPr="00347C84" w:rsidTr="00514E2A">
        <w:trPr>
          <w:trHeight w:val="304"/>
        </w:trPr>
        <w:tc>
          <w:tcPr>
            <w:tcW w:w="1413"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SOD</w:t>
            </w:r>
          </w:p>
        </w:tc>
        <w:tc>
          <w:tcPr>
            <w:tcW w:w="1559"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8.42± 1.8</w:t>
            </w:r>
          </w:p>
        </w:tc>
        <w:tc>
          <w:tcPr>
            <w:tcW w:w="1701"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6.76± 1.22</w:t>
            </w:r>
          </w:p>
        </w:tc>
        <w:tc>
          <w:tcPr>
            <w:tcW w:w="1134"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2.50±0.63</w:t>
            </w:r>
          </w:p>
        </w:tc>
        <w:tc>
          <w:tcPr>
            <w:tcW w:w="709"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0.76</w:t>
            </w:r>
          </w:p>
        </w:tc>
        <w:tc>
          <w:tcPr>
            <w:tcW w:w="992"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0.003**</w:t>
            </w:r>
          </w:p>
        </w:tc>
        <w:tc>
          <w:tcPr>
            <w:tcW w:w="992"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0.012*</w:t>
            </w:r>
          </w:p>
        </w:tc>
      </w:tr>
      <w:tr w:rsidR="00347C84" w:rsidRPr="00347C84" w:rsidTr="00514E2A">
        <w:trPr>
          <w:trHeight w:val="321"/>
        </w:trPr>
        <w:tc>
          <w:tcPr>
            <w:tcW w:w="1413"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CAT</w:t>
            </w:r>
          </w:p>
        </w:tc>
        <w:tc>
          <w:tcPr>
            <w:tcW w:w="1559"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0.028±0.009</w:t>
            </w:r>
          </w:p>
        </w:tc>
        <w:tc>
          <w:tcPr>
            <w:tcW w:w="1701"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0.032±0.006</w:t>
            </w:r>
          </w:p>
        </w:tc>
        <w:tc>
          <w:tcPr>
            <w:tcW w:w="1134"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0.23±0.02</w:t>
            </w:r>
          </w:p>
        </w:tc>
        <w:tc>
          <w:tcPr>
            <w:tcW w:w="709"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0.55</w:t>
            </w:r>
          </w:p>
        </w:tc>
        <w:tc>
          <w:tcPr>
            <w:tcW w:w="992"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0.001**</w:t>
            </w:r>
          </w:p>
        </w:tc>
        <w:tc>
          <w:tcPr>
            <w:tcW w:w="992"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0.001**</w:t>
            </w:r>
          </w:p>
        </w:tc>
      </w:tr>
      <w:tr w:rsidR="00347C84" w:rsidRPr="00347C84" w:rsidTr="00514E2A">
        <w:trPr>
          <w:trHeight w:val="304"/>
        </w:trPr>
        <w:tc>
          <w:tcPr>
            <w:tcW w:w="1413"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Ceruloplasmin</w:t>
            </w:r>
          </w:p>
        </w:tc>
        <w:tc>
          <w:tcPr>
            <w:tcW w:w="1559"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0.33±0.06</w:t>
            </w:r>
          </w:p>
        </w:tc>
        <w:tc>
          <w:tcPr>
            <w:tcW w:w="1701"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0.39±0.05</w:t>
            </w:r>
          </w:p>
        </w:tc>
        <w:tc>
          <w:tcPr>
            <w:tcW w:w="1134"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0.25±0.01</w:t>
            </w:r>
          </w:p>
        </w:tc>
        <w:tc>
          <w:tcPr>
            <w:tcW w:w="709"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0.72</w:t>
            </w:r>
          </w:p>
        </w:tc>
        <w:tc>
          <w:tcPr>
            <w:tcW w:w="992"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0.40</w:t>
            </w:r>
          </w:p>
        </w:tc>
        <w:tc>
          <w:tcPr>
            <w:tcW w:w="992" w:type="dxa"/>
          </w:tcPr>
          <w:p w:rsidR="00347C84" w:rsidRPr="00347C84" w:rsidRDefault="00347C84" w:rsidP="00347C84">
            <w:pPr>
              <w:spacing w:before="100" w:beforeAutospacing="1"/>
              <w:ind w:left="45"/>
              <w:jc w:val="both"/>
              <w:rPr>
                <w:rFonts w:asciiTheme="majorBidi" w:hAnsiTheme="majorBidi" w:cstheme="majorBidi"/>
                <w:lang w:bidi="ar-IQ"/>
              </w:rPr>
            </w:pPr>
            <w:r w:rsidRPr="00347C84">
              <w:rPr>
                <w:rFonts w:asciiTheme="majorBidi" w:hAnsiTheme="majorBidi" w:cstheme="majorBidi"/>
                <w:lang w:bidi="ar-IQ"/>
              </w:rPr>
              <w:t>0.040*</w:t>
            </w:r>
          </w:p>
        </w:tc>
      </w:tr>
    </w:tbl>
    <w:p w:rsidR="00F57156" w:rsidRDefault="00F57156" w:rsidP="00347C84">
      <w:pPr>
        <w:spacing w:before="100" w:beforeAutospacing="1"/>
        <w:rPr>
          <w:rFonts w:asciiTheme="majorBidi" w:hAnsiTheme="majorBidi" w:cstheme="majorBidi"/>
          <w:lang w:val="tr-TR" w:bidi="ar-IQ"/>
        </w:rPr>
      </w:pPr>
    </w:p>
    <w:p w:rsidR="00F57156" w:rsidRDefault="00F57156" w:rsidP="00B65EEC">
      <w:pPr>
        <w:spacing w:before="100" w:beforeAutospacing="1"/>
        <w:ind w:left="0"/>
        <w:rPr>
          <w:rFonts w:asciiTheme="majorBidi" w:hAnsiTheme="majorBidi" w:cstheme="majorBidi"/>
          <w:lang w:val="tr-TR" w:bidi="ar-IQ"/>
        </w:rPr>
      </w:pPr>
    </w:p>
    <w:p w:rsidR="00347C84" w:rsidRPr="00D90C75" w:rsidRDefault="00F57156" w:rsidP="00347C84">
      <w:pPr>
        <w:spacing w:before="100" w:beforeAutospacing="1"/>
        <w:rPr>
          <w:rFonts w:asciiTheme="majorBidi" w:hAnsiTheme="majorBidi" w:cstheme="majorBidi"/>
          <w:b/>
          <w:bCs/>
          <w:lang w:val="tr-TR" w:bidi="ar-IQ"/>
        </w:rPr>
      </w:pPr>
      <w:r w:rsidRPr="007B345C">
        <w:rPr>
          <w:rFonts w:asciiTheme="majorBidi" w:hAnsiTheme="majorBidi" w:cstheme="majorBidi"/>
          <w:noProof/>
          <w:sz w:val="24"/>
          <w:szCs w:val="24"/>
        </w:rPr>
        <w:drawing>
          <wp:inline distT="0" distB="0" distL="0" distR="0" wp14:anchorId="68D81506" wp14:editId="44AB84B0">
            <wp:extent cx="5175849" cy="3803650"/>
            <wp:effectExtent l="0" t="0" r="6350" b="635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7156" w:rsidRDefault="00F57156" w:rsidP="007B6D15">
      <w:pPr>
        <w:spacing w:before="100" w:beforeAutospacing="1"/>
        <w:rPr>
          <w:rFonts w:asciiTheme="majorBidi" w:hAnsiTheme="majorBidi" w:cstheme="majorBidi"/>
          <w:lang w:val="tr-TR" w:bidi="ar-IQ"/>
        </w:rPr>
      </w:pPr>
      <w:bookmarkStart w:id="3" w:name="_Toc100254162"/>
      <w:r w:rsidRPr="00F57156">
        <w:rPr>
          <w:rFonts w:asciiTheme="majorBidi" w:hAnsiTheme="majorBidi" w:cstheme="majorBidi"/>
          <w:b/>
          <w:bCs/>
          <w:lang w:val="tr-TR" w:bidi="ar-IQ"/>
        </w:rPr>
        <w:t xml:space="preserve">Figure </w:t>
      </w:r>
      <w:r w:rsidR="007B6D15">
        <w:rPr>
          <w:rFonts w:asciiTheme="majorBidi" w:hAnsiTheme="majorBidi" w:cstheme="majorBidi"/>
          <w:b/>
          <w:bCs/>
          <w:lang w:val="tr-TR" w:bidi="ar-IQ"/>
        </w:rPr>
        <w:t>3</w:t>
      </w:r>
      <w:r w:rsidRPr="00F57156">
        <w:rPr>
          <w:rFonts w:asciiTheme="majorBidi" w:hAnsiTheme="majorBidi" w:cstheme="majorBidi"/>
          <w:b/>
          <w:bCs/>
          <w:lang w:val="tr-TR" w:bidi="ar-IQ"/>
        </w:rPr>
        <w:t>.</w:t>
      </w:r>
      <w:r w:rsidRPr="00F57156">
        <w:rPr>
          <w:rFonts w:asciiTheme="majorBidi" w:hAnsiTheme="majorBidi" w:cstheme="majorBidi"/>
          <w:lang w:bidi="ar-IQ"/>
        </w:rPr>
        <w:t xml:space="preserve"> mean and SD of enzymatic antioxidant in studied groups</w:t>
      </w:r>
      <w:bookmarkEnd w:id="3"/>
    </w:p>
    <w:p w:rsidR="00B736DB" w:rsidRPr="0013745F" w:rsidRDefault="00B736DB" w:rsidP="00B65EEC">
      <w:pPr>
        <w:spacing w:before="100" w:beforeAutospacing="1"/>
        <w:ind w:left="0"/>
        <w:rPr>
          <w:rFonts w:asciiTheme="majorBidi" w:hAnsiTheme="majorBidi" w:cstheme="majorBidi"/>
          <w:lang w:val="tr-TR" w:bidi="ar-IQ"/>
        </w:rPr>
      </w:pPr>
    </w:p>
    <w:p w:rsidR="001F6E4A" w:rsidRDefault="00FF3211" w:rsidP="001F6E4A">
      <w:pPr>
        <w:spacing w:before="100" w:beforeAutospacing="1"/>
        <w:rPr>
          <w:rFonts w:asciiTheme="majorBidi" w:hAnsiTheme="majorBidi" w:cstheme="majorBidi"/>
          <w:b/>
          <w:bCs/>
          <w:sz w:val="24"/>
          <w:szCs w:val="24"/>
          <w:lang w:bidi="ar-IQ"/>
        </w:rPr>
      </w:pPr>
      <w:r w:rsidRPr="00FF3211">
        <w:rPr>
          <w:rFonts w:asciiTheme="majorHAnsi" w:eastAsiaTheme="majorEastAsia" w:hAnsi="Tw Cen MT Condensed" w:cstheme="majorBidi"/>
          <w:b/>
          <w:bCs/>
          <w:caps/>
          <w:color w:val="0D0D0D" w:themeColor="text1" w:themeTint="F2"/>
          <w:spacing w:val="20"/>
          <w:kern w:val="24"/>
          <w:position w:val="1"/>
          <w:sz w:val="24"/>
          <w:szCs w:val="24"/>
          <w:lang w:val="tr-TR"/>
        </w:rPr>
        <w:t>d</w:t>
      </w:r>
      <w:r w:rsidRPr="00FF3211">
        <w:rPr>
          <w:rFonts w:asciiTheme="majorHAnsi" w:eastAsiaTheme="majorEastAsia" w:hAnsi="Tw Cen MT Condensed" w:cstheme="majorBidi"/>
          <w:b/>
          <w:bCs/>
          <w:caps/>
          <w:color w:val="0D0D0D" w:themeColor="text1" w:themeTint="F2"/>
          <w:spacing w:val="20"/>
          <w:kern w:val="24"/>
          <w:position w:val="1"/>
          <w:sz w:val="24"/>
          <w:szCs w:val="24"/>
          <w:lang w:val="tr-TR"/>
        </w:rPr>
        <w:t>ı</w:t>
      </w:r>
      <w:r w:rsidRPr="00FF3211">
        <w:rPr>
          <w:rFonts w:asciiTheme="majorHAnsi" w:eastAsiaTheme="majorEastAsia" w:hAnsi="Tw Cen MT Condensed" w:cstheme="majorBidi"/>
          <w:b/>
          <w:bCs/>
          <w:caps/>
          <w:color w:val="0D0D0D" w:themeColor="text1" w:themeTint="F2"/>
          <w:spacing w:val="20"/>
          <w:kern w:val="24"/>
          <w:position w:val="1"/>
          <w:sz w:val="24"/>
          <w:szCs w:val="24"/>
          <w:lang w:val="tr-TR"/>
        </w:rPr>
        <w:t>scuss</w:t>
      </w:r>
      <w:r w:rsidRPr="00FF3211">
        <w:rPr>
          <w:rFonts w:asciiTheme="majorHAnsi" w:eastAsiaTheme="majorEastAsia" w:hAnsi="Tw Cen MT Condensed" w:cstheme="majorBidi"/>
          <w:b/>
          <w:bCs/>
          <w:caps/>
          <w:color w:val="0D0D0D" w:themeColor="text1" w:themeTint="F2"/>
          <w:spacing w:val="20"/>
          <w:kern w:val="24"/>
          <w:position w:val="1"/>
          <w:sz w:val="24"/>
          <w:szCs w:val="24"/>
        </w:rPr>
        <w:t>I</w:t>
      </w:r>
      <w:r w:rsidRPr="00FF3211">
        <w:rPr>
          <w:rFonts w:asciiTheme="majorHAnsi" w:eastAsiaTheme="majorEastAsia" w:hAnsi="Tw Cen MT Condensed" w:cstheme="majorBidi"/>
          <w:b/>
          <w:bCs/>
          <w:caps/>
          <w:color w:val="0D0D0D" w:themeColor="text1" w:themeTint="F2"/>
          <w:spacing w:val="20"/>
          <w:kern w:val="24"/>
          <w:position w:val="1"/>
          <w:sz w:val="24"/>
          <w:szCs w:val="24"/>
          <w:lang w:val="tr-TR"/>
        </w:rPr>
        <w:t>ons</w:t>
      </w:r>
      <w:r w:rsidRPr="00FF3211">
        <w:rPr>
          <w:rFonts w:asciiTheme="majorHAnsi" w:eastAsiaTheme="majorEastAsia" w:hAnsi="Tw Cen MT Condensed" w:cstheme="majorBidi"/>
          <w:b/>
          <w:bCs/>
          <w:caps/>
          <w:color w:val="0D0D0D" w:themeColor="text1" w:themeTint="F2"/>
          <w:spacing w:val="20"/>
          <w:kern w:val="24"/>
          <w:position w:val="1"/>
          <w:sz w:val="24"/>
          <w:szCs w:val="24"/>
        </w:rPr>
        <w:t>:</w:t>
      </w:r>
    </w:p>
    <w:p w:rsidR="00B810E6" w:rsidRPr="00FF3211" w:rsidRDefault="00D04714" w:rsidP="00FF3211">
      <w:pPr>
        <w:numPr>
          <w:ilvl w:val="0"/>
          <w:numId w:val="4"/>
        </w:numPr>
        <w:spacing w:before="100" w:beforeAutospacing="1"/>
        <w:rPr>
          <w:rFonts w:asciiTheme="majorBidi" w:hAnsiTheme="majorBidi" w:cstheme="majorBidi"/>
          <w:lang w:bidi="ar-IQ"/>
        </w:rPr>
      </w:pPr>
      <w:r w:rsidRPr="00FF3211">
        <w:rPr>
          <w:rFonts w:asciiTheme="majorBidi" w:hAnsiTheme="majorBidi" w:cstheme="majorBidi"/>
          <w:lang w:bidi="ar-IQ"/>
        </w:rPr>
        <w:t>Elderly patients had a lower survival rate than younger patients even in the same phase of the disease. A strong correlation between age and survival rates was found in this study. Although IFN production is lower</w:t>
      </w:r>
      <w:r w:rsidRPr="00FF3211">
        <w:rPr>
          <w:rFonts w:asciiTheme="majorBidi" w:hAnsiTheme="majorBidi" w:cstheme="majorBidi"/>
          <w:b/>
          <w:bCs/>
          <w:sz w:val="24"/>
          <w:szCs w:val="24"/>
          <w:lang w:bidi="ar-IQ"/>
        </w:rPr>
        <w:t xml:space="preserve"> </w:t>
      </w:r>
      <w:r w:rsidRPr="00FF3211">
        <w:rPr>
          <w:rFonts w:asciiTheme="majorBidi" w:hAnsiTheme="majorBidi" w:cstheme="majorBidi"/>
          <w:lang w:bidi="ar-IQ"/>
        </w:rPr>
        <w:t xml:space="preserve">in the elderly, suggesting an increase in TH2 cytokine production, IL-4 and IL-10 production in the elderly is higher than in the younger patients  </w:t>
      </w:r>
      <w:proofErr w:type="spellStart"/>
      <w:r w:rsidRPr="00FF3211">
        <w:rPr>
          <w:rFonts w:asciiTheme="majorBidi" w:hAnsiTheme="majorBidi" w:cstheme="majorBidi"/>
          <w:lang w:bidi="ar-IQ"/>
        </w:rPr>
        <w:t>Barlas</w:t>
      </w:r>
      <w:proofErr w:type="spellEnd"/>
      <w:r w:rsidRPr="00FF3211">
        <w:rPr>
          <w:rFonts w:asciiTheme="majorBidi" w:hAnsiTheme="majorBidi" w:cstheme="majorBidi"/>
          <w:lang w:bidi="ar-IQ"/>
        </w:rPr>
        <w:t xml:space="preserve"> et al., (2020).</w:t>
      </w:r>
    </w:p>
    <w:p w:rsidR="00D04714" w:rsidRDefault="00D04714" w:rsidP="00FF3211">
      <w:pPr>
        <w:numPr>
          <w:ilvl w:val="0"/>
          <w:numId w:val="4"/>
        </w:numPr>
        <w:spacing w:before="100" w:beforeAutospacing="1"/>
        <w:rPr>
          <w:rFonts w:asciiTheme="majorBidi" w:hAnsiTheme="majorBidi" w:cstheme="majorBidi"/>
          <w:b/>
          <w:bCs/>
          <w:sz w:val="24"/>
          <w:szCs w:val="24"/>
          <w:lang w:bidi="ar-IQ"/>
        </w:rPr>
      </w:pPr>
      <w:r w:rsidRPr="00FF3211">
        <w:rPr>
          <w:rFonts w:asciiTheme="majorBidi" w:hAnsiTheme="majorBidi" w:cstheme="majorBidi"/>
          <w:lang w:bidi="ar-IQ"/>
        </w:rPr>
        <w:t xml:space="preserve">There is a chance that geographical differences in acute leukemia incidence rates between developing and developed regions of the world are to blame for the observed age disparity in certain studies, although sample size or study design problems could also be to blame. As recently as a few decades ago, cancer was viewed as a sickness that exclusively affected the elderly   Pollution and other carcinogens were found to be more common in younger people than previously assumed, leading to an increase in cancer cases  </w:t>
      </w:r>
      <w:r w:rsidRPr="00FF3211">
        <w:rPr>
          <w:rFonts w:asciiTheme="majorBidi" w:hAnsiTheme="majorBidi" w:cstheme="majorBidi"/>
          <w:lang w:val="tr-TR" w:bidi="ar-IQ"/>
        </w:rPr>
        <w:t>Yu, C.  Et al (2020)</w:t>
      </w:r>
      <w:r w:rsidRPr="00FF3211">
        <w:rPr>
          <w:rFonts w:asciiTheme="majorBidi" w:hAnsiTheme="majorBidi" w:cstheme="majorBidi"/>
          <w:lang w:bidi="ar-IQ"/>
        </w:rPr>
        <w:t xml:space="preserve"> Only 3% of the population was above the age of 65, despite a large rise (59.5 percent) in the number of people aged 15 to 64</w:t>
      </w:r>
      <w:r w:rsidRPr="00FF3211">
        <w:rPr>
          <w:rFonts w:asciiTheme="majorBidi" w:hAnsiTheme="majorBidi" w:cstheme="majorBidi"/>
          <w:b/>
          <w:bCs/>
          <w:sz w:val="24"/>
          <w:szCs w:val="24"/>
          <w:lang w:bidi="ar-IQ"/>
        </w:rPr>
        <w:t>.</w:t>
      </w:r>
    </w:p>
    <w:p w:rsidR="00D04714" w:rsidRPr="00D04714" w:rsidRDefault="00D04714" w:rsidP="00D04714">
      <w:pPr>
        <w:numPr>
          <w:ilvl w:val="0"/>
          <w:numId w:val="4"/>
        </w:numPr>
        <w:spacing w:before="100" w:beforeAutospacing="1"/>
        <w:rPr>
          <w:rFonts w:asciiTheme="majorBidi" w:hAnsiTheme="majorBidi" w:cstheme="majorBidi"/>
          <w:lang w:bidi="ar-IQ"/>
        </w:rPr>
      </w:pPr>
      <w:r w:rsidRPr="00D04714">
        <w:rPr>
          <w:rFonts w:asciiTheme="majorBidi" w:hAnsiTheme="majorBidi" w:cstheme="majorBidi"/>
          <w:lang w:bidi="ar-IQ"/>
        </w:rPr>
        <w:t xml:space="preserve">  highly reactive free radicals, known as superoxide anions or hydroxyl radicals, can destroy the structural, morphological, and functional integrity of cells  .In untreated leukemia patients, H2O2 and polymorphic nuclear leukocyte superoxide anion generation is elevated.  leukemia blast cells create more superoxide anion   Similar to these findings, also increase in the buildup of superoxide anion.  </w:t>
      </w:r>
    </w:p>
    <w:p w:rsidR="00B810E6" w:rsidRDefault="00D04714" w:rsidP="00D04714">
      <w:pPr>
        <w:numPr>
          <w:ilvl w:val="0"/>
          <w:numId w:val="4"/>
        </w:numPr>
        <w:spacing w:before="100" w:beforeAutospacing="1"/>
        <w:rPr>
          <w:rFonts w:asciiTheme="majorBidi" w:hAnsiTheme="majorBidi" w:cstheme="majorBidi"/>
          <w:b/>
          <w:bCs/>
          <w:sz w:val="24"/>
          <w:szCs w:val="24"/>
          <w:lang w:bidi="ar-IQ"/>
        </w:rPr>
      </w:pPr>
      <w:r w:rsidRPr="00D04714">
        <w:rPr>
          <w:rFonts w:asciiTheme="majorBidi" w:hAnsiTheme="majorBidi" w:cstheme="majorBidi"/>
          <w:lang w:bidi="ar-IQ"/>
        </w:rPr>
        <w:t>The levels of superoxide dismutase (SOD) and lipid peroxidation are elevated in untreated leukemia patients  People with leukemia had significantly higher blood levels of SOD, according to previous studies</w:t>
      </w:r>
      <w:r w:rsidRPr="00D04714">
        <w:rPr>
          <w:rFonts w:asciiTheme="majorBidi" w:hAnsiTheme="majorBidi" w:cstheme="majorBidi"/>
          <w:b/>
          <w:bCs/>
          <w:sz w:val="24"/>
          <w:szCs w:val="24"/>
          <w:lang w:bidi="ar-IQ"/>
        </w:rPr>
        <w:t xml:space="preserve"> .</w:t>
      </w:r>
    </w:p>
    <w:p w:rsidR="00D04714" w:rsidRPr="00D04714" w:rsidRDefault="00D04714" w:rsidP="00D04714">
      <w:pPr>
        <w:numPr>
          <w:ilvl w:val="0"/>
          <w:numId w:val="4"/>
        </w:numPr>
        <w:spacing w:before="100" w:beforeAutospacing="1"/>
        <w:rPr>
          <w:rFonts w:asciiTheme="majorBidi" w:hAnsiTheme="majorBidi" w:cstheme="majorBidi"/>
          <w:lang w:bidi="ar-IQ"/>
        </w:rPr>
      </w:pPr>
      <w:r w:rsidRPr="00D04714">
        <w:rPr>
          <w:rFonts w:asciiTheme="majorBidi" w:hAnsiTheme="majorBidi" w:cstheme="majorBidi"/>
          <w:lang w:bidi="ar-IQ"/>
        </w:rPr>
        <w:t xml:space="preserve">The increased production of SOD in this study's participants could be attributed to a more effective antioxidant response to oxidative stress. MDA( </w:t>
      </w:r>
      <w:proofErr w:type="spellStart"/>
      <w:r w:rsidRPr="00D04714">
        <w:rPr>
          <w:rFonts w:asciiTheme="majorBidi" w:hAnsiTheme="majorBidi" w:cstheme="majorBidi"/>
          <w:lang w:bidi="ar-IQ"/>
        </w:rPr>
        <w:t>malonaldehyde</w:t>
      </w:r>
      <w:proofErr w:type="spellEnd"/>
      <w:r w:rsidRPr="00D04714">
        <w:rPr>
          <w:rFonts w:asciiTheme="majorBidi" w:hAnsiTheme="majorBidi" w:cstheme="majorBidi"/>
          <w:lang w:bidi="ar-IQ"/>
        </w:rPr>
        <w:t>) levels may be connected to a decrease in catalase activity, which maintains normal MDA levels by utilizing catalase as substrates and producing alcohol .</w:t>
      </w:r>
    </w:p>
    <w:p w:rsidR="00D04714" w:rsidRDefault="00D04714" w:rsidP="00D04714">
      <w:pPr>
        <w:numPr>
          <w:ilvl w:val="0"/>
          <w:numId w:val="4"/>
        </w:numPr>
        <w:spacing w:before="100" w:beforeAutospacing="1"/>
        <w:rPr>
          <w:rFonts w:asciiTheme="majorBidi" w:hAnsiTheme="majorBidi" w:cstheme="majorBidi"/>
          <w:lang w:bidi="ar-IQ"/>
        </w:rPr>
      </w:pPr>
      <w:r w:rsidRPr="00D04714">
        <w:rPr>
          <w:rFonts w:asciiTheme="majorBidi" w:hAnsiTheme="majorBidi" w:cstheme="majorBidi"/>
          <w:lang w:bidi="ar-IQ"/>
        </w:rPr>
        <w:t xml:space="preserve"> another studied who discovered that patients with various intestinal cancers had considerably elevated blood SOD levels, are also in agreement with the current study's finding of increased SOD activity ( gastric, colorectal, </w:t>
      </w:r>
      <w:proofErr w:type="spellStart"/>
      <w:r w:rsidRPr="00D04714">
        <w:rPr>
          <w:rFonts w:asciiTheme="majorBidi" w:hAnsiTheme="majorBidi" w:cstheme="majorBidi"/>
          <w:lang w:bidi="ar-IQ"/>
        </w:rPr>
        <w:t>bilirary</w:t>
      </w:r>
      <w:proofErr w:type="spellEnd"/>
      <w:r w:rsidRPr="00D04714">
        <w:rPr>
          <w:rFonts w:asciiTheme="majorBidi" w:hAnsiTheme="majorBidi" w:cstheme="majorBidi"/>
          <w:lang w:bidi="ar-IQ"/>
        </w:rPr>
        <w:t xml:space="preserve"> tract and esophageal cancer). Those with malignant lymphoma, on the other hand, exhibited</w:t>
      </w:r>
      <w:r>
        <w:rPr>
          <w:rFonts w:asciiTheme="majorBidi" w:hAnsiTheme="majorBidi" w:cstheme="majorBidi"/>
          <w:lang w:bidi="ar-IQ"/>
        </w:rPr>
        <w:t xml:space="preserve"> decreased SOD activity levels.</w:t>
      </w:r>
    </w:p>
    <w:p w:rsidR="00E670DE" w:rsidRPr="00E670DE" w:rsidRDefault="00E670DE" w:rsidP="0058500F">
      <w:pPr>
        <w:spacing w:before="100" w:beforeAutospacing="1"/>
        <w:ind w:left="720"/>
        <w:rPr>
          <w:rFonts w:asciiTheme="majorBidi" w:hAnsiTheme="majorBidi" w:cstheme="majorBidi"/>
          <w:b/>
          <w:bCs/>
          <w:lang w:val="tr-TR" w:bidi="ar-IQ"/>
        </w:rPr>
      </w:pPr>
      <w:proofErr w:type="spellStart"/>
      <w:r w:rsidRPr="00E670DE">
        <w:rPr>
          <w:rFonts w:asciiTheme="majorBidi" w:hAnsiTheme="majorBidi" w:cstheme="majorBidi"/>
          <w:b/>
          <w:bCs/>
          <w:lang w:bidi="ar-IQ"/>
        </w:rPr>
        <w:t>Refrenceses</w:t>
      </w:r>
      <w:proofErr w:type="spellEnd"/>
      <w:r w:rsidRPr="00E670DE">
        <w:rPr>
          <w:rFonts w:asciiTheme="majorBidi" w:hAnsiTheme="majorBidi" w:cstheme="majorBidi"/>
          <w:b/>
          <w:bCs/>
          <w:lang w:bidi="ar-IQ"/>
        </w:rPr>
        <w:t>:</w:t>
      </w:r>
      <w:r w:rsidRPr="00E670DE">
        <w:rPr>
          <w:rFonts w:asciiTheme="majorBidi" w:eastAsiaTheme="minorEastAsia" w:hAnsiTheme="majorBidi" w:cstheme="majorBidi"/>
          <w:sz w:val="24"/>
          <w:szCs w:val="24"/>
          <w:lang w:val="tr-TR" w:eastAsia="tr-TR" w:bidi="ar-IQ"/>
        </w:rPr>
        <w:t xml:space="preserve"> </w:t>
      </w:r>
    </w:p>
    <w:p w:rsidR="00E670DE" w:rsidRPr="00E670DE" w:rsidRDefault="00414E77" w:rsidP="00414E77">
      <w:pPr>
        <w:numPr>
          <w:ilvl w:val="0"/>
          <w:numId w:val="4"/>
        </w:numPr>
        <w:spacing w:before="100" w:beforeAutospacing="1" w:after="0"/>
        <w:ind w:left="700"/>
        <w:rPr>
          <w:rFonts w:asciiTheme="majorBidi" w:hAnsiTheme="majorBidi" w:cstheme="majorBidi"/>
          <w:lang w:val="tr-TR" w:bidi="ar-IQ"/>
        </w:rPr>
      </w:pPr>
      <w:r>
        <w:rPr>
          <w:rFonts w:asciiTheme="majorBidi" w:hAnsiTheme="majorBidi" w:cstheme="majorBidi"/>
          <w:lang w:val="tr-TR" w:bidi="ar-IQ"/>
        </w:rPr>
        <w:t xml:space="preserve">1. </w:t>
      </w:r>
      <w:r w:rsidR="00E670DE" w:rsidRPr="00E670DE">
        <w:rPr>
          <w:rFonts w:asciiTheme="majorBidi" w:hAnsiTheme="majorBidi" w:cstheme="majorBidi"/>
          <w:lang w:val="tr-TR" w:bidi="ar-IQ"/>
        </w:rPr>
        <w:t xml:space="preserve">Abou-Seif, M. A., Rabia, A. and Nasr, M. 2000. Antioxidant status, erythrocyte </w:t>
      </w:r>
      <w:r>
        <w:rPr>
          <w:rFonts w:asciiTheme="majorBidi" w:hAnsiTheme="majorBidi" w:cstheme="majorBidi"/>
          <w:lang w:val="tr-TR" w:bidi="ar-IQ"/>
        </w:rPr>
        <w:t xml:space="preserve">  </w:t>
      </w:r>
      <w:r>
        <w:rPr>
          <w:rFonts w:asciiTheme="majorBidi" w:hAnsiTheme="majorBidi" w:cstheme="majorBidi" w:hint="cs"/>
          <w:rtl/>
          <w:lang w:val="tr-TR" w:bidi="ar-IQ"/>
        </w:rPr>
        <w:t xml:space="preserve">       </w:t>
      </w:r>
      <w:r w:rsidR="00E670DE" w:rsidRPr="00E670DE">
        <w:rPr>
          <w:rFonts w:asciiTheme="majorBidi" w:hAnsiTheme="majorBidi" w:cstheme="majorBidi"/>
          <w:lang w:val="tr-TR" w:bidi="ar-IQ"/>
        </w:rPr>
        <w:t xml:space="preserve">membrane lipid peroxidation and osmotic fragility in malignant lymphoma </w:t>
      </w:r>
      <w:r>
        <w:rPr>
          <w:rFonts w:asciiTheme="majorBidi" w:hAnsiTheme="majorBidi" w:cstheme="majorBidi" w:hint="cs"/>
          <w:rtl/>
          <w:lang w:val="tr-TR" w:bidi="ar-IQ"/>
        </w:rPr>
        <w:t xml:space="preserve">                  </w:t>
      </w:r>
      <w:r w:rsidR="00E670DE" w:rsidRPr="00E670DE">
        <w:rPr>
          <w:rFonts w:asciiTheme="majorBidi" w:hAnsiTheme="majorBidi" w:cstheme="majorBidi"/>
          <w:lang w:val="tr-TR" w:bidi="ar-IQ"/>
        </w:rPr>
        <w:t>patients, 146: 737-742</w:t>
      </w:r>
    </w:p>
    <w:p w:rsidR="00E670DE" w:rsidRPr="00E670DE" w:rsidRDefault="00414E77" w:rsidP="00414E77">
      <w:pPr>
        <w:numPr>
          <w:ilvl w:val="0"/>
          <w:numId w:val="4"/>
        </w:numPr>
        <w:spacing w:before="100" w:beforeAutospacing="1"/>
        <w:rPr>
          <w:rFonts w:asciiTheme="majorBidi" w:hAnsiTheme="majorBidi" w:cstheme="majorBidi"/>
          <w:lang w:val="tr-TR" w:bidi="ar-IQ"/>
        </w:rPr>
      </w:pPr>
      <w:r>
        <w:rPr>
          <w:rFonts w:asciiTheme="majorBidi" w:hAnsiTheme="majorBidi" w:cstheme="majorBidi"/>
          <w:lang w:val="tr-TR" w:bidi="ar-IQ"/>
        </w:rPr>
        <w:t xml:space="preserve">2. </w:t>
      </w:r>
      <w:r w:rsidR="00E670DE" w:rsidRPr="00E670DE">
        <w:rPr>
          <w:rFonts w:asciiTheme="majorBidi" w:hAnsiTheme="majorBidi" w:cstheme="majorBidi"/>
          <w:lang w:val="tr-TR" w:bidi="ar-IQ"/>
        </w:rPr>
        <w:t xml:space="preserve">Laosai, J. and Chamnongthai, K. 2018. Classification of acute leukemia using </w:t>
      </w:r>
      <w:r>
        <w:rPr>
          <w:rFonts w:asciiTheme="majorBidi" w:hAnsiTheme="majorBidi" w:cstheme="majorBidi" w:hint="cs"/>
          <w:rtl/>
          <w:lang w:val="tr-TR" w:bidi="ar-IQ"/>
        </w:rPr>
        <w:t xml:space="preserve">            </w:t>
      </w:r>
      <w:r w:rsidR="00E670DE" w:rsidRPr="00E670DE">
        <w:rPr>
          <w:rFonts w:asciiTheme="majorBidi" w:hAnsiTheme="majorBidi" w:cstheme="majorBidi"/>
          <w:lang w:val="tr-TR" w:bidi="ar-IQ"/>
        </w:rPr>
        <w:t xml:space="preserve">medical-knowledge-based morphology and CD marker. Biomedical Signal </w:t>
      </w:r>
      <w:r>
        <w:rPr>
          <w:rFonts w:asciiTheme="majorBidi" w:hAnsiTheme="majorBidi" w:cstheme="majorBidi" w:hint="cs"/>
          <w:rtl/>
          <w:lang w:val="tr-TR" w:bidi="ar-IQ"/>
        </w:rPr>
        <w:t xml:space="preserve">                 </w:t>
      </w:r>
      <w:r w:rsidR="00E670DE" w:rsidRPr="00E670DE">
        <w:rPr>
          <w:rFonts w:asciiTheme="majorBidi" w:hAnsiTheme="majorBidi" w:cstheme="majorBidi"/>
          <w:lang w:val="tr-TR" w:bidi="ar-IQ"/>
        </w:rPr>
        <w:t>Processing and Control, 44: 127-137.</w:t>
      </w:r>
    </w:p>
    <w:p w:rsidR="00E670DE" w:rsidRPr="00E670DE" w:rsidRDefault="00414E77" w:rsidP="00414E77">
      <w:pPr>
        <w:numPr>
          <w:ilvl w:val="0"/>
          <w:numId w:val="4"/>
        </w:numPr>
        <w:spacing w:before="100" w:beforeAutospacing="1" w:after="240"/>
        <w:ind w:left="984"/>
        <w:rPr>
          <w:rFonts w:asciiTheme="majorBidi" w:hAnsiTheme="majorBidi" w:cstheme="majorBidi"/>
          <w:lang w:val="tr-TR" w:bidi="ar-IQ"/>
        </w:rPr>
      </w:pPr>
      <w:r>
        <w:rPr>
          <w:rFonts w:asciiTheme="majorBidi" w:hAnsiTheme="majorBidi" w:cstheme="majorBidi"/>
          <w:lang w:bidi="ar-IQ"/>
        </w:rPr>
        <w:t xml:space="preserve">3. </w:t>
      </w:r>
      <w:r w:rsidR="00E670DE" w:rsidRPr="00E670DE">
        <w:rPr>
          <w:rFonts w:asciiTheme="majorBidi" w:hAnsiTheme="majorBidi" w:cstheme="majorBidi"/>
          <w:lang w:val="tr-TR" w:bidi="ar-IQ"/>
        </w:rPr>
        <w:t xml:space="preserve">Ahmad, P., Jaleel, C. A., Azooz, M. M. and Nabi, G. 2009. Generation of ROS and </w:t>
      </w:r>
      <w:r>
        <w:rPr>
          <w:rFonts w:asciiTheme="majorBidi" w:hAnsiTheme="majorBidi" w:cstheme="majorBidi"/>
          <w:lang w:val="tr-TR" w:bidi="ar-IQ"/>
        </w:rPr>
        <w:t xml:space="preserve">              </w:t>
      </w:r>
      <w:r w:rsidR="00E670DE" w:rsidRPr="00E670DE">
        <w:rPr>
          <w:rFonts w:asciiTheme="majorBidi" w:hAnsiTheme="majorBidi" w:cstheme="majorBidi"/>
          <w:lang w:val="tr-TR" w:bidi="ar-IQ"/>
        </w:rPr>
        <w:t>non-enzymatic antioxidants during abiotic stress in plants. Botany Research International, 2(1): 11-20.</w:t>
      </w:r>
    </w:p>
    <w:p w:rsidR="00E670DE" w:rsidRPr="00E670DE" w:rsidRDefault="00414E77" w:rsidP="0058500F">
      <w:pPr>
        <w:numPr>
          <w:ilvl w:val="0"/>
          <w:numId w:val="4"/>
        </w:numPr>
        <w:spacing w:before="100" w:beforeAutospacing="1"/>
        <w:ind w:left="984"/>
        <w:rPr>
          <w:rFonts w:asciiTheme="majorBidi" w:hAnsiTheme="majorBidi" w:cstheme="majorBidi"/>
          <w:lang w:val="tr-TR" w:bidi="ar-IQ"/>
        </w:rPr>
      </w:pPr>
      <w:r>
        <w:rPr>
          <w:rFonts w:asciiTheme="majorBidi" w:hAnsiTheme="majorBidi" w:cstheme="majorBidi"/>
          <w:lang w:val="tr-TR" w:bidi="ar-IQ"/>
        </w:rPr>
        <w:t xml:space="preserve">4. </w:t>
      </w:r>
      <w:r w:rsidR="00E670DE" w:rsidRPr="00E670DE">
        <w:rPr>
          <w:rFonts w:asciiTheme="majorBidi" w:hAnsiTheme="majorBidi" w:cstheme="majorBidi"/>
          <w:lang w:val="tr-TR" w:bidi="ar-IQ"/>
        </w:rPr>
        <w:t>Akhgarjand, C., Djafarian, K., Rezvani, H., Azargashb, E. and Vafa, M. 2018. Comparing serum levels of zinc, copper, certain antioxidant vitamins and dietary intakes in acute lymphoblastic leukemia (ALL) patients before and after chemotherapy. American Journal of Blood Research, 8(3): 21.</w:t>
      </w:r>
    </w:p>
    <w:p w:rsidR="00E670DE" w:rsidRPr="00E670DE" w:rsidRDefault="0058500F" w:rsidP="0058500F">
      <w:pPr>
        <w:numPr>
          <w:ilvl w:val="0"/>
          <w:numId w:val="4"/>
        </w:numPr>
        <w:spacing w:before="100" w:beforeAutospacing="1"/>
        <w:ind w:left="984"/>
        <w:rPr>
          <w:rFonts w:asciiTheme="majorBidi" w:hAnsiTheme="majorBidi" w:cstheme="majorBidi"/>
          <w:lang w:val="tr-TR" w:bidi="ar-IQ"/>
        </w:rPr>
      </w:pPr>
      <w:r>
        <w:rPr>
          <w:rFonts w:asciiTheme="majorBidi" w:hAnsiTheme="majorBidi" w:cstheme="majorBidi"/>
          <w:lang w:val="tr-TR" w:bidi="ar-IQ"/>
        </w:rPr>
        <w:t xml:space="preserve">5. </w:t>
      </w:r>
      <w:r w:rsidR="00E670DE" w:rsidRPr="00E670DE">
        <w:rPr>
          <w:rFonts w:asciiTheme="majorBidi" w:hAnsiTheme="majorBidi" w:cstheme="majorBidi"/>
          <w:lang w:val="tr-TR" w:bidi="ar-IQ"/>
        </w:rPr>
        <w:t>Al-Yaqubi, K. J. 2014. Molecular Assessment of Multidrug Resistance Gene (MDR1) Transcript in Some Adult Iraqi Patients with Acute Leukemia. Doctoral dissertation, University of Kufa, 114 page, Kufa.</w:t>
      </w:r>
    </w:p>
    <w:sectPr w:rsidR="00E670DE" w:rsidRPr="00E670DE" w:rsidSect="000B14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3AE"/>
    <w:multiLevelType w:val="multilevel"/>
    <w:tmpl w:val="1D42C2A6"/>
    <w:lvl w:ilvl="0">
      <w:start w:val="3"/>
      <w:numFmt w:val="decimal"/>
      <w:lvlText w:val="%1"/>
      <w:lvlJc w:val="left"/>
      <w:pPr>
        <w:ind w:left="360" w:hanging="360"/>
      </w:pPr>
      <w:rPr>
        <w:rFonts w:ascii="Times New Roman" w:eastAsiaTheme="minorEastAsia" w:hAnsi="Times New Roman" w:cs="Times New Roman" w:hint="default"/>
        <w:b w:val="0"/>
      </w:rPr>
    </w:lvl>
    <w:lvl w:ilvl="1">
      <w:start w:val="1"/>
      <w:numFmt w:val="decimal"/>
      <w:lvlText w:val="%1.%2"/>
      <w:lvlJc w:val="left"/>
      <w:pPr>
        <w:ind w:left="936" w:hanging="360"/>
      </w:pPr>
      <w:rPr>
        <w:rFonts w:ascii="Times New Roman" w:eastAsiaTheme="minorEastAsia" w:hAnsi="Times New Roman" w:cs="Times New Roman" w:hint="default"/>
        <w:b/>
        <w:bCs w:val="0"/>
      </w:rPr>
    </w:lvl>
    <w:lvl w:ilvl="2">
      <w:start w:val="1"/>
      <w:numFmt w:val="decimal"/>
      <w:lvlText w:val="%1.%2.%3"/>
      <w:lvlJc w:val="left"/>
      <w:pPr>
        <w:ind w:left="720" w:hanging="720"/>
      </w:pPr>
      <w:rPr>
        <w:rFonts w:ascii="Times New Roman" w:eastAsiaTheme="minorEastAsia" w:hAnsi="Times New Roman" w:cs="Times New Roman" w:hint="default"/>
        <w:b/>
        <w:bCs w:val="0"/>
      </w:rPr>
    </w:lvl>
    <w:lvl w:ilvl="3">
      <w:start w:val="1"/>
      <w:numFmt w:val="decimal"/>
      <w:lvlText w:val="%1.%2.%3.%4"/>
      <w:lvlJc w:val="left"/>
      <w:pPr>
        <w:ind w:left="2448" w:hanging="720"/>
      </w:pPr>
      <w:rPr>
        <w:rFonts w:ascii="Times New Roman" w:eastAsiaTheme="minorEastAsia" w:hAnsi="Times New Roman" w:cs="Times New Roman" w:hint="default"/>
        <w:b w:val="0"/>
      </w:rPr>
    </w:lvl>
    <w:lvl w:ilvl="4">
      <w:start w:val="1"/>
      <w:numFmt w:val="decimal"/>
      <w:lvlText w:val="%1.%2.%3.%4.%5"/>
      <w:lvlJc w:val="left"/>
      <w:pPr>
        <w:ind w:left="3384" w:hanging="1080"/>
      </w:pPr>
      <w:rPr>
        <w:rFonts w:ascii="Times New Roman" w:eastAsiaTheme="minorEastAsia" w:hAnsi="Times New Roman" w:cs="Times New Roman" w:hint="default"/>
        <w:b w:val="0"/>
      </w:rPr>
    </w:lvl>
    <w:lvl w:ilvl="5">
      <w:start w:val="1"/>
      <w:numFmt w:val="decimal"/>
      <w:lvlText w:val="%1.%2.%3.%4.%5.%6"/>
      <w:lvlJc w:val="left"/>
      <w:pPr>
        <w:ind w:left="3960" w:hanging="1080"/>
      </w:pPr>
      <w:rPr>
        <w:rFonts w:ascii="Times New Roman" w:eastAsiaTheme="minorEastAsia" w:hAnsi="Times New Roman" w:cs="Times New Roman" w:hint="default"/>
        <w:b w:val="0"/>
      </w:rPr>
    </w:lvl>
    <w:lvl w:ilvl="6">
      <w:start w:val="1"/>
      <w:numFmt w:val="decimal"/>
      <w:lvlText w:val="%1.%2.%3.%4.%5.%6.%7"/>
      <w:lvlJc w:val="left"/>
      <w:pPr>
        <w:ind w:left="4896" w:hanging="1440"/>
      </w:pPr>
      <w:rPr>
        <w:rFonts w:ascii="Times New Roman" w:eastAsiaTheme="minorEastAsia" w:hAnsi="Times New Roman" w:cs="Times New Roman" w:hint="default"/>
        <w:b w:val="0"/>
      </w:rPr>
    </w:lvl>
    <w:lvl w:ilvl="7">
      <w:start w:val="1"/>
      <w:numFmt w:val="decimal"/>
      <w:lvlText w:val="%1.%2.%3.%4.%5.%6.%7.%8"/>
      <w:lvlJc w:val="left"/>
      <w:pPr>
        <w:ind w:left="5472" w:hanging="1440"/>
      </w:pPr>
      <w:rPr>
        <w:rFonts w:ascii="Times New Roman" w:eastAsiaTheme="minorEastAsia" w:hAnsi="Times New Roman" w:cs="Times New Roman" w:hint="default"/>
        <w:b w:val="0"/>
      </w:rPr>
    </w:lvl>
    <w:lvl w:ilvl="8">
      <w:start w:val="1"/>
      <w:numFmt w:val="decimal"/>
      <w:lvlText w:val="%1.%2.%3.%4.%5.%6.%7.%8.%9"/>
      <w:lvlJc w:val="left"/>
      <w:pPr>
        <w:ind w:left="6408" w:hanging="1800"/>
      </w:pPr>
      <w:rPr>
        <w:rFonts w:ascii="Times New Roman" w:eastAsiaTheme="minorEastAsia" w:hAnsi="Times New Roman" w:cs="Times New Roman" w:hint="default"/>
        <w:b w:val="0"/>
      </w:rPr>
    </w:lvl>
  </w:abstractNum>
  <w:abstractNum w:abstractNumId="1">
    <w:nsid w:val="17AF54EA"/>
    <w:multiLevelType w:val="hybridMultilevel"/>
    <w:tmpl w:val="DC16D57C"/>
    <w:lvl w:ilvl="0" w:tplc="87B0091C">
      <w:start w:val="1"/>
      <w:numFmt w:val="bullet"/>
      <w:lvlText w:val=" "/>
      <w:lvlJc w:val="left"/>
      <w:pPr>
        <w:tabs>
          <w:tab w:val="num" w:pos="720"/>
        </w:tabs>
        <w:ind w:left="720" w:hanging="360"/>
      </w:pPr>
      <w:rPr>
        <w:rFonts w:ascii="Times New Roman" w:hAnsi="Times New Roman" w:hint="default"/>
      </w:rPr>
    </w:lvl>
    <w:lvl w:ilvl="1" w:tplc="D648113E" w:tentative="1">
      <w:start w:val="1"/>
      <w:numFmt w:val="bullet"/>
      <w:lvlText w:val=" "/>
      <w:lvlJc w:val="left"/>
      <w:pPr>
        <w:tabs>
          <w:tab w:val="num" w:pos="1440"/>
        </w:tabs>
        <w:ind w:left="1440" w:hanging="360"/>
      </w:pPr>
      <w:rPr>
        <w:rFonts w:ascii="Times New Roman" w:hAnsi="Times New Roman" w:hint="default"/>
      </w:rPr>
    </w:lvl>
    <w:lvl w:ilvl="2" w:tplc="D3B8D82A" w:tentative="1">
      <w:start w:val="1"/>
      <w:numFmt w:val="bullet"/>
      <w:lvlText w:val=" "/>
      <w:lvlJc w:val="left"/>
      <w:pPr>
        <w:tabs>
          <w:tab w:val="num" w:pos="2160"/>
        </w:tabs>
        <w:ind w:left="2160" w:hanging="360"/>
      </w:pPr>
      <w:rPr>
        <w:rFonts w:ascii="Times New Roman" w:hAnsi="Times New Roman" w:hint="default"/>
      </w:rPr>
    </w:lvl>
    <w:lvl w:ilvl="3" w:tplc="716E0C7E" w:tentative="1">
      <w:start w:val="1"/>
      <w:numFmt w:val="bullet"/>
      <w:lvlText w:val=" "/>
      <w:lvlJc w:val="left"/>
      <w:pPr>
        <w:tabs>
          <w:tab w:val="num" w:pos="2880"/>
        </w:tabs>
        <w:ind w:left="2880" w:hanging="360"/>
      </w:pPr>
      <w:rPr>
        <w:rFonts w:ascii="Times New Roman" w:hAnsi="Times New Roman" w:hint="default"/>
      </w:rPr>
    </w:lvl>
    <w:lvl w:ilvl="4" w:tplc="77A8D2EC" w:tentative="1">
      <w:start w:val="1"/>
      <w:numFmt w:val="bullet"/>
      <w:lvlText w:val=" "/>
      <w:lvlJc w:val="left"/>
      <w:pPr>
        <w:tabs>
          <w:tab w:val="num" w:pos="3600"/>
        </w:tabs>
        <w:ind w:left="3600" w:hanging="360"/>
      </w:pPr>
      <w:rPr>
        <w:rFonts w:ascii="Times New Roman" w:hAnsi="Times New Roman" w:hint="default"/>
      </w:rPr>
    </w:lvl>
    <w:lvl w:ilvl="5" w:tplc="377CDCD6" w:tentative="1">
      <w:start w:val="1"/>
      <w:numFmt w:val="bullet"/>
      <w:lvlText w:val=" "/>
      <w:lvlJc w:val="left"/>
      <w:pPr>
        <w:tabs>
          <w:tab w:val="num" w:pos="4320"/>
        </w:tabs>
        <w:ind w:left="4320" w:hanging="360"/>
      </w:pPr>
      <w:rPr>
        <w:rFonts w:ascii="Times New Roman" w:hAnsi="Times New Roman" w:hint="default"/>
      </w:rPr>
    </w:lvl>
    <w:lvl w:ilvl="6" w:tplc="8E7490C0" w:tentative="1">
      <w:start w:val="1"/>
      <w:numFmt w:val="bullet"/>
      <w:lvlText w:val=" "/>
      <w:lvlJc w:val="left"/>
      <w:pPr>
        <w:tabs>
          <w:tab w:val="num" w:pos="5040"/>
        </w:tabs>
        <w:ind w:left="5040" w:hanging="360"/>
      </w:pPr>
      <w:rPr>
        <w:rFonts w:ascii="Times New Roman" w:hAnsi="Times New Roman" w:hint="default"/>
      </w:rPr>
    </w:lvl>
    <w:lvl w:ilvl="7" w:tplc="930EEAD2" w:tentative="1">
      <w:start w:val="1"/>
      <w:numFmt w:val="bullet"/>
      <w:lvlText w:val=" "/>
      <w:lvlJc w:val="left"/>
      <w:pPr>
        <w:tabs>
          <w:tab w:val="num" w:pos="5760"/>
        </w:tabs>
        <w:ind w:left="5760" w:hanging="360"/>
      </w:pPr>
      <w:rPr>
        <w:rFonts w:ascii="Times New Roman" w:hAnsi="Times New Roman" w:hint="default"/>
      </w:rPr>
    </w:lvl>
    <w:lvl w:ilvl="8" w:tplc="03702638" w:tentative="1">
      <w:start w:val="1"/>
      <w:numFmt w:val="bullet"/>
      <w:lvlText w:val=" "/>
      <w:lvlJc w:val="left"/>
      <w:pPr>
        <w:tabs>
          <w:tab w:val="num" w:pos="6480"/>
        </w:tabs>
        <w:ind w:left="6480" w:hanging="360"/>
      </w:pPr>
      <w:rPr>
        <w:rFonts w:ascii="Times New Roman" w:hAnsi="Times New Roman" w:hint="default"/>
      </w:rPr>
    </w:lvl>
  </w:abstractNum>
  <w:abstractNum w:abstractNumId="2">
    <w:nsid w:val="481E6953"/>
    <w:multiLevelType w:val="hybridMultilevel"/>
    <w:tmpl w:val="C8DE9DE2"/>
    <w:lvl w:ilvl="0" w:tplc="6E7CE748">
      <w:start w:val="1"/>
      <w:numFmt w:val="bullet"/>
      <w:lvlText w:val=" "/>
      <w:lvlJc w:val="left"/>
      <w:pPr>
        <w:tabs>
          <w:tab w:val="num" w:pos="720"/>
        </w:tabs>
        <w:ind w:left="720" w:hanging="360"/>
      </w:pPr>
      <w:rPr>
        <w:rFonts w:ascii="Times New Roman" w:hAnsi="Times New Roman" w:hint="default"/>
      </w:rPr>
    </w:lvl>
    <w:lvl w:ilvl="1" w:tplc="717C1C0E" w:tentative="1">
      <w:start w:val="1"/>
      <w:numFmt w:val="bullet"/>
      <w:lvlText w:val=" "/>
      <w:lvlJc w:val="left"/>
      <w:pPr>
        <w:tabs>
          <w:tab w:val="num" w:pos="1440"/>
        </w:tabs>
        <w:ind w:left="1440" w:hanging="360"/>
      </w:pPr>
      <w:rPr>
        <w:rFonts w:ascii="Times New Roman" w:hAnsi="Times New Roman" w:hint="default"/>
      </w:rPr>
    </w:lvl>
    <w:lvl w:ilvl="2" w:tplc="B57CFB62" w:tentative="1">
      <w:start w:val="1"/>
      <w:numFmt w:val="bullet"/>
      <w:lvlText w:val=" "/>
      <w:lvlJc w:val="left"/>
      <w:pPr>
        <w:tabs>
          <w:tab w:val="num" w:pos="2160"/>
        </w:tabs>
        <w:ind w:left="2160" w:hanging="360"/>
      </w:pPr>
      <w:rPr>
        <w:rFonts w:ascii="Times New Roman" w:hAnsi="Times New Roman" w:hint="default"/>
      </w:rPr>
    </w:lvl>
    <w:lvl w:ilvl="3" w:tplc="A3463234" w:tentative="1">
      <w:start w:val="1"/>
      <w:numFmt w:val="bullet"/>
      <w:lvlText w:val=" "/>
      <w:lvlJc w:val="left"/>
      <w:pPr>
        <w:tabs>
          <w:tab w:val="num" w:pos="2880"/>
        </w:tabs>
        <w:ind w:left="2880" w:hanging="360"/>
      </w:pPr>
      <w:rPr>
        <w:rFonts w:ascii="Times New Roman" w:hAnsi="Times New Roman" w:hint="default"/>
      </w:rPr>
    </w:lvl>
    <w:lvl w:ilvl="4" w:tplc="860C12EC" w:tentative="1">
      <w:start w:val="1"/>
      <w:numFmt w:val="bullet"/>
      <w:lvlText w:val=" "/>
      <w:lvlJc w:val="left"/>
      <w:pPr>
        <w:tabs>
          <w:tab w:val="num" w:pos="3600"/>
        </w:tabs>
        <w:ind w:left="3600" w:hanging="360"/>
      </w:pPr>
      <w:rPr>
        <w:rFonts w:ascii="Times New Roman" w:hAnsi="Times New Roman" w:hint="default"/>
      </w:rPr>
    </w:lvl>
    <w:lvl w:ilvl="5" w:tplc="47D64878" w:tentative="1">
      <w:start w:val="1"/>
      <w:numFmt w:val="bullet"/>
      <w:lvlText w:val=" "/>
      <w:lvlJc w:val="left"/>
      <w:pPr>
        <w:tabs>
          <w:tab w:val="num" w:pos="4320"/>
        </w:tabs>
        <w:ind w:left="4320" w:hanging="360"/>
      </w:pPr>
      <w:rPr>
        <w:rFonts w:ascii="Times New Roman" w:hAnsi="Times New Roman" w:hint="default"/>
      </w:rPr>
    </w:lvl>
    <w:lvl w:ilvl="6" w:tplc="996A1CA8" w:tentative="1">
      <w:start w:val="1"/>
      <w:numFmt w:val="bullet"/>
      <w:lvlText w:val=" "/>
      <w:lvlJc w:val="left"/>
      <w:pPr>
        <w:tabs>
          <w:tab w:val="num" w:pos="5040"/>
        </w:tabs>
        <w:ind w:left="5040" w:hanging="360"/>
      </w:pPr>
      <w:rPr>
        <w:rFonts w:ascii="Times New Roman" w:hAnsi="Times New Roman" w:hint="default"/>
      </w:rPr>
    </w:lvl>
    <w:lvl w:ilvl="7" w:tplc="DD861E04" w:tentative="1">
      <w:start w:val="1"/>
      <w:numFmt w:val="bullet"/>
      <w:lvlText w:val=" "/>
      <w:lvlJc w:val="left"/>
      <w:pPr>
        <w:tabs>
          <w:tab w:val="num" w:pos="5760"/>
        </w:tabs>
        <w:ind w:left="5760" w:hanging="360"/>
      </w:pPr>
      <w:rPr>
        <w:rFonts w:ascii="Times New Roman" w:hAnsi="Times New Roman" w:hint="default"/>
      </w:rPr>
    </w:lvl>
    <w:lvl w:ilvl="8" w:tplc="EE68BA8E" w:tentative="1">
      <w:start w:val="1"/>
      <w:numFmt w:val="bullet"/>
      <w:lvlText w:val=" "/>
      <w:lvlJc w:val="left"/>
      <w:pPr>
        <w:tabs>
          <w:tab w:val="num" w:pos="6480"/>
        </w:tabs>
        <w:ind w:left="6480" w:hanging="360"/>
      </w:pPr>
      <w:rPr>
        <w:rFonts w:ascii="Times New Roman" w:hAnsi="Times New Roman" w:hint="default"/>
      </w:rPr>
    </w:lvl>
  </w:abstractNum>
  <w:abstractNum w:abstractNumId="3">
    <w:nsid w:val="560014D7"/>
    <w:multiLevelType w:val="hybridMultilevel"/>
    <w:tmpl w:val="4B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30"/>
    <w:rsid w:val="00017734"/>
    <w:rsid w:val="000823B0"/>
    <w:rsid w:val="000B14CC"/>
    <w:rsid w:val="0013745F"/>
    <w:rsid w:val="00151A8F"/>
    <w:rsid w:val="001F6E4A"/>
    <w:rsid w:val="002529E4"/>
    <w:rsid w:val="00265AE6"/>
    <w:rsid w:val="002E7D40"/>
    <w:rsid w:val="0032660F"/>
    <w:rsid w:val="00347C84"/>
    <w:rsid w:val="00390261"/>
    <w:rsid w:val="00414E77"/>
    <w:rsid w:val="00441653"/>
    <w:rsid w:val="004F1190"/>
    <w:rsid w:val="00547E43"/>
    <w:rsid w:val="00566057"/>
    <w:rsid w:val="0058500F"/>
    <w:rsid w:val="00652107"/>
    <w:rsid w:val="007558C6"/>
    <w:rsid w:val="007B6D15"/>
    <w:rsid w:val="008508B5"/>
    <w:rsid w:val="00887B75"/>
    <w:rsid w:val="008E4430"/>
    <w:rsid w:val="008F40C1"/>
    <w:rsid w:val="009F1767"/>
    <w:rsid w:val="00AA6886"/>
    <w:rsid w:val="00AC53A1"/>
    <w:rsid w:val="00B3697C"/>
    <w:rsid w:val="00B65EEC"/>
    <w:rsid w:val="00B736DB"/>
    <w:rsid w:val="00B810E6"/>
    <w:rsid w:val="00B84263"/>
    <w:rsid w:val="00C4668E"/>
    <w:rsid w:val="00C57BA3"/>
    <w:rsid w:val="00D04714"/>
    <w:rsid w:val="00D26F2E"/>
    <w:rsid w:val="00D27A5E"/>
    <w:rsid w:val="00D90C75"/>
    <w:rsid w:val="00DF1A8B"/>
    <w:rsid w:val="00E670DE"/>
    <w:rsid w:val="00EE1258"/>
    <w:rsid w:val="00F55CD5"/>
    <w:rsid w:val="00F57156"/>
    <w:rsid w:val="00FA643B"/>
    <w:rsid w:val="00FF314C"/>
    <w:rsid w:val="00FF3211"/>
    <w:rsid w:val="00FF6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261"/>
    <w:pPr>
      <w:ind w:left="720"/>
      <w:contextualSpacing/>
    </w:pPr>
  </w:style>
  <w:style w:type="paragraph" w:styleId="a4">
    <w:name w:val="caption"/>
    <w:basedOn w:val="a"/>
    <w:next w:val="a"/>
    <w:uiPriority w:val="35"/>
    <w:semiHidden/>
    <w:unhideWhenUsed/>
    <w:qFormat/>
    <w:rsid w:val="00652107"/>
    <w:pPr>
      <w:spacing w:line="240" w:lineRule="auto"/>
    </w:pPr>
    <w:rPr>
      <w:b/>
      <w:bCs/>
      <w:color w:val="4F81BD" w:themeColor="accent1"/>
      <w:sz w:val="18"/>
      <w:szCs w:val="18"/>
    </w:rPr>
  </w:style>
  <w:style w:type="table" w:styleId="a5">
    <w:name w:val="Table Grid"/>
    <w:basedOn w:val="a1"/>
    <w:uiPriority w:val="59"/>
    <w:rsid w:val="00441653"/>
    <w:pPr>
      <w:spacing w:after="0" w:line="240" w:lineRule="auto"/>
      <w:ind w:left="0"/>
      <w:jc w:val="left"/>
    </w:pPr>
    <w:rPr>
      <w:rFonts w:eastAsiaTheme="minorEastAsia"/>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
    <w:uiPriority w:val="99"/>
    <w:semiHidden/>
    <w:unhideWhenUsed/>
    <w:rsid w:val="00D90C75"/>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90C75"/>
    <w:rPr>
      <w:rFonts w:ascii="Tahoma" w:hAnsi="Tahoma" w:cs="Tahoma"/>
      <w:sz w:val="16"/>
      <w:szCs w:val="16"/>
    </w:rPr>
  </w:style>
  <w:style w:type="paragraph" w:styleId="a7">
    <w:name w:val="Normal (Web)"/>
    <w:basedOn w:val="a"/>
    <w:uiPriority w:val="99"/>
    <w:semiHidden/>
    <w:unhideWhenUsed/>
    <w:rsid w:val="00D0471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261"/>
    <w:pPr>
      <w:ind w:left="720"/>
      <w:contextualSpacing/>
    </w:pPr>
  </w:style>
  <w:style w:type="paragraph" w:styleId="a4">
    <w:name w:val="caption"/>
    <w:basedOn w:val="a"/>
    <w:next w:val="a"/>
    <w:uiPriority w:val="35"/>
    <w:semiHidden/>
    <w:unhideWhenUsed/>
    <w:qFormat/>
    <w:rsid w:val="00652107"/>
    <w:pPr>
      <w:spacing w:line="240" w:lineRule="auto"/>
    </w:pPr>
    <w:rPr>
      <w:b/>
      <w:bCs/>
      <w:color w:val="4F81BD" w:themeColor="accent1"/>
      <w:sz w:val="18"/>
      <w:szCs w:val="18"/>
    </w:rPr>
  </w:style>
  <w:style w:type="table" w:styleId="a5">
    <w:name w:val="Table Grid"/>
    <w:basedOn w:val="a1"/>
    <w:uiPriority w:val="59"/>
    <w:rsid w:val="00441653"/>
    <w:pPr>
      <w:spacing w:after="0" w:line="240" w:lineRule="auto"/>
      <w:ind w:left="0"/>
      <w:jc w:val="left"/>
    </w:pPr>
    <w:rPr>
      <w:rFonts w:eastAsiaTheme="minorEastAsia"/>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
    <w:uiPriority w:val="99"/>
    <w:semiHidden/>
    <w:unhideWhenUsed/>
    <w:rsid w:val="00D90C75"/>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90C75"/>
    <w:rPr>
      <w:rFonts w:ascii="Tahoma" w:hAnsi="Tahoma" w:cs="Tahoma"/>
      <w:sz w:val="16"/>
      <w:szCs w:val="16"/>
    </w:rPr>
  </w:style>
  <w:style w:type="paragraph" w:styleId="a7">
    <w:name w:val="Normal (Web)"/>
    <w:basedOn w:val="a"/>
    <w:uiPriority w:val="99"/>
    <w:semiHidden/>
    <w:unhideWhenUsed/>
    <w:rsid w:val="00D047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044506">
      <w:bodyDiv w:val="1"/>
      <w:marLeft w:val="0"/>
      <w:marRight w:val="0"/>
      <w:marTop w:val="0"/>
      <w:marBottom w:val="0"/>
      <w:divBdr>
        <w:top w:val="none" w:sz="0" w:space="0" w:color="auto"/>
        <w:left w:val="none" w:sz="0" w:space="0" w:color="auto"/>
        <w:bottom w:val="none" w:sz="0" w:space="0" w:color="auto"/>
        <w:right w:val="none" w:sz="0" w:space="0" w:color="auto"/>
      </w:divBdr>
    </w:div>
    <w:div w:id="1885826540">
      <w:bodyDiv w:val="1"/>
      <w:marLeft w:val="0"/>
      <w:marRight w:val="0"/>
      <w:marTop w:val="0"/>
      <w:marBottom w:val="0"/>
      <w:divBdr>
        <w:top w:val="none" w:sz="0" w:space="0" w:color="auto"/>
        <w:left w:val="none" w:sz="0" w:space="0" w:color="auto"/>
        <w:bottom w:val="none" w:sz="0" w:space="0" w:color="auto"/>
        <w:right w:val="none" w:sz="0" w:space="0" w:color="auto"/>
      </w:divBdr>
      <w:divsChild>
        <w:div w:id="803892142">
          <w:marLeft w:val="144"/>
          <w:marRight w:val="0"/>
          <w:marTop w:val="240"/>
          <w:marBottom w:val="40"/>
          <w:divBdr>
            <w:top w:val="none" w:sz="0" w:space="0" w:color="auto"/>
            <w:left w:val="none" w:sz="0" w:space="0" w:color="auto"/>
            <w:bottom w:val="none" w:sz="0" w:space="0" w:color="auto"/>
            <w:right w:val="none" w:sz="0" w:space="0" w:color="auto"/>
          </w:divBdr>
        </w:div>
        <w:div w:id="1155534285">
          <w:marLeft w:val="144"/>
          <w:marRight w:val="0"/>
          <w:marTop w:val="240"/>
          <w:marBottom w:val="40"/>
          <w:divBdr>
            <w:top w:val="none" w:sz="0" w:space="0" w:color="auto"/>
            <w:left w:val="none" w:sz="0" w:space="0" w:color="auto"/>
            <w:bottom w:val="none" w:sz="0" w:space="0" w:color="auto"/>
            <w:right w:val="none" w:sz="0" w:space="0" w:color="auto"/>
          </w:divBdr>
        </w:div>
      </w:divsChild>
    </w:div>
    <w:div w:id="1920823551">
      <w:bodyDiv w:val="1"/>
      <w:marLeft w:val="0"/>
      <w:marRight w:val="0"/>
      <w:marTop w:val="0"/>
      <w:marBottom w:val="0"/>
      <w:divBdr>
        <w:top w:val="none" w:sz="0" w:space="0" w:color="auto"/>
        <w:left w:val="none" w:sz="0" w:space="0" w:color="auto"/>
        <w:bottom w:val="none" w:sz="0" w:space="0" w:color="auto"/>
        <w:right w:val="none" w:sz="0" w:space="0" w:color="auto"/>
      </w:divBdr>
    </w:div>
    <w:div w:id="1939679450">
      <w:bodyDiv w:val="1"/>
      <w:marLeft w:val="0"/>
      <w:marRight w:val="0"/>
      <w:marTop w:val="0"/>
      <w:marBottom w:val="0"/>
      <w:divBdr>
        <w:top w:val="none" w:sz="0" w:space="0" w:color="auto"/>
        <w:left w:val="none" w:sz="0" w:space="0" w:color="auto"/>
        <w:bottom w:val="none" w:sz="0" w:space="0" w:color="auto"/>
        <w:right w:val="none" w:sz="0" w:space="0" w:color="auto"/>
      </w:divBdr>
      <w:divsChild>
        <w:div w:id="46419884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1575;&#1604;&#1605;&#1589;&#1606;&#1601;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1">
              <a:defRPr/>
            </a:pPr>
            <a:r>
              <a:rPr lang="en-US"/>
              <a:t> Aging frequencey </a:t>
            </a:r>
          </a:p>
          <a:p>
            <a:pPr algn="ctr" rtl="1">
              <a:defRPr/>
            </a:pPr>
            <a:endParaRPr lang="ar-IQ"/>
          </a:p>
        </c:rich>
      </c:tx>
      <c:overlay val="0"/>
    </c:title>
    <c:autoTitleDeleted val="0"/>
    <c:plotArea>
      <c:layout/>
      <c:barChart>
        <c:barDir val="col"/>
        <c:grouping val="clustered"/>
        <c:varyColors val="0"/>
        <c:ser>
          <c:idx val="0"/>
          <c:order val="0"/>
          <c:tx>
            <c:strRef>
              <c:f>ورقة2!$D$25:$E$25</c:f>
              <c:strCache>
                <c:ptCount val="1"/>
                <c:pt idx="0">
                  <c:v>Aging &lt;50</c:v>
                </c:pt>
              </c:strCache>
            </c:strRef>
          </c:tx>
          <c:invertIfNegative val="0"/>
          <c:cat>
            <c:strRef>
              <c:f>ورقة2!$F$24:$H$24</c:f>
              <c:strCache>
                <c:ptCount val="3"/>
                <c:pt idx="0">
                  <c:v>       Acute Lymphoblastic Leukemia (ALL)  No. 50 .</c:v>
                </c:pt>
                <c:pt idx="1">
                  <c:v>     Acute Myeloid leukemia (AML) 50</c:v>
                </c:pt>
                <c:pt idx="2">
                  <c:v>healthy control groups 50 (Controls  group).</c:v>
                </c:pt>
              </c:strCache>
            </c:strRef>
          </c:cat>
          <c:val>
            <c:numRef>
              <c:f>ورقة2!$F$25:$H$25</c:f>
              <c:numCache>
                <c:formatCode>General</c:formatCode>
                <c:ptCount val="3"/>
                <c:pt idx="0">
                  <c:v>46</c:v>
                </c:pt>
                <c:pt idx="1">
                  <c:v>65</c:v>
                </c:pt>
                <c:pt idx="2">
                  <c:v>66</c:v>
                </c:pt>
              </c:numCache>
            </c:numRef>
          </c:val>
          <c:extLst xmlns:c16r2="http://schemas.microsoft.com/office/drawing/2015/06/chart">
            <c:ext xmlns:c16="http://schemas.microsoft.com/office/drawing/2014/chart" uri="{C3380CC4-5D6E-409C-BE32-E72D297353CC}">
              <c16:uniqueId val="{00000000-20A2-4435-AA8A-5C02670464D1}"/>
            </c:ext>
          </c:extLst>
        </c:ser>
        <c:ser>
          <c:idx val="1"/>
          <c:order val="1"/>
          <c:tx>
            <c:strRef>
              <c:f>ورقة2!$D$26:$E$26</c:f>
              <c:strCache>
                <c:ptCount val="1"/>
                <c:pt idx="0">
                  <c:v>Aging &gt;50 </c:v>
                </c:pt>
              </c:strCache>
            </c:strRef>
          </c:tx>
          <c:invertIfNegative val="0"/>
          <c:cat>
            <c:strRef>
              <c:f>ورقة2!$F$24:$H$24</c:f>
              <c:strCache>
                <c:ptCount val="3"/>
                <c:pt idx="0">
                  <c:v>       Acute Lymphoblastic Leukemia (ALL)  No. 50 .</c:v>
                </c:pt>
                <c:pt idx="1">
                  <c:v>     Acute Myeloid leukemia (AML) 50</c:v>
                </c:pt>
                <c:pt idx="2">
                  <c:v>healthy control groups 50 (Controls  group).</c:v>
                </c:pt>
              </c:strCache>
            </c:strRef>
          </c:cat>
          <c:val>
            <c:numRef>
              <c:f>ورقة2!$F$26:$H$26</c:f>
              <c:numCache>
                <c:formatCode>General</c:formatCode>
                <c:ptCount val="3"/>
                <c:pt idx="0">
                  <c:v>54</c:v>
                </c:pt>
                <c:pt idx="1">
                  <c:v>35</c:v>
                </c:pt>
                <c:pt idx="2">
                  <c:v>34</c:v>
                </c:pt>
              </c:numCache>
            </c:numRef>
          </c:val>
          <c:extLst xmlns:c16r2="http://schemas.microsoft.com/office/drawing/2015/06/chart">
            <c:ext xmlns:c16="http://schemas.microsoft.com/office/drawing/2014/chart" uri="{C3380CC4-5D6E-409C-BE32-E72D297353CC}">
              <c16:uniqueId val="{00000001-20A2-4435-AA8A-5C02670464D1}"/>
            </c:ext>
          </c:extLst>
        </c:ser>
        <c:dLbls>
          <c:showLegendKey val="0"/>
          <c:showVal val="0"/>
          <c:showCatName val="0"/>
          <c:showSerName val="0"/>
          <c:showPercent val="0"/>
          <c:showBubbleSize val="0"/>
        </c:dLbls>
        <c:gapWidth val="150"/>
        <c:axId val="91613824"/>
        <c:axId val="91640192"/>
      </c:barChart>
      <c:catAx>
        <c:axId val="91613824"/>
        <c:scaling>
          <c:orientation val="minMax"/>
        </c:scaling>
        <c:delete val="0"/>
        <c:axPos val="b"/>
        <c:numFmt formatCode="General" sourceLinked="0"/>
        <c:majorTickMark val="none"/>
        <c:minorTickMark val="none"/>
        <c:tickLblPos val="nextTo"/>
        <c:crossAx val="91640192"/>
        <c:crosses val="autoZero"/>
        <c:auto val="1"/>
        <c:lblAlgn val="ctr"/>
        <c:lblOffset val="100"/>
        <c:noMultiLvlLbl val="0"/>
      </c:catAx>
      <c:valAx>
        <c:axId val="91640192"/>
        <c:scaling>
          <c:orientation val="minMax"/>
        </c:scaling>
        <c:delete val="0"/>
        <c:axPos val="l"/>
        <c:majorGridlines/>
        <c:numFmt formatCode="General" sourceLinked="1"/>
        <c:majorTickMark val="none"/>
        <c:minorTickMark val="none"/>
        <c:tickLblPos val="nextTo"/>
        <c:crossAx val="91613824"/>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ar-IQ"/>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BMI frequencey %</a:t>
            </a:r>
            <a:endParaRPr lang="ar-IQ"/>
          </a:p>
        </c:rich>
      </c:tx>
      <c:overlay val="0"/>
    </c:title>
    <c:autoTitleDeleted val="0"/>
    <c:plotArea>
      <c:layout/>
      <c:barChart>
        <c:barDir val="col"/>
        <c:grouping val="clustered"/>
        <c:varyColors val="0"/>
        <c:ser>
          <c:idx val="0"/>
          <c:order val="0"/>
          <c:tx>
            <c:strRef>
              <c:f>ورقة2!$F$10:$G$10</c:f>
              <c:strCache>
                <c:ptCount val="1"/>
                <c:pt idx="0">
                  <c:v>NORMAL </c:v>
                </c:pt>
              </c:strCache>
            </c:strRef>
          </c:tx>
          <c:invertIfNegative val="0"/>
          <c:cat>
            <c:strRef>
              <c:f>ورقة2!$H$9:$J$9</c:f>
              <c:strCache>
                <c:ptCount val="3"/>
                <c:pt idx="0">
                  <c:v>       Acute Lymphoblastic Leukemia (ALL)  No. 50 .</c:v>
                </c:pt>
                <c:pt idx="1">
                  <c:v>     acute  myeloidleukemia (AML) 50
</c:v>
                </c:pt>
                <c:pt idx="2">
                  <c:v>healthy control groups 50 (Controls  group).</c:v>
                </c:pt>
              </c:strCache>
            </c:strRef>
          </c:cat>
          <c:val>
            <c:numRef>
              <c:f>ورقة2!$H$10:$J$10</c:f>
              <c:numCache>
                <c:formatCode>General</c:formatCode>
                <c:ptCount val="3"/>
                <c:pt idx="0">
                  <c:v>66</c:v>
                </c:pt>
                <c:pt idx="1">
                  <c:v>54</c:v>
                </c:pt>
                <c:pt idx="2">
                  <c:v>58</c:v>
                </c:pt>
              </c:numCache>
            </c:numRef>
          </c:val>
          <c:extLst xmlns:c16r2="http://schemas.microsoft.com/office/drawing/2015/06/chart">
            <c:ext xmlns:c16="http://schemas.microsoft.com/office/drawing/2014/chart" uri="{C3380CC4-5D6E-409C-BE32-E72D297353CC}">
              <c16:uniqueId val="{00000000-44EE-42A9-8F18-4597B3C2A0C5}"/>
            </c:ext>
          </c:extLst>
        </c:ser>
        <c:ser>
          <c:idx val="1"/>
          <c:order val="1"/>
          <c:tx>
            <c:strRef>
              <c:f>ورقة2!$F$11:$G$11</c:f>
              <c:strCache>
                <c:ptCount val="1"/>
                <c:pt idx="0">
                  <c:v>BMI overweight </c:v>
                </c:pt>
              </c:strCache>
            </c:strRef>
          </c:tx>
          <c:invertIfNegative val="0"/>
          <c:cat>
            <c:strRef>
              <c:f>ورقة2!$H$9:$J$9</c:f>
              <c:strCache>
                <c:ptCount val="3"/>
                <c:pt idx="0">
                  <c:v>       Acute Lymphoblastic Leukemia (ALL)  No. 50 .</c:v>
                </c:pt>
                <c:pt idx="1">
                  <c:v>     acute  myeloidleukemia (AML) 50
</c:v>
                </c:pt>
                <c:pt idx="2">
                  <c:v>healthy control groups 50 (Controls  group).</c:v>
                </c:pt>
              </c:strCache>
            </c:strRef>
          </c:cat>
          <c:val>
            <c:numRef>
              <c:f>ورقة2!$H$11:$J$11</c:f>
              <c:numCache>
                <c:formatCode>General</c:formatCode>
                <c:ptCount val="3"/>
                <c:pt idx="0">
                  <c:v>16</c:v>
                </c:pt>
                <c:pt idx="1">
                  <c:v>22</c:v>
                </c:pt>
                <c:pt idx="2">
                  <c:v>34</c:v>
                </c:pt>
              </c:numCache>
            </c:numRef>
          </c:val>
          <c:extLst xmlns:c16r2="http://schemas.microsoft.com/office/drawing/2015/06/chart">
            <c:ext xmlns:c16="http://schemas.microsoft.com/office/drawing/2014/chart" uri="{C3380CC4-5D6E-409C-BE32-E72D297353CC}">
              <c16:uniqueId val="{00000001-44EE-42A9-8F18-4597B3C2A0C5}"/>
            </c:ext>
          </c:extLst>
        </c:ser>
        <c:ser>
          <c:idx val="2"/>
          <c:order val="2"/>
          <c:tx>
            <c:strRef>
              <c:f>ورقة2!$F$12:$G$12</c:f>
              <c:strCache>
                <c:ptCount val="1"/>
                <c:pt idx="0">
                  <c:v>BMI obese </c:v>
                </c:pt>
              </c:strCache>
            </c:strRef>
          </c:tx>
          <c:invertIfNegative val="0"/>
          <c:cat>
            <c:strRef>
              <c:f>ورقة2!$H$9:$J$9</c:f>
              <c:strCache>
                <c:ptCount val="3"/>
                <c:pt idx="0">
                  <c:v>       Acute Lymphoblastic Leukemia (ALL)  No. 50 .</c:v>
                </c:pt>
                <c:pt idx="1">
                  <c:v>     acute  myeloidleukemia (AML) 50
</c:v>
                </c:pt>
                <c:pt idx="2">
                  <c:v>healthy control groups 50 (Controls  group).</c:v>
                </c:pt>
              </c:strCache>
            </c:strRef>
          </c:cat>
          <c:val>
            <c:numRef>
              <c:f>ورقة2!$H$12:$J$12</c:f>
              <c:numCache>
                <c:formatCode>General</c:formatCode>
                <c:ptCount val="3"/>
                <c:pt idx="0">
                  <c:v>18</c:v>
                </c:pt>
                <c:pt idx="1">
                  <c:v>24</c:v>
                </c:pt>
                <c:pt idx="2">
                  <c:v>8</c:v>
                </c:pt>
              </c:numCache>
            </c:numRef>
          </c:val>
          <c:extLst xmlns:c16r2="http://schemas.microsoft.com/office/drawing/2015/06/chart">
            <c:ext xmlns:c16="http://schemas.microsoft.com/office/drawing/2014/chart" uri="{C3380CC4-5D6E-409C-BE32-E72D297353CC}">
              <c16:uniqueId val="{00000002-44EE-42A9-8F18-4597B3C2A0C5}"/>
            </c:ext>
          </c:extLst>
        </c:ser>
        <c:dLbls>
          <c:showLegendKey val="0"/>
          <c:showVal val="0"/>
          <c:showCatName val="0"/>
          <c:showSerName val="0"/>
          <c:showPercent val="0"/>
          <c:showBubbleSize val="0"/>
        </c:dLbls>
        <c:gapWidth val="150"/>
        <c:axId val="91677056"/>
        <c:axId val="91678592"/>
      </c:barChart>
      <c:catAx>
        <c:axId val="91677056"/>
        <c:scaling>
          <c:orientation val="minMax"/>
        </c:scaling>
        <c:delete val="0"/>
        <c:axPos val="b"/>
        <c:numFmt formatCode="General" sourceLinked="0"/>
        <c:majorTickMark val="none"/>
        <c:minorTickMark val="none"/>
        <c:tickLblPos val="nextTo"/>
        <c:crossAx val="91678592"/>
        <c:crosses val="autoZero"/>
        <c:auto val="1"/>
        <c:lblAlgn val="ctr"/>
        <c:lblOffset val="100"/>
        <c:noMultiLvlLbl val="0"/>
      </c:catAx>
      <c:valAx>
        <c:axId val="91678592"/>
        <c:scaling>
          <c:orientation val="minMax"/>
        </c:scaling>
        <c:delete val="0"/>
        <c:axPos val="l"/>
        <c:majorGridlines/>
        <c:numFmt formatCode="General" sourceLinked="1"/>
        <c:majorTickMark val="none"/>
        <c:minorTickMark val="none"/>
        <c:tickLblPos val="nextTo"/>
        <c:crossAx val="91677056"/>
        <c:crosses val="autoZero"/>
        <c:crossBetween val="between"/>
      </c:valAx>
      <c:dTable>
        <c:showHorzBorder val="1"/>
        <c:showVertBorder val="1"/>
        <c:showOutline val="1"/>
        <c:showKeys val="1"/>
      </c:dTable>
    </c:plotArea>
    <c:plotVisOnly val="1"/>
    <c:dispBlanksAs val="gap"/>
    <c:showDLblsOverMax val="0"/>
  </c:chart>
  <c:txPr>
    <a:bodyPr/>
    <a:lstStyle/>
    <a:p>
      <a:pPr>
        <a:defRPr b="1">
          <a:latin typeface="Times New Roman" panose="02020603050405020304" pitchFamily="18" charset="0"/>
          <a:cs typeface="Times New Roman" panose="02020603050405020304" pitchFamily="18" charset="0"/>
        </a:defRPr>
      </a:pPr>
      <a:endParaRPr lang="ar-IQ"/>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Enzymatic antioxidant in leukemic patients and control groups</a:t>
            </a:r>
            <a:endParaRPr lang="ar-IQ"/>
          </a:p>
        </c:rich>
      </c:tx>
      <c:overlay val="0"/>
    </c:title>
    <c:autoTitleDeleted val="0"/>
    <c:plotArea>
      <c:layout/>
      <c:barChart>
        <c:barDir val="col"/>
        <c:grouping val="clustered"/>
        <c:varyColors val="0"/>
        <c:ser>
          <c:idx val="0"/>
          <c:order val="0"/>
          <c:tx>
            <c:strRef>
              <c:f>ورقة2!$G$19</c:f>
              <c:strCache>
                <c:ptCount val="1"/>
                <c:pt idx="0">
                  <c:v>SOD</c:v>
                </c:pt>
              </c:strCache>
            </c:strRef>
          </c:tx>
          <c:invertIfNegative val="0"/>
          <c:cat>
            <c:strRef>
              <c:f>ورقة2!$H$18:$J$18</c:f>
              <c:strCache>
                <c:ptCount val="3"/>
                <c:pt idx="0">
                  <c:v>       Acute Lymphoblastic Leukemia (ALL)  No. 50 .</c:v>
                </c:pt>
                <c:pt idx="1">
                  <c:v>     acute  myeloidleukemia (AML) 50
</c:v>
                </c:pt>
                <c:pt idx="2">
                  <c:v>healthy control groups 50 (Controls  group).</c:v>
                </c:pt>
              </c:strCache>
            </c:strRef>
          </c:cat>
          <c:val>
            <c:numRef>
              <c:f>ورقة2!$H$19:$J$19</c:f>
              <c:numCache>
                <c:formatCode>General</c:formatCode>
                <c:ptCount val="3"/>
                <c:pt idx="0">
                  <c:v>8.42</c:v>
                </c:pt>
                <c:pt idx="1">
                  <c:v>6.76</c:v>
                </c:pt>
                <c:pt idx="2">
                  <c:v>2.5</c:v>
                </c:pt>
              </c:numCache>
            </c:numRef>
          </c:val>
          <c:extLst xmlns:c16r2="http://schemas.microsoft.com/office/drawing/2015/06/chart">
            <c:ext xmlns:c16="http://schemas.microsoft.com/office/drawing/2014/chart" uri="{C3380CC4-5D6E-409C-BE32-E72D297353CC}">
              <c16:uniqueId val="{00000000-C343-4325-9DE2-AE3AD0987A2C}"/>
            </c:ext>
          </c:extLst>
        </c:ser>
        <c:ser>
          <c:idx val="1"/>
          <c:order val="1"/>
          <c:tx>
            <c:strRef>
              <c:f>ورقة2!$G$20</c:f>
              <c:strCache>
                <c:ptCount val="1"/>
                <c:pt idx="0">
                  <c:v>CAT</c:v>
                </c:pt>
              </c:strCache>
            </c:strRef>
          </c:tx>
          <c:invertIfNegative val="0"/>
          <c:cat>
            <c:strRef>
              <c:f>ورقة2!$H$18:$J$18</c:f>
              <c:strCache>
                <c:ptCount val="3"/>
                <c:pt idx="0">
                  <c:v>       Acute Lymphoblastic Leukemia (ALL)  No. 50 .</c:v>
                </c:pt>
                <c:pt idx="1">
                  <c:v>     acute  myeloidleukemia (AML) 50
</c:v>
                </c:pt>
                <c:pt idx="2">
                  <c:v>healthy control groups 50 (Controls  group).</c:v>
                </c:pt>
              </c:strCache>
            </c:strRef>
          </c:cat>
          <c:val>
            <c:numRef>
              <c:f>ورقة2!$H$20:$J$20</c:f>
              <c:numCache>
                <c:formatCode>General</c:formatCode>
                <c:ptCount val="3"/>
                <c:pt idx="0">
                  <c:v>2.8000000000000001E-2</c:v>
                </c:pt>
                <c:pt idx="1">
                  <c:v>3.2000000000000001E-2</c:v>
                </c:pt>
                <c:pt idx="2">
                  <c:v>0.23</c:v>
                </c:pt>
              </c:numCache>
            </c:numRef>
          </c:val>
          <c:extLst xmlns:c16r2="http://schemas.microsoft.com/office/drawing/2015/06/chart">
            <c:ext xmlns:c16="http://schemas.microsoft.com/office/drawing/2014/chart" uri="{C3380CC4-5D6E-409C-BE32-E72D297353CC}">
              <c16:uniqueId val="{00000001-C343-4325-9DE2-AE3AD0987A2C}"/>
            </c:ext>
          </c:extLst>
        </c:ser>
        <c:ser>
          <c:idx val="2"/>
          <c:order val="2"/>
          <c:tx>
            <c:strRef>
              <c:f>ورقة2!$G$21</c:f>
              <c:strCache>
                <c:ptCount val="1"/>
                <c:pt idx="0">
                  <c:v>Ceroplasmin</c:v>
                </c:pt>
              </c:strCache>
            </c:strRef>
          </c:tx>
          <c:invertIfNegative val="0"/>
          <c:cat>
            <c:strRef>
              <c:f>ورقة2!$H$18:$J$18</c:f>
              <c:strCache>
                <c:ptCount val="3"/>
                <c:pt idx="0">
                  <c:v>       Acute Lymphoblastic Leukemia (ALL)  No. 50 .</c:v>
                </c:pt>
                <c:pt idx="1">
                  <c:v>     acute  myeloidleukemia (AML) 50
</c:v>
                </c:pt>
                <c:pt idx="2">
                  <c:v>healthy control groups 50 (Controls  group).</c:v>
                </c:pt>
              </c:strCache>
            </c:strRef>
          </c:cat>
          <c:val>
            <c:numRef>
              <c:f>ورقة2!$H$21:$J$21</c:f>
              <c:numCache>
                <c:formatCode>General</c:formatCode>
                <c:ptCount val="3"/>
                <c:pt idx="0">
                  <c:v>0.33</c:v>
                </c:pt>
                <c:pt idx="1">
                  <c:v>0.39</c:v>
                </c:pt>
                <c:pt idx="2">
                  <c:v>0.28000000000000003</c:v>
                </c:pt>
              </c:numCache>
            </c:numRef>
          </c:val>
          <c:extLst xmlns:c16r2="http://schemas.microsoft.com/office/drawing/2015/06/chart">
            <c:ext xmlns:c16="http://schemas.microsoft.com/office/drawing/2014/chart" uri="{C3380CC4-5D6E-409C-BE32-E72D297353CC}">
              <c16:uniqueId val="{00000002-C343-4325-9DE2-AE3AD0987A2C}"/>
            </c:ext>
          </c:extLst>
        </c:ser>
        <c:dLbls>
          <c:showLegendKey val="0"/>
          <c:showVal val="0"/>
          <c:showCatName val="0"/>
          <c:showSerName val="0"/>
          <c:showPercent val="0"/>
          <c:showBubbleSize val="0"/>
        </c:dLbls>
        <c:gapWidth val="150"/>
        <c:axId val="64411520"/>
        <c:axId val="64413056"/>
      </c:barChart>
      <c:catAx>
        <c:axId val="64411520"/>
        <c:scaling>
          <c:orientation val="minMax"/>
        </c:scaling>
        <c:delete val="0"/>
        <c:axPos val="b"/>
        <c:numFmt formatCode="General" sourceLinked="0"/>
        <c:majorTickMark val="none"/>
        <c:minorTickMark val="none"/>
        <c:tickLblPos val="nextTo"/>
        <c:crossAx val="64413056"/>
        <c:crosses val="autoZero"/>
        <c:auto val="1"/>
        <c:lblAlgn val="ctr"/>
        <c:lblOffset val="100"/>
        <c:noMultiLvlLbl val="0"/>
      </c:catAx>
      <c:valAx>
        <c:axId val="64413056"/>
        <c:scaling>
          <c:orientation val="minMax"/>
        </c:scaling>
        <c:delete val="0"/>
        <c:axPos val="l"/>
        <c:majorGridlines/>
        <c:numFmt formatCode="General" sourceLinked="1"/>
        <c:majorTickMark val="none"/>
        <c:minorTickMark val="none"/>
        <c:tickLblPos val="nextTo"/>
        <c:crossAx val="64411520"/>
        <c:crosses val="autoZero"/>
        <c:crossBetween val="between"/>
      </c:valAx>
      <c:dTable>
        <c:showHorzBorder val="1"/>
        <c:showVertBorder val="1"/>
        <c:showOutline val="1"/>
        <c:showKeys val="1"/>
      </c:dTable>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ar-IQ"/>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440</TotalTime>
  <Pages>1</Pages>
  <Words>1776</Words>
  <Characters>10128</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Eng-Mustafa Mardhi</dc:creator>
  <cp:lastModifiedBy>Eng-Mustafa Mardhi</cp:lastModifiedBy>
  <cp:revision>17</cp:revision>
  <dcterms:created xsi:type="dcterms:W3CDTF">2022-07-27T18:43:00Z</dcterms:created>
  <dcterms:modified xsi:type="dcterms:W3CDTF">2022-08-28T20:26:00Z</dcterms:modified>
</cp:coreProperties>
</file>