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071" w:rsidRDefault="00D41071" w:rsidP="00D41071">
      <w:pPr>
        <w:pStyle w:val="ParaAttribute3"/>
        <w:spacing w:line="360" w:lineRule="auto"/>
        <w:rPr>
          <w:rStyle w:val="CharAttribute4"/>
          <w:rFonts w:eastAsia="Batang"/>
          <w:color w:val="000000"/>
          <w:szCs w:val="24"/>
        </w:rPr>
      </w:pPr>
    </w:p>
    <w:p w:rsidR="00D41071" w:rsidRPr="001972F0" w:rsidRDefault="00D41071" w:rsidP="00D41071">
      <w:pPr>
        <w:pStyle w:val="ParaAttribute3"/>
        <w:spacing w:line="360" w:lineRule="auto"/>
        <w:rPr>
          <w:rStyle w:val="CharAttribute4"/>
          <w:rFonts w:eastAsia="Batang"/>
          <w:color w:val="000000"/>
          <w:szCs w:val="24"/>
        </w:rPr>
      </w:pPr>
    </w:p>
    <w:p w:rsidR="00D41071" w:rsidRPr="001972F0" w:rsidRDefault="00D41071" w:rsidP="00D41071">
      <w:pPr>
        <w:pStyle w:val="ParaAttribute3"/>
        <w:spacing w:line="360" w:lineRule="auto"/>
        <w:jc w:val="center"/>
        <w:rPr>
          <w:rStyle w:val="CharAttribute4"/>
          <w:rFonts w:eastAsia="Batang"/>
          <w:color w:val="000000"/>
          <w:szCs w:val="24"/>
        </w:rPr>
      </w:pPr>
      <w:r w:rsidRPr="001972F0">
        <w:rPr>
          <w:rStyle w:val="CharAttribute4"/>
          <w:rFonts w:eastAsia="Batang"/>
          <w:color w:val="000000"/>
          <w:szCs w:val="24"/>
        </w:rPr>
        <w:t>URBANIZATION AND ENVIRONMENTAL UNSUSTAINABILITY: AN ECOLOGICAL FOOTPRINT ANALYSIS FOR NIGERIA.</w:t>
      </w:r>
    </w:p>
    <w:p w:rsidR="00D41071" w:rsidRPr="00C64499" w:rsidRDefault="00D41071" w:rsidP="00D41071">
      <w:pPr>
        <w:pStyle w:val="ParaAttribute3"/>
        <w:rPr>
          <w:rStyle w:val="CharAttribute8"/>
          <w:rFonts w:eastAsia="Batang"/>
          <w:color w:val="000000"/>
          <w:szCs w:val="24"/>
        </w:rPr>
      </w:pPr>
      <w:r w:rsidRPr="00C64499">
        <w:rPr>
          <w:rStyle w:val="CharAttribute8"/>
          <w:rFonts w:eastAsia="Batang"/>
          <w:color w:val="000000"/>
          <w:szCs w:val="24"/>
        </w:rPr>
        <w:t>Abstract</w:t>
      </w:r>
    </w:p>
    <w:p w:rsidR="00D41071" w:rsidRPr="00C64499" w:rsidRDefault="00D41071" w:rsidP="00D41071">
      <w:pPr>
        <w:jc w:val="both"/>
        <w:rPr>
          <w:i/>
          <w:color w:val="000000"/>
          <w:sz w:val="20"/>
          <w:szCs w:val="20"/>
        </w:rPr>
      </w:pPr>
      <w:r w:rsidRPr="00C64499">
        <w:rPr>
          <w:bCs/>
          <w:i/>
          <w:iCs/>
          <w:color w:val="000000"/>
          <w:sz w:val="20"/>
          <w:szCs w:val="20"/>
        </w:rPr>
        <w:t>The earth’s limited natural resources and assimilation capacity, coupled with increased production and consumption activities of a rapidly growing population has made the global environment unsustainable. This study therefore</w:t>
      </w:r>
      <w:r w:rsidRPr="00C64499">
        <w:rPr>
          <w:i/>
          <w:color w:val="000000"/>
          <w:sz w:val="20"/>
          <w:szCs w:val="20"/>
        </w:rPr>
        <w:t xml:space="preserve"> analyses the empirical relationship between urbanization and environmental unsustainability in Nigeria by employing the ecological deficit obtained from the ecological footprint as a measure of environmental unsustainability. The study contributes to empirical literature on the subject matter by employing the STIRPAT model as against the Environmental Kuznets Curve (EKC) model employed by most studies for Nigeria. Secondly, the study differs from others that have used carbon dioxide emissions (CO</w:t>
      </w:r>
      <w:r w:rsidRPr="00C64499">
        <w:rPr>
          <w:i/>
          <w:color w:val="000000"/>
          <w:sz w:val="20"/>
          <w:szCs w:val="20"/>
          <w:vertAlign w:val="subscript"/>
        </w:rPr>
        <w:t>2</w:t>
      </w:r>
      <w:r w:rsidRPr="00C64499">
        <w:rPr>
          <w:i/>
          <w:color w:val="000000"/>
          <w:sz w:val="20"/>
          <w:szCs w:val="20"/>
        </w:rPr>
        <w:t>) as a measure of sustainability(unsustainability) of the environment by employing the difference between biocapacity per capita and ecological footprint per capita otherwise regarded as ecological surplus (deficit) as a measure of environmental sustainability (unsustainability). Time series data spanning from 1981 to 2019 was used and the STIRPAT framework was adopted. Autoregressive Distributed Lag Technique of estimation was employed for the long and short run estimates, while the results are validated with the Dynamic Ordinary Least Square Technique (DOLS) as well as the Fully Modified Ordinary Least Square Technique (FMOLS). Short and long run results revealed that urbanization significantly has negative effects on environmental unsustainability. However, working population has a positive effect on environmental unsustainability in the long run, However, in the short run, per capita income and working population have positive effects on environmental unsustainability. The study therefore recommends responsible consumption and production activities that will improve environmental quality.</w:t>
      </w:r>
    </w:p>
    <w:p w:rsidR="00D41071" w:rsidRDefault="00D41071" w:rsidP="00D41071">
      <w:pPr>
        <w:pStyle w:val="ParaAttribute3"/>
        <w:rPr>
          <w:rFonts w:eastAsia="Times New Roman"/>
          <w:b/>
          <w:i/>
          <w:color w:val="000000"/>
        </w:rPr>
      </w:pPr>
      <w:r w:rsidRPr="00C64499">
        <w:rPr>
          <w:rFonts w:eastAsia="Times New Roman"/>
          <w:b/>
          <w:i/>
          <w:color w:val="000000"/>
        </w:rPr>
        <w:t xml:space="preserve">Keywords: Ecological deficit, Environmental Unsustainability, Population, Urbanization. </w:t>
      </w:r>
    </w:p>
    <w:p w:rsidR="00D41071" w:rsidRPr="00C64499" w:rsidRDefault="00D41071" w:rsidP="00D41071">
      <w:pPr>
        <w:pStyle w:val="ParaAttribute3"/>
        <w:rPr>
          <w:rFonts w:eastAsia="Times New Roman"/>
          <w:b/>
          <w:i/>
          <w:color w:val="000000"/>
        </w:rPr>
      </w:pPr>
    </w:p>
    <w:p w:rsidR="00D41071" w:rsidRPr="001972F0" w:rsidRDefault="00D41071" w:rsidP="00D41071">
      <w:pPr>
        <w:pStyle w:val="ListParagraph"/>
        <w:numPr>
          <w:ilvl w:val="0"/>
          <w:numId w:val="2"/>
        </w:numPr>
        <w:spacing w:line="360" w:lineRule="auto"/>
        <w:jc w:val="both"/>
        <w:rPr>
          <w:b/>
          <w:color w:val="000000"/>
        </w:rPr>
      </w:pPr>
      <w:r w:rsidRPr="001972F0">
        <w:rPr>
          <w:rStyle w:val="CharAttribute4"/>
          <w:rFonts w:eastAsia="Batang"/>
          <w:color w:val="000000"/>
        </w:rPr>
        <w:t>INTRODUCTION</w:t>
      </w:r>
    </w:p>
    <w:p w:rsidR="00D41071" w:rsidRPr="001972F0" w:rsidRDefault="00D41071" w:rsidP="00D41071">
      <w:pPr>
        <w:pStyle w:val="ParaAttribute7"/>
        <w:spacing w:line="360" w:lineRule="auto"/>
        <w:ind w:left="567" w:right="-993" w:hanging="1984"/>
        <w:rPr>
          <w:color w:val="000000"/>
          <w:sz w:val="24"/>
          <w:szCs w:val="24"/>
        </w:rPr>
      </w:pPr>
      <w:r w:rsidRPr="001972F0">
        <w:rPr>
          <w:rStyle w:val="CharAttribute1"/>
          <w:rFonts w:eastAsia="Batang"/>
          <w:color w:val="000000"/>
          <w:szCs w:val="24"/>
        </w:rPr>
        <w:t xml:space="preserve">                                </w:t>
      </w:r>
    </w:p>
    <w:p w:rsidR="00D41071" w:rsidRPr="001972F0" w:rsidRDefault="00D41071" w:rsidP="00D41071">
      <w:pPr>
        <w:spacing w:after="120"/>
        <w:ind w:left="709"/>
        <w:jc w:val="both"/>
        <w:rPr>
          <w:rStyle w:val="CharAttribute1"/>
          <w:rFonts w:eastAsia="Batang"/>
          <w:color w:val="000000"/>
        </w:rPr>
      </w:pPr>
      <w:r w:rsidRPr="001972F0">
        <w:rPr>
          <w:rStyle w:val="CharAttribute1"/>
          <w:rFonts w:eastAsia="Batang"/>
          <w:color w:val="000000"/>
        </w:rPr>
        <w:t xml:space="preserve">Global warming, extreme weather conditions and continuous environmental degradation have aroused interest on issues of environmental sustainability </w:t>
      </w:r>
      <w:r w:rsidRPr="001972F0">
        <w:rPr>
          <w:color w:val="000000"/>
        </w:rPr>
        <w:t>(Shahbaz et al., 2016</w:t>
      </w:r>
      <w:r w:rsidRPr="001972F0">
        <w:rPr>
          <w:rStyle w:val="CharAttribute1"/>
          <w:rFonts w:eastAsia="Batang"/>
          <w:color w:val="000000"/>
        </w:rPr>
        <w:t xml:space="preserve">). The Sustainable Development Goals (SDGs) were designed to ensure a sustainable future for all, of which the environment contributes in no small way. The SDGs are a collection of seventeen goals geared towards poverty reduction, climate resilience, environmental degradation, peace and justice (United Nations, 2020), with about six of these goals being focused on the environment.  </w:t>
      </w:r>
    </w:p>
    <w:p w:rsidR="00D41071" w:rsidRPr="001972F0" w:rsidRDefault="00D41071" w:rsidP="00D41071">
      <w:pPr>
        <w:spacing w:after="120"/>
        <w:ind w:left="709"/>
        <w:jc w:val="both"/>
        <w:rPr>
          <w:rStyle w:val="CharAttribute1"/>
          <w:rFonts w:eastAsia="Batang"/>
          <w:color w:val="000000"/>
        </w:rPr>
      </w:pPr>
      <w:r w:rsidRPr="001972F0">
        <w:rPr>
          <w:rStyle w:val="CharAttribute1"/>
          <w:rFonts w:eastAsia="Batang"/>
          <w:color w:val="000000"/>
        </w:rPr>
        <w:t xml:space="preserve">In achieving sustainable development, </w:t>
      </w:r>
      <w:r>
        <w:rPr>
          <w:rStyle w:val="CharAttribute1"/>
          <w:rFonts w:eastAsia="Batang"/>
          <w:color w:val="000000"/>
        </w:rPr>
        <w:t xml:space="preserve">expansion in </w:t>
      </w:r>
      <w:r w:rsidRPr="001972F0">
        <w:rPr>
          <w:rStyle w:val="CharAttribute1"/>
          <w:rFonts w:eastAsia="Batang"/>
          <w:color w:val="000000"/>
        </w:rPr>
        <w:t xml:space="preserve">population plays a very crucial role but could have a deteriorating effect on the environment especially when it exceeds a nation’s productive capacity. Population growth influences the production and consumption activities of countries across the world and in view of this, exerts pressure on the existing earth resources (land, water, air amongst others), thus contributing a great deal to climate change and posing a threat to environmental sustainability.  Similarly, the composition of a country’s population determines the extent to which resources are utilized and consumed. This is so because a working population contribute more to the production and consumption activities of a country.  </w:t>
      </w:r>
    </w:p>
    <w:p w:rsidR="00D41071" w:rsidRPr="001972F0" w:rsidRDefault="00D41071" w:rsidP="00D41071">
      <w:pPr>
        <w:spacing w:after="120"/>
        <w:ind w:left="709"/>
        <w:jc w:val="both"/>
        <w:rPr>
          <w:rStyle w:val="CharAttribute1"/>
          <w:rFonts w:eastAsia="Calibri"/>
          <w:color w:val="000000"/>
        </w:rPr>
      </w:pPr>
      <w:r w:rsidRPr="001972F0">
        <w:rPr>
          <w:rStyle w:val="CharAttribute1"/>
          <w:rFonts w:eastAsia="Batang"/>
          <w:color w:val="000000"/>
        </w:rPr>
        <w:t xml:space="preserve">Global population is increasing consistently and it has been predicted that by 2030, </w:t>
      </w:r>
      <w:r>
        <w:rPr>
          <w:rStyle w:val="CharAttribute1"/>
          <w:rFonts w:eastAsia="Batang"/>
          <w:color w:val="000000"/>
        </w:rPr>
        <w:t>about</w:t>
      </w:r>
      <w:r w:rsidRPr="001972F0">
        <w:rPr>
          <w:rStyle w:val="CharAttribute1"/>
          <w:rFonts w:eastAsia="Batang"/>
          <w:color w:val="000000"/>
        </w:rPr>
        <w:t xml:space="preserve"> 60% of </w:t>
      </w:r>
      <w:r>
        <w:rPr>
          <w:rStyle w:val="CharAttribute1"/>
          <w:rFonts w:eastAsia="Batang"/>
          <w:color w:val="000000"/>
        </w:rPr>
        <w:t xml:space="preserve">global </w:t>
      </w:r>
      <w:r w:rsidRPr="001972F0">
        <w:rPr>
          <w:rStyle w:val="CharAttribute1"/>
          <w:rFonts w:eastAsia="Batang"/>
          <w:color w:val="000000"/>
        </w:rPr>
        <w:t xml:space="preserve">population will be </w:t>
      </w:r>
      <w:r>
        <w:rPr>
          <w:rStyle w:val="CharAttribute1"/>
          <w:rFonts w:eastAsia="Batang"/>
          <w:color w:val="000000"/>
        </w:rPr>
        <w:t xml:space="preserve">concentrated </w:t>
      </w:r>
      <w:r w:rsidRPr="001972F0">
        <w:rPr>
          <w:rStyle w:val="CharAttribute1"/>
          <w:rFonts w:eastAsia="Batang"/>
          <w:color w:val="000000"/>
        </w:rPr>
        <w:t xml:space="preserve">in urban </w:t>
      </w:r>
      <w:r w:rsidRPr="00E100FA">
        <w:rPr>
          <w:rStyle w:val="CharAttribute1"/>
          <w:rFonts w:eastAsia="Batang"/>
          <w:color w:val="000000"/>
          <w:lang w:val="en-GB"/>
        </w:rPr>
        <w:t>centres</w:t>
      </w:r>
      <w:r w:rsidRPr="001972F0">
        <w:rPr>
          <w:rStyle w:val="CharAttribute1"/>
          <w:rFonts w:eastAsia="Batang"/>
          <w:color w:val="000000"/>
        </w:rPr>
        <w:t xml:space="preserve">. It has also been </w:t>
      </w:r>
      <w:r w:rsidRPr="001972F0">
        <w:rPr>
          <w:rStyle w:val="CharAttribute1"/>
          <w:rFonts w:eastAsia="Batang"/>
          <w:color w:val="000000"/>
        </w:rPr>
        <w:lastRenderedPageBreak/>
        <w:t xml:space="preserve">projected that a larger percentage of this increase in urban population, about 90 to 95% will be </w:t>
      </w:r>
      <w:r>
        <w:rPr>
          <w:rStyle w:val="CharAttribute1"/>
          <w:rFonts w:eastAsia="Batang"/>
          <w:color w:val="000000"/>
        </w:rPr>
        <w:t>emerge from</w:t>
      </w:r>
      <w:r w:rsidRPr="001972F0">
        <w:rPr>
          <w:rStyle w:val="CharAttribute1"/>
          <w:rFonts w:eastAsia="Batang"/>
          <w:color w:val="000000"/>
        </w:rPr>
        <w:t xml:space="preserve"> low- and middle-income countries in Asia and Africa, of which India, China and Nigeria are predicted to take the lead. </w:t>
      </w:r>
      <w:r w:rsidRPr="001972F0">
        <w:rPr>
          <w:rFonts w:eastAsia="Calibri"/>
          <w:color w:val="000000"/>
        </w:rPr>
        <w:t xml:space="preserve">The reason for this is not farfetched, as people tend to migrate to </w:t>
      </w:r>
      <w:r>
        <w:rPr>
          <w:rFonts w:eastAsia="Calibri"/>
          <w:color w:val="000000"/>
        </w:rPr>
        <w:t>cities</w:t>
      </w:r>
      <w:r w:rsidRPr="001972F0">
        <w:rPr>
          <w:rFonts w:eastAsia="Calibri"/>
          <w:color w:val="000000"/>
        </w:rPr>
        <w:t xml:space="preserve"> </w:t>
      </w:r>
      <w:r>
        <w:rPr>
          <w:rFonts w:eastAsia="Calibri"/>
          <w:color w:val="000000"/>
        </w:rPr>
        <w:t>for</w:t>
      </w:r>
      <w:r w:rsidRPr="001972F0">
        <w:rPr>
          <w:rFonts w:eastAsia="Calibri"/>
          <w:color w:val="000000"/>
        </w:rPr>
        <w:t xml:space="preserve"> an improved standard of living. </w:t>
      </w:r>
      <w:r w:rsidRPr="001972F0">
        <w:rPr>
          <w:color w:val="000000"/>
          <w:shd w:val="clear" w:color="auto" w:fill="FFFFFF"/>
        </w:rPr>
        <w:t xml:space="preserve">The resulting effect of this will be an increase in resource consumption followed by a high emission rate that will pose a threat to the environment. </w:t>
      </w:r>
    </w:p>
    <w:p w:rsidR="00D41071" w:rsidRPr="001972F0" w:rsidRDefault="00D41071" w:rsidP="00D41071">
      <w:pPr>
        <w:pStyle w:val="NormalWeb"/>
        <w:spacing w:before="0" w:beforeAutospacing="0" w:after="120" w:afterAutospacing="0"/>
        <w:ind w:left="709"/>
        <w:jc w:val="both"/>
        <w:rPr>
          <w:color w:val="000000"/>
        </w:rPr>
      </w:pPr>
      <w:r w:rsidRPr="001972F0">
        <w:rPr>
          <w:color w:val="000000"/>
          <w:shd w:val="clear" w:color="auto" w:fill="FFFFFF"/>
        </w:rPr>
        <w:t>Environmental sustainability can be defined as</w:t>
      </w:r>
      <w:r>
        <w:rPr>
          <w:color w:val="000000"/>
          <w:shd w:val="clear" w:color="auto" w:fill="FFFFFF"/>
        </w:rPr>
        <w:t xml:space="preserve"> human interaction with the environment in a responsible way</w:t>
      </w:r>
      <w:r w:rsidRPr="001972F0">
        <w:rPr>
          <w:color w:val="000000"/>
          <w:shd w:val="clear" w:color="auto" w:fill="FFFFFF"/>
        </w:rPr>
        <w:t xml:space="preserve"> that reduces degradation or depletion of natural resources. It seeks to ensure that the environmental needs of tod</w:t>
      </w:r>
      <w:r>
        <w:rPr>
          <w:color w:val="000000"/>
          <w:shd w:val="clear" w:color="auto" w:fill="FFFFFF"/>
        </w:rPr>
        <w:t>ay</w:t>
      </w:r>
      <w:r w:rsidRPr="001972F0">
        <w:rPr>
          <w:color w:val="000000"/>
          <w:shd w:val="clear" w:color="auto" w:fill="FFFFFF"/>
        </w:rPr>
        <w:t xml:space="preserve"> are met without leaving lesser units of environmental resources for the future generation. Human’s consumption of environmental resources beyond the earth’s regenerative capacity could be very detrimental. Given an increasing population, the supply-demand gap of these resources could be widened. In this regard, the ecological footprint (EFP) measures the supply of natural resources as well as human demand on the environment</w:t>
      </w:r>
      <w:r>
        <w:rPr>
          <w:color w:val="000000"/>
          <w:shd w:val="clear" w:color="auto" w:fill="FFFFFF"/>
        </w:rPr>
        <w:t xml:space="preserve"> and is therefore </w:t>
      </w:r>
      <w:r w:rsidRPr="001972F0">
        <w:rPr>
          <w:color w:val="000000"/>
        </w:rPr>
        <w:t>an appropriate measure of sustainability (Global Footprint network, 2017). However, in evaluating the EFP as a measure of environmental sustainability, biocapacity (BC) is an important indicator. Biocapacity is a measurement of people’s ecological budget or nature’s regenerative capacity that is calculated by biologically productive land and see areas as given in EF calculations (Borucke et al., 201</w:t>
      </w:r>
      <w:r>
        <w:rPr>
          <w:color w:val="000000"/>
        </w:rPr>
        <w:t>2</w:t>
      </w:r>
      <w:r w:rsidRPr="001972F0">
        <w:rPr>
          <w:color w:val="000000"/>
        </w:rPr>
        <w:t>).</w:t>
      </w:r>
    </w:p>
    <w:p w:rsidR="00D41071" w:rsidRPr="001972F0" w:rsidRDefault="00D41071" w:rsidP="00D41071">
      <w:pPr>
        <w:pStyle w:val="NormalWeb"/>
        <w:spacing w:before="0" w:beforeAutospacing="0" w:after="120" w:afterAutospacing="0"/>
        <w:ind w:left="709"/>
        <w:jc w:val="both"/>
        <w:rPr>
          <w:color w:val="000000"/>
        </w:rPr>
      </w:pPr>
      <w:r w:rsidRPr="001972F0">
        <w:rPr>
          <w:color w:val="000000"/>
          <w:shd w:val="clear" w:color="auto" w:fill="FFFFFF"/>
        </w:rPr>
        <w:t xml:space="preserve">The EFP </w:t>
      </w:r>
      <w:r w:rsidRPr="001972F0">
        <w:rPr>
          <w:color w:val="000000"/>
        </w:rPr>
        <w:t>measures the</w:t>
      </w:r>
      <w:r>
        <w:rPr>
          <w:color w:val="000000"/>
        </w:rPr>
        <w:t xml:space="preserve"> required</w:t>
      </w:r>
      <w:r w:rsidRPr="001972F0">
        <w:rPr>
          <w:color w:val="000000"/>
        </w:rPr>
        <w:t xml:space="preserve"> ecological assets</w:t>
      </w:r>
      <w:r>
        <w:rPr>
          <w:color w:val="000000"/>
        </w:rPr>
        <w:t xml:space="preserve"> for production and absorption of generated waste from the use of technology and</w:t>
      </w:r>
      <w:r w:rsidRPr="001972F0">
        <w:rPr>
          <w:color w:val="000000"/>
        </w:rPr>
        <w:t xml:space="preserve"> resource management. The EFP analysis indicates whether a country has an ecological deficit or surplus.  When </w:t>
      </w:r>
      <w:r>
        <w:rPr>
          <w:color w:val="000000"/>
        </w:rPr>
        <w:t xml:space="preserve">it exceeds a </w:t>
      </w:r>
      <w:r w:rsidRPr="001972F0">
        <w:rPr>
          <w:color w:val="000000"/>
        </w:rPr>
        <w:t>nation</w:t>
      </w:r>
      <w:r>
        <w:rPr>
          <w:color w:val="000000"/>
        </w:rPr>
        <w:t xml:space="preserve">’s </w:t>
      </w:r>
      <w:r w:rsidRPr="001972F0">
        <w:rPr>
          <w:color w:val="000000"/>
        </w:rPr>
        <w:t xml:space="preserve">biocapacity, such country is regarded to have an ecological deficit. This is because such a country is consuming more environmental resources than it is producing. Similarly, an ecological surplus occurs when the </w:t>
      </w:r>
      <w:r>
        <w:rPr>
          <w:color w:val="000000"/>
        </w:rPr>
        <w:t>EFP</w:t>
      </w:r>
      <w:r w:rsidRPr="001972F0">
        <w:rPr>
          <w:color w:val="000000"/>
        </w:rPr>
        <w:t xml:space="preserve"> of a country is lower than its biocapacity. </w:t>
      </w:r>
      <w:r w:rsidRPr="001972F0">
        <w:rPr>
          <w:color w:val="000000"/>
          <w:shd w:val="clear" w:color="auto" w:fill="FFFFFF"/>
        </w:rPr>
        <w:t xml:space="preserve">The implication of an ecological deficit is that environmental resources are being depleted. </w:t>
      </w:r>
      <w:r w:rsidRPr="001972F0">
        <w:rPr>
          <w:color w:val="000000"/>
        </w:rPr>
        <w:t>While ecological deficit i</w:t>
      </w:r>
      <w:r>
        <w:rPr>
          <w:color w:val="000000"/>
        </w:rPr>
        <w:t xml:space="preserve">ndicates environmental </w:t>
      </w:r>
      <w:r w:rsidRPr="001972F0">
        <w:rPr>
          <w:color w:val="000000"/>
        </w:rPr>
        <w:t xml:space="preserve">unsustainability, ecological surplus is a prerequisite </w:t>
      </w:r>
      <w:r>
        <w:rPr>
          <w:color w:val="000000"/>
        </w:rPr>
        <w:t>for</w:t>
      </w:r>
      <w:r w:rsidRPr="001972F0">
        <w:rPr>
          <w:color w:val="000000"/>
        </w:rPr>
        <w:t xml:space="preserve"> </w:t>
      </w:r>
      <w:r>
        <w:rPr>
          <w:color w:val="000000"/>
        </w:rPr>
        <w:t xml:space="preserve">environmental </w:t>
      </w:r>
      <w:r w:rsidRPr="001972F0">
        <w:rPr>
          <w:color w:val="000000"/>
        </w:rPr>
        <w:t xml:space="preserve">sustainability (Bagliani et al., 2008). </w:t>
      </w:r>
    </w:p>
    <w:p w:rsidR="00D41071" w:rsidRPr="001972F0" w:rsidRDefault="00D41071" w:rsidP="00D41071">
      <w:pPr>
        <w:pStyle w:val="NormalWeb"/>
        <w:spacing w:before="0" w:beforeAutospacing="0" w:after="120" w:afterAutospacing="0"/>
        <w:ind w:left="709"/>
        <w:jc w:val="both"/>
        <w:rPr>
          <w:color w:val="000000"/>
          <w:shd w:val="clear" w:color="auto" w:fill="FFFFFF"/>
        </w:rPr>
      </w:pPr>
      <w:r w:rsidRPr="001972F0">
        <w:rPr>
          <w:color w:val="000000"/>
        </w:rPr>
        <w:t xml:space="preserve">Since the 1970s, global consumption of natural resources has increased by 50 percent. However, this does not match up with the available resources as this has been recorded to have decreased by over 30 percent since then. A </w:t>
      </w:r>
      <w:r w:rsidRPr="001972F0">
        <w:rPr>
          <w:color w:val="000000"/>
          <w:shd w:val="clear" w:color="auto" w:fill="FFFFFF"/>
        </w:rPr>
        <w:t xml:space="preserve">global average ecological footprint of 2.75 global hectares per person was recorded in 2016 with a corresponding global average biocapacity of 1.63 global hectares per person (Global footprint, 2018). It can be inferred that the world recorded an ecological deficit of 1.1 global hectares per person in 2016 (Global footprint, 2018). However, to ensure environmental sustainability, ecological footprint should be </w:t>
      </w:r>
      <w:r w:rsidRPr="001972F0">
        <w:rPr>
          <w:color w:val="000000"/>
        </w:rPr>
        <w:t xml:space="preserve">smaller than biocapacity. </w:t>
      </w:r>
    </w:p>
    <w:p w:rsidR="00D41071" w:rsidRPr="001972F0" w:rsidRDefault="00D41071" w:rsidP="00D41071">
      <w:pPr>
        <w:spacing w:after="120"/>
        <w:ind w:left="709"/>
        <w:jc w:val="both"/>
        <w:rPr>
          <w:color w:val="000000"/>
          <w:highlight w:val="yellow"/>
          <w:shd w:val="clear" w:color="auto" w:fill="FFFFFF"/>
        </w:rPr>
      </w:pPr>
      <w:r w:rsidRPr="001972F0">
        <w:rPr>
          <w:color w:val="000000"/>
          <w:shd w:val="clear" w:color="auto" w:fill="FFFFFF"/>
        </w:rPr>
        <w:t xml:space="preserve"> Over the years, </w:t>
      </w:r>
      <w:r w:rsidRPr="001972F0">
        <w:rPr>
          <w:color w:val="000000"/>
        </w:rPr>
        <w:t xml:space="preserve">Nigeria has recorded an ecological deficit. </w:t>
      </w:r>
      <w:r w:rsidRPr="001972F0">
        <w:rPr>
          <w:color w:val="000000"/>
          <w:shd w:val="clear" w:color="auto" w:fill="FFFFFF"/>
        </w:rPr>
        <w:t>In 2017, the country’s EFP was 1.0 gha with a biocapacity of 0.6 gha, thus recording a deficit of 0.4 gha (Global Footprint Network, 2018). With a teeming population, this implies an increase in the production and consumption activities of the country which may have deteriorating effects on the environment. Given the threat of climate change and its potential effect on economic activities, it has been projected that about 6% to 30% decline in the country’s GDP by 2050 may be owing to climate change if proper mitigation measures are not put in place</w:t>
      </w:r>
      <w:r>
        <w:rPr>
          <w:color w:val="000000"/>
          <w:shd w:val="clear" w:color="auto" w:fill="FFFFFF"/>
        </w:rPr>
        <w:t xml:space="preserve"> </w:t>
      </w:r>
      <w:r w:rsidRPr="001972F0">
        <w:rPr>
          <w:color w:val="000000"/>
          <w:shd w:val="clear" w:color="auto" w:fill="FFFFFF"/>
        </w:rPr>
        <w:t>(</w:t>
      </w:r>
      <w:r>
        <w:rPr>
          <w:color w:val="000000"/>
          <w:shd w:val="clear" w:color="auto" w:fill="FFFFFF"/>
        </w:rPr>
        <w:t xml:space="preserve">Chindo </w:t>
      </w:r>
      <w:r w:rsidRPr="001972F0">
        <w:rPr>
          <w:color w:val="000000"/>
          <w:shd w:val="clear" w:color="auto" w:fill="FFFFFF"/>
        </w:rPr>
        <w:t xml:space="preserve">and Abdulrahim, 2018 ). </w:t>
      </w:r>
    </w:p>
    <w:p w:rsidR="00D41071" w:rsidRDefault="00D41071" w:rsidP="00D41071">
      <w:pPr>
        <w:spacing w:after="120"/>
        <w:ind w:left="709"/>
        <w:jc w:val="both"/>
        <w:rPr>
          <w:color w:val="000000"/>
        </w:rPr>
      </w:pPr>
      <w:r w:rsidRPr="001972F0">
        <w:rPr>
          <w:color w:val="000000"/>
        </w:rPr>
        <w:t>This study therefore examine</w:t>
      </w:r>
      <w:r>
        <w:rPr>
          <w:color w:val="000000"/>
        </w:rPr>
        <w:t>s</w:t>
      </w:r>
      <w:r w:rsidRPr="001972F0">
        <w:rPr>
          <w:color w:val="000000"/>
        </w:rPr>
        <w:t xml:space="preserve"> the effect of urban</w:t>
      </w:r>
      <w:r>
        <w:rPr>
          <w:color w:val="000000"/>
        </w:rPr>
        <w:t>ization</w:t>
      </w:r>
      <w:r w:rsidRPr="001972F0">
        <w:rPr>
          <w:color w:val="000000"/>
        </w:rPr>
        <w:t xml:space="preserve"> on environmental unsustainability in Nigeria. The study contributes to empirical literature on the subject matter in two ways. </w:t>
      </w:r>
      <w:r>
        <w:rPr>
          <w:color w:val="000000"/>
        </w:rPr>
        <w:t>The</w:t>
      </w:r>
      <w:r w:rsidRPr="001972F0">
        <w:rPr>
          <w:color w:val="000000"/>
        </w:rPr>
        <w:t xml:space="preserve"> study employs the STIRPAT model as against the </w:t>
      </w:r>
      <w:r w:rsidRPr="001972F0">
        <w:rPr>
          <w:color w:val="000000"/>
        </w:rPr>
        <w:lastRenderedPageBreak/>
        <w:t>Environmental Kuznets Curve (EKC) model employed by most studies for Nigeria. Secondly, the study differs from others that have used carbon dioxide emissions (CO</w:t>
      </w:r>
      <w:r w:rsidRPr="001972F0">
        <w:rPr>
          <w:color w:val="000000"/>
          <w:vertAlign w:val="subscript"/>
        </w:rPr>
        <w:t>2</w:t>
      </w:r>
      <w:r w:rsidRPr="001972F0">
        <w:rPr>
          <w:color w:val="000000"/>
        </w:rPr>
        <w:t xml:space="preserve">) as a measure of environmental sustainability(unsustainability) as it employs the difference between biocapacity per capita and EFP per capita otherwise regarded as ecological surplus (deficit) as a measure of sustainability </w:t>
      </w:r>
      <w:r w:rsidRPr="003809E4">
        <w:rPr>
          <w:color w:val="000000"/>
        </w:rPr>
        <w:t>(unsustainability)</w:t>
      </w:r>
      <w:r>
        <w:rPr>
          <w:color w:val="000000"/>
        </w:rPr>
        <w:t xml:space="preserve"> of the environment.</w:t>
      </w:r>
    </w:p>
    <w:p w:rsidR="00D41071" w:rsidRDefault="00D41071" w:rsidP="00D41071">
      <w:pPr>
        <w:jc w:val="both"/>
        <w:rPr>
          <w:color w:val="000000"/>
        </w:rPr>
      </w:pPr>
    </w:p>
    <w:p w:rsidR="00D41071" w:rsidRPr="001972F0" w:rsidRDefault="00D41071" w:rsidP="00D41071">
      <w:pPr>
        <w:spacing w:after="120"/>
        <w:ind w:left="709"/>
        <w:jc w:val="both"/>
        <w:rPr>
          <w:color w:val="000000"/>
        </w:rPr>
      </w:pPr>
    </w:p>
    <w:p w:rsidR="00D41071" w:rsidRPr="001972F0" w:rsidRDefault="00D41071" w:rsidP="00D41071">
      <w:pPr>
        <w:numPr>
          <w:ilvl w:val="0"/>
          <w:numId w:val="2"/>
        </w:numPr>
        <w:spacing w:after="120"/>
        <w:ind w:left="709"/>
        <w:jc w:val="both"/>
        <w:rPr>
          <w:b/>
          <w:color w:val="000000"/>
        </w:rPr>
      </w:pPr>
      <w:r w:rsidRPr="001972F0">
        <w:rPr>
          <w:b/>
          <w:color w:val="000000"/>
        </w:rPr>
        <w:t>LITERATURE REVIEW</w:t>
      </w:r>
    </w:p>
    <w:p w:rsidR="00D41071" w:rsidRPr="001972F0" w:rsidRDefault="00D41071" w:rsidP="00D41071">
      <w:pPr>
        <w:spacing w:after="120"/>
        <w:ind w:left="709"/>
        <w:jc w:val="both"/>
        <w:rPr>
          <w:color w:val="000000"/>
        </w:rPr>
      </w:pPr>
      <w:r w:rsidRPr="001972F0">
        <w:rPr>
          <w:color w:val="000000"/>
        </w:rPr>
        <w:t>There are different theoretical and methodological approaches to the population-environment analysis. Some of the theories employed by existing studies are the Malthusian, Boserupian, EKC, Human Ecology theories, amongst others. The Malthusian theory emphasizes on the geometric expansion of population that will outstrip the arithmetic progression of food production. It relies on the “carrying capacity” concept which implies that land has a limited ability to produce food and when this capacity is exceeded, it may deteriorate the environment (Amare and Belay, 2015). This theory was however criticized for its inability to foresee technological advancement that could augment food production.</w:t>
      </w:r>
    </w:p>
    <w:p w:rsidR="00D41071" w:rsidRPr="001972F0" w:rsidRDefault="00D41071" w:rsidP="00D41071">
      <w:pPr>
        <w:pStyle w:val="NormalWeb"/>
        <w:spacing w:after="120" w:afterAutospacing="0"/>
        <w:ind w:left="709"/>
        <w:jc w:val="both"/>
        <w:rPr>
          <w:color w:val="000000"/>
          <w:shd w:val="clear" w:color="auto" w:fill="FFFFFF"/>
        </w:rPr>
      </w:pPr>
      <w:r w:rsidRPr="001972F0">
        <w:rPr>
          <w:color w:val="000000"/>
        </w:rPr>
        <w:t xml:space="preserve">The Boserupian theory focused on the relationship between population, environment and technology while accounting for the role of technology in matching up with population increase, such that food output expands more than population growth. The EKC hypothesis posits an inverted U relationship between economic growth and environmental degradation (Krueger, 1995); such that an initial stage of economic growth worsens environmental quality which later improves as economic growth approaches a turning point. The Structural Human Ecology theory in its own regard </w:t>
      </w:r>
      <w:r w:rsidRPr="001972F0">
        <w:rPr>
          <w:color w:val="000000"/>
          <w:shd w:val="clear" w:color="auto" w:fill="FFFFFF"/>
        </w:rPr>
        <w:t>emphasizes the role of population size,</w:t>
      </w:r>
      <w:r>
        <w:rPr>
          <w:color w:val="000000"/>
          <w:shd w:val="clear" w:color="auto" w:fill="FFFFFF"/>
        </w:rPr>
        <w:t xml:space="preserve"> population</w:t>
      </w:r>
      <w:r w:rsidRPr="001972F0">
        <w:rPr>
          <w:color w:val="000000"/>
          <w:shd w:val="clear" w:color="auto" w:fill="FFFFFF"/>
        </w:rPr>
        <w:t xml:space="preserve"> growth, </w:t>
      </w:r>
      <w:r>
        <w:rPr>
          <w:color w:val="000000"/>
          <w:shd w:val="clear" w:color="auto" w:fill="FFFFFF"/>
        </w:rPr>
        <w:t xml:space="preserve">population </w:t>
      </w:r>
      <w:r w:rsidRPr="001972F0">
        <w:rPr>
          <w:color w:val="000000"/>
          <w:shd w:val="clear" w:color="auto" w:fill="FFFFFF"/>
        </w:rPr>
        <w:t xml:space="preserve">density, and structure in explaining environmental impacts (York et al. 2003a). </w:t>
      </w:r>
    </w:p>
    <w:p w:rsidR="00D41071" w:rsidRPr="001972F0" w:rsidRDefault="00D41071" w:rsidP="00D41071">
      <w:pPr>
        <w:spacing w:after="120"/>
        <w:ind w:left="709"/>
        <w:jc w:val="both"/>
        <w:rPr>
          <w:color w:val="000000"/>
        </w:rPr>
      </w:pPr>
      <w:r w:rsidRPr="001972F0">
        <w:rPr>
          <w:color w:val="000000"/>
        </w:rPr>
        <w:t xml:space="preserve">Against this background, empirical literature is reviewed on the urbanization-environment nexus. A pioneer study was conducted by Kraft and Kraft (1978), </w:t>
      </w:r>
      <w:r>
        <w:rPr>
          <w:color w:val="000000"/>
        </w:rPr>
        <w:t xml:space="preserve">while examining the nexus </w:t>
      </w:r>
      <w:r w:rsidRPr="001972F0">
        <w:rPr>
          <w:color w:val="000000"/>
        </w:rPr>
        <w:t>between economic growth and the environment. Following this study, several researchers have analyzed the relationship between population growth, urbanization, energy consumption, economic growth/development and CO</w:t>
      </w:r>
      <w:r w:rsidRPr="001972F0">
        <w:rPr>
          <w:color w:val="000000"/>
          <w:vertAlign w:val="subscript"/>
        </w:rPr>
        <w:t>2</w:t>
      </w:r>
      <w:r w:rsidRPr="001972F0">
        <w:rPr>
          <w:color w:val="000000"/>
        </w:rPr>
        <w:t xml:space="preserve"> emissions. Summary information about literature evidence is presented in Table 1.</w:t>
      </w:r>
    </w:p>
    <w:p w:rsidR="00D41071" w:rsidRPr="0046702F" w:rsidRDefault="00D41071" w:rsidP="00D41071">
      <w:pPr>
        <w:spacing w:after="120"/>
        <w:ind w:left="709"/>
        <w:jc w:val="both"/>
        <w:rPr>
          <w:b/>
          <w:color w:val="000000"/>
        </w:rPr>
      </w:pPr>
      <w:r w:rsidRPr="0046702F">
        <w:rPr>
          <w:b/>
          <w:color w:val="000000"/>
        </w:rPr>
        <w:t>Table 1. Summary of Empirical Literature</w:t>
      </w:r>
    </w:p>
    <w:tbl>
      <w:tblP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164"/>
        <w:gridCol w:w="1534"/>
        <w:gridCol w:w="1534"/>
        <w:gridCol w:w="1764"/>
        <w:gridCol w:w="1744"/>
      </w:tblGrid>
      <w:tr w:rsidR="00D41071" w:rsidRPr="001972F0" w:rsidTr="00160038">
        <w:trPr>
          <w:trHeight w:val="805"/>
        </w:trPr>
        <w:tc>
          <w:tcPr>
            <w:tcW w:w="1624" w:type="dxa"/>
            <w:shd w:val="clear" w:color="auto" w:fill="auto"/>
          </w:tcPr>
          <w:p w:rsidR="00D41071" w:rsidRPr="001972F0" w:rsidRDefault="00D41071" w:rsidP="00160038">
            <w:pPr>
              <w:spacing w:after="120"/>
              <w:jc w:val="center"/>
              <w:rPr>
                <w:color w:val="000000"/>
              </w:rPr>
            </w:pPr>
            <w:r w:rsidRPr="001972F0">
              <w:rPr>
                <w:color w:val="000000"/>
              </w:rPr>
              <w:t>Author/s</w:t>
            </w:r>
          </w:p>
        </w:tc>
        <w:tc>
          <w:tcPr>
            <w:tcW w:w="1164" w:type="dxa"/>
            <w:shd w:val="clear" w:color="auto" w:fill="auto"/>
          </w:tcPr>
          <w:p w:rsidR="00D41071" w:rsidRPr="001972F0" w:rsidRDefault="00D41071" w:rsidP="00160038">
            <w:pPr>
              <w:spacing w:after="120"/>
              <w:jc w:val="center"/>
              <w:rPr>
                <w:color w:val="000000"/>
              </w:rPr>
            </w:pPr>
            <w:r w:rsidRPr="001972F0">
              <w:rPr>
                <w:color w:val="000000"/>
              </w:rPr>
              <w:t>Period of Study</w:t>
            </w:r>
          </w:p>
        </w:tc>
        <w:tc>
          <w:tcPr>
            <w:tcW w:w="1534" w:type="dxa"/>
            <w:shd w:val="clear" w:color="auto" w:fill="auto"/>
          </w:tcPr>
          <w:p w:rsidR="00D41071" w:rsidRPr="001972F0" w:rsidRDefault="00D41071" w:rsidP="00160038">
            <w:pPr>
              <w:spacing w:after="120"/>
              <w:jc w:val="center"/>
              <w:rPr>
                <w:color w:val="000000"/>
              </w:rPr>
            </w:pPr>
            <w:r w:rsidRPr="001972F0">
              <w:rPr>
                <w:color w:val="000000"/>
              </w:rPr>
              <w:t>Country studied</w:t>
            </w:r>
          </w:p>
        </w:tc>
        <w:tc>
          <w:tcPr>
            <w:tcW w:w="1534" w:type="dxa"/>
            <w:shd w:val="clear" w:color="auto" w:fill="auto"/>
          </w:tcPr>
          <w:p w:rsidR="00D41071" w:rsidRPr="001972F0" w:rsidRDefault="00D41071" w:rsidP="00160038">
            <w:pPr>
              <w:spacing w:after="120"/>
              <w:jc w:val="center"/>
              <w:rPr>
                <w:color w:val="000000"/>
              </w:rPr>
            </w:pPr>
            <w:r w:rsidRPr="001972F0">
              <w:rPr>
                <w:color w:val="000000"/>
              </w:rPr>
              <w:t>Method</w:t>
            </w:r>
          </w:p>
        </w:tc>
        <w:tc>
          <w:tcPr>
            <w:tcW w:w="1764" w:type="dxa"/>
            <w:shd w:val="clear" w:color="auto" w:fill="auto"/>
          </w:tcPr>
          <w:p w:rsidR="00D41071" w:rsidRPr="001972F0" w:rsidRDefault="00D41071" w:rsidP="00160038">
            <w:pPr>
              <w:spacing w:after="120"/>
              <w:jc w:val="center"/>
              <w:rPr>
                <w:color w:val="000000"/>
              </w:rPr>
            </w:pPr>
            <w:r w:rsidRPr="001972F0">
              <w:rPr>
                <w:color w:val="000000"/>
              </w:rPr>
              <w:t>Environmental Indicator</w:t>
            </w:r>
          </w:p>
        </w:tc>
        <w:tc>
          <w:tcPr>
            <w:tcW w:w="1744" w:type="dxa"/>
            <w:shd w:val="clear" w:color="auto" w:fill="auto"/>
          </w:tcPr>
          <w:p w:rsidR="00D41071" w:rsidRPr="001972F0" w:rsidRDefault="00D41071" w:rsidP="00160038">
            <w:pPr>
              <w:spacing w:after="120"/>
              <w:jc w:val="center"/>
              <w:rPr>
                <w:color w:val="000000"/>
              </w:rPr>
            </w:pPr>
            <w:r w:rsidRPr="001972F0">
              <w:rPr>
                <w:color w:val="000000"/>
              </w:rPr>
              <w:t>Result</w:t>
            </w:r>
          </w:p>
        </w:tc>
      </w:tr>
      <w:tr w:rsidR="00D41071" w:rsidRPr="001972F0" w:rsidTr="00160038">
        <w:trPr>
          <w:trHeight w:val="1611"/>
        </w:trPr>
        <w:tc>
          <w:tcPr>
            <w:tcW w:w="1624" w:type="dxa"/>
            <w:shd w:val="clear" w:color="auto" w:fill="auto"/>
          </w:tcPr>
          <w:p w:rsidR="00D41071" w:rsidRPr="001972F0" w:rsidRDefault="00D41071" w:rsidP="00160038">
            <w:pPr>
              <w:spacing w:after="120"/>
              <w:jc w:val="both"/>
              <w:rPr>
                <w:color w:val="000000"/>
              </w:rPr>
            </w:pPr>
            <w:r w:rsidRPr="001972F0">
              <w:rPr>
                <w:color w:val="000000"/>
              </w:rPr>
              <w:t>Enjema et al(2020)</w:t>
            </w:r>
          </w:p>
        </w:tc>
        <w:tc>
          <w:tcPr>
            <w:tcW w:w="1164" w:type="dxa"/>
            <w:shd w:val="clear" w:color="auto" w:fill="auto"/>
          </w:tcPr>
          <w:p w:rsidR="00D41071" w:rsidRPr="001972F0" w:rsidRDefault="00D41071" w:rsidP="00160038">
            <w:pPr>
              <w:spacing w:after="120"/>
              <w:jc w:val="both"/>
              <w:rPr>
                <w:color w:val="000000"/>
              </w:rPr>
            </w:pPr>
            <w:r w:rsidRPr="001972F0">
              <w:rPr>
                <w:color w:val="000000"/>
              </w:rPr>
              <w:t>1991-2018</w:t>
            </w:r>
          </w:p>
        </w:tc>
        <w:tc>
          <w:tcPr>
            <w:tcW w:w="1534" w:type="dxa"/>
            <w:shd w:val="clear" w:color="auto" w:fill="auto"/>
          </w:tcPr>
          <w:p w:rsidR="00D41071" w:rsidRPr="001972F0" w:rsidRDefault="00D41071" w:rsidP="00160038">
            <w:pPr>
              <w:spacing w:after="120"/>
              <w:jc w:val="both"/>
              <w:rPr>
                <w:color w:val="000000"/>
              </w:rPr>
            </w:pPr>
            <w:r w:rsidRPr="001972F0">
              <w:rPr>
                <w:color w:val="000000"/>
              </w:rPr>
              <w:t>Cameroon</w:t>
            </w:r>
          </w:p>
        </w:tc>
        <w:tc>
          <w:tcPr>
            <w:tcW w:w="1534" w:type="dxa"/>
            <w:shd w:val="clear" w:color="auto" w:fill="auto"/>
          </w:tcPr>
          <w:p w:rsidR="00D41071" w:rsidRPr="001972F0" w:rsidRDefault="00D41071" w:rsidP="00160038">
            <w:pPr>
              <w:spacing w:after="120"/>
              <w:jc w:val="both"/>
              <w:rPr>
                <w:color w:val="000000"/>
              </w:rPr>
            </w:pPr>
            <w:r w:rsidRPr="001972F0">
              <w:rPr>
                <w:color w:val="000000"/>
              </w:rPr>
              <w:t>Principal Component Analysis and ARDL</w:t>
            </w:r>
          </w:p>
        </w:tc>
        <w:tc>
          <w:tcPr>
            <w:tcW w:w="1764" w:type="dxa"/>
            <w:shd w:val="clear" w:color="auto" w:fill="auto"/>
          </w:tcPr>
          <w:p w:rsidR="00D41071" w:rsidRPr="001972F0" w:rsidRDefault="00D41071" w:rsidP="00160038">
            <w:pPr>
              <w:spacing w:after="120"/>
              <w:jc w:val="both"/>
              <w:rPr>
                <w:color w:val="000000"/>
              </w:rPr>
            </w:pPr>
            <w:r w:rsidRPr="001972F0">
              <w:rPr>
                <w:color w:val="000000"/>
              </w:rPr>
              <w:t>NO2, Forest area and fertility rate</w:t>
            </w:r>
          </w:p>
        </w:tc>
        <w:tc>
          <w:tcPr>
            <w:tcW w:w="1744" w:type="dxa"/>
            <w:shd w:val="clear" w:color="auto" w:fill="auto"/>
          </w:tcPr>
          <w:p w:rsidR="00D41071" w:rsidRPr="001972F0" w:rsidRDefault="00D41071" w:rsidP="00160038">
            <w:pPr>
              <w:spacing w:after="120"/>
              <w:jc w:val="both"/>
              <w:rPr>
                <w:color w:val="000000"/>
              </w:rPr>
            </w:pPr>
            <w:r w:rsidRPr="001972F0">
              <w:rPr>
                <w:color w:val="000000"/>
              </w:rPr>
              <w:t>Positive</w:t>
            </w:r>
          </w:p>
        </w:tc>
      </w:tr>
      <w:tr w:rsidR="00D41071" w:rsidRPr="001972F0" w:rsidTr="00160038">
        <w:trPr>
          <w:trHeight w:val="1611"/>
        </w:trPr>
        <w:tc>
          <w:tcPr>
            <w:tcW w:w="1624" w:type="dxa"/>
            <w:shd w:val="clear" w:color="auto" w:fill="auto"/>
          </w:tcPr>
          <w:p w:rsidR="00D41071" w:rsidRPr="001972F0" w:rsidRDefault="00D41071" w:rsidP="00160038">
            <w:pPr>
              <w:spacing w:after="120"/>
              <w:jc w:val="both"/>
              <w:rPr>
                <w:color w:val="000000"/>
              </w:rPr>
            </w:pPr>
            <w:r w:rsidRPr="001972F0">
              <w:rPr>
                <w:color w:val="000000"/>
              </w:rPr>
              <w:lastRenderedPageBreak/>
              <w:t>Azama and Khan (2015)</w:t>
            </w:r>
          </w:p>
        </w:tc>
        <w:tc>
          <w:tcPr>
            <w:tcW w:w="1164" w:type="dxa"/>
            <w:shd w:val="clear" w:color="auto" w:fill="auto"/>
          </w:tcPr>
          <w:p w:rsidR="00D41071" w:rsidRPr="001972F0" w:rsidRDefault="00D41071" w:rsidP="00160038">
            <w:pPr>
              <w:spacing w:after="120"/>
              <w:jc w:val="both"/>
              <w:rPr>
                <w:color w:val="000000"/>
              </w:rPr>
            </w:pPr>
            <w:r w:rsidRPr="001972F0">
              <w:rPr>
                <w:color w:val="000000"/>
              </w:rPr>
              <w:t>1982-2013</w:t>
            </w:r>
          </w:p>
        </w:tc>
        <w:tc>
          <w:tcPr>
            <w:tcW w:w="1534" w:type="dxa"/>
            <w:shd w:val="clear" w:color="auto" w:fill="auto"/>
          </w:tcPr>
          <w:p w:rsidR="00D41071" w:rsidRPr="001972F0" w:rsidRDefault="00D41071" w:rsidP="00160038">
            <w:pPr>
              <w:spacing w:after="120"/>
              <w:jc w:val="both"/>
              <w:rPr>
                <w:color w:val="000000"/>
              </w:rPr>
            </w:pPr>
            <w:r w:rsidRPr="001972F0">
              <w:rPr>
                <w:color w:val="000000"/>
              </w:rPr>
              <w:t>India</w:t>
            </w:r>
          </w:p>
          <w:p w:rsidR="00D41071" w:rsidRPr="001972F0" w:rsidRDefault="00D41071" w:rsidP="00160038">
            <w:pPr>
              <w:spacing w:after="120"/>
              <w:jc w:val="both"/>
              <w:rPr>
                <w:color w:val="000000"/>
              </w:rPr>
            </w:pPr>
            <w:r w:rsidRPr="001972F0">
              <w:rPr>
                <w:color w:val="000000"/>
              </w:rPr>
              <w:t>Sri Lanka</w:t>
            </w:r>
          </w:p>
          <w:p w:rsidR="00D41071" w:rsidRPr="001972F0" w:rsidRDefault="00D41071" w:rsidP="00160038">
            <w:pPr>
              <w:spacing w:after="120"/>
              <w:jc w:val="both"/>
              <w:rPr>
                <w:color w:val="000000"/>
              </w:rPr>
            </w:pPr>
            <w:r w:rsidRPr="001972F0">
              <w:rPr>
                <w:color w:val="000000"/>
              </w:rPr>
              <w:t>Bangladesh</w:t>
            </w:r>
          </w:p>
          <w:p w:rsidR="00D41071" w:rsidRPr="001972F0" w:rsidRDefault="00D41071" w:rsidP="00160038">
            <w:pPr>
              <w:spacing w:after="120"/>
              <w:jc w:val="both"/>
              <w:rPr>
                <w:color w:val="000000"/>
              </w:rPr>
            </w:pPr>
            <w:r w:rsidRPr="001972F0">
              <w:rPr>
                <w:color w:val="000000"/>
              </w:rPr>
              <w:t>Pakistan</w:t>
            </w:r>
          </w:p>
        </w:tc>
        <w:tc>
          <w:tcPr>
            <w:tcW w:w="1534" w:type="dxa"/>
            <w:shd w:val="clear" w:color="auto" w:fill="auto"/>
          </w:tcPr>
          <w:p w:rsidR="00D41071" w:rsidRPr="001972F0" w:rsidRDefault="00D41071" w:rsidP="00160038">
            <w:pPr>
              <w:spacing w:after="120"/>
              <w:jc w:val="both"/>
              <w:rPr>
                <w:color w:val="000000"/>
              </w:rPr>
            </w:pPr>
            <w:r w:rsidRPr="001972F0">
              <w:rPr>
                <w:color w:val="000000"/>
              </w:rPr>
              <w:t>Least Square</w:t>
            </w:r>
          </w:p>
        </w:tc>
        <w:tc>
          <w:tcPr>
            <w:tcW w:w="1764" w:type="dxa"/>
            <w:shd w:val="clear" w:color="auto" w:fill="auto"/>
          </w:tcPr>
          <w:p w:rsidR="00D41071" w:rsidRPr="001972F0" w:rsidRDefault="00D41071" w:rsidP="00160038">
            <w:pPr>
              <w:spacing w:after="120"/>
              <w:jc w:val="both"/>
              <w:rPr>
                <w:color w:val="000000"/>
              </w:rPr>
            </w:pPr>
            <w:r w:rsidRPr="001972F0">
              <w:rPr>
                <w:color w:val="000000"/>
              </w:rPr>
              <w:t>CO2</w:t>
            </w:r>
          </w:p>
        </w:tc>
        <w:tc>
          <w:tcPr>
            <w:tcW w:w="1744" w:type="dxa"/>
            <w:shd w:val="clear" w:color="auto" w:fill="auto"/>
          </w:tcPr>
          <w:p w:rsidR="00D41071" w:rsidRPr="001972F0" w:rsidRDefault="00D41071" w:rsidP="00160038">
            <w:pPr>
              <w:spacing w:after="120"/>
              <w:jc w:val="both"/>
              <w:rPr>
                <w:color w:val="000000"/>
              </w:rPr>
            </w:pPr>
            <w:r w:rsidRPr="001972F0">
              <w:rPr>
                <w:color w:val="000000"/>
              </w:rPr>
              <w:t>Negative</w:t>
            </w:r>
          </w:p>
          <w:p w:rsidR="00D41071" w:rsidRPr="001972F0" w:rsidRDefault="00D41071" w:rsidP="00160038">
            <w:pPr>
              <w:spacing w:after="120"/>
              <w:jc w:val="both"/>
              <w:rPr>
                <w:color w:val="000000"/>
              </w:rPr>
            </w:pPr>
            <w:r w:rsidRPr="001972F0">
              <w:rPr>
                <w:color w:val="000000"/>
              </w:rPr>
              <w:t>Positive</w:t>
            </w:r>
          </w:p>
          <w:p w:rsidR="00D41071" w:rsidRPr="001972F0" w:rsidRDefault="00D41071" w:rsidP="00160038">
            <w:pPr>
              <w:spacing w:after="120"/>
              <w:jc w:val="both"/>
              <w:rPr>
                <w:color w:val="000000"/>
              </w:rPr>
            </w:pPr>
            <w:r w:rsidRPr="001972F0">
              <w:rPr>
                <w:color w:val="000000"/>
              </w:rPr>
              <w:t>Negative</w:t>
            </w:r>
          </w:p>
          <w:p w:rsidR="00D41071" w:rsidRPr="001972F0" w:rsidRDefault="00D41071" w:rsidP="00160038">
            <w:pPr>
              <w:spacing w:after="120"/>
              <w:jc w:val="both"/>
              <w:rPr>
                <w:color w:val="000000"/>
              </w:rPr>
            </w:pPr>
            <w:r w:rsidRPr="001972F0">
              <w:rPr>
                <w:color w:val="000000"/>
              </w:rPr>
              <w:t>Positive</w:t>
            </w:r>
          </w:p>
        </w:tc>
      </w:tr>
      <w:tr w:rsidR="00D41071" w:rsidRPr="001972F0" w:rsidTr="00160038">
        <w:trPr>
          <w:trHeight w:val="1208"/>
        </w:trPr>
        <w:tc>
          <w:tcPr>
            <w:tcW w:w="1624" w:type="dxa"/>
            <w:shd w:val="clear" w:color="auto" w:fill="auto"/>
          </w:tcPr>
          <w:p w:rsidR="00D41071" w:rsidRPr="001972F0" w:rsidRDefault="00D41071" w:rsidP="00160038">
            <w:pPr>
              <w:spacing w:after="120"/>
              <w:jc w:val="both"/>
              <w:rPr>
                <w:color w:val="000000"/>
              </w:rPr>
            </w:pPr>
            <w:r w:rsidRPr="001972F0">
              <w:rPr>
                <w:color w:val="000000"/>
              </w:rPr>
              <w:t>Effiong (2016)</w:t>
            </w:r>
          </w:p>
        </w:tc>
        <w:tc>
          <w:tcPr>
            <w:tcW w:w="1164" w:type="dxa"/>
            <w:shd w:val="clear" w:color="auto" w:fill="auto"/>
          </w:tcPr>
          <w:p w:rsidR="00D41071" w:rsidRPr="001972F0" w:rsidRDefault="00D41071" w:rsidP="00160038">
            <w:pPr>
              <w:spacing w:after="120"/>
              <w:jc w:val="both"/>
              <w:rPr>
                <w:color w:val="000000"/>
              </w:rPr>
            </w:pPr>
            <w:r w:rsidRPr="001972F0">
              <w:rPr>
                <w:color w:val="000000"/>
              </w:rPr>
              <w:t>1990-2010</w:t>
            </w:r>
          </w:p>
        </w:tc>
        <w:tc>
          <w:tcPr>
            <w:tcW w:w="1534" w:type="dxa"/>
            <w:shd w:val="clear" w:color="auto" w:fill="auto"/>
          </w:tcPr>
          <w:p w:rsidR="00D41071" w:rsidRPr="001972F0" w:rsidRDefault="00D41071" w:rsidP="00160038">
            <w:pPr>
              <w:spacing w:after="120"/>
              <w:jc w:val="both"/>
              <w:rPr>
                <w:color w:val="000000"/>
              </w:rPr>
            </w:pPr>
            <w:r w:rsidRPr="001972F0">
              <w:rPr>
                <w:color w:val="000000"/>
              </w:rPr>
              <w:t>49 African countries</w:t>
            </w:r>
          </w:p>
        </w:tc>
        <w:tc>
          <w:tcPr>
            <w:tcW w:w="1534" w:type="dxa"/>
            <w:shd w:val="clear" w:color="auto" w:fill="auto"/>
          </w:tcPr>
          <w:p w:rsidR="00D41071" w:rsidRPr="001972F0" w:rsidRDefault="00D41071" w:rsidP="00160038">
            <w:pPr>
              <w:spacing w:after="120"/>
              <w:jc w:val="both"/>
              <w:rPr>
                <w:color w:val="000000"/>
              </w:rPr>
            </w:pPr>
            <w:r w:rsidRPr="001972F0">
              <w:rPr>
                <w:color w:val="000000"/>
              </w:rPr>
              <w:t>Panel fixed effect regression</w:t>
            </w:r>
          </w:p>
        </w:tc>
        <w:tc>
          <w:tcPr>
            <w:tcW w:w="1764" w:type="dxa"/>
            <w:shd w:val="clear" w:color="auto" w:fill="auto"/>
          </w:tcPr>
          <w:p w:rsidR="00D41071" w:rsidRPr="001972F0" w:rsidRDefault="00D41071" w:rsidP="00160038">
            <w:pPr>
              <w:spacing w:after="120"/>
              <w:jc w:val="both"/>
              <w:rPr>
                <w:color w:val="000000"/>
              </w:rPr>
            </w:pPr>
            <w:r w:rsidRPr="001972F0">
              <w:rPr>
                <w:color w:val="000000"/>
              </w:rPr>
              <w:t>CO2</w:t>
            </w:r>
          </w:p>
        </w:tc>
        <w:tc>
          <w:tcPr>
            <w:tcW w:w="1744" w:type="dxa"/>
            <w:shd w:val="clear" w:color="auto" w:fill="auto"/>
          </w:tcPr>
          <w:p w:rsidR="00D41071" w:rsidRPr="001972F0" w:rsidRDefault="00D41071" w:rsidP="00160038">
            <w:pPr>
              <w:spacing w:after="120"/>
              <w:jc w:val="both"/>
              <w:rPr>
                <w:color w:val="000000"/>
              </w:rPr>
            </w:pPr>
            <w:r w:rsidRPr="001972F0">
              <w:rPr>
                <w:color w:val="000000"/>
              </w:rPr>
              <w:t>Negative</w:t>
            </w:r>
          </w:p>
        </w:tc>
      </w:tr>
      <w:tr w:rsidR="00D41071" w:rsidRPr="001972F0" w:rsidTr="00160038">
        <w:trPr>
          <w:trHeight w:val="1208"/>
        </w:trPr>
        <w:tc>
          <w:tcPr>
            <w:tcW w:w="1624" w:type="dxa"/>
            <w:shd w:val="clear" w:color="auto" w:fill="auto"/>
          </w:tcPr>
          <w:p w:rsidR="00D41071" w:rsidRPr="001972F0" w:rsidRDefault="00D41071" w:rsidP="00160038">
            <w:pPr>
              <w:spacing w:after="120"/>
              <w:jc w:val="both"/>
              <w:rPr>
                <w:color w:val="000000"/>
              </w:rPr>
            </w:pPr>
            <w:r w:rsidRPr="001972F0">
              <w:rPr>
                <w:color w:val="000000"/>
              </w:rPr>
              <w:t>Salim and Shafiei (2017)</w:t>
            </w:r>
          </w:p>
        </w:tc>
        <w:tc>
          <w:tcPr>
            <w:tcW w:w="1164" w:type="dxa"/>
            <w:shd w:val="clear" w:color="auto" w:fill="auto"/>
          </w:tcPr>
          <w:p w:rsidR="00D41071" w:rsidRPr="001972F0" w:rsidRDefault="00D41071" w:rsidP="00160038">
            <w:pPr>
              <w:spacing w:after="120"/>
              <w:jc w:val="both"/>
              <w:rPr>
                <w:color w:val="000000"/>
              </w:rPr>
            </w:pPr>
            <w:r w:rsidRPr="001972F0">
              <w:rPr>
                <w:color w:val="000000"/>
              </w:rPr>
              <w:t>1980-2010</w:t>
            </w:r>
          </w:p>
        </w:tc>
        <w:tc>
          <w:tcPr>
            <w:tcW w:w="1534" w:type="dxa"/>
            <w:shd w:val="clear" w:color="auto" w:fill="auto"/>
          </w:tcPr>
          <w:p w:rsidR="00D41071" w:rsidRPr="001972F0" w:rsidRDefault="00D41071" w:rsidP="00160038">
            <w:pPr>
              <w:spacing w:after="120"/>
              <w:jc w:val="both"/>
              <w:rPr>
                <w:color w:val="000000"/>
              </w:rPr>
            </w:pPr>
            <w:r w:rsidRPr="001972F0">
              <w:rPr>
                <w:color w:val="000000"/>
              </w:rPr>
              <w:t>Asian countries</w:t>
            </w:r>
          </w:p>
        </w:tc>
        <w:tc>
          <w:tcPr>
            <w:tcW w:w="1534" w:type="dxa"/>
            <w:shd w:val="clear" w:color="auto" w:fill="auto"/>
          </w:tcPr>
          <w:p w:rsidR="00D41071" w:rsidRPr="001972F0" w:rsidRDefault="00D41071" w:rsidP="00160038">
            <w:pPr>
              <w:spacing w:after="120"/>
              <w:jc w:val="both"/>
              <w:rPr>
                <w:color w:val="000000"/>
              </w:rPr>
            </w:pPr>
            <w:r w:rsidRPr="001972F0">
              <w:rPr>
                <w:color w:val="000000"/>
              </w:rPr>
              <w:t>ARDL</w:t>
            </w:r>
          </w:p>
        </w:tc>
        <w:tc>
          <w:tcPr>
            <w:tcW w:w="1764" w:type="dxa"/>
            <w:shd w:val="clear" w:color="auto" w:fill="auto"/>
          </w:tcPr>
          <w:p w:rsidR="00D41071" w:rsidRPr="001972F0" w:rsidRDefault="00D41071" w:rsidP="00160038">
            <w:pPr>
              <w:spacing w:after="120"/>
              <w:jc w:val="both"/>
              <w:rPr>
                <w:color w:val="000000"/>
              </w:rPr>
            </w:pPr>
            <w:r w:rsidRPr="001972F0">
              <w:rPr>
                <w:color w:val="000000"/>
              </w:rPr>
              <w:t>Pollutant emissions</w:t>
            </w:r>
          </w:p>
        </w:tc>
        <w:tc>
          <w:tcPr>
            <w:tcW w:w="1744" w:type="dxa"/>
            <w:shd w:val="clear" w:color="auto" w:fill="auto"/>
          </w:tcPr>
          <w:p w:rsidR="00D41071" w:rsidRPr="001972F0" w:rsidRDefault="00D41071" w:rsidP="00160038">
            <w:pPr>
              <w:spacing w:after="120"/>
              <w:jc w:val="both"/>
              <w:rPr>
                <w:color w:val="000000"/>
              </w:rPr>
            </w:pPr>
            <w:r w:rsidRPr="001972F0">
              <w:rPr>
                <w:color w:val="000000"/>
              </w:rPr>
              <w:t>Negative</w:t>
            </w:r>
          </w:p>
        </w:tc>
      </w:tr>
      <w:tr w:rsidR="00D41071" w:rsidRPr="001972F0" w:rsidTr="00160038">
        <w:trPr>
          <w:trHeight w:val="805"/>
        </w:trPr>
        <w:tc>
          <w:tcPr>
            <w:tcW w:w="1624" w:type="dxa"/>
            <w:shd w:val="clear" w:color="auto" w:fill="auto"/>
          </w:tcPr>
          <w:p w:rsidR="00D41071" w:rsidRPr="001972F0" w:rsidRDefault="00D41071" w:rsidP="00160038">
            <w:pPr>
              <w:spacing w:after="120"/>
              <w:jc w:val="both"/>
              <w:rPr>
                <w:color w:val="000000"/>
              </w:rPr>
            </w:pPr>
            <w:r w:rsidRPr="001972F0">
              <w:rPr>
                <w:color w:val="000000"/>
              </w:rPr>
              <w:t>Shaheen et al (2018)</w:t>
            </w:r>
          </w:p>
        </w:tc>
        <w:tc>
          <w:tcPr>
            <w:tcW w:w="1164" w:type="dxa"/>
            <w:shd w:val="clear" w:color="auto" w:fill="auto"/>
          </w:tcPr>
          <w:p w:rsidR="00D41071" w:rsidRPr="001972F0" w:rsidRDefault="00D41071" w:rsidP="00160038">
            <w:pPr>
              <w:spacing w:after="120"/>
              <w:jc w:val="both"/>
              <w:rPr>
                <w:color w:val="000000"/>
              </w:rPr>
            </w:pPr>
            <w:r w:rsidRPr="001972F0">
              <w:rPr>
                <w:color w:val="000000"/>
              </w:rPr>
              <w:t>1972-2014</w:t>
            </w:r>
          </w:p>
        </w:tc>
        <w:tc>
          <w:tcPr>
            <w:tcW w:w="1534" w:type="dxa"/>
            <w:shd w:val="clear" w:color="auto" w:fill="auto"/>
          </w:tcPr>
          <w:p w:rsidR="00D41071" w:rsidRPr="001972F0" w:rsidRDefault="00D41071" w:rsidP="00160038">
            <w:pPr>
              <w:spacing w:after="120"/>
              <w:jc w:val="both"/>
              <w:rPr>
                <w:color w:val="000000"/>
              </w:rPr>
            </w:pPr>
            <w:r w:rsidRPr="001972F0">
              <w:rPr>
                <w:color w:val="000000"/>
              </w:rPr>
              <w:t>Pakistan</w:t>
            </w:r>
          </w:p>
        </w:tc>
        <w:tc>
          <w:tcPr>
            <w:tcW w:w="1534" w:type="dxa"/>
            <w:shd w:val="clear" w:color="auto" w:fill="auto"/>
          </w:tcPr>
          <w:p w:rsidR="00D41071" w:rsidRPr="001972F0" w:rsidRDefault="00D41071" w:rsidP="00160038">
            <w:pPr>
              <w:spacing w:after="120"/>
              <w:jc w:val="both"/>
              <w:rPr>
                <w:color w:val="000000"/>
              </w:rPr>
            </w:pPr>
            <w:r w:rsidRPr="001972F0">
              <w:rPr>
                <w:color w:val="000000"/>
              </w:rPr>
              <w:t>ARDL</w:t>
            </w:r>
          </w:p>
        </w:tc>
        <w:tc>
          <w:tcPr>
            <w:tcW w:w="1764" w:type="dxa"/>
            <w:shd w:val="clear" w:color="auto" w:fill="auto"/>
          </w:tcPr>
          <w:p w:rsidR="00D41071" w:rsidRPr="001972F0" w:rsidRDefault="00D41071" w:rsidP="00160038">
            <w:pPr>
              <w:spacing w:after="120"/>
              <w:jc w:val="both"/>
              <w:rPr>
                <w:color w:val="000000"/>
              </w:rPr>
            </w:pPr>
            <w:r w:rsidRPr="001972F0">
              <w:rPr>
                <w:color w:val="000000"/>
              </w:rPr>
              <w:t>Co2</w:t>
            </w:r>
          </w:p>
        </w:tc>
        <w:tc>
          <w:tcPr>
            <w:tcW w:w="1744" w:type="dxa"/>
            <w:shd w:val="clear" w:color="auto" w:fill="auto"/>
          </w:tcPr>
          <w:p w:rsidR="00D41071" w:rsidRPr="001972F0" w:rsidRDefault="00D41071" w:rsidP="00160038">
            <w:pPr>
              <w:spacing w:after="120"/>
              <w:jc w:val="both"/>
              <w:rPr>
                <w:color w:val="000000"/>
              </w:rPr>
            </w:pPr>
            <w:r w:rsidRPr="001972F0">
              <w:rPr>
                <w:color w:val="000000"/>
              </w:rPr>
              <w:t>Negative</w:t>
            </w:r>
          </w:p>
        </w:tc>
      </w:tr>
      <w:tr w:rsidR="00D41071" w:rsidRPr="001972F0" w:rsidTr="00160038">
        <w:trPr>
          <w:trHeight w:val="805"/>
        </w:trPr>
        <w:tc>
          <w:tcPr>
            <w:tcW w:w="1624" w:type="dxa"/>
            <w:shd w:val="clear" w:color="auto" w:fill="auto"/>
          </w:tcPr>
          <w:p w:rsidR="00D41071" w:rsidRPr="001972F0" w:rsidRDefault="00D41071" w:rsidP="00160038">
            <w:pPr>
              <w:spacing w:after="120"/>
              <w:jc w:val="both"/>
              <w:rPr>
                <w:color w:val="000000"/>
              </w:rPr>
            </w:pPr>
            <w:r w:rsidRPr="001972F0">
              <w:rPr>
                <w:color w:val="000000"/>
              </w:rPr>
              <w:t>Gasimli et al (2019)</w:t>
            </w:r>
          </w:p>
        </w:tc>
        <w:tc>
          <w:tcPr>
            <w:tcW w:w="1164" w:type="dxa"/>
            <w:shd w:val="clear" w:color="auto" w:fill="auto"/>
          </w:tcPr>
          <w:p w:rsidR="00D41071" w:rsidRPr="001972F0" w:rsidRDefault="00D41071" w:rsidP="00160038">
            <w:pPr>
              <w:spacing w:after="120"/>
              <w:jc w:val="both"/>
              <w:rPr>
                <w:color w:val="000000"/>
              </w:rPr>
            </w:pPr>
          </w:p>
        </w:tc>
        <w:tc>
          <w:tcPr>
            <w:tcW w:w="1534" w:type="dxa"/>
            <w:shd w:val="clear" w:color="auto" w:fill="auto"/>
          </w:tcPr>
          <w:p w:rsidR="00D41071" w:rsidRPr="001972F0" w:rsidRDefault="00D41071" w:rsidP="00160038">
            <w:pPr>
              <w:spacing w:after="120"/>
              <w:jc w:val="both"/>
              <w:rPr>
                <w:color w:val="000000"/>
              </w:rPr>
            </w:pPr>
            <w:r w:rsidRPr="001972F0">
              <w:rPr>
                <w:color w:val="000000"/>
              </w:rPr>
              <w:t>Srilanka</w:t>
            </w:r>
          </w:p>
        </w:tc>
        <w:tc>
          <w:tcPr>
            <w:tcW w:w="1534" w:type="dxa"/>
            <w:shd w:val="clear" w:color="auto" w:fill="auto"/>
          </w:tcPr>
          <w:p w:rsidR="00D41071" w:rsidRPr="001972F0" w:rsidRDefault="00D41071" w:rsidP="00160038">
            <w:pPr>
              <w:spacing w:after="120"/>
              <w:jc w:val="both"/>
              <w:rPr>
                <w:color w:val="000000"/>
              </w:rPr>
            </w:pPr>
            <w:r w:rsidRPr="001972F0">
              <w:rPr>
                <w:color w:val="000000"/>
              </w:rPr>
              <w:t>ARDL</w:t>
            </w:r>
          </w:p>
        </w:tc>
        <w:tc>
          <w:tcPr>
            <w:tcW w:w="1764" w:type="dxa"/>
            <w:shd w:val="clear" w:color="auto" w:fill="auto"/>
          </w:tcPr>
          <w:p w:rsidR="00D41071" w:rsidRPr="001972F0" w:rsidRDefault="00D41071" w:rsidP="00160038">
            <w:pPr>
              <w:spacing w:after="120"/>
              <w:jc w:val="both"/>
              <w:rPr>
                <w:color w:val="000000"/>
              </w:rPr>
            </w:pPr>
            <w:r w:rsidRPr="001972F0">
              <w:rPr>
                <w:color w:val="000000"/>
              </w:rPr>
              <w:t>CO2</w:t>
            </w:r>
          </w:p>
        </w:tc>
        <w:tc>
          <w:tcPr>
            <w:tcW w:w="1744" w:type="dxa"/>
            <w:shd w:val="clear" w:color="auto" w:fill="auto"/>
          </w:tcPr>
          <w:p w:rsidR="00D41071" w:rsidRPr="001972F0" w:rsidRDefault="00D41071" w:rsidP="00160038">
            <w:pPr>
              <w:spacing w:after="120"/>
              <w:jc w:val="both"/>
              <w:rPr>
                <w:color w:val="000000"/>
              </w:rPr>
            </w:pPr>
            <w:r w:rsidRPr="001972F0">
              <w:rPr>
                <w:color w:val="000000"/>
              </w:rPr>
              <w:t>Negative</w:t>
            </w:r>
          </w:p>
        </w:tc>
      </w:tr>
      <w:tr w:rsidR="00D41071" w:rsidRPr="001972F0" w:rsidTr="00160038">
        <w:trPr>
          <w:trHeight w:val="805"/>
        </w:trPr>
        <w:tc>
          <w:tcPr>
            <w:tcW w:w="1624" w:type="dxa"/>
            <w:shd w:val="clear" w:color="auto" w:fill="auto"/>
          </w:tcPr>
          <w:p w:rsidR="00D41071" w:rsidRPr="001972F0" w:rsidRDefault="00D41071" w:rsidP="00160038">
            <w:pPr>
              <w:spacing w:after="120"/>
              <w:jc w:val="both"/>
              <w:rPr>
                <w:color w:val="000000"/>
              </w:rPr>
            </w:pPr>
            <w:r w:rsidRPr="001972F0">
              <w:rPr>
                <w:color w:val="000000"/>
              </w:rPr>
              <w:t>Ali et al (2016)</w:t>
            </w:r>
          </w:p>
        </w:tc>
        <w:tc>
          <w:tcPr>
            <w:tcW w:w="1164" w:type="dxa"/>
            <w:shd w:val="clear" w:color="auto" w:fill="auto"/>
          </w:tcPr>
          <w:p w:rsidR="00D41071" w:rsidRPr="001972F0" w:rsidRDefault="00D41071" w:rsidP="00160038">
            <w:pPr>
              <w:spacing w:after="120"/>
              <w:jc w:val="both"/>
              <w:rPr>
                <w:color w:val="000000"/>
              </w:rPr>
            </w:pPr>
            <w:r w:rsidRPr="001972F0">
              <w:rPr>
                <w:color w:val="000000"/>
              </w:rPr>
              <w:t>1971-2011</w:t>
            </w:r>
          </w:p>
        </w:tc>
        <w:tc>
          <w:tcPr>
            <w:tcW w:w="1534" w:type="dxa"/>
            <w:shd w:val="clear" w:color="auto" w:fill="auto"/>
          </w:tcPr>
          <w:p w:rsidR="00D41071" w:rsidRPr="001972F0" w:rsidRDefault="00D41071" w:rsidP="00160038">
            <w:pPr>
              <w:spacing w:after="120"/>
              <w:jc w:val="both"/>
              <w:rPr>
                <w:color w:val="000000"/>
              </w:rPr>
            </w:pPr>
            <w:r w:rsidRPr="001972F0">
              <w:rPr>
                <w:color w:val="000000"/>
              </w:rPr>
              <w:t>Nigeria</w:t>
            </w:r>
          </w:p>
        </w:tc>
        <w:tc>
          <w:tcPr>
            <w:tcW w:w="1534" w:type="dxa"/>
            <w:shd w:val="clear" w:color="auto" w:fill="auto"/>
          </w:tcPr>
          <w:p w:rsidR="00D41071" w:rsidRPr="001972F0" w:rsidRDefault="00D41071" w:rsidP="00160038">
            <w:pPr>
              <w:spacing w:after="120"/>
              <w:jc w:val="both"/>
              <w:rPr>
                <w:color w:val="000000"/>
              </w:rPr>
            </w:pPr>
            <w:r w:rsidRPr="001972F0">
              <w:rPr>
                <w:color w:val="000000"/>
              </w:rPr>
              <w:t>ARDL</w:t>
            </w:r>
          </w:p>
        </w:tc>
        <w:tc>
          <w:tcPr>
            <w:tcW w:w="1764" w:type="dxa"/>
            <w:shd w:val="clear" w:color="auto" w:fill="auto"/>
          </w:tcPr>
          <w:p w:rsidR="00D41071" w:rsidRPr="001972F0" w:rsidRDefault="00D41071" w:rsidP="00160038">
            <w:pPr>
              <w:spacing w:after="120"/>
              <w:jc w:val="both"/>
              <w:rPr>
                <w:color w:val="000000"/>
              </w:rPr>
            </w:pPr>
            <w:r w:rsidRPr="001972F0">
              <w:rPr>
                <w:color w:val="000000"/>
              </w:rPr>
              <w:t>CO2</w:t>
            </w:r>
          </w:p>
        </w:tc>
        <w:tc>
          <w:tcPr>
            <w:tcW w:w="1744" w:type="dxa"/>
            <w:shd w:val="clear" w:color="auto" w:fill="auto"/>
          </w:tcPr>
          <w:p w:rsidR="00D41071" w:rsidRPr="001972F0" w:rsidRDefault="00D41071" w:rsidP="00160038">
            <w:pPr>
              <w:spacing w:after="120"/>
              <w:jc w:val="both"/>
              <w:rPr>
                <w:color w:val="000000"/>
              </w:rPr>
            </w:pPr>
            <w:r w:rsidRPr="001972F0">
              <w:rPr>
                <w:color w:val="000000"/>
              </w:rPr>
              <w:t>Insignificantly positive</w:t>
            </w:r>
          </w:p>
        </w:tc>
      </w:tr>
      <w:tr w:rsidR="00D41071" w:rsidRPr="001972F0" w:rsidTr="00160038">
        <w:trPr>
          <w:trHeight w:val="1208"/>
        </w:trPr>
        <w:tc>
          <w:tcPr>
            <w:tcW w:w="1624" w:type="dxa"/>
            <w:shd w:val="clear" w:color="auto" w:fill="auto"/>
          </w:tcPr>
          <w:p w:rsidR="00D41071" w:rsidRPr="001972F0" w:rsidRDefault="00D41071" w:rsidP="00160038">
            <w:pPr>
              <w:spacing w:after="120"/>
              <w:jc w:val="both"/>
              <w:rPr>
                <w:color w:val="000000"/>
              </w:rPr>
            </w:pPr>
            <w:r w:rsidRPr="001972F0">
              <w:rPr>
                <w:color w:val="000000"/>
              </w:rPr>
              <w:t>Almulali and Ozturk (2015)</w:t>
            </w:r>
          </w:p>
        </w:tc>
        <w:tc>
          <w:tcPr>
            <w:tcW w:w="1164" w:type="dxa"/>
            <w:shd w:val="clear" w:color="auto" w:fill="auto"/>
          </w:tcPr>
          <w:p w:rsidR="00D41071" w:rsidRPr="001972F0" w:rsidRDefault="00D41071" w:rsidP="00160038">
            <w:pPr>
              <w:spacing w:after="120"/>
              <w:jc w:val="both"/>
              <w:rPr>
                <w:color w:val="000000"/>
              </w:rPr>
            </w:pPr>
            <w:r w:rsidRPr="001972F0">
              <w:rPr>
                <w:color w:val="000000"/>
              </w:rPr>
              <w:t>1996-2012</w:t>
            </w:r>
          </w:p>
        </w:tc>
        <w:tc>
          <w:tcPr>
            <w:tcW w:w="1534" w:type="dxa"/>
            <w:shd w:val="clear" w:color="auto" w:fill="auto"/>
          </w:tcPr>
          <w:p w:rsidR="00D41071" w:rsidRPr="001972F0" w:rsidRDefault="00D41071" w:rsidP="00160038">
            <w:pPr>
              <w:spacing w:after="120"/>
              <w:jc w:val="both"/>
              <w:rPr>
                <w:color w:val="000000"/>
              </w:rPr>
            </w:pPr>
            <w:r w:rsidRPr="001972F0">
              <w:rPr>
                <w:color w:val="000000"/>
              </w:rPr>
              <w:t>MENA Countries</w:t>
            </w:r>
          </w:p>
        </w:tc>
        <w:tc>
          <w:tcPr>
            <w:tcW w:w="1534" w:type="dxa"/>
            <w:shd w:val="clear" w:color="auto" w:fill="auto"/>
          </w:tcPr>
          <w:p w:rsidR="00D41071" w:rsidRPr="001972F0" w:rsidRDefault="00D41071" w:rsidP="00160038">
            <w:pPr>
              <w:spacing w:after="120"/>
              <w:jc w:val="both"/>
              <w:rPr>
                <w:color w:val="000000"/>
              </w:rPr>
            </w:pPr>
            <w:r w:rsidRPr="001972F0">
              <w:rPr>
                <w:color w:val="000000"/>
              </w:rPr>
              <w:t>FMOLS</w:t>
            </w:r>
          </w:p>
        </w:tc>
        <w:tc>
          <w:tcPr>
            <w:tcW w:w="1764" w:type="dxa"/>
            <w:shd w:val="clear" w:color="auto" w:fill="auto"/>
          </w:tcPr>
          <w:p w:rsidR="00D41071" w:rsidRPr="001972F0" w:rsidRDefault="00D41071" w:rsidP="00160038">
            <w:pPr>
              <w:spacing w:after="120"/>
              <w:jc w:val="both"/>
              <w:rPr>
                <w:color w:val="000000"/>
              </w:rPr>
            </w:pPr>
            <w:r w:rsidRPr="001972F0">
              <w:rPr>
                <w:color w:val="000000"/>
              </w:rPr>
              <w:t>EFP</w:t>
            </w:r>
          </w:p>
        </w:tc>
        <w:tc>
          <w:tcPr>
            <w:tcW w:w="1744" w:type="dxa"/>
            <w:shd w:val="clear" w:color="auto" w:fill="auto"/>
          </w:tcPr>
          <w:p w:rsidR="00D41071" w:rsidRPr="001972F0" w:rsidRDefault="00D41071" w:rsidP="00160038">
            <w:pPr>
              <w:spacing w:after="120"/>
              <w:jc w:val="both"/>
              <w:rPr>
                <w:color w:val="000000"/>
              </w:rPr>
            </w:pPr>
            <w:r w:rsidRPr="001972F0">
              <w:rPr>
                <w:color w:val="000000"/>
              </w:rPr>
              <w:t>Positive</w:t>
            </w:r>
          </w:p>
        </w:tc>
      </w:tr>
      <w:tr w:rsidR="00D41071" w:rsidRPr="001972F0" w:rsidTr="00160038">
        <w:trPr>
          <w:trHeight w:val="1208"/>
        </w:trPr>
        <w:tc>
          <w:tcPr>
            <w:tcW w:w="1624" w:type="dxa"/>
            <w:shd w:val="clear" w:color="auto" w:fill="auto"/>
          </w:tcPr>
          <w:p w:rsidR="00D41071" w:rsidRPr="001972F0" w:rsidRDefault="00D41071" w:rsidP="00160038">
            <w:pPr>
              <w:spacing w:after="120"/>
              <w:jc w:val="both"/>
              <w:rPr>
                <w:color w:val="000000"/>
              </w:rPr>
            </w:pPr>
            <w:r w:rsidRPr="001972F0">
              <w:rPr>
                <w:color w:val="000000"/>
              </w:rPr>
              <w:t>Richardson and Nnadi (2018)</w:t>
            </w:r>
          </w:p>
        </w:tc>
        <w:tc>
          <w:tcPr>
            <w:tcW w:w="1164" w:type="dxa"/>
            <w:shd w:val="clear" w:color="auto" w:fill="auto"/>
          </w:tcPr>
          <w:p w:rsidR="00D41071" w:rsidRPr="001972F0" w:rsidRDefault="00D41071" w:rsidP="00160038">
            <w:pPr>
              <w:spacing w:after="120"/>
              <w:jc w:val="both"/>
              <w:rPr>
                <w:color w:val="000000"/>
              </w:rPr>
            </w:pPr>
            <w:r w:rsidRPr="001972F0">
              <w:rPr>
                <w:color w:val="000000"/>
              </w:rPr>
              <w:t>1981-2017</w:t>
            </w:r>
          </w:p>
        </w:tc>
        <w:tc>
          <w:tcPr>
            <w:tcW w:w="1534" w:type="dxa"/>
            <w:shd w:val="clear" w:color="auto" w:fill="auto"/>
          </w:tcPr>
          <w:p w:rsidR="00D41071" w:rsidRPr="001972F0" w:rsidRDefault="00D41071" w:rsidP="00160038">
            <w:pPr>
              <w:spacing w:after="120"/>
              <w:jc w:val="both"/>
              <w:rPr>
                <w:color w:val="000000"/>
              </w:rPr>
            </w:pPr>
            <w:r w:rsidRPr="001972F0">
              <w:rPr>
                <w:color w:val="000000"/>
              </w:rPr>
              <w:t>Nigeria</w:t>
            </w:r>
          </w:p>
        </w:tc>
        <w:tc>
          <w:tcPr>
            <w:tcW w:w="1534" w:type="dxa"/>
            <w:shd w:val="clear" w:color="auto" w:fill="auto"/>
          </w:tcPr>
          <w:p w:rsidR="00D41071" w:rsidRPr="001972F0" w:rsidRDefault="00D41071" w:rsidP="00160038">
            <w:pPr>
              <w:spacing w:after="120"/>
              <w:jc w:val="both"/>
              <w:rPr>
                <w:color w:val="000000"/>
              </w:rPr>
            </w:pPr>
            <w:r w:rsidRPr="001972F0">
              <w:rPr>
                <w:color w:val="000000"/>
              </w:rPr>
              <w:t>ARDL</w:t>
            </w:r>
          </w:p>
        </w:tc>
        <w:tc>
          <w:tcPr>
            <w:tcW w:w="1764" w:type="dxa"/>
            <w:shd w:val="clear" w:color="auto" w:fill="auto"/>
          </w:tcPr>
          <w:p w:rsidR="00D41071" w:rsidRPr="001972F0" w:rsidRDefault="00D41071" w:rsidP="00160038">
            <w:pPr>
              <w:spacing w:after="120"/>
              <w:jc w:val="both"/>
              <w:rPr>
                <w:color w:val="000000"/>
              </w:rPr>
            </w:pPr>
            <w:r w:rsidRPr="001972F0">
              <w:rPr>
                <w:color w:val="000000"/>
              </w:rPr>
              <w:t>Renewable energy and forest reserves</w:t>
            </w:r>
          </w:p>
        </w:tc>
        <w:tc>
          <w:tcPr>
            <w:tcW w:w="1744" w:type="dxa"/>
            <w:shd w:val="clear" w:color="auto" w:fill="auto"/>
          </w:tcPr>
          <w:p w:rsidR="00D41071" w:rsidRPr="001972F0" w:rsidRDefault="00D41071" w:rsidP="00160038">
            <w:pPr>
              <w:spacing w:after="120"/>
              <w:jc w:val="both"/>
              <w:rPr>
                <w:color w:val="000000"/>
              </w:rPr>
            </w:pPr>
            <w:r w:rsidRPr="001972F0">
              <w:rPr>
                <w:color w:val="000000"/>
              </w:rPr>
              <w:t>Positive</w:t>
            </w:r>
          </w:p>
          <w:p w:rsidR="00D41071" w:rsidRPr="001972F0" w:rsidRDefault="00D41071" w:rsidP="00160038">
            <w:pPr>
              <w:spacing w:after="120"/>
              <w:jc w:val="both"/>
              <w:rPr>
                <w:color w:val="000000"/>
              </w:rPr>
            </w:pPr>
          </w:p>
          <w:p w:rsidR="00D41071" w:rsidRPr="001972F0" w:rsidRDefault="00D41071" w:rsidP="00160038">
            <w:pPr>
              <w:spacing w:after="120"/>
              <w:jc w:val="both"/>
              <w:rPr>
                <w:color w:val="000000"/>
              </w:rPr>
            </w:pPr>
            <w:r w:rsidRPr="001972F0">
              <w:rPr>
                <w:color w:val="000000"/>
              </w:rPr>
              <w:t>Negative</w:t>
            </w:r>
          </w:p>
        </w:tc>
      </w:tr>
      <w:tr w:rsidR="00D41071" w:rsidRPr="001972F0" w:rsidTr="00160038">
        <w:trPr>
          <w:trHeight w:val="1208"/>
        </w:trPr>
        <w:tc>
          <w:tcPr>
            <w:tcW w:w="1624" w:type="dxa"/>
            <w:shd w:val="clear" w:color="auto" w:fill="auto"/>
          </w:tcPr>
          <w:p w:rsidR="00D41071" w:rsidRPr="001972F0" w:rsidRDefault="00D41071" w:rsidP="00160038">
            <w:pPr>
              <w:spacing w:after="120"/>
              <w:jc w:val="both"/>
              <w:rPr>
                <w:color w:val="000000"/>
              </w:rPr>
            </w:pPr>
            <w:r w:rsidRPr="001972F0">
              <w:rPr>
                <w:color w:val="000000"/>
              </w:rPr>
              <w:t>Sulaiman and AbdulRahim (2018)</w:t>
            </w:r>
          </w:p>
        </w:tc>
        <w:tc>
          <w:tcPr>
            <w:tcW w:w="1164" w:type="dxa"/>
            <w:shd w:val="clear" w:color="auto" w:fill="auto"/>
          </w:tcPr>
          <w:p w:rsidR="00D41071" w:rsidRPr="001972F0" w:rsidRDefault="00D41071" w:rsidP="00160038">
            <w:pPr>
              <w:spacing w:after="120"/>
              <w:jc w:val="both"/>
              <w:rPr>
                <w:color w:val="000000"/>
              </w:rPr>
            </w:pPr>
            <w:r w:rsidRPr="001972F0">
              <w:rPr>
                <w:color w:val="000000"/>
              </w:rPr>
              <w:t>1971-2010</w:t>
            </w:r>
          </w:p>
        </w:tc>
        <w:tc>
          <w:tcPr>
            <w:tcW w:w="1534" w:type="dxa"/>
            <w:shd w:val="clear" w:color="auto" w:fill="auto"/>
          </w:tcPr>
          <w:p w:rsidR="00D41071" w:rsidRPr="001972F0" w:rsidRDefault="00D41071" w:rsidP="00160038">
            <w:pPr>
              <w:spacing w:after="120"/>
              <w:jc w:val="both"/>
              <w:rPr>
                <w:color w:val="000000"/>
              </w:rPr>
            </w:pPr>
            <w:r w:rsidRPr="001972F0">
              <w:rPr>
                <w:color w:val="000000"/>
              </w:rPr>
              <w:t>Nigeria</w:t>
            </w:r>
          </w:p>
        </w:tc>
        <w:tc>
          <w:tcPr>
            <w:tcW w:w="1534" w:type="dxa"/>
            <w:shd w:val="clear" w:color="auto" w:fill="auto"/>
          </w:tcPr>
          <w:p w:rsidR="00D41071" w:rsidRPr="001972F0" w:rsidRDefault="00D41071" w:rsidP="00160038">
            <w:pPr>
              <w:spacing w:after="120"/>
              <w:jc w:val="both"/>
              <w:rPr>
                <w:color w:val="000000"/>
              </w:rPr>
            </w:pPr>
            <w:r w:rsidRPr="001972F0">
              <w:rPr>
                <w:color w:val="000000"/>
              </w:rPr>
              <w:t>Recursive ARDL</w:t>
            </w:r>
          </w:p>
        </w:tc>
        <w:tc>
          <w:tcPr>
            <w:tcW w:w="1764" w:type="dxa"/>
            <w:shd w:val="clear" w:color="auto" w:fill="auto"/>
          </w:tcPr>
          <w:p w:rsidR="00D41071" w:rsidRPr="001972F0" w:rsidRDefault="00D41071" w:rsidP="00160038">
            <w:pPr>
              <w:spacing w:after="120"/>
              <w:jc w:val="both"/>
              <w:rPr>
                <w:color w:val="000000"/>
              </w:rPr>
            </w:pPr>
            <w:r w:rsidRPr="001972F0">
              <w:rPr>
                <w:color w:val="000000"/>
              </w:rPr>
              <w:t>CO2</w:t>
            </w:r>
          </w:p>
        </w:tc>
        <w:tc>
          <w:tcPr>
            <w:tcW w:w="1744" w:type="dxa"/>
            <w:shd w:val="clear" w:color="auto" w:fill="auto"/>
          </w:tcPr>
          <w:p w:rsidR="00D41071" w:rsidRPr="001972F0" w:rsidRDefault="00D41071" w:rsidP="00160038">
            <w:pPr>
              <w:spacing w:after="120"/>
              <w:jc w:val="both"/>
              <w:rPr>
                <w:color w:val="000000"/>
              </w:rPr>
            </w:pPr>
            <w:r w:rsidRPr="001972F0">
              <w:rPr>
                <w:color w:val="000000"/>
              </w:rPr>
              <w:t>Positive</w:t>
            </w:r>
          </w:p>
        </w:tc>
      </w:tr>
      <w:tr w:rsidR="00D41071" w:rsidRPr="001972F0" w:rsidTr="00160038">
        <w:trPr>
          <w:trHeight w:val="1208"/>
        </w:trPr>
        <w:tc>
          <w:tcPr>
            <w:tcW w:w="1624" w:type="dxa"/>
            <w:shd w:val="clear" w:color="auto" w:fill="auto"/>
          </w:tcPr>
          <w:p w:rsidR="00D41071" w:rsidRPr="001972F0" w:rsidRDefault="00D41071" w:rsidP="00160038">
            <w:pPr>
              <w:spacing w:after="120"/>
              <w:jc w:val="both"/>
              <w:rPr>
                <w:color w:val="000000"/>
              </w:rPr>
            </w:pPr>
            <w:r w:rsidRPr="001972F0">
              <w:rPr>
                <w:color w:val="000000"/>
              </w:rPr>
              <w:t>Aiyetan and Olomola (undated)</w:t>
            </w:r>
          </w:p>
        </w:tc>
        <w:tc>
          <w:tcPr>
            <w:tcW w:w="1164" w:type="dxa"/>
            <w:shd w:val="clear" w:color="auto" w:fill="auto"/>
          </w:tcPr>
          <w:p w:rsidR="00D41071" w:rsidRPr="001972F0" w:rsidRDefault="00D41071" w:rsidP="00160038">
            <w:pPr>
              <w:spacing w:after="120"/>
              <w:jc w:val="both"/>
              <w:rPr>
                <w:color w:val="000000"/>
              </w:rPr>
            </w:pPr>
            <w:r w:rsidRPr="001972F0">
              <w:rPr>
                <w:color w:val="000000"/>
              </w:rPr>
              <w:t>1980-2012</w:t>
            </w:r>
          </w:p>
        </w:tc>
        <w:tc>
          <w:tcPr>
            <w:tcW w:w="1534" w:type="dxa"/>
            <w:shd w:val="clear" w:color="auto" w:fill="auto"/>
          </w:tcPr>
          <w:p w:rsidR="00D41071" w:rsidRPr="001972F0" w:rsidRDefault="00D41071" w:rsidP="00160038">
            <w:pPr>
              <w:spacing w:after="120"/>
              <w:jc w:val="both"/>
              <w:rPr>
                <w:color w:val="000000"/>
              </w:rPr>
            </w:pPr>
            <w:r w:rsidRPr="001972F0">
              <w:rPr>
                <w:color w:val="000000"/>
              </w:rPr>
              <w:t>Nigeria</w:t>
            </w:r>
          </w:p>
        </w:tc>
        <w:tc>
          <w:tcPr>
            <w:tcW w:w="1534" w:type="dxa"/>
            <w:shd w:val="clear" w:color="auto" w:fill="auto"/>
          </w:tcPr>
          <w:p w:rsidR="00D41071" w:rsidRPr="001972F0" w:rsidRDefault="00D41071" w:rsidP="00160038">
            <w:pPr>
              <w:spacing w:after="120"/>
              <w:jc w:val="both"/>
              <w:rPr>
                <w:color w:val="000000"/>
              </w:rPr>
            </w:pPr>
            <w:r w:rsidRPr="001972F0">
              <w:rPr>
                <w:color w:val="000000"/>
              </w:rPr>
              <w:t>ARDL</w:t>
            </w:r>
          </w:p>
        </w:tc>
        <w:tc>
          <w:tcPr>
            <w:tcW w:w="1764" w:type="dxa"/>
            <w:shd w:val="clear" w:color="auto" w:fill="auto"/>
          </w:tcPr>
          <w:p w:rsidR="00D41071" w:rsidRPr="001972F0" w:rsidRDefault="00D41071" w:rsidP="00160038">
            <w:pPr>
              <w:spacing w:after="120"/>
              <w:jc w:val="both"/>
              <w:rPr>
                <w:color w:val="000000"/>
              </w:rPr>
            </w:pPr>
            <w:r w:rsidRPr="001972F0">
              <w:rPr>
                <w:color w:val="000000"/>
              </w:rPr>
              <w:t>CO2</w:t>
            </w:r>
          </w:p>
        </w:tc>
        <w:tc>
          <w:tcPr>
            <w:tcW w:w="1744" w:type="dxa"/>
            <w:shd w:val="clear" w:color="auto" w:fill="auto"/>
          </w:tcPr>
          <w:p w:rsidR="00D41071" w:rsidRPr="001972F0" w:rsidRDefault="00D41071" w:rsidP="00160038">
            <w:pPr>
              <w:spacing w:after="120"/>
              <w:jc w:val="both"/>
              <w:rPr>
                <w:color w:val="000000"/>
              </w:rPr>
            </w:pPr>
            <w:r w:rsidRPr="001972F0">
              <w:rPr>
                <w:color w:val="000000"/>
              </w:rPr>
              <w:t>Positive</w:t>
            </w:r>
          </w:p>
        </w:tc>
      </w:tr>
      <w:tr w:rsidR="00D41071" w:rsidRPr="001972F0" w:rsidTr="00160038">
        <w:trPr>
          <w:trHeight w:val="805"/>
        </w:trPr>
        <w:tc>
          <w:tcPr>
            <w:tcW w:w="1624" w:type="dxa"/>
            <w:shd w:val="clear" w:color="auto" w:fill="auto"/>
          </w:tcPr>
          <w:p w:rsidR="00D41071" w:rsidRPr="001972F0" w:rsidRDefault="00D41071" w:rsidP="00160038">
            <w:pPr>
              <w:spacing w:after="120"/>
              <w:jc w:val="both"/>
              <w:rPr>
                <w:color w:val="000000"/>
              </w:rPr>
            </w:pPr>
            <w:r w:rsidRPr="001972F0">
              <w:rPr>
                <w:color w:val="000000"/>
              </w:rPr>
              <w:t>Shahbaz et al (2014)</w:t>
            </w:r>
          </w:p>
        </w:tc>
        <w:tc>
          <w:tcPr>
            <w:tcW w:w="1164" w:type="dxa"/>
            <w:shd w:val="clear" w:color="auto" w:fill="auto"/>
          </w:tcPr>
          <w:p w:rsidR="00D41071" w:rsidRPr="001972F0" w:rsidRDefault="00D41071" w:rsidP="00160038">
            <w:pPr>
              <w:spacing w:after="120"/>
              <w:jc w:val="both"/>
              <w:rPr>
                <w:color w:val="000000"/>
              </w:rPr>
            </w:pPr>
            <w:r w:rsidRPr="001972F0">
              <w:rPr>
                <w:color w:val="000000"/>
              </w:rPr>
              <w:t>1975-2011</w:t>
            </w:r>
          </w:p>
        </w:tc>
        <w:tc>
          <w:tcPr>
            <w:tcW w:w="1534" w:type="dxa"/>
            <w:shd w:val="clear" w:color="auto" w:fill="auto"/>
          </w:tcPr>
          <w:p w:rsidR="00D41071" w:rsidRPr="001972F0" w:rsidRDefault="00D41071" w:rsidP="00160038">
            <w:pPr>
              <w:spacing w:after="120"/>
              <w:jc w:val="both"/>
              <w:rPr>
                <w:color w:val="000000"/>
              </w:rPr>
            </w:pPr>
            <w:r w:rsidRPr="001972F0">
              <w:rPr>
                <w:color w:val="000000"/>
              </w:rPr>
              <w:t>UAE</w:t>
            </w:r>
          </w:p>
        </w:tc>
        <w:tc>
          <w:tcPr>
            <w:tcW w:w="1534" w:type="dxa"/>
            <w:shd w:val="clear" w:color="auto" w:fill="auto"/>
          </w:tcPr>
          <w:p w:rsidR="00D41071" w:rsidRPr="001972F0" w:rsidRDefault="00D41071" w:rsidP="00160038">
            <w:pPr>
              <w:spacing w:after="120"/>
              <w:jc w:val="both"/>
              <w:rPr>
                <w:color w:val="000000"/>
              </w:rPr>
            </w:pPr>
            <w:r w:rsidRPr="001972F0">
              <w:rPr>
                <w:color w:val="000000"/>
              </w:rPr>
              <w:t>ARDL</w:t>
            </w:r>
          </w:p>
        </w:tc>
        <w:tc>
          <w:tcPr>
            <w:tcW w:w="1764" w:type="dxa"/>
            <w:shd w:val="clear" w:color="auto" w:fill="auto"/>
          </w:tcPr>
          <w:p w:rsidR="00D41071" w:rsidRPr="001972F0" w:rsidRDefault="00D41071" w:rsidP="00160038">
            <w:pPr>
              <w:spacing w:after="120"/>
              <w:jc w:val="both"/>
              <w:rPr>
                <w:color w:val="000000"/>
              </w:rPr>
            </w:pPr>
            <w:r w:rsidRPr="001972F0">
              <w:rPr>
                <w:color w:val="000000"/>
              </w:rPr>
              <w:t>CO2</w:t>
            </w:r>
          </w:p>
        </w:tc>
        <w:tc>
          <w:tcPr>
            <w:tcW w:w="1744" w:type="dxa"/>
            <w:shd w:val="clear" w:color="auto" w:fill="auto"/>
          </w:tcPr>
          <w:p w:rsidR="00D41071" w:rsidRPr="001972F0" w:rsidRDefault="00D41071" w:rsidP="00160038">
            <w:pPr>
              <w:spacing w:after="120"/>
              <w:jc w:val="both"/>
              <w:rPr>
                <w:color w:val="000000"/>
              </w:rPr>
            </w:pPr>
            <w:r w:rsidRPr="001972F0">
              <w:rPr>
                <w:color w:val="000000"/>
              </w:rPr>
              <w:t>Positive</w:t>
            </w:r>
          </w:p>
        </w:tc>
      </w:tr>
      <w:tr w:rsidR="00D41071" w:rsidRPr="001972F0" w:rsidTr="00160038">
        <w:trPr>
          <w:trHeight w:val="2820"/>
        </w:trPr>
        <w:tc>
          <w:tcPr>
            <w:tcW w:w="1624" w:type="dxa"/>
            <w:shd w:val="clear" w:color="auto" w:fill="auto"/>
          </w:tcPr>
          <w:p w:rsidR="00D41071" w:rsidRPr="001972F0" w:rsidRDefault="00D41071" w:rsidP="00160038">
            <w:pPr>
              <w:spacing w:after="120"/>
              <w:jc w:val="both"/>
              <w:rPr>
                <w:color w:val="000000"/>
              </w:rPr>
            </w:pPr>
            <w:r w:rsidRPr="001972F0">
              <w:rPr>
                <w:color w:val="000000"/>
              </w:rPr>
              <w:lastRenderedPageBreak/>
              <w:t>Fan et al (2006)</w:t>
            </w:r>
          </w:p>
        </w:tc>
        <w:tc>
          <w:tcPr>
            <w:tcW w:w="1164" w:type="dxa"/>
            <w:shd w:val="clear" w:color="auto" w:fill="auto"/>
          </w:tcPr>
          <w:p w:rsidR="00D41071" w:rsidRPr="001972F0" w:rsidRDefault="00D41071" w:rsidP="00160038">
            <w:pPr>
              <w:spacing w:after="120"/>
              <w:jc w:val="both"/>
              <w:rPr>
                <w:color w:val="000000"/>
              </w:rPr>
            </w:pPr>
            <w:r w:rsidRPr="001972F0">
              <w:rPr>
                <w:color w:val="000000"/>
              </w:rPr>
              <w:t>1975-2000</w:t>
            </w:r>
          </w:p>
        </w:tc>
        <w:tc>
          <w:tcPr>
            <w:tcW w:w="1534" w:type="dxa"/>
            <w:shd w:val="clear" w:color="auto" w:fill="auto"/>
          </w:tcPr>
          <w:p w:rsidR="00D41071" w:rsidRPr="001972F0" w:rsidRDefault="00D41071" w:rsidP="00160038">
            <w:pPr>
              <w:spacing w:after="120"/>
              <w:jc w:val="both"/>
              <w:rPr>
                <w:color w:val="000000"/>
              </w:rPr>
            </w:pPr>
            <w:r w:rsidRPr="001972F0">
              <w:rPr>
                <w:color w:val="000000"/>
              </w:rPr>
              <w:t>High income, upper middle, lower middle and low level income countries</w:t>
            </w:r>
          </w:p>
        </w:tc>
        <w:tc>
          <w:tcPr>
            <w:tcW w:w="1534" w:type="dxa"/>
            <w:shd w:val="clear" w:color="auto" w:fill="auto"/>
          </w:tcPr>
          <w:p w:rsidR="00D41071" w:rsidRPr="001972F0" w:rsidRDefault="00D41071" w:rsidP="00160038">
            <w:pPr>
              <w:spacing w:after="120"/>
              <w:jc w:val="both"/>
              <w:rPr>
                <w:color w:val="000000"/>
              </w:rPr>
            </w:pPr>
            <w:r w:rsidRPr="001972F0">
              <w:rPr>
                <w:color w:val="000000"/>
              </w:rPr>
              <w:t>Panel least square</w:t>
            </w:r>
          </w:p>
        </w:tc>
        <w:tc>
          <w:tcPr>
            <w:tcW w:w="1764" w:type="dxa"/>
            <w:shd w:val="clear" w:color="auto" w:fill="auto"/>
          </w:tcPr>
          <w:p w:rsidR="00D41071" w:rsidRPr="001972F0" w:rsidRDefault="00D41071" w:rsidP="00160038">
            <w:pPr>
              <w:spacing w:after="120"/>
              <w:jc w:val="both"/>
              <w:rPr>
                <w:color w:val="000000"/>
              </w:rPr>
            </w:pPr>
            <w:r w:rsidRPr="001972F0">
              <w:rPr>
                <w:color w:val="000000"/>
              </w:rPr>
              <w:t>CO2</w:t>
            </w:r>
          </w:p>
        </w:tc>
        <w:tc>
          <w:tcPr>
            <w:tcW w:w="1744" w:type="dxa"/>
            <w:shd w:val="clear" w:color="auto" w:fill="auto"/>
          </w:tcPr>
          <w:p w:rsidR="00D41071" w:rsidRPr="001972F0" w:rsidRDefault="00D41071" w:rsidP="00160038">
            <w:pPr>
              <w:spacing w:after="120"/>
              <w:jc w:val="both"/>
              <w:rPr>
                <w:color w:val="000000"/>
              </w:rPr>
            </w:pPr>
            <w:r w:rsidRPr="001972F0">
              <w:rPr>
                <w:color w:val="000000"/>
              </w:rPr>
              <w:t>Positive</w:t>
            </w:r>
          </w:p>
        </w:tc>
      </w:tr>
      <w:tr w:rsidR="00D41071" w:rsidRPr="001972F0" w:rsidTr="00160038">
        <w:trPr>
          <w:trHeight w:val="385"/>
        </w:trPr>
        <w:tc>
          <w:tcPr>
            <w:tcW w:w="1624" w:type="dxa"/>
            <w:shd w:val="clear" w:color="auto" w:fill="auto"/>
          </w:tcPr>
          <w:p w:rsidR="00D41071" w:rsidRPr="001972F0" w:rsidRDefault="00D41071" w:rsidP="00160038">
            <w:pPr>
              <w:spacing w:after="120"/>
              <w:jc w:val="both"/>
              <w:rPr>
                <w:color w:val="000000"/>
              </w:rPr>
            </w:pPr>
            <w:r w:rsidRPr="001972F0">
              <w:rPr>
                <w:color w:val="000000"/>
              </w:rPr>
              <w:t>Jansson and Johnsson (2017)</w:t>
            </w:r>
          </w:p>
        </w:tc>
        <w:tc>
          <w:tcPr>
            <w:tcW w:w="1164" w:type="dxa"/>
            <w:shd w:val="clear" w:color="auto" w:fill="auto"/>
          </w:tcPr>
          <w:p w:rsidR="00D41071" w:rsidRPr="001972F0" w:rsidRDefault="00D41071" w:rsidP="00160038">
            <w:pPr>
              <w:spacing w:after="120"/>
              <w:jc w:val="both"/>
              <w:rPr>
                <w:color w:val="000000"/>
              </w:rPr>
            </w:pPr>
            <w:r w:rsidRPr="001972F0">
              <w:rPr>
                <w:color w:val="000000"/>
              </w:rPr>
              <w:t>1992-2012</w:t>
            </w:r>
          </w:p>
        </w:tc>
        <w:tc>
          <w:tcPr>
            <w:tcW w:w="1534" w:type="dxa"/>
            <w:shd w:val="clear" w:color="auto" w:fill="auto"/>
          </w:tcPr>
          <w:p w:rsidR="00D41071" w:rsidRPr="001972F0" w:rsidRDefault="00D41071" w:rsidP="00160038">
            <w:pPr>
              <w:spacing w:after="120"/>
              <w:jc w:val="both"/>
              <w:rPr>
                <w:color w:val="000000"/>
              </w:rPr>
            </w:pPr>
            <w:r w:rsidRPr="001972F0">
              <w:rPr>
                <w:color w:val="000000"/>
              </w:rPr>
              <w:t>155 countries</w:t>
            </w:r>
          </w:p>
        </w:tc>
        <w:tc>
          <w:tcPr>
            <w:tcW w:w="1534" w:type="dxa"/>
            <w:shd w:val="clear" w:color="auto" w:fill="auto"/>
          </w:tcPr>
          <w:p w:rsidR="00D41071" w:rsidRPr="001972F0" w:rsidRDefault="00D41071" w:rsidP="00160038">
            <w:pPr>
              <w:spacing w:after="120"/>
              <w:jc w:val="both"/>
              <w:rPr>
                <w:color w:val="000000"/>
              </w:rPr>
            </w:pPr>
            <w:r w:rsidRPr="001972F0">
              <w:rPr>
                <w:color w:val="000000"/>
              </w:rPr>
              <w:t>Fixed effect regression</w:t>
            </w:r>
          </w:p>
        </w:tc>
        <w:tc>
          <w:tcPr>
            <w:tcW w:w="1764" w:type="dxa"/>
            <w:shd w:val="clear" w:color="auto" w:fill="auto"/>
          </w:tcPr>
          <w:p w:rsidR="00D41071" w:rsidRPr="001972F0" w:rsidRDefault="00D41071" w:rsidP="00160038">
            <w:pPr>
              <w:spacing w:after="120"/>
              <w:jc w:val="both"/>
              <w:rPr>
                <w:color w:val="000000"/>
              </w:rPr>
            </w:pPr>
            <w:r w:rsidRPr="001972F0">
              <w:rPr>
                <w:color w:val="000000"/>
              </w:rPr>
              <w:t>EFP</w:t>
            </w:r>
          </w:p>
        </w:tc>
        <w:tc>
          <w:tcPr>
            <w:tcW w:w="1744" w:type="dxa"/>
            <w:shd w:val="clear" w:color="auto" w:fill="auto"/>
          </w:tcPr>
          <w:p w:rsidR="00D41071" w:rsidRPr="001972F0" w:rsidRDefault="00D41071" w:rsidP="00160038">
            <w:pPr>
              <w:spacing w:after="120"/>
              <w:jc w:val="both"/>
              <w:rPr>
                <w:color w:val="000000"/>
              </w:rPr>
            </w:pPr>
            <w:r w:rsidRPr="001972F0">
              <w:rPr>
                <w:color w:val="000000"/>
              </w:rPr>
              <w:t>Positive</w:t>
            </w:r>
          </w:p>
        </w:tc>
      </w:tr>
      <w:tr w:rsidR="00D41071" w:rsidRPr="001972F0" w:rsidTr="00160038">
        <w:trPr>
          <w:trHeight w:val="402"/>
        </w:trPr>
        <w:tc>
          <w:tcPr>
            <w:tcW w:w="1624" w:type="dxa"/>
            <w:shd w:val="clear" w:color="auto" w:fill="auto"/>
          </w:tcPr>
          <w:p w:rsidR="00D41071" w:rsidRPr="001972F0" w:rsidRDefault="00D41071" w:rsidP="00160038">
            <w:pPr>
              <w:spacing w:after="120"/>
              <w:jc w:val="both"/>
              <w:rPr>
                <w:color w:val="000000"/>
              </w:rPr>
            </w:pPr>
            <w:r w:rsidRPr="001972F0">
              <w:rPr>
                <w:color w:val="000000"/>
              </w:rPr>
              <w:t>Yahaya et al (2020)</w:t>
            </w:r>
          </w:p>
        </w:tc>
        <w:tc>
          <w:tcPr>
            <w:tcW w:w="1164" w:type="dxa"/>
            <w:shd w:val="clear" w:color="auto" w:fill="auto"/>
          </w:tcPr>
          <w:p w:rsidR="00D41071" w:rsidRPr="001972F0" w:rsidRDefault="00D41071" w:rsidP="00160038">
            <w:pPr>
              <w:spacing w:after="120"/>
              <w:jc w:val="both"/>
              <w:rPr>
                <w:color w:val="000000"/>
              </w:rPr>
            </w:pPr>
            <w:r w:rsidRPr="001972F0">
              <w:rPr>
                <w:color w:val="000000"/>
              </w:rPr>
              <w:t>1980-2014</w:t>
            </w:r>
          </w:p>
        </w:tc>
        <w:tc>
          <w:tcPr>
            <w:tcW w:w="1534" w:type="dxa"/>
            <w:shd w:val="clear" w:color="auto" w:fill="auto"/>
          </w:tcPr>
          <w:p w:rsidR="00D41071" w:rsidRPr="001972F0" w:rsidRDefault="00D41071" w:rsidP="00160038">
            <w:pPr>
              <w:spacing w:after="120"/>
              <w:jc w:val="both"/>
              <w:rPr>
                <w:color w:val="000000"/>
              </w:rPr>
            </w:pPr>
            <w:r w:rsidRPr="001972F0">
              <w:rPr>
                <w:color w:val="000000"/>
              </w:rPr>
              <w:t>Nigeria</w:t>
            </w:r>
          </w:p>
        </w:tc>
        <w:tc>
          <w:tcPr>
            <w:tcW w:w="1534" w:type="dxa"/>
            <w:shd w:val="clear" w:color="auto" w:fill="auto"/>
          </w:tcPr>
          <w:p w:rsidR="00D41071" w:rsidRPr="001972F0" w:rsidRDefault="00D41071" w:rsidP="00160038">
            <w:pPr>
              <w:spacing w:after="120"/>
              <w:jc w:val="both"/>
              <w:rPr>
                <w:color w:val="000000"/>
              </w:rPr>
            </w:pPr>
            <w:r w:rsidRPr="001972F0">
              <w:rPr>
                <w:color w:val="000000"/>
              </w:rPr>
              <w:t>ARDL</w:t>
            </w:r>
          </w:p>
        </w:tc>
        <w:tc>
          <w:tcPr>
            <w:tcW w:w="1764" w:type="dxa"/>
            <w:shd w:val="clear" w:color="auto" w:fill="auto"/>
          </w:tcPr>
          <w:p w:rsidR="00D41071" w:rsidRPr="001972F0" w:rsidRDefault="00D41071" w:rsidP="00160038">
            <w:pPr>
              <w:spacing w:after="120"/>
              <w:jc w:val="both"/>
              <w:rPr>
                <w:color w:val="000000"/>
              </w:rPr>
            </w:pPr>
            <w:r w:rsidRPr="001972F0">
              <w:rPr>
                <w:color w:val="000000"/>
              </w:rPr>
              <w:t>CO2</w:t>
            </w:r>
          </w:p>
        </w:tc>
        <w:tc>
          <w:tcPr>
            <w:tcW w:w="1744" w:type="dxa"/>
            <w:shd w:val="clear" w:color="auto" w:fill="auto"/>
          </w:tcPr>
          <w:p w:rsidR="00D41071" w:rsidRPr="001972F0" w:rsidRDefault="00D41071" w:rsidP="00160038">
            <w:pPr>
              <w:spacing w:after="120"/>
              <w:jc w:val="both"/>
              <w:rPr>
                <w:color w:val="000000"/>
              </w:rPr>
            </w:pPr>
            <w:r w:rsidRPr="001972F0">
              <w:rPr>
                <w:color w:val="000000"/>
              </w:rPr>
              <w:t>Positive</w:t>
            </w:r>
          </w:p>
        </w:tc>
      </w:tr>
      <w:tr w:rsidR="00D41071" w:rsidRPr="001972F0" w:rsidTr="00160038">
        <w:trPr>
          <w:trHeight w:val="402"/>
        </w:trPr>
        <w:tc>
          <w:tcPr>
            <w:tcW w:w="1624" w:type="dxa"/>
            <w:shd w:val="clear" w:color="auto" w:fill="auto"/>
          </w:tcPr>
          <w:p w:rsidR="00D41071" w:rsidRPr="001972F0" w:rsidRDefault="00D41071" w:rsidP="00160038">
            <w:pPr>
              <w:spacing w:after="120"/>
              <w:jc w:val="both"/>
              <w:rPr>
                <w:color w:val="000000"/>
              </w:rPr>
            </w:pPr>
            <w:r w:rsidRPr="001972F0">
              <w:rPr>
                <w:color w:val="000000"/>
              </w:rPr>
              <w:t>Charfeddine (2017)</w:t>
            </w:r>
          </w:p>
        </w:tc>
        <w:tc>
          <w:tcPr>
            <w:tcW w:w="1164" w:type="dxa"/>
            <w:shd w:val="clear" w:color="auto" w:fill="auto"/>
          </w:tcPr>
          <w:p w:rsidR="00D41071" w:rsidRPr="001972F0" w:rsidRDefault="00D41071" w:rsidP="00160038">
            <w:pPr>
              <w:spacing w:after="120"/>
              <w:jc w:val="both"/>
              <w:rPr>
                <w:color w:val="000000"/>
              </w:rPr>
            </w:pPr>
            <w:r w:rsidRPr="001972F0">
              <w:rPr>
                <w:color w:val="000000"/>
              </w:rPr>
              <w:t>1970-2015</w:t>
            </w:r>
          </w:p>
        </w:tc>
        <w:tc>
          <w:tcPr>
            <w:tcW w:w="1534" w:type="dxa"/>
            <w:shd w:val="clear" w:color="auto" w:fill="auto"/>
          </w:tcPr>
          <w:p w:rsidR="00D41071" w:rsidRPr="001972F0" w:rsidRDefault="00D41071" w:rsidP="00160038">
            <w:pPr>
              <w:spacing w:after="120"/>
              <w:jc w:val="both"/>
              <w:rPr>
                <w:color w:val="000000"/>
              </w:rPr>
            </w:pPr>
            <w:r w:rsidRPr="001972F0">
              <w:rPr>
                <w:color w:val="000000"/>
              </w:rPr>
              <w:t>Qatar</w:t>
            </w:r>
          </w:p>
        </w:tc>
        <w:tc>
          <w:tcPr>
            <w:tcW w:w="1534" w:type="dxa"/>
            <w:shd w:val="clear" w:color="auto" w:fill="auto"/>
          </w:tcPr>
          <w:p w:rsidR="00D41071" w:rsidRPr="001972F0" w:rsidRDefault="00D41071" w:rsidP="00160038">
            <w:pPr>
              <w:spacing w:after="120"/>
              <w:jc w:val="both"/>
              <w:rPr>
                <w:color w:val="000000"/>
              </w:rPr>
            </w:pPr>
            <w:r w:rsidRPr="001972F0">
              <w:rPr>
                <w:color w:val="000000"/>
              </w:rPr>
              <w:t>Markov Switching Equilbrium</w:t>
            </w:r>
          </w:p>
        </w:tc>
        <w:tc>
          <w:tcPr>
            <w:tcW w:w="1764" w:type="dxa"/>
            <w:shd w:val="clear" w:color="auto" w:fill="auto"/>
          </w:tcPr>
          <w:p w:rsidR="00D41071" w:rsidRPr="001972F0" w:rsidRDefault="00D41071" w:rsidP="00160038">
            <w:pPr>
              <w:spacing w:after="120"/>
              <w:jc w:val="both"/>
              <w:rPr>
                <w:color w:val="000000"/>
              </w:rPr>
            </w:pPr>
            <w:r w:rsidRPr="001972F0">
              <w:rPr>
                <w:color w:val="000000"/>
              </w:rPr>
              <w:t>EFP</w:t>
            </w:r>
          </w:p>
        </w:tc>
        <w:tc>
          <w:tcPr>
            <w:tcW w:w="1744" w:type="dxa"/>
            <w:shd w:val="clear" w:color="auto" w:fill="auto"/>
          </w:tcPr>
          <w:p w:rsidR="00D41071" w:rsidRPr="001972F0" w:rsidRDefault="00D41071" w:rsidP="00160038">
            <w:pPr>
              <w:spacing w:after="120"/>
              <w:jc w:val="both"/>
              <w:rPr>
                <w:color w:val="000000"/>
              </w:rPr>
            </w:pPr>
            <w:r w:rsidRPr="001972F0">
              <w:rPr>
                <w:color w:val="000000"/>
              </w:rPr>
              <w:t>Positive</w:t>
            </w:r>
          </w:p>
        </w:tc>
      </w:tr>
    </w:tbl>
    <w:p w:rsidR="00D41071" w:rsidRDefault="00D41071" w:rsidP="00D41071">
      <w:pPr>
        <w:pStyle w:val="NormalWeb"/>
        <w:spacing w:after="120" w:afterAutospacing="0"/>
        <w:ind w:left="709"/>
        <w:jc w:val="both"/>
        <w:rPr>
          <w:color w:val="000000"/>
        </w:rPr>
      </w:pPr>
      <w:r>
        <w:rPr>
          <w:color w:val="000000"/>
        </w:rPr>
        <w:t>Source: Author’s Illustration (2021)</w:t>
      </w:r>
    </w:p>
    <w:p w:rsidR="00D41071" w:rsidRPr="001972F0" w:rsidRDefault="00D41071" w:rsidP="00D41071">
      <w:pPr>
        <w:pStyle w:val="NormalWeb"/>
        <w:spacing w:after="120" w:afterAutospacing="0"/>
        <w:ind w:left="709"/>
        <w:jc w:val="both"/>
        <w:rPr>
          <w:color w:val="000000"/>
        </w:rPr>
      </w:pPr>
      <w:r w:rsidRPr="001972F0">
        <w:rPr>
          <w:color w:val="000000"/>
        </w:rPr>
        <w:t xml:space="preserve">The summary of the empirical evidence presented above reveals that most studies have employed CO2 emissions as the indicator for environmental impact. However, few studies have employed the EFP and this study contributes to </w:t>
      </w:r>
      <w:r>
        <w:rPr>
          <w:color w:val="000000"/>
        </w:rPr>
        <w:t>literature</w:t>
      </w:r>
      <w:r w:rsidRPr="001972F0">
        <w:rPr>
          <w:color w:val="000000"/>
        </w:rPr>
        <w:t xml:space="preserve"> in this regard.</w:t>
      </w:r>
    </w:p>
    <w:p w:rsidR="00D41071" w:rsidRPr="001972F0" w:rsidRDefault="00D41071" w:rsidP="00D41071">
      <w:pPr>
        <w:pStyle w:val="NormalWeb"/>
        <w:numPr>
          <w:ilvl w:val="0"/>
          <w:numId w:val="2"/>
        </w:numPr>
        <w:spacing w:after="120" w:afterAutospacing="0"/>
        <w:ind w:left="709"/>
        <w:jc w:val="both"/>
        <w:rPr>
          <w:b/>
          <w:color w:val="000000"/>
        </w:rPr>
      </w:pPr>
      <w:r w:rsidRPr="001972F0">
        <w:rPr>
          <w:b/>
          <w:color w:val="000000"/>
        </w:rPr>
        <w:t>ANALYTICAL FRAMEWORK AND METHODOLOGY.</w:t>
      </w:r>
    </w:p>
    <w:p w:rsidR="00D41071" w:rsidRPr="001972F0" w:rsidRDefault="00D41071" w:rsidP="00D41071">
      <w:pPr>
        <w:pStyle w:val="NormalWeb"/>
        <w:spacing w:after="120" w:afterAutospacing="0"/>
        <w:ind w:left="709"/>
        <w:jc w:val="both"/>
        <w:rPr>
          <w:color w:val="000000"/>
        </w:rPr>
      </w:pPr>
      <w:r>
        <w:rPr>
          <w:rStyle w:val="CharAttribute1"/>
          <w:rFonts w:eastAsia="Batang"/>
          <w:color w:val="000000"/>
        </w:rPr>
        <w:t>Data</w:t>
      </w:r>
      <w:r w:rsidRPr="001972F0">
        <w:rPr>
          <w:rStyle w:val="CharAttribute1"/>
          <w:rFonts w:eastAsia="Batang"/>
          <w:color w:val="000000"/>
        </w:rPr>
        <w:t xml:space="preserve"> </w:t>
      </w:r>
      <w:r>
        <w:rPr>
          <w:rStyle w:val="CharAttribute1"/>
          <w:rFonts w:eastAsia="Batang"/>
          <w:color w:val="000000"/>
        </w:rPr>
        <w:t>employed for this study spans</w:t>
      </w:r>
      <w:r w:rsidRPr="001972F0">
        <w:rPr>
          <w:rStyle w:val="CharAttribute1"/>
          <w:rFonts w:eastAsia="Batang"/>
          <w:color w:val="000000"/>
        </w:rPr>
        <w:t xml:space="preserve"> from 1981-2019. Data employed include ecological deficit as a measure of environmental </w:t>
      </w:r>
      <w:r w:rsidRPr="00D16E88">
        <w:rPr>
          <w:color w:val="000000"/>
        </w:rPr>
        <w:t>unsustainability</w:t>
      </w:r>
      <w:r w:rsidRPr="001972F0">
        <w:rPr>
          <w:rStyle w:val="CharAttribute1"/>
          <w:rFonts w:eastAsia="Batang"/>
          <w:color w:val="000000"/>
        </w:rPr>
        <w:t>, which is obtained by subtracting biocapacity per capita from EFP per capita, urban population growth, active working population, per capita income, energy consumption used as a proxy for technology, financial development, sourced from World Development Indicator and ecological footprint sourced from Global Footprint Network.</w:t>
      </w:r>
      <w:r w:rsidRPr="001972F0">
        <w:rPr>
          <w:color w:val="000000"/>
        </w:rPr>
        <w:t xml:space="preserve"> </w:t>
      </w:r>
    </w:p>
    <w:p w:rsidR="00D41071" w:rsidRPr="001972F0" w:rsidRDefault="00D41071" w:rsidP="00D41071">
      <w:pPr>
        <w:pStyle w:val="NormalWeb"/>
        <w:spacing w:after="120" w:afterAutospacing="0"/>
        <w:ind w:left="709"/>
        <w:jc w:val="both"/>
        <w:rPr>
          <w:color w:val="000000"/>
        </w:rPr>
      </w:pPr>
      <w:r w:rsidRPr="001972F0">
        <w:rPr>
          <w:color w:val="000000"/>
        </w:rPr>
        <w:t xml:space="preserve">Two main models have been employed in literature to analyse the </w:t>
      </w:r>
      <w:r>
        <w:rPr>
          <w:color w:val="000000"/>
        </w:rPr>
        <w:t xml:space="preserve">population- environment nexus </w:t>
      </w:r>
      <w:r w:rsidRPr="001972F0">
        <w:rPr>
          <w:color w:val="000000"/>
        </w:rPr>
        <w:t xml:space="preserve">vis-à-vis the IPAT (Impact, Population, Affluence, Technology) model and the Environmental Kuznets curve (EKC) model. The IPAT model founded by Ehrlich and Holdren (1971) posits that environmental </w:t>
      </w:r>
      <w:r>
        <w:rPr>
          <w:color w:val="000000"/>
        </w:rPr>
        <w:t>quality</w:t>
      </w:r>
      <w:r w:rsidRPr="001972F0">
        <w:rPr>
          <w:color w:val="000000"/>
        </w:rPr>
        <w:t xml:space="preserve"> (I) is </w:t>
      </w:r>
      <w:r>
        <w:rPr>
          <w:color w:val="000000"/>
        </w:rPr>
        <w:t>determined by</w:t>
      </w:r>
      <w:r w:rsidRPr="001972F0">
        <w:rPr>
          <w:color w:val="000000"/>
        </w:rPr>
        <w:t xml:space="preserve"> population (P), affluence (A) measured by GDP per capita and technology (T). </w:t>
      </w:r>
    </w:p>
    <w:p w:rsidR="00D41071" w:rsidRPr="001972F0" w:rsidRDefault="00D41071" w:rsidP="00D41071">
      <w:pPr>
        <w:pStyle w:val="ParaAttribute3"/>
        <w:spacing w:after="120"/>
        <w:ind w:left="709"/>
        <w:rPr>
          <w:rStyle w:val="CharAttribute1"/>
          <w:rFonts w:eastAsia="Batang"/>
          <w:color w:val="000000"/>
          <w:szCs w:val="24"/>
        </w:rPr>
      </w:pPr>
      <w:r w:rsidRPr="001972F0">
        <w:rPr>
          <w:rStyle w:val="CharAttribute1"/>
          <w:rFonts w:eastAsia="Batang"/>
          <w:color w:val="000000"/>
          <w:szCs w:val="24"/>
        </w:rPr>
        <w:t xml:space="preserve">                     I= P. A. T---------------------------------------------------                    (1)</w:t>
      </w:r>
    </w:p>
    <w:p w:rsidR="00D41071" w:rsidRPr="001972F0" w:rsidRDefault="00D41071" w:rsidP="00D41071">
      <w:pPr>
        <w:pStyle w:val="ParaAttribute3"/>
        <w:spacing w:after="120"/>
        <w:ind w:left="709"/>
        <w:rPr>
          <w:rFonts w:eastAsia="Times New Roman"/>
          <w:color w:val="000000"/>
          <w:sz w:val="24"/>
          <w:szCs w:val="24"/>
        </w:rPr>
      </w:pPr>
      <w:r w:rsidRPr="001972F0">
        <w:rPr>
          <w:color w:val="000000"/>
          <w:sz w:val="24"/>
          <w:szCs w:val="24"/>
        </w:rPr>
        <w:t>The theory submits that a</w:t>
      </w:r>
      <w:r>
        <w:rPr>
          <w:color w:val="000000"/>
          <w:sz w:val="24"/>
          <w:szCs w:val="24"/>
        </w:rPr>
        <w:t xml:space="preserve">s population increases, environmental quality decreases </w:t>
      </w:r>
      <w:r w:rsidRPr="001972F0">
        <w:rPr>
          <w:color w:val="000000"/>
          <w:sz w:val="24"/>
          <w:szCs w:val="24"/>
        </w:rPr>
        <w:t xml:space="preserve">due to increasing demand for land and other resources (Ehrlich &amp; Holdren, 1971). Similarly, an increase in affluence </w:t>
      </w:r>
      <w:r>
        <w:rPr>
          <w:color w:val="000000"/>
          <w:sz w:val="24"/>
          <w:szCs w:val="24"/>
        </w:rPr>
        <w:t>also increases</w:t>
      </w:r>
      <w:r w:rsidRPr="001972F0">
        <w:rPr>
          <w:color w:val="000000"/>
          <w:sz w:val="24"/>
          <w:szCs w:val="24"/>
        </w:rPr>
        <w:t xml:space="preserve"> environmental degradation. However, technology could have positive or negative effects as it could either improve or worsen the environment depending on how it is employed (Commoner, 1972). This model has however been criticized for generating proportionate impact of environmental change by changing one factor and simultaneously holding others constant (Fan et al, 2006 ). </w:t>
      </w:r>
    </w:p>
    <w:p w:rsidR="00D41071" w:rsidRPr="001972F0" w:rsidRDefault="00D41071" w:rsidP="00D41071">
      <w:pPr>
        <w:pStyle w:val="NormalWeb"/>
        <w:spacing w:after="120" w:afterAutospacing="0"/>
        <w:ind w:left="709"/>
        <w:jc w:val="both"/>
        <w:rPr>
          <w:color w:val="000000"/>
        </w:rPr>
      </w:pPr>
      <w:r w:rsidRPr="001972F0">
        <w:rPr>
          <w:color w:val="000000"/>
        </w:rPr>
        <w:lastRenderedPageBreak/>
        <w:t>To overcome the limitation of the IPAT model, a stochastic</w:t>
      </w:r>
      <w:r>
        <w:rPr>
          <w:color w:val="000000"/>
        </w:rPr>
        <w:t xml:space="preserve"> form of the</w:t>
      </w:r>
      <w:r w:rsidRPr="001972F0">
        <w:rPr>
          <w:color w:val="000000"/>
        </w:rPr>
        <w:t xml:space="preserve"> model </w:t>
      </w:r>
      <w:r>
        <w:rPr>
          <w:color w:val="000000"/>
        </w:rPr>
        <w:t xml:space="preserve">was developed, which is the </w:t>
      </w:r>
      <w:r w:rsidRPr="001972F0">
        <w:rPr>
          <w:color w:val="000000"/>
        </w:rPr>
        <w:t>Stochastic Impacts by Regression on Population, Affluence, and Technology (STIRPAT)</w:t>
      </w:r>
      <w:r>
        <w:rPr>
          <w:color w:val="000000"/>
        </w:rPr>
        <w:t xml:space="preserve"> model</w:t>
      </w:r>
      <w:r w:rsidRPr="001972F0">
        <w:rPr>
          <w:color w:val="000000"/>
        </w:rPr>
        <w:t xml:space="preserve"> </w:t>
      </w:r>
      <w:r w:rsidRPr="001972F0">
        <w:rPr>
          <w:color w:val="000000"/>
          <w:shd w:val="clear" w:color="auto" w:fill="FFFFFF"/>
        </w:rPr>
        <w:t>which can be estimated using regression techniques (</w:t>
      </w:r>
      <w:r w:rsidRPr="001972F0">
        <w:rPr>
          <w:color w:val="000000"/>
        </w:rPr>
        <w:t>Dietz &amp; Rosa, 1994</w:t>
      </w:r>
      <w:r w:rsidRPr="001972F0">
        <w:rPr>
          <w:color w:val="000000"/>
          <w:shd w:val="clear" w:color="auto" w:fill="FFFFFF"/>
        </w:rPr>
        <w:t xml:space="preserve">). The </w:t>
      </w:r>
      <w:r w:rsidRPr="001972F0">
        <w:rPr>
          <w:color w:val="000000"/>
        </w:rPr>
        <w:t xml:space="preserve">STIRPAT model allows for the analysis of the non-proportionate impact of a variable on the environment. This model still retains the ecological foundation of the IPAT model as it hinges on the Structural Human Ecology theory. It is however more flexible than the IPAT model </w:t>
      </w:r>
      <w:r>
        <w:rPr>
          <w:color w:val="000000"/>
        </w:rPr>
        <w:t>by giving room for</w:t>
      </w:r>
      <w:r w:rsidRPr="001972F0">
        <w:rPr>
          <w:color w:val="000000"/>
        </w:rPr>
        <w:t xml:space="preserve"> other theoretically relevant variables </w:t>
      </w:r>
      <w:r>
        <w:rPr>
          <w:color w:val="000000"/>
        </w:rPr>
        <w:t xml:space="preserve">to be included </w:t>
      </w:r>
      <w:r w:rsidRPr="001972F0">
        <w:rPr>
          <w:color w:val="000000"/>
        </w:rPr>
        <w:t>into the model (Dietz &amp; Rosa, 1994</w:t>
      </w:r>
      <w:r w:rsidRPr="001972F0">
        <w:rPr>
          <w:color w:val="000000"/>
          <w:shd w:val="clear" w:color="auto" w:fill="FFFFFF"/>
        </w:rPr>
        <w:t>)</w:t>
      </w:r>
      <w:r w:rsidRPr="001972F0">
        <w:rPr>
          <w:color w:val="000000"/>
        </w:rPr>
        <w:t>. Similarly, the model does not confine itself to any particular measure of environmental impact and as such allows for the use of environmental indicators like EFP (Dietz et al., 2007; Rosa et al., 2004; York et al., 2003a).</w:t>
      </w:r>
    </w:p>
    <w:p w:rsidR="00D41071" w:rsidRPr="001972F0" w:rsidRDefault="00D41071" w:rsidP="00D41071">
      <w:pPr>
        <w:pStyle w:val="ParaAttribute3"/>
        <w:spacing w:after="120"/>
        <w:ind w:left="709"/>
        <w:rPr>
          <w:rStyle w:val="CharAttribute1"/>
          <w:rFonts w:eastAsia="Batang"/>
          <w:color w:val="000000"/>
          <w:szCs w:val="24"/>
        </w:rPr>
      </w:pPr>
      <w:r w:rsidRPr="001972F0">
        <w:rPr>
          <w:color w:val="000000"/>
          <w:sz w:val="24"/>
          <w:szCs w:val="24"/>
          <w:shd w:val="clear" w:color="auto" w:fill="FFFFFF"/>
        </w:rPr>
        <w:t>This study therefore adapts the STIRPAT model as developed by Dietz and Rosa (1994) and as adapted by Janson and Johnson (2017).</w:t>
      </w:r>
      <w:r w:rsidRPr="001972F0">
        <w:rPr>
          <w:color w:val="000000"/>
          <w:shd w:val="clear" w:color="auto" w:fill="FFFFFF"/>
        </w:rPr>
        <w:t xml:space="preserve"> </w:t>
      </w:r>
      <w:r w:rsidRPr="001972F0">
        <w:rPr>
          <w:rStyle w:val="CharAttribute1"/>
          <w:rFonts w:eastAsia="Batang"/>
          <w:color w:val="000000"/>
          <w:szCs w:val="24"/>
        </w:rPr>
        <w:t xml:space="preserve">Thus, the model for this study is specified in form of a linear-log model given that the difference between </w:t>
      </w:r>
      <w:r w:rsidRPr="001972F0">
        <w:rPr>
          <w:rStyle w:val="CharAttribute1"/>
          <w:rFonts w:eastAsia="Batang"/>
          <w:color w:val="000000"/>
        </w:rPr>
        <w:t xml:space="preserve">biocapacity per capita and EFP per capita(ecological deficit) used as a measure of environmental unsustainability </w:t>
      </w:r>
      <w:r w:rsidRPr="001972F0">
        <w:rPr>
          <w:rStyle w:val="CharAttribute1"/>
          <w:rFonts w:eastAsia="Batang"/>
          <w:color w:val="000000"/>
          <w:szCs w:val="24"/>
        </w:rPr>
        <w:t>is a negative series.  The model for the study is given as:</w:t>
      </w:r>
    </w:p>
    <w:p w:rsidR="00D41071" w:rsidRPr="001972F0" w:rsidRDefault="00021B6A" w:rsidP="00D41071">
      <w:pPr>
        <w:tabs>
          <w:tab w:val="left" w:pos="3974"/>
        </w:tabs>
        <w:spacing w:after="120"/>
        <w:ind w:left="709"/>
        <w:rPr>
          <w:color w:val="000000"/>
        </w:rPr>
      </w:pPr>
      <w:r w:rsidRPr="001972F0">
        <w:rPr>
          <w:rFonts w:eastAsia="Batang"/>
          <w:noProof/>
          <w:color w:val="000000"/>
        </w:rPr>
        <w:pict w14:anchorId="7C2DE6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454pt;height:28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16&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C39CD&quot;/&gt;&lt;wsp:rsid wsp:val=&quot;0000520B&quot;/&gt;&lt;wsp:rsid wsp:val=&quot;000235A0&quot;/&gt;&lt;wsp:rsid wsp:val=&quot;00037C97&quot;/&gt;&lt;wsp:rsid wsp:val=&quot;000475E5&quot;/&gt;&lt;wsp:rsid wsp:val=&quot;00063F5A&quot;/&gt;&lt;wsp:rsid wsp:val=&quot;0006670F&quot;/&gt;&lt;wsp:rsid wsp:val=&quot;00090F45&quot;/&gt;&lt;wsp:rsid wsp:val=&quot;000975CB&quot;/&gt;&lt;wsp:rsid wsp:val=&quot;000C1F9E&quot;/&gt;&lt;wsp:rsid wsp:val=&quot;000C75E9&quot;/&gt;&lt;wsp:rsid wsp:val=&quot;000D17EC&quot;/&gt;&lt;wsp:rsid wsp:val=&quot;000D3E96&quot;/&gt;&lt;wsp:rsid wsp:val=&quot;0010141C&quot;/&gt;&lt;wsp:rsid wsp:val=&quot;0010357D&quot;/&gt;&lt;wsp:rsid wsp:val=&quot;001315CE&quot;/&gt;&lt;wsp:rsid wsp:val=&quot;00132663&quot;/&gt;&lt;wsp:rsid wsp:val=&quot;0016594D&quot;/&gt;&lt;wsp:rsid wsp:val=&quot;001674DF&quot;/&gt;&lt;wsp:rsid wsp:val=&quot;001B1F59&quot;/&gt;&lt;wsp:rsid wsp:val=&quot;001C2EA5&quot;/&gt;&lt;wsp:rsid wsp:val=&quot;001C7342&quot;/&gt;&lt;wsp:rsid wsp:val=&quot;001D0786&quot;/&gt;&lt;wsp:rsid wsp:val=&quot;002271A3&quot;/&gt;&lt;wsp:rsid wsp:val=&quot;0026053F&quot;/&gt;&lt;wsp:rsid wsp:val=&quot;00263E65&quot;/&gt;&lt;wsp:rsid wsp:val=&quot;002665EF&quot;/&gt;&lt;wsp:rsid wsp:val=&quot;0027555D&quot;/&gt;&lt;wsp:rsid wsp:val=&quot;00282755&quot;/&gt;&lt;wsp:rsid wsp:val=&quot;00290F9E&quot;/&gt;&lt;wsp:rsid wsp:val=&quot;00290FAE&quot;/&gt;&lt;wsp:rsid wsp:val=&quot;00292286&quot;/&gt;&lt;wsp:rsid wsp:val=&quot;002A2DF0&quot;/&gt;&lt;wsp:rsid wsp:val=&quot;002C77AB&quot;/&gt;&lt;wsp:rsid wsp:val=&quot;002D2828&quot;/&gt;&lt;wsp:rsid wsp:val=&quot;002D7ABF&quot;/&gt;&lt;wsp:rsid wsp:val=&quot;0031150D&quot;/&gt;&lt;wsp:rsid wsp:val=&quot;00323D82&quot;/&gt;&lt;wsp:rsid wsp:val=&quot;00324E48&quot;/&gt;&lt;wsp:rsid wsp:val=&quot;003329A3&quot;/&gt;&lt;wsp:rsid wsp:val=&quot;003342CD&quot;/&gt;&lt;wsp:rsid wsp:val=&quot;0034147D&quot;/&gt;&lt;wsp:rsid wsp:val=&quot;00347602&quot;/&gt;&lt;wsp:rsid wsp:val=&quot;00352FD3&quot;/&gt;&lt;wsp:rsid wsp:val=&quot;003D7B73&quot;/&gt;&lt;wsp:rsid wsp:val=&quot;003E416D&quot;/&gt;&lt;wsp:rsid wsp:val=&quot;00412C47&quot;/&gt;&lt;wsp:rsid wsp:val=&quot;0041469D&quot;/&gt;&lt;wsp:rsid wsp:val=&quot;00437828&quot;/&gt;&lt;wsp:rsid wsp:val=&quot;00483537&quot;/&gt;&lt;wsp:rsid wsp:val=&quot;004A4020&quot;/&gt;&lt;wsp:rsid wsp:val=&quot;004B0F6D&quot;/&gt;&lt;wsp:rsid wsp:val=&quot;004B4A1C&quot;/&gt;&lt;wsp:rsid wsp:val=&quot;004D6F57&quot;/&gt;&lt;wsp:rsid wsp:val=&quot;004E7848&quot;/&gt;&lt;wsp:rsid wsp:val=&quot;004F6E75&quot;/&gt;&lt;wsp:rsid wsp:val=&quot;0051505C&quot;/&gt;&lt;wsp:rsid wsp:val=&quot;005218AA&quot;/&gt;&lt;wsp:rsid wsp:val=&quot;00522970&quot;/&gt;&lt;wsp:rsid wsp:val=&quot;0052459B&quot;/&gt;&lt;wsp:rsid wsp:val=&quot;00532F55&quot;/&gt;&lt;wsp:rsid wsp:val=&quot;00535487&quot;/&gt;&lt;wsp:rsid wsp:val=&quot;0055469E&quot;/&gt;&lt;wsp:rsid wsp:val=&quot;00554B72&quot;/&gt;&lt;wsp:rsid wsp:val=&quot;00555C4A&quot;/&gt;&lt;wsp:rsid wsp:val=&quot;00555E06&quot;/&gt;&lt;wsp:rsid wsp:val=&quot;00557B01&quot;/&gt;&lt;wsp:rsid wsp:val=&quot;00561DF4&quot;/&gt;&lt;wsp:rsid wsp:val=&quot;0056703C&quot;/&gt;&lt;wsp:rsid wsp:val=&quot;005955A2&quot;/&gt;&lt;wsp:rsid wsp:val=&quot;005B2564&quot;/&gt;&lt;wsp:rsid wsp:val=&quot;005C4E77&quot;/&gt;&lt;wsp:rsid wsp:val=&quot;0060398F&quot;/&gt;&lt;wsp:rsid wsp:val=&quot;00603EAA&quot;/&gt;&lt;wsp:rsid wsp:val=&quot;00605FAB&quot;/&gt;&lt;wsp:rsid wsp:val=&quot;0062160A&quot;/&gt;&lt;wsp:rsid wsp:val=&quot;006240C2&quot;/&gt;&lt;wsp:rsid wsp:val=&quot;006508BB&quot;/&gt;&lt;wsp:rsid wsp:val=&quot;00672940&quot;/&gt;&lt;wsp:rsid wsp:val=&quot;00673E7C&quot;/&gt;&lt;wsp:rsid wsp:val=&quot;00691F79&quot;/&gt;&lt;wsp:rsid wsp:val=&quot;006A1F85&quot;/&gt;&lt;wsp:rsid wsp:val=&quot;006D3C06&quot;/&gt;&lt;wsp:rsid wsp:val=&quot;006E7B92&quot;/&gt;&lt;wsp:rsid wsp:val=&quot;00701A3C&quot;/&gt;&lt;wsp:rsid wsp:val=&quot;0070531A&quot;/&gt;&lt;wsp:rsid wsp:val=&quot;00720233&quot;/&gt;&lt;wsp:rsid wsp:val=&quot;00736E46&quot;/&gt;&lt;wsp:rsid wsp:val=&quot;007608C5&quot;/&gt;&lt;wsp:rsid wsp:val=&quot;00783D63&quot;/&gt;&lt;wsp:rsid wsp:val=&quot;007924EE&quot;/&gt;&lt;wsp:rsid wsp:val=&quot;00795D1C&quot;/&gt;&lt;wsp:rsid wsp:val=&quot;007C03FD&quot;/&gt;&lt;wsp:rsid wsp:val=&quot;007D13F1&quot;/&gt;&lt;wsp:rsid wsp:val=&quot;007E5AED&quot;/&gt;&lt;wsp:rsid wsp:val=&quot;007F0702&quot;/&gt;&lt;wsp:rsid wsp:val=&quot;008128BE&quot;/&gt;&lt;wsp:rsid wsp:val=&quot;008233EC&quot;/&gt;&lt;wsp:rsid wsp:val=&quot;008455BD&quot;/&gt;&lt;wsp:rsid wsp:val=&quot;00863452&quot;/&gt;&lt;wsp:rsid wsp:val=&quot;0086552C&quot;/&gt;&lt;wsp:rsid wsp:val=&quot;0087036A&quot;/&gt;&lt;wsp:rsid wsp:val=&quot;0088282D&quot;/&gt;&lt;wsp:rsid wsp:val=&quot;008A4CAD&quot;/&gt;&lt;wsp:rsid wsp:val=&quot;008B080A&quot;/&gt;&lt;wsp:rsid wsp:val=&quot;008C1F06&quot;/&gt;&lt;wsp:rsid wsp:val=&quot;008C54BF&quot;/&gt;&lt;wsp:rsid wsp:val=&quot;008D0244&quot;/&gt;&lt;wsp:rsid wsp:val=&quot;008D6F56&quot;/&gt;&lt;wsp:rsid wsp:val=&quot;008D74E5&quot;/&gt;&lt;wsp:rsid wsp:val=&quot;008F4750&quot;/&gt;&lt;wsp:rsid wsp:val=&quot;008F538A&quot;/&gt;&lt;wsp:rsid wsp:val=&quot;00914603&quot;/&gt;&lt;wsp:rsid wsp:val=&quot;009328C5&quot;/&gt;&lt;wsp:rsid wsp:val=&quot;00935CFF&quot;/&gt;&lt;wsp:rsid wsp:val=&quot;00946B86&quot;/&gt;&lt;wsp:rsid wsp:val=&quot;009551C7&quot;/&gt;&lt;wsp:rsid wsp:val=&quot;009576D9&quot;/&gt;&lt;wsp:rsid wsp:val=&quot;009854A2&quot;/&gt;&lt;wsp:rsid wsp:val=&quot;00991CBC&quot;/&gt;&lt;wsp:rsid wsp:val=&quot;00993D89&quot;/&gt;&lt;wsp:rsid wsp:val=&quot;009B4361&quot;/&gt;&lt;wsp:rsid wsp:val=&quot;009C1076&quot;/&gt;&lt;wsp:rsid wsp:val=&quot;009F2EEA&quot;/&gt;&lt;wsp:rsid wsp:val=&quot;00A012AF&quot;/&gt;&lt;wsp:rsid wsp:val=&quot;00A05E83&quot;/&gt;&lt;wsp:rsid wsp:val=&quot;00A40E21&quot;/&gt;&lt;wsp:rsid wsp:val=&quot;00A93A23&quot;/&gt;&lt;wsp:rsid wsp:val=&quot;00AA1EBE&quot;/&gt;&lt;wsp:rsid wsp:val=&quot;00AC2CF4&quot;/&gt;&lt;wsp:rsid wsp:val=&quot;00AC5413&quot;/&gt;&lt;wsp:rsid wsp:val=&quot;00AC5C26&quot;/&gt;&lt;wsp:rsid wsp:val=&quot;00B34459&quot;/&gt;&lt;wsp:rsid wsp:val=&quot;00B83017&quot;/&gt;&lt;wsp:rsid wsp:val=&quot;00BA091F&quot;/&gt;&lt;wsp:rsid wsp:val=&quot;00BC7D76&quot;/&gt;&lt;wsp:rsid wsp:val=&quot;00BD7C61&quot;/&gt;&lt;wsp:rsid wsp:val=&quot;00C116B0&quot;/&gt;&lt;wsp:rsid wsp:val=&quot;00C258A6&quot;/&gt;&lt;wsp:rsid wsp:val=&quot;00C3060B&quot;/&gt;&lt;wsp:rsid wsp:val=&quot;00C40369&quot;/&gt;&lt;wsp:rsid wsp:val=&quot;00C53818&quot;/&gt;&lt;wsp:rsid wsp:val=&quot;00C954E0&quot;/&gt;&lt;wsp:rsid wsp:val=&quot;00CC39CD&quot;/&gt;&lt;wsp:rsid wsp:val=&quot;00CC50D3&quot;/&gt;&lt;wsp:rsid wsp:val=&quot;00CE2E70&quot;/&gt;&lt;wsp:rsid wsp:val=&quot;00CF2EF6&quot;/&gt;&lt;wsp:rsid wsp:val=&quot;00D22E8F&quot;/&gt;&lt;wsp:rsid wsp:val=&quot;00D34ABD&quot;/&gt;&lt;wsp:rsid wsp:val=&quot;00D5416F&quot;/&gt;&lt;wsp:rsid wsp:val=&quot;00D72A06&quot;/&gt;&lt;wsp:rsid wsp:val=&quot;00D821E8&quot;/&gt;&lt;wsp:rsid wsp:val=&quot;00D87C57&quot;/&gt;&lt;wsp:rsid wsp:val=&quot;00DC5FE7&quot;/&gt;&lt;wsp:rsid wsp:val=&quot;00DD61CB&quot;/&gt;&lt;wsp:rsid wsp:val=&quot;00DE2BFE&quot;/&gt;&lt;wsp:rsid wsp:val=&quot;00E02507&quot;/&gt;&lt;wsp:rsid wsp:val=&quot;00E05FF1&quot;/&gt;&lt;wsp:rsid wsp:val=&quot;00E30F5C&quot;/&gt;&lt;wsp:rsid wsp:val=&quot;00E545D8&quot;/&gt;&lt;wsp:rsid wsp:val=&quot;00E63DBF&quot;/&gt;&lt;wsp:rsid wsp:val=&quot;00E7014D&quot;/&gt;&lt;wsp:rsid wsp:val=&quot;00E8798B&quot;/&gt;&lt;wsp:rsid wsp:val=&quot;00EA0AC4&quot;/&gt;&lt;wsp:rsid wsp:val=&quot;00EA4FA3&quot;/&gt;&lt;wsp:rsid wsp:val=&quot;00EB1B53&quot;/&gt;&lt;wsp:rsid wsp:val=&quot;00EC008A&quot;/&gt;&lt;wsp:rsid wsp:val=&quot;00EC1592&quot;/&gt;&lt;wsp:rsid wsp:val=&quot;00ED5FAA&quot;/&gt;&lt;wsp:rsid wsp:val=&quot;00ED79C7&quot;/&gt;&lt;wsp:rsid wsp:val=&quot;00EE2C22&quot;/&gt;&lt;wsp:rsid wsp:val=&quot;00F04CC8&quot;/&gt;&lt;wsp:rsid wsp:val=&quot;00F37DC9&quot;/&gt;&lt;wsp:rsid wsp:val=&quot;00F37E9B&quot;/&gt;&lt;wsp:rsid wsp:val=&quot;00F41EC1&quot;/&gt;&lt;wsp:rsid wsp:val=&quot;00F7577C&quot;/&gt;&lt;wsp:rsid wsp:val=&quot;00F76501&quot;/&gt;&lt;wsp:rsid wsp:val=&quot;00F83191&quot;/&gt;&lt;wsp:rsid wsp:val=&quot;00F930BC&quot;/&gt;&lt;wsp:rsid wsp:val=&quot;00F94C2E&quot;/&gt;&lt;wsp:rsid wsp:val=&quot;00FE6CB6&quot;/&gt;&lt;/wsp:rsids&gt;&lt;/w:docPr&gt;&lt;w:body&gt;&lt;wx:sect&gt;&lt;w:p wsp:rsidR=&quot;00000000&quot; wsp:rsidRPr=&quot;00F7577C&quot; wsp:rsidRDefault=&quot;00F7577C&quot; wsp:rsidP=&quot;00F7577C&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EST&lt;/m:t&gt;&lt;/m:r&gt;&lt;/m:e&gt;&lt;m:sub&gt;&lt;m:r&gt;&lt;w:rPr&gt;&lt;w:rFonts w:ascii=&quot;Cambria Math&quot; w:h-ansi=&quot;Cambria Math&quot;/&gt;&lt;wx:font wx:val=&quot;Cambria Math&quot;/&gt;&lt;w:i/&gt;&lt;/w:rPr&gt;&lt;m:t&gt;t&lt;/m:t&gt;&lt;/m:r&gt;&lt;/m:sub&gt;&lt;/m:sSub&gt;&lt;m:r&gt;&lt;w:rPr&gt;&lt;w:rFonts w:ascii=&quot;Cambria Math&quot; w:h-ansi=&quot;Cambria Math&quot;/&gt;&lt;wx:font wx:val=&quot;Cambria Math&quot;/&gt;&lt;w:i/&gt;&lt;/w:rPr&gt;&lt;m:t&gt;=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Œ≤&lt;/m:t&gt;&lt;/m:r&gt;&lt;/m:e&gt;&lt;m:sub&gt;&lt;m:r&gt;&lt;w:rPr&gt;&lt;w:rFonts w:ascii=&quot;Cambria Math&quot; w:h-ansi=&quot;Cambria Math&quot;/&gt;&lt;wx:font wx:val=&quot;Cambria Math&quot;/&gt;&lt;w:i/&gt;&lt;/w:rPr&gt;&lt;m:t&gt;0&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Œ≤&lt;/m:t&gt;&lt;/m:r&gt;&lt;/m:e&gt;&lt;m:sub&gt;&lt;m:r&gt;&lt;w:rPr&gt;&lt;w:rFonts w:ascii=&quot;Cambria Math&quot; w:h-ansi=&quot;Cambria Math&quot;/&gt;&lt;wx:font wx:val=&quot;Cambria Math&quot;/&gt;&lt;w:i/&gt;&lt;/w:rPr&gt;&lt;m:t&gt;1&lt;/m:t&gt;&lt;/m:r&gt;&lt;/m:sub&gt;&lt;/m:s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nUP&lt;/m:t&gt;&lt;/m:r&gt;&lt;/m:e&gt;&lt;m:sub&gt;&lt;m:r&gt;&lt;w:rPr&gt;&lt;w:rFonts w:ascii=&quot;Cambria Math&quot; w:h-ansi=&quot;Cambria Math&quot;/&gt;&lt;wx:font wx:val=&quot;Cambria Math&quot;/&gt;&lt;w:i/&gt;&lt;/w:rPr&gt;&lt;m:t&gt;t&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Œ≤&lt;/m:t&gt;&lt;/m:r&gt;&lt;/m:e&gt;&lt;m:sub&gt;&lt;m:r&gt;&lt;w:rPr&gt;&lt;w:rFonts w:ascii=&quot;Cambria Math&quot; w:h-ansi=&quot;Cambria Math&quot;/&gt;&lt;wx:font wx:val=&quot;Cambria Math&quot;/&gt;&lt;w:i/&gt;&lt;/w:rPr&gt;&lt;m:t&gt;2&lt;/m:t&gt;&lt;/m:r&gt;&lt;/m:sub&gt;&lt;/m:s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nGDP&lt;/m:t&gt;&lt;/m:r&gt;&lt;/m:e&gt;&lt;m:sub&gt;&lt;m:r&gt;&lt;w:rPr&gt;&lt;w:rFonts w:ascii=&quot;Cambria Math&quot; w:h-ansi=&quot;Cambria Math&quot;/&gt;&lt;wx:font wx:val=&quot;Cambria Math&quot;/&gt;&lt;w:i/&gt;&lt;/w:rPr&gt;&lt;m:t&gt;t&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Œ≤&lt;/m:t&gt;&lt;/m:r&gt;&lt;/m:e&gt;&lt;m:sub&gt;&lt;m:r&gt;&lt;w:rPr&gt;&lt;w:rFonts w:ascii=&quot;Cambria Math&quot; w:h-ansi=&quot;Cambria Math&quot;/&gt;&lt;wx:font wx:val=&quot;Cambria Math&quot;/&gt;&lt;w:i/&gt;&lt;/w:rPr&gt;&lt;m:t&gt;3&lt;/m:t&gt;&lt;/m:r&gt;&lt;/m:sub&gt;&lt;/m:s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nE&lt;/m:t&gt;&lt;/m:r&gt;&lt;/m:e&gt;&lt;m:sub&gt;&lt;m:r&gt;&lt;w:rPr&gt;&lt;w:rFonts w:ascii=&quot;Cambria Math&quot; w:h-ansi=&quot;Cambria Math&quot;/&gt;&lt;wx:font wx:val=&quot;Cambria Math&quot;/&gt;&lt;w:i/&gt;&lt;/w:rPr&gt;&lt;m:t&gt;t&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Œ≤&lt;/m:t&gt;&lt;/m:r&gt;&lt;/m:e&gt;&lt;m:sub&gt;&lt;m:r&gt;&lt;w:rPr&gt;&lt;w:rFonts w:ascii=&quot;Cambria Math&quot; w:h-ansi=&quot;Cambria Math&quot;/&gt;&lt;wx:font wx:val=&quot;Cambria Math&quot;/&gt;&lt;w:i/&gt;&lt;/w:rPr&gt;&lt;m:t&gt;4&lt;/m:t&gt;&lt;/m:r&gt;&lt;/m:sub&gt;&lt;/m:s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nWP&lt;/m:t&gt;&lt;/m:r&gt;&lt;/m:e&gt;&lt;m:sub&gt;&lt;m:r&gt;&lt;w:rPr&gt;&lt;w:rFonts w:ascii=&quot;Cambria Math&quot; w:h-ansi=&quot;Cambria Math&quot;/&gt;&lt;wx:font wx:val=&quot;Cambria Math&quot;/&gt;&lt;w:i/&gt;&lt;/w:rPr&gt;&lt;m:t&gt;t&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Œ≤&lt;/m:t&gt;&lt;/m:r&gt;&lt;/m:e&gt;&lt;m:sub&gt;&lt;m:r&gt;&lt;w:rPr&gt;&lt;w:rFonts w:ascii=&quot;Cambria Math&quot; w:h-ansi=&quot;Cambria Math&quot;/&gt;&lt;wx:font wx:val=&quot;Cambria Math&quot;/&gt;&lt;w:i/&gt;&lt;/w:rPr&gt;&lt;m:t&gt;5&lt;/m:t&gt;&lt;/m:r&gt;&lt;/m:sub&gt;&lt;/m:s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nFIN&lt;/m:t&gt;&lt;/m:r&gt;&lt;/m:e&gt;&lt;m:sub&gt;&lt;m:r&gt;&lt;w:rPr&gt;&lt;w:rFonts w:ascii=&quot;Cambria Math&quot; w:h-ansi=&quot;Cambria Math&quot;/&gt;&lt;wx:font wx:val=&quot;Cambria Math&quot;/&gt;&lt;w:i/&gt;&lt;/w:rPr&gt;&lt;m:t&gt;t&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Œº&lt;/m:t&gt;&lt;/m:r&gt;&lt;/m:e&gt;&lt;m:sub&gt;&lt;m:r&gt;&lt;w:rPr&gt;&lt;w:rFonts w:ascii=&quot;Cambria Math&quot; w:h-ansi=&quot;Cambria Math&quot;/&gt;&lt;wx:font wx:val=&quot;Cambria Math&quot;/&gt;&lt;w:i/&gt;&lt;/w:rPr&gt;&lt;m:t&gt;t&lt;/m:t&gt;&lt;/m:r&gt;&lt;/m:sub&gt;&lt;/m:sSub&gt;&lt;m:r&gt;&lt;w:rPr&gt;&lt;w:rFonts w:ascii=&quot;Cambria Math&quot; w:h-ansi=&quot;Cambria Math&quot;/&gt;&lt;wx:font wx:val=&quot;Cambria Math&quot;/&gt;&lt;w:i/&gt;&lt;/w:rPr&gt;&lt;m:t&gt;------------(2)&lt;/m:t&gt;&lt;/m:r&gt;&lt;/m:oMath&gt;&lt;/m:oMathPara&gt;&lt;/w:p&gt;&lt;w:sectPr wsp:rsidR=&quot;00000000&quot; wsp:rsidRPr=&quot;00F7577C&quot;&gt;&lt;w:pgSz w:w=&quot;12240&quot; w:h=&quot;15840&quot;/&gt;&lt;w:pgMar w:top=&quot;1440&quot; w:right=&quot;1440&quot; w:bottom=&quot;1440&quot; w:left=&quot;1440&quot; w:header=&quot;720&quot; w:footer=&quot;720&quot; w:gutter=&quot;0&quot;/&gt;&lt;w:cols w:space=&quot;720&quot;/&gt;&lt;/w:sectPr&gt;&lt;/wx:sect&gt;&lt;/w:body&gt;&lt;/w:wordDocument&gt;">
            <v:imagedata r:id="rId5" o:title="" chromakey="white"/>
          </v:shape>
        </w:pict>
      </w:r>
    </w:p>
    <w:p w:rsidR="00D41071" w:rsidRPr="001972F0" w:rsidRDefault="00D41071" w:rsidP="00D41071">
      <w:pPr>
        <w:spacing w:after="120"/>
        <w:ind w:left="709"/>
        <w:jc w:val="both"/>
        <w:rPr>
          <w:color w:val="000000"/>
        </w:rPr>
      </w:pPr>
    </w:p>
    <w:p w:rsidR="00D41071" w:rsidRPr="001972F0" w:rsidRDefault="00D41071" w:rsidP="00D41071">
      <w:pPr>
        <w:shd w:val="clear" w:color="auto" w:fill="FFFFFF"/>
        <w:spacing w:before="100" w:beforeAutospacing="1" w:after="120"/>
        <w:ind w:left="709"/>
        <w:jc w:val="both"/>
        <w:rPr>
          <w:color w:val="000000"/>
          <w:lang w:val="en-GB" w:eastAsia="en-GB"/>
        </w:rPr>
      </w:pPr>
      <w:r w:rsidRPr="001972F0">
        <w:rPr>
          <w:color w:val="000000"/>
          <w:lang w:val="en-GB" w:eastAsia="en-GB"/>
        </w:rPr>
        <w:t>Where: EST</w:t>
      </w:r>
      <w:r w:rsidRPr="001972F0">
        <w:rPr>
          <w:color w:val="000000"/>
          <w:vertAlign w:val="subscript"/>
          <w:lang w:val="en-GB" w:eastAsia="en-GB"/>
        </w:rPr>
        <w:t xml:space="preserve">t </w:t>
      </w:r>
      <w:r w:rsidRPr="001972F0">
        <w:rPr>
          <w:color w:val="000000"/>
          <w:lang w:val="en-GB" w:eastAsia="en-GB"/>
        </w:rPr>
        <w:t>is environmental unsustainability, lnUP</w:t>
      </w:r>
      <w:r w:rsidRPr="001972F0">
        <w:rPr>
          <w:color w:val="000000"/>
          <w:vertAlign w:val="subscript"/>
          <w:lang w:val="en-GB" w:eastAsia="en-GB"/>
        </w:rPr>
        <w:t>t</w:t>
      </w:r>
      <w:r w:rsidRPr="001972F0">
        <w:rPr>
          <w:color w:val="000000"/>
          <w:lang w:val="en-GB" w:eastAsia="en-GB"/>
        </w:rPr>
        <w:t xml:space="preserve"> is the natural logarithm of urban population growth rate, lnGDP</w:t>
      </w:r>
      <w:r w:rsidRPr="001972F0">
        <w:rPr>
          <w:color w:val="000000"/>
          <w:vertAlign w:val="subscript"/>
          <w:lang w:val="en-GB" w:eastAsia="en-GB"/>
        </w:rPr>
        <w:t xml:space="preserve">t </w:t>
      </w:r>
      <w:r w:rsidRPr="001972F0">
        <w:rPr>
          <w:color w:val="000000"/>
          <w:lang w:val="en-GB" w:eastAsia="en-GB"/>
        </w:rPr>
        <w:t xml:space="preserve">is the natural logarithm of </w:t>
      </w:r>
      <w:r>
        <w:rPr>
          <w:color w:val="000000"/>
          <w:lang w:val="en-GB" w:eastAsia="en-GB"/>
        </w:rPr>
        <w:t>GDP</w:t>
      </w:r>
      <w:r w:rsidRPr="001972F0">
        <w:rPr>
          <w:color w:val="000000"/>
          <w:lang w:val="en-GB" w:eastAsia="en-GB"/>
        </w:rPr>
        <w:t xml:space="preserve"> per capita used as proxy for affluence, lnE</w:t>
      </w:r>
      <w:r w:rsidRPr="001972F0">
        <w:rPr>
          <w:color w:val="000000"/>
          <w:vertAlign w:val="subscript"/>
          <w:lang w:val="en-GB" w:eastAsia="en-GB"/>
        </w:rPr>
        <w:t>t</w:t>
      </w:r>
      <w:r w:rsidRPr="001972F0">
        <w:rPr>
          <w:color w:val="000000"/>
          <w:lang w:val="en-GB" w:eastAsia="en-GB"/>
        </w:rPr>
        <w:t xml:space="preserve"> is the natural logarithm of energy consumption used as proxy for technology, lnWP</w:t>
      </w:r>
      <w:r w:rsidRPr="001972F0">
        <w:rPr>
          <w:color w:val="000000"/>
          <w:vertAlign w:val="subscript"/>
          <w:lang w:val="en-GB" w:eastAsia="en-GB"/>
        </w:rPr>
        <w:t xml:space="preserve">t </w:t>
      </w:r>
      <w:r w:rsidRPr="001972F0">
        <w:rPr>
          <w:color w:val="000000"/>
          <w:lang w:val="en-GB" w:eastAsia="en-GB"/>
        </w:rPr>
        <w:t>is the natural logarithm of active working population, lnFIN</w:t>
      </w:r>
      <w:r w:rsidRPr="001972F0">
        <w:rPr>
          <w:color w:val="000000"/>
          <w:vertAlign w:val="subscript"/>
          <w:lang w:val="en-GB" w:eastAsia="en-GB"/>
        </w:rPr>
        <w:t>t</w:t>
      </w:r>
      <w:r w:rsidRPr="001972F0">
        <w:rPr>
          <w:color w:val="000000"/>
          <w:lang w:val="en-GB" w:eastAsia="en-GB"/>
        </w:rPr>
        <w:t xml:space="preserve">  is the natural logarithm of financial development and </w:t>
      </w:r>
      <w:r w:rsidRPr="001972F0">
        <w:rPr>
          <w:color w:val="000000"/>
          <w:lang w:val="en-GB" w:eastAsia="en-GB"/>
        </w:rPr>
        <w:sym w:font="Symbol" w:char="F06D"/>
      </w:r>
      <w:r w:rsidRPr="001972F0">
        <w:rPr>
          <w:color w:val="000000"/>
          <w:lang w:val="en-GB" w:eastAsia="en-GB"/>
        </w:rPr>
        <w:t>t is the error term.</w:t>
      </w:r>
    </w:p>
    <w:p w:rsidR="00D41071" w:rsidRPr="001972F0" w:rsidRDefault="00D41071" w:rsidP="00D41071">
      <w:pPr>
        <w:autoSpaceDE w:val="0"/>
        <w:autoSpaceDN w:val="0"/>
        <w:adjustRightInd w:val="0"/>
        <w:spacing w:before="240" w:after="120"/>
        <w:ind w:left="709"/>
        <w:jc w:val="both"/>
        <w:rPr>
          <w:color w:val="000000"/>
        </w:rPr>
      </w:pPr>
      <w:r w:rsidRPr="001972F0">
        <w:rPr>
          <w:color w:val="000000"/>
          <w:lang w:val="en-GB" w:eastAsia="en-GB"/>
        </w:rPr>
        <w:t xml:space="preserve">The study adopts the Autoregressive Distributed Lag (ARDL) technique and its cointegration approach i.e. bounds test is used to establish the presence (absence) of long run relationship between the variables. This approach has some advantages over others in the sense that it is applicable for series that exhibit a mixed order of integration i.e. I(0) and I(1) variables. Similarly, the ARDL technique </w:t>
      </w:r>
      <w:r w:rsidRPr="001972F0">
        <w:rPr>
          <w:color w:val="000000"/>
        </w:rPr>
        <w:t>estimates simultaneously the long-run and short-run parameters of the model. The ARDL model to be estimated is represented below:</w:t>
      </w:r>
    </w:p>
    <w:p w:rsidR="00D41071" w:rsidRPr="001972F0" w:rsidRDefault="00021B6A" w:rsidP="00D41071">
      <w:pPr>
        <w:tabs>
          <w:tab w:val="left" w:pos="3974"/>
        </w:tabs>
        <w:spacing w:after="120"/>
        <w:ind w:left="709"/>
        <w:rPr>
          <w:color w:val="000000"/>
        </w:rPr>
      </w:pPr>
      <w:r w:rsidRPr="001972F0">
        <w:rPr>
          <w:noProof/>
          <w:color w:val="000000"/>
        </w:rPr>
        <w:pict w14:anchorId="3F263D1B">
          <v:shape id="_x0000_i1027" type="#_x0000_t75" alt="" style="width:454pt;height:109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16&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C39CD&quot;/&gt;&lt;wsp:rsid wsp:val=&quot;0000520B&quot;/&gt;&lt;wsp:rsid wsp:val=&quot;000235A0&quot;/&gt;&lt;wsp:rsid wsp:val=&quot;00037C97&quot;/&gt;&lt;wsp:rsid wsp:val=&quot;000475E5&quot;/&gt;&lt;wsp:rsid wsp:val=&quot;00063F5A&quot;/&gt;&lt;wsp:rsid wsp:val=&quot;0006670F&quot;/&gt;&lt;wsp:rsid wsp:val=&quot;00090F45&quot;/&gt;&lt;wsp:rsid wsp:val=&quot;000975CB&quot;/&gt;&lt;wsp:rsid wsp:val=&quot;000C1F9E&quot;/&gt;&lt;wsp:rsid wsp:val=&quot;000C75E9&quot;/&gt;&lt;wsp:rsid wsp:val=&quot;000D17EC&quot;/&gt;&lt;wsp:rsid wsp:val=&quot;000D3E96&quot;/&gt;&lt;wsp:rsid wsp:val=&quot;0010141C&quot;/&gt;&lt;wsp:rsid wsp:val=&quot;0010357D&quot;/&gt;&lt;wsp:rsid wsp:val=&quot;001315CE&quot;/&gt;&lt;wsp:rsid wsp:val=&quot;00132663&quot;/&gt;&lt;wsp:rsid wsp:val=&quot;0016594D&quot;/&gt;&lt;wsp:rsid wsp:val=&quot;001674DF&quot;/&gt;&lt;wsp:rsid wsp:val=&quot;001B1F59&quot;/&gt;&lt;wsp:rsid wsp:val=&quot;001C2EA5&quot;/&gt;&lt;wsp:rsid wsp:val=&quot;001C7342&quot;/&gt;&lt;wsp:rsid wsp:val=&quot;002271A3&quot;/&gt;&lt;wsp:rsid wsp:val=&quot;0026053F&quot;/&gt;&lt;wsp:rsid wsp:val=&quot;00263E65&quot;/&gt;&lt;wsp:rsid wsp:val=&quot;002665EF&quot;/&gt;&lt;wsp:rsid wsp:val=&quot;0027555D&quot;/&gt;&lt;wsp:rsid wsp:val=&quot;00282755&quot;/&gt;&lt;wsp:rsid wsp:val=&quot;00290F9E&quot;/&gt;&lt;wsp:rsid wsp:val=&quot;00290FAE&quot;/&gt;&lt;wsp:rsid wsp:val=&quot;00292286&quot;/&gt;&lt;wsp:rsid wsp:val=&quot;002A2DF0&quot;/&gt;&lt;wsp:rsid wsp:val=&quot;002D2828&quot;/&gt;&lt;wsp:rsid wsp:val=&quot;002D7ABF&quot;/&gt;&lt;wsp:rsid wsp:val=&quot;0031150D&quot;/&gt;&lt;wsp:rsid wsp:val=&quot;00323D82&quot;/&gt;&lt;wsp:rsid wsp:val=&quot;00324E48&quot;/&gt;&lt;wsp:rsid wsp:val=&quot;003329A3&quot;/&gt;&lt;wsp:rsid wsp:val=&quot;003342CD&quot;/&gt;&lt;wsp:rsid wsp:val=&quot;0034147D&quot;/&gt;&lt;wsp:rsid wsp:val=&quot;00347602&quot;/&gt;&lt;wsp:rsid wsp:val=&quot;00352FD3&quot;/&gt;&lt;wsp:rsid wsp:val=&quot;003D7B73&quot;/&gt;&lt;wsp:rsid wsp:val=&quot;003E416D&quot;/&gt;&lt;wsp:rsid wsp:val=&quot;00412C47&quot;/&gt;&lt;wsp:rsid wsp:val=&quot;0041469D&quot;/&gt;&lt;wsp:rsid wsp:val=&quot;00437828&quot;/&gt;&lt;wsp:rsid wsp:val=&quot;00483537&quot;/&gt;&lt;wsp:rsid wsp:val=&quot;004A4020&quot;/&gt;&lt;wsp:rsid wsp:val=&quot;004B0F6D&quot;/&gt;&lt;wsp:rsid wsp:val=&quot;004B4A1C&quot;/&gt;&lt;wsp:rsid wsp:val=&quot;004D6F57&quot;/&gt;&lt;wsp:rsid wsp:val=&quot;004E7848&quot;/&gt;&lt;wsp:rsid wsp:val=&quot;004F6E75&quot;/&gt;&lt;wsp:rsid wsp:val=&quot;0051505C&quot;/&gt;&lt;wsp:rsid wsp:val=&quot;005218AA&quot;/&gt;&lt;wsp:rsid wsp:val=&quot;00522970&quot;/&gt;&lt;wsp:rsid wsp:val=&quot;0052459B&quot;/&gt;&lt;wsp:rsid wsp:val=&quot;00532F55&quot;/&gt;&lt;wsp:rsid wsp:val=&quot;00535487&quot;/&gt;&lt;wsp:rsid wsp:val=&quot;0055469E&quot;/&gt;&lt;wsp:rsid wsp:val=&quot;00554B72&quot;/&gt;&lt;wsp:rsid wsp:val=&quot;00555C4A&quot;/&gt;&lt;wsp:rsid wsp:val=&quot;00555E06&quot;/&gt;&lt;wsp:rsid wsp:val=&quot;00557B01&quot;/&gt;&lt;wsp:rsid wsp:val=&quot;00561DF4&quot;/&gt;&lt;wsp:rsid wsp:val=&quot;0056703C&quot;/&gt;&lt;wsp:rsid wsp:val=&quot;005955A2&quot;/&gt;&lt;wsp:rsid wsp:val=&quot;005B2564&quot;/&gt;&lt;wsp:rsid wsp:val=&quot;005C4E77&quot;/&gt;&lt;wsp:rsid wsp:val=&quot;0060398F&quot;/&gt;&lt;wsp:rsid wsp:val=&quot;00603EAA&quot;/&gt;&lt;wsp:rsid wsp:val=&quot;00605FAB&quot;/&gt;&lt;wsp:rsid wsp:val=&quot;0062160A&quot;/&gt;&lt;wsp:rsid wsp:val=&quot;006240C2&quot;/&gt;&lt;wsp:rsid wsp:val=&quot;006508BB&quot;/&gt;&lt;wsp:rsid wsp:val=&quot;00672940&quot;/&gt;&lt;wsp:rsid wsp:val=&quot;00673E7C&quot;/&gt;&lt;wsp:rsid wsp:val=&quot;00691F79&quot;/&gt;&lt;wsp:rsid wsp:val=&quot;006A1F85&quot;/&gt;&lt;wsp:rsid wsp:val=&quot;006D3C06&quot;/&gt;&lt;wsp:rsid wsp:val=&quot;006E7B92&quot;/&gt;&lt;wsp:rsid wsp:val=&quot;00701A3C&quot;/&gt;&lt;wsp:rsid wsp:val=&quot;0070531A&quot;/&gt;&lt;wsp:rsid wsp:val=&quot;00720233&quot;/&gt;&lt;wsp:rsid wsp:val=&quot;00736E46&quot;/&gt;&lt;wsp:rsid wsp:val=&quot;007608C5&quot;/&gt;&lt;wsp:rsid wsp:val=&quot;00783D63&quot;/&gt;&lt;wsp:rsid wsp:val=&quot;007924EE&quot;/&gt;&lt;wsp:rsid wsp:val=&quot;00795D1C&quot;/&gt;&lt;wsp:rsid wsp:val=&quot;007C03FD&quot;/&gt;&lt;wsp:rsid wsp:val=&quot;007D13F1&quot;/&gt;&lt;wsp:rsid wsp:val=&quot;007E5AED&quot;/&gt;&lt;wsp:rsid wsp:val=&quot;007F0702&quot;/&gt;&lt;wsp:rsid wsp:val=&quot;008128BE&quot;/&gt;&lt;wsp:rsid wsp:val=&quot;008233EC&quot;/&gt;&lt;wsp:rsid wsp:val=&quot;008455BD&quot;/&gt;&lt;wsp:rsid wsp:val=&quot;00863452&quot;/&gt;&lt;wsp:rsid wsp:val=&quot;0086552C&quot;/&gt;&lt;wsp:rsid wsp:val=&quot;0087036A&quot;/&gt;&lt;wsp:rsid wsp:val=&quot;0088282D&quot;/&gt;&lt;wsp:rsid wsp:val=&quot;008A4CAD&quot;/&gt;&lt;wsp:rsid wsp:val=&quot;008B080A&quot;/&gt;&lt;wsp:rsid wsp:val=&quot;008C1F06&quot;/&gt;&lt;wsp:rsid wsp:val=&quot;008C54BF&quot;/&gt;&lt;wsp:rsid wsp:val=&quot;008D0244&quot;/&gt;&lt;wsp:rsid wsp:val=&quot;008D6F56&quot;/&gt;&lt;wsp:rsid wsp:val=&quot;008D74E5&quot;/&gt;&lt;wsp:rsid wsp:val=&quot;008F4750&quot;/&gt;&lt;wsp:rsid wsp:val=&quot;008F538A&quot;/&gt;&lt;wsp:rsid wsp:val=&quot;00914603&quot;/&gt;&lt;wsp:rsid wsp:val=&quot;009328C5&quot;/&gt;&lt;wsp:rsid wsp:val=&quot;00935CFF&quot;/&gt;&lt;wsp:rsid wsp:val=&quot;00946B86&quot;/&gt;&lt;wsp:rsid wsp:val=&quot;009551C7&quot;/&gt;&lt;wsp:rsid wsp:val=&quot;009576D9&quot;/&gt;&lt;wsp:rsid wsp:val=&quot;009854A2&quot;/&gt;&lt;wsp:rsid wsp:val=&quot;00991CBC&quot;/&gt;&lt;wsp:rsid wsp:val=&quot;00993D89&quot;/&gt;&lt;wsp:rsid wsp:val=&quot;009B4361&quot;/&gt;&lt;wsp:rsid wsp:val=&quot;009C1076&quot;/&gt;&lt;wsp:rsid wsp:val=&quot;009F2EEA&quot;/&gt;&lt;wsp:rsid wsp:val=&quot;00A012AF&quot;/&gt;&lt;wsp:rsid wsp:val=&quot;00A05E83&quot;/&gt;&lt;wsp:rsid wsp:val=&quot;00A40E21&quot;/&gt;&lt;wsp:rsid wsp:val=&quot;00A93A23&quot;/&gt;&lt;wsp:rsid wsp:val=&quot;00AA0517&quot;/&gt;&lt;wsp:rsid wsp:val=&quot;00AA1EBE&quot;/&gt;&lt;wsp:rsid wsp:val=&quot;00AC2CF4&quot;/&gt;&lt;wsp:rsid wsp:val=&quot;00AC5413&quot;/&gt;&lt;wsp:rsid wsp:val=&quot;00AC5C26&quot;/&gt;&lt;wsp:rsid wsp:val=&quot;00B34459&quot;/&gt;&lt;wsp:rsid wsp:val=&quot;00B83017&quot;/&gt;&lt;wsp:rsid wsp:val=&quot;00BA091F&quot;/&gt;&lt;wsp:rsid wsp:val=&quot;00BC7D76&quot;/&gt;&lt;wsp:rsid wsp:val=&quot;00BD7C61&quot;/&gt;&lt;wsp:rsid wsp:val=&quot;00C258A6&quot;/&gt;&lt;wsp:rsid wsp:val=&quot;00C3060B&quot;/&gt;&lt;wsp:rsid wsp:val=&quot;00C40369&quot;/&gt;&lt;wsp:rsid wsp:val=&quot;00C53818&quot;/&gt;&lt;wsp:rsid wsp:val=&quot;00C954E0&quot;/&gt;&lt;wsp:rsid wsp:val=&quot;00CC39CD&quot;/&gt;&lt;wsp:rsid wsp:val=&quot;00CC50D3&quot;/&gt;&lt;wsp:rsid wsp:val=&quot;00CE2E70&quot;/&gt;&lt;wsp:rsid wsp:val=&quot;00CF2EF6&quot;/&gt;&lt;wsp:rsid wsp:val=&quot;00D22E8F&quot;/&gt;&lt;wsp:rsid wsp:val=&quot;00D34ABD&quot;/&gt;&lt;wsp:rsid wsp:val=&quot;00D5416F&quot;/&gt;&lt;wsp:rsid wsp:val=&quot;00D72A06&quot;/&gt;&lt;wsp:rsid wsp:val=&quot;00D821E8&quot;/&gt;&lt;wsp:rsid wsp:val=&quot;00D87C57&quot;/&gt;&lt;wsp:rsid wsp:val=&quot;00DC5FE7&quot;/&gt;&lt;wsp:rsid wsp:val=&quot;00DD61CB&quot;/&gt;&lt;wsp:rsid wsp:val=&quot;00DE2BFE&quot;/&gt;&lt;wsp:rsid wsp:val=&quot;00E02507&quot;/&gt;&lt;wsp:rsid wsp:val=&quot;00E05FF1&quot;/&gt;&lt;wsp:rsid wsp:val=&quot;00E30F5C&quot;/&gt;&lt;wsp:rsid wsp:val=&quot;00E545D8&quot;/&gt;&lt;wsp:rsid wsp:val=&quot;00E63DBF&quot;/&gt;&lt;wsp:rsid wsp:val=&quot;00E7014D&quot;/&gt;&lt;wsp:rsid wsp:val=&quot;00E8798B&quot;/&gt;&lt;wsp:rsid wsp:val=&quot;00EA0AC4&quot;/&gt;&lt;wsp:rsid wsp:val=&quot;00EA4FA3&quot;/&gt;&lt;wsp:rsid wsp:val=&quot;00EB1B53&quot;/&gt;&lt;wsp:rsid wsp:val=&quot;00EC008A&quot;/&gt;&lt;wsp:rsid wsp:val=&quot;00EC1592&quot;/&gt;&lt;wsp:rsid wsp:val=&quot;00ED5FAA&quot;/&gt;&lt;wsp:rsid wsp:val=&quot;00ED79C7&quot;/&gt;&lt;wsp:rsid wsp:val=&quot;00EE2C22&quot;/&gt;&lt;wsp:rsid wsp:val=&quot;00F04CC8&quot;/&gt;&lt;wsp:rsid wsp:val=&quot;00F37DC9&quot;/&gt;&lt;wsp:rsid wsp:val=&quot;00F37E9B&quot;/&gt;&lt;wsp:rsid wsp:val=&quot;00F41EC1&quot;/&gt;&lt;wsp:rsid wsp:val=&quot;00F76501&quot;/&gt;&lt;wsp:rsid wsp:val=&quot;00F83191&quot;/&gt;&lt;wsp:rsid wsp:val=&quot;00F930BC&quot;/&gt;&lt;wsp:rsid wsp:val=&quot;00F94C2E&quot;/&gt;&lt;wsp:rsid wsp:val=&quot;00FE6CB6&quot;/&gt;&lt;/wsp:rsids&gt;&lt;/w:docPr&gt;&lt;w:body&gt;&lt;wx:sect&gt;&lt;w:p wsp:rsidR=&quot;00000000&quot; wsp:rsidRPr=&quot;00AA0517&quot; wsp:rsidRDefault=&quot;00AA0517&quot; wsp:rsidP=&quot;00AA0517&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EST&lt;/m:t&gt;&lt;/m:r&gt;&lt;/m:e&gt;&lt;m:sub&gt;&lt;m:r&gt;&lt;w:rPr&gt;&lt;w:rFonts w:ascii=&quot;Cambria Math&quot; w:h-ansi=&quot;Cambria Math&quot;/&gt;&lt;wx:font wx:val=&quot;Cambria Math&quot;/&gt;&lt;w:i/&gt;&lt;/w:rPr&gt;&lt;m:t&gt;t&lt;/m:t&gt;&lt;/m:r&gt;&lt;/m:sub&gt;&lt;/m:sSub&gt;&lt;m:r&gt;&lt;w:rPr&gt;&lt;w:rFonts w:ascii=&quot;Cambria Math&quot; w:h-ansi=&quot;Cambria Math&quot;/&gt;&lt;wx:font wx:val=&quot;Cambria Math&quot;/&gt;&lt;w:i/&gt;&lt;/w:rPr&gt;&lt;m:t&gt;=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Œ≤&lt;/m:t&gt;&lt;/m:r&gt;&lt;/m:e&gt;&lt;m:sub&gt;&lt;m:r&gt;&lt;w:rPr&gt;&lt;w:rFonts w:ascii=&quot;Cambria Math&quot; w:h-ansi=&quot;Cambria Math&quot;/&gt;&lt;wx:font wx:val=&quot;Cambria Math&quot;/&gt;&lt;w:i/&gt;&lt;/w:rPr&gt;&lt;m:t&gt;0&lt;/m:t&gt;&lt;/m:r&gt;&lt;/m:sub&gt;&lt;/m:sSub&gt;&lt;m:r&gt;&lt;w:rPr&gt;&lt;w:rFonts w:ascii=&quot;Cambria Math&quot; w:h-ansi=&quot;Cambria Math&quot;/&gt;&lt;wx:font wx:val=&quot;Cambria Math&quot;/&gt;&lt;w:i/&gt;&lt;/w:rPr&gt;&lt;m:t&gt;+&lt;/m:t&gt;&lt;/m:r&gt;&lt;m:nary&gt;&lt;m:naryPr&gt;&lt;m:chr m:val=&quot;‚àë&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1&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Œ≤&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àÜ&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nUP&lt;/m:t&gt;&lt;/m:r&gt;&lt;/m:e&gt;&lt;m:sub&gt;&lt;m:r&gt;&lt;w:rPr&gt;&lt;w:rFonts w:ascii=&quot;Cambria Math&quot; w:h-ansi=&quot;Cambria Math&quot;/&gt;&lt;wx:font wx:val=&quot;Cambria Math&quot;/&gt;&lt;w:i/&gt;&lt;/w:rPr&gt;&lt;m:t&gt;t-1&lt;/m:t&gt;&lt;/m:r&gt;&lt;/m:sub&gt;&lt;/m:sSub&gt;&lt;/m:e&gt;&lt;/m:nary&gt;&lt;m:r&gt;&lt;w:rPr&gt;&lt;w:rFonts w:ascii=&quot;Cambria Math&quot; w:h-ansi=&quot;Cambria Math&quot;/&gt;&lt;wx:font wx:val=&quot;Cambria Math&quot;/&gt;&lt;w:i/&gt;&lt;/w:rPr&gt;&lt;m:t&gt;+&lt;/m:t&gt;&lt;/m:r&gt;&lt;m:nary&gt;&lt;m:naryPr&gt;&lt;m:chr m:val=&quot;‚àë&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1&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Œ≤&lt;/m:t&gt;&lt;/m:r&gt;&lt;/m:e&gt;&lt;m:sub&gt;&lt;m:r&gt;&lt;w:rPr&gt;&lt;w:rFonts w:ascii=&quot;Cambria Math&quot; w:h-ansi=&quot;Cambria Math&quot;/&gt;&lt;wx:font wx:val=&quot;Cambria Math&quot;/&gt;&lt;w:i/&gt;&lt;/w:rPr&gt;&lt;m:t&gt;2&lt;/m:t&gt;&lt;/m:r&gt;&lt;/m:sub&gt;&lt;/m:sSub&gt;&lt;m:r&gt;&lt;w:rPr&gt;&lt;w:rFonts w:ascii=&quot;Cambria Math&quot; w:h-ansi=&quot;Cambria Math&quot;/&gt;&lt;wx:font wx:val=&quot;Cambria Math&quot;/&gt;&lt;w:i/&gt;&lt;/w:rPr&gt;&lt;m:t&gt;‚àÜ&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nGDP&lt;/m:t&gt;&lt;/m:r&gt;&lt;/m:e&gt;&lt;m:sub&gt;&lt;m:r&gt;&lt;w:rPr&gt;&lt;w:rFonts w:ascii=&quot;Cambria Math&quot; w:h-ansi=&quot;Cambria Math&quot;/&gt;&lt;wx:font wx:val=&quot;Cambria Math&quot;/&gt;&lt;w:i/&gt;&lt;/w:rPr&gt;&lt;m:t&gt;t-1&lt;/m:t&gt;&lt;/m:r&gt;&lt;/m:sub&gt;&lt;/m:sSub&gt;&lt;m:r&gt;&lt;w:rPr&gt;&lt;w:rFonts w:ascii=&quot;Cambria Math&quot; w:h-ansi=&quot;Cambria Math&quot;/&gt;&lt;wx:font wx:val=&quot;Cambria Math&quot;/&gt;&lt;w:i/&gt;&lt;/w:rPr&gt;&lt;m:t&gt;+ &lt;/m:t&gt;&lt;/m:r&gt;&lt;m:nary&gt;&lt;m:naryPr&gt;&lt;m:chr m:val=&quot;‚àë&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1&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Œ≤&lt;/m:t&gt;&lt;/m:r&gt;&lt;/m:e&gt;&lt;m:sub&gt;&lt;m:r&gt;&lt;w:rPr&gt;&lt;w:rFonts w:ascii=&quot;Cambria Math&quot; w:h-ansi=&quot;Cambria Math&quot;/&gt;&lt;wx:font wx:val=&quot;Cambria Math&quot;/&gt;&lt;w:i/&gt;&lt;/w:rPr&gt;&lt;m:t&gt;3&lt;/m:t&gt;&lt;/m:r&gt;&lt;/m:sub&gt;&lt;/m:sSub&gt;&lt;m:r&gt;&lt;w:rPr&gt;&lt;w:rFonts w:ascii=&quot;Cambria Math&quot; w:h-ansi=&quot;Cambria Math&quot;/&gt;&lt;wx:font wx:val=&quot;Cambria Math&quot;/&gt;&lt;w:i/&gt;&lt;/w:rPr&gt;&lt;m:t&gt;‚àÜ&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nE&lt;/m:t&gt;&lt;/m:r&gt;&lt;/m:e&gt;&lt;m:sub&gt;&lt;m:r&gt;&lt;w:rPr&gt;&lt;w:rFonts w:ascii=&quot;Cambria Math&quot; w:h-ansi=&quot;Cambria Math&quot;/&gt;&lt;wx:font wx:val=&quot;Cambria Math&quot;/&gt;&lt;w:i/&gt;&lt;/w:rPr&gt;&lt;m:t&gt;t-1&lt;/m:t&gt;&lt;/m:r&gt;&lt;/m:sub&gt;&lt;/m:sSub&gt;&lt;/m:e&gt;&lt;/m:nary&gt;&lt;/m:e&gt;&lt;/m:nary&gt;&lt;m:r&gt;&lt;w:rPr&gt;&lt;w:rFonts w:ascii=&quot;Cambria Math&quot; w:h-ansi=&quot;Cambria Math&quot;/&gt;&lt;wx:font wx:val=&quot;Cambria Math&quot;/&gt;&lt;w:i/&gt;&lt;/w:rPr&gt;&lt;m:t&gt;+&lt;/m:t&gt;&lt;/m:r&gt;&lt;m:nary&gt;&lt;m:naryPr&gt;&lt;m:chr m:val=&quot;‚àë&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1&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Œ≤&lt;/m:t&gt;&lt;/m:r&gt;&lt;/m:e&gt;&lt;m:sub&gt;&lt;m:r&gt;&lt;w:rPr&gt;&lt;w:rFonts w:ascii=&quot;Cambria Math&quot; w:h-ansi=&quot;Cambria Math&quot;/&gt;&lt;wx:font wx:val=&quot;Cambria Math&quot;/&gt;&lt;w:i/&gt;&lt;/w:rPr&gt;&lt;m:t&gt;4&lt;/m:t&gt;&lt;/m:r&gt;&lt;/m:sub&gt;&lt;/m:sSub&gt;&lt;m:r&gt;&lt;w:rPr&gt;&lt;w:rFonts w:ascii=&quot;Cambria Math&quot; w:h-ansi=&quot;Cambria Math&quot;/&gt;&lt;wx:font wx:val=&quot;Cambria Math&quot;/&gt;&lt;w:i/&gt;&lt;/w:rPr&gt;&lt;m:t&gt;‚àÜ&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nWP&lt;/m:t&gt;&lt;/m:r&gt;&lt;/m:e&gt;&lt;m:sub&gt;&lt;m:r&gt;&lt;w:rPr&gt;&lt;w:rFonts w:ascii=&quot;Cambria Math&quot; w:h-ansi=&quot;Cambria Math&quot;/&gt;&lt;wx:font wx:val=&quot;Cambria Math&quot;/&gt;&lt;w:i/&gt;&lt;/w:rPr&gt;&lt;m:t&gt;t-1&lt;/m:t&gt;&lt;/m:r&gt;&lt;/m:sub&gt;&lt;/m:sSub&gt;&lt;m:r&gt;&lt;w:rPr&gt;&lt;w:rFonts w:ascii=&quot;Cambria Math&quot; w:h-ansi=&quot;Cambria Math&quot;/&gt;&lt;wx:font wx:val=&quot;Cambria Math&quot;/&gt;&lt;w:i/&gt;&lt;/w:rPr&gt;&lt;m:t&gt;+&lt;/m:t&gt;&lt;/m:r&gt;&lt;m:nary&gt;&lt;m:naryPr&gt;&lt;m:chr m:val=&quot;‚àë&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1&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Œ≤&lt;/m:t&gt;&lt;/m:r&gt;&lt;/m:e&gt;&lt;m:sub&gt;&lt;m:r&gt;&lt;w:rPr&gt;&lt;w:rFonts w:ascii=&quot;Cambria Math&quot; w:h-ansi=&quot;Cambria Math&quot;/&gt;&lt;wx:font wx:val=&quot;Cambria Math&quot;/&gt;&lt;w:i/&gt;&lt;/w:rPr&gt;&lt;m:t&gt;5&lt;/m:t&gt;&lt;/m:r&gt;&lt;/m:sub&gt;&lt;/m:sSub&gt;&lt;m:r&gt;&lt;w:rPr&gt;&lt;w:rFonts w:ascii=&quot;Cambria Math&quot; w:h-ansi=&quot;Cambria Math&quot;/&gt;&lt;wx:font wx:val=&quot;Cambria Math&quot;/&gt;&lt;w:i/&gt;&lt;/w:rPr&gt;&lt;m:t&gt;‚àÜ&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nFIN&lt;/m:t&gt;&lt;/m:r&gt;&lt;/m:e&gt;&lt;m:sub&gt;&lt;m:r&gt;&lt;w:rPr&gt;&lt;w:rFonts w:ascii=&quot;Cambria Math&quot; w:h-ansi=&quot;Cambria Math&quot;/&gt;&lt;wx:font wx:val=&quot;Cambria Math&quot;/&gt;&lt;w:i/&gt;&lt;/w:rPr&gt;&lt;m:t&gt;t-1&lt;/m:t&gt;&lt;/m:r&gt;&lt;/m:sub&gt;&lt;/m:sSub&gt;&lt;/m:e&gt;&lt;/m:nary&gt;&lt;m:r&gt;&lt;w:rPr&gt;&lt;w:rFonts w:ascii=&quot;Cambria Math&quot; w:h-ansi=&quot;Cambria Math&quot;/&gt;&lt;wx:font wx:val=&quot;Cambria Math&quot;/&gt;&lt;w:i/&gt;&lt;/w:rPr&gt;&lt;m:t&gt;+&lt;/m:t&gt;&lt;/m:r&gt;&lt;m:sSub&gt;&lt;m:sSubPr&gt;&lt;m:ctrlPr&gt;&lt;w:rPr&gt;&lt;w:rFonts w:ascii=&quot;Cambria Math&quot; w:fareast=&quot;Calibri&quot; w:h-ansi=&quot;Cambria Math&quot; w:cs=&quot;Times New Roman&quot;/&gt;&lt;wx:font wx:val=&quot;Cambria Math&quot;/&gt;&lt;w:i/&gt;&lt;/w:rPr&gt;&lt;/m:ctrlPr&gt;&lt;/m:sSubPr&gt;&lt;m:e&gt;&lt;m:r&gt;&lt;w:rPr&gt;&lt;w:rFonts w:ascii=&quot;Cambria Math&quot; w:h-ansi=&quot;Cambria Math&quot;/&gt;&lt;wx:font wx:val=&quot;Cambria Math&quot;/&gt;&lt;w:i/&gt;&lt;/w:rPr&gt;&lt;m:t&gt;‚àù&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ln&lt;/m:t&gt;&lt;/m:r&gt;&lt;m:sSub&gt;&lt;m:sSubPr&gt;&lt;m:ctrlPr&gt;&lt;w:rPr&gt;&lt;w:rFonts w:ascii=&quot;Cambria Math&quot; w:fareast=&quot;Calibri&quot; w:h-ansi=&quot;Cambria Math&quot; w:cs=&quot;Times New Roman&quot;/&gt;&lt;wx:font wx:val=&quot;Cambria Math&quot;/&gt;&lt;w:i/&gt;&lt;/w:rPr&gt;&lt;/m:ctrlPr&gt;&lt;/m:sSubPr&gt;&lt;m:e&gt;&lt;m:r&gt;&lt;w:rPr&gt;&lt;w:rFonts w:ascii=&quot;Cambria Math&quot; w:h-ansi=&quot;Cambria Math&quot;/&gt;&lt;wx:font wx:val=&quot;Cambria Math&quot;/&gt;&lt;w:i/&gt;&lt;/w:rPr&gt;&lt;m:t&gt;UP&lt;/m:t&gt;&lt;/m:r&gt;&lt;/m:e&gt;&lt;m:sub&gt;&lt;m:r&gt;&lt;w:rPr&gt;&lt;w:rFonts w:ascii=&quot;Cambria Math&quot; w:h-ansi=&quot;Cambria Math&quot;/&gt;&lt;wx:font wx:val=&quot;Cambria Math&quot;/&gt;&lt;w:i/&gt;&lt;/w:rPr&gt;&lt;m:t&gt;t-1&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sSub&gt;&lt;m:sSubPr&gt;&lt;m:ctrlPr&gt;&lt;w:rPr&gt;&lt;w:rFonts w:ascii=&quot;Cambria Math&quot; w:fareast=&quot;Calibri&quot; w:h-ansi=&quot;Cambria Math&quot; w:cs=&quot;Times New Roman&quot;/&gt;&lt;wx:font wx:val=&quot;Cambria Math&quot;/&gt;&lt;w:i/&gt;&lt;/w:rPr&gt;&lt;/m:ctrlPr&gt;&lt;/m:sSubPr&gt;&lt;m:e&gt;&lt;m:r&gt;&lt;w:rPr&gt;&lt;w:rFonts w:ascii=&quot;Cambria Math&quot; w:h-ansi=&quot;Cambria Math&quot;/&gt;&lt;wx:font wx:val=&quot;Cambria Math&quot;/&gt;&lt;w:i/&gt;&lt;/w:rPr&gt;&lt;m:t&gt;‚àù&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ln&lt;/m:t&gt;&lt;/m:r&gt;&lt;m:sSub&gt;&lt;m:sSubPr&gt;&lt;m:ctrlPr&gt;&lt;w:rPr&gt;&lt;w:rFonts w:ascii=&quot;Cambria Math&quot; w:fareast=&quot;Calibri&quot; w:h-ansi=&quot;Cambria Math&quot; w:cs=&quot;Times New Roman&quot;/&gt;&lt;wx:font wx:val=&quot;Cambria Math&quot;/&gt;&lt;w:i/&gt;&lt;/w:rPr&gt;&lt;/m:ctrlPr&gt;&lt;/m:sSubPr&gt;&lt;m:e&gt;&lt;m:r&gt;&lt;w:rPr&gt;&lt;w:rFonts w:ascii=&quot;Cambria Math&quot; w:h-ansi=&quot;Cambria Math&quot;/&gt;&lt;wx:font wx:val=&quot;Cambria Math&quot;/&gt;&lt;w:i/&gt;&lt;/w:rPr&gt;&lt;m:t&gt;UP&lt;/m:t&gt;&lt;/m:r&gt;&lt;/m:e&gt;&lt;m:sub&gt;&lt;m:r&gt;&lt;w:rPr&gt;&lt;w:rFonts w:ascii=&quot;Cambria Math&quot; w:h-ansi=&quot;Cambria Math&quot;/&gt;&lt;wx:font wx:val=&quot;Cambria Math&quot;/&gt;&lt;w:i/&gt;&lt;/w:rPr&gt;&lt;m:t&gt;t-1&lt;/m:t&gt;&lt;/m:r&gt;&lt;/m:sub&gt;&lt;/m:sSub&gt;&lt;m:r&gt;&lt;w:rPr&gt;&lt;w:rFonts w:ascii=&quot;Cambria Math&quot; w:h-ansi=&quot;Cambria Math&quot;/&gt;&lt;wx:font wx:val=&quot;Cambria Math&quot;/&gt;&lt;w:i/&gt;&lt;/w:rPr&gt;&lt;m:t&gt;+&lt;/m:t&gt;&lt;/m:r&gt;&lt;m:sSub&gt;&lt;m:sSubPr&gt;&lt;m:ctrlPr&gt;&lt;w:rPr&gt;&lt;w:rFonts w:ascii=&quot;Cambria Math&quot; w:fareast=&quot;Calibri&quot; w:h-ansi=&quot;Cambria Math&quot; w:cs=&quot;Times New Roman&quot;/&gt;&lt;wx:font wx:val=&quot;Cambria Math&quot;/&gt;&lt;w:i/&gt;&lt;/w:rPr&gt;&lt;/m:ctrlPr&gt;&lt;/m:sSubPr&gt;&lt;m:e&gt;&lt;m:r&gt;&lt;w:rPr&gt;&lt;w:rFonts w:ascii=&quot;Cambria Math&quot; w:h-ansi=&quot;Cambria Math&quot;/&gt;&lt;wx:font wx:val=&quot;Cambria Math&quot;/&gt;&lt;w:i/&gt;&lt;/w:rPr&gt;&lt;m:t&gt;‚àù&lt;/m:t&gt;&lt;/m:r&gt;&lt;/m:e&gt;&lt;m:sub&gt;&lt;m:r&gt;&lt;w:rPr&gt;&lt;w:rFonts w:ascii=&quot;Cambria Math&quot; w:h-ansi=&quot;Cambria Math&quot;/&gt;&lt;wx:font wx:val=&quot;Cambria Math&quot;/&gt;&lt;w:i/&gt;&lt;/w:rPr&gt;&lt;m:t&gt;2&lt;/m:t&gt;&lt;/m:r&gt;&lt;/m:sub&gt;&lt;/m:sSub&gt;&lt;m:r&gt;&lt;w:rPr&gt;&lt;w:rFonts w:ascii=&quot;Cambria Math&quot; w:h-ansi=&quot;Cambria Math&quot;/&gt;&lt;wx:font wx:val=&quot;Cambria Math&quot;/&gt;&lt;w:i/&gt;&lt;/w:rPr&gt;&lt;m:t&gt;ln&lt;/m:t&gt;&lt;/m:r&gt;&lt;m:sSub&gt;&lt;m:sSubPr&gt;&lt;m:ctrlPr&gt;&lt;w:rPr&gt;&lt;w:rFonts w:ascii=&quot;Cambria Math&quot; w:fareast=&quot;Calibri&quot; w:h-ansi=&quot;Cambria Math&quot; w:cs=&quot;Times New Roman&quot;/&gt;&lt;wx:font wx:val=&quot;Cambria Math&quot;/&gt;&lt;w:i/&gt;&lt;/w:rPr&gt;&lt;/m:ctrlPr&gt;&lt;/m:sSubPr&gt;&lt;m:e&gt;&lt;m:r&gt;&lt;w:rPr&gt;&lt;w:rFonts w:ascii=&quot;Cambria Math&quot; w:h-ansi=&quot;Cambria Math&quot;/&gt;&lt;wx:font wx:val=&quot;Cambria Math&quot;/&gt;&lt;w:i/&gt;&lt;/w:rPr&gt;&lt;m:t&gt;GDP&lt;/m:t&gt;&lt;/m:r&gt;&lt;/m:e&gt;&lt;m:sub&gt;&lt;m:r&gt;&lt;w:rPr&gt;&lt;w:rFonts w:ascii=&quot;Cambria Math&quot; w:h-ansi=&quot;Cambria Math&quot;/&gt;&lt;wx:font wx:val=&quot;Cambria Math&quot;/&gt;&lt;w:i/&gt;&lt;/w:rPr&gt;&lt;m:t&gt;t-1&lt;/m:t&gt;&lt;/m:r&gt;&lt;/m:sub&gt;&lt;/m:sSub&gt;&lt;m:r&gt;&lt;w:rPr&gt;&lt;w:rFonts w:ascii=&quot;Cambria Math&quot; w:h-ansi=&quot;Cambria Math&quot;/&gt;&lt;wx:font wx:val=&quot;Cambria Math&quot;/&gt;&lt;w:i/&gt;&lt;/w:rPr&gt;&lt;m:t&gt;+&lt;/m:t&gt;&lt;/m:r&gt;&lt;m:sSub&gt;&lt;m:sSubPr&gt;&lt;m:ctrlPr&gt;&lt;w:rPr&gt;&lt;w:rFonts w:ascii=&quot;Cambria Math&quot; w:fareast=&quot;Calibri&quot; w:h-ansi=&quot;Cambria Math&quot; w:cs=&quot;Times New Roman&quot;/&gt;&lt;wx:font wx:val=&quot;Cambria Math&quot;/&gt;&lt;w:i/&gt;&lt;/w:rPr&gt;&lt;/m:ctrlPr&gt;&lt;/m:sSubPr&gt;&lt;m:e&gt;&lt;m:r&gt;&lt;w:rPr&gt;&lt;w:rFonts w:ascii=&quot;Cambria Math&quot; w:h-ansi=&quot;Cambria Math&quot;/&gt;&lt;wx:font wx:val=&quot;Cambria Math&quot;/&gt;&lt;w:i/&gt;&lt;/w:rPr&gt;&lt;m:t&gt;‚àù&lt;/m:t&gt;&lt;/m:r&gt;&lt;/m:e&gt;&lt;m:sub&gt;&lt;m:r&gt;&lt;w:rPr&gt;&lt;w:rFonts w:ascii=&quot;Cambria Math&quot; w:h-ansi=&quot;Cambria Math&quot;/&gt;&lt;wx:font wx:val=&quot;Cambria Math&quot;/&gt;&lt;w:i/&gt;&lt;/w:rPr&gt;&lt;m:t&gt;3&lt;/m:t&gt;&lt;/m:r&gt;&lt;/m:sub&gt;&lt;/m:sSub&gt;&lt;m:r&gt;&lt;w:rPr&gt;&lt;w:rFonts w:ascii=&quot;Cambria Math&quot; w:h-ansi=&quot;Cambria Math&quot;/&gt;&lt;wx:font wx:val=&quot;Cambria Math&quot;/&gt;&lt;w:i/&gt;&lt;/w:rPr&gt;&lt;m:t&gt;ln&lt;/m:t&gt;&lt;/m:r&gt;&lt;m:sSub&gt;&lt;m:sSubPr&gt;&lt;m:ctrlPr&gt;&lt;w:rPr&gt;&lt;w:rFonts w:ascii=&quot;Cambria Math&quot; w:fareast=&quot;Calibri&quot; w:h-ansi=&quot;Cambria Math&quot; w:cs=&quot;Times New Roman&quot;/&gt;&lt;wx:font wx:val=&quot;Cambria Math&quot;/&gt;&lt;w:i/&gt;&lt;/w:rPr&gt;&lt;/m:ctrlPr&gt;&lt;/m:sSubPr&gt;&lt;m:e&gt;&lt;m:r&gt;&lt;w:rPr&gt;&lt;w:rFonts w:ascii=&quot;Cambria Math&quot; w:h-ansi=&quot;Cambria Math&quot;/&gt;&lt;wx:font wx:val=&quot;Cambria Math&quot;/&gt;&lt;w:i/&gt;&lt;/w:rPr&gt;&lt;m:t&gt;E&lt;/m:t&gt;&lt;/m:r&gt;&lt;/m:e&gt;&lt;m:sub&gt;&lt;m:r&gt;&lt;w:rPr&gt;&lt;w:rFonts w:ascii=&quot;Cambria Math&quot; w:h-ansi=&quot;Cambria Math&quot;/&gt;&lt;wx:font wx:val=&quot;Cambria Math&quot;/&gt;&lt;w:i/&gt;&lt;/w:rPr&gt;&lt;m:t&gt;t-1&lt;/m:t&gt;&lt;/m:r&gt;&lt;/m:sub&gt;&lt;/m:sSub&gt;&lt;m:r&gt;&lt;w:rPr&gt;&lt;w:rFonts w:ascii=&quot;Cambria Math&quot; w:h-ansi=&quot;Cambria Math&quot;/&gt;&lt;wx:font wx:val=&quot;Cambria Math&quot;/&gt;&lt;w:i/&gt;&lt;/w:rPr&gt;&lt;m:t&gt;+&lt;/m:t&gt;&lt;/m:r&gt;&lt;m:sSub&gt;&lt;m:sSubPr&gt;&lt;m:ctrlPr&gt;&lt;w:rPr&gt;&lt;w:rFonts w:ascii=&quot;Cambria Math&quot; w:fareast=&quot;Calibri&quot; w:h-ansi=&quot;Cambria Math&quot; w:cs=&quot;Times New Roman&quot;/&gt;&lt;wx:font wx:val=&quot;Cambria Math&quot;/&gt;&lt;w:i/&gt;&lt;/w:rPr&gt;&lt;/m:ctrlPr&gt;&lt;/m:sSubPr&gt;&lt;m:e&gt;&lt;m:r&gt;&lt;w:rPr&gt;&lt;w:rFonts w:ascii=&quot;Cambria Math&quot; w:h-ansi=&quot;Cambria Math&quot;/&gt;&lt;wx:font wx:val=&quot;Cambria Math&quot;/&gt;&lt;w:i/&gt;&lt;/w:rPr&gt;&lt;m:t&gt;‚àù&lt;/m:t&gt;&lt;/m:r&gt;&lt;/m:e&gt;&lt;m:sub&gt;&lt;m:r&gt;&lt;w:rPr&gt;&lt;w:rFonts w:ascii=&quot;Cambria Math&quot; w:h-ansi=&quot;Cambria Math&quot;/&gt;&lt;wx:font wx:val=&quot;Cambria Math&quot;/&gt;&lt;w:i/&gt;&lt;/w:rPr&gt;&lt;m:t&gt;4&lt;/m:t&gt;&lt;/m:r&gt;&lt;/m:sub&gt;&lt;/m:sSub&gt;&lt;m:r&gt;&lt;w:rPr&gt;&lt;w:rFonts w:ascii=&quot;Cambria Math&quot; w:h-ansi=&quot;Cambria Math&quot;/&gt;&lt;wx:font wx:val=&quot;Cambria Math&quot;/&gt;&lt;w:i/&gt;&lt;/w:rPr&gt;&lt;m:t&gt;ln&lt;/m:t&gt;&lt;/m:r&gt;&lt;m:sSub&gt;&lt;m:sSubPr&gt;&lt;m:ctrlPr&gt;&lt;w:rPr&gt;&lt;w:rFonts w:ascii=&quot;Cambria Math&quot; w:fareast=&quot;Calibri&quot; w:h-ansi=&quot;Cambria Math&quot; w:cs=&quot;Times New Roman&quot;/&gt;&lt;wx:font wx:val=&quot;Cambria Math&quot;/&gt;&lt;w:i/&gt;&lt;/w:rPr&gt;&lt;/m:ctrlPr&gt;&lt;/m:sSubPr&gt;&lt;m:e&gt;&lt;m:r&gt;&lt;w:rPr&gt;&lt;w:rFonts w:ascii=&quot;Cambria Math&quot; w:h-ansi=&quot;Cambria Math&quot;/&gt;&lt;wx:font wx:val=&quot;Cambria Math&quot;/&gt;&lt;w:i/&gt;&lt;/w:rPr&gt;&lt;m:t&gt;WP&lt;/m:t&gt;&lt;/m:r&gt;&lt;/m:e&gt;&lt;m:sub&gt;&lt;m:r&gt;&lt;w:rPr&gt;&lt;w:rFonts w:ascii=&quot;Cambria Math&quot; w:h-ansi=&quot;Cambria Math&quot;/&gt;&lt;wx:font wx:val=&quot;Cambria Math&quot;/&gt;&lt;w:i/&gt;&lt;/w:rPr&gt;&lt;m:t&gt;t-1&lt;/m:t&gt;&lt;/m:r&gt;&lt;/m:sub&gt;&lt;/m:sSub&gt;&lt;m:r&gt;&lt;w:rPr&gt;&lt;w:rFonts w:ascii=&quot;Cambria Math&quot; w:h-ansi=&quot;Cambria Math&quot;/&gt;&lt;wx:font wx:val=&quot;Cambria Math&quot;/&gt;&lt;w:i/&gt;&lt;/w:rPr&gt;&lt;m:t&gt;+&lt;/m:t&gt;&lt;/m:r&gt;&lt;m:sSub&gt;&lt;m:sSubPr&gt;&lt;m:ctrlPr&gt;&lt;w:rPr&gt;&lt;w:rFonts w:ascii=&quot;Cambria Math&quot; w:fareast=&quot;Calibri&quot; w:h-ansi=&quot;Cambria Math&quot; w:cs=&quot;Times New Roman&quot;/&gt;&lt;wx:font wx:val=&quot;Cambria Math&quot;/&gt;&lt;w:i/&gt;&lt;/w:rPr&gt;&lt;/m:ctrlPr&gt;&lt;/m:sSubPr&gt;&lt;m:e&gt;&lt;m:r&gt;&lt;w:rPr&gt;&lt;w:rFonts w:ascii=&quot;Cambria Math&quot; w:h-ansi=&quot;Cambria Math&quot;/&gt;&lt;wx:font wx:val=&quot;Cambria Math&quot;/&gt;&lt;w:i/&gt;&lt;/w:rPr&gt;&lt;m:t&gt;‚àù&lt;/m:t&gt;&lt;/m:r&gt;&lt;/m:e&gt;&lt;m:sub&gt;&lt;m:r&gt;&lt;w:rPr&gt;&lt;w:rFonts w:ascii=&quot;Cambria Math&quot; w:h-ansi=&quot;Cambria Math&quot;/&gt;&lt;wx:font wx:val=&quot;Cambria Math&quot;/&gt;&lt;w:i/&gt;&lt;/w:rPr&gt;&lt;m:t&gt;5&lt;/m:t&gt;&lt;/m:r&gt;&lt;/m:sub&gt;&lt;/m:sSub&gt;&lt;m:r&gt;&lt;w:rPr&gt;&lt;w:rFonts w:ascii=&quot;Cambria Math&quot; w:h-ansi=&quot;Cambria Math&quot;/&gt;&lt;wx:font wx:val=&quot;Cambria Math&quot;/&gt;&lt;w:i/&gt;&lt;/w:rPr&gt;&lt;m:t&gt;ln&lt;/m:t&gt;&lt;/m:r&gt;&lt;m:sSub&gt;&lt;m:sSubPr&gt;&lt;m:ctrlPr&gt;&lt;w:rPr&gt;&lt;w:rFonts w:ascii=&quot;Cambria Math&quot; w:fareast=&quot;Calibri&quot; w:h-ansi=&quot;Cambria Math&quot; w:cs=&quot;Times New Roman&quot;/&gt;&lt;wx:font wx:val=&quot;Cambria Math&quot;/&gt;&lt;w:i/&gt;&lt;/w:rPr&gt;&lt;/m:ctrlPr&gt;&lt;/m:sSubPr&gt;&lt;m:e&gt;&lt;m:r&gt;&lt;w:rPr&gt;&lt;w:rFonts w:ascii=&quot;Cambria Math&quot; w:h-ansi=&quot;Cambria Math&quot;/&gt;&lt;wx:font wx:val=&quot;Cambria Math&quot;/&gt;&lt;w:i/&gt;&lt;/w:rPr&gt;&lt;m:t&gt;FIN&lt;/m:t&gt;&lt;/m:r&gt;&lt;/m:e&gt;&lt;m:sub&gt;&lt;m:r&gt;&lt;w:rPr&gt;&lt;w:rFonts w:ascii=&quot;Cambria Math&quot; w:h-ansi=&quot;Cambria Math&quot;/&gt;&lt;wx:font wx:val=&quot;Cambria Math&quot;/&gt;&lt;w:i/&gt;&lt;/w:rPr&gt;&lt;m:t&gt;t-1&lt;/m:t&gt;&lt;/m:r&gt;&lt;/m:sub&gt;&lt;/m:sSub&gt;&lt;m:r&gt;&lt;w:rPr&gt;&lt;w:rFonts w:ascii=&quot;Cambria Math&quot; w:h-ansi=&quot;Cambria Math&quot;/&gt;&lt;wx:font wx:val=&quot;Cambria Math&quot;/&gt;&lt;w:i/&gt;&lt;/w:rPr&gt;&lt;m:t&gt;+Œº&lt;/m:t&gt;&lt;/m:r&gt;&lt;/m:e&gt;&lt;m:sub&gt;&lt;m:eqArr&gt;&lt;m:eqArrPr&gt;&lt;m:ctrlPr&gt;&lt;w:rPr&gt;&lt;w:rFonts w:ascii=&quot;Cambria Math&quot; w:h-ansi=&quot;Cambria Math&quot;/&gt;&lt;wx:font wx:val=&quot;Cambria Math&quot;/&gt;&lt;w:i/&gt;&lt;/w:rPr&gt;&lt;/m:ctrlPr&gt;&lt;/m:eqArrPr&gt;&lt;m:e&gt;&lt;m:r&gt;&lt;w:rPr&gt;&lt;w:rFonts w:ascii=&quot;Cambria Math&quot; w:h-ansi=&quot;Cambria Math&quot;/&gt;&lt;wx:font wx:val=&quot;Cambria Math&quot;/&gt;&lt;w:i/&gt;&lt;/w:rPr&gt;&lt;m:t&gt;t&lt;/m:t&gt;&lt;/m:r&gt;&lt;/m:e&gt;&lt;m:e&gt;&lt;m:r&gt;&lt;w:rPr&gt;&lt;w:rFonts w:ascii=&quot;Cambria Math&quot; w:h-ansi=&quot;Cambria Math&quot;/&gt;&lt;wx:font wx:val=&quot;Cambria Math&quot;/&gt;&lt;w:i/&gt;&lt;/w:rPr&gt;&lt;m:t&gt; &lt;/m:t&gt;&lt;/m:r&gt;&lt;/m:e&gt;&lt;/m:eqArr&gt;&lt;/m:sub&gt;&lt;/m:sSub&gt;&lt;m:r&gt;&lt;w:rPr&gt;&lt;w:rFonts w:ascii=&quot;Cambria Math&quot; w:h-ansi=&quot;Cambria Math&quot;/&gt;&lt;wx:font wx:val=&quot;Cambria Math&quot;/&gt;&lt;w:i/&gt;&lt;/w:rPr&gt;&lt;m:t&gt;-------------------(3) &lt;/m:t&gt;&lt;/m:r&gt;&lt;/m:e&gt;&lt;/m:nary&gt;&lt;/m:oMath&gt;&lt;/m:oMathPara&gt;&lt;/w:p&gt;&lt;w:sectPr wsp:rsidR=&quot;00000000&quot; wsp:rsidRPr=&quot;00AA0517&quot;&gt;&lt;w:pgSz w:w=&quot;12240&quot; w:h=&quot;15840&quot;/&gt;&lt;w:pgMar w:top=&quot;1440&quot; w:right=&quot;1440&quot; w:bottom=&quot;1440&quot; w:left=&quot;1440&quot; w:header=&quot;720&quot; w:footer=&quot;720&quot; w:gutter=&quot;0&quot;/&gt;&lt;w:cols w:space=&quot;720&quot;/&gt;&lt;/w:sectPr&gt;&lt;/wx:sect&gt;&lt;/w:body&gt;&lt;/w:wordDocument&gt;">
            <v:imagedata r:id="rId6" o:title="" chromakey="white"/>
          </v:shape>
        </w:pict>
      </w:r>
    </w:p>
    <w:p w:rsidR="00D41071" w:rsidRPr="001972F0" w:rsidRDefault="00D41071" w:rsidP="00D41071">
      <w:pPr>
        <w:spacing w:before="240" w:after="120"/>
        <w:ind w:left="709"/>
        <w:jc w:val="both"/>
        <w:rPr>
          <w:color w:val="000000"/>
        </w:rPr>
      </w:pPr>
      <w:r w:rsidRPr="001972F0">
        <w:rPr>
          <w:color w:val="000000"/>
        </w:rPr>
        <w:t>Where β</w:t>
      </w:r>
      <w:r w:rsidRPr="001972F0">
        <w:rPr>
          <w:color w:val="000000"/>
          <w:vertAlign w:val="subscript"/>
        </w:rPr>
        <w:t>1</w:t>
      </w:r>
      <w:r w:rsidRPr="001972F0">
        <w:rPr>
          <w:color w:val="000000"/>
        </w:rPr>
        <w:t xml:space="preserve"> to β</w:t>
      </w:r>
      <w:r w:rsidRPr="001972F0">
        <w:rPr>
          <w:color w:val="000000"/>
          <w:vertAlign w:val="subscript"/>
        </w:rPr>
        <w:t xml:space="preserve">5 </w:t>
      </w:r>
      <w:r w:rsidRPr="001972F0">
        <w:rPr>
          <w:color w:val="000000"/>
        </w:rPr>
        <w:t>are the short run coefficients and α</w:t>
      </w:r>
      <w:r w:rsidRPr="001972F0">
        <w:rPr>
          <w:color w:val="000000"/>
          <w:vertAlign w:val="subscript"/>
        </w:rPr>
        <w:t>1</w:t>
      </w:r>
      <w:r w:rsidRPr="001972F0">
        <w:rPr>
          <w:color w:val="000000"/>
        </w:rPr>
        <w:t xml:space="preserve"> to α</w:t>
      </w:r>
      <w:r w:rsidRPr="001972F0">
        <w:rPr>
          <w:color w:val="000000"/>
          <w:vertAlign w:val="subscript"/>
        </w:rPr>
        <w:t xml:space="preserve">5 </w:t>
      </w:r>
      <w:r w:rsidRPr="001972F0">
        <w:rPr>
          <w:color w:val="000000"/>
        </w:rPr>
        <w:t>are the long run coefficients of the variables. T</w:t>
      </w:r>
      <w:r w:rsidRPr="001972F0">
        <w:rPr>
          <w:rFonts w:eastAsia="CIDFont+F3"/>
          <w:color w:val="000000"/>
        </w:rPr>
        <w:t>he Bound test for cointegration will be used to determine whether there is long-run relationship between the variables of interest. The co-integration test will be tested at 5% level of significance</w:t>
      </w:r>
      <w:r w:rsidRPr="001972F0">
        <w:rPr>
          <w:color w:val="000000"/>
        </w:rPr>
        <w:t>. If co-integration is established, the long-run and short-run models of ARDL specification in Equation (3 ) are estimated as:</w:t>
      </w:r>
    </w:p>
    <w:p w:rsidR="00D41071" w:rsidRPr="001972F0" w:rsidRDefault="00021B6A" w:rsidP="00D41071">
      <w:pPr>
        <w:spacing w:before="240" w:after="120"/>
        <w:ind w:left="709"/>
        <w:jc w:val="both"/>
        <w:rPr>
          <w:color w:val="000000"/>
        </w:rPr>
      </w:pPr>
      <w:r w:rsidRPr="001972F0">
        <w:rPr>
          <w:noProof/>
          <w:color w:val="000000"/>
        </w:rPr>
        <w:lastRenderedPageBreak/>
        <w:pict w14:anchorId="462D5E47">
          <v:shape id="_x0000_i1026" type="#_x0000_t75" alt="" style="width:454pt;height:94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16&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C39CD&quot;/&gt;&lt;wsp:rsid wsp:val=&quot;0000520B&quot;/&gt;&lt;wsp:rsid wsp:val=&quot;000235A0&quot;/&gt;&lt;wsp:rsid wsp:val=&quot;00037C97&quot;/&gt;&lt;wsp:rsid wsp:val=&quot;000475E5&quot;/&gt;&lt;wsp:rsid wsp:val=&quot;00063F5A&quot;/&gt;&lt;wsp:rsid wsp:val=&quot;0006670F&quot;/&gt;&lt;wsp:rsid wsp:val=&quot;00090F45&quot;/&gt;&lt;wsp:rsid wsp:val=&quot;000975CB&quot;/&gt;&lt;wsp:rsid wsp:val=&quot;000C1F9E&quot;/&gt;&lt;wsp:rsid wsp:val=&quot;000C75E9&quot;/&gt;&lt;wsp:rsid wsp:val=&quot;000D17EC&quot;/&gt;&lt;wsp:rsid wsp:val=&quot;000D3E96&quot;/&gt;&lt;wsp:rsid wsp:val=&quot;0010141C&quot;/&gt;&lt;wsp:rsid wsp:val=&quot;0010357D&quot;/&gt;&lt;wsp:rsid wsp:val=&quot;001315CE&quot;/&gt;&lt;wsp:rsid wsp:val=&quot;00132663&quot;/&gt;&lt;wsp:rsid wsp:val=&quot;0016594D&quot;/&gt;&lt;wsp:rsid wsp:val=&quot;001674DF&quot;/&gt;&lt;wsp:rsid wsp:val=&quot;001B1F59&quot;/&gt;&lt;wsp:rsid wsp:val=&quot;001C2EA5&quot;/&gt;&lt;wsp:rsid wsp:val=&quot;001C7342&quot;/&gt;&lt;wsp:rsid wsp:val=&quot;002271A3&quot;/&gt;&lt;wsp:rsid wsp:val=&quot;0026053F&quot;/&gt;&lt;wsp:rsid wsp:val=&quot;00263E65&quot;/&gt;&lt;wsp:rsid wsp:val=&quot;002665EF&quot;/&gt;&lt;wsp:rsid wsp:val=&quot;0027555D&quot;/&gt;&lt;wsp:rsid wsp:val=&quot;00282755&quot;/&gt;&lt;wsp:rsid wsp:val=&quot;00290F9E&quot;/&gt;&lt;wsp:rsid wsp:val=&quot;00290FAE&quot;/&gt;&lt;wsp:rsid wsp:val=&quot;00292286&quot;/&gt;&lt;wsp:rsid wsp:val=&quot;002A2DF0&quot;/&gt;&lt;wsp:rsid wsp:val=&quot;002D2828&quot;/&gt;&lt;wsp:rsid wsp:val=&quot;002D7ABF&quot;/&gt;&lt;wsp:rsid wsp:val=&quot;0031150D&quot;/&gt;&lt;wsp:rsid wsp:val=&quot;00323D82&quot;/&gt;&lt;wsp:rsid wsp:val=&quot;00324E48&quot;/&gt;&lt;wsp:rsid wsp:val=&quot;003329A3&quot;/&gt;&lt;wsp:rsid wsp:val=&quot;003342CD&quot;/&gt;&lt;wsp:rsid wsp:val=&quot;0034147D&quot;/&gt;&lt;wsp:rsid wsp:val=&quot;00347602&quot;/&gt;&lt;wsp:rsid wsp:val=&quot;00352FD3&quot;/&gt;&lt;wsp:rsid wsp:val=&quot;003D7B73&quot;/&gt;&lt;wsp:rsid wsp:val=&quot;003E416D&quot;/&gt;&lt;wsp:rsid wsp:val=&quot;00412C47&quot;/&gt;&lt;wsp:rsid wsp:val=&quot;0041469D&quot;/&gt;&lt;wsp:rsid wsp:val=&quot;00437828&quot;/&gt;&lt;wsp:rsid wsp:val=&quot;00483537&quot;/&gt;&lt;wsp:rsid wsp:val=&quot;004A4020&quot;/&gt;&lt;wsp:rsid wsp:val=&quot;004B0F6D&quot;/&gt;&lt;wsp:rsid wsp:val=&quot;004B4A1C&quot;/&gt;&lt;wsp:rsid wsp:val=&quot;004D6F57&quot;/&gt;&lt;wsp:rsid wsp:val=&quot;004E7848&quot;/&gt;&lt;wsp:rsid wsp:val=&quot;004F6E75&quot;/&gt;&lt;wsp:rsid wsp:val=&quot;0051505C&quot;/&gt;&lt;wsp:rsid wsp:val=&quot;005218AA&quot;/&gt;&lt;wsp:rsid wsp:val=&quot;00522970&quot;/&gt;&lt;wsp:rsid wsp:val=&quot;0052459B&quot;/&gt;&lt;wsp:rsid wsp:val=&quot;00532F55&quot;/&gt;&lt;wsp:rsid wsp:val=&quot;00535487&quot;/&gt;&lt;wsp:rsid wsp:val=&quot;0055469E&quot;/&gt;&lt;wsp:rsid wsp:val=&quot;00554B72&quot;/&gt;&lt;wsp:rsid wsp:val=&quot;00555C4A&quot;/&gt;&lt;wsp:rsid wsp:val=&quot;00555E06&quot;/&gt;&lt;wsp:rsid wsp:val=&quot;00557B01&quot;/&gt;&lt;wsp:rsid wsp:val=&quot;00561DF4&quot;/&gt;&lt;wsp:rsid wsp:val=&quot;0056703C&quot;/&gt;&lt;wsp:rsid wsp:val=&quot;005955A2&quot;/&gt;&lt;wsp:rsid wsp:val=&quot;005B2564&quot;/&gt;&lt;wsp:rsid wsp:val=&quot;005C4E77&quot;/&gt;&lt;wsp:rsid wsp:val=&quot;0060398F&quot;/&gt;&lt;wsp:rsid wsp:val=&quot;00603EAA&quot;/&gt;&lt;wsp:rsid wsp:val=&quot;00605FAB&quot;/&gt;&lt;wsp:rsid wsp:val=&quot;0062160A&quot;/&gt;&lt;wsp:rsid wsp:val=&quot;006240C2&quot;/&gt;&lt;wsp:rsid wsp:val=&quot;006508BB&quot;/&gt;&lt;wsp:rsid wsp:val=&quot;00672940&quot;/&gt;&lt;wsp:rsid wsp:val=&quot;00673E7C&quot;/&gt;&lt;wsp:rsid wsp:val=&quot;00691F79&quot;/&gt;&lt;wsp:rsid wsp:val=&quot;006A1F85&quot;/&gt;&lt;wsp:rsid wsp:val=&quot;006D3C06&quot;/&gt;&lt;wsp:rsid wsp:val=&quot;006E7B92&quot;/&gt;&lt;wsp:rsid wsp:val=&quot;00701A3C&quot;/&gt;&lt;wsp:rsid wsp:val=&quot;0070531A&quot;/&gt;&lt;wsp:rsid wsp:val=&quot;00720233&quot;/&gt;&lt;wsp:rsid wsp:val=&quot;00736E46&quot;/&gt;&lt;wsp:rsid wsp:val=&quot;007608C5&quot;/&gt;&lt;wsp:rsid wsp:val=&quot;00783D63&quot;/&gt;&lt;wsp:rsid wsp:val=&quot;007924EE&quot;/&gt;&lt;wsp:rsid wsp:val=&quot;00795D1C&quot;/&gt;&lt;wsp:rsid wsp:val=&quot;007C03FD&quot;/&gt;&lt;wsp:rsid wsp:val=&quot;007D13F1&quot;/&gt;&lt;wsp:rsid wsp:val=&quot;007E5AED&quot;/&gt;&lt;wsp:rsid wsp:val=&quot;007F0702&quot;/&gt;&lt;wsp:rsid wsp:val=&quot;008128BE&quot;/&gt;&lt;wsp:rsid wsp:val=&quot;008233EC&quot;/&gt;&lt;wsp:rsid wsp:val=&quot;008455BD&quot;/&gt;&lt;wsp:rsid wsp:val=&quot;00863452&quot;/&gt;&lt;wsp:rsid wsp:val=&quot;0086552C&quot;/&gt;&lt;wsp:rsid wsp:val=&quot;0087036A&quot;/&gt;&lt;wsp:rsid wsp:val=&quot;0088282D&quot;/&gt;&lt;wsp:rsid wsp:val=&quot;008A4CAD&quot;/&gt;&lt;wsp:rsid wsp:val=&quot;008B080A&quot;/&gt;&lt;wsp:rsid wsp:val=&quot;008C1F06&quot;/&gt;&lt;wsp:rsid wsp:val=&quot;008C54BF&quot;/&gt;&lt;wsp:rsid wsp:val=&quot;008D0244&quot;/&gt;&lt;wsp:rsid wsp:val=&quot;008D6F56&quot;/&gt;&lt;wsp:rsid wsp:val=&quot;008D74E5&quot;/&gt;&lt;wsp:rsid wsp:val=&quot;008F4750&quot;/&gt;&lt;wsp:rsid wsp:val=&quot;008F538A&quot;/&gt;&lt;wsp:rsid wsp:val=&quot;00914603&quot;/&gt;&lt;wsp:rsid wsp:val=&quot;009328C5&quot;/&gt;&lt;wsp:rsid wsp:val=&quot;00935CFF&quot;/&gt;&lt;wsp:rsid wsp:val=&quot;00946B86&quot;/&gt;&lt;wsp:rsid wsp:val=&quot;009551C7&quot;/&gt;&lt;wsp:rsid wsp:val=&quot;009576D9&quot;/&gt;&lt;wsp:rsid wsp:val=&quot;009854A2&quot;/&gt;&lt;wsp:rsid wsp:val=&quot;00991CBC&quot;/&gt;&lt;wsp:rsid wsp:val=&quot;00993D89&quot;/&gt;&lt;wsp:rsid wsp:val=&quot;009B4361&quot;/&gt;&lt;wsp:rsid wsp:val=&quot;009C1076&quot;/&gt;&lt;wsp:rsid wsp:val=&quot;009F2EEA&quot;/&gt;&lt;wsp:rsid wsp:val=&quot;00A012AF&quot;/&gt;&lt;wsp:rsid wsp:val=&quot;00A05E83&quot;/&gt;&lt;wsp:rsid wsp:val=&quot;00A40E21&quot;/&gt;&lt;wsp:rsid wsp:val=&quot;00A93A23&quot;/&gt;&lt;wsp:rsid wsp:val=&quot;00AA1EBE&quot;/&gt;&lt;wsp:rsid wsp:val=&quot;00AC2CF4&quot;/&gt;&lt;wsp:rsid wsp:val=&quot;00AC5413&quot;/&gt;&lt;wsp:rsid wsp:val=&quot;00AC5C26&quot;/&gt;&lt;wsp:rsid wsp:val=&quot;00B34459&quot;/&gt;&lt;wsp:rsid wsp:val=&quot;00B43051&quot;/&gt;&lt;wsp:rsid wsp:val=&quot;00B83017&quot;/&gt;&lt;wsp:rsid wsp:val=&quot;00BA091F&quot;/&gt;&lt;wsp:rsid wsp:val=&quot;00BC7D76&quot;/&gt;&lt;wsp:rsid wsp:val=&quot;00BD7C61&quot;/&gt;&lt;wsp:rsid wsp:val=&quot;00C258A6&quot;/&gt;&lt;wsp:rsid wsp:val=&quot;00C3060B&quot;/&gt;&lt;wsp:rsid wsp:val=&quot;00C40369&quot;/&gt;&lt;wsp:rsid wsp:val=&quot;00C53818&quot;/&gt;&lt;wsp:rsid wsp:val=&quot;00C954E0&quot;/&gt;&lt;wsp:rsid wsp:val=&quot;00CC39CD&quot;/&gt;&lt;wsp:rsid wsp:val=&quot;00CC50D3&quot;/&gt;&lt;wsp:rsid wsp:val=&quot;00CE2E70&quot;/&gt;&lt;wsp:rsid wsp:val=&quot;00CF2EF6&quot;/&gt;&lt;wsp:rsid wsp:val=&quot;00D22E8F&quot;/&gt;&lt;wsp:rsid wsp:val=&quot;00D34ABD&quot;/&gt;&lt;wsp:rsid wsp:val=&quot;00D5416F&quot;/&gt;&lt;wsp:rsid wsp:val=&quot;00D72A06&quot;/&gt;&lt;wsp:rsid wsp:val=&quot;00D821E8&quot;/&gt;&lt;wsp:rsid wsp:val=&quot;00D87C57&quot;/&gt;&lt;wsp:rsid wsp:val=&quot;00DC5FE7&quot;/&gt;&lt;wsp:rsid wsp:val=&quot;00DD61CB&quot;/&gt;&lt;wsp:rsid wsp:val=&quot;00DE2BFE&quot;/&gt;&lt;wsp:rsid wsp:val=&quot;00E02507&quot;/&gt;&lt;wsp:rsid wsp:val=&quot;00E05FF1&quot;/&gt;&lt;wsp:rsid wsp:val=&quot;00E30F5C&quot;/&gt;&lt;wsp:rsid wsp:val=&quot;00E545D8&quot;/&gt;&lt;wsp:rsid wsp:val=&quot;00E63DBF&quot;/&gt;&lt;wsp:rsid wsp:val=&quot;00E7014D&quot;/&gt;&lt;wsp:rsid wsp:val=&quot;00E8798B&quot;/&gt;&lt;wsp:rsid wsp:val=&quot;00EA0AC4&quot;/&gt;&lt;wsp:rsid wsp:val=&quot;00EA4FA3&quot;/&gt;&lt;wsp:rsid wsp:val=&quot;00EB1B53&quot;/&gt;&lt;wsp:rsid wsp:val=&quot;00EC008A&quot;/&gt;&lt;wsp:rsid wsp:val=&quot;00EC1592&quot;/&gt;&lt;wsp:rsid wsp:val=&quot;00ED5FAA&quot;/&gt;&lt;wsp:rsid wsp:val=&quot;00ED79C7&quot;/&gt;&lt;wsp:rsid wsp:val=&quot;00EE2C22&quot;/&gt;&lt;wsp:rsid wsp:val=&quot;00F04CC8&quot;/&gt;&lt;wsp:rsid wsp:val=&quot;00F37DC9&quot;/&gt;&lt;wsp:rsid wsp:val=&quot;00F37E9B&quot;/&gt;&lt;wsp:rsid wsp:val=&quot;00F41EC1&quot;/&gt;&lt;wsp:rsid wsp:val=&quot;00F76501&quot;/&gt;&lt;wsp:rsid wsp:val=&quot;00F83191&quot;/&gt;&lt;wsp:rsid wsp:val=&quot;00F930BC&quot;/&gt;&lt;wsp:rsid wsp:val=&quot;00F94C2E&quot;/&gt;&lt;wsp:rsid wsp:val=&quot;00FE6CB6&quot;/&gt;&lt;/wsp:rsids&gt;&lt;/w:docPr&gt;&lt;w:body&gt;&lt;wx:sect&gt;&lt;w:p wsp:rsidR=&quot;00000000&quot; wsp:rsidRPr=&quot;00B43051&quot; wsp:rsidRDefault=&quot;00B43051&quot; wsp:rsidP=&quot;00B43051&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EST&lt;/m:t&gt;&lt;/m:r&gt;&lt;/m:e&gt;&lt;m:sub&gt;&lt;m:r&gt;&lt;w:rPr&gt;&lt;w:rFonts w:ascii=&quot;Cambria Math&quot; w:h-ansi=&quot;Cambria Math&quot;/&gt;&lt;wx:font wx:val=&quot;Cambria Math&quot;/&gt;&lt;w:i/&gt;&lt;/w:rPr&gt;&lt;m:t&gt;t&lt;/m:t&gt;&lt;/m:r&gt;&lt;/m:sub&gt;&lt;/m:sSub&gt;&lt;m:r&gt;&lt;w:rPr&gt;&lt;w:rFonts w:ascii=&quot;Cambria Math&quot; w:h-ansi=&quot;Cambria Math&quot;/&gt;&lt;wx:font wx:val=&quot;Cambria Math&quot;/&gt;&lt;w:i/&gt;&lt;/w:rPr&gt;&lt;m:t&gt;=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Œ≤&lt;/m:t&gt;&lt;/m:r&gt;&lt;/m:e&gt;&lt;m:sub&gt;&lt;m:r&gt;&lt;w:rPr&gt;&lt;w:rFonts w:ascii=&quot;Cambria Math&quot; w:h-ansi=&quot;Cambria Math&quot;/&gt;&lt;wx:font wx:val=&quot;Cambria Math&quot;/&gt;&lt;w:i/&gt;&lt;/w:rPr&gt;&lt;m:t&gt;0&lt;/m:t&gt;&lt;/m:r&gt;&lt;/m:sub&gt;&lt;/m:sSub&gt;&lt;m:r&gt;&lt;w:rPr&gt;&lt;w:rFonts w:ascii=&quot;Cambria Math&quot; w:h-ansi=&quot;Cambria Math&quot;/&gt;&lt;wx:font wx:val=&quot;Cambria Math&quot;/&gt;&lt;w:i/&gt;&lt;/w:rPr&gt;&lt;m:t&gt;+&lt;/m:t&gt;&lt;/m:r&gt;&lt;m:nary&gt;&lt;m:naryPr&gt;&lt;m:chr m:val=&quot;‚àë&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1&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Œ≤&lt;/m:t&gt;&lt;/m:r&gt;&lt;/m:e&gt;&lt;m:sub&gt;&lt;m:r&gt;&lt;w:rPr&gt;&lt;w:rFonts w:ascii=&quot;Cambria Math&quot; w:h-ansi=&quot;Cambria Math&quot;/&gt;&lt;wx:font wx:val=&quot;Cambria Math&quot;/&gt;&lt;w:i/&gt;&lt;/w:rPr&gt;&lt;m:t&gt;1&lt;/m:t&gt;&lt;/m:r&gt;&lt;/m:sub&gt;&lt;/m:s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nUP&lt;/m:t&gt;&lt;/m:r&gt;&lt;/m:e&gt;&lt;m:sub&gt;&lt;m:r&gt;&lt;w:rPr&gt;&lt;w:rFonts w:ascii=&quot;Cambria Math&quot; w:h-ansi=&quot;Cambria Math&quot;/&gt;&lt;wx:font wx:val=&quot;Cambria Math&quot;/&gt;&lt;w:i/&gt;&lt;/w:rPr&gt;&lt;m:t&gt;t-1&lt;/m:t&gt;&lt;/m:r&gt;&lt;/m:sub&gt;&lt;/m:sSub&gt;&lt;/m:e&gt;&lt;/m:nary&gt;&lt;m:r&gt;&lt;w:rPr&gt;&lt;w:rFonts w:ascii=&quot;Cambria Math&quot; w:h-ansi=&quot;Cambria Math&quot;/&gt;&lt;wx:font wx:val=&quot;Cambria Math&quot;/&gt;&lt;w:i/&gt;&lt;/w:rPr&gt;&lt;m:t&gt;+&lt;/m:t&gt;&lt;/m:r&gt;&lt;m:nary&gt;&lt;m:naryPr&gt;&lt;m:chr m:val=&quot;‚àë&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1&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Œ≤&lt;/m:t&gt;&lt;/m:r&gt;&lt;/m:e&gt;&lt;m:sub&gt;&lt;m:r&gt;&lt;w:rPr&gt;&lt;w:rFonts w:ascii=&quot;Cambria Math&quot; w:h-ansi=&quot;Cambria Math&quot;/&gt;&lt;wx:font wx:val=&quot;Cambria Math&quot;/&gt;&lt;w:i/&gt;&lt;/w:rPr&gt;&lt;m:t&gt;2&lt;/m:t&gt;&lt;/m:r&gt;&lt;/m:sub&gt;&lt;/m:s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nGDP&lt;/m:t&gt;&lt;/m:r&gt;&lt;/m:e&gt;&lt;m:sub&gt;&lt;m:r&gt;&lt;w:rPr&gt;&lt;w:rFonts w:ascii=&quot;Cambria Math&quot; w:h-ansi=&quot;Cambria Math&quot;/&gt;&lt;wx:font wx:val=&quot;Cambria Math&quot;/&gt;&lt;w:i/&gt;&lt;/w:rPr&gt;&lt;m:t&gt;t-1&lt;/m:t&gt;&lt;/m:r&gt;&lt;/m:sub&gt;&lt;/m:sSub&gt;&lt;m:r&gt;&lt;w:rPr&gt;&lt;w:rFonts w:ascii=&quot;Cambria Math&quot; w:h-ansi=&quot;Cambria Math&quot;/&gt;&lt;wx:font wx:val=&quot;Cambria Math&quot;/&gt;&lt;w:i/&gt;&lt;/w:rPr&gt;&lt;m:t&gt;+ &lt;/m:t&gt;&lt;/m:r&gt;&lt;m:nary&gt;&lt;m:naryPr&gt;&lt;m:chr m:val=&quot;‚àë&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1&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Œ≤&lt;/m:t&gt;&lt;/m:r&gt;&lt;/m:e&gt;&lt;m:sub&gt;&lt;m:r&gt;&lt;w:rPr&gt;&lt;w:rFonts w:ascii=&quot;Cambria Math&quot; w:h-ansi=&quot;Cambria Math&quot;/&gt;&lt;wx:font wx:val=&quot;Cambria Math&quot;/&gt;&lt;w:i/&gt;&lt;/w:rPr&gt;&lt;m:t&gt;3&lt;/m:t&gt;&lt;/m:r&gt;&lt;/m:sub&gt;&lt;/m:s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nE&lt;/m:t&gt;&lt;/m:r&gt;&lt;/m:e&gt;&lt;m:sub&gt;&lt;m:r&gt;&lt;w:rPr&gt;&lt;w:rFonts w:ascii=&quot;Cambria Math&quot; w:h-ansi=&quot;Cambria Math&quot;/&gt;&lt;wx:font wx:val=&quot;Cambria Math&quot;/&gt;&lt;w:i/&gt;&lt;/w:rPr&gt;&lt;m:t&gt;t-1&lt;/m:t&gt;&lt;/m:r&gt;&lt;/m:sub&gt;&lt;/m:sSub&gt;&lt;/m:e&gt;&lt;/m:nary&gt;&lt;/m:e&gt;&lt;/m:nary&gt;&lt;m:r&gt;&lt;w:rPr&gt;&lt;w:rFonts w:ascii=&quot;Cambria Math&quot; w:h-ansi=&quot;Cambria Math&quot;/&gt;&lt;wx:font wx:val=&quot;Cambria Math&quot;/&gt;&lt;w:i/&gt;&lt;/w:rPr&gt;&lt;m:t&gt;+&lt;/m:t&gt;&lt;/m:r&gt;&lt;m:nary&gt;&lt;m:naryPr&gt;&lt;m:chr m:val=&quot;‚àë&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1&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Œ≤&lt;/m:t&gt;&lt;/m:r&gt;&lt;/m:e&gt;&lt;m:sub&gt;&lt;m:r&gt;&lt;w:rPr&gt;&lt;w:rFonts w:ascii=&quot;Cambria Math&quot; w:h-ansi=&quot;Cambria Math&quot;/&gt;&lt;wx:font wx:val=&quot;Cambria Math&quot;/&gt;&lt;w:i/&gt;&lt;/w:rPr&gt;&lt;m:t&gt;4&lt;/m:t&gt;&lt;/m:r&gt;&lt;/m:sub&gt;&lt;/m:sSub&gt;&lt;m:r&gt;&lt;w:rPr&gt;&lt;w:rFonts w:ascii=&quot;Cambria Math&quot; w:h-ansi=&quot;Cambria Math&quot;/&gt;&lt;wx:font wx:val=&quot;Cambria Math&quot;/&gt;&lt;w:i/&gt;&lt;/w:rPr&gt;&lt;m:t&gt;lnWP+&lt;/m:t&gt;&lt;/m:r&gt;&lt;m:sSub&gt;&lt;m:sSubPr&gt;&lt;m:ctrlPr&gt;&lt;w:rPr&gt;&lt;w:rFonts w:ascii=&quot;Cambria Math&quot; w:h-ansi=&quot;Cambria Math&quot;/&gt;&lt;wx:font wx:val=&quot;Cambria Math&quot;/&gt;&lt;w:i/&gt;&lt;/w:rPr&gt;&lt;/m:ctrlPr&gt;&lt;/m:sSubPr&gt;&lt;m:e&gt;&lt;m:nary&gt;&lt;m:naryPr&gt;&lt;m:chr m:val=&quot;‚àë&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1&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Œ≤&lt;/m:t&gt;&lt;/m:r&gt;&lt;/m:e&gt;&lt;m:sub&gt;&lt;m:r&gt;&lt;w:rPr&gt;&lt;w:rFonts w:ascii=&quot;Cambria Math&quot; w:h-ansi=&quot;Cambria Math&quot;/&gt;&lt;wx:font wx:val=&quot;Cambria Math&quot;/&gt;&lt;w:i/&gt;&lt;/w:rPr&gt;&lt;m:t&gt;5&lt;/m:t&gt;&lt;/m:r&gt;&lt;/m:sub&gt;&lt;/m:s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nFIN&lt;/m:t&gt;&lt;/m:r&gt;&lt;/m:e&gt;&lt;m:sub&gt;&lt;m:r&gt;&lt;w:rPr&gt;&lt;w:rFonts w:ascii=&quot;Cambria Math&quot; w:h-ansi=&quot;Cambria Math&quot;/&gt;&lt;wx:font wx:val=&quot;Cambria Math&quot;/&gt;&lt;w:i/&gt;&lt;/w:rPr&gt;&lt;m:t&gt;t-1&lt;/m:t&gt;&lt;/m:r&gt;&lt;/m:sub&gt;&lt;/m:sSub&gt;&lt;/m:e&gt;&lt;/m:nary&gt;&lt;m:r&gt;&lt;w:rPr&gt;&lt;w:rFonts w:ascii=&quot;Cambria Math&quot; w:h-ansi=&quot;Cambria Math&quot;/&gt;&lt;wx:font wx:val=&quot;Cambria Math&quot;/&gt;&lt;w:i/&gt;&lt;/w:rPr&gt;&lt;m:t&gt;+Œº&lt;/m:t&gt;&lt;/m:r&gt;&lt;/m:e&gt;&lt;m:sub&gt;&lt;m:r&gt;&lt;w:rPr&gt;&lt;w:rFonts w:ascii=&quot;Cambria Math&quot; w:h-ansi=&quot;Cambria Math&quot;/&gt;&lt;wx:font wx:val=&quot;Cambria Math&quot;/&gt;&lt;w:i/&gt;&lt;/w:rPr&gt;&lt;m:t&gt;2&lt;/m:t&gt;&lt;/m:r&gt;&lt;m:eqArr&gt;&lt;m:eqArrPr&gt;&lt;m:ctrlPr&gt;&lt;w:rPr&gt;&lt;w:rFonts w:ascii=&quot;Cambria Math&quot; w:h-ansi=&quot;Cambria Math&quot;/&gt;&lt;wx:font wx:val=&quot;Cambria Math&quot;/&gt;&lt;w:i/&gt;&lt;/w:rPr&gt;&lt;/m:ctrlPr&gt;&lt;/m:eqArrPr&gt;&lt;m:e&gt;&lt;m:r&gt;&lt;w:rPr&gt;&lt;w:rFonts w:ascii=&quot;Cambria Math&quot; w:h-ansi=&quot;Cambria Math&quot;/&gt;&lt;wx:font wx:val=&quot;Cambria Math&quot;/&gt;&lt;w:i/&gt;&lt;/w:rPr&gt;&lt;m:t&gt;t&lt;/m:t&gt;&lt;/m:r&gt;&lt;/m:e&gt;&lt;m:e&gt;&lt;m:r&gt;&lt;w:rPr&gt;&lt;w:rFonts w:ascii=&quot;Cambria Math&quot; w:h-ansi=&quot;Cambria Math&quot;/&gt;&lt;wx:font wx:val=&quot;Cambria Math&quot;/&gt;&lt;w:i/&gt;&lt;/w:rPr&gt;&lt;m:t&gt; &lt;/m:t&gt;&lt;/m:r&gt;&lt;/m:e&gt;&lt;/m:eqArr&gt;&lt;/m:sub&gt;&lt;/m:sSub&gt;&lt;m:r&gt;&lt;w:rPr&gt;&lt;w:rFonts w:ascii=&quot;Cambria Math&quot; w:h-ansi=&quot;Cambria Math&quot;/&gt;&lt;wx:font wx:val=&quot;Cambria Math&quot;/&gt;&lt;w:i/&gt;&lt;/w:rPr&gt;&lt;m:t&gt;-------------------(4) &lt;/m:t&gt;&lt;/m:r&gt;&lt;/m:e&gt;&lt;/m:nary&gt;&lt;/m:oMath&gt;&lt;/m:oMathPara&gt;&lt;/w:p&gt;&lt;w:sectPr wsp:rsidR=&quot;00000000&quot; wsp:rsidRPr=&quot;00B43051&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p>
    <w:p w:rsidR="00D41071" w:rsidRPr="001972F0" w:rsidRDefault="00021B6A" w:rsidP="00D41071">
      <w:pPr>
        <w:tabs>
          <w:tab w:val="left" w:pos="3974"/>
        </w:tabs>
        <w:spacing w:after="120"/>
        <w:ind w:left="709"/>
        <w:rPr>
          <w:color w:val="000000"/>
        </w:rPr>
      </w:pPr>
      <w:r w:rsidRPr="001972F0">
        <w:rPr>
          <w:noProof/>
          <w:color w:val="000000"/>
        </w:rPr>
        <w:pict w14:anchorId="28DBB40D">
          <v:shape id="_x0000_i1025" type="#_x0000_t75" alt="" style="width:454pt;height:94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shapeDefaults&gt;&lt;o:shapedefaults v:ext=&quot;edit&quot; spidmax=&quot;1026&quot;/&gt;&lt;o:shapelayout v:ext=&quot;edit&quot;&gt;&lt;o:idmap v:ext=&quot;edit&quot; data=&quot;1&quot;/&gt;&lt;/o:shapelayout&gt;&lt;/w:shapeDefaults&gt;&lt;w:docPr&gt;&lt;w:view w:val=&quot;print&quot;/&gt;&lt;w:zoom w:percent=&quot;116&quot;/&gt;&lt;w:doNotEmbedSystemFonts/&gt;&lt;w:defaultTabStop w:val=&quot;720&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C39CD&quot;/&gt;&lt;wsp:rsid wsp:val=&quot;0000520B&quot;/&gt;&lt;wsp:rsid wsp:val=&quot;000235A0&quot;/&gt;&lt;wsp:rsid wsp:val=&quot;00037C97&quot;/&gt;&lt;wsp:rsid wsp:val=&quot;000475E5&quot;/&gt;&lt;wsp:rsid wsp:val=&quot;00063F5A&quot;/&gt;&lt;wsp:rsid wsp:val=&quot;0006670F&quot;/&gt;&lt;wsp:rsid wsp:val=&quot;00090F45&quot;/&gt;&lt;wsp:rsid wsp:val=&quot;000975CB&quot;/&gt;&lt;wsp:rsid wsp:val=&quot;000C1F9E&quot;/&gt;&lt;wsp:rsid wsp:val=&quot;000C75E9&quot;/&gt;&lt;wsp:rsid wsp:val=&quot;000D17EC&quot;/&gt;&lt;wsp:rsid wsp:val=&quot;000D3E96&quot;/&gt;&lt;wsp:rsid wsp:val=&quot;0010141C&quot;/&gt;&lt;wsp:rsid wsp:val=&quot;0010357D&quot;/&gt;&lt;wsp:rsid wsp:val=&quot;001315CE&quot;/&gt;&lt;wsp:rsid wsp:val=&quot;00132663&quot;/&gt;&lt;wsp:rsid wsp:val=&quot;0016594D&quot;/&gt;&lt;wsp:rsid wsp:val=&quot;001674DF&quot;/&gt;&lt;wsp:rsid wsp:val=&quot;001B1F59&quot;/&gt;&lt;wsp:rsid wsp:val=&quot;001C2EA5&quot;/&gt;&lt;wsp:rsid wsp:val=&quot;001C7342&quot;/&gt;&lt;wsp:rsid wsp:val=&quot;002271A3&quot;/&gt;&lt;wsp:rsid wsp:val=&quot;0026053F&quot;/&gt;&lt;wsp:rsid wsp:val=&quot;00263E65&quot;/&gt;&lt;wsp:rsid wsp:val=&quot;002665EF&quot;/&gt;&lt;wsp:rsid wsp:val=&quot;0027555D&quot;/&gt;&lt;wsp:rsid wsp:val=&quot;00282755&quot;/&gt;&lt;wsp:rsid wsp:val=&quot;00290F9E&quot;/&gt;&lt;wsp:rsid wsp:val=&quot;00290FAE&quot;/&gt;&lt;wsp:rsid wsp:val=&quot;00292286&quot;/&gt;&lt;wsp:rsid wsp:val=&quot;002A2DF0&quot;/&gt;&lt;wsp:rsid wsp:val=&quot;002C77AB&quot;/&gt;&lt;wsp:rsid wsp:val=&quot;002D2828&quot;/&gt;&lt;wsp:rsid wsp:val=&quot;002D7ABF&quot;/&gt;&lt;wsp:rsid wsp:val=&quot;0031150D&quot;/&gt;&lt;wsp:rsid wsp:val=&quot;00323D82&quot;/&gt;&lt;wsp:rsid wsp:val=&quot;00324E48&quot;/&gt;&lt;wsp:rsid wsp:val=&quot;003329A3&quot;/&gt;&lt;wsp:rsid wsp:val=&quot;003342CD&quot;/&gt;&lt;wsp:rsid wsp:val=&quot;0034147D&quot;/&gt;&lt;wsp:rsid wsp:val=&quot;00347602&quot;/&gt;&lt;wsp:rsid wsp:val=&quot;00352FD3&quot;/&gt;&lt;wsp:rsid wsp:val=&quot;003D7B73&quot;/&gt;&lt;wsp:rsid wsp:val=&quot;003E416D&quot;/&gt;&lt;wsp:rsid wsp:val=&quot;00412C47&quot;/&gt;&lt;wsp:rsid wsp:val=&quot;0041469D&quot;/&gt;&lt;wsp:rsid wsp:val=&quot;00437828&quot;/&gt;&lt;wsp:rsid wsp:val=&quot;00483537&quot;/&gt;&lt;wsp:rsid wsp:val=&quot;004A4020&quot;/&gt;&lt;wsp:rsid wsp:val=&quot;004B0F6D&quot;/&gt;&lt;wsp:rsid wsp:val=&quot;004B4A1C&quot;/&gt;&lt;wsp:rsid wsp:val=&quot;004D6F57&quot;/&gt;&lt;wsp:rsid wsp:val=&quot;004E7848&quot;/&gt;&lt;wsp:rsid wsp:val=&quot;004F6E75&quot;/&gt;&lt;wsp:rsid wsp:val=&quot;0051505C&quot;/&gt;&lt;wsp:rsid wsp:val=&quot;005218AA&quot;/&gt;&lt;wsp:rsid wsp:val=&quot;00522970&quot;/&gt;&lt;wsp:rsid wsp:val=&quot;0052459B&quot;/&gt;&lt;wsp:rsid wsp:val=&quot;00532F55&quot;/&gt;&lt;wsp:rsid wsp:val=&quot;00535487&quot;/&gt;&lt;wsp:rsid wsp:val=&quot;0055469E&quot;/&gt;&lt;wsp:rsid wsp:val=&quot;00554B72&quot;/&gt;&lt;wsp:rsid wsp:val=&quot;00555C4A&quot;/&gt;&lt;wsp:rsid wsp:val=&quot;00555E06&quot;/&gt;&lt;wsp:rsid wsp:val=&quot;00557B01&quot;/&gt;&lt;wsp:rsid wsp:val=&quot;00561DF4&quot;/&gt;&lt;wsp:rsid wsp:val=&quot;0056703C&quot;/&gt;&lt;wsp:rsid wsp:val=&quot;005955A2&quot;/&gt;&lt;wsp:rsid wsp:val=&quot;005B2564&quot;/&gt;&lt;wsp:rsid wsp:val=&quot;005C4E77&quot;/&gt;&lt;wsp:rsid wsp:val=&quot;0060398F&quot;/&gt;&lt;wsp:rsid wsp:val=&quot;00603EAA&quot;/&gt;&lt;wsp:rsid wsp:val=&quot;00605FAB&quot;/&gt;&lt;wsp:rsid wsp:val=&quot;0062160A&quot;/&gt;&lt;wsp:rsid wsp:val=&quot;006240C2&quot;/&gt;&lt;wsp:rsid wsp:val=&quot;00646574&quot;/&gt;&lt;wsp:rsid wsp:val=&quot;006508BB&quot;/&gt;&lt;wsp:rsid wsp:val=&quot;00672940&quot;/&gt;&lt;wsp:rsid wsp:val=&quot;00673E7C&quot;/&gt;&lt;wsp:rsid wsp:val=&quot;00691F79&quot;/&gt;&lt;wsp:rsid wsp:val=&quot;006A1F85&quot;/&gt;&lt;wsp:rsid wsp:val=&quot;006D3C06&quot;/&gt;&lt;wsp:rsid wsp:val=&quot;006E7B92&quot;/&gt;&lt;wsp:rsid wsp:val=&quot;00701A3C&quot;/&gt;&lt;wsp:rsid wsp:val=&quot;0070531A&quot;/&gt;&lt;wsp:rsid wsp:val=&quot;00720233&quot;/&gt;&lt;wsp:rsid wsp:val=&quot;00736E46&quot;/&gt;&lt;wsp:rsid wsp:val=&quot;007608C5&quot;/&gt;&lt;wsp:rsid wsp:val=&quot;00783D63&quot;/&gt;&lt;wsp:rsid wsp:val=&quot;007924EE&quot;/&gt;&lt;wsp:rsid wsp:val=&quot;00795D1C&quot;/&gt;&lt;wsp:rsid wsp:val=&quot;007C03FD&quot;/&gt;&lt;wsp:rsid wsp:val=&quot;007D13F1&quot;/&gt;&lt;wsp:rsid wsp:val=&quot;007E5AED&quot;/&gt;&lt;wsp:rsid wsp:val=&quot;007F0702&quot;/&gt;&lt;wsp:rsid wsp:val=&quot;008128BE&quot;/&gt;&lt;wsp:rsid wsp:val=&quot;008233EC&quot;/&gt;&lt;wsp:rsid wsp:val=&quot;008455BD&quot;/&gt;&lt;wsp:rsid wsp:val=&quot;00863452&quot;/&gt;&lt;wsp:rsid wsp:val=&quot;0086552C&quot;/&gt;&lt;wsp:rsid wsp:val=&quot;0087036A&quot;/&gt;&lt;wsp:rsid wsp:val=&quot;0088282D&quot;/&gt;&lt;wsp:rsid wsp:val=&quot;008A4CAD&quot;/&gt;&lt;wsp:rsid wsp:val=&quot;008B080A&quot;/&gt;&lt;wsp:rsid wsp:val=&quot;008C1F06&quot;/&gt;&lt;wsp:rsid wsp:val=&quot;008C54BF&quot;/&gt;&lt;wsp:rsid wsp:val=&quot;008D0244&quot;/&gt;&lt;wsp:rsid wsp:val=&quot;008D6F56&quot;/&gt;&lt;wsp:rsid wsp:val=&quot;008D74E5&quot;/&gt;&lt;wsp:rsid wsp:val=&quot;008F4750&quot;/&gt;&lt;wsp:rsid wsp:val=&quot;008F538A&quot;/&gt;&lt;wsp:rsid wsp:val=&quot;00914603&quot;/&gt;&lt;wsp:rsid wsp:val=&quot;009328C5&quot;/&gt;&lt;wsp:rsid wsp:val=&quot;00935CFF&quot;/&gt;&lt;wsp:rsid wsp:val=&quot;00946B86&quot;/&gt;&lt;wsp:rsid wsp:val=&quot;009551C7&quot;/&gt;&lt;wsp:rsid wsp:val=&quot;009576D9&quot;/&gt;&lt;wsp:rsid wsp:val=&quot;009854A2&quot;/&gt;&lt;wsp:rsid wsp:val=&quot;00991CBC&quot;/&gt;&lt;wsp:rsid wsp:val=&quot;00993D89&quot;/&gt;&lt;wsp:rsid wsp:val=&quot;009B4361&quot;/&gt;&lt;wsp:rsid wsp:val=&quot;009C1076&quot;/&gt;&lt;wsp:rsid wsp:val=&quot;009F2EEA&quot;/&gt;&lt;wsp:rsid wsp:val=&quot;00A012AF&quot;/&gt;&lt;wsp:rsid wsp:val=&quot;00A05E83&quot;/&gt;&lt;wsp:rsid wsp:val=&quot;00A40E21&quot;/&gt;&lt;wsp:rsid wsp:val=&quot;00A93A23&quot;/&gt;&lt;wsp:rsid wsp:val=&quot;00AA1EBE&quot;/&gt;&lt;wsp:rsid wsp:val=&quot;00AC2CF4&quot;/&gt;&lt;wsp:rsid wsp:val=&quot;00AC5413&quot;/&gt;&lt;wsp:rsid wsp:val=&quot;00AC5C26&quot;/&gt;&lt;wsp:rsid wsp:val=&quot;00B34459&quot;/&gt;&lt;wsp:rsid wsp:val=&quot;00B83017&quot;/&gt;&lt;wsp:rsid wsp:val=&quot;00BA091F&quot;/&gt;&lt;wsp:rsid wsp:val=&quot;00BC7D76&quot;/&gt;&lt;wsp:rsid wsp:val=&quot;00BD7C61&quot;/&gt;&lt;wsp:rsid wsp:val=&quot;00C258A6&quot;/&gt;&lt;wsp:rsid wsp:val=&quot;00C3060B&quot;/&gt;&lt;wsp:rsid wsp:val=&quot;00C40369&quot;/&gt;&lt;wsp:rsid wsp:val=&quot;00C53818&quot;/&gt;&lt;wsp:rsid wsp:val=&quot;00C954E0&quot;/&gt;&lt;wsp:rsid wsp:val=&quot;00CC39CD&quot;/&gt;&lt;wsp:rsid wsp:val=&quot;00CC50D3&quot;/&gt;&lt;wsp:rsid wsp:val=&quot;00CE2E70&quot;/&gt;&lt;wsp:rsid wsp:val=&quot;00CF2EF6&quot;/&gt;&lt;wsp:rsid wsp:val=&quot;00D22E8F&quot;/&gt;&lt;wsp:rsid wsp:val=&quot;00D34ABD&quot;/&gt;&lt;wsp:rsid wsp:val=&quot;00D5416F&quot;/&gt;&lt;wsp:rsid wsp:val=&quot;00D72A06&quot;/&gt;&lt;wsp:rsid wsp:val=&quot;00D821E8&quot;/&gt;&lt;wsp:rsid wsp:val=&quot;00D87C57&quot;/&gt;&lt;wsp:rsid wsp:val=&quot;00DC5FE7&quot;/&gt;&lt;wsp:rsid wsp:val=&quot;00DD61CB&quot;/&gt;&lt;wsp:rsid wsp:val=&quot;00DE2BFE&quot;/&gt;&lt;wsp:rsid wsp:val=&quot;00E02507&quot;/&gt;&lt;wsp:rsid wsp:val=&quot;00E05FF1&quot;/&gt;&lt;wsp:rsid wsp:val=&quot;00E30F5C&quot;/&gt;&lt;wsp:rsid wsp:val=&quot;00E545D8&quot;/&gt;&lt;wsp:rsid wsp:val=&quot;00E63DBF&quot;/&gt;&lt;wsp:rsid wsp:val=&quot;00E7014D&quot;/&gt;&lt;wsp:rsid wsp:val=&quot;00E8798B&quot;/&gt;&lt;wsp:rsid wsp:val=&quot;00EA0AC4&quot;/&gt;&lt;wsp:rsid wsp:val=&quot;00EA4FA3&quot;/&gt;&lt;wsp:rsid wsp:val=&quot;00EB1B53&quot;/&gt;&lt;wsp:rsid wsp:val=&quot;00EC008A&quot;/&gt;&lt;wsp:rsid wsp:val=&quot;00EC1592&quot;/&gt;&lt;wsp:rsid wsp:val=&quot;00ED5FAA&quot;/&gt;&lt;wsp:rsid wsp:val=&quot;00ED79C7&quot;/&gt;&lt;wsp:rsid wsp:val=&quot;00EE2C22&quot;/&gt;&lt;wsp:rsid wsp:val=&quot;00F04CC8&quot;/&gt;&lt;wsp:rsid wsp:val=&quot;00F37DC9&quot;/&gt;&lt;wsp:rsid wsp:val=&quot;00F37E9B&quot;/&gt;&lt;wsp:rsid wsp:val=&quot;00F41EC1&quot;/&gt;&lt;wsp:rsid wsp:val=&quot;00F76501&quot;/&gt;&lt;wsp:rsid wsp:val=&quot;00F83191&quot;/&gt;&lt;wsp:rsid wsp:val=&quot;00F930BC&quot;/&gt;&lt;wsp:rsid wsp:val=&quot;00F94C2E&quot;/&gt;&lt;wsp:rsid wsp:val=&quot;00FE6CB6&quot;/&gt;&lt;/wsp:rsids&gt;&lt;/w:docPr&gt;&lt;w:body&gt;&lt;wx:sect&gt;&lt;w:p wsp:rsidR=&quot;00000000&quot; wsp:rsidRPr=&quot;00646574&quot; wsp:rsidRDefault=&quot;00646574&quot; wsp:rsidP=&quot;00646574&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EST&lt;/m:t&gt;&lt;/m:r&gt;&lt;/m:e&gt;&lt;m:sub&gt;&lt;m:r&gt;&lt;w:rPr&gt;&lt;w:rFonts w:ascii=&quot;Cambria Math&quot; w:h-ansi=&quot;Cambria Math&quot;/&gt;&lt;wx:font wx:val=&quot;Cambria Math&quot;/&gt;&lt;w:i/&gt;&lt;/w:rPr&gt;&lt;m:t&gt;t&lt;/m:t&gt;&lt;/m:r&gt;&lt;/m:sub&gt;&lt;/m:sSub&gt;&lt;m:r&gt;&lt;w:rPr&gt;&lt;w:rFonts w:ascii=&quot;Cambria Math&quot; w:h-ansi=&quot;Cambria Math&quot;/&gt;&lt;wx:font wx:val=&quot;Cambria Math&quot;/&gt;&lt;w:i/&gt;&lt;/w:rPr&gt;&lt;m:t&gt;= &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Œ≤&lt;/m:t&gt;&lt;/m:r&gt;&lt;/m:e&gt;&lt;m:sub&gt;&lt;m:r&gt;&lt;w:rPr&gt;&lt;w:rFonts w:ascii=&quot;Cambria Math&quot; w:h-ansi=&quot;Cambria Math&quot;/&gt;&lt;wx:font wx:val=&quot;Cambria Math&quot;/&gt;&lt;w:i/&gt;&lt;/w:rPr&gt;&lt;m:t&gt;0&lt;/m:t&gt;&lt;/m:r&gt;&lt;/m:sub&gt;&lt;/m:sSub&gt;&lt;m:r&gt;&lt;w:rPr&gt;&lt;w:rFonts w:ascii=&quot;Cambria Math&quot; w:h-ansi=&quot;Cambria Math&quot;/&gt;&lt;wx:font wx:val=&quot;Cambria Math&quot;/&gt;&lt;w:i/&gt;&lt;/w:rPr&gt;&lt;m:t&gt;+&lt;/m:t&gt;&lt;/m:r&gt;&lt;m:nary&gt;&lt;m:naryPr&gt;&lt;m:chr m:val=&quot;‚àë&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1&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Œ≤&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àÜ&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nUP&lt;/m:t&gt;&lt;/m:r&gt;&lt;/m:e&gt;&lt;m:sub&gt;&lt;m:r&gt;&lt;w:rPr&gt;&lt;w:rFonts w:ascii=&quot;Cambria Math&quot; w:h-ansi=&quot;Cambria Math&quot;/&gt;&lt;wx:font wx:val=&quot;Cambria Math&quot;/&gt;&lt;w:i/&gt;&lt;/w:rPr&gt;&lt;m:t&gt;t-1&lt;/m:t&gt;&lt;/m:r&gt;&lt;/m:sub&gt;&lt;/m:sSub&gt;&lt;/m:e&gt;&lt;/m:nary&gt;&lt;m:r&gt;&lt;w:rPr&gt;&lt;w:rFonts w:ascii=&quot;Cambria Math&quot; w:h-ansi=&quot;Cambria Math&quot;/&gt;&lt;wx:font wx:val=&quot;Cambria Math&quot;/&gt;&lt;w:i/&gt;&lt;/w:rPr&gt;&lt;m:t&gt;+&lt;/m:t&gt;&lt;/m:r&gt;&lt;m:nary&gt;&lt;m:naryPr&gt;&lt;m:chr m:val=&quot;‚àë&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1&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Œ≤&lt;/m:t&gt;&lt;/m:r&gt;&lt;/m:e&gt;&lt;m:sub&gt;&lt;m:r&gt;&lt;w:rPr&gt;&lt;w:rFonts w:ascii=&quot;Cambria Math&quot; w:h-ansi=&quot;Cambria Math&quot;/&gt;&lt;wx:font wx:val=&quot;Cambria Math&quot;/&gt;&lt;w:i/&gt;&lt;/w:rPr&gt;&lt;m:t&gt;2&lt;/m:t&gt;&lt;/m:r&gt;&lt;/m:sub&gt;&lt;/m:sSub&gt;&lt;m:r&gt;&lt;w:rPr&gt;&lt;w:rFonts w:ascii=&quot;Cambria Math&quot; w:h-ansi=&quot;Cambria Math&quot;/&gt;&lt;wx:font wx:val=&quot;Cambria Math&quot;/&gt;&lt;w:i/&gt;&lt;/w:rPr&gt;&lt;m:t&gt;‚àÜ&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nGDP&lt;/m:t&gt;&lt;/m:r&gt;&lt;/m:e&gt;&lt;m:sub&gt;&lt;m:r&gt;&lt;w:rPr&gt;&lt;w:rFonts w:ascii=&quot;Cambria Math&quot; w:h-ansi=&quot;Cambria Math&quot;/&gt;&lt;wx:font wx:val=&quot;Cambria Math&quot;/&gt;&lt;w:i/&gt;&lt;/w:rPr&gt;&lt;m:t&gt;t-1&lt;/m:t&gt;&lt;/m:r&gt;&lt;/m:sub&gt;&lt;/m:sSub&gt;&lt;m:r&gt;&lt;w:rPr&gt;&lt;w:rFonts w:ascii=&quot;Cambria Math&quot; w:h-ansi=&quot;Cambria Math&quot;/&gt;&lt;wx:font wx:val=&quot;Cambria Math&quot;/&gt;&lt;w:i/&gt;&lt;/w:rPr&gt;&lt;m:t&gt;+ &lt;/m:t&gt;&lt;/m:r&gt;&lt;m:nary&gt;&lt;m:naryPr&gt;&lt;m:chr m:val=&quot;‚àë&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1&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Œ≤&lt;/m:t&gt;&lt;/m:r&gt;&lt;/m:e&gt;&lt;m:sub&gt;&lt;m:r&gt;&lt;w:rPr&gt;&lt;w:rFonts w:ascii=&quot;Cambria Math&quot; w:h-ansi=&quot;Cambria Math&quot;/&gt;&lt;wx:font wx:val=&quot;Cambria Math&quot;/&gt;&lt;w:i/&gt;&lt;/w:rPr&gt;&lt;m:t&gt;3&lt;/m:t&gt;&lt;/m:r&gt;&lt;/m:sub&gt;&lt;/m:sSub&gt;&lt;m:r&gt;&lt;w:rPr&gt;&lt;w:rFonts w:ascii=&quot;Cambria Math&quot; w:h-ansi=&quot;Cambria Math&quot;/&gt;&lt;wx:font wx:val=&quot;Cambria Math&quot;/&gt;&lt;w:i/&gt;&lt;/w:rPr&gt;&lt;m:t&gt;‚àÜ&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nE&lt;/m:t&gt;&lt;/m:r&gt;&lt;/m:e&gt;&lt;m:sub&gt;&lt;m:r&gt;&lt;w:rPr&gt;&lt;w:rFonts w:ascii=&quot;Cambria Math&quot; w:h-ansi=&quot;Cambria Math&quot;/&gt;&lt;wx:font wx:val=&quot;Cambria Math&quot;/&gt;&lt;w:i/&gt;&lt;/w:rPr&gt;&lt;m:t&gt;t-1&lt;/m:t&gt;&lt;/m:r&gt;&lt;/m:sub&gt;&lt;/m:sSub&gt;&lt;/m:e&gt;&lt;/m:nary&gt;&lt;/m:e&gt;&lt;/m:nary&gt;&lt;m:r&gt;&lt;w:rPr&gt;&lt;w:rFonts w:ascii=&quot;Cambria Math&quot; w:h-ansi=&quot;Cambria Math&quot;/&gt;&lt;wx:font wx:val=&quot;Cambria Math&quot;/&gt;&lt;w:i/&gt;&lt;/w:rPr&gt;&lt;m:t&gt;+&lt;/m:t&gt;&lt;/m:r&gt;&lt;m:nary&gt;&lt;m:naryPr&gt;&lt;m:chr m:val=&quot;‚àë&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1&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Œ≤&lt;/m:t&gt;&lt;/m:r&gt;&lt;/m:e&gt;&lt;m:sub&gt;&lt;m:r&gt;&lt;w:rPr&gt;&lt;w:rFonts w:ascii=&quot;Cambria Math&quot; w:h-ansi=&quot;Cambria Math&quot;/&gt;&lt;wx:font wx:val=&quot;Cambria Math&quot;/&gt;&lt;w:i/&gt;&lt;/w:rPr&gt;&lt;m:t&gt;4&lt;/m:t&gt;&lt;/m:r&gt;&lt;/m:sub&gt;&lt;/m:sSub&gt;&lt;m:r&gt;&lt;w:rPr&gt;&lt;w:rFonts w:ascii=&quot;Cambria Math&quot; w:h-ansi=&quot;Cambria Math&quot;/&gt;&lt;wx:font wx:val=&quot;Cambria Math&quot;/&gt;&lt;w:i/&gt;&lt;/w:rPr&gt;&lt;m:t&gt;‚àÜ&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nWP&lt;/m:t&gt;&lt;/m:r&gt;&lt;/m:e&gt;&lt;m:sub&gt;&lt;m:r&gt;&lt;w:rPr&gt;&lt;w:rFonts w:ascii=&quot;Cambria Math&quot; w:h-ansi=&quot;Cambria Math&quot;/&gt;&lt;wx:font wx:val=&quot;Cambria Math&quot;/&gt;&lt;w:i/&gt;&lt;/w:rPr&gt;&lt;m:t&gt;t-1&lt;/m:t&gt;&lt;/m:r&gt;&lt;/m:sub&gt;&lt;/m:sSub&gt;&lt;m:r&gt;&lt;w:rPr&gt;&lt;w:rFonts w:ascii=&quot;Cambria Math&quot; w:h-ansi=&quot;Cambria Math&quot;/&gt;&lt;wx:font wx:val=&quot;Cambria Math&quot;/&gt;&lt;w:i/&gt;&lt;/w:rPr&gt;&lt;m:t&gt;+&lt;/m:t&gt;&lt;/m:r&gt;&lt;m:nary&gt;&lt;m:naryPr&gt;&lt;m:chr m:val=&quot;‚àë&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1&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Œ≤&lt;/m:t&gt;&lt;/m:r&gt;&lt;/m:e&gt;&lt;m:sub&gt;&lt;m:r&gt;&lt;w:rPr&gt;&lt;w:rFonts w:ascii=&quot;Cambria Math&quot; w:h-ansi=&quot;Cambria Math&quot;/&gt;&lt;wx:font wx:val=&quot;Cambria Math&quot;/&gt;&lt;w:i/&gt;&lt;/w:rPr&gt;&lt;m:t&gt;5&lt;/m:t&gt;&lt;/m:r&gt;&lt;/m:sub&gt;&lt;/m:sSub&gt;&lt;m:r&gt;&lt;w:rPr&gt;&lt;w:rFonts w:ascii=&quot;Cambria Math&quot; w:h-ansi=&quot;Cambria Math&quot;/&gt;&lt;wx:font wx:val=&quot;Cambria Math&quot;/&gt;&lt;w:i/&gt;&lt;/w:rPr&gt;&lt;m:t&gt;‚àÜ&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lnFIN&lt;/m:t&gt;&lt;/m:r&gt;&lt;/m:e&gt;&lt;m:sub&gt;&lt;m:r&gt;&lt;w:rPr&gt;&lt;w:rFonts w:ascii=&quot;Cambria Math&quot; w:h-ansi=&quot;Cambria Math&quot;/&gt;&lt;wx:font wx:val=&quot;Cambria Math&quot;/&gt;&lt;w:i/&gt;&lt;/w:rPr&gt;&lt;m:t&gt;t-1&lt;/m:t&gt;&lt;/m:r&gt;&lt;/m:sub&gt;&lt;/m:sSub&gt;&lt;/m:e&gt;&lt;/m:nary&gt;&lt;m:r&gt;&lt;w:rPr&gt;&lt;w:rFonts w:ascii=&quot;Cambria Math&quot; w:h-ansi=&quot;Cambria Math&quot;/&gt;&lt;wx:font wx:val=&quot;Cambria Math&quot;/&gt;&lt;w:i/&gt;&lt;/w:rPr&gt;&lt;m:t&gt;+‚àÖ&lt;/m:t&gt;&lt;/m:r&gt;&lt;m:sSub&gt;&lt;m:sSubPr&gt;&lt;m:ctrlPr&gt;&lt;w:rPr&gt;&lt;w:rFonts w:ascii=&quot;Cambria Math&quot; w:fareast=&quot;Calibri&quot; w:h-ansi=&quot;Cambria Math&quot; w:cs=&quot;Times New Roman&quot;/&gt;&lt;wx:font wx:val=&quot;Cambria Math&quot;/&gt;&lt;w:i/&gt;&lt;/w:rPr&gt;&lt;/m:ctrlPr&gt;&lt;/m:sSubPr&gt;&lt;m:e&gt;&lt;m:r&gt;&lt;w:rPr&gt;&lt;w:rFonts w:ascii=&quot;Cambria Math&quot; w:h-ansi=&quot;Cambria Math&quot;/&gt;&lt;wx:font wx:val=&quot;Cambria Math&quot;/&gt;&lt;w:i/&gt;&lt;/w:rPr&gt;&lt;m:t&gt;ECM&lt;/m:t&gt;&lt;/m:r&gt;&lt;/m:e&gt;&lt;m:sub&gt;&lt;m:r&gt;&lt;w:rPr&gt;&lt;w:rFonts w:ascii=&quot;Cambria Math&quot; w:h-ansi=&quot;Cambria Math&quot;/&gt;&lt;wx:font wx:val=&quot;Cambria Math&quot;/&gt;&lt;w:i/&gt;&lt;/w:rPr&gt;&lt;m:t&gt;t-1&lt;/m:t&gt;&lt;/m:r&gt;&lt;/m:sub&gt;&lt;/m:sSub&gt;&lt;m:r&gt;&lt;w:rPr&gt;&lt;w:rFonts w:ascii=&quot;Cambria Math&quot; w:h-ansi=&quot;Cambria Math&quot;/&gt;&lt;wx:font wx:val=&quot;Cambria Math&quot;/&gt;&lt;w:i/&gt;&lt;/w:rPr&gt;&lt;m:t&gt;+&lt;/m:t&gt;&lt;/m:r&gt;&lt;m:sSub&gt;&lt;m:sSubPr&gt;&lt;m:ctrlPr&gt;&lt;w:rPr&gt;&lt;w:rFonts w:ascii=&quot;Cambria Math&quot; w:fareast=&quot;Calibri&quot; w:h-ansi=&quot;Cambria Math&quot; w:cs=&quot;Times New Roman&quot;/&gt;&lt;wx:font wx:val=&quot;Cambria Math&quot;/&gt;&lt;w:i/&gt;&lt;/w:rPr&gt;&lt;/m:ctrlPr&gt;&lt;/m:sSubPr&gt;&lt;m:e&gt;&lt;m:r&gt;&lt;w:rPr&gt;&lt;w:rFonts w:ascii=&quot;Cambria Math&quot; w:h-ansi=&quot;Cambria Math&quot;/&gt;&lt;wx:font wx:val=&quot;Cambria Math&quot;/&gt;&lt;w:i/&gt;&lt;/w:rPr&gt;&lt;m:t&gt;Œº&lt;/m:t&gt;&lt;/m:r&gt;&lt;/m:e&gt;&lt;m:sub&gt;&lt;m:r&gt;&lt;w:rPr&gt;&lt;w:rFonts w:ascii=&quot;Cambria Math&quot; w:h-ansi=&quot;Cambria Math&quot;/&gt;&lt;wx:font wx:val=&quot;Cambria Math&quot;/&gt;&lt;w:i/&gt;&lt;/w:rPr&gt;&lt;m:t&gt;t&lt;/m:t&gt;&lt;/m:r&gt;&lt;/m:sub&gt;&lt;/m:sSub&gt;&lt;m:r&gt;&lt;w:rPr&gt;&lt;w:rFonts w:ascii=&quot;Cambria Math&quot; w:h-ansi=&quot;Cambria Math&quot;/&gt;&lt;wx:font wx:val=&quot;Cambria Math&quot;/&gt;&lt;w:i/&gt;&lt;/w:rPr&gt;&lt;m:t&gt;-------------------(5) &lt;/m:t&gt;&lt;/m:r&gt;&lt;/m:e&gt;&lt;/m:nary&gt;&lt;/m:oMath&gt;&lt;/m:oMathPara&gt;&lt;/w:p&gt;&lt;w:sectPr wsp:rsidR=&quot;00000000&quot; wsp:rsidRPr=&quot;00646574&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p>
    <w:p w:rsidR="00D41071" w:rsidRPr="001972F0" w:rsidRDefault="00D41071" w:rsidP="00D41071">
      <w:pPr>
        <w:spacing w:before="240" w:after="120"/>
        <w:ind w:left="709"/>
        <w:jc w:val="both"/>
        <w:rPr>
          <w:color w:val="000000"/>
        </w:rPr>
      </w:pPr>
      <w:r w:rsidRPr="001972F0">
        <w:rPr>
          <w:color w:val="000000"/>
        </w:rPr>
        <w:t xml:space="preserve">Where ecm is the error correction representation in equation (5) and </w:t>
      </w:r>
      <w:r w:rsidRPr="001972F0">
        <w:rPr>
          <w:color w:val="000000"/>
        </w:rPr>
        <w:sym w:font="Symbol" w:char="F046"/>
      </w:r>
      <w:r w:rsidRPr="001972F0">
        <w:rPr>
          <w:color w:val="000000"/>
        </w:rPr>
        <w:t xml:space="preserve"> is the speed of adjustment.</w:t>
      </w:r>
    </w:p>
    <w:p w:rsidR="00D41071" w:rsidRPr="001972F0" w:rsidRDefault="00D41071" w:rsidP="00D41071">
      <w:pPr>
        <w:autoSpaceDE w:val="0"/>
        <w:autoSpaceDN w:val="0"/>
        <w:adjustRightInd w:val="0"/>
        <w:spacing w:before="240" w:after="120"/>
        <w:ind w:left="709"/>
        <w:jc w:val="both"/>
        <w:rPr>
          <w:color w:val="000000"/>
        </w:rPr>
      </w:pPr>
      <w:r w:rsidRPr="001972F0">
        <w:rPr>
          <w:color w:val="000000"/>
        </w:rPr>
        <w:t>Lastly, as a robustness check for the ARDL long run results, the study adopts the Dynamic -Ordinary Least Square (DOLS) and Fully Modified Ordinary Least square (FMOLS) techniques. These techniques can also be used for variables with a mixed order of integration and as such is adopted to validate the ARDL long run estimates.</w:t>
      </w:r>
    </w:p>
    <w:p w:rsidR="00D41071" w:rsidRPr="001972F0" w:rsidRDefault="00D41071" w:rsidP="00D41071">
      <w:pPr>
        <w:numPr>
          <w:ilvl w:val="0"/>
          <w:numId w:val="2"/>
        </w:numPr>
        <w:autoSpaceDE w:val="0"/>
        <w:autoSpaceDN w:val="0"/>
        <w:adjustRightInd w:val="0"/>
        <w:spacing w:before="240" w:after="120"/>
        <w:ind w:left="709"/>
        <w:jc w:val="both"/>
        <w:rPr>
          <w:b/>
          <w:color w:val="000000"/>
        </w:rPr>
      </w:pPr>
      <w:r w:rsidRPr="001972F0">
        <w:rPr>
          <w:b/>
          <w:color w:val="000000"/>
        </w:rPr>
        <w:t>RESULTS AND DISCUSSION</w:t>
      </w:r>
    </w:p>
    <w:p w:rsidR="00D41071" w:rsidRPr="001972F0" w:rsidRDefault="00D41071" w:rsidP="00D41071">
      <w:pPr>
        <w:pStyle w:val="Title"/>
        <w:numPr>
          <w:ilvl w:val="1"/>
          <w:numId w:val="2"/>
        </w:numPr>
        <w:spacing w:after="120"/>
        <w:ind w:left="709"/>
        <w:jc w:val="both"/>
        <w:rPr>
          <w:rFonts w:ascii="Times New Roman" w:eastAsia="CIDFont+F3" w:hAnsi="Times New Roman"/>
          <w:color w:val="000000"/>
          <w:sz w:val="24"/>
          <w:szCs w:val="24"/>
        </w:rPr>
      </w:pPr>
      <w:r w:rsidRPr="001972F0">
        <w:rPr>
          <w:rFonts w:ascii="Times New Roman" w:eastAsia="CIDFont+F3" w:hAnsi="Times New Roman"/>
          <w:color w:val="000000"/>
          <w:sz w:val="24"/>
          <w:szCs w:val="24"/>
        </w:rPr>
        <w:t>Unit Root Test</w:t>
      </w:r>
    </w:p>
    <w:p w:rsidR="00D41071" w:rsidRPr="001972F0" w:rsidRDefault="00D41071" w:rsidP="00D41071">
      <w:pPr>
        <w:pStyle w:val="Title"/>
        <w:spacing w:after="120"/>
        <w:ind w:left="709"/>
        <w:jc w:val="both"/>
        <w:rPr>
          <w:rFonts w:ascii="Times New Roman" w:eastAsia="CIDFont+F3" w:hAnsi="Times New Roman"/>
          <w:b w:val="0"/>
          <w:color w:val="000000"/>
          <w:sz w:val="24"/>
          <w:szCs w:val="24"/>
        </w:rPr>
      </w:pPr>
      <w:r w:rsidRPr="001972F0">
        <w:rPr>
          <w:rFonts w:ascii="Times New Roman" w:eastAsia="CIDFont+F3" w:hAnsi="Times New Roman"/>
          <w:b w:val="0"/>
          <w:color w:val="000000"/>
          <w:sz w:val="24"/>
          <w:szCs w:val="24"/>
        </w:rPr>
        <w:t>The Augmented-Dickey Fuller</w:t>
      </w:r>
      <w:r>
        <w:rPr>
          <w:rFonts w:ascii="Times New Roman" w:eastAsia="CIDFont+F3" w:hAnsi="Times New Roman"/>
          <w:b w:val="0"/>
          <w:color w:val="000000"/>
          <w:sz w:val="24"/>
          <w:szCs w:val="24"/>
        </w:rPr>
        <w:t xml:space="preserve"> (ADF)</w:t>
      </w:r>
      <w:r w:rsidRPr="001972F0">
        <w:rPr>
          <w:rFonts w:ascii="Times New Roman" w:eastAsia="CIDFont+F3" w:hAnsi="Times New Roman"/>
          <w:b w:val="0"/>
          <w:color w:val="000000"/>
          <w:sz w:val="24"/>
          <w:szCs w:val="24"/>
        </w:rPr>
        <w:t xml:space="preserve"> and Phillip Perron </w:t>
      </w:r>
      <w:r>
        <w:rPr>
          <w:rFonts w:ascii="Times New Roman" w:eastAsia="CIDFont+F3" w:hAnsi="Times New Roman"/>
          <w:b w:val="0"/>
          <w:color w:val="000000"/>
          <w:sz w:val="24"/>
          <w:szCs w:val="24"/>
        </w:rPr>
        <w:t xml:space="preserve">(PP) </w:t>
      </w:r>
      <w:r w:rsidRPr="001972F0">
        <w:rPr>
          <w:rFonts w:ascii="Times New Roman" w:eastAsia="CIDFont+F3" w:hAnsi="Times New Roman"/>
          <w:b w:val="0"/>
          <w:color w:val="000000"/>
          <w:sz w:val="24"/>
          <w:szCs w:val="24"/>
        </w:rPr>
        <w:t xml:space="preserve">tests are employed </w:t>
      </w:r>
      <w:r>
        <w:rPr>
          <w:rFonts w:ascii="Times New Roman" w:eastAsia="CIDFont+F3" w:hAnsi="Times New Roman"/>
          <w:b w:val="0"/>
          <w:color w:val="000000"/>
          <w:sz w:val="24"/>
          <w:szCs w:val="24"/>
        </w:rPr>
        <w:t>in a bid to ascertain</w:t>
      </w:r>
      <w:r w:rsidRPr="001972F0">
        <w:rPr>
          <w:rFonts w:ascii="Times New Roman" w:eastAsia="CIDFont+F3" w:hAnsi="Times New Roman"/>
          <w:b w:val="0"/>
          <w:color w:val="000000"/>
          <w:sz w:val="24"/>
          <w:szCs w:val="24"/>
        </w:rPr>
        <w:t xml:space="preserve"> the unit-root properties of the data. </w:t>
      </w:r>
    </w:p>
    <w:p w:rsidR="00D41071" w:rsidRPr="001972F0" w:rsidRDefault="00D41071" w:rsidP="00D41071">
      <w:pPr>
        <w:spacing w:after="120"/>
        <w:ind w:left="709"/>
        <w:rPr>
          <w:color w:val="000000"/>
        </w:rPr>
      </w:pPr>
    </w:p>
    <w:p w:rsidR="00D41071" w:rsidRPr="0046702F" w:rsidRDefault="00D41071" w:rsidP="00D41071">
      <w:pPr>
        <w:spacing w:after="120"/>
        <w:ind w:left="709"/>
        <w:rPr>
          <w:b/>
          <w:color w:val="000000"/>
        </w:rPr>
      </w:pPr>
      <w:r w:rsidRPr="0046702F">
        <w:rPr>
          <w:b/>
          <w:color w:val="000000"/>
        </w:rPr>
        <w:t>Table 2</w:t>
      </w:r>
      <w:r>
        <w:rPr>
          <w:b/>
          <w:color w:val="000000"/>
        </w:rPr>
        <w:t>.</w:t>
      </w:r>
      <w:r w:rsidRPr="0046702F">
        <w:rPr>
          <w:b/>
          <w:color w:val="000000"/>
        </w:rPr>
        <w:t xml:space="preserve"> Unit Root Test Result</w:t>
      </w:r>
    </w:p>
    <w:p w:rsidR="00D41071" w:rsidRPr="001972F0" w:rsidRDefault="00D41071" w:rsidP="00D41071">
      <w:pPr>
        <w:spacing w:after="120"/>
        <w:ind w:left="709"/>
        <w:rPr>
          <w:color w:val="000000"/>
        </w:rPr>
      </w:pPr>
    </w:p>
    <w:tbl>
      <w:tblPr>
        <w:tblpPr w:leftFromText="180" w:rightFromText="180" w:vertAnchor="text" w:horzAnchor="margin" w:tblpY="374"/>
        <w:tblW w:w="0" w:type="auto"/>
        <w:tblLook w:val="04A0" w:firstRow="1" w:lastRow="0" w:firstColumn="1" w:lastColumn="0" w:noHBand="0" w:noVBand="1"/>
      </w:tblPr>
      <w:tblGrid>
        <w:gridCol w:w="2338"/>
        <w:gridCol w:w="1860"/>
        <w:gridCol w:w="1621"/>
        <w:gridCol w:w="1847"/>
        <w:gridCol w:w="1360"/>
      </w:tblGrid>
      <w:tr w:rsidR="00D41071" w:rsidRPr="001972F0" w:rsidTr="00160038">
        <w:trPr>
          <w:trHeight w:val="1304"/>
        </w:trPr>
        <w:tc>
          <w:tcPr>
            <w:tcW w:w="2337" w:type="dxa"/>
            <w:shd w:val="clear" w:color="auto" w:fill="FFFFFF"/>
          </w:tcPr>
          <w:p w:rsidR="00D41071" w:rsidRPr="001972F0" w:rsidRDefault="00D41071" w:rsidP="00160038">
            <w:pPr>
              <w:spacing w:after="120"/>
              <w:jc w:val="center"/>
              <w:rPr>
                <w:b/>
                <w:bCs/>
                <w:i/>
                <w:iCs/>
                <w:color w:val="000000"/>
              </w:rPr>
            </w:pPr>
          </w:p>
          <w:p w:rsidR="00D41071" w:rsidRPr="001972F0" w:rsidRDefault="00D41071" w:rsidP="00160038">
            <w:pPr>
              <w:spacing w:after="120"/>
              <w:jc w:val="center"/>
              <w:rPr>
                <w:b/>
                <w:bCs/>
                <w:i/>
                <w:iCs/>
                <w:color w:val="000000"/>
              </w:rPr>
            </w:pPr>
            <w:r w:rsidRPr="001972F0">
              <w:rPr>
                <w:b/>
                <w:bCs/>
                <w:i/>
                <w:iCs/>
                <w:color w:val="000000"/>
              </w:rPr>
              <w:t>Variable</w:t>
            </w:r>
          </w:p>
          <w:p w:rsidR="00D41071" w:rsidRPr="001972F0" w:rsidRDefault="00D41071" w:rsidP="00160038">
            <w:pPr>
              <w:spacing w:after="120"/>
              <w:jc w:val="center"/>
              <w:rPr>
                <w:b/>
                <w:bCs/>
                <w:i/>
                <w:iCs/>
                <w:color w:val="000000"/>
              </w:rPr>
            </w:pPr>
          </w:p>
        </w:tc>
        <w:tc>
          <w:tcPr>
            <w:tcW w:w="1887" w:type="dxa"/>
            <w:shd w:val="clear" w:color="auto" w:fill="FFFFFF"/>
          </w:tcPr>
          <w:p w:rsidR="00D41071" w:rsidRPr="001972F0" w:rsidRDefault="00D41071" w:rsidP="00160038">
            <w:pPr>
              <w:spacing w:after="120"/>
              <w:jc w:val="center"/>
              <w:rPr>
                <w:b/>
                <w:bCs/>
                <w:color w:val="000000"/>
              </w:rPr>
            </w:pPr>
          </w:p>
          <w:p w:rsidR="00D41071" w:rsidRPr="001972F0" w:rsidRDefault="00D41071" w:rsidP="00160038">
            <w:pPr>
              <w:spacing w:after="120"/>
              <w:jc w:val="center"/>
              <w:rPr>
                <w:b/>
                <w:bCs/>
                <w:color w:val="000000"/>
              </w:rPr>
            </w:pPr>
            <w:r w:rsidRPr="001972F0">
              <w:rPr>
                <w:b/>
                <w:bCs/>
                <w:color w:val="000000"/>
              </w:rPr>
              <w:t>ADF Test  Statistic at level (I</w:t>
            </w:r>
            <w:r w:rsidRPr="001972F0">
              <w:rPr>
                <w:b/>
                <w:bCs/>
                <w:color w:val="000000"/>
                <w:vertAlign w:val="subscript"/>
              </w:rPr>
              <w:t>0</w:t>
            </w:r>
            <w:r w:rsidRPr="001972F0">
              <w:rPr>
                <w:b/>
                <w:bCs/>
                <w:color w:val="000000"/>
              </w:rPr>
              <w:t>)Trend only</w:t>
            </w:r>
          </w:p>
          <w:p w:rsidR="00D41071" w:rsidRPr="001972F0" w:rsidRDefault="00D41071" w:rsidP="00160038">
            <w:pPr>
              <w:spacing w:after="120"/>
              <w:jc w:val="center"/>
              <w:rPr>
                <w:b/>
                <w:bCs/>
                <w:color w:val="000000"/>
              </w:rPr>
            </w:pPr>
          </w:p>
        </w:tc>
        <w:tc>
          <w:tcPr>
            <w:tcW w:w="1644" w:type="dxa"/>
            <w:shd w:val="clear" w:color="auto" w:fill="FFFFFF"/>
          </w:tcPr>
          <w:p w:rsidR="00D41071" w:rsidRPr="001972F0" w:rsidRDefault="00D41071" w:rsidP="00160038">
            <w:pPr>
              <w:spacing w:after="120"/>
              <w:jc w:val="center"/>
              <w:rPr>
                <w:b/>
                <w:bCs/>
                <w:color w:val="000000"/>
              </w:rPr>
            </w:pPr>
            <w:r w:rsidRPr="001972F0">
              <w:rPr>
                <w:b/>
                <w:bCs/>
                <w:color w:val="000000"/>
              </w:rPr>
              <w:t>PP Test Statistic at level (I0)</w:t>
            </w:r>
          </w:p>
          <w:p w:rsidR="00D41071" w:rsidRPr="001972F0" w:rsidRDefault="00D41071" w:rsidP="00160038">
            <w:pPr>
              <w:spacing w:after="120"/>
              <w:jc w:val="center"/>
              <w:rPr>
                <w:b/>
                <w:bCs/>
                <w:color w:val="000000"/>
              </w:rPr>
            </w:pPr>
            <w:r w:rsidRPr="001972F0">
              <w:rPr>
                <w:b/>
                <w:bCs/>
                <w:color w:val="000000"/>
              </w:rPr>
              <w:t>Trend only</w:t>
            </w:r>
          </w:p>
        </w:tc>
        <w:tc>
          <w:tcPr>
            <w:tcW w:w="1871" w:type="dxa"/>
            <w:shd w:val="clear" w:color="auto" w:fill="FFFFFF"/>
          </w:tcPr>
          <w:p w:rsidR="00D41071" w:rsidRPr="001972F0" w:rsidRDefault="00D41071" w:rsidP="00160038">
            <w:pPr>
              <w:spacing w:after="120"/>
              <w:jc w:val="center"/>
              <w:rPr>
                <w:b/>
                <w:bCs/>
                <w:color w:val="000000"/>
              </w:rPr>
            </w:pPr>
          </w:p>
          <w:p w:rsidR="00D41071" w:rsidRPr="001972F0" w:rsidRDefault="00D41071" w:rsidP="00160038">
            <w:pPr>
              <w:spacing w:after="120"/>
              <w:jc w:val="center"/>
              <w:rPr>
                <w:b/>
                <w:bCs/>
                <w:color w:val="000000"/>
              </w:rPr>
            </w:pPr>
            <w:r w:rsidRPr="001972F0">
              <w:rPr>
                <w:b/>
                <w:bCs/>
                <w:color w:val="000000"/>
              </w:rPr>
              <w:t>ADF Test  Statistic at first difference (I</w:t>
            </w:r>
            <w:r w:rsidRPr="001972F0">
              <w:rPr>
                <w:b/>
                <w:bCs/>
                <w:color w:val="000000"/>
                <w:vertAlign w:val="subscript"/>
              </w:rPr>
              <w:t>1</w:t>
            </w:r>
            <w:r w:rsidRPr="001972F0">
              <w:rPr>
                <w:b/>
                <w:bCs/>
                <w:color w:val="000000"/>
              </w:rPr>
              <w:t>)</w:t>
            </w:r>
          </w:p>
          <w:p w:rsidR="00D41071" w:rsidRPr="001972F0" w:rsidRDefault="00D41071" w:rsidP="00160038">
            <w:pPr>
              <w:spacing w:after="120"/>
              <w:jc w:val="center"/>
              <w:rPr>
                <w:b/>
                <w:bCs/>
                <w:color w:val="000000"/>
              </w:rPr>
            </w:pPr>
            <w:r w:rsidRPr="001972F0">
              <w:rPr>
                <w:b/>
                <w:bCs/>
                <w:color w:val="000000"/>
              </w:rPr>
              <w:t>Trend only</w:t>
            </w:r>
          </w:p>
          <w:p w:rsidR="00D41071" w:rsidRPr="001972F0" w:rsidRDefault="00D41071" w:rsidP="00160038">
            <w:pPr>
              <w:spacing w:after="120"/>
              <w:jc w:val="center"/>
              <w:rPr>
                <w:b/>
                <w:bCs/>
                <w:color w:val="000000"/>
              </w:rPr>
            </w:pPr>
          </w:p>
        </w:tc>
        <w:tc>
          <w:tcPr>
            <w:tcW w:w="1365" w:type="dxa"/>
            <w:shd w:val="clear" w:color="auto" w:fill="FFFFFF"/>
          </w:tcPr>
          <w:p w:rsidR="00D41071" w:rsidRPr="001972F0" w:rsidRDefault="00D41071" w:rsidP="00160038">
            <w:pPr>
              <w:spacing w:after="120"/>
              <w:jc w:val="center"/>
              <w:rPr>
                <w:b/>
                <w:bCs/>
                <w:color w:val="000000"/>
              </w:rPr>
            </w:pPr>
            <w:r w:rsidRPr="001972F0">
              <w:rPr>
                <w:b/>
                <w:bCs/>
                <w:color w:val="000000"/>
              </w:rPr>
              <w:t>PP Test Statistic at first difference (I1)</w:t>
            </w:r>
          </w:p>
          <w:p w:rsidR="00D41071" w:rsidRPr="001972F0" w:rsidRDefault="00D41071" w:rsidP="00160038">
            <w:pPr>
              <w:spacing w:after="120"/>
              <w:jc w:val="center"/>
              <w:rPr>
                <w:b/>
                <w:bCs/>
                <w:color w:val="000000"/>
              </w:rPr>
            </w:pPr>
            <w:r w:rsidRPr="001972F0">
              <w:rPr>
                <w:b/>
                <w:bCs/>
                <w:color w:val="000000"/>
              </w:rPr>
              <w:t>Trend only</w:t>
            </w:r>
          </w:p>
        </w:tc>
      </w:tr>
      <w:tr w:rsidR="00D41071" w:rsidRPr="001972F0" w:rsidTr="00160038">
        <w:trPr>
          <w:trHeight w:val="438"/>
        </w:trPr>
        <w:tc>
          <w:tcPr>
            <w:tcW w:w="2337" w:type="dxa"/>
            <w:shd w:val="clear" w:color="auto" w:fill="FFFFFF"/>
          </w:tcPr>
          <w:p w:rsidR="00D41071" w:rsidRPr="001972F0" w:rsidRDefault="00D41071" w:rsidP="00160038">
            <w:pPr>
              <w:spacing w:after="120"/>
              <w:jc w:val="center"/>
              <w:rPr>
                <w:i/>
                <w:iCs/>
                <w:color w:val="000000"/>
              </w:rPr>
            </w:pPr>
          </w:p>
          <w:p w:rsidR="00D41071" w:rsidRPr="001972F0" w:rsidRDefault="00D41071" w:rsidP="00160038">
            <w:pPr>
              <w:spacing w:after="120"/>
              <w:jc w:val="center"/>
              <w:rPr>
                <w:i/>
                <w:iCs/>
                <w:color w:val="000000"/>
              </w:rPr>
            </w:pPr>
            <w:r w:rsidRPr="001972F0">
              <w:rPr>
                <w:i/>
                <w:iCs/>
                <w:color w:val="000000"/>
              </w:rPr>
              <w:t>ENVIRONMENTAL UNSUSTAINABILITY</w:t>
            </w:r>
          </w:p>
        </w:tc>
        <w:tc>
          <w:tcPr>
            <w:tcW w:w="1887" w:type="dxa"/>
            <w:shd w:val="clear" w:color="auto" w:fill="DEEAF6"/>
          </w:tcPr>
          <w:p w:rsidR="00D41071" w:rsidRPr="001972F0" w:rsidRDefault="00D41071" w:rsidP="00160038">
            <w:pPr>
              <w:spacing w:after="120"/>
              <w:jc w:val="center"/>
              <w:rPr>
                <w:color w:val="000000"/>
              </w:rPr>
            </w:pPr>
            <w:r w:rsidRPr="001972F0">
              <w:rPr>
                <w:color w:val="000000"/>
              </w:rPr>
              <w:t>-1.927</w:t>
            </w:r>
          </w:p>
          <w:p w:rsidR="00D41071" w:rsidRPr="001972F0" w:rsidRDefault="00D41071" w:rsidP="00160038">
            <w:pPr>
              <w:spacing w:after="120"/>
              <w:jc w:val="center"/>
              <w:rPr>
                <w:color w:val="000000"/>
              </w:rPr>
            </w:pPr>
          </w:p>
        </w:tc>
        <w:tc>
          <w:tcPr>
            <w:tcW w:w="1644" w:type="dxa"/>
            <w:shd w:val="clear" w:color="auto" w:fill="DEEAF6"/>
          </w:tcPr>
          <w:p w:rsidR="00D41071" w:rsidRPr="001972F0" w:rsidRDefault="00D41071" w:rsidP="00160038">
            <w:pPr>
              <w:spacing w:after="120"/>
              <w:jc w:val="center"/>
              <w:rPr>
                <w:color w:val="000000"/>
              </w:rPr>
            </w:pPr>
            <w:r w:rsidRPr="001972F0">
              <w:rPr>
                <w:color w:val="000000"/>
              </w:rPr>
              <w:t>-1.341</w:t>
            </w:r>
          </w:p>
        </w:tc>
        <w:tc>
          <w:tcPr>
            <w:tcW w:w="1871" w:type="dxa"/>
            <w:shd w:val="clear" w:color="auto" w:fill="DEEAF6"/>
          </w:tcPr>
          <w:p w:rsidR="00D41071" w:rsidRPr="001972F0" w:rsidRDefault="00D41071" w:rsidP="00160038">
            <w:pPr>
              <w:spacing w:after="120"/>
              <w:jc w:val="center"/>
              <w:rPr>
                <w:color w:val="000000"/>
              </w:rPr>
            </w:pPr>
            <w:r w:rsidRPr="001972F0">
              <w:rPr>
                <w:color w:val="000000"/>
              </w:rPr>
              <w:t>-3.458**</w:t>
            </w:r>
          </w:p>
          <w:p w:rsidR="00D41071" w:rsidRPr="001972F0" w:rsidRDefault="00D41071" w:rsidP="00160038">
            <w:pPr>
              <w:spacing w:after="120"/>
              <w:rPr>
                <w:color w:val="000000"/>
              </w:rPr>
            </w:pPr>
          </w:p>
        </w:tc>
        <w:tc>
          <w:tcPr>
            <w:tcW w:w="1365" w:type="dxa"/>
            <w:shd w:val="clear" w:color="auto" w:fill="DEEAF6"/>
          </w:tcPr>
          <w:p w:rsidR="00D41071" w:rsidRPr="001972F0" w:rsidRDefault="00D41071" w:rsidP="00160038">
            <w:pPr>
              <w:spacing w:after="120"/>
              <w:jc w:val="center"/>
              <w:rPr>
                <w:color w:val="000000"/>
              </w:rPr>
            </w:pPr>
            <w:r w:rsidRPr="001972F0">
              <w:rPr>
                <w:color w:val="000000"/>
              </w:rPr>
              <w:t>-3.458**</w:t>
            </w:r>
          </w:p>
        </w:tc>
      </w:tr>
      <w:tr w:rsidR="00D41071" w:rsidRPr="001972F0" w:rsidTr="00160038">
        <w:trPr>
          <w:trHeight w:val="652"/>
        </w:trPr>
        <w:tc>
          <w:tcPr>
            <w:tcW w:w="2337" w:type="dxa"/>
            <w:shd w:val="clear" w:color="auto" w:fill="FFFFFF"/>
          </w:tcPr>
          <w:p w:rsidR="00D41071" w:rsidRPr="001972F0" w:rsidRDefault="00D41071" w:rsidP="00160038">
            <w:pPr>
              <w:spacing w:after="120"/>
              <w:jc w:val="center"/>
              <w:rPr>
                <w:i/>
                <w:iCs/>
                <w:color w:val="000000"/>
              </w:rPr>
            </w:pPr>
          </w:p>
          <w:p w:rsidR="00D41071" w:rsidRPr="001972F0" w:rsidRDefault="00D41071" w:rsidP="00160038">
            <w:pPr>
              <w:spacing w:after="120"/>
              <w:jc w:val="center"/>
              <w:rPr>
                <w:i/>
                <w:iCs/>
                <w:color w:val="000000"/>
              </w:rPr>
            </w:pPr>
            <w:r w:rsidRPr="001972F0">
              <w:rPr>
                <w:i/>
                <w:iCs/>
                <w:color w:val="000000"/>
              </w:rPr>
              <w:lastRenderedPageBreak/>
              <w:t>URBAN POPULATION GROWTH</w:t>
            </w:r>
          </w:p>
        </w:tc>
        <w:tc>
          <w:tcPr>
            <w:tcW w:w="1887" w:type="dxa"/>
            <w:shd w:val="clear" w:color="auto" w:fill="auto"/>
          </w:tcPr>
          <w:p w:rsidR="00D41071" w:rsidRPr="001972F0" w:rsidRDefault="00D41071" w:rsidP="00160038">
            <w:pPr>
              <w:spacing w:after="120"/>
              <w:jc w:val="center"/>
              <w:rPr>
                <w:color w:val="000000"/>
              </w:rPr>
            </w:pPr>
          </w:p>
          <w:p w:rsidR="00D41071" w:rsidRPr="001972F0" w:rsidRDefault="00D41071" w:rsidP="00160038">
            <w:pPr>
              <w:spacing w:after="120"/>
              <w:rPr>
                <w:color w:val="000000"/>
              </w:rPr>
            </w:pPr>
            <w:r w:rsidRPr="001972F0">
              <w:rPr>
                <w:color w:val="000000"/>
              </w:rPr>
              <w:t>-9.891*</w:t>
            </w:r>
          </w:p>
        </w:tc>
        <w:tc>
          <w:tcPr>
            <w:tcW w:w="1644" w:type="dxa"/>
            <w:shd w:val="clear" w:color="auto" w:fill="auto"/>
          </w:tcPr>
          <w:p w:rsidR="00D41071" w:rsidRPr="001972F0" w:rsidRDefault="00D41071" w:rsidP="00160038">
            <w:pPr>
              <w:spacing w:after="120"/>
              <w:jc w:val="center"/>
              <w:rPr>
                <w:color w:val="000000"/>
              </w:rPr>
            </w:pPr>
          </w:p>
          <w:p w:rsidR="00D41071" w:rsidRPr="001972F0" w:rsidRDefault="00D41071" w:rsidP="00160038">
            <w:pPr>
              <w:spacing w:after="120"/>
              <w:jc w:val="center"/>
              <w:rPr>
                <w:color w:val="000000"/>
              </w:rPr>
            </w:pPr>
            <w:r w:rsidRPr="001972F0">
              <w:rPr>
                <w:color w:val="000000"/>
              </w:rPr>
              <w:t>-8.850*</w:t>
            </w:r>
          </w:p>
        </w:tc>
        <w:tc>
          <w:tcPr>
            <w:tcW w:w="1871" w:type="dxa"/>
            <w:shd w:val="clear" w:color="auto" w:fill="auto"/>
          </w:tcPr>
          <w:p w:rsidR="00D41071" w:rsidRPr="001972F0" w:rsidRDefault="00D41071" w:rsidP="00160038">
            <w:pPr>
              <w:spacing w:after="120"/>
              <w:jc w:val="center"/>
              <w:rPr>
                <w:color w:val="000000"/>
              </w:rPr>
            </w:pPr>
          </w:p>
          <w:p w:rsidR="00D41071" w:rsidRPr="001972F0" w:rsidRDefault="00D41071" w:rsidP="00160038">
            <w:pPr>
              <w:spacing w:after="120"/>
              <w:jc w:val="center"/>
              <w:rPr>
                <w:color w:val="000000"/>
              </w:rPr>
            </w:pPr>
            <w:r w:rsidRPr="001972F0">
              <w:rPr>
                <w:color w:val="000000"/>
              </w:rPr>
              <w:t>--------</w:t>
            </w:r>
          </w:p>
        </w:tc>
        <w:tc>
          <w:tcPr>
            <w:tcW w:w="1365" w:type="dxa"/>
            <w:shd w:val="clear" w:color="auto" w:fill="auto"/>
          </w:tcPr>
          <w:p w:rsidR="00D41071" w:rsidRPr="001972F0" w:rsidRDefault="00D41071" w:rsidP="00160038">
            <w:pPr>
              <w:spacing w:after="120"/>
              <w:rPr>
                <w:color w:val="000000"/>
              </w:rPr>
            </w:pPr>
            <w:r w:rsidRPr="001972F0">
              <w:rPr>
                <w:color w:val="000000"/>
              </w:rPr>
              <w:t>----------</w:t>
            </w:r>
          </w:p>
        </w:tc>
      </w:tr>
      <w:tr w:rsidR="00D41071" w:rsidRPr="001972F0" w:rsidTr="00160038">
        <w:trPr>
          <w:trHeight w:val="213"/>
        </w:trPr>
        <w:tc>
          <w:tcPr>
            <w:tcW w:w="2337" w:type="dxa"/>
            <w:shd w:val="clear" w:color="auto" w:fill="FFFFFF"/>
          </w:tcPr>
          <w:p w:rsidR="00D41071" w:rsidRPr="001972F0" w:rsidRDefault="00D41071" w:rsidP="00160038">
            <w:pPr>
              <w:spacing w:after="120"/>
              <w:jc w:val="center"/>
              <w:rPr>
                <w:i/>
                <w:iCs/>
                <w:color w:val="000000"/>
              </w:rPr>
            </w:pPr>
            <w:r w:rsidRPr="001972F0">
              <w:rPr>
                <w:i/>
                <w:iCs/>
                <w:color w:val="000000"/>
              </w:rPr>
              <w:t>GDP/CAPITA</w:t>
            </w:r>
          </w:p>
        </w:tc>
        <w:tc>
          <w:tcPr>
            <w:tcW w:w="1887" w:type="dxa"/>
            <w:shd w:val="clear" w:color="auto" w:fill="DEEAF6"/>
          </w:tcPr>
          <w:p w:rsidR="00D41071" w:rsidRPr="001972F0" w:rsidRDefault="00D41071" w:rsidP="00160038">
            <w:pPr>
              <w:spacing w:after="120"/>
              <w:jc w:val="center"/>
              <w:rPr>
                <w:color w:val="000000"/>
              </w:rPr>
            </w:pPr>
            <w:r w:rsidRPr="001972F0">
              <w:rPr>
                <w:color w:val="000000"/>
              </w:rPr>
              <w:t>-1.107</w:t>
            </w:r>
          </w:p>
        </w:tc>
        <w:tc>
          <w:tcPr>
            <w:tcW w:w="1644" w:type="dxa"/>
            <w:shd w:val="clear" w:color="auto" w:fill="DEEAF6"/>
          </w:tcPr>
          <w:p w:rsidR="00D41071" w:rsidRPr="001972F0" w:rsidRDefault="00D41071" w:rsidP="00160038">
            <w:pPr>
              <w:spacing w:after="120"/>
              <w:jc w:val="center"/>
              <w:rPr>
                <w:color w:val="000000"/>
              </w:rPr>
            </w:pPr>
            <w:r w:rsidRPr="001972F0">
              <w:rPr>
                <w:color w:val="000000"/>
              </w:rPr>
              <w:t>-0.889</w:t>
            </w:r>
          </w:p>
        </w:tc>
        <w:tc>
          <w:tcPr>
            <w:tcW w:w="1871" w:type="dxa"/>
            <w:shd w:val="clear" w:color="auto" w:fill="DEEAF6"/>
          </w:tcPr>
          <w:p w:rsidR="00D41071" w:rsidRPr="001972F0" w:rsidRDefault="00D41071" w:rsidP="00160038">
            <w:pPr>
              <w:spacing w:after="120"/>
              <w:jc w:val="center"/>
              <w:rPr>
                <w:color w:val="000000"/>
              </w:rPr>
            </w:pPr>
            <w:r w:rsidRPr="001972F0">
              <w:rPr>
                <w:color w:val="000000"/>
              </w:rPr>
              <w:t>-3.366**</w:t>
            </w:r>
          </w:p>
        </w:tc>
        <w:tc>
          <w:tcPr>
            <w:tcW w:w="1365" w:type="dxa"/>
            <w:shd w:val="clear" w:color="auto" w:fill="DEEAF6"/>
          </w:tcPr>
          <w:p w:rsidR="00D41071" w:rsidRPr="001972F0" w:rsidRDefault="00D41071" w:rsidP="00160038">
            <w:pPr>
              <w:spacing w:after="120"/>
              <w:jc w:val="center"/>
              <w:rPr>
                <w:color w:val="000000"/>
              </w:rPr>
            </w:pPr>
            <w:r w:rsidRPr="001972F0">
              <w:rPr>
                <w:color w:val="000000"/>
              </w:rPr>
              <w:t>-3.297***</w:t>
            </w:r>
          </w:p>
        </w:tc>
      </w:tr>
      <w:tr w:rsidR="00D41071" w:rsidRPr="001972F0" w:rsidTr="00160038">
        <w:trPr>
          <w:trHeight w:val="213"/>
        </w:trPr>
        <w:tc>
          <w:tcPr>
            <w:tcW w:w="2337" w:type="dxa"/>
            <w:shd w:val="clear" w:color="auto" w:fill="FFFFFF"/>
          </w:tcPr>
          <w:p w:rsidR="00D41071" w:rsidRPr="001972F0" w:rsidRDefault="00D41071" w:rsidP="00160038">
            <w:pPr>
              <w:spacing w:after="120"/>
              <w:jc w:val="center"/>
              <w:rPr>
                <w:i/>
                <w:iCs/>
                <w:color w:val="000000"/>
              </w:rPr>
            </w:pPr>
            <w:r w:rsidRPr="001972F0">
              <w:rPr>
                <w:i/>
                <w:iCs/>
                <w:color w:val="000000"/>
              </w:rPr>
              <w:t>ENERGY USE</w:t>
            </w:r>
          </w:p>
        </w:tc>
        <w:tc>
          <w:tcPr>
            <w:tcW w:w="1887" w:type="dxa"/>
            <w:shd w:val="clear" w:color="auto" w:fill="auto"/>
          </w:tcPr>
          <w:p w:rsidR="00D41071" w:rsidRPr="001972F0" w:rsidRDefault="00D41071" w:rsidP="00160038">
            <w:pPr>
              <w:spacing w:after="120"/>
              <w:jc w:val="center"/>
              <w:rPr>
                <w:color w:val="000000"/>
              </w:rPr>
            </w:pPr>
            <w:r w:rsidRPr="001972F0">
              <w:rPr>
                <w:color w:val="000000"/>
              </w:rPr>
              <w:t>-2.788</w:t>
            </w:r>
          </w:p>
        </w:tc>
        <w:tc>
          <w:tcPr>
            <w:tcW w:w="1644" w:type="dxa"/>
            <w:shd w:val="clear" w:color="auto" w:fill="auto"/>
          </w:tcPr>
          <w:p w:rsidR="00D41071" w:rsidRPr="001972F0" w:rsidRDefault="00D41071" w:rsidP="00160038">
            <w:pPr>
              <w:spacing w:after="120"/>
              <w:jc w:val="center"/>
              <w:rPr>
                <w:color w:val="000000"/>
              </w:rPr>
            </w:pPr>
            <w:r w:rsidRPr="001972F0">
              <w:rPr>
                <w:color w:val="000000"/>
              </w:rPr>
              <w:t>-2.675</w:t>
            </w:r>
          </w:p>
        </w:tc>
        <w:tc>
          <w:tcPr>
            <w:tcW w:w="1871" w:type="dxa"/>
            <w:shd w:val="clear" w:color="auto" w:fill="auto"/>
          </w:tcPr>
          <w:p w:rsidR="00D41071" w:rsidRPr="001972F0" w:rsidRDefault="00D41071" w:rsidP="00160038">
            <w:pPr>
              <w:spacing w:after="120"/>
              <w:jc w:val="center"/>
              <w:rPr>
                <w:color w:val="000000"/>
              </w:rPr>
            </w:pPr>
            <w:r w:rsidRPr="001972F0">
              <w:rPr>
                <w:color w:val="000000"/>
              </w:rPr>
              <w:t>-5.704*</w:t>
            </w:r>
          </w:p>
        </w:tc>
        <w:tc>
          <w:tcPr>
            <w:tcW w:w="1365" w:type="dxa"/>
            <w:shd w:val="clear" w:color="auto" w:fill="auto"/>
          </w:tcPr>
          <w:p w:rsidR="00D41071" w:rsidRPr="001972F0" w:rsidRDefault="00D41071" w:rsidP="00160038">
            <w:pPr>
              <w:spacing w:after="120"/>
              <w:jc w:val="center"/>
              <w:rPr>
                <w:color w:val="000000"/>
              </w:rPr>
            </w:pPr>
            <w:r w:rsidRPr="001972F0">
              <w:rPr>
                <w:color w:val="000000"/>
              </w:rPr>
              <w:t>-6.743*</w:t>
            </w:r>
          </w:p>
        </w:tc>
      </w:tr>
      <w:tr w:rsidR="00D41071" w:rsidRPr="001972F0" w:rsidTr="00160038">
        <w:trPr>
          <w:trHeight w:val="213"/>
        </w:trPr>
        <w:tc>
          <w:tcPr>
            <w:tcW w:w="2337" w:type="dxa"/>
            <w:shd w:val="clear" w:color="auto" w:fill="FFFFFF"/>
          </w:tcPr>
          <w:p w:rsidR="00D41071" w:rsidRPr="001972F0" w:rsidRDefault="00D41071" w:rsidP="00160038">
            <w:pPr>
              <w:spacing w:after="120"/>
              <w:jc w:val="center"/>
              <w:rPr>
                <w:i/>
                <w:iCs/>
                <w:color w:val="000000"/>
              </w:rPr>
            </w:pPr>
            <w:r w:rsidRPr="001972F0">
              <w:rPr>
                <w:i/>
                <w:iCs/>
                <w:color w:val="000000"/>
              </w:rPr>
              <w:t>ACTIVE WORKING POPULATION</w:t>
            </w:r>
          </w:p>
        </w:tc>
        <w:tc>
          <w:tcPr>
            <w:tcW w:w="1887" w:type="dxa"/>
            <w:shd w:val="clear" w:color="auto" w:fill="DEEAF6"/>
          </w:tcPr>
          <w:p w:rsidR="00D41071" w:rsidRPr="001972F0" w:rsidRDefault="00D41071" w:rsidP="00160038">
            <w:pPr>
              <w:spacing w:after="120"/>
              <w:jc w:val="center"/>
              <w:rPr>
                <w:color w:val="000000"/>
              </w:rPr>
            </w:pPr>
          </w:p>
          <w:p w:rsidR="00D41071" w:rsidRPr="001972F0" w:rsidRDefault="00D41071" w:rsidP="00160038">
            <w:pPr>
              <w:spacing w:after="120"/>
              <w:jc w:val="center"/>
              <w:rPr>
                <w:color w:val="000000"/>
              </w:rPr>
            </w:pPr>
            <w:r w:rsidRPr="001972F0">
              <w:rPr>
                <w:color w:val="000000"/>
              </w:rPr>
              <w:t>1.823</w:t>
            </w:r>
          </w:p>
        </w:tc>
        <w:tc>
          <w:tcPr>
            <w:tcW w:w="1644" w:type="dxa"/>
            <w:shd w:val="clear" w:color="auto" w:fill="DEEAF6"/>
          </w:tcPr>
          <w:p w:rsidR="00D41071" w:rsidRPr="001972F0" w:rsidRDefault="00D41071" w:rsidP="00160038">
            <w:pPr>
              <w:spacing w:after="120"/>
              <w:jc w:val="center"/>
              <w:rPr>
                <w:color w:val="000000"/>
              </w:rPr>
            </w:pPr>
          </w:p>
          <w:p w:rsidR="00D41071" w:rsidRPr="001972F0" w:rsidRDefault="00D41071" w:rsidP="00160038">
            <w:pPr>
              <w:spacing w:after="120"/>
              <w:jc w:val="center"/>
              <w:rPr>
                <w:color w:val="000000"/>
              </w:rPr>
            </w:pPr>
            <w:r w:rsidRPr="001972F0">
              <w:rPr>
                <w:color w:val="000000"/>
              </w:rPr>
              <w:t>-1.349</w:t>
            </w:r>
          </w:p>
        </w:tc>
        <w:tc>
          <w:tcPr>
            <w:tcW w:w="1871" w:type="dxa"/>
            <w:shd w:val="clear" w:color="auto" w:fill="DEEAF6"/>
          </w:tcPr>
          <w:p w:rsidR="00D41071" w:rsidRPr="001972F0" w:rsidRDefault="00D41071" w:rsidP="00160038">
            <w:pPr>
              <w:spacing w:after="120"/>
              <w:jc w:val="center"/>
              <w:rPr>
                <w:color w:val="000000"/>
              </w:rPr>
            </w:pPr>
          </w:p>
          <w:p w:rsidR="00D41071" w:rsidRPr="001972F0" w:rsidRDefault="00D41071" w:rsidP="00160038">
            <w:pPr>
              <w:spacing w:after="120"/>
              <w:jc w:val="center"/>
              <w:rPr>
                <w:color w:val="000000"/>
              </w:rPr>
            </w:pPr>
            <w:r w:rsidRPr="001972F0">
              <w:rPr>
                <w:color w:val="000000"/>
              </w:rPr>
              <w:t>-4.329*</w:t>
            </w:r>
          </w:p>
        </w:tc>
        <w:tc>
          <w:tcPr>
            <w:tcW w:w="1365" w:type="dxa"/>
            <w:shd w:val="clear" w:color="auto" w:fill="DEEAF6"/>
          </w:tcPr>
          <w:p w:rsidR="00D41071" w:rsidRPr="001972F0" w:rsidRDefault="00D41071" w:rsidP="00160038">
            <w:pPr>
              <w:spacing w:after="120"/>
              <w:rPr>
                <w:color w:val="000000"/>
              </w:rPr>
            </w:pPr>
          </w:p>
          <w:p w:rsidR="00D41071" w:rsidRPr="001972F0" w:rsidRDefault="00D41071" w:rsidP="00160038">
            <w:pPr>
              <w:spacing w:after="120"/>
              <w:rPr>
                <w:color w:val="000000"/>
              </w:rPr>
            </w:pPr>
            <w:r w:rsidRPr="001972F0">
              <w:rPr>
                <w:color w:val="000000"/>
              </w:rPr>
              <w:t>-2.776</w:t>
            </w:r>
          </w:p>
        </w:tc>
      </w:tr>
      <w:tr w:rsidR="00D41071" w:rsidRPr="001972F0" w:rsidTr="00160038">
        <w:trPr>
          <w:trHeight w:val="213"/>
        </w:trPr>
        <w:tc>
          <w:tcPr>
            <w:tcW w:w="2337" w:type="dxa"/>
            <w:shd w:val="clear" w:color="auto" w:fill="FFFFFF"/>
          </w:tcPr>
          <w:p w:rsidR="00D41071" w:rsidRPr="001972F0" w:rsidRDefault="00D41071" w:rsidP="00160038">
            <w:pPr>
              <w:spacing w:after="120"/>
              <w:jc w:val="center"/>
              <w:rPr>
                <w:i/>
                <w:iCs/>
                <w:color w:val="000000"/>
              </w:rPr>
            </w:pPr>
            <w:r w:rsidRPr="001972F0">
              <w:rPr>
                <w:i/>
                <w:iCs/>
                <w:color w:val="000000"/>
              </w:rPr>
              <w:t>FINANCIAL DEVELOPMENT</w:t>
            </w:r>
          </w:p>
        </w:tc>
        <w:tc>
          <w:tcPr>
            <w:tcW w:w="1887" w:type="dxa"/>
            <w:shd w:val="clear" w:color="auto" w:fill="DEEAF6"/>
          </w:tcPr>
          <w:p w:rsidR="00D41071" w:rsidRPr="001972F0" w:rsidRDefault="00D41071" w:rsidP="00160038">
            <w:pPr>
              <w:spacing w:after="120"/>
              <w:jc w:val="center"/>
              <w:rPr>
                <w:color w:val="000000"/>
              </w:rPr>
            </w:pPr>
            <w:r w:rsidRPr="001972F0">
              <w:rPr>
                <w:color w:val="000000"/>
              </w:rPr>
              <w:t>-1.100</w:t>
            </w:r>
          </w:p>
        </w:tc>
        <w:tc>
          <w:tcPr>
            <w:tcW w:w="1644" w:type="dxa"/>
            <w:shd w:val="clear" w:color="auto" w:fill="DEEAF6"/>
          </w:tcPr>
          <w:p w:rsidR="00D41071" w:rsidRPr="001972F0" w:rsidRDefault="00D41071" w:rsidP="00160038">
            <w:pPr>
              <w:spacing w:after="120"/>
              <w:jc w:val="center"/>
              <w:rPr>
                <w:color w:val="000000"/>
              </w:rPr>
            </w:pPr>
            <w:r w:rsidRPr="001972F0">
              <w:rPr>
                <w:color w:val="000000"/>
              </w:rPr>
              <w:t>-1.043</w:t>
            </w:r>
          </w:p>
        </w:tc>
        <w:tc>
          <w:tcPr>
            <w:tcW w:w="1871" w:type="dxa"/>
            <w:shd w:val="clear" w:color="auto" w:fill="DEEAF6"/>
          </w:tcPr>
          <w:p w:rsidR="00D41071" w:rsidRPr="001972F0" w:rsidRDefault="00D41071" w:rsidP="00160038">
            <w:pPr>
              <w:spacing w:after="120"/>
              <w:jc w:val="center"/>
              <w:rPr>
                <w:color w:val="000000"/>
              </w:rPr>
            </w:pPr>
            <w:r w:rsidRPr="001972F0">
              <w:rPr>
                <w:color w:val="000000"/>
              </w:rPr>
              <w:t>-5.609*</w:t>
            </w:r>
          </w:p>
        </w:tc>
        <w:tc>
          <w:tcPr>
            <w:tcW w:w="1365" w:type="dxa"/>
            <w:shd w:val="clear" w:color="auto" w:fill="DEEAF6"/>
          </w:tcPr>
          <w:p w:rsidR="00D41071" w:rsidRPr="001972F0" w:rsidRDefault="00D41071" w:rsidP="00160038">
            <w:pPr>
              <w:spacing w:after="120"/>
              <w:jc w:val="center"/>
              <w:rPr>
                <w:color w:val="000000"/>
              </w:rPr>
            </w:pPr>
            <w:r w:rsidRPr="001972F0">
              <w:rPr>
                <w:color w:val="000000"/>
              </w:rPr>
              <w:t>-6.064*</w:t>
            </w:r>
          </w:p>
        </w:tc>
      </w:tr>
      <w:tr w:rsidR="00D41071" w:rsidRPr="001972F0" w:rsidTr="00160038">
        <w:trPr>
          <w:trHeight w:val="426"/>
        </w:trPr>
        <w:tc>
          <w:tcPr>
            <w:tcW w:w="2337" w:type="dxa"/>
            <w:shd w:val="clear" w:color="auto" w:fill="FFFFFF"/>
          </w:tcPr>
          <w:p w:rsidR="00D41071" w:rsidRPr="001972F0" w:rsidRDefault="00D41071" w:rsidP="00160038">
            <w:pPr>
              <w:spacing w:after="120"/>
              <w:jc w:val="center"/>
              <w:rPr>
                <w:i/>
                <w:iCs/>
                <w:color w:val="000000"/>
              </w:rPr>
            </w:pPr>
            <w:r w:rsidRPr="001972F0">
              <w:rPr>
                <w:i/>
                <w:iCs/>
                <w:color w:val="000000"/>
              </w:rPr>
              <w:t>CRITICAL VALUES</w:t>
            </w:r>
          </w:p>
        </w:tc>
        <w:tc>
          <w:tcPr>
            <w:tcW w:w="1887" w:type="dxa"/>
            <w:shd w:val="clear" w:color="auto" w:fill="auto"/>
          </w:tcPr>
          <w:p w:rsidR="00D41071" w:rsidRPr="001972F0" w:rsidRDefault="00D41071" w:rsidP="00160038">
            <w:pPr>
              <w:spacing w:after="120"/>
              <w:jc w:val="center"/>
              <w:rPr>
                <w:color w:val="000000"/>
              </w:rPr>
            </w:pPr>
          </w:p>
        </w:tc>
        <w:tc>
          <w:tcPr>
            <w:tcW w:w="1644" w:type="dxa"/>
            <w:shd w:val="clear" w:color="auto" w:fill="auto"/>
          </w:tcPr>
          <w:p w:rsidR="00D41071" w:rsidRPr="001972F0" w:rsidRDefault="00D41071" w:rsidP="00160038">
            <w:pPr>
              <w:spacing w:after="120"/>
              <w:jc w:val="center"/>
              <w:rPr>
                <w:color w:val="000000"/>
              </w:rPr>
            </w:pPr>
          </w:p>
        </w:tc>
        <w:tc>
          <w:tcPr>
            <w:tcW w:w="1871" w:type="dxa"/>
            <w:shd w:val="clear" w:color="auto" w:fill="auto"/>
          </w:tcPr>
          <w:p w:rsidR="00D41071" w:rsidRPr="001972F0" w:rsidRDefault="00D41071" w:rsidP="00160038">
            <w:pPr>
              <w:spacing w:after="120"/>
              <w:jc w:val="center"/>
              <w:rPr>
                <w:color w:val="000000"/>
              </w:rPr>
            </w:pPr>
          </w:p>
        </w:tc>
        <w:tc>
          <w:tcPr>
            <w:tcW w:w="1365" w:type="dxa"/>
            <w:shd w:val="clear" w:color="auto" w:fill="auto"/>
          </w:tcPr>
          <w:p w:rsidR="00D41071" w:rsidRPr="001972F0" w:rsidRDefault="00D41071" w:rsidP="00160038">
            <w:pPr>
              <w:spacing w:after="120"/>
              <w:jc w:val="center"/>
              <w:rPr>
                <w:color w:val="000000"/>
              </w:rPr>
            </w:pPr>
          </w:p>
        </w:tc>
      </w:tr>
      <w:tr w:rsidR="00D41071" w:rsidRPr="001972F0" w:rsidTr="00160038">
        <w:trPr>
          <w:trHeight w:val="225"/>
        </w:trPr>
        <w:tc>
          <w:tcPr>
            <w:tcW w:w="2337" w:type="dxa"/>
            <w:shd w:val="clear" w:color="auto" w:fill="FFFFFF"/>
          </w:tcPr>
          <w:p w:rsidR="00D41071" w:rsidRPr="001972F0" w:rsidRDefault="00D41071" w:rsidP="00160038">
            <w:pPr>
              <w:spacing w:after="120"/>
              <w:jc w:val="center"/>
              <w:rPr>
                <w:i/>
                <w:iCs/>
                <w:color w:val="000000"/>
              </w:rPr>
            </w:pPr>
            <w:r w:rsidRPr="001972F0">
              <w:rPr>
                <w:i/>
                <w:iCs/>
                <w:color w:val="000000"/>
              </w:rPr>
              <w:t>1%</w:t>
            </w:r>
          </w:p>
        </w:tc>
        <w:tc>
          <w:tcPr>
            <w:tcW w:w="1887" w:type="dxa"/>
            <w:shd w:val="clear" w:color="auto" w:fill="DEEAF6"/>
          </w:tcPr>
          <w:p w:rsidR="00D41071" w:rsidRPr="001972F0" w:rsidRDefault="00D41071" w:rsidP="00160038">
            <w:pPr>
              <w:spacing w:after="120"/>
              <w:jc w:val="center"/>
              <w:rPr>
                <w:color w:val="000000"/>
              </w:rPr>
            </w:pPr>
            <w:r w:rsidRPr="001972F0">
              <w:rPr>
                <w:color w:val="000000"/>
              </w:rPr>
              <w:t>-4.226</w:t>
            </w:r>
          </w:p>
        </w:tc>
        <w:tc>
          <w:tcPr>
            <w:tcW w:w="1644" w:type="dxa"/>
            <w:shd w:val="clear" w:color="auto" w:fill="DEEAF6"/>
          </w:tcPr>
          <w:p w:rsidR="00D41071" w:rsidRPr="001972F0" w:rsidRDefault="00D41071" w:rsidP="00160038">
            <w:pPr>
              <w:spacing w:after="120"/>
              <w:jc w:val="center"/>
              <w:rPr>
                <w:color w:val="000000"/>
              </w:rPr>
            </w:pPr>
            <w:r w:rsidRPr="001972F0">
              <w:rPr>
                <w:color w:val="000000"/>
              </w:rPr>
              <w:t>-4.219</w:t>
            </w:r>
          </w:p>
        </w:tc>
        <w:tc>
          <w:tcPr>
            <w:tcW w:w="1871" w:type="dxa"/>
            <w:shd w:val="clear" w:color="auto" w:fill="DEEAF6"/>
          </w:tcPr>
          <w:p w:rsidR="00D41071" w:rsidRPr="001972F0" w:rsidRDefault="00D41071" w:rsidP="00160038">
            <w:pPr>
              <w:spacing w:after="120"/>
              <w:jc w:val="center"/>
              <w:rPr>
                <w:color w:val="000000"/>
              </w:rPr>
            </w:pPr>
            <w:r w:rsidRPr="001972F0">
              <w:rPr>
                <w:color w:val="000000"/>
              </w:rPr>
              <w:t>-4.244</w:t>
            </w:r>
          </w:p>
        </w:tc>
        <w:tc>
          <w:tcPr>
            <w:tcW w:w="1365" w:type="dxa"/>
            <w:shd w:val="clear" w:color="auto" w:fill="DEEAF6"/>
          </w:tcPr>
          <w:p w:rsidR="00D41071" w:rsidRPr="001972F0" w:rsidRDefault="00D41071" w:rsidP="00160038">
            <w:pPr>
              <w:spacing w:after="120"/>
              <w:jc w:val="center"/>
              <w:rPr>
                <w:color w:val="000000"/>
              </w:rPr>
            </w:pPr>
            <w:r w:rsidRPr="001972F0">
              <w:rPr>
                <w:color w:val="000000"/>
              </w:rPr>
              <w:t>-4.226</w:t>
            </w:r>
          </w:p>
        </w:tc>
      </w:tr>
      <w:tr w:rsidR="00D41071" w:rsidRPr="001972F0" w:rsidTr="00160038">
        <w:trPr>
          <w:trHeight w:val="213"/>
        </w:trPr>
        <w:tc>
          <w:tcPr>
            <w:tcW w:w="2337" w:type="dxa"/>
            <w:shd w:val="clear" w:color="auto" w:fill="FFFFFF"/>
          </w:tcPr>
          <w:p w:rsidR="00D41071" w:rsidRPr="001972F0" w:rsidRDefault="00D41071" w:rsidP="00160038">
            <w:pPr>
              <w:spacing w:after="120"/>
              <w:jc w:val="center"/>
              <w:rPr>
                <w:i/>
                <w:iCs/>
                <w:color w:val="000000"/>
              </w:rPr>
            </w:pPr>
            <w:r w:rsidRPr="001972F0">
              <w:rPr>
                <w:i/>
                <w:iCs/>
                <w:color w:val="000000"/>
              </w:rPr>
              <w:t>5%</w:t>
            </w:r>
          </w:p>
        </w:tc>
        <w:tc>
          <w:tcPr>
            <w:tcW w:w="1887" w:type="dxa"/>
            <w:shd w:val="clear" w:color="auto" w:fill="auto"/>
          </w:tcPr>
          <w:p w:rsidR="00D41071" w:rsidRPr="001972F0" w:rsidRDefault="00D41071" w:rsidP="00160038">
            <w:pPr>
              <w:spacing w:after="120"/>
              <w:jc w:val="center"/>
              <w:rPr>
                <w:color w:val="000000"/>
              </w:rPr>
            </w:pPr>
            <w:r w:rsidRPr="001972F0">
              <w:rPr>
                <w:color w:val="000000"/>
              </w:rPr>
              <w:t>-3.536</w:t>
            </w:r>
          </w:p>
        </w:tc>
        <w:tc>
          <w:tcPr>
            <w:tcW w:w="1644" w:type="dxa"/>
            <w:shd w:val="clear" w:color="auto" w:fill="auto"/>
          </w:tcPr>
          <w:p w:rsidR="00D41071" w:rsidRPr="001972F0" w:rsidRDefault="00D41071" w:rsidP="00160038">
            <w:pPr>
              <w:spacing w:after="120"/>
              <w:jc w:val="center"/>
              <w:rPr>
                <w:color w:val="000000"/>
              </w:rPr>
            </w:pPr>
            <w:r w:rsidRPr="001972F0">
              <w:rPr>
                <w:color w:val="000000"/>
              </w:rPr>
              <w:t>-3.533</w:t>
            </w:r>
          </w:p>
        </w:tc>
        <w:tc>
          <w:tcPr>
            <w:tcW w:w="1871" w:type="dxa"/>
            <w:shd w:val="clear" w:color="auto" w:fill="auto"/>
          </w:tcPr>
          <w:p w:rsidR="00D41071" w:rsidRPr="001972F0" w:rsidRDefault="00D41071" w:rsidP="00160038">
            <w:pPr>
              <w:spacing w:after="120"/>
              <w:jc w:val="center"/>
              <w:rPr>
                <w:color w:val="000000"/>
              </w:rPr>
            </w:pPr>
            <w:r w:rsidRPr="001972F0">
              <w:rPr>
                <w:color w:val="000000"/>
              </w:rPr>
              <w:t>-3.544</w:t>
            </w:r>
          </w:p>
        </w:tc>
        <w:tc>
          <w:tcPr>
            <w:tcW w:w="1365" w:type="dxa"/>
            <w:shd w:val="clear" w:color="auto" w:fill="auto"/>
          </w:tcPr>
          <w:p w:rsidR="00D41071" w:rsidRPr="001972F0" w:rsidRDefault="00D41071" w:rsidP="00160038">
            <w:pPr>
              <w:spacing w:after="120"/>
              <w:jc w:val="center"/>
              <w:rPr>
                <w:color w:val="000000"/>
              </w:rPr>
            </w:pPr>
            <w:r w:rsidRPr="001972F0">
              <w:rPr>
                <w:color w:val="000000"/>
              </w:rPr>
              <w:t>-3.533</w:t>
            </w:r>
          </w:p>
        </w:tc>
      </w:tr>
      <w:tr w:rsidR="00D41071" w:rsidRPr="001972F0" w:rsidTr="00160038">
        <w:trPr>
          <w:trHeight w:val="200"/>
        </w:trPr>
        <w:tc>
          <w:tcPr>
            <w:tcW w:w="2337" w:type="dxa"/>
            <w:shd w:val="clear" w:color="auto" w:fill="FFFFFF"/>
          </w:tcPr>
          <w:p w:rsidR="00D41071" w:rsidRPr="001972F0" w:rsidRDefault="00D41071" w:rsidP="00160038">
            <w:pPr>
              <w:spacing w:after="120"/>
              <w:jc w:val="center"/>
              <w:rPr>
                <w:i/>
                <w:iCs/>
                <w:color w:val="000000"/>
              </w:rPr>
            </w:pPr>
            <w:r w:rsidRPr="001972F0">
              <w:rPr>
                <w:i/>
                <w:iCs/>
                <w:color w:val="000000"/>
              </w:rPr>
              <w:t>10%</w:t>
            </w:r>
          </w:p>
        </w:tc>
        <w:tc>
          <w:tcPr>
            <w:tcW w:w="1887" w:type="dxa"/>
            <w:shd w:val="clear" w:color="auto" w:fill="DEEAF6"/>
          </w:tcPr>
          <w:p w:rsidR="00D41071" w:rsidRPr="001972F0" w:rsidRDefault="00D41071" w:rsidP="00160038">
            <w:pPr>
              <w:spacing w:after="120"/>
              <w:jc w:val="center"/>
              <w:rPr>
                <w:color w:val="000000"/>
              </w:rPr>
            </w:pPr>
            <w:r w:rsidRPr="001972F0">
              <w:rPr>
                <w:color w:val="000000"/>
              </w:rPr>
              <w:t>-3.200</w:t>
            </w:r>
          </w:p>
        </w:tc>
        <w:tc>
          <w:tcPr>
            <w:tcW w:w="1644" w:type="dxa"/>
            <w:shd w:val="clear" w:color="auto" w:fill="DEEAF6"/>
          </w:tcPr>
          <w:p w:rsidR="00D41071" w:rsidRPr="001972F0" w:rsidRDefault="00D41071" w:rsidP="00160038">
            <w:pPr>
              <w:spacing w:after="120"/>
              <w:jc w:val="center"/>
              <w:rPr>
                <w:color w:val="000000"/>
              </w:rPr>
            </w:pPr>
            <w:r w:rsidRPr="001972F0">
              <w:rPr>
                <w:color w:val="000000"/>
              </w:rPr>
              <w:t>-3.198</w:t>
            </w:r>
          </w:p>
        </w:tc>
        <w:tc>
          <w:tcPr>
            <w:tcW w:w="1871" w:type="dxa"/>
            <w:shd w:val="clear" w:color="auto" w:fill="DEEAF6"/>
          </w:tcPr>
          <w:p w:rsidR="00D41071" w:rsidRPr="001972F0" w:rsidRDefault="00D41071" w:rsidP="00160038">
            <w:pPr>
              <w:spacing w:after="120"/>
              <w:jc w:val="center"/>
              <w:rPr>
                <w:color w:val="000000"/>
              </w:rPr>
            </w:pPr>
            <w:r w:rsidRPr="001972F0">
              <w:rPr>
                <w:color w:val="000000"/>
              </w:rPr>
              <w:t>-3.205</w:t>
            </w:r>
          </w:p>
        </w:tc>
        <w:tc>
          <w:tcPr>
            <w:tcW w:w="1365" w:type="dxa"/>
            <w:shd w:val="clear" w:color="auto" w:fill="DEEAF6"/>
          </w:tcPr>
          <w:p w:rsidR="00D41071" w:rsidRPr="001972F0" w:rsidRDefault="00D41071" w:rsidP="00160038">
            <w:pPr>
              <w:spacing w:after="120"/>
              <w:jc w:val="center"/>
              <w:rPr>
                <w:color w:val="000000"/>
              </w:rPr>
            </w:pPr>
            <w:r w:rsidRPr="001972F0">
              <w:rPr>
                <w:color w:val="000000"/>
              </w:rPr>
              <w:t>-3.198</w:t>
            </w:r>
          </w:p>
        </w:tc>
      </w:tr>
    </w:tbl>
    <w:p w:rsidR="00D41071" w:rsidRDefault="00D41071" w:rsidP="00D41071">
      <w:pPr>
        <w:pStyle w:val="NormalWeb"/>
        <w:spacing w:after="120" w:afterAutospacing="0"/>
        <w:ind w:left="709"/>
        <w:jc w:val="both"/>
        <w:rPr>
          <w:color w:val="000000"/>
        </w:rPr>
      </w:pPr>
      <w:r>
        <w:rPr>
          <w:color w:val="000000"/>
        </w:rPr>
        <w:t>Source: Author’s Computation (2021)</w:t>
      </w:r>
    </w:p>
    <w:p w:rsidR="00D41071" w:rsidRPr="001972F0" w:rsidRDefault="00D41071" w:rsidP="00D41071">
      <w:pPr>
        <w:spacing w:before="240" w:after="120"/>
        <w:ind w:left="709"/>
        <w:rPr>
          <w:color w:val="000000"/>
        </w:rPr>
      </w:pPr>
      <w:r w:rsidRPr="001972F0">
        <w:rPr>
          <w:color w:val="000000"/>
        </w:rPr>
        <w:t>Note: *, ** and *** indicate significance at 1%, 5% and 10% levels respectively.</w:t>
      </w:r>
    </w:p>
    <w:p w:rsidR="00D41071" w:rsidRPr="001972F0" w:rsidRDefault="00D41071" w:rsidP="00D41071">
      <w:pPr>
        <w:spacing w:before="240" w:after="120"/>
        <w:ind w:left="709"/>
        <w:rPr>
          <w:color w:val="000000"/>
          <w:lang w:val="en-GB"/>
        </w:rPr>
      </w:pPr>
      <w:r>
        <w:rPr>
          <w:color w:val="000000"/>
          <w:lang w:val="en-GB"/>
        </w:rPr>
        <w:t>Results</w:t>
      </w:r>
      <w:r w:rsidRPr="001972F0">
        <w:rPr>
          <w:color w:val="000000"/>
          <w:lang w:val="en-GB"/>
        </w:rPr>
        <w:t xml:space="preserve"> shown above reports unit root test for all our variables.  ADF results show that variables exhibit a mix order of integration. This justifies our choice of ARDL methodology as variables exhibit a mix of integration order 1(0) and 1(1).</w:t>
      </w:r>
    </w:p>
    <w:p w:rsidR="00D41071" w:rsidRPr="001972F0" w:rsidRDefault="00D41071" w:rsidP="00D41071">
      <w:pPr>
        <w:numPr>
          <w:ilvl w:val="1"/>
          <w:numId w:val="2"/>
        </w:numPr>
        <w:spacing w:before="240" w:after="120"/>
        <w:ind w:left="709"/>
        <w:rPr>
          <w:b/>
          <w:color w:val="000000"/>
        </w:rPr>
      </w:pPr>
      <w:r w:rsidRPr="001972F0">
        <w:rPr>
          <w:b/>
          <w:color w:val="000000"/>
        </w:rPr>
        <w:t>Bounds Test for Cointegration</w:t>
      </w:r>
    </w:p>
    <w:p w:rsidR="00D41071" w:rsidRPr="001972F0" w:rsidRDefault="00D41071" w:rsidP="00D41071">
      <w:pPr>
        <w:pStyle w:val="NormalWeb"/>
        <w:spacing w:after="120" w:afterAutospacing="0"/>
        <w:ind w:left="709"/>
        <w:rPr>
          <w:color w:val="000000"/>
        </w:rPr>
      </w:pPr>
      <w:r>
        <w:rPr>
          <w:color w:val="000000"/>
        </w:rPr>
        <w:t>For the Bounds test, t</w:t>
      </w:r>
      <w:r w:rsidRPr="001972F0">
        <w:rPr>
          <w:color w:val="000000"/>
        </w:rPr>
        <w:t xml:space="preserve">he F-statistic value is compared against the two critical value bounds (upper and lower bounds) developed by Pesaran </w:t>
      </w:r>
      <w:r w:rsidRPr="001972F0">
        <w:rPr>
          <w:i/>
          <w:iCs/>
          <w:color w:val="000000"/>
        </w:rPr>
        <w:t>et al</w:t>
      </w:r>
      <w:r w:rsidRPr="001972F0">
        <w:rPr>
          <w:color w:val="000000"/>
        </w:rPr>
        <w:t>. (2001). If the calculated F-statistics value</w:t>
      </w:r>
      <w:r>
        <w:rPr>
          <w:color w:val="000000"/>
        </w:rPr>
        <w:t xml:space="preserve"> is greater than</w:t>
      </w:r>
      <w:r w:rsidRPr="001972F0">
        <w:rPr>
          <w:color w:val="000000"/>
        </w:rPr>
        <w:t xml:space="preserve"> the upper bound</w:t>
      </w:r>
      <w:r>
        <w:rPr>
          <w:color w:val="000000"/>
        </w:rPr>
        <w:t xml:space="preserve"> at 5 percent</w:t>
      </w:r>
      <w:r w:rsidRPr="001972F0">
        <w:rPr>
          <w:color w:val="000000"/>
        </w:rPr>
        <w:t xml:space="preserve">, then </w:t>
      </w:r>
      <w:r>
        <w:rPr>
          <w:color w:val="000000"/>
        </w:rPr>
        <w:t xml:space="preserve">cointegration is established. </w:t>
      </w:r>
      <w:r w:rsidRPr="001972F0">
        <w:rPr>
          <w:color w:val="000000"/>
        </w:rPr>
        <w:t xml:space="preserve">Table </w:t>
      </w:r>
      <w:r>
        <w:rPr>
          <w:color w:val="000000"/>
        </w:rPr>
        <w:t>3</w:t>
      </w:r>
      <w:r w:rsidRPr="001972F0">
        <w:rPr>
          <w:color w:val="000000"/>
        </w:rPr>
        <w:t xml:space="preserve"> shows the result.</w:t>
      </w:r>
    </w:p>
    <w:p w:rsidR="00D41071" w:rsidRPr="0046702F" w:rsidRDefault="00D41071" w:rsidP="00D41071">
      <w:pPr>
        <w:pStyle w:val="Heading1"/>
        <w:spacing w:after="120"/>
        <w:ind w:left="709"/>
        <w:contextualSpacing/>
        <w:rPr>
          <w:rFonts w:ascii="Times New Roman" w:hAnsi="Times New Roman"/>
          <w:color w:val="000000"/>
          <w:sz w:val="24"/>
          <w:szCs w:val="24"/>
        </w:rPr>
      </w:pPr>
      <w:r w:rsidRPr="0046702F">
        <w:rPr>
          <w:rFonts w:ascii="Times New Roman" w:hAnsi="Times New Roman"/>
          <w:color w:val="000000"/>
          <w:sz w:val="24"/>
          <w:szCs w:val="24"/>
        </w:rPr>
        <w:t>Table 3</w:t>
      </w:r>
      <w:r>
        <w:rPr>
          <w:rFonts w:ascii="Times New Roman" w:hAnsi="Times New Roman"/>
          <w:color w:val="000000"/>
          <w:sz w:val="24"/>
          <w:szCs w:val="24"/>
        </w:rPr>
        <w:t>.</w:t>
      </w:r>
      <w:r w:rsidRPr="0046702F">
        <w:rPr>
          <w:rFonts w:ascii="Times New Roman" w:hAnsi="Times New Roman"/>
          <w:color w:val="000000"/>
          <w:sz w:val="24"/>
          <w:szCs w:val="24"/>
        </w:rPr>
        <w:t xml:space="preserve"> Bound Test Result</w:t>
      </w:r>
    </w:p>
    <w:tbl>
      <w:tblPr>
        <w:tblW w:w="786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966"/>
        <w:gridCol w:w="1966"/>
        <w:gridCol w:w="1966"/>
        <w:gridCol w:w="1968"/>
      </w:tblGrid>
      <w:tr w:rsidR="00D41071" w:rsidRPr="001972F0" w:rsidTr="00160038">
        <w:trPr>
          <w:trHeight w:val="270"/>
        </w:trPr>
        <w:tc>
          <w:tcPr>
            <w:tcW w:w="1966" w:type="dxa"/>
            <w:tcBorders>
              <w:top w:val="nil"/>
              <w:left w:val="nil"/>
              <w:bottom w:val="single" w:sz="4" w:space="0" w:color="8EAADB"/>
              <w:right w:val="nil"/>
            </w:tcBorders>
            <w:shd w:val="clear" w:color="auto" w:fill="FFFFFF"/>
          </w:tcPr>
          <w:p w:rsidR="00D41071" w:rsidRPr="001972F0" w:rsidRDefault="00D41071" w:rsidP="00160038">
            <w:pPr>
              <w:spacing w:before="240" w:after="120"/>
              <w:ind w:left="709"/>
              <w:contextualSpacing/>
              <w:jc w:val="right"/>
              <w:rPr>
                <w:b/>
                <w:bCs/>
                <w:i/>
                <w:iCs/>
                <w:color w:val="000000"/>
              </w:rPr>
            </w:pPr>
            <w:r w:rsidRPr="001972F0">
              <w:rPr>
                <w:b/>
                <w:bCs/>
                <w:i/>
                <w:iCs/>
                <w:color w:val="000000"/>
              </w:rPr>
              <w:t>F-Statistic</w:t>
            </w:r>
          </w:p>
          <w:p w:rsidR="00D41071" w:rsidRPr="001972F0" w:rsidRDefault="00D41071" w:rsidP="00160038">
            <w:pPr>
              <w:spacing w:after="120"/>
              <w:ind w:left="709"/>
              <w:contextualSpacing/>
              <w:jc w:val="right"/>
              <w:rPr>
                <w:b/>
                <w:bCs/>
                <w:i/>
                <w:iCs/>
                <w:color w:val="000000"/>
              </w:rPr>
            </w:pPr>
          </w:p>
        </w:tc>
        <w:tc>
          <w:tcPr>
            <w:tcW w:w="5900" w:type="dxa"/>
            <w:gridSpan w:val="3"/>
            <w:tcBorders>
              <w:top w:val="nil"/>
              <w:left w:val="nil"/>
              <w:right w:val="nil"/>
            </w:tcBorders>
            <w:shd w:val="clear" w:color="auto" w:fill="FFFFFF"/>
          </w:tcPr>
          <w:p w:rsidR="00D41071" w:rsidRPr="001972F0" w:rsidRDefault="00D41071" w:rsidP="00160038">
            <w:pPr>
              <w:spacing w:after="120"/>
              <w:ind w:left="709"/>
              <w:contextualSpacing/>
              <w:rPr>
                <w:b/>
                <w:bCs/>
                <w:color w:val="000000"/>
              </w:rPr>
            </w:pPr>
          </w:p>
          <w:p w:rsidR="00D41071" w:rsidRPr="001972F0" w:rsidRDefault="00D41071" w:rsidP="00160038">
            <w:pPr>
              <w:spacing w:after="120"/>
              <w:ind w:left="709"/>
              <w:contextualSpacing/>
              <w:rPr>
                <w:b/>
                <w:bCs/>
                <w:color w:val="000000"/>
              </w:rPr>
            </w:pPr>
            <w:r w:rsidRPr="001972F0">
              <w:rPr>
                <w:b/>
                <w:bCs/>
                <w:color w:val="000000"/>
              </w:rPr>
              <w:t xml:space="preserve">     7.843*</w:t>
            </w:r>
          </w:p>
        </w:tc>
      </w:tr>
      <w:tr w:rsidR="00D41071" w:rsidRPr="001972F0" w:rsidTr="00160038">
        <w:trPr>
          <w:trHeight w:val="274"/>
        </w:trPr>
        <w:tc>
          <w:tcPr>
            <w:tcW w:w="1966" w:type="dxa"/>
            <w:tcBorders>
              <w:left w:val="nil"/>
              <w:bottom w:val="nil"/>
            </w:tcBorders>
            <w:shd w:val="clear" w:color="auto" w:fill="FFFFFF"/>
          </w:tcPr>
          <w:p w:rsidR="00D41071" w:rsidRPr="001972F0" w:rsidRDefault="00D41071" w:rsidP="00160038">
            <w:pPr>
              <w:spacing w:before="240" w:after="120"/>
              <w:ind w:left="709"/>
              <w:contextualSpacing/>
              <w:jc w:val="right"/>
              <w:rPr>
                <w:i/>
                <w:iCs/>
                <w:color w:val="000000"/>
              </w:rPr>
            </w:pPr>
            <w:r w:rsidRPr="001972F0">
              <w:rPr>
                <w:i/>
                <w:iCs/>
                <w:color w:val="000000"/>
              </w:rPr>
              <w:t>Critical Values</w:t>
            </w:r>
          </w:p>
          <w:p w:rsidR="00D41071" w:rsidRPr="001972F0" w:rsidRDefault="00D41071" w:rsidP="00160038">
            <w:pPr>
              <w:spacing w:after="120"/>
              <w:ind w:left="709"/>
              <w:contextualSpacing/>
              <w:jc w:val="right"/>
              <w:rPr>
                <w:i/>
                <w:iCs/>
                <w:color w:val="000000"/>
              </w:rPr>
            </w:pPr>
          </w:p>
        </w:tc>
        <w:tc>
          <w:tcPr>
            <w:tcW w:w="1966" w:type="dxa"/>
            <w:shd w:val="clear" w:color="auto" w:fill="D9E2F3"/>
          </w:tcPr>
          <w:p w:rsidR="00D41071" w:rsidRPr="001972F0" w:rsidRDefault="00D41071" w:rsidP="00160038">
            <w:pPr>
              <w:spacing w:after="120"/>
              <w:ind w:left="709"/>
              <w:contextualSpacing/>
              <w:rPr>
                <w:color w:val="000000"/>
              </w:rPr>
            </w:pPr>
          </w:p>
          <w:p w:rsidR="00D41071" w:rsidRPr="001972F0" w:rsidRDefault="00D41071" w:rsidP="00160038">
            <w:pPr>
              <w:spacing w:after="120"/>
              <w:ind w:left="709"/>
              <w:contextualSpacing/>
              <w:rPr>
                <w:color w:val="000000"/>
              </w:rPr>
            </w:pPr>
            <w:r w:rsidRPr="001972F0">
              <w:rPr>
                <w:color w:val="000000"/>
              </w:rPr>
              <w:t xml:space="preserve">      1%</w:t>
            </w:r>
          </w:p>
        </w:tc>
        <w:tc>
          <w:tcPr>
            <w:tcW w:w="1966" w:type="dxa"/>
            <w:shd w:val="clear" w:color="auto" w:fill="D9E2F3"/>
          </w:tcPr>
          <w:p w:rsidR="00D41071" w:rsidRPr="001972F0" w:rsidRDefault="00D41071" w:rsidP="00160038">
            <w:pPr>
              <w:spacing w:after="120"/>
              <w:ind w:left="709"/>
              <w:contextualSpacing/>
              <w:rPr>
                <w:color w:val="000000"/>
              </w:rPr>
            </w:pPr>
          </w:p>
          <w:p w:rsidR="00D41071" w:rsidRPr="001972F0" w:rsidRDefault="00D41071" w:rsidP="00160038">
            <w:pPr>
              <w:spacing w:after="120"/>
              <w:ind w:left="709"/>
              <w:contextualSpacing/>
              <w:rPr>
                <w:color w:val="000000"/>
              </w:rPr>
            </w:pPr>
            <w:r w:rsidRPr="001972F0">
              <w:rPr>
                <w:color w:val="000000"/>
              </w:rPr>
              <w:t xml:space="preserve">       5%</w:t>
            </w:r>
          </w:p>
        </w:tc>
        <w:tc>
          <w:tcPr>
            <w:tcW w:w="1968" w:type="dxa"/>
            <w:shd w:val="clear" w:color="auto" w:fill="D9E2F3"/>
          </w:tcPr>
          <w:p w:rsidR="00D41071" w:rsidRPr="001972F0" w:rsidRDefault="00D41071" w:rsidP="00160038">
            <w:pPr>
              <w:spacing w:after="120"/>
              <w:ind w:left="709"/>
              <w:contextualSpacing/>
              <w:rPr>
                <w:color w:val="000000"/>
              </w:rPr>
            </w:pPr>
          </w:p>
          <w:p w:rsidR="00D41071" w:rsidRPr="001972F0" w:rsidRDefault="00D41071" w:rsidP="00160038">
            <w:pPr>
              <w:spacing w:after="120"/>
              <w:ind w:left="709"/>
              <w:contextualSpacing/>
              <w:rPr>
                <w:color w:val="000000"/>
              </w:rPr>
            </w:pPr>
            <w:r w:rsidRPr="001972F0">
              <w:rPr>
                <w:color w:val="000000"/>
              </w:rPr>
              <w:t xml:space="preserve">     10%</w:t>
            </w:r>
          </w:p>
        </w:tc>
      </w:tr>
      <w:tr w:rsidR="00D41071" w:rsidRPr="001972F0" w:rsidTr="00160038">
        <w:trPr>
          <w:trHeight w:val="270"/>
        </w:trPr>
        <w:tc>
          <w:tcPr>
            <w:tcW w:w="1966" w:type="dxa"/>
            <w:tcBorders>
              <w:left w:val="nil"/>
              <w:bottom w:val="nil"/>
            </w:tcBorders>
            <w:shd w:val="clear" w:color="auto" w:fill="FFFFFF"/>
          </w:tcPr>
          <w:p w:rsidR="00D41071" w:rsidRPr="001972F0" w:rsidRDefault="00D41071" w:rsidP="00160038">
            <w:pPr>
              <w:spacing w:before="240" w:after="120"/>
              <w:ind w:left="709"/>
              <w:contextualSpacing/>
              <w:jc w:val="right"/>
              <w:rPr>
                <w:i/>
                <w:iCs/>
                <w:color w:val="000000"/>
              </w:rPr>
            </w:pPr>
            <w:r w:rsidRPr="001972F0">
              <w:rPr>
                <w:i/>
                <w:iCs/>
                <w:color w:val="000000"/>
              </w:rPr>
              <w:t>Lower Bound</w:t>
            </w:r>
          </w:p>
          <w:p w:rsidR="00D41071" w:rsidRPr="001972F0" w:rsidRDefault="00D41071" w:rsidP="00160038">
            <w:pPr>
              <w:spacing w:after="120"/>
              <w:ind w:left="709"/>
              <w:contextualSpacing/>
              <w:jc w:val="right"/>
              <w:rPr>
                <w:i/>
                <w:iCs/>
                <w:color w:val="000000"/>
              </w:rPr>
            </w:pPr>
          </w:p>
        </w:tc>
        <w:tc>
          <w:tcPr>
            <w:tcW w:w="1966" w:type="dxa"/>
            <w:shd w:val="clear" w:color="auto" w:fill="auto"/>
          </w:tcPr>
          <w:p w:rsidR="00D41071" w:rsidRPr="001972F0" w:rsidRDefault="00D41071" w:rsidP="00160038">
            <w:pPr>
              <w:spacing w:after="120"/>
              <w:ind w:left="709"/>
              <w:contextualSpacing/>
              <w:rPr>
                <w:color w:val="000000"/>
              </w:rPr>
            </w:pPr>
            <w:r w:rsidRPr="001972F0">
              <w:rPr>
                <w:color w:val="000000"/>
              </w:rPr>
              <w:t xml:space="preserve">      </w:t>
            </w:r>
          </w:p>
          <w:p w:rsidR="00D41071" w:rsidRPr="001972F0" w:rsidRDefault="00D41071" w:rsidP="00160038">
            <w:pPr>
              <w:spacing w:after="120"/>
              <w:ind w:left="709"/>
              <w:contextualSpacing/>
              <w:rPr>
                <w:color w:val="000000"/>
              </w:rPr>
            </w:pPr>
            <w:r w:rsidRPr="001972F0">
              <w:rPr>
                <w:color w:val="000000"/>
              </w:rPr>
              <w:t xml:space="preserve">      3.29</w:t>
            </w:r>
          </w:p>
        </w:tc>
        <w:tc>
          <w:tcPr>
            <w:tcW w:w="1966" w:type="dxa"/>
            <w:shd w:val="clear" w:color="auto" w:fill="auto"/>
          </w:tcPr>
          <w:p w:rsidR="00D41071" w:rsidRPr="001972F0" w:rsidRDefault="00D41071" w:rsidP="00160038">
            <w:pPr>
              <w:spacing w:after="120"/>
              <w:ind w:left="709"/>
              <w:contextualSpacing/>
              <w:rPr>
                <w:color w:val="000000"/>
              </w:rPr>
            </w:pPr>
          </w:p>
          <w:p w:rsidR="00D41071" w:rsidRPr="001972F0" w:rsidRDefault="00D41071" w:rsidP="00160038">
            <w:pPr>
              <w:spacing w:after="120"/>
              <w:ind w:left="709"/>
              <w:contextualSpacing/>
              <w:rPr>
                <w:color w:val="000000"/>
              </w:rPr>
            </w:pPr>
            <w:r w:rsidRPr="001972F0">
              <w:rPr>
                <w:color w:val="000000"/>
              </w:rPr>
              <w:t xml:space="preserve">     2.56</w:t>
            </w:r>
          </w:p>
        </w:tc>
        <w:tc>
          <w:tcPr>
            <w:tcW w:w="1968" w:type="dxa"/>
            <w:shd w:val="clear" w:color="auto" w:fill="auto"/>
          </w:tcPr>
          <w:p w:rsidR="00D41071" w:rsidRPr="001972F0" w:rsidRDefault="00D41071" w:rsidP="00160038">
            <w:pPr>
              <w:spacing w:after="120"/>
              <w:ind w:left="709"/>
              <w:contextualSpacing/>
              <w:rPr>
                <w:color w:val="000000"/>
              </w:rPr>
            </w:pPr>
          </w:p>
          <w:p w:rsidR="00D41071" w:rsidRPr="001972F0" w:rsidRDefault="00D41071" w:rsidP="00160038">
            <w:pPr>
              <w:spacing w:after="120"/>
              <w:ind w:left="709"/>
              <w:contextualSpacing/>
              <w:rPr>
                <w:color w:val="000000"/>
              </w:rPr>
            </w:pPr>
            <w:r w:rsidRPr="001972F0">
              <w:rPr>
                <w:color w:val="000000"/>
              </w:rPr>
              <w:t xml:space="preserve">     2.22</w:t>
            </w:r>
          </w:p>
        </w:tc>
      </w:tr>
      <w:tr w:rsidR="00D41071" w:rsidRPr="001972F0" w:rsidTr="00160038">
        <w:trPr>
          <w:trHeight w:val="274"/>
        </w:trPr>
        <w:tc>
          <w:tcPr>
            <w:tcW w:w="1966" w:type="dxa"/>
            <w:tcBorders>
              <w:left w:val="nil"/>
              <w:bottom w:val="nil"/>
            </w:tcBorders>
            <w:shd w:val="clear" w:color="auto" w:fill="FFFFFF"/>
          </w:tcPr>
          <w:p w:rsidR="00D41071" w:rsidRPr="001972F0" w:rsidRDefault="00D41071" w:rsidP="00160038">
            <w:pPr>
              <w:spacing w:before="240" w:after="120"/>
              <w:ind w:left="709"/>
              <w:contextualSpacing/>
              <w:jc w:val="right"/>
              <w:rPr>
                <w:i/>
                <w:iCs/>
                <w:color w:val="000000"/>
              </w:rPr>
            </w:pPr>
            <w:r w:rsidRPr="001972F0">
              <w:rPr>
                <w:i/>
                <w:iCs/>
                <w:color w:val="000000"/>
              </w:rPr>
              <w:t>Upper Bound</w:t>
            </w:r>
          </w:p>
          <w:p w:rsidR="00D41071" w:rsidRPr="001972F0" w:rsidRDefault="00D41071" w:rsidP="00160038">
            <w:pPr>
              <w:spacing w:after="120"/>
              <w:ind w:left="709"/>
              <w:contextualSpacing/>
              <w:jc w:val="right"/>
              <w:rPr>
                <w:i/>
                <w:iCs/>
                <w:color w:val="000000"/>
              </w:rPr>
            </w:pPr>
          </w:p>
        </w:tc>
        <w:tc>
          <w:tcPr>
            <w:tcW w:w="1966" w:type="dxa"/>
            <w:shd w:val="clear" w:color="auto" w:fill="D9E2F3"/>
          </w:tcPr>
          <w:p w:rsidR="00D41071" w:rsidRPr="001972F0" w:rsidRDefault="00D41071" w:rsidP="00160038">
            <w:pPr>
              <w:spacing w:after="120"/>
              <w:ind w:left="709"/>
              <w:contextualSpacing/>
              <w:rPr>
                <w:color w:val="000000"/>
              </w:rPr>
            </w:pPr>
          </w:p>
          <w:p w:rsidR="00D41071" w:rsidRPr="001972F0" w:rsidRDefault="00D41071" w:rsidP="00160038">
            <w:pPr>
              <w:spacing w:after="120"/>
              <w:ind w:left="709"/>
              <w:contextualSpacing/>
              <w:rPr>
                <w:color w:val="000000"/>
              </w:rPr>
            </w:pPr>
            <w:r w:rsidRPr="001972F0">
              <w:rPr>
                <w:color w:val="000000"/>
              </w:rPr>
              <w:t xml:space="preserve">      4.37</w:t>
            </w:r>
          </w:p>
        </w:tc>
        <w:tc>
          <w:tcPr>
            <w:tcW w:w="1966" w:type="dxa"/>
            <w:shd w:val="clear" w:color="auto" w:fill="D9E2F3"/>
          </w:tcPr>
          <w:p w:rsidR="00D41071" w:rsidRPr="001972F0" w:rsidRDefault="00D41071" w:rsidP="00160038">
            <w:pPr>
              <w:spacing w:after="120"/>
              <w:ind w:left="709"/>
              <w:contextualSpacing/>
              <w:rPr>
                <w:color w:val="000000"/>
              </w:rPr>
            </w:pPr>
          </w:p>
          <w:p w:rsidR="00D41071" w:rsidRPr="001972F0" w:rsidRDefault="00D41071" w:rsidP="00160038">
            <w:pPr>
              <w:spacing w:after="120"/>
              <w:ind w:left="709"/>
              <w:contextualSpacing/>
              <w:rPr>
                <w:color w:val="000000"/>
              </w:rPr>
            </w:pPr>
            <w:r w:rsidRPr="001972F0">
              <w:rPr>
                <w:color w:val="000000"/>
              </w:rPr>
              <w:t xml:space="preserve">     3.49</w:t>
            </w:r>
          </w:p>
        </w:tc>
        <w:tc>
          <w:tcPr>
            <w:tcW w:w="1968" w:type="dxa"/>
            <w:shd w:val="clear" w:color="auto" w:fill="D9E2F3"/>
          </w:tcPr>
          <w:p w:rsidR="00D41071" w:rsidRPr="001972F0" w:rsidRDefault="00D41071" w:rsidP="00160038">
            <w:pPr>
              <w:spacing w:after="120"/>
              <w:ind w:left="709"/>
              <w:contextualSpacing/>
              <w:rPr>
                <w:color w:val="000000"/>
              </w:rPr>
            </w:pPr>
          </w:p>
          <w:p w:rsidR="00D41071" w:rsidRPr="001972F0" w:rsidRDefault="00D41071" w:rsidP="00160038">
            <w:pPr>
              <w:spacing w:after="120"/>
              <w:ind w:left="709"/>
              <w:contextualSpacing/>
              <w:rPr>
                <w:color w:val="000000"/>
              </w:rPr>
            </w:pPr>
            <w:r w:rsidRPr="001972F0">
              <w:rPr>
                <w:color w:val="000000"/>
              </w:rPr>
              <w:t xml:space="preserve">    3.09</w:t>
            </w:r>
          </w:p>
        </w:tc>
      </w:tr>
    </w:tbl>
    <w:p w:rsidR="00D41071" w:rsidRDefault="00D41071" w:rsidP="00D41071">
      <w:pPr>
        <w:pStyle w:val="NormalWeb"/>
        <w:spacing w:after="120" w:afterAutospacing="0"/>
        <w:ind w:left="709"/>
        <w:jc w:val="both"/>
        <w:rPr>
          <w:color w:val="000000"/>
        </w:rPr>
      </w:pPr>
      <w:r>
        <w:rPr>
          <w:color w:val="000000"/>
        </w:rPr>
        <w:t>Source: Author’s Computation (2021)</w:t>
      </w:r>
    </w:p>
    <w:p w:rsidR="00D41071" w:rsidRPr="001972F0" w:rsidRDefault="00D41071" w:rsidP="00D41071">
      <w:pPr>
        <w:autoSpaceDE w:val="0"/>
        <w:autoSpaceDN w:val="0"/>
        <w:adjustRightInd w:val="0"/>
        <w:spacing w:before="240" w:after="120"/>
        <w:ind w:left="709"/>
        <w:jc w:val="both"/>
        <w:rPr>
          <w:color w:val="000000"/>
        </w:rPr>
      </w:pPr>
      <w:r w:rsidRPr="001972F0">
        <w:rPr>
          <w:color w:val="000000"/>
        </w:rPr>
        <w:t>Note: * indicates significance and rejection of the null hypothesis of no co-integration at 1% significance level.</w:t>
      </w:r>
    </w:p>
    <w:p w:rsidR="00D41071" w:rsidRPr="001972F0" w:rsidRDefault="00D41071" w:rsidP="00D41071">
      <w:pPr>
        <w:autoSpaceDE w:val="0"/>
        <w:autoSpaceDN w:val="0"/>
        <w:adjustRightInd w:val="0"/>
        <w:spacing w:before="240" w:after="120"/>
        <w:ind w:left="709"/>
        <w:jc w:val="both"/>
        <w:rPr>
          <w:color w:val="000000"/>
        </w:rPr>
      </w:pPr>
      <w:r w:rsidRPr="001972F0">
        <w:rPr>
          <w:color w:val="000000"/>
        </w:rPr>
        <w:lastRenderedPageBreak/>
        <w:t xml:space="preserve">Table 3. reported above shows the Bound-Test for linear co-integration. This approach is used for testing whether or not there is co-integration </w:t>
      </w:r>
      <w:r>
        <w:rPr>
          <w:color w:val="000000"/>
        </w:rPr>
        <w:t>among</w:t>
      </w:r>
      <w:r w:rsidRPr="001972F0">
        <w:rPr>
          <w:color w:val="000000"/>
        </w:rPr>
        <w:t xml:space="preserve"> the variables employed. Since the calculated F-Statistic (7.843) is greater than the upper bound at 1%, 5% and 10%, we therefore establish long-run relationship.</w:t>
      </w:r>
    </w:p>
    <w:p w:rsidR="00D41071" w:rsidRPr="00875649" w:rsidRDefault="00D41071" w:rsidP="00D41071">
      <w:pPr>
        <w:numPr>
          <w:ilvl w:val="1"/>
          <w:numId w:val="2"/>
        </w:numPr>
        <w:autoSpaceDE w:val="0"/>
        <w:autoSpaceDN w:val="0"/>
        <w:adjustRightInd w:val="0"/>
        <w:spacing w:before="240" w:after="120"/>
        <w:ind w:left="709"/>
        <w:jc w:val="both"/>
        <w:rPr>
          <w:b/>
          <w:color w:val="000000"/>
        </w:rPr>
      </w:pPr>
      <w:r w:rsidRPr="00875649">
        <w:rPr>
          <w:b/>
          <w:color w:val="000000"/>
        </w:rPr>
        <w:t>ARDL Results</w:t>
      </w:r>
    </w:p>
    <w:p w:rsidR="00D41071" w:rsidRDefault="00D41071" w:rsidP="00D41071">
      <w:pPr>
        <w:autoSpaceDE w:val="0"/>
        <w:autoSpaceDN w:val="0"/>
        <w:adjustRightInd w:val="0"/>
        <w:spacing w:before="240" w:after="120"/>
        <w:ind w:left="709"/>
        <w:jc w:val="both"/>
        <w:rPr>
          <w:color w:val="000000"/>
        </w:rPr>
      </w:pPr>
      <w:r w:rsidRPr="001972F0">
        <w:rPr>
          <w:color w:val="000000"/>
        </w:rPr>
        <w:t xml:space="preserve">The short and long-run estimates for all variables are presented using the ARDL framework. </w:t>
      </w:r>
    </w:p>
    <w:p w:rsidR="00D41071" w:rsidRPr="0046702F" w:rsidRDefault="00D41071" w:rsidP="00D41071">
      <w:pPr>
        <w:autoSpaceDE w:val="0"/>
        <w:autoSpaceDN w:val="0"/>
        <w:adjustRightInd w:val="0"/>
        <w:spacing w:before="240" w:after="120"/>
        <w:ind w:left="709"/>
        <w:jc w:val="both"/>
        <w:rPr>
          <w:b/>
          <w:color w:val="000000"/>
        </w:rPr>
      </w:pPr>
      <w:r w:rsidRPr="0046702F">
        <w:rPr>
          <w:b/>
          <w:color w:val="000000"/>
        </w:rPr>
        <w:t>Table</w:t>
      </w:r>
      <w:r>
        <w:rPr>
          <w:b/>
          <w:color w:val="000000"/>
        </w:rPr>
        <w:t xml:space="preserve"> </w:t>
      </w:r>
      <w:r w:rsidRPr="0046702F">
        <w:rPr>
          <w:b/>
          <w:color w:val="000000"/>
        </w:rPr>
        <w:t>4. ARDL Result</w:t>
      </w:r>
    </w:p>
    <w:tbl>
      <w:tblPr>
        <w:tblW w:w="0" w:type="auto"/>
        <w:tblLook w:val="04A0" w:firstRow="1" w:lastRow="0" w:firstColumn="1" w:lastColumn="0" w:noHBand="0" w:noVBand="1"/>
      </w:tblPr>
      <w:tblGrid>
        <w:gridCol w:w="1820"/>
        <w:gridCol w:w="1908"/>
        <w:gridCol w:w="1695"/>
        <w:gridCol w:w="1707"/>
        <w:gridCol w:w="1896"/>
      </w:tblGrid>
      <w:tr w:rsidR="00D41071" w:rsidRPr="001972F0" w:rsidTr="00160038">
        <w:tc>
          <w:tcPr>
            <w:tcW w:w="9242" w:type="dxa"/>
            <w:gridSpan w:val="5"/>
            <w:shd w:val="clear" w:color="auto" w:fill="FFFFFF"/>
          </w:tcPr>
          <w:p w:rsidR="00D41071" w:rsidRPr="001972F0" w:rsidRDefault="00D41071" w:rsidP="00160038">
            <w:pPr>
              <w:autoSpaceDE w:val="0"/>
              <w:autoSpaceDN w:val="0"/>
              <w:adjustRightInd w:val="0"/>
              <w:spacing w:before="240" w:after="120"/>
              <w:ind w:left="709"/>
              <w:jc w:val="both"/>
              <w:rPr>
                <w:b/>
                <w:bCs/>
                <w:i/>
                <w:iCs/>
                <w:color w:val="000000"/>
              </w:rPr>
            </w:pPr>
            <w:r w:rsidRPr="001972F0">
              <w:rPr>
                <w:b/>
                <w:bCs/>
                <w:i/>
                <w:iCs/>
                <w:color w:val="000000"/>
              </w:rPr>
              <w:t>Dependent Variable: EST</w:t>
            </w:r>
          </w:p>
        </w:tc>
      </w:tr>
      <w:tr w:rsidR="00D41071" w:rsidRPr="001972F0" w:rsidTr="00160038">
        <w:tc>
          <w:tcPr>
            <w:tcW w:w="1864" w:type="dxa"/>
            <w:shd w:val="clear" w:color="auto" w:fill="FFFFFF"/>
          </w:tcPr>
          <w:p w:rsidR="00D41071" w:rsidRPr="001972F0" w:rsidRDefault="00D41071" w:rsidP="00160038">
            <w:pPr>
              <w:autoSpaceDE w:val="0"/>
              <w:autoSpaceDN w:val="0"/>
              <w:adjustRightInd w:val="0"/>
              <w:spacing w:before="240" w:after="120"/>
              <w:ind w:left="709"/>
              <w:jc w:val="both"/>
              <w:rPr>
                <w:bCs/>
                <w:i/>
                <w:iCs/>
                <w:color w:val="000000"/>
              </w:rPr>
            </w:pPr>
            <w:r w:rsidRPr="001972F0">
              <w:rPr>
                <w:bCs/>
                <w:i/>
                <w:iCs/>
                <w:color w:val="000000"/>
              </w:rPr>
              <w:t>Variable</w:t>
            </w:r>
          </w:p>
        </w:tc>
        <w:tc>
          <w:tcPr>
            <w:tcW w:w="1954"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Coefficient</w:t>
            </w:r>
          </w:p>
        </w:tc>
        <w:tc>
          <w:tcPr>
            <w:tcW w:w="1735"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Standard Error</w:t>
            </w:r>
          </w:p>
        </w:tc>
        <w:tc>
          <w:tcPr>
            <w:tcW w:w="1747"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T-Statistics</w:t>
            </w:r>
          </w:p>
        </w:tc>
        <w:tc>
          <w:tcPr>
            <w:tcW w:w="1942"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Probability</w:t>
            </w:r>
          </w:p>
        </w:tc>
      </w:tr>
      <w:tr w:rsidR="00D41071" w:rsidRPr="001972F0" w:rsidTr="00160038">
        <w:tc>
          <w:tcPr>
            <w:tcW w:w="9242" w:type="dxa"/>
            <w:gridSpan w:val="5"/>
            <w:shd w:val="clear" w:color="auto" w:fill="FFFFFF"/>
          </w:tcPr>
          <w:p w:rsidR="00D41071" w:rsidRPr="001972F0" w:rsidRDefault="00D41071" w:rsidP="00160038">
            <w:pPr>
              <w:autoSpaceDE w:val="0"/>
              <w:autoSpaceDN w:val="0"/>
              <w:adjustRightInd w:val="0"/>
              <w:spacing w:before="240" w:after="120"/>
              <w:ind w:left="709"/>
              <w:jc w:val="both"/>
              <w:rPr>
                <w:b/>
                <w:bCs/>
                <w:i/>
                <w:iCs/>
                <w:color w:val="000000"/>
              </w:rPr>
            </w:pPr>
            <w:r w:rsidRPr="001972F0">
              <w:rPr>
                <w:b/>
                <w:bCs/>
                <w:i/>
                <w:iCs/>
                <w:color w:val="000000"/>
              </w:rPr>
              <w:t>LONG RUN ESTIMATES</w:t>
            </w:r>
          </w:p>
        </w:tc>
      </w:tr>
      <w:tr w:rsidR="00D41071" w:rsidRPr="001972F0" w:rsidTr="00160038">
        <w:tc>
          <w:tcPr>
            <w:tcW w:w="1864" w:type="dxa"/>
            <w:shd w:val="clear" w:color="auto" w:fill="FFFFFF"/>
          </w:tcPr>
          <w:p w:rsidR="00D41071" w:rsidRPr="001972F0" w:rsidRDefault="00D41071" w:rsidP="00160038">
            <w:pPr>
              <w:autoSpaceDE w:val="0"/>
              <w:autoSpaceDN w:val="0"/>
              <w:adjustRightInd w:val="0"/>
              <w:spacing w:before="240" w:after="120"/>
              <w:ind w:left="709"/>
              <w:jc w:val="both"/>
              <w:rPr>
                <w:b/>
                <w:bCs/>
                <w:i/>
                <w:iCs/>
                <w:color w:val="000000"/>
              </w:rPr>
            </w:pPr>
            <w:r w:rsidRPr="001972F0">
              <w:rPr>
                <w:b/>
                <w:bCs/>
                <w:i/>
                <w:iCs/>
                <w:color w:val="000000"/>
              </w:rPr>
              <w:t>LNGDP</w:t>
            </w:r>
          </w:p>
        </w:tc>
        <w:tc>
          <w:tcPr>
            <w:tcW w:w="1954"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-0.306</w:t>
            </w:r>
          </w:p>
        </w:tc>
        <w:tc>
          <w:tcPr>
            <w:tcW w:w="1735"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0.065</w:t>
            </w:r>
          </w:p>
        </w:tc>
        <w:tc>
          <w:tcPr>
            <w:tcW w:w="1747"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-4.737</w:t>
            </w:r>
          </w:p>
        </w:tc>
        <w:tc>
          <w:tcPr>
            <w:tcW w:w="1942"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0.001*</w:t>
            </w:r>
          </w:p>
        </w:tc>
      </w:tr>
      <w:tr w:rsidR="00D41071" w:rsidRPr="001972F0" w:rsidTr="00160038">
        <w:tc>
          <w:tcPr>
            <w:tcW w:w="1864" w:type="dxa"/>
            <w:shd w:val="clear" w:color="auto" w:fill="FFFFFF"/>
          </w:tcPr>
          <w:p w:rsidR="00D41071" w:rsidRPr="001972F0" w:rsidRDefault="00D41071" w:rsidP="00160038">
            <w:pPr>
              <w:autoSpaceDE w:val="0"/>
              <w:autoSpaceDN w:val="0"/>
              <w:adjustRightInd w:val="0"/>
              <w:spacing w:before="240" w:after="120"/>
              <w:ind w:left="709"/>
              <w:jc w:val="both"/>
              <w:rPr>
                <w:b/>
                <w:bCs/>
                <w:i/>
                <w:iCs/>
                <w:color w:val="000000"/>
              </w:rPr>
            </w:pPr>
            <w:r w:rsidRPr="001972F0">
              <w:rPr>
                <w:b/>
                <w:bCs/>
                <w:i/>
                <w:iCs/>
                <w:color w:val="000000"/>
              </w:rPr>
              <w:t>LNWP</w:t>
            </w:r>
          </w:p>
        </w:tc>
        <w:tc>
          <w:tcPr>
            <w:tcW w:w="1954"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1.979</w:t>
            </w:r>
          </w:p>
        </w:tc>
        <w:tc>
          <w:tcPr>
            <w:tcW w:w="1735"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0.528</w:t>
            </w:r>
          </w:p>
        </w:tc>
        <w:tc>
          <w:tcPr>
            <w:tcW w:w="1747"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3.749</w:t>
            </w:r>
          </w:p>
        </w:tc>
        <w:tc>
          <w:tcPr>
            <w:tcW w:w="1942"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0.005*</w:t>
            </w:r>
          </w:p>
        </w:tc>
      </w:tr>
      <w:tr w:rsidR="00D41071" w:rsidRPr="001972F0" w:rsidTr="00160038">
        <w:tc>
          <w:tcPr>
            <w:tcW w:w="1864" w:type="dxa"/>
            <w:shd w:val="clear" w:color="auto" w:fill="FFFFFF"/>
          </w:tcPr>
          <w:p w:rsidR="00D41071" w:rsidRPr="001972F0" w:rsidRDefault="00D41071" w:rsidP="00160038">
            <w:pPr>
              <w:autoSpaceDE w:val="0"/>
              <w:autoSpaceDN w:val="0"/>
              <w:adjustRightInd w:val="0"/>
              <w:spacing w:before="240" w:after="120"/>
              <w:ind w:left="709"/>
              <w:jc w:val="both"/>
              <w:rPr>
                <w:b/>
                <w:bCs/>
                <w:i/>
                <w:iCs/>
                <w:color w:val="000000"/>
              </w:rPr>
            </w:pPr>
            <w:r w:rsidRPr="001972F0">
              <w:rPr>
                <w:b/>
                <w:bCs/>
                <w:i/>
                <w:iCs/>
                <w:color w:val="000000"/>
              </w:rPr>
              <w:t>LNUP</w:t>
            </w:r>
          </w:p>
        </w:tc>
        <w:tc>
          <w:tcPr>
            <w:tcW w:w="1954"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-0.386</w:t>
            </w:r>
          </w:p>
        </w:tc>
        <w:tc>
          <w:tcPr>
            <w:tcW w:w="1735"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0.096</w:t>
            </w:r>
          </w:p>
        </w:tc>
        <w:tc>
          <w:tcPr>
            <w:tcW w:w="1747"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-4.012</w:t>
            </w:r>
          </w:p>
        </w:tc>
        <w:tc>
          <w:tcPr>
            <w:tcW w:w="1942"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0.003*</w:t>
            </w:r>
          </w:p>
        </w:tc>
      </w:tr>
      <w:tr w:rsidR="00D41071" w:rsidRPr="001972F0" w:rsidTr="00160038">
        <w:tc>
          <w:tcPr>
            <w:tcW w:w="1864" w:type="dxa"/>
            <w:shd w:val="clear" w:color="auto" w:fill="FFFFFF"/>
          </w:tcPr>
          <w:p w:rsidR="00D41071" w:rsidRPr="001972F0" w:rsidRDefault="00D41071" w:rsidP="00160038">
            <w:pPr>
              <w:autoSpaceDE w:val="0"/>
              <w:autoSpaceDN w:val="0"/>
              <w:adjustRightInd w:val="0"/>
              <w:spacing w:before="240" w:after="120"/>
              <w:ind w:left="709"/>
              <w:jc w:val="both"/>
              <w:rPr>
                <w:b/>
                <w:bCs/>
                <w:i/>
                <w:iCs/>
                <w:color w:val="000000"/>
              </w:rPr>
            </w:pPr>
            <w:r w:rsidRPr="001972F0">
              <w:rPr>
                <w:b/>
                <w:bCs/>
                <w:i/>
                <w:iCs/>
                <w:color w:val="000000"/>
              </w:rPr>
              <w:t>LNE</w:t>
            </w:r>
          </w:p>
        </w:tc>
        <w:tc>
          <w:tcPr>
            <w:tcW w:w="1954"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-0.832</w:t>
            </w:r>
          </w:p>
        </w:tc>
        <w:tc>
          <w:tcPr>
            <w:tcW w:w="1735"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0.337</w:t>
            </w:r>
          </w:p>
        </w:tc>
        <w:tc>
          <w:tcPr>
            <w:tcW w:w="1747"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-2.467</w:t>
            </w:r>
          </w:p>
        </w:tc>
        <w:tc>
          <w:tcPr>
            <w:tcW w:w="1942"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0.036**</w:t>
            </w:r>
          </w:p>
        </w:tc>
      </w:tr>
      <w:tr w:rsidR="00D41071" w:rsidRPr="001972F0" w:rsidTr="00160038">
        <w:tc>
          <w:tcPr>
            <w:tcW w:w="1864" w:type="dxa"/>
            <w:shd w:val="clear" w:color="auto" w:fill="FFFFFF"/>
          </w:tcPr>
          <w:p w:rsidR="00D41071" w:rsidRPr="001972F0" w:rsidRDefault="00D41071" w:rsidP="00160038">
            <w:pPr>
              <w:autoSpaceDE w:val="0"/>
              <w:autoSpaceDN w:val="0"/>
              <w:adjustRightInd w:val="0"/>
              <w:spacing w:before="240" w:after="120"/>
              <w:ind w:left="709"/>
              <w:jc w:val="both"/>
              <w:rPr>
                <w:b/>
                <w:bCs/>
                <w:i/>
                <w:iCs/>
                <w:color w:val="000000"/>
              </w:rPr>
            </w:pPr>
            <w:r w:rsidRPr="001972F0">
              <w:rPr>
                <w:b/>
                <w:bCs/>
                <w:i/>
                <w:iCs/>
                <w:color w:val="000000"/>
              </w:rPr>
              <w:t>LNFIN</w:t>
            </w:r>
          </w:p>
        </w:tc>
        <w:tc>
          <w:tcPr>
            <w:tcW w:w="1954"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-0.136</w:t>
            </w:r>
          </w:p>
        </w:tc>
        <w:tc>
          <w:tcPr>
            <w:tcW w:w="1735"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0.066</w:t>
            </w:r>
          </w:p>
        </w:tc>
        <w:tc>
          <w:tcPr>
            <w:tcW w:w="1747"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-2.055</w:t>
            </w:r>
          </w:p>
        </w:tc>
        <w:tc>
          <w:tcPr>
            <w:tcW w:w="1942"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0.070*</w:t>
            </w:r>
          </w:p>
        </w:tc>
      </w:tr>
      <w:tr w:rsidR="00D41071" w:rsidRPr="001972F0" w:rsidTr="00160038">
        <w:tc>
          <w:tcPr>
            <w:tcW w:w="1864" w:type="dxa"/>
            <w:shd w:val="clear" w:color="auto" w:fill="FFFFFF"/>
          </w:tcPr>
          <w:p w:rsidR="00D41071" w:rsidRPr="001972F0" w:rsidRDefault="00D41071" w:rsidP="00160038">
            <w:pPr>
              <w:autoSpaceDE w:val="0"/>
              <w:autoSpaceDN w:val="0"/>
              <w:adjustRightInd w:val="0"/>
              <w:spacing w:before="240" w:after="120"/>
              <w:ind w:left="709"/>
              <w:jc w:val="both"/>
              <w:rPr>
                <w:b/>
                <w:bCs/>
                <w:i/>
                <w:iCs/>
                <w:color w:val="000000"/>
                <w:highlight w:val="yellow"/>
              </w:rPr>
            </w:pPr>
            <w:r w:rsidRPr="001972F0">
              <w:rPr>
                <w:b/>
                <w:bCs/>
                <w:i/>
                <w:iCs/>
                <w:color w:val="000000"/>
              </w:rPr>
              <w:t>C</w:t>
            </w:r>
          </w:p>
        </w:tc>
        <w:tc>
          <w:tcPr>
            <w:tcW w:w="1954" w:type="dxa"/>
            <w:shd w:val="clear" w:color="auto" w:fill="D9E2F3"/>
          </w:tcPr>
          <w:p w:rsidR="00D41071" w:rsidRPr="001972F0" w:rsidRDefault="00D41071" w:rsidP="00160038">
            <w:pPr>
              <w:autoSpaceDE w:val="0"/>
              <w:autoSpaceDN w:val="0"/>
              <w:adjustRightInd w:val="0"/>
              <w:spacing w:before="240" w:after="120"/>
              <w:ind w:left="709"/>
              <w:jc w:val="both"/>
              <w:rPr>
                <w:color w:val="000000"/>
                <w:highlight w:val="yellow"/>
              </w:rPr>
            </w:pPr>
            <w:r w:rsidRPr="001972F0">
              <w:rPr>
                <w:color w:val="000000"/>
              </w:rPr>
              <w:t>-29.100</w:t>
            </w:r>
          </w:p>
        </w:tc>
        <w:tc>
          <w:tcPr>
            <w:tcW w:w="1735"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7.433</w:t>
            </w:r>
          </w:p>
        </w:tc>
        <w:tc>
          <w:tcPr>
            <w:tcW w:w="1747"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-3.914</w:t>
            </w:r>
          </w:p>
        </w:tc>
        <w:tc>
          <w:tcPr>
            <w:tcW w:w="1942"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0.003*</w:t>
            </w:r>
          </w:p>
        </w:tc>
      </w:tr>
      <w:tr w:rsidR="00D41071" w:rsidRPr="001972F0" w:rsidTr="00160038">
        <w:tc>
          <w:tcPr>
            <w:tcW w:w="9242" w:type="dxa"/>
            <w:gridSpan w:val="5"/>
            <w:shd w:val="clear" w:color="auto" w:fill="FFFFFF"/>
          </w:tcPr>
          <w:p w:rsidR="00D41071" w:rsidRPr="001972F0" w:rsidRDefault="00D41071" w:rsidP="00160038">
            <w:pPr>
              <w:autoSpaceDE w:val="0"/>
              <w:autoSpaceDN w:val="0"/>
              <w:adjustRightInd w:val="0"/>
              <w:spacing w:before="240" w:after="120"/>
              <w:ind w:left="709"/>
              <w:jc w:val="both"/>
              <w:rPr>
                <w:b/>
                <w:bCs/>
                <w:i/>
                <w:iCs/>
                <w:color w:val="000000"/>
              </w:rPr>
            </w:pPr>
            <w:r w:rsidRPr="001972F0">
              <w:rPr>
                <w:b/>
                <w:bCs/>
                <w:i/>
                <w:iCs/>
                <w:color w:val="000000"/>
              </w:rPr>
              <w:t>SHORT RUN ESTIMATES</w:t>
            </w:r>
          </w:p>
        </w:tc>
      </w:tr>
      <w:tr w:rsidR="00D41071" w:rsidRPr="001972F0" w:rsidTr="00160038">
        <w:tc>
          <w:tcPr>
            <w:tcW w:w="1864" w:type="dxa"/>
            <w:shd w:val="clear" w:color="auto" w:fill="FFFFFF"/>
          </w:tcPr>
          <w:p w:rsidR="00D41071" w:rsidRPr="001972F0" w:rsidRDefault="00D41071" w:rsidP="00160038">
            <w:pPr>
              <w:autoSpaceDE w:val="0"/>
              <w:autoSpaceDN w:val="0"/>
              <w:adjustRightInd w:val="0"/>
              <w:spacing w:before="240" w:after="120"/>
              <w:ind w:left="709"/>
              <w:jc w:val="both"/>
              <w:rPr>
                <w:b/>
                <w:bCs/>
                <w:i/>
                <w:iCs/>
                <w:color w:val="000000"/>
              </w:rPr>
            </w:pPr>
            <w:r w:rsidRPr="001972F0">
              <w:rPr>
                <w:b/>
                <w:bCs/>
                <w:i/>
                <w:iCs/>
                <w:color w:val="000000"/>
              </w:rPr>
              <w:t>DLNGDP</w:t>
            </w:r>
          </w:p>
        </w:tc>
        <w:tc>
          <w:tcPr>
            <w:tcW w:w="1954"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0.137</w:t>
            </w:r>
          </w:p>
        </w:tc>
        <w:tc>
          <w:tcPr>
            <w:tcW w:w="1735"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0.065</w:t>
            </w:r>
          </w:p>
        </w:tc>
        <w:tc>
          <w:tcPr>
            <w:tcW w:w="1747"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2.112</w:t>
            </w:r>
          </w:p>
        </w:tc>
        <w:tc>
          <w:tcPr>
            <w:tcW w:w="1942"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0.064***</w:t>
            </w:r>
          </w:p>
        </w:tc>
      </w:tr>
      <w:tr w:rsidR="00D41071" w:rsidRPr="001972F0" w:rsidTr="00160038">
        <w:tc>
          <w:tcPr>
            <w:tcW w:w="1864" w:type="dxa"/>
            <w:shd w:val="clear" w:color="auto" w:fill="FFFFFF"/>
          </w:tcPr>
          <w:p w:rsidR="00D41071" w:rsidRPr="001972F0" w:rsidRDefault="00D41071" w:rsidP="00160038">
            <w:pPr>
              <w:autoSpaceDE w:val="0"/>
              <w:autoSpaceDN w:val="0"/>
              <w:adjustRightInd w:val="0"/>
              <w:spacing w:before="240" w:after="120"/>
              <w:ind w:left="709"/>
              <w:jc w:val="both"/>
              <w:rPr>
                <w:b/>
                <w:bCs/>
                <w:i/>
                <w:iCs/>
                <w:color w:val="000000"/>
              </w:rPr>
            </w:pPr>
            <w:r w:rsidRPr="001972F0">
              <w:rPr>
                <w:b/>
                <w:bCs/>
                <w:i/>
                <w:iCs/>
                <w:color w:val="000000"/>
              </w:rPr>
              <w:t>DLNWP</w:t>
            </w:r>
          </w:p>
        </w:tc>
        <w:tc>
          <w:tcPr>
            <w:tcW w:w="1954"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6.053</w:t>
            </w:r>
          </w:p>
        </w:tc>
        <w:tc>
          <w:tcPr>
            <w:tcW w:w="1735"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3.123</w:t>
            </w:r>
          </w:p>
        </w:tc>
        <w:tc>
          <w:tcPr>
            <w:tcW w:w="1747"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1.938</w:t>
            </w:r>
          </w:p>
        </w:tc>
        <w:tc>
          <w:tcPr>
            <w:tcW w:w="1942"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0.085***</w:t>
            </w:r>
          </w:p>
        </w:tc>
      </w:tr>
      <w:tr w:rsidR="00D41071" w:rsidRPr="001972F0" w:rsidTr="00160038">
        <w:tc>
          <w:tcPr>
            <w:tcW w:w="1864" w:type="dxa"/>
            <w:shd w:val="clear" w:color="auto" w:fill="FFFFFF"/>
          </w:tcPr>
          <w:p w:rsidR="00D41071" w:rsidRPr="001972F0" w:rsidRDefault="00D41071" w:rsidP="00160038">
            <w:pPr>
              <w:autoSpaceDE w:val="0"/>
              <w:autoSpaceDN w:val="0"/>
              <w:adjustRightInd w:val="0"/>
              <w:spacing w:before="240" w:after="120"/>
              <w:ind w:left="709"/>
              <w:jc w:val="both"/>
              <w:rPr>
                <w:b/>
                <w:bCs/>
                <w:i/>
                <w:iCs/>
                <w:color w:val="000000"/>
              </w:rPr>
            </w:pPr>
            <w:r w:rsidRPr="001972F0">
              <w:rPr>
                <w:b/>
                <w:bCs/>
                <w:i/>
                <w:iCs/>
                <w:color w:val="000000"/>
              </w:rPr>
              <w:t>DLNUP</w:t>
            </w:r>
          </w:p>
        </w:tc>
        <w:tc>
          <w:tcPr>
            <w:tcW w:w="1954"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-0.184</w:t>
            </w:r>
          </w:p>
        </w:tc>
        <w:tc>
          <w:tcPr>
            <w:tcW w:w="1735"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0.079</w:t>
            </w:r>
          </w:p>
        </w:tc>
        <w:tc>
          <w:tcPr>
            <w:tcW w:w="1747"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-2.340</w:t>
            </w:r>
          </w:p>
        </w:tc>
        <w:tc>
          <w:tcPr>
            <w:tcW w:w="1942"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0.044**</w:t>
            </w:r>
          </w:p>
        </w:tc>
      </w:tr>
      <w:tr w:rsidR="00D41071" w:rsidRPr="001972F0" w:rsidTr="00160038">
        <w:tc>
          <w:tcPr>
            <w:tcW w:w="1864" w:type="dxa"/>
            <w:shd w:val="clear" w:color="auto" w:fill="FFFFFF"/>
          </w:tcPr>
          <w:p w:rsidR="00D41071" w:rsidRPr="001972F0" w:rsidRDefault="00D41071" w:rsidP="00160038">
            <w:pPr>
              <w:autoSpaceDE w:val="0"/>
              <w:autoSpaceDN w:val="0"/>
              <w:adjustRightInd w:val="0"/>
              <w:spacing w:before="240" w:after="120"/>
              <w:ind w:left="709"/>
              <w:jc w:val="both"/>
              <w:rPr>
                <w:b/>
                <w:bCs/>
                <w:i/>
                <w:iCs/>
                <w:color w:val="000000"/>
              </w:rPr>
            </w:pPr>
            <w:r w:rsidRPr="001972F0">
              <w:rPr>
                <w:b/>
                <w:bCs/>
                <w:i/>
                <w:iCs/>
                <w:color w:val="000000"/>
              </w:rPr>
              <w:t>DLNE</w:t>
            </w:r>
          </w:p>
        </w:tc>
        <w:tc>
          <w:tcPr>
            <w:tcW w:w="1954"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-0.217</w:t>
            </w:r>
          </w:p>
        </w:tc>
        <w:tc>
          <w:tcPr>
            <w:tcW w:w="1735"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0.082</w:t>
            </w:r>
          </w:p>
        </w:tc>
        <w:tc>
          <w:tcPr>
            <w:tcW w:w="1747"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-2.626</w:t>
            </w:r>
          </w:p>
        </w:tc>
        <w:tc>
          <w:tcPr>
            <w:tcW w:w="1942"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0.027**</w:t>
            </w:r>
          </w:p>
        </w:tc>
      </w:tr>
      <w:tr w:rsidR="00D41071" w:rsidRPr="001972F0" w:rsidTr="00160038">
        <w:tc>
          <w:tcPr>
            <w:tcW w:w="1864" w:type="dxa"/>
            <w:shd w:val="clear" w:color="auto" w:fill="FFFFFF"/>
          </w:tcPr>
          <w:p w:rsidR="00D41071" w:rsidRPr="001972F0" w:rsidRDefault="00D41071" w:rsidP="00160038">
            <w:pPr>
              <w:autoSpaceDE w:val="0"/>
              <w:autoSpaceDN w:val="0"/>
              <w:adjustRightInd w:val="0"/>
              <w:spacing w:before="240" w:after="120"/>
              <w:ind w:left="709"/>
              <w:jc w:val="both"/>
              <w:rPr>
                <w:b/>
                <w:bCs/>
                <w:i/>
                <w:iCs/>
                <w:color w:val="000000"/>
              </w:rPr>
            </w:pPr>
            <w:r w:rsidRPr="001972F0">
              <w:rPr>
                <w:b/>
                <w:bCs/>
                <w:i/>
                <w:iCs/>
                <w:color w:val="000000"/>
              </w:rPr>
              <w:t>DLNFIN</w:t>
            </w:r>
          </w:p>
        </w:tc>
        <w:tc>
          <w:tcPr>
            <w:tcW w:w="1954"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0.192</w:t>
            </w:r>
          </w:p>
        </w:tc>
        <w:tc>
          <w:tcPr>
            <w:tcW w:w="1735"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0.048</w:t>
            </w:r>
          </w:p>
        </w:tc>
        <w:tc>
          <w:tcPr>
            <w:tcW w:w="1747"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4.038</w:t>
            </w:r>
          </w:p>
        </w:tc>
        <w:tc>
          <w:tcPr>
            <w:tcW w:w="1942"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0.002*</w:t>
            </w:r>
          </w:p>
        </w:tc>
      </w:tr>
      <w:tr w:rsidR="00D41071" w:rsidRPr="001972F0" w:rsidTr="00160038">
        <w:tc>
          <w:tcPr>
            <w:tcW w:w="1864" w:type="dxa"/>
            <w:shd w:val="clear" w:color="auto" w:fill="FFFFFF"/>
          </w:tcPr>
          <w:p w:rsidR="00D41071" w:rsidRPr="001972F0" w:rsidRDefault="00D41071" w:rsidP="00160038">
            <w:pPr>
              <w:autoSpaceDE w:val="0"/>
              <w:autoSpaceDN w:val="0"/>
              <w:adjustRightInd w:val="0"/>
              <w:spacing w:before="240" w:after="120"/>
              <w:ind w:left="709"/>
              <w:jc w:val="both"/>
              <w:rPr>
                <w:b/>
                <w:bCs/>
                <w:i/>
                <w:iCs/>
                <w:color w:val="000000"/>
              </w:rPr>
            </w:pPr>
            <w:r w:rsidRPr="001972F0">
              <w:rPr>
                <w:b/>
                <w:bCs/>
                <w:i/>
                <w:iCs/>
                <w:color w:val="000000"/>
              </w:rPr>
              <w:lastRenderedPageBreak/>
              <w:t>ECM</w:t>
            </w:r>
          </w:p>
        </w:tc>
        <w:tc>
          <w:tcPr>
            <w:tcW w:w="1954"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-1.684</w:t>
            </w:r>
          </w:p>
        </w:tc>
        <w:tc>
          <w:tcPr>
            <w:tcW w:w="1735"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0.176</w:t>
            </w:r>
          </w:p>
        </w:tc>
        <w:tc>
          <w:tcPr>
            <w:tcW w:w="1747"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-9.565</w:t>
            </w:r>
          </w:p>
        </w:tc>
        <w:tc>
          <w:tcPr>
            <w:tcW w:w="1942"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0.000*</w:t>
            </w:r>
          </w:p>
        </w:tc>
      </w:tr>
      <w:tr w:rsidR="00D41071" w:rsidRPr="001972F0" w:rsidTr="00160038">
        <w:tc>
          <w:tcPr>
            <w:tcW w:w="9242" w:type="dxa"/>
            <w:gridSpan w:val="5"/>
            <w:shd w:val="clear" w:color="auto" w:fill="FFFFFF"/>
          </w:tcPr>
          <w:p w:rsidR="00D41071" w:rsidRPr="001972F0" w:rsidRDefault="00D41071" w:rsidP="00160038">
            <w:pPr>
              <w:autoSpaceDE w:val="0"/>
              <w:autoSpaceDN w:val="0"/>
              <w:adjustRightInd w:val="0"/>
              <w:spacing w:before="240" w:after="120"/>
              <w:ind w:left="709"/>
              <w:jc w:val="both"/>
              <w:rPr>
                <w:i/>
                <w:iCs/>
                <w:color w:val="000000"/>
              </w:rPr>
            </w:pPr>
            <w:r w:rsidRPr="001972F0">
              <w:rPr>
                <w:i/>
                <w:iCs/>
                <w:color w:val="000000"/>
              </w:rPr>
              <w:t>R -Squared.                                                      0.982</w:t>
            </w:r>
          </w:p>
          <w:p w:rsidR="00D41071" w:rsidRPr="001972F0" w:rsidRDefault="00D41071" w:rsidP="00160038">
            <w:pPr>
              <w:autoSpaceDE w:val="0"/>
              <w:autoSpaceDN w:val="0"/>
              <w:adjustRightInd w:val="0"/>
              <w:spacing w:before="240" w:after="120"/>
              <w:ind w:left="709"/>
              <w:jc w:val="both"/>
              <w:rPr>
                <w:i/>
                <w:iCs/>
                <w:color w:val="000000"/>
              </w:rPr>
            </w:pPr>
            <w:r w:rsidRPr="001972F0">
              <w:rPr>
                <w:i/>
                <w:iCs/>
                <w:color w:val="000000"/>
              </w:rPr>
              <w:t>Adjusted R-Square.                                          0.934</w:t>
            </w:r>
          </w:p>
          <w:p w:rsidR="00D41071" w:rsidRPr="001972F0" w:rsidRDefault="00D41071" w:rsidP="00160038">
            <w:pPr>
              <w:autoSpaceDE w:val="0"/>
              <w:autoSpaceDN w:val="0"/>
              <w:adjustRightInd w:val="0"/>
              <w:spacing w:before="240" w:after="120"/>
              <w:ind w:left="709"/>
              <w:jc w:val="both"/>
              <w:rPr>
                <w:i/>
                <w:iCs/>
                <w:color w:val="000000"/>
              </w:rPr>
            </w:pPr>
            <w:r w:rsidRPr="001972F0">
              <w:rPr>
                <w:i/>
                <w:iCs/>
                <w:color w:val="000000"/>
              </w:rPr>
              <w:t>DW Statistics.                                                 2.316</w:t>
            </w:r>
          </w:p>
          <w:p w:rsidR="00D41071" w:rsidRPr="001972F0" w:rsidRDefault="00D41071" w:rsidP="00160038">
            <w:pPr>
              <w:autoSpaceDE w:val="0"/>
              <w:autoSpaceDN w:val="0"/>
              <w:adjustRightInd w:val="0"/>
              <w:spacing w:before="240" w:after="120"/>
              <w:ind w:left="709"/>
              <w:jc w:val="both"/>
              <w:rPr>
                <w:i/>
                <w:iCs/>
                <w:color w:val="000000"/>
              </w:rPr>
            </w:pPr>
            <w:r w:rsidRPr="001972F0">
              <w:rPr>
                <w:i/>
                <w:iCs/>
                <w:color w:val="000000"/>
              </w:rPr>
              <w:t>Normality test                                                    0.658</w:t>
            </w:r>
          </w:p>
          <w:p w:rsidR="00D41071" w:rsidRPr="001972F0" w:rsidRDefault="00D41071" w:rsidP="00160038">
            <w:pPr>
              <w:autoSpaceDE w:val="0"/>
              <w:autoSpaceDN w:val="0"/>
              <w:adjustRightInd w:val="0"/>
              <w:spacing w:before="240" w:after="120"/>
              <w:ind w:left="709"/>
              <w:jc w:val="both"/>
              <w:rPr>
                <w:i/>
                <w:iCs/>
                <w:color w:val="000000"/>
              </w:rPr>
            </w:pPr>
            <w:r w:rsidRPr="001972F0">
              <w:rPr>
                <w:i/>
                <w:iCs/>
                <w:color w:val="000000"/>
              </w:rPr>
              <w:t>Breusch-Pagan-Godfrey (Heteroskedasticity).   0.664</w:t>
            </w:r>
          </w:p>
          <w:p w:rsidR="00D41071" w:rsidRPr="001972F0" w:rsidRDefault="00D41071" w:rsidP="00160038">
            <w:pPr>
              <w:autoSpaceDE w:val="0"/>
              <w:autoSpaceDN w:val="0"/>
              <w:adjustRightInd w:val="0"/>
              <w:spacing w:before="240" w:after="120"/>
              <w:ind w:left="709"/>
              <w:jc w:val="both"/>
              <w:rPr>
                <w:i/>
                <w:iCs/>
                <w:color w:val="000000"/>
              </w:rPr>
            </w:pPr>
            <w:r w:rsidRPr="001972F0">
              <w:rPr>
                <w:i/>
                <w:iCs/>
                <w:color w:val="000000"/>
              </w:rPr>
              <w:t>Breusch-Godfrey (Serial Correlation)             0.153</w:t>
            </w:r>
          </w:p>
          <w:p w:rsidR="00D41071" w:rsidRPr="001972F0" w:rsidRDefault="00D41071" w:rsidP="00160038">
            <w:pPr>
              <w:autoSpaceDE w:val="0"/>
              <w:autoSpaceDN w:val="0"/>
              <w:adjustRightInd w:val="0"/>
              <w:spacing w:before="240" w:after="120"/>
              <w:ind w:left="709"/>
              <w:jc w:val="both"/>
              <w:rPr>
                <w:i/>
                <w:iCs/>
                <w:color w:val="000000"/>
              </w:rPr>
            </w:pPr>
          </w:p>
        </w:tc>
      </w:tr>
    </w:tbl>
    <w:p w:rsidR="00D41071" w:rsidRDefault="00D41071" w:rsidP="00D41071">
      <w:pPr>
        <w:pStyle w:val="NormalWeb"/>
        <w:spacing w:after="120" w:afterAutospacing="0"/>
        <w:ind w:left="709"/>
        <w:jc w:val="both"/>
        <w:rPr>
          <w:color w:val="000000"/>
        </w:rPr>
      </w:pPr>
      <w:r>
        <w:rPr>
          <w:color w:val="000000"/>
        </w:rPr>
        <w:t>Source: Author’s Computation (2021)</w:t>
      </w:r>
    </w:p>
    <w:p w:rsidR="00D41071" w:rsidRPr="001972F0" w:rsidRDefault="00D41071" w:rsidP="00D41071">
      <w:pPr>
        <w:autoSpaceDE w:val="0"/>
        <w:autoSpaceDN w:val="0"/>
        <w:adjustRightInd w:val="0"/>
        <w:spacing w:before="240" w:after="120"/>
        <w:ind w:left="709"/>
        <w:jc w:val="both"/>
        <w:rPr>
          <w:color w:val="000000"/>
        </w:rPr>
      </w:pPr>
      <w:r w:rsidRPr="001972F0">
        <w:rPr>
          <w:color w:val="000000"/>
        </w:rPr>
        <w:t>Note: *, ** and ***indicate probability value at 1%, 5% and 10% respectively.</w:t>
      </w:r>
    </w:p>
    <w:p w:rsidR="00D41071" w:rsidRDefault="00D41071" w:rsidP="00D41071">
      <w:pPr>
        <w:pStyle w:val="NormalWeb"/>
        <w:spacing w:after="120" w:afterAutospacing="0"/>
        <w:ind w:left="709"/>
        <w:jc w:val="both"/>
        <w:rPr>
          <w:color w:val="000000"/>
        </w:rPr>
      </w:pPr>
      <w:r w:rsidRPr="001972F0">
        <w:rPr>
          <w:color w:val="000000"/>
        </w:rPr>
        <w:t>The long run estimate reveals that per capita income</w:t>
      </w:r>
      <w:r>
        <w:rPr>
          <w:color w:val="000000"/>
        </w:rPr>
        <w:t xml:space="preserve"> influences ecological deficit negatively and significantly</w:t>
      </w:r>
      <w:r w:rsidRPr="001972F0">
        <w:rPr>
          <w:color w:val="000000"/>
        </w:rPr>
        <w:t xml:space="preserve">. This means that a percentage increase in per capita income will reduce ecological deficit by 0.003 units. </w:t>
      </w:r>
      <w:r>
        <w:rPr>
          <w:color w:val="000000"/>
        </w:rPr>
        <w:t>Similarly, i</w:t>
      </w:r>
      <w:r w:rsidRPr="001972F0">
        <w:rPr>
          <w:color w:val="000000"/>
        </w:rPr>
        <w:t xml:space="preserve">n the long run, active working population has a positive and significant effect on ecological deficit at 1 percent. A percentage increase in active working population will therefore increase ecological deficit by 0.019 units. This conforms with a-priori expectation as it is assumed that an increase in working population will increase consumption and demand on the environment. </w:t>
      </w:r>
    </w:p>
    <w:p w:rsidR="00D41071" w:rsidRPr="001972F0" w:rsidRDefault="00D41071" w:rsidP="00D41071">
      <w:pPr>
        <w:pStyle w:val="NormalWeb"/>
        <w:spacing w:after="120" w:afterAutospacing="0"/>
        <w:ind w:left="709"/>
        <w:jc w:val="both"/>
        <w:rPr>
          <w:color w:val="000000"/>
        </w:rPr>
      </w:pPr>
      <w:r w:rsidRPr="001972F0">
        <w:rPr>
          <w:color w:val="000000"/>
        </w:rPr>
        <w:t>Urban population growth has a negative relationship with ecological deficit at 1 percent. A percentage increase in urban population growth rate will reduce ecological deficit by 0.0038 units. Energy use has a negatively significant relationship with ecological deficit at 5 percent as a percentage increase in energy consumption will reduce ecological deficit by 0.008 units. In the same vein, financial development has a negative and significant relationship with ecological deficit at 5 percent as a percentage increase in financial development will reduce ecological deficit by 0.001 units.</w:t>
      </w:r>
    </w:p>
    <w:p w:rsidR="00D41071" w:rsidRPr="001972F0" w:rsidRDefault="00D41071" w:rsidP="00D41071">
      <w:pPr>
        <w:autoSpaceDE w:val="0"/>
        <w:autoSpaceDN w:val="0"/>
        <w:adjustRightInd w:val="0"/>
        <w:spacing w:before="240" w:after="120"/>
        <w:ind w:left="709"/>
        <w:jc w:val="both"/>
        <w:rPr>
          <w:color w:val="000000"/>
        </w:rPr>
      </w:pPr>
      <w:r w:rsidRPr="001972F0">
        <w:rPr>
          <w:color w:val="000000"/>
        </w:rPr>
        <w:t>Short run analysis show that per capita income has a positive</w:t>
      </w:r>
      <w:r>
        <w:rPr>
          <w:color w:val="000000"/>
        </w:rPr>
        <w:t xml:space="preserve"> </w:t>
      </w:r>
      <w:r w:rsidRPr="001972F0">
        <w:rPr>
          <w:color w:val="000000"/>
        </w:rPr>
        <w:t xml:space="preserve">relationship with ecological deficit at 10 percent. </w:t>
      </w:r>
      <w:r>
        <w:rPr>
          <w:color w:val="000000"/>
        </w:rPr>
        <w:t>A percentage increase in GDP per capita</w:t>
      </w:r>
      <w:r w:rsidRPr="001972F0">
        <w:rPr>
          <w:color w:val="000000"/>
        </w:rPr>
        <w:t xml:space="preserve"> will</w:t>
      </w:r>
      <w:r>
        <w:rPr>
          <w:color w:val="000000"/>
        </w:rPr>
        <w:t xml:space="preserve"> therefore</w:t>
      </w:r>
      <w:r w:rsidRPr="001972F0">
        <w:rPr>
          <w:color w:val="000000"/>
        </w:rPr>
        <w:t xml:space="preserve"> increase ecological deficit by 0.001 units. This conforms with long run results and a-priori expectation. Similarly, active working population positively determines ecological deficit at 10 percent with a percentage increase in active working population increasing ecological deficit by 0.06 units. This conforms with a-priori expectation and corroborates long run findings. Urban population growth rate has a significantly negative relationship with ecological deficit at 5 percent in the short run. A percentage increase in urban population growth rate in the short run will reduce ecological deficit by 0.001 units. Energy consumption has a negative and significant relationship with ecological deficit at 5 percent with a percentage increase in energy consumption, reducing ecological deficit by 0.002 units. Financial development positively determines </w:t>
      </w:r>
      <w:r w:rsidRPr="001972F0">
        <w:rPr>
          <w:color w:val="000000"/>
        </w:rPr>
        <w:lastRenderedPageBreak/>
        <w:t>ecological deficit at 1 percent significance level with a percentage increase in financial development increasing ecological deficit by 0.001 units.</w:t>
      </w:r>
    </w:p>
    <w:p w:rsidR="00D41071" w:rsidRPr="001972F0" w:rsidRDefault="00D41071" w:rsidP="00D41071">
      <w:pPr>
        <w:autoSpaceDE w:val="0"/>
        <w:autoSpaceDN w:val="0"/>
        <w:adjustRightInd w:val="0"/>
        <w:spacing w:before="240" w:after="120"/>
        <w:ind w:left="709"/>
        <w:jc w:val="both"/>
        <w:rPr>
          <w:rFonts w:ascii="TimesNewRomanPSMT" w:hAnsi="TimesNewRomanPSMT" w:cs="TimesNewRomanPSMT"/>
          <w:color w:val="000000"/>
        </w:rPr>
      </w:pPr>
      <w:r w:rsidRPr="001972F0">
        <w:rPr>
          <w:color w:val="000000"/>
        </w:rPr>
        <w:t>The speed of adjustment from short-run to long –run equilibrium given any shock in the model is about 168 percent</w:t>
      </w:r>
      <w:r>
        <w:rPr>
          <w:color w:val="000000"/>
        </w:rPr>
        <w:t xml:space="preserve"> given by the error correction term</w:t>
      </w:r>
      <w:r w:rsidRPr="001972F0">
        <w:rPr>
          <w:color w:val="000000"/>
        </w:rPr>
        <w:t xml:space="preserve">. To ensure the reliability of the results, some post-estimation diagnostic tests were done. Normality, heteroskedasticity and serial correlation test results show that the null hypotheses for all these tests could be rejected. This shows that the results are free from all these econometric problems. Similarly, </w:t>
      </w:r>
      <w:r w:rsidRPr="001972F0">
        <w:rPr>
          <w:rFonts w:ascii="TimesNewRomanPSMT" w:hAnsi="TimesNewRomanPSMT" w:cs="TimesNewRomanPSMT"/>
          <w:color w:val="000000"/>
        </w:rPr>
        <w:t xml:space="preserve">cumulative sum (CUSUM) and cumulative sum of squares (CUSUMSQ) tests for stability of the model </w:t>
      </w:r>
      <w:r>
        <w:rPr>
          <w:rFonts w:ascii="TimesNewRomanPSMT" w:hAnsi="TimesNewRomanPSMT" w:cs="TimesNewRomanPSMT"/>
          <w:color w:val="000000"/>
        </w:rPr>
        <w:t>are reported</w:t>
      </w:r>
      <w:r w:rsidRPr="001972F0">
        <w:rPr>
          <w:rFonts w:ascii="TimesNewRomanPSMT" w:hAnsi="TimesNewRomanPSMT" w:cs="TimesNewRomanPSMT"/>
          <w:color w:val="000000"/>
        </w:rPr>
        <w:t xml:space="preserve">. </w:t>
      </w:r>
    </w:p>
    <w:p w:rsidR="00D41071" w:rsidRPr="001972F0" w:rsidRDefault="00D41071" w:rsidP="00D41071">
      <w:pPr>
        <w:autoSpaceDE w:val="0"/>
        <w:autoSpaceDN w:val="0"/>
        <w:adjustRightInd w:val="0"/>
        <w:spacing w:before="240" w:after="120"/>
        <w:ind w:left="709"/>
        <w:jc w:val="both"/>
        <w:rPr>
          <w:color w:val="000000"/>
        </w:rPr>
      </w:pPr>
      <w:r w:rsidRPr="001972F0">
        <w:rPr>
          <w:noProof/>
          <w:color w:val="000000"/>
        </w:rPr>
        <w:drawing>
          <wp:inline distT="0" distB="0" distL="0" distR="0" wp14:anchorId="34BC06AB" wp14:editId="2C58A20B">
            <wp:extent cx="4813935" cy="3021330"/>
            <wp:effectExtent l="0" t="0" r="0" b="0"/>
            <wp:docPr id="5"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3935" cy="3021330"/>
                    </a:xfrm>
                    <a:prstGeom prst="rect">
                      <a:avLst/>
                    </a:prstGeom>
                    <a:noFill/>
                    <a:ln>
                      <a:noFill/>
                    </a:ln>
                  </pic:spPr>
                </pic:pic>
              </a:graphicData>
            </a:graphic>
          </wp:inline>
        </w:drawing>
      </w:r>
    </w:p>
    <w:p w:rsidR="00D41071" w:rsidRDefault="00D41071" w:rsidP="00D41071">
      <w:pPr>
        <w:pStyle w:val="NormalWeb"/>
        <w:spacing w:after="120" w:afterAutospacing="0"/>
        <w:ind w:left="709"/>
        <w:jc w:val="both"/>
        <w:rPr>
          <w:color w:val="000000"/>
        </w:rPr>
      </w:pPr>
      <w:r>
        <w:rPr>
          <w:color w:val="000000"/>
        </w:rPr>
        <w:t>Source: Author’s Computation (2021)</w:t>
      </w:r>
    </w:p>
    <w:p w:rsidR="00D41071" w:rsidRPr="00E329C5" w:rsidRDefault="00D41071" w:rsidP="00D41071">
      <w:pPr>
        <w:autoSpaceDE w:val="0"/>
        <w:autoSpaceDN w:val="0"/>
        <w:adjustRightInd w:val="0"/>
        <w:spacing w:before="240" w:after="120"/>
        <w:ind w:left="709"/>
        <w:jc w:val="both"/>
        <w:rPr>
          <w:b/>
          <w:color w:val="000000"/>
        </w:rPr>
      </w:pPr>
      <w:r w:rsidRPr="00E329C5">
        <w:rPr>
          <w:b/>
          <w:color w:val="000000"/>
        </w:rPr>
        <w:t>Figure 1</w:t>
      </w:r>
      <w:r>
        <w:rPr>
          <w:b/>
          <w:color w:val="000000"/>
        </w:rPr>
        <w:t>.</w:t>
      </w:r>
      <w:r w:rsidRPr="00E329C5">
        <w:rPr>
          <w:b/>
          <w:color w:val="000000"/>
        </w:rPr>
        <w:t xml:space="preserve"> CUSUM of Squares Test</w:t>
      </w:r>
    </w:p>
    <w:p w:rsidR="00D41071" w:rsidRPr="001972F0" w:rsidRDefault="00D41071" w:rsidP="00D41071">
      <w:pPr>
        <w:autoSpaceDE w:val="0"/>
        <w:autoSpaceDN w:val="0"/>
        <w:adjustRightInd w:val="0"/>
        <w:spacing w:before="240" w:after="120"/>
        <w:ind w:left="709"/>
        <w:jc w:val="both"/>
        <w:rPr>
          <w:color w:val="000000"/>
        </w:rPr>
      </w:pPr>
    </w:p>
    <w:p w:rsidR="00D41071" w:rsidRPr="001972F0" w:rsidRDefault="00D41071" w:rsidP="00D41071">
      <w:pPr>
        <w:autoSpaceDE w:val="0"/>
        <w:autoSpaceDN w:val="0"/>
        <w:adjustRightInd w:val="0"/>
        <w:spacing w:before="240" w:after="120"/>
        <w:ind w:left="709"/>
        <w:jc w:val="both"/>
        <w:rPr>
          <w:color w:val="000000"/>
        </w:rPr>
      </w:pPr>
      <w:r w:rsidRPr="001972F0">
        <w:rPr>
          <w:noProof/>
          <w:color w:val="000000"/>
        </w:rPr>
        <w:lastRenderedPageBreak/>
        <w:drawing>
          <wp:inline distT="0" distB="0" distL="0" distR="0" wp14:anchorId="5F4D4441" wp14:editId="32405DA9">
            <wp:extent cx="4894580" cy="3012440"/>
            <wp:effectExtent l="0" t="0" r="0" b="0"/>
            <wp:docPr id="6"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94580" cy="3012440"/>
                    </a:xfrm>
                    <a:prstGeom prst="rect">
                      <a:avLst/>
                    </a:prstGeom>
                    <a:noFill/>
                    <a:ln>
                      <a:noFill/>
                    </a:ln>
                  </pic:spPr>
                </pic:pic>
              </a:graphicData>
            </a:graphic>
          </wp:inline>
        </w:drawing>
      </w:r>
    </w:p>
    <w:p w:rsidR="00D41071" w:rsidRDefault="00D41071" w:rsidP="00D41071">
      <w:pPr>
        <w:pStyle w:val="NormalWeb"/>
        <w:spacing w:after="120" w:afterAutospacing="0"/>
        <w:ind w:left="709"/>
        <w:jc w:val="both"/>
        <w:rPr>
          <w:color w:val="000000"/>
        </w:rPr>
      </w:pPr>
      <w:r>
        <w:rPr>
          <w:color w:val="000000"/>
        </w:rPr>
        <w:t>Source: Author’s Computation (2021)</w:t>
      </w:r>
    </w:p>
    <w:p w:rsidR="00D41071" w:rsidRPr="00E329C5" w:rsidRDefault="00D41071" w:rsidP="00D41071">
      <w:pPr>
        <w:autoSpaceDE w:val="0"/>
        <w:autoSpaceDN w:val="0"/>
        <w:adjustRightInd w:val="0"/>
        <w:spacing w:before="240" w:after="120"/>
        <w:ind w:left="709"/>
        <w:jc w:val="both"/>
        <w:rPr>
          <w:b/>
          <w:color w:val="000000"/>
        </w:rPr>
      </w:pPr>
      <w:r w:rsidRPr="00E329C5">
        <w:rPr>
          <w:b/>
          <w:color w:val="000000"/>
        </w:rPr>
        <w:t>Figure 2</w:t>
      </w:r>
      <w:r>
        <w:rPr>
          <w:b/>
          <w:color w:val="000000"/>
        </w:rPr>
        <w:t>.</w:t>
      </w:r>
      <w:r w:rsidRPr="00E329C5">
        <w:rPr>
          <w:b/>
          <w:color w:val="000000"/>
        </w:rPr>
        <w:t xml:space="preserve"> CUSUM Test</w:t>
      </w:r>
    </w:p>
    <w:p w:rsidR="00D41071" w:rsidRPr="001972F0" w:rsidRDefault="00D41071" w:rsidP="00D41071">
      <w:pPr>
        <w:pStyle w:val="NormalWeb"/>
        <w:spacing w:after="120" w:afterAutospacing="0"/>
        <w:ind w:left="709"/>
        <w:jc w:val="both"/>
        <w:rPr>
          <w:rFonts w:ascii="TimesNewRomanPSMT" w:hAnsi="TimesNewRomanPSMT" w:cs="TimesNewRomanPSMT"/>
          <w:color w:val="000000"/>
        </w:rPr>
      </w:pPr>
      <w:r w:rsidRPr="001972F0">
        <w:rPr>
          <w:rFonts w:ascii="TimesNewRomanPSMT" w:hAnsi="TimesNewRomanPSMT" w:cs="TimesNewRomanPSMT"/>
          <w:color w:val="000000"/>
        </w:rPr>
        <w:t>Results illustrated in Figures 1 and 2 show that the model is stable as the residuals are within the critical bounds at 5% significance.</w:t>
      </w:r>
    </w:p>
    <w:p w:rsidR="00D41071" w:rsidRPr="00875649" w:rsidRDefault="00D41071" w:rsidP="00D41071">
      <w:pPr>
        <w:pStyle w:val="NormalWeb"/>
        <w:numPr>
          <w:ilvl w:val="1"/>
          <w:numId w:val="2"/>
        </w:numPr>
        <w:spacing w:after="120" w:afterAutospacing="0"/>
        <w:ind w:left="709"/>
        <w:jc w:val="both"/>
        <w:rPr>
          <w:b/>
          <w:color w:val="000000"/>
        </w:rPr>
      </w:pPr>
      <w:r w:rsidRPr="00875649">
        <w:rPr>
          <w:b/>
          <w:color w:val="000000"/>
        </w:rPr>
        <w:t>Robustness Check</w:t>
      </w:r>
    </w:p>
    <w:p w:rsidR="00D41071" w:rsidRPr="001972F0" w:rsidRDefault="00D41071" w:rsidP="00D41071">
      <w:pPr>
        <w:pStyle w:val="NormalWeb"/>
        <w:spacing w:after="120" w:afterAutospacing="0"/>
        <w:ind w:left="709"/>
        <w:jc w:val="both"/>
        <w:rPr>
          <w:color w:val="000000"/>
        </w:rPr>
      </w:pPr>
      <w:r w:rsidRPr="001972F0">
        <w:rPr>
          <w:color w:val="000000"/>
        </w:rPr>
        <w:t>To validate the long run ARDL result, DOLS and FMOL</w:t>
      </w:r>
      <w:r>
        <w:rPr>
          <w:color w:val="000000"/>
        </w:rPr>
        <w:t>S</w:t>
      </w:r>
      <w:r w:rsidRPr="001972F0">
        <w:rPr>
          <w:color w:val="000000"/>
        </w:rPr>
        <w:t xml:space="preserve"> results are presented below. </w:t>
      </w:r>
    </w:p>
    <w:p w:rsidR="00D41071" w:rsidRPr="0046702F" w:rsidRDefault="00D41071" w:rsidP="00D41071">
      <w:pPr>
        <w:pStyle w:val="NormalWeb"/>
        <w:spacing w:after="120" w:afterAutospacing="0"/>
        <w:ind w:left="709"/>
        <w:jc w:val="both"/>
        <w:rPr>
          <w:b/>
          <w:color w:val="000000"/>
        </w:rPr>
      </w:pPr>
      <w:r w:rsidRPr="0046702F">
        <w:rPr>
          <w:b/>
          <w:color w:val="000000"/>
        </w:rPr>
        <w:t>Table 5</w:t>
      </w:r>
      <w:r>
        <w:rPr>
          <w:b/>
          <w:color w:val="000000"/>
        </w:rPr>
        <w:t>.</w:t>
      </w:r>
      <w:r w:rsidRPr="0046702F">
        <w:rPr>
          <w:b/>
          <w:color w:val="000000"/>
        </w:rPr>
        <w:t xml:space="preserve"> FMOLS Results</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708"/>
        <w:gridCol w:w="1938"/>
        <w:gridCol w:w="1721"/>
        <w:gridCol w:w="1733"/>
        <w:gridCol w:w="1926"/>
      </w:tblGrid>
      <w:tr w:rsidR="00D41071" w:rsidRPr="001972F0" w:rsidTr="00160038">
        <w:tc>
          <w:tcPr>
            <w:tcW w:w="9242" w:type="dxa"/>
            <w:gridSpan w:val="5"/>
            <w:tcBorders>
              <w:top w:val="nil"/>
              <w:left w:val="nil"/>
              <w:bottom w:val="single" w:sz="4" w:space="0" w:color="8EAADB"/>
              <w:right w:val="nil"/>
            </w:tcBorders>
            <w:shd w:val="clear" w:color="auto" w:fill="FFFFFF"/>
          </w:tcPr>
          <w:p w:rsidR="00D41071" w:rsidRPr="001972F0" w:rsidRDefault="00D41071" w:rsidP="00160038">
            <w:pPr>
              <w:autoSpaceDE w:val="0"/>
              <w:autoSpaceDN w:val="0"/>
              <w:adjustRightInd w:val="0"/>
              <w:spacing w:before="240" w:after="120"/>
              <w:ind w:left="709"/>
              <w:jc w:val="both"/>
              <w:rPr>
                <w:b/>
                <w:bCs/>
                <w:i/>
                <w:iCs/>
                <w:color w:val="000000"/>
              </w:rPr>
            </w:pPr>
            <w:r w:rsidRPr="001972F0">
              <w:rPr>
                <w:b/>
                <w:bCs/>
                <w:i/>
                <w:iCs/>
                <w:color w:val="000000"/>
              </w:rPr>
              <w:t>Dependent Variable: LNEST</w:t>
            </w:r>
          </w:p>
        </w:tc>
      </w:tr>
      <w:tr w:rsidR="00D41071" w:rsidRPr="001972F0" w:rsidTr="00160038">
        <w:tc>
          <w:tcPr>
            <w:tcW w:w="1748" w:type="dxa"/>
            <w:tcBorders>
              <w:left w:val="nil"/>
              <w:bottom w:val="nil"/>
            </w:tcBorders>
            <w:shd w:val="clear" w:color="auto" w:fill="FFFFFF"/>
          </w:tcPr>
          <w:p w:rsidR="00D41071" w:rsidRPr="001972F0" w:rsidRDefault="00D41071" w:rsidP="00160038">
            <w:pPr>
              <w:autoSpaceDE w:val="0"/>
              <w:autoSpaceDN w:val="0"/>
              <w:adjustRightInd w:val="0"/>
              <w:spacing w:before="240" w:after="120"/>
              <w:ind w:left="709"/>
              <w:jc w:val="both"/>
              <w:rPr>
                <w:bCs/>
                <w:i/>
                <w:iCs/>
                <w:color w:val="000000"/>
              </w:rPr>
            </w:pPr>
            <w:r w:rsidRPr="001972F0">
              <w:rPr>
                <w:bCs/>
                <w:i/>
                <w:iCs/>
                <w:color w:val="000000"/>
              </w:rPr>
              <w:t>Variable</w:t>
            </w:r>
          </w:p>
        </w:tc>
        <w:tc>
          <w:tcPr>
            <w:tcW w:w="1985"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Coefficient</w:t>
            </w:r>
          </w:p>
        </w:tc>
        <w:tc>
          <w:tcPr>
            <w:tcW w:w="1762"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Standard Error</w:t>
            </w:r>
          </w:p>
        </w:tc>
        <w:tc>
          <w:tcPr>
            <w:tcW w:w="1775"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T-Statistics</w:t>
            </w:r>
          </w:p>
        </w:tc>
        <w:tc>
          <w:tcPr>
            <w:tcW w:w="1972"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Probability</w:t>
            </w:r>
          </w:p>
        </w:tc>
      </w:tr>
      <w:tr w:rsidR="00D41071" w:rsidRPr="001972F0" w:rsidTr="00160038">
        <w:tc>
          <w:tcPr>
            <w:tcW w:w="1748" w:type="dxa"/>
            <w:tcBorders>
              <w:left w:val="nil"/>
              <w:bottom w:val="nil"/>
            </w:tcBorders>
            <w:shd w:val="clear" w:color="auto" w:fill="FFFFFF"/>
          </w:tcPr>
          <w:p w:rsidR="00D41071" w:rsidRPr="001972F0" w:rsidRDefault="00D41071" w:rsidP="00160038">
            <w:pPr>
              <w:autoSpaceDE w:val="0"/>
              <w:autoSpaceDN w:val="0"/>
              <w:adjustRightInd w:val="0"/>
              <w:spacing w:before="240" w:after="120"/>
              <w:ind w:left="709"/>
              <w:jc w:val="both"/>
              <w:rPr>
                <w:b/>
                <w:bCs/>
                <w:i/>
                <w:iCs/>
                <w:color w:val="000000"/>
              </w:rPr>
            </w:pPr>
            <w:r w:rsidRPr="001972F0">
              <w:rPr>
                <w:b/>
                <w:bCs/>
                <w:i/>
                <w:iCs/>
                <w:color w:val="000000"/>
              </w:rPr>
              <w:t>LNGDP</w:t>
            </w:r>
          </w:p>
        </w:tc>
        <w:tc>
          <w:tcPr>
            <w:tcW w:w="1985"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-0.235</w:t>
            </w:r>
          </w:p>
        </w:tc>
        <w:tc>
          <w:tcPr>
            <w:tcW w:w="1762"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0.020</w:t>
            </w:r>
          </w:p>
        </w:tc>
        <w:tc>
          <w:tcPr>
            <w:tcW w:w="1775"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-11.660</w:t>
            </w:r>
          </w:p>
        </w:tc>
        <w:tc>
          <w:tcPr>
            <w:tcW w:w="1972"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0.000*</w:t>
            </w:r>
          </w:p>
        </w:tc>
      </w:tr>
      <w:tr w:rsidR="00D41071" w:rsidRPr="001972F0" w:rsidTr="00160038">
        <w:tc>
          <w:tcPr>
            <w:tcW w:w="1748" w:type="dxa"/>
            <w:tcBorders>
              <w:left w:val="nil"/>
              <w:bottom w:val="nil"/>
            </w:tcBorders>
            <w:shd w:val="clear" w:color="auto" w:fill="FFFFFF"/>
          </w:tcPr>
          <w:p w:rsidR="00D41071" w:rsidRPr="001972F0" w:rsidRDefault="00D41071" w:rsidP="00160038">
            <w:pPr>
              <w:autoSpaceDE w:val="0"/>
              <w:autoSpaceDN w:val="0"/>
              <w:adjustRightInd w:val="0"/>
              <w:spacing w:before="240" w:after="120"/>
              <w:ind w:left="709"/>
              <w:jc w:val="both"/>
              <w:rPr>
                <w:b/>
                <w:bCs/>
                <w:i/>
                <w:iCs/>
                <w:color w:val="000000"/>
              </w:rPr>
            </w:pPr>
            <w:r w:rsidRPr="001972F0">
              <w:rPr>
                <w:b/>
                <w:bCs/>
                <w:i/>
                <w:iCs/>
                <w:color w:val="000000"/>
              </w:rPr>
              <w:t>LNWP</w:t>
            </w:r>
          </w:p>
        </w:tc>
        <w:tc>
          <w:tcPr>
            <w:tcW w:w="1985"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1.429</w:t>
            </w:r>
          </w:p>
        </w:tc>
        <w:tc>
          <w:tcPr>
            <w:tcW w:w="1762"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0.159</w:t>
            </w:r>
          </w:p>
        </w:tc>
        <w:tc>
          <w:tcPr>
            <w:tcW w:w="1775"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8.976</w:t>
            </w:r>
          </w:p>
        </w:tc>
        <w:tc>
          <w:tcPr>
            <w:tcW w:w="1972"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0.000*</w:t>
            </w:r>
          </w:p>
        </w:tc>
      </w:tr>
      <w:tr w:rsidR="00D41071" w:rsidRPr="001972F0" w:rsidTr="00160038">
        <w:tc>
          <w:tcPr>
            <w:tcW w:w="1748" w:type="dxa"/>
            <w:tcBorders>
              <w:left w:val="nil"/>
              <w:bottom w:val="nil"/>
            </w:tcBorders>
            <w:shd w:val="clear" w:color="auto" w:fill="FFFFFF"/>
          </w:tcPr>
          <w:p w:rsidR="00D41071" w:rsidRPr="001972F0" w:rsidRDefault="00D41071" w:rsidP="00160038">
            <w:pPr>
              <w:autoSpaceDE w:val="0"/>
              <w:autoSpaceDN w:val="0"/>
              <w:adjustRightInd w:val="0"/>
              <w:spacing w:before="240" w:after="120"/>
              <w:ind w:left="709"/>
              <w:jc w:val="both"/>
              <w:rPr>
                <w:b/>
                <w:bCs/>
                <w:i/>
                <w:iCs/>
                <w:color w:val="000000"/>
              </w:rPr>
            </w:pPr>
            <w:r w:rsidRPr="001972F0">
              <w:rPr>
                <w:b/>
                <w:bCs/>
                <w:i/>
                <w:iCs/>
                <w:color w:val="000000"/>
              </w:rPr>
              <w:t>LNUP</w:t>
            </w:r>
          </w:p>
        </w:tc>
        <w:tc>
          <w:tcPr>
            <w:tcW w:w="1985"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-0.456</w:t>
            </w:r>
          </w:p>
        </w:tc>
        <w:tc>
          <w:tcPr>
            <w:tcW w:w="1762"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0.064</w:t>
            </w:r>
          </w:p>
        </w:tc>
        <w:tc>
          <w:tcPr>
            <w:tcW w:w="1775"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-7.083</w:t>
            </w:r>
          </w:p>
        </w:tc>
        <w:tc>
          <w:tcPr>
            <w:tcW w:w="1972"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0.000*</w:t>
            </w:r>
          </w:p>
        </w:tc>
      </w:tr>
      <w:tr w:rsidR="00D41071" w:rsidRPr="001972F0" w:rsidTr="00160038">
        <w:tc>
          <w:tcPr>
            <w:tcW w:w="1748" w:type="dxa"/>
            <w:tcBorders>
              <w:left w:val="nil"/>
              <w:bottom w:val="nil"/>
            </w:tcBorders>
            <w:shd w:val="clear" w:color="auto" w:fill="FFFFFF"/>
          </w:tcPr>
          <w:p w:rsidR="00D41071" w:rsidRPr="001972F0" w:rsidRDefault="00D41071" w:rsidP="00160038">
            <w:pPr>
              <w:autoSpaceDE w:val="0"/>
              <w:autoSpaceDN w:val="0"/>
              <w:adjustRightInd w:val="0"/>
              <w:spacing w:before="240" w:after="120"/>
              <w:ind w:left="709"/>
              <w:jc w:val="both"/>
              <w:rPr>
                <w:b/>
                <w:bCs/>
                <w:i/>
                <w:iCs/>
                <w:color w:val="000000"/>
              </w:rPr>
            </w:pPr>
            <w:r w:rsidRPr="001972F0">
              <w:rPr>
                <w:b/>
                <w:bCs/>
                <w:i/>
                <w:iCs/>
                <w:color w:val="000000"/>
              </w:rPr>
              <w:t>LNE</w:t>
            </w:r>
          </w:p>
        </w:tc>
        <w:tc>
          <w:tcPr>
            <w:tcW w:w="1985"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-0.387</w:t>
            </w:r>
          </w:p>
        </w:tc>
        <w:tc>
          <w:tcPr>
            <w:tcW w:w="1762"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0.085</w:t>
            </w:r>
          </w:p>
        </w:tc>
        <w:tc>
          <w:tcPr>
            <w:tcW w:w="1775"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-4.509</w:t>
            </w:r>
          </w:p>
        </w:tc>
        <w:tc>
          <w:tcPr>
            <w:tcW w:w="1972"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0.000*</w:t>
            </w:r>
          </w:p>
        </w:tc>
      </w:tr>
      <w:tr w:rsidR="00D41071" w:rsidRPr="001972F0" w:rsidTr="00160038">
        <w:tc>
          <w:tcPr>
            <w:tcW w:w="1748" w:type="dxa"/>
            <w:tcBorders>
              <w:left w:val="nil"/>
              <w:bottom w:val="nil"/>
            </w:tcBorders>
            <w:shd w:val="clear" w:color="auto" w:fill="FFFFFF"/>
          </w:tcPr>
          <w:p w:rsidR="00D41071" w:rsidRPr="001972F0" w:rsidRDefault="00D41071" w:rsidP="00160038">
            <w:pPr>
              <w:autoSpaceDE w:val="0"/>
              <w:autoSpaceDN w:val="0"/>
              <w:adjustRightInd w:val="0"/>
              <w:spacing w:before="240" w:after="120"/>
              <w:ind w:left="709"/>
              <w:jc w:val="both"/>
              <w:rPr>
                <w:b/>
                <w:bCs/>
                <w:i/>
                <w:iCs/>
                <w:color w:val="000000"/>
              </w:rPr>
            </w:pPr>
            <w:r w:rsidRPr="001972F0">
              <w:rPr>
                <w:b/>
                <w:bCs/>
                <w:i/>
                <w:iCs/>
                <w:color w:val="000000"/>
              </w:rPr>
              <w:t>LNFIN</w:t>
            </w:r>
          </w:p>
        </w:tc>
        <w:tc>
          <w:tcPr>
            <w:tcW w:w="1985"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-0.103</w:t>
            </w:r>
          </w:p>
        </w:tc>
        <w:tc>
          <w:tcPr>
            <w:tcW w:w="1762"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0.030</w:t>
            </w:r>
          </w:p>
        </w:tc>
        <w:tc>
          <w:tcPr>
            <w:tcW w:w="1775"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-3.425</w:t>
            </w:r>
          </w:p>
        </w:tc>
        <w:tc>
          <w:tcPr>
            <w:tcW w:w="1972"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0.001*</w:t>
            </w:r>
          </w:p>
        </w:tc>
      </w:tr>
      <w:tr w:rsidR="00D41071" w:rsidRPr="001972F0" w:rsidTr="00160038">
        <w:tc>
          <w:tcPr>
            <w:tcW w:w="1748" w:type="dxa"/>
            <w:tcBorders>
              <w:left w:val="nil"/>
              <w:bottom w:val="nil"/>
            </w:tcBorders>
            <w:shd w:val="clear" w:color="auto" w:fill="FFFFFF"/>
          </w:tcPr>
          <w:p w:rsidR="00D41071" w:rsidRPr="001972F0" w:rsidRDefault="00D41071" w:rsidP="00160038">
            <w:pPr>
              <w:autoSpaceDE w:val="0"/>
              <w:autoSpaceDN w:val="0"/>
              <w:adjustRightInd w:val="0"/>
              <w:spacing w:before="240" w:after="120"/>
              <w:ind w:left="709"/>
              <w:jc w:val="both"/>
              <w:rPr>
                <w:b/>
                <w:bCs/>
                <w:i/>
                <w:iCs/>
                <w:color w:val="000000"/>
                <w:highlight w:val="yellow"/>
              </w:rPr>
            </w:pPr>
            <w:r w:rsidRPr="001972F0">
              <w:rPr>
                <w:b/>
                <w:bCs/>
                <w:i/>
                <w:iCs/>
                <w:color w:val="000000"/>
              </w:rPr>
              <w:lastRenderedPageBreak/>
              <w:t>C</w:t>
            </w:r>
          </w:p>
        </w:tc>
        <w:tc>
          <w:tcPr>
            <w:tcW w:w="1985" w:type="dxa"/>
            <w:shd w:val="clear" w:color="auto" w:fill="auto"/>
          </w:tcPr>
          <w:p w:rsidR="00D41071" w:rsidRPr="001972F0" w:rsidRDefault="00D41071" w:rsidP="00160038">
            <w:pPr>
              <w:autoSpaceDE w:val="0"/>
              <w:autoSpaceDN w:val="0"/>
              <w:adjustRightInd w:val="0"/>
              <w:spacing w:before="240" w:after="120"/>
              <w:ind w:left="709"/>
              <w:jc w:val="both"/>
              <w:rPr>
                <w:color w:val="000000"/>
                <w:highlight w:val="yellow"/>
              </w:rPr>
            </w:pPr>
            <w:r w:rsidRPr="001972F0">
              <w:rPr>
                <w:color w:val="000000"/>
              </w:rPr>
              <w:t>-21.458</w:t>
            </w:r>
          </w:p>
        </w:tc>
        <w:tc>
          <w:tcPr>
            <w:tcW w:w="1762"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2.574</w:t>
            </w:r>
          </w:p>
        </w:tc>
        <w:tc>
          <w:tcPr>
            <w:tcW w:w="1775"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-8.336</w:t>
            </w:r>
          </w:p>
        </w:tc>
        <w:tc>
          <w:tcPr>
            <w:tcW w:w="1972"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0.000*</w:t>
            </w:r>
          </w:p>
        </w:tc>
      </w:tr>
    </w:tbl>
    <w:p w:rsidR="00D41071" w:rsidRDefault="00D41071" w:rsidP="00D41071">
      <w:pPr>
        <w:pStyle w:val="NormalWeb"/>
        <w:spacing w:after="120" w:afterAutospacing="0"/>
        <w:ind w:left="709"/>
        <w:jc w:val="both"/>
        <w:rPr>
          <w:color w:val="000000"/>
        </w:rPr>
      </w:pPr>
      <w:r>
        <w:rPr>
          <w:color w:val="000000"/>
        </w:rPr>
        <w:t>Source: Author’s Computation (2021)</w:t>
      </w:r>
    </w:p>
    <w:p w:rsidR="00D41071" w:rsidRPr="001972F0" w:rsidRDefault="00D41071" w:rsidP="00D41071">
      <w:pPr>
        <w:autoSpaceDE w:val="0"/>
        <w:autoSpaceDN w:val="0"/>
        <w:adjustRightInd w:val="0"/>
        <w:spacing w:before="240" w:after="120"/>
        <w:ind w:left="709"/>
        <w:jc w:val="both"/>
        <w:rPr>
          <w:color w:val="000000"/>
        </w:rPr>
      </w:pPr>
      <w:r w:rsidRPr="001972F0">
        <w:rPr>
          <w:color w:val="000000"/>
        </w:rPr>
        <w:t>Note: *, ** and ***indicate probability value at 1%, 5% and 10% respectively.</w:t>
      </w:r>
    </w:p>
    <w:p w:rsidR="00D41071" w:rsidRPr="001972F0" w:rsidRDefault="00D41071" w:rsidP="00D41071">
      <w:pPr>
        <w:pStyle w:val="NormalWeb"/>
        <w:spacing w:after="120" w:afterAutospacing="0"/>
        <w:ind w:left="709"/>
        <w:jc w:val="both"/>
        <w:rPr>
          <w:color w:val="000000"/>
        </w:rPr>
      </w:pPr>
      <w:r w:rsidRPr="001972F0">
        <w:rPr>
          <w:color w:val="000000"/>
        </w:rPr>
        <w:t>The DOLS result presented above conforms with the ARDL long run estimates. Per capita income, working population, urban population growth, energy consumption and financial development have negative relationship with ecological deficit and are all statistically significant at 1 percent. Active working population on the other hand has a positive relationship with ecological deficit at 1 percent.</w:t>
      </w:r>
    </w:p>
    <w:p w:rsidR="00D41071" w:rsidRPr="0046702F" w:rsidRDefault="00D41071" w:rsidP="00D41071">
      <w:pPr>
        <w:pStyle w:val="NormalWeb"/>
        <w:spacing w:after="120" w:afterAutospacing="0"/>
        <w:ind w:left="709"/>
        <w:rPr>
          <w:b/>
          <w:color w:val="000000"/>
        </w:rPr>
      </w:pPr>
      <w:r w:rsidRPr="0046702F">
        <w:rPr>
          <w:b/>
          <w:color w:val="000000"/>
        </w:rPr>
        <w:t>Table 6</w:t>
      </w:r>
      <w:r>
        <w:rPr>
          <w:b/>
          <w:color w:val="000000"/>
        </w:rPr>
        <w:t>.</w:t>
      </w:r>
      <w:r w:rsidRPr="0046702F">
        <w:rPr>
          <w:b/>
          <w:color w:val="000000"/>
        </w:rPr>
        <w:t xml:space="preserve"> DOLS Results</w:t>
      </w: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708"/>
        <w:gridCol w:w="1938"/>
        <w:gridCol w:w="1721"/>
        <w:gridCol w:w="1733"/>
        <w:gridCol w:w="1926"/>
      </w:tblGrid>
      <w:tr w:rsidR="00D41071" w:rsidRPr="001972F0" w:rsidTr="00160038">
        <w:tc>
          <w:tcPr>
            <w:tcW w:w="9242" w:type="dxa"/>
            <w:gridSpan w:val="5"/>
            <w:tcBorders>
              <w:top w:val="nil"/>
              <w:left w:val="nil"/>
              <w:bottom w:val="single" w:sz="4" w:space="0" w:color="8EAADB"/>
              <w:right w:val="nil"/>
            </w:tcBorders>
            <w:shd w:val="clear" w:color="auto" w:fill="FFFFFF"/>
          </w:tcPr>
          <w:p w:rsidR="00D41071" w:rsidRPr="001972F0" w:rsidRDefault="00D41071" w:rsidP="00160038">
            <w:pPr>
              <w:autoSpaceDE w:val="0"/>
              <w:autoSpaceDN w:val="0"/>
              <w:adjustRightInd w:val="0"/>
              <w:spacing w:before="240" w:after="120"/>
              <w:ind w:left="709"/>
              <w:jc w:val="both"/>
              <w:rPr>
                <w:b/>
                <w:bCs/>
                <w:i/>
                <w:iCs/>
                <w:color w:val="000000"/>
              </w:rPr>
            </w:pPr>
            <w:r w:rsidRPr="001972F0">
              <w:rPr>
                <w:b/>
                <w:bCs/>
                <w:i/>
                <w:iCs/>
                <w:color w:val="000000"/>
              </w:rPr>
              <w:t>Dependent Variable: LNEST</w:t>
            </w:r>
          </w:p>
        </w:tc>
      </w:tr>
      <w:tr w:rsidR="00D41071" w:rsidRPr="001972F0" w:rsidTr="00160038">
        <w:tc>
          <w:tcPr>
            <w:tcW w:w="1748" w:type="dxa"/>
            <w:tcBorders>
              <w:left w:val="nil"/>
              <w:bottom w:val="nil"/>
            </w:tcBorders>
            <w:shd w:val="clear" w:color="auto" w:fill="FFFFFF"/>
          </w:tcPr>
          <w:p w:rsidR="00D41071" w:rsidRPr="001972F0" w:rsidRDefault="00D41071" w:rsidP="00160038">
            <w:pPr>
              <w:autoSpaceDE w:val="0"/>
              <w:autoSpaceDN w:val="0"/>
              <w:adjustRightInd w:val="0"/>
              <w:spacing w:before="240" w:after="120"/>
              <w:ind w:left="709"/>
              <w:jc w:val="both"/>
              <w:rPr>
                <w:bCs/>
                <w:i/>
                <w:iCs/>
                <w:color w:val="000000"/>
              </w:rPr>
            </w:pPr>
            <w:r w:rsidRPr="001972F0">
              <w:rPr>
                <w:bCs/>
                <w:i/>
                <w:iCs/>
                <w:color w:val="000000"/>
              </w:rPr>
              <w:t>Variable</w:t>
            </w:r>
          </w:p>
        </w:tc>
        <w:tc>
          <w:tcPr>
            <w:tcW w:w="1985"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Coefficient</w:t>
            </w:r>
          </w:p>
        </w:tc>
        <w:tc>
          <w:tcPr>
            <w:tcW w:w="1762"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Standard Error</w:t>
            </w:r>
          </w:p>
        </w:tc>
        <w:tc>
          <w:tcPr>
            <w:tcW w:w="1775"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T-Statistics</w:t>
            </w:r>
          </w:p>
        </w:tc>
        <w:tc>
          <w:tcPr>
            <w:tcW w:w="1972"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Probability</w:t>
            </w:r>
          </w:p>
        </w:tc>
      </w:tr>
      <w:tr w:rsidR="00D41071" w:rsidRPr="001972F0" w:rsidTr="00160038">
        <w:tc>
          <w:tcPr>
            <w:tcW w:w="1748" w:type="dxa"/>
            <w:tcBorders>
              <w:left w:val="nil"/>
              <w:bottom w:val="nil"/>
            </w:tcBorders>
            <w:shd w:val="clear" w:color="auto" w:fill="FFFFFF"/>
          </w:tcPr>
          <w:p w:rsidR="00D41071" w:rsidRPr="001972F0" w:rsidRDefault="00D41071" w:rsidP="00160038">
            <w:pPr>
              <w:autoSpaceDE w:val="0"/>
              <w:autoSpaceDN w:val="0"/>
              <w:adjustRightInd w:val="0"/>
              <w:spacing w:before="240" w:after="120"/>
              <w:ind w:left="709"/>
              <w:jc w:val="both"/>
              <w:rPr>
                <w:b/>
                <w:bCs/>
                <w:i/>
                <w:iCs/>
                <w:color w:val="000000"/>
              </w:rPr>
            </w:pPr>
            <w:r w:rsidRPr="001972F0">
              <w:rPr>
                <w:b/>
                <w:bCs/>
                <w:i/>
                <w:iCs/>
                <w:color w:val="000000"/>
              </w:rPr>
              <w:t>LNGDP</w:t>
            </w:r>
          </w:p>
        </w:tc>
        <w:tc>
          <w:tcPr>
            <w:tcW w:w="1985"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-0.166</w:t>
            </w:r>
          </w:p>
        </w:tc>
        <w:tc>
          <w:tcPr>
            <w:tcW w:w="1762"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0.028</w:t>
            </w:r>
          </w:p>
        </w:tc>
        <w:tc>
          <w:tcPr>
            <w:tcW w:w="1775"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-5.878</w:t>
            </w:r>
          </w:p>
        </w:tc>
        <w:tc>
          <w:tcPr>
            <w:tcW w:w="1972"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0.000*</w:t>
            </w:r>
          </w:p>
        </w:tc>
      </w:tr>
      <w:tr w:rsidR="00D41071" w:rsidRPr="001972F0" w:rsidTr="00160038">
        <w:tc>
          <w:tcPr>
            <w:tcW w:w="1748" w:type="dxa"/>
            <w:tcBorders>
              <w:left w:val="nil"/>
              <w:bottom w:val="nil"/>
            </w:tcBorders>
            <w:shd w:val="clear" w:color="auto" w:fill="FFFFFF"/>
          </w:tcPr>
          <w:p w:rsidR="00D41071" w:rsidRPr="001972F0" w:rsidRDefault="00D41071" w:rsidP="00160038">
            <w:pPr>
              <w:autoSpaceDE w:val="0"/>
              <w:autoSpaceDN w:val="0"/>
              <w:adjustRightInd w:val="0"/>
              <w:spacing w:before="240" w:after="120"/>
              <w:ind w:left="709"/>
              <w:jc w:val="both"/>
              <w:rPr>
                <w:b/>
                <w:bCs/>
                <w:i/>
                <w:iCs/>
                <w:color w:val="000000"/>
              </w:rPr>
            </w:pPr>
            <w:r w:rsidRPr="001972F0">
              <w:rPr>
                <w:b/>
                <w:bCs/>
                <w:i/>
                <w:iCs/>
                <w:color w:val="000000"/>
              </w:rPr>
              <w:t>LNWP</w:t>
            </w:r>
          </w:p>
        </w:tc>
        <w:tc>
          <w:tcPr>
            <w:tcW w:w="1985"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0.795</w:t>
            </w:r>
          </w:p>
        </w:tc>
        <w:tc>
          <w:tcPr>
            <w:tcW w:w="1762"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0.233</w:t>
            </w:r>
          </w:p>
        </w:tc>
        <w:tc>
          <w:tcPr>
            <w:tcW w:w="1775"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3.410</w:t>
            </w:r>
          </w:p>
        </w:tc>
        <w:tc>
          <w:tcPr>
            <w:tcW w:w="1972"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0.004*</w:t>
            </w:r>
          </w:p>
        </w:tc>
      </w:tr>
      <w:tr w:rsidR="00D41071" w:rsidRPr="001972F0" w:rsidTr="00160038">
        <w:tc>
          <w:tcPr>
            <w:tcW w:w="1748" w:type="dxa"/>
            <w:tcBorders>
              <w:left w:val="nil"/>
              <w:bottom w:val="nil"/>
            </w:tcBorders>
            <w:shd w:val="clear" w:color="auto" w:fill="FFFFFF"/>
          </w:tcPr>
          <w:p w:rsidR="00D41071" w:rsidRPr="001972F0" w:rsidRDefault="00D41071" w:rsidP="00160038">
            <w:pPr>
              <w:autoSpaceDE w:val="0"/>
              <w:autoSpaceDN w:val="0"/>
              <w:adjustRightInd w:val="0"/>
              <w:spacing w:before="240" w:after="120"/>
              <w:ind w:left="709"/>
              <w:jc w:val="both"/>
              <w:rPr>
                <w:b/>
                <w:bCs/>
                <w:i/>
                <w:iCs/>
                <w:color w:val="000000"/>
              </w:rPr>
            </w:pPr>
            <w:r w:rsidRPr="001972F0">
              <w:rPr>
                <w:b/>
                <w:bCs/>
                <w:i/>
                <w:iCs/>
                <w:color w:val="000000"/>
              </w:rPr>
              <w:t>LNUP</w:t>
            </w:r>
          </w:p>
        </w:tc>
        <w:tc>
          <w:tcPr>
            <w:tcW w:w="1985"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-0.335</w:t>
            </w:r>
          </w:p>
        </w:tc>
        <w:tc>
          <w:tcPr>
            <w:tcW w:w="1762"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0.070</w:t>
            </w:r>
          </w:p>
        </w:tc>
        <w:tc>
          <w:tcPr>
            <w:tcW w:w="1775"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-4.769</w:t>
            </w:r>
          </w:p>
        </w:tc>
        <w:tc>
          <w:tcPr>
            <w:tcW w:w="1972"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0.000*</w:t>
            </w:r>
          </w:p>
        </w:tc>
      </w:tr>
      <w:tr w:rsidR="00D41071" w:rsidRPr="001972F0" w:rsidTr="00160038">
        <w:tc>
          <w:tcPr>
            <w:tcW w:w="1748" w:type="dxa"/>
            <w:tcBorders>
              <w:left w:val="nil"/>
              <w:bottom w:val="nil"/>
            </w:tcBorders>
            <w:shd w:val="clear" w:color="auto" w:fill="FFFFFF"/>
          </w:tcPr>
          <w:p w:rsidR="00D41071" w:rsidRPr="001972F0" w:rsidRDefault="00D41071" w:rsidP="00160038">
            <w:pPr>
              <w:autoSpaceDE w:val="0"/>
              <w:autoSpaceDN w:val="0"/>
              <w:adjustRightInd w:val="0"/>
              <w:spacing w:before="240" w:after="120"/>
              <w:ind w:left="709"/>
              <w:jc w:val="both"/>
              <w:rPr>
                <w:b/>
                <w:bCs/>
                <w:i/>
                <w:iCs/>
                <w:color w:val="000000"/>
              </w:rPr>
            </w:pPr>
            <w:r w:rsidRPr="001972F0">
              <w:rPr>
                <w:b/>
                <w:bCs/>
                <w:i/>
                <w:iCs/>
                <w:color w:val="000000"/>
              </w:rPr>
              <w:t>LNE</w:t>
            </w:r>
          </w:p>
        </w:tc>
        <w:tc>
          <w:tcPr>
            <w:tcW w:w="1985"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-0.133</w:t>
            </w:r>
          </w:p>
        </w:tc>
        <w:tc>
          <w:tcPr>
            <w:tcW w:w="1762"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0.167</w:t>
            </w:r>
          </w:p>
        </w:tc>
        <w:tc>
          <w:tcPr>
            <w:tcW w:w="1775"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-0.719</w:t>
            </w:r>
          </w:p>
        </w:tc>
        <w:tc>
          <w:tcPr>
            <w:tcW w:w="1972"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0.437</w:t>
            </w:r>
          </w:p>
        </w:tc>
      </w:tr>
      <w:tr w:rsidR="00D41071" w:rsidRPr="001972F0" w:rsidTr="00160038">
        <w:tc>
          <w:tcPr>
            <w:tcW w:w="1748" w:type="dxa"/>
            <w:tcBorders>
              <w:left w:val="nil"/>
              <w:bottom w:val="nil"/>
            </w:tcBorders>
            <w:shd w:val="clear" w:color="auto" w:fill="FFFFFF"/>
          </w:tcPr>
          <w:p w:rsidR="00D41071" w:rsidRPr="001972F0" w:rsidRDefault="00D41071" w:rsidP="00160038">
            <w:pPr>
              <w:autoSpaceDE w:val="0"/>
              <w:autoSpaceDN w:val="0"/>
              <w:adjustRightInd w:val="0"/>
              <w:spacing w:before="240" w:after="120"/>
              <w:ind w:left="709"/>
              <w:jc w:val="both"/>
              <w:rPr>
                <w:b/>
                <w:bCs/>
                <w:i/>
                <w:iCs/>
                <w:color w:val="000000"/>
              </w:rPr>
            </w:pPr>
            <w:r w:rsidRPr="001972F0">
              <w:rPr>
                <w:b/>
                <w:bCs/>
                <w:i/>
                <w:iCs/>
                <w:color w:val="000000"/>
              </w:rPr>
              <w:t>LNFIN</w:t>
            </w:r>
          </w:p>
        </w:tc>
        <w:tc>
          <w:tcPr>
            <w:tcW w:w="1985"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-0.013</w:t>
            </w:r>
          </w:p>
        </w:tc>
        <w:tc>
          <w:tcPr>
            <w:tcW w:w="1762"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0.038</w:t>
            </w:r>
          </w:p>
        </w:tc>
        <w:tc>
          <w:tcPr>
            <w:tcW w:w="1775"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-0.335</w:t>
            </w:r>
          </w:p>
        </w:tc>
        <w:tc>
          <w:tcPr>
            <w:tcW w:w="1972" w:type="dxa"/>
            <w:shd w:val="clear" w:color="auto" w:fill="D9E2F3"/>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0.742</w:t>
            </w:r>
          </w:p>
        </w:tc>
      </w:tr>
      <w:tr w:rsidR="00D41071" w:rsidRPr="001972F0" w:rsidTr="00160038">
        <w:tc>
          <w:tcPr>
            <w:tcW w:w="1748" w:type="dxa"/>
            <w:tcBorders>
              <w:left w:val="nil"/>
              <w:bottom w:val="nil"/>
            </w:tcBorders>
            <w:shd w:val="clear" w:color="auto" w:fill="FFFFFF"/>
          </w:tcPr>
          <w:p w:rsidR="00D41071" w:rsidRPr="001972F0" w:rsidRDefault="00D41071" w:rsidP="00160038">
            <w:pPr>
              <w:autoSpaceDE w:val="0"/>
              <w:autoSpaceDN w:val="0"/>
              <w:adjustRightInd w:val="0"/>
              <w:spacing w:before="240" w:after="120"/>
              <w:ind w:left="709"/>
              <w:jc w:val="both"/>
              <w:rPr>
                <w:b/>
                <w:bCs/>
                <w:i/>
                <w:iCs/>
                <w:color w:val="000000"/>
                <w:highlight w:val="yellow"/>
              </w:rPr>
            </w:pPr>
            <w:r w:rsidRPr="001972F0">
              <w:rPr>
                <w:b/>
                <w:bCs/>
                <w:i/>
                <w:iCs/>
                <w:color w:val="000000"/>
              </w:rPr>
              <w:t>C</w:t>
            </w:r>
          </w:p>
        </w:tc>
        <w:tc>
          <w:tcPr>
            <w:tcW w:w="1985" w:type="dxa"/>
            <w:shd w:val="clear" w:color="auto" w:fill="auto"/>
          </w:tcPr>
          <w:p w:rsidR="00D41071" w:rsidRPr="001972F0" w:rsidRDefault="00D41071" w:rsidP="00160038">
            <w:pPr>
              <w:autoSpaceDE w:val="0"/>
              <w:autoSpaceDN w:val="0"/>
              <w:adjustRightInd w:val="0"/>
              <w:spacing w:before="240" w:after="120"/>
              <w:ind w:left="709"/>
              <w:jc w:val="both"/>
              <w:rPr>
                <w:color w:val="000000"/>
                <w:highlight w:val="yellow"/>
              </w:rPr>
            </w:pPr>
            <w:r w:rsidRPr="001972F0">
              <w:rPr>
                <w:color w:val="000000"/>
              </w:rPr>
              <w:t>-12.383</w:t>
            </w:r>
          </w:p>
        </w:tc>
        <w:tc>
          <w:tcPr>
            <w:tcW w:w="1762"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3.389</w:t>
            </w:r>
          </w:p>
        </w:tc>
        <w:tc>
          <w:tcPr>
            <w:tcW w:w="1775"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-3.653</w:t>
            </w:r>
          </w:p>
        </w:tc>
        <w:tc>
          <w:tcPr>
            <w:tcW w:w="1972" w:type="dxa"/>
            <w:shd w:val="clear" w:color="auto" w:fill="auto"/>
          </w:tcPr>
          <w:p w:rsidR="00D41071" w:rsidRPr="001972F0" w:rsidRDefault="00D41071" w:rsidP="00160038">
            <w:pPr>
              <w:autoSpaceDE w:val="0"/>
              <w:autoSpaceDN w:val="0"/>
              <w:adjustRightInd w:val="0"/>
              <w:spacing w:before="240" w:after="120"/>
              <w:ind w:left="709"/>
              <w:jc w:val="both"/>
              <w:rPr>
                <w:color w:val="000000"/>
              </w:rPr>
            </w:pPr>
            <w:r w:rsidRPr="001972F0">
              <w:rPr>
                <w:color w:val="000000"/>
              </w:rPr>
              <w:t>0.002*</w:t>
            </w:r>
          </w:p>
        </w:tc>
      </w:tr>
    </w:tbl>
    <w:p w:rsidR="00D41071" w:rsidRDefault="00D41071" w:rsidP="00D41071">
      <w:pPr>
        <w:pStyle w:val="NormalWeb"/>
        <w:spacing w:after="120" w:afterAutospacing="0"/>
        <w:ind w:left="709"/>
        <w:jc w:val="both"/>
        <w:rPr>
          <w:color w:val="000000"/>
        </w:rPr>
      </w:pPr>
      <w:r>
        <w:rPr>
          <w:color w:val="000000"/>
        </w:rPr>
        <w:t>Source: Author’s Computation (2021)</w:t>
      </w:r>
    </w:p>
    <w:p w:rsidR="00D41071" w:rsidRPr="001972F0" w:rsidRDefault="00D41071" w:rsidP="00D41071">
      <w:pPr>
        <w:autoSpaceDE w:val="0"/>
        <w:autoSpaceDN w:val="0"/>
        <w:adjustRightInd w:val="0"/>
        <w:spacing w:before="240" w:after="120"/>
        <w:ind w:left="709"/>
        <w:jc w:val="both"/>
        <w:rPr>
          <w:color w:val="000000"/>
        </w:rPr>
      </w:pPr>
      <w:r w:rsidRPr="001972F0">
        <w:rPr>
          <w:color w:val="000000"/>
        </w:rPr>
        <w:t>Note: *, ** and ***indicate probability value at 1%, 5% and 10% respectively.</w:t>
      </w:r>
    </w:p>
    <w:p w:rsidR="00D41071" w:rsidRPr="001972F0" w:rsidRDefault="00D41071" w:rsidP="00D41071">
      <w:pPr>
        <w:autoSpaceDE w:val="0"/>
        <w:autoSpaceDN w:val="0"/>
        <w:adjustRightInd w:val="0"/>
        <w:spacing w:before="240" w:after="120"/>
        <w:ind w:left="709"/>
        <w:jc w:val="both"/>
        <w:rPr>
          <w:color w:val="000000"/>
        </w:rPr>
      </w:pPr>
      <w:r w:rsidRPr="001972F0">
        <w:rPr>
          <w:color w:val="000000"/>
        </w:rPr>
        <w:t>From this analysis, energy consumption and financial development do not significantly determine ecological deficit but have negative relationship with ecological deficit as indicated by the long run ARDL results. Per capita income</w:t>
      </w:r>
      <w:r>
        <w:rPr>
          <w:color w:val="000000"/>
        </w:rPr>
        <w:t xml:space="preserve"> and </w:t>
      </w:r>
      <w:r w:rsidRPr="001972F0">
        <w:rPr>
          <w:color w:val="000000"/>
        </w:rPr>
        <w:t>urban population growth, are seen to have negatively significant relationship with ecological deficit at 1 percent.</w:t>
      </w:r>
      <w:r>
        <w:rPr>
          <w:color w:val="000000"/>
        </w:rPr>
        <w:t xml:space="preserve"> Only </w:t>
      </w:r>
      <w:r w:rsidRPr="001972F0">
        <w:rPr>
          <w:color w:val="000000"/>
        </w:rPr>
        <w:t>active working population</w:t>
      </w:r>
      <w:r>
        <w:rPr>
          <w:color w:val="000000"/>
        </w:rPr>
        <w:t xml:space="preserve"> has a significantly positive effect on ecological deficit.</w:t>
      </w:r>
    </w:p>
    <w:p w:rsidR="00D41071" w:rsidRPr="001972F0" w:rsidRDefault="00D41071" w:rsidP="00D41071">
      <w:pPr>
        <w:pStyle w:val="NormalWeb"/>
        <w:numPr>
          <w:ilvl w:val="0"/>
          <w:numId w:val="2"/>
        </w:numPr>
        <w:spacing w:after="120" w:afterAutospacing="0"/>
        <w:ind w:left="709"/>
        <w:jc w:val="both"/>
        <w:rPr>
          <w:b/>
          <w:color w:val="000000"/>
        </w:rPr>
      </w:pPr>
      <w:r w:rsidRPr="001972F0">
        <w:rPr>
          <w:b/>
          <w:color w:val="000000"/>
        </w:rPr>
        <w:t>CONCLUSION AND POLICY RECOMMENDATION</w:t>
      </w:r>
    </w:p>
    <w:p w:rsidR="00D41071" w:rsidRPr="001972F0" w:rsidRDefault="00D41071" w:rsidP="00D41071">
      <w:pPr>
        <w:pStyle w:val="NormalWeb"/>
        <w:spacing w:after="120" w:afterAutospacing="0"/>
        <w:ind w:left="709"/>
        <w:jc w:val="both"/>
        <w:rPr>
          <w:color w:val="000000"/>
        </w:rPr>
      </w:pPr>
      <w:r w:rsidRPr="001972F0">
        <w:rPr>
          <w:color w:val="000000"/>
        </w:rPr>
        <w:lastRenderedPageBreak/>
        <w:t>The study analysed the effect of urban population growth on environmental unsustainability in Nigeria f</w:t>
      </w:r>
      <w:r>
        <w:rPr>
          <w:color w:val="000000"/>
        </w:rPr>
        <w:t>rom</w:t>
      </w:r>
      <w:r w:rsidRPr="001972F0">
        <w:rPr>
          <w:color w:val="000000"/>
        </w:rPr>
        <w:t xml:space="preserve"> 1981-2019 by employing the STIRPAT model within an ARDL estimation framework. Ecological deficit was used as a proxy for environmental unsustainability given that the nation’s EFP overshoots its biocapacity since the 1970s. Long run results were also validated with the DOLS and FMOLS estimation techniques. Long run results revealed that of all the variables employed, only active working age population has a positive effect on ecological deficit, thereby increasing the unsustainability of the Nigerian environment. Other variables like per capita income, urban population, energy consumption and financial development were seen to exert negative effects on ecological deficits against a-priori expectations. </w:t>
      </w:r>
    </w:p>
    <w:p w:rsidR="00D41071" w:rsidRPr="001972F0" w:rsidRDefault="00D41071" w:rsidP="00D41071">
      <w:pPr>
        <w:pStyle w:val="NormalWeb"/>
        <w:spacing w:after="120" w:afterAutospacing="0"/>
        <w:ind w:left="709"/>
        <w:jc w:val="both"/>
        <w:rPr>
          <w:color w:val="000000"/>
        </w:rPr>
      </w:pPr>
      <w:r w:rsidRPr="001972F0">
        <w:rPr>
          <w:color w:val="000000"/>
        </w:rPr>
        <w:t>However, short run ARDL estimates reveal that per capita income, active working age population and financial development have positive effects on ecological deficit. This conform with a-priori expectation. The working age population is the share of total population in every economy with the largest consumption level. Their consumption pattern will therefore exert a great pressure on the environment since current consumption level is not environmentally sustainable. Similarly, an increase in per capita income increases consumption level though marginally as not all the increase in income is expected to be spent on consumption according to the Keynesian theory. Financial development implies an increasing level of production in the country which has its deteriorating effect on the environment.</w:t>
      </w:r>
    </w:p>
    <w:p w:rsidR="00D41071" w:rsidRPr="001972F0" w:rsidRDefault="00D41071" w:rsidP="00D41071">
      <w:pPr>
        <w:pStyle w:val="NormalWeb"/>
        <w:spacing w:after="120" w:afterAutospacing="0"/>
        <w:ind w:left="709"/>
        <w:jc w:val="both"/>
        <w:rPr>
          <w:color w:val="000000"/>
        </w:rPr>
      </w:pPr>
      <w:r w:rsidRPr="001972F0">
        <w:rPr>
          <w:color w:val="000000"/>
        </w:rPr>
        <w:t>The study therefore recommends that responsible consumption and production activities that are environmentally friendly should be encouraged in line with sustainable development goals. This should extend to food and other agricultural products, buildings, transportation and energy. In the same vein, since energy consumption has been seen not to be a positive contributor to ecological deficit, it then means that technology is becoming more environmentally friendly and as such the government should continue in its pursuit of favorable energy policies that will further improve environmental quality in terms of renewable energy and energy efficiency measures.</w:t>
      </w:r>
    </w:p>
    <w:p w:rsidR="00D41071" w:rsidRPr="001972F0" w:rsidRDefault="00D41071" w:rsidP="00D41071">
      <w:pPr>
        <w:pStyle w:val="ParaAttribute3"/>
        <w:spacing w:after="120"/>
        <w:ind w:left="709"/>
        <w:rPr>
          <w:rFonts w:eastAsia="Times New Roman"/>
          <w:color w:val="000000"/>
          <w:sz w:val="24"/>
          <w:szCs w:val="24"/>
        </w:rPr>
      </w:pPr>
    </w:p>
    <w:p w:rsidR="00D41071" w:rsidRPr="001972F0" w:rsidRDefault="00D41071" w:rsidP="00D41071">
      <w:pPr>
        <w:pStyle w:val="ParaAttribute3"/>
        <w:spacing w:after="120"/>
        <w:ind w:left="709"/>
        <w:rPr>
          <w:rFonts w:eastAsia="Times New Roman"/>
          <w:color w:val="000000"/>
          <w:sz w:val="24"/>
          <w:szCs w:val="24"/>
        </w:rPr>
      </w:pPr>
    </w:p>
    <w:p w:rsidR="00D41071" w:rsidRPr="001972F0" w:rsidRDefault="00D41071" w:rsidP="00D41071">
      <w:pPr>
        <w:pStyle w:val="ParaAttribute3"/>
        <w:spacing w:after="120"/>
        <w:ind w:left="709"/>
        <w:rPr>
          <w:rFonts w:eastAsia="Times New Roman"/>
          <w:color w:val="000000"/>
          <w:sz w:val="24"/>
          <w:szCs w:val="24"/>
        </w:rPr>
      </w:pPr>
    </w:p>
    <w:p w:rsidR="00D41071" w:rsidRDefault="00D41071" w:rsidP="00D41071">
      <w:pPr>
        <w:pStyle w:val="ParaAttribute3"/>
        <w:rPr>
          <w:rFonts w:eastAsia="Times New Roman"/>
          <w:color w:val="000000"/>
          <w:sz w:val="24"/>
          <w:szCs w:val="24"/>
        </w:rPr>
      </w:pPr>
    </w:p>
    <w:p w:rsidR="00D41071" w:rsidRDefault="00D41071" w:rsidP="00D41071">
      <w:pPr>
        <w:pStyle w:val="ParaAttribute3"/>
        <w:rPr>
          <w:rFonts w:eastAsia="Times New Roman"/>
          <w:color w:val="000000"/>
          <w:sz w:val="24"/>
          <w:szCs w:val="24"/>
        </w:rPr>
      </w:pPr>
    </w:p>
    <w:p w:rsidR="00D41071" w:rsidRDefault="00D41071" w:rsidP="00D41071">
      <w:pPr>
        <w:pStyle w:val="ParaAttribute3"/>
        <w:rPr>
          <w:rFonts w:eastAsia="Times New Roman"/>
          <w:color w:val="000000"/>
          <w:sz w:val="24"/>
          <w:szCs w:val="24"/>
        </w:rPr>
      </w:pPr>
    </w:p>
    <w:p w:rsidR="00D41071" w:rsidRDefault="00D41071" w:rsidP="00D41071">
      <w:pPr>
        <w:pStyle w:val="ParaAttribute3"/>
        <w:rPr>
          <w:rFonts w:eastAsia="Times New Roman"/>
          <w:color w:val="000000"/>
          <w:sz w:val="24"/>
          <w:szCs w:val="24"/>
        </w:rPr>
      </w:pPr>
    </w:p>
    <w:p w:rsidR="00D41071" w:rsidRDefault="00D41071" w:rsidP="00D41071">
      <w:pPr>
        <w:pStyle w:val="ParaAttribute3"/>
        <w:rPr>
          <w:rFonts w:eastAsia="Times New Roman"/>
          <w:color w:val="000000"/>
          <w:sz w:val="24"/>
          <w:szCs w:val="24"/>
        </w:rPr>
      </w:pPr>
    </w:p>
    <w:p w:rsidR="00D41071" w:rsidRDefault="00D41071" w:rsidP="00D41071">
      <w:pPr>
        <w:pStyle w:val="ParaAttribute3"/>
        <w:rPr>
          <w:rFonts w:eastAsia="Times New Roman"/>
          <w:color w:val="000000"/>
          <w:sz w:val="24"/>
          <w:szCs w:val="24"/>
        </w:rPr>
      </w:pPr>
    </w:p>
    <w:p w:rsidR="00D41071" w:rsidRDefault="00D41071" w:rsidP="00D41071">
      <w:pPr>
        <w:pStyle w:val="ParaAttribute3"/>
        <w:rPr>
          <w:rFonts w:eastAsia="Times New Roman"/>
          <w:color w:val="000000"/>
          <w:sz w:val="24"/>
          <w:szCs w:val="24"/>
        </w:rPr>
      </w:pPr>
    </w:p>
    <w:p w:rsidR="00D41071" w:rsidRPr="001972F0" w:rsidRDefault="00D41071" w:rsidP="00D41071">
      <w:pPr>
        <w:pStyle w:val="ParaAttribute3"/>
        <w:rPr>
          <w:rFonts w:eastAsia="Times New Roman"/>
          <w:color w:val="000000"/>
          <w:sz w:val="24"/>
          <w:szCs w:val="24"/>
        </w:rPr>
      </w:pPr>
    </w:p>
    <w:p w:rsidR="00D41071" w:rsidRPr="001972F0" w:rsidRDefault="00D41071" w:rsidP="00D41071">
      <w:pPr>
        <w:pStyle w:val="ParaAttribute3"/>
        <w:rPr>
          <w:rFonts w:eastAsia="Times New Roman"/>
          <w:color w:val="000000"/>
          <w:sz w:val="24"/>
          <w:szCs w:val="24"/>
        </w:rPr>
      </w:pPr>
    </w:p>
    <w:p w:rsidR="00D41071" w:rsidRPr="001972F0" w:rsidRDefault="00D41071" w:rsidP="00D41071">
      <w:pPr>
        <w:pStyle w:val="ParaAttribute3"/>
        <w:rPr>
          <w:rStyle w:val="CharAttribute1"/>
          <w:rFonts w:eastAsia="Batang"/>
          <w:b/>
          <w:color w:val="000000"/>
          <w:szCs w:val="24"/>
        </w:rPr>
      </w:pPr>
      <w:r w:rsidRPr="001972F0">
        <w:rPr>
          <w:rStyle w:val="CharAttribute1"/>
          <w:rFonts w:eastAsia="Batang"/>
          <w:b/>
          <w:color w:val="000000"/>
          <w:szCs w:val="24"/>
        </w:rPr>
        <w:lastRenderedPageBreak/>
        <w:t>REFERENCES</w:t>
      </w:r>
    </w:p>
    <w:p w:rsidR="00D41071" w:rsidRPr="001972F0" w:rsidRDefault="00D41071" w:rsidP="00D41071">
      <w:pPr>
        <w:spacing w:before="240" w:after="100" w:afterAutospacing="1"/>
        <w:jc w:val="both"/>
        <w:rPr>
          <w:color w:val="000000"/>
        </w:rPr>
      </w:pPr>
      <w:r>
        <w:rPr>
          <w:rStyle w:val="name"/>
          <w:color w:val="000000"/>
        </w:rPr>
        <w:t xml:space="preserve">Aiyetan, I., and Olomola, P., (2017), </w:t>
      </w:r>
      <w:r>
        <w:rPr>
          <w:color w:val="000000"/>
        </w:rPr>
        <w:t xml:space="preserve">Environmental degradation, energy consumption, population growth and economic growth: Does Environmental Kuznets curve matter for Nigeria?  </w:t>
      </w:r>
      <w:r w:rsidRPr="00A22F4C">
        <w:rPr>
          <w:i/>
          <w:color w:val="000000"/>
        </w:rPr>
        <w:t>Economic and policy review</w:t>
      </w:r>
      <w:r>
        <w:rPr>
          <w:color w:val="000000"/>
        </w:rPr>
        <w:t xml:space="preserve"> 16(2).</w:t>
      </w:r>
    </w:p>
    <w:p w:rsidR="00D41071" w:rsidRDefault="00D41071" w:rsidP="00D41071">
      <w:pPr>
        <w:autoSpaceDE w:val="0"/>
        <w:autoSpaceDN w:val="0"/>
        <w:adjustRightInd w:val="0"/>
        <w:jc w:val="both"/>
        <w:rPr>
          <w:rFonts w:eastAsia="Calibri"/>
          <w:color w:val="000000"/>
        </w:rPr>
      </w:pPr>
      <w:r w:rsidRPr="001972F0">
        <w:rPr>
          <w:rFonts w:eastAsia="Calibri"/>
          <w:color w:val="000000"/>
        </w:rPr>
        <w:t>Al-Mulali, U., Weng-Wai, C., Sheau-Ting, L., Mohammed, A.H., (2015)</w:t>
      </w:r>
      <w:r>
        <w:rPr>
          <w:rFonts w:eastAsia="Calibri"/>
          <w:color w:val="000000"/>
        </w:rPr>
        <w:t>,</w:t>
      </w:r>
      <w:r w:rsidRPr="001972F0">
        <w:rPr>
          <w:rFonts w:eastAsia="Calibri"/>
          <w:color w:val="000000"/>
        </w:rPr>
        <w:t xml:space="preserve"> Investigating the environmental Kuznets curve (EKC) hypothesis by utilizing the ecological footprint as an indicator of environmental degradation</w:t>
      </w:r>
      <w:r>
        <w:rPr>
          <w:rFonts w:eastAsia="Calibri"/>
          <w:color w:val="000000"/>
        </w:rPr>
        <w:t xml:space="preserve">, </w:t>
      </w:r>
      <w:r w:rsidRPr="00957073">
        <w:rPr>
          <w:rFonts w:eastAsia="Calibri"/>
          <w:i/>
          <w:color w:val="000000"/>
        </w:rPr>
        <w:t>Ecol. Indic</w:t>
      </w:r>
      <w:r w:rsidRPr="001972F0">
        <w:rPr>
          <w:rFonts w:eastAsia="Calibri"/>
          <w:color w:val="000000"/>
        </w:rPr>
        <w:t xml:space="preserve">. </w:t>
      </w:r>
      <w:r>
        <w:rPr>
          <w:rFonts w:eastAsia="Calibri"/>
          <w:color w:val="000000"/>
        </w:rPr>
        <w:t>(</w:t>
      </w:r>
      <w:r w:rsidRPr="001972F0">
        <w:rPr>
          <w:rFonts w:eastAsia="Calibri"/>
          <w:color w:val="000000"/>
        </w:rPr>
        <w:t>48</w:t>
      </w:r>
      <w:r>
        <w:rPr>
          <w:rFonts w:eastAsia="Calibri"/>
          <w:color w:val="000000"/>
        </w:rPr>
        <w:t>)</w:t>
      </w:r>
      <w:r w:rsidRPr="001972F0">
        <w:rPr>
          <w:rFonts w:eastAsia="Calibri"/>
          <w:color w:val="000000"/>
        </w:rPr>
        <w:t>, 315–323.</w:t>
      </w:r>
    </w:p>
    <w:p w:rsidR="00D41071" w:rsidRPr="008F4F1E" w:rsidRDefault="00D41071" w:rsidP="00D41071">
      <w:pPr>
        <w:shd w:val="clear" w:color="auto" w:fill="FFFFFF"/>
        <w:spacing w:before="100" w:beforeAutospacing="1" w:after="120"/>
        <w:rPr>
          <w:color w:val="000000"/>
        </w:rPr>
      </w:pPr>
      <w:r w:rsidRPr="005C5C37">
        <w:rPr>
          <w:rFonts w:eastAsia="Calibri"/>
          <w:color w:val="000000"/>
        </w:rPr>
        <w:t xml:space="preserve">Bagliani, M., Bravo, G.,and Dalmazzone, S.(2008), </w:t>
      </w:r>
      <w:r w:rsidRPr="00F9376D">
        <w:rPr>
          <w:color w:val="111111"/>
        </w:rPr>
        <w:t>A Consumption-Based Approach to Environmental Kuznets Curves Using the Ecological Footprint Indicator</w:t>
      </w:r>
      <w:r w:rsidRPr="005C5C37">
        <w:rPr>
          <w:color w:val="111111"/>
        </w:rPr>
        <w:t xml:space="preserve">, </w:t>
      </w:r>
      <w:r w:rsidRPr="008F4F1E">
        <w:rPr>
          <w:i/>
          <w:color w:val="000000"/>
        </w:rPr>
        <w:t xml:space="preserve">Ecological Economics, </w:t>
      </w:r>
      <w:r w:rsidRPr="008F4F1E">
        <w:rPr>
          <w:color w:val="000000"/>
        </w:rPr>
        <w:t>65(3), 650-661.</w:t>
      </w:r>
    </w:p>
    <w:p w:rsidR="00D41071" w:rsidRPr="008F4F1E" w:rsidRDefault="00D41071" w:rsidP="00D41071">
      <w:pPr>
        <w:pStyle w:val="nova-e-listitem"/>
        <w:shd w:val="clear" w:color="auto" w:fill="FFFFFF"/>
        <w:spacing w:before="0" w:after="0"/>
        <w:jc w:val="both"/>
        <w:rPr>
          <w:color w:val="000000"/>
        </w:rPr>
      </w:pPr>
      <w:r w:rsidRPr="008F4F1E">
        <w:rPr>
          <w:color w:val="000000"/>
        </w:rPr>
        <w:t>Borucke, M., Moore, D., Cranston, G. and Galli, A. (2012),</w:t>
      </w:r>
      <w:r w:rsidRPr="006830FC">
        <w:rPr>
          <w:color w:val="111111"/>
          <w:shd w:val="clear" w:color="auto" w:fill="FFFFFF"/>
        </w:rPr>
        <w:t xml:space="preserve"> Accounting for demand and supply of the Biosphere's regenerative capacity: The National Footprint Accounts’ underlying methodology and framework, </w:t>
      </w:r>
      <w:r w:rsidRPr="008F4F1E">
        <w:rPr>
          <w:color w:val="000000"/>
        </w:rPr>
        <w:t xml:space="preserve">Ecological Indicators 24:518–533, doi </w:t>
      </w:r>
      <w:r w:rsidRPr="008F4F1E">
        <w:rPr>
          <w:color w:val="000000"/>
          <w:bdr w:val="none" w:sz="0" w:space="0" w:color="auto" w:frame="1"/>
        </w:rPr>
        <w:t>10.1016/j.ecolind.2012.08.005</w:t>
      </w:r>
      <w:r w:rsidRPr="008F4F1E">
        <w:rPr>
          <w:color w:val="000000"/>
        </w:rPr>
        <w:t>.</w:t>
      </w:r>
    </w:p>
    <w:p w:rsidR="00D41071" w:rsidRPr="001972F0" w:rsidRDefault="00D41071" w:rsidP="00D41071">
      <w:pPr>
        <w:autoSpaceDE w:val="0"/>
        <w:autoSpaceDN w:val="0"/>
        <w:adjustRightInd w:val="0"/>
        <w:jc w:val="both"/>
        <w:rPr>
          <w:rFonts w:eastAsia="Calibri"/>
          <w:color w:val="000000"/>
        </w:rPr>
      </w:pPr>
      <w:r w:rsidRPr="001972F0">
        <w:rPr>
          <w:rFonts w:eastAsia="Calibri"/>
          <w:color w:val="000000"/>
        </w:rPr>
        <w:t xml:space="preserve">Charfeddine, L., </w:t>
      </w:r>
      <w:r>
        <w:rPr>
          <w:rFonts w:eastAsia="Calibri"/>
          <w:color w:val="000000"/>
        </w:rPr>
        <w:t>(</w:t>
      </w:r>
      <w:r w:rsidRPr="001972F0">
        <w:rPr>
          <w:rFonts w:eastAsia="Calibri"/>
          <w:color w:val="000000"/>
        </w:rPr>
        <w:t>2017</w:t>
      </w:r>
      <w:r>
        <w:rPr>
          <w:rFonts w:eastAsia="Calibri"/>
          <w:color w:val="000000"/>
        </w:rPr>
        <w:t>)</w:t>
      </w:r>
      <w:r w:rsidRPr="001972F0">
        <w:rPr>
          <w:rFonts w:eastAsia="Calibri"/>
          <w:color w:val="000000"/>
        </w:rPr>
        <w:t xml:space="preserve"> The impact of energy consumption and economic development on Ecological Footprint and CO 2 emissions: Evidence from a Markov Switching Equilibrium Correction Model</w:t>
      </w:r>
      <w:r>
        <w:rPr>
          <w:rFonts w:eastAsia="Calibri"/>
          <w:color w:val="000000"/>
        </w:rPr>
        <w:t>,</w:t>
      </w:r>
      <w:r w:rsidRPr="001972F0">
        <w:rPr>
          <w:rFonts w:eastAsia="Calibri"/>
          <w:color w:val="000000"/>
        </w:rPr>
        <w:t xml:space="preserve"> Energy Econ. </w:t>
      </w:r>
      <w:r>
        <w:rPr>
          <w:rFonts w:eastAsia="Calibri"/>
          <w:color w:val="000000"/>
        </w:rPr>
        <w:t>(</w:t>
      </w:r>
      <w:r w:rsidRPr="001972F0">
        <w:rPr>
          <w:rFonts w:eastAsia="Calibri"/>
          <w:color w:val="000000"/>
        </w:rPr>
        <w:t>65</w:t>
      </w:r>
      <w:r>
        <w:rPr>
          <w:rFonts w:eastAsia="Calibri"/>
          <w:color w:val="000000"/>
        </w:rPr>
        <w:t>)</w:t>
      </w:r>
      <w:r w:rsidRPr="001972F0">
        <w:rPr>
          <w:rFonts w:eastAsia="Calibri"/>
          <w:color w:val="000000"/>
        </w:rPr>
        <w:t xml:space="preserve">, 355–374. doi.org/10.1016/j.eneco.2017.05.009 </w:t>
      </w:r>
    </w:p>
    <w:p w:rsidR="00D41071" w:rsidRDefault="00D41071" w:rsidP="00D41071">
      <w:pPr>
        <w:autoSpaceDE w:val="0"/>
        <w:autoSpaceDN w:val="0"/>
        <w:adjustRightInd w:val="0"/>
        <w:jc w:val="both"/>
        <w:rPr>
          <w:rFonts w:eastAsia="Calibri"/>
          <w:color w:val="000000"/>
        </w:rPr>
      </w:pPr>
      <w:r w:rsidRPr="001972F0">
        <w:rPr>
          <w:rFonts w:eastAsia="Calibri"/>
          <w:color w:val="000000"/>
        </w:rPr>
        <w:t xml:space="preserve">Commoner, B. (1972). On "The Closing Circle". </w:t>
      </w:r>
      <w:r w:rsidRPr="001972F0">
        <w:rPr>
          <w:rFonts w:eastAsia="Calibri"/>
          <w:i/>
          <w:iCs/>
          <w:color w:val="000000"/>
        </w:rPr>
        <w:t>Bulletin on the Atomic Scientists</w:t>
      </w:r>
      <w:r w:rsidRPr="001972F0">
        <w:rPr>
          <w:rFonts w:eastAsia="Calibri"/>
          <w:color w:val="000000"/>
        </w:rPr>
        <w:t xml:space="preserve">, [online] pp.17:27. </w:t>
      </w:r>
    </w:p>
    <w:p w:rsidR="00D41071" w:rsidRPr="00181684" w:rsidRDefault="00D41071" w:rsidP="00D41071">
      <w:r w:rsidRPr="00A22F4C">
        <w:rPr>
          <w:color w:val="333333"/>
          <w:shd w:val="clear" w:color="auto" w:fill="FFFFFF"/>
        </w:rPr>
        <w:t>Chindo</w:t>
      </w:r>
      <w:r>
        <w:rPr>
          <w:color w:val="333333"/>
          <w:shd w:val="clear" w:color="auto" w:fill="FFFFFF"/>
        </w:rPr>
        <w:t xml:space="preserve">, S., and </w:t>
      </w:r>
      <w:r w:rsidRPr="00A22F4C">
        <w:rPr>
          <w:color w:val="333333"/>
          <w:shd w:val="clear" w:color="auto" w:fill="FFFFFF"/>
        </w:rPr>
        <w:t xml:space="preserve"> Abdul-Rahim, </w:t>
      </w:r>
      <w:r>
        <w:rPr>
          <w:color w:val="333333"/>
          <w:shd w:val="clear" w:color="auto" w:fill="FFFFFF"/>
        </w:rPr>
        <w:t>A.S., (</w:t>
      </w:r>
      <w:r w:rsidRPr="00A22F4C">
        <w:rPr>
          <w:color w:val="333333"/>
          <w:shd w:val="clear" w:color="auto" w:fill="FFFFFF"/>
        </w:rPr>
        <w:t>2018</w:t>
      </w:r>
      <w:r>
        <w:rPr>
          <w:color w:val="333333"/>
          <w:shd w:val="clear" w:color="auto" w:fill="FFFFFF"/>
        </w:rPr>
        <w:t>),</w:t>
      </w:r>
      <w:r w:rsidRPr="00A22F4C">
        <w:rPr>
          <w:color w:val="333333"/>
          <w:shd w:val="clear" w:color="auto" w:fill="FFFFFF"/>
        </w:rPr>
        <w:t xml:space="preserve"> "</w:t>
      </w:r>
      <w:r w:rsidRPr="008F4F1E">
        <w:rPr>
          <w:bCs/>
          <w:color w:val="000000"/>
        </w:rPr>
        <w:t>Population Growth and CO2 Emission in Nigeria: A Recursive ARDL Approach</w:t>
      </w:r>
      <w:r w:rsidRPr="008F4F1E">
        <w:rPr>
          <w:color w:val="000000"/>
          <w:shd w:val="clear" w:color="auto" w:fill="FFFFFF"/>
        </w:rPr>
        <w:t>," </w:t>
      </w:r>
      <w:hyperlink r:id="rId11" w:history="1">
        <w:r w:rsidRPr="008F4F1E">
          <w:rPr>
            <w:rStyle w:val="Hyperlink"/>
            <w:i/>
            <w:color w:val="000000"/>
          </w:rPr>
          <w:t>SAGE Open</w:t>
        </w:r>
      </w:hyperlink>
      <w:r w:rsidRPr="008F4F1E">
        <w:rPr>
          <w:i/>
          <w:color w:val="000000"/>
          <w:shd w:val="clear" w:color="auto" w:fill="FFFFFF"/>
        </w:rPr>
        <w:t>,</w:t>
      </w:r>
      <w:r w:rsidRPr="008F4F1E">
        <w:rPr>
          <w:color w:val="000000"/>
          <w:shd w:val="clear" w:color="auto" w:fill="FFFFFF"/>
        </w:rPr>
        <w:t xml:space="preserve"> vol. 8(2), 21582440187, </w:t>
      </w:r>
      <w:r>
        <w:t xml:space="preserve"> DOI: 10.1177/2158244018765916 journals.sagepub.com/home/sgo</w:t>
      </w:r>
    </w:p>
    <w:p w:rsidR="00D41071" w:rsidRPr="001972F0" w:rsidRDefault="00D41071" w:rsidP="00D41071">
      <w:pPr>
        <w:spacing w:before="100" w:beforeAutospacing="1" w:after="100" w:afterAutospacing="1"/>
        <w:jc w:val="both"/>
        <w:rPr>
          <w:color w:val="000000"/>
        </w:rPr>
      </w:pPr>
      <w:r w:rsidRPr="001972F0">
        <w:rPr>
          <w:color w:val="000000"/>
          <w:shd w:val="clear" w:color="auto" w:fill="FFFFFF"/>
        </w:rPr>
        <w:t>Dietz, T</w:t>
      </w:r>
      <w:r>
        <w:rPr>
          <w:color w:val="000000"/>
          <w:shd w:val="clear" w:color="auto" w:fill="FFFFFF"/>
        </w:rPr>
        <w:t>.</w:t>
      </w:r>
      <w:r w:rsidRPr="001972F0">
        <w:rPr>
          <w:color w:val="000000"/>
          <w:shd w:val="clear" w:color="auto" w:fill="FFFFFF"/>
        </w:rPr>
        <w:t xml:space="preserve"> and Eugene A. (1994)</w:t>
      </w:r>
      <w:r>
        <w:rPr>
          <w:color w:val="000000"/>
          <w:shd w:val="clear" w:color="auto" w:fill="FFFFFF"/>
        </w:rPr>
        <w:t>,</w:t>
      </w:r>
      <w:r w:rsidRPr="001972F0">
        <w:rPr>
          <w:color w:val="000000"/>
          <w:shd w:val="clear" w:color="auto" w:fill="FFFFFF"/>
        </w:rPr>
        <w:t xml:space="preserve"> “Rethinking the Environmental Impacts of Population, Affluence, and Technology”</w:t>
      </w:r>
      <w:r>
        <w:rPr>
          <w:color w:val="000000"/>
          <w:shd w:val="clear" w:color="auto" w:fill="FFFFFF"/>
        </w:rPr>
        <w:t xml:space="preserve">, </w:t>
      </w:r>
      <w:r w:rsidRPr="001972F0">
        <w:rPr>
          <w:i/>
          <w:iCs/>
          <w:color w:val="000000"/>
          <w:shd w:val="clear" w:color="auto" w:fill="FFFFFF"/>
        </w:rPr>
        <w:t xml:space="preserve">Human Ecology Review </w:t>
      </w:r>
      <w:r>
        <w:rPr>
          <w:color w:val="000000"/>
          <w:shd w:val="clear" w:color="auto" w:fill="FFFFFF"/>
        </w:rPr>
        <w:t>(</w:t>
      </w:r>
      <w:r w:rsidRPr="001972F0">
        <w:rPr>
          <w:color w:val="000000"/>
          <w:shd w:val="clear" w:color="auto" w:fill="FFFFFF"/>
        </w:rPr>
        <w:t>1</w:t>
      </w:r>
      <w:r>
        <w:rPr>
          <w:color w:val="000000"/>
          <w:shd w:val="clear" w:color="auto" w:fill="FFFFFF"/>
        </w:rPr>
        <w:t xml:space="preserve">), </w:t>
      </w:r>
      <w:r w:rsidRPr="001972F0">
        <w:rPr>
          <w:color w:val="000000"/>
          <w:shd w:val="clear" w:color="auto" w:fill="FFFFFF"/>
        </w:rPr>
        <w:t>2277 - 300.</w:t>
      </w:r>
    </w:p>
    <w:p w:rsidR="00D41071" w:rsidRPr="001972F0" w:rsidRDefault="00D41071" w:rsidP="00D41071">
      <w:pPr>
        <w:spacing w:before="100" w:beforeAutospacing="1" w:after="100" w:afterAutospacing="1"/>
        <w:jc w:val="both"/>
        <w:rPr>
          <w:color w:val="000000"/>
        </w:rPr>
      </w:pPr>
      <w:r w:rsidRPr="001972F0">
        <w:rPr>
          <w:color w:val="000000"/>
          <w:shd w:val="clear" w:color="auto" w:fill="FFFFFF"/>
        </w:rPr>
        <w:t xml:space="preserve">Dietz, </w:t>
      </w:r>
      <w:r>
        <w:rPr>
          <w:color w:val="000000"/>
          <w:shd w:val="clear" w:color="auto" w:fill="FFFFFF"/>
        </w:rPr>
        <w:t>T.</w:t>
      </w:r>
      <w:r w:rsidRPr="001972F0">
        <w:rPr>
          <w:color w:val="000000"/>
          <w:shd w:val="clear" w:color="auto" w:fill="FFFFFF"/>
        </w:rPr>
        <w:t xml:space="preserve"> and Eugene A.  (1997)</w:t>
      </w:r>
      <w:r>
        <w:rPr>
          <w:color w:val="000000"/>
          <w:shd w:val="clear" w:color="auto" w:fill="FFFFFF"/>
        </w:rPr>
        <w:t>,</w:t>
      </w:r>
      <w:r w:rsidRPr="001972F0">
        <w:rPr>
          <w:color w:val="000000"/>
          <w:shd w:val="clear" w:color="auto" w:fill="FFFFFF"/>
        </w:rPr>
        <w:t xml:space="preserve"> “Effects of Population and Affluence on CO 2 Emissions.” </w:t>
      </w:r>
      <w:r w:rsidRPr="001972F0">
        <w:rPr>
          <w:i/>
          <w:iCs/>
          <w:color w:val="000000"/>
          <w:shd w:val="clear" w:color="auto" w:fill="FFFFFF"/>
        </w:rPr>
        <w:t xml:space="preserve">Proceedings of the National Academy of Sciences </w:t>
      </w:r>
      <w:r w:rsidRPr="001972F0">
        <w:rPr>
          <w:color w:val="000000"/>
          <w:shd w:val="clear" w:color="auto" w:fill="FFFFFF"/>
        </w:rPr>
        <w:t>, 94(11)</w:t>
      </w:r>
      <w:r>
        <w:rPr>
          <w:color w:val="000000"/>
          <w:shd w:val="clear" w:color="auto" w:fill="FFFFFF"/>
        </w:rPr>
        <w:t>,</w:t>
      </w:r>
      <w:r w:rsidRPr="001972F0">
        <w:rPr>
          <w:color w:val="000000"/>
          <w:shd w:val="clear" w:color="auto" w:fill="FFFFFF"/>
        </w:rPr>
        <w:t xml:space="preserve"> 175 - 179.. </w:t>
      </w:r>
    </w:p>
    <w:p w:rsidR="00D41071" w:rsidRPr="001972F0" w:rsidRDefault="00D41071" w:rsidP="00D41071">
      <w:pPr>
        <w:spacing w:before="100" w:beforeAutospacing="1" w:after="100" w:afterAutospacing="1"/>
        <w:jc w:val="both"/>
        <w:rPr>
          <w:color w:val="000000"/>
          <w:shd w:val="clear" w:color="auto" w:fill="FFFFFF"/>
        </w:rPr>
      </w:pPr>
      <w:r w:rsidRPr="001972F0">
        <w:rPr>
          <w:color w:val="000000"/>
          <w:shd w:val="clear" w:color="auto" w:fill="FFFFFF"/>
        </w:rPr>
        <w:t xml:space="preserve">Dietz, Thomas, Eugene A. Rosa and Richard York. (2007). Driving the Human Ecological Footprint. </w:t>
      </w:r>
      <w:r w:rsidRPr="001972F0">
        <w:rPr>
          <w:i/>
          <w:iCs/>
          <w:color w:val="000000"/>
          <w:shd w:val="clear" w:color="auto" w:fill="FFFFFF"/>
        </w:rPr>
        <w:t xml:space="preserve">Frontiers of Human Ecology </w:t>
      </w:r>
      <w:r w:rsidRPr="001972F0">
        <w:rPr>
          <w:color w:val="000000"/>
          <w:shd w:val="clear" w:color="auto" w:fill="FFFFFF"/>
        </w:rPr>
        <w:t>, 5(11): 13 - 18.</w:t>
      </w:r>
    </w:p>
    <w:p w:rsidR="00D41071" w:rsidRPr="001972F0" w:rsidRDefault="00D41071" w:rsidP="00D41071">
      <w:pPr>
        <w:jc w:val="both"/>
        <w:rPr>
          <w:color w:val="000000"/>
        </w:rPr>
      </w:pPr>
      <w:r w:rsidRPr="001972F0">
        <w:rPr>
          <w:color w:val="000000"/>
          <w:shd w:val="clear" w:color="auto" w:fill="FFFFFF"/>
        </w:rPr>
        <w:t>Ecological Footprint: Overview". </w:t>
      </w:r>
      <w:r w:rsidRPr="001972F0">
        <w:rPr>
          <w:i/>
          <w:iCs/>
          <w:color w:val="000000"/>
          <w:shd w:val="clear" w:color="auto" w:fill="FFFFFF"/>
        </w:rPr>
        <w:t>footprintnetwork.org</w:t>
      </w:r>
      <w:r w:rsidRPr="001972F0">
        <w:rPr>
          <w:color w:val="000000"/>
          <w:shd w:val="clear" w:color="auto" w:fill="FFFFFF"/>
        </w:rPr>
        <w:t>. Global Footprint Network</w:t>
      </w:r>
      <w:r w:rsidRPr="001972F0">
        <w:rPr>
          <w:rStyle w:val="reference-accessdate"/>
          <w:color w:val="000000"/>
          <w:shd w:val="clear" w:color="auto" w:fill="FFFFFF"/>
        </w:rPr>
        <w:t>. Retrieved </w:t>
      </w:r>
      <w:r w:rsidRPr="001972F0">
        <w:rPr>
          <w:rStyle w:val="nowrap"/>
          <w:color w:val="000000"/>
          <w:shd w:val="clear" w:color="auto" w:fill="FFFFFF"/>
        </w:rPr>
        <w:t xml:space="preserve">16 August, </w:t>
      </w:r>
      <w:r w:rsidRPr="001972F0">
        <w:rPr>
          <w:rStyle w:val="reference-accessdate"/>
          <w:color w:val="000000"/>
          <w:shd w:val="clear" w:color="auto" w:fill="FFFFFF"/>
        </w:rPr>
        <w:t>2020</w:t>
      </w:r>
      <w:r w:rsidRPr="001972F0">
        <w:rPr>
          <w:color w:val="000000"/>
          <w:shd w:val="clear" w:color="auto" w:fill="FFFFFF"/>
        </w:rPr>
        <w:t>.</w:t>
      </w:r>
    </w:p>
    <w:p w:rsidR="00D41071" w:rsidRPr="001972F0" w:rsidRDefault="00D41071" w:rsidP="00D41071">
      <w:pPr>
        <w:autoSpaceDE w:val="0"/>
        <w:autoSpaceDN w:val="0"/>
        <w:adjustRightInd w:val="0"/>
        <w:jc w:val="both"/>
        <w:rPr>
          <w:rFonts w:eastAsia="Calibri"/>
          <w:color w:val="000000"/>
        </w:rPr>
      </w:pPr>
      <w:r w:rsidRPr="001972F0">
        <w:rPr>
          <w:rFonts w:eastAsia="Calibri"/>
          <w:color w:val="000000"/>
        </w:rPr>
        <w:t xml:space="preserve">Effiong, E </w:t>
      </w:r>
      <w:r w:rsidRPr="001972F0">
        <w:rPr>
          <w:rFonts w:eastAsia="Calibri"/>
          <w:b/>
          <w:bCs/>
          <w:color w:val="000000"/>
        </w:rPr>
        <w:t xml:space="preserve">. </w:t>
      </w:r>
      <w:r w:rsidRPr="001972F0">
        <w:rPr>
          <w:rFonts w:eastAsia="Calibri"/>
          <w:color w:val="000000"/>
        </w:rPr>
        <w:t>(2016)</w:t>
      </w:r>
      <w:r>
        <w:rPr>
          <w:rFonts w:eastAsia="Calibri"/>
          <w:color w:val="000000"/>
        </w:rPr>
        <w:t xml:space="preserve">, </w:t>
      </w:r>
      <w:r w:rsidRPr="001972F0">
        <w:rPr>
          <w:rFonts w:eastAsia="Calibri"/>
          <w:color w:val="000000"/>
        </w:rPr>
        <w:t xml:space="preserve">Urbanization and Environmental Quality in Africa </w:t>
      </w:r>
      <w:r>
        <w:rPr>
          <w:rFonts w:eastAsia="Calibri"/>
          <w:color w:val="000000"/>
        </w:rPr>
        <w:t xml:space="preserve">, </w:t>
      </w:r>
      <w:r w:rsidRPr="001972F0">
        <w:rPr>
          <w:rFonts w:eastAsia="Calibri"/>
          <w:color w:val="000000"/>
        </w:rPr>
        <w:t xml:space="preserve">https://mmpra.uub.uuni - muenchen.dde//773224// </w:t>
      </w:r>
    </w:p>
    <w:p w:rsidR="00D41071" w:rsidRPr="001972F0" w:rsidRDefault="00D41071" w:rsidP="00D41071">
      <w:pPr>
        <w:spacing w:before="100" w:beforeAutospacing="1" w:after="100" w:afterAutospacing="1"/>
        <w:jc w:val="both"/>
        <w:rPr>
          <w:color w:val="000000"/>
        </w:rPr>
      </w:pPr>
      <w:r w:rsidRPr="001972F0">
        <w:rPr>
          <w:color w:val="000000"/>
          <w:shd w:val="clear" w:color="auto" w:fill="FFFFFF"/>
        </w:rPr>
        <w:t>Ehrlich,P.R., and Holdren, J.P.(1971)</w:t>
      </w:r>
      <w:r>
        <w:rPr>
          <w:color w:val="000000"/>
          <w:shd w:val="clear" w:color="auto" w:fill="FFFFFF"/>
        </w:rPr>
        <w:t>,</w:t>
      </w:r>
      <w:r w:rsidRPr="001972F0">
        <w:rPr>
          <w:color w:val="000000"/>
          <w:shd w:val="clear" w:color="auto" w:fill="FFFFFF"/>
        </w:rPr>
        <w:t xml:space="preserve"> Impact of population growth</w:t>
      </w:r>
      <w:r>
        <w:rPr>
          <w:color w:val="000000"/>
          <w:shd w:val="clear" w:color="auto" w:fill="FFFFFF"/>
        </w:rPr>
        <w:t xml:space="preserve">, </w:t>
      </w:r>
      <w:r w:rsidRPr="001972F0">
        <w:rPr>
          <w:i/>
          <w:iCs/>
          <w:color w:val="000000"/>
          <w:shd w:val="clear" w:color="auto" w:fill="FFFFFF"/>
        </w:rPr>
        <w:t xml:space="preserve">Science, </w:t>
      </w:r>
      <w:r>
        <w:rPr>
          <w:i/>
          <w:iCs/>
          <w:color w:val="000000"/>
          <w:shd w:val="clear" w:color="auto" w:fill="FFFFFF"/>
        </w:rPr>
        <w:t>(</w:t>
      </w:r>
      <w:r w:rsidRPr="001972F0">
        <w:rPr>
          <w:i/>
          <w:iCs/>
          <w:color w:val="000000"/>
          <w:shd w:val="clear" w:color="auto" w:fill="FFFFFF"/>
        </w:rPr>
        <w:t>171</w:t>
      </w:r>
      <w:r>
        <w:rPr>
          <w:i/>
          <w:iCs/>
          <w:color w:val="000000"/>
          <w:shd w:val="clear" w:color="auto" w:fill="FFFFFF"/>
        </w:rPr>
        <w:t xml:space="preserve">), </w:t>
      </w:r>
      <w:r w:rsidRPr="001972F0">
        <w:rPr>
          <w:color w:val="000000"/>
          <w:shd w:val="clear" w:color="auto" w:fill="FFFFFF"/>
        </w:rPr>
        <w:t xml:space="preserve">1212 - 1217. </w:t>
      </w:r>
    </w:p>
    <w:p w:rsidR="00D41071" w:rsidRPr="001972F0" w:rsidRDefault="00D41071" w:rsidP="00D41071">
      <w:pPr>
        <w:autoSpaceDE w:val="0"/>
        <w:autoSpaceDN w:val="0"/>
        <w:adjustRightInd w:val="0"/>
        <w:jc w:val="both"/>
        <w:rPr>
          <w:rFonts w:eastAsia="Calibri"/>
          <w:color w:val="000000"/>
        </w:rPr>
      </w:pPr>
      <w:r w:rsidRPr="001972F0">
        <w:rPr>
          <w:rFonts w:eastAsia="Calibri"/>
          <w:color w:val="000000"/>
        </w:rPr>
        <w:t>Enjema, F.M, Molema, C.S., Dobdinga, C.F., Afuge, A.R. and Ngoe, M.B.(2020)</w:t>
      </w:r>
      <w:r>
        <w:rPr>
          <w:rFonts w:eastAsia="Calibri"/>
          <w:color w:val="000000"/>
        </w:rPr>
        <w:t>,</w:t>
      </w:r>
      <w:r w:rsidRPr="001972F0">
        <w:rPr>
          <w:rFonts w:eastAsia="Calibri"/>
          <w:color w:val="000000"/>
        </w:rPr>
        <w:t xml:space="preserve"> Urbanization and Environmental Sustainability in Cameroon: An ARDL Technique</w:t>
      </w:r>
      <w:r>
        <w:rPr>
          <w:rFonts w:eastAsia="Calibri"/>
          <w:color w:val="000000"/>
        </w:rPr>
        <w:t>,</w:t>
      </w:r>
      <w:r w:rsidRPr="001972F0">
        <w:rPr>
          <w:rFonts w:eastAsia="Calibri"/>
          <w:color w:val="000000"/>
        </w:rPr>
        <w:t xml:space="preserve"> </w:t>
      </w:r>
      <w:r w:rsidRPr="00957073">
        <w:rPr>
          <w:rFonts w:eastAsia="Calibri"/>
          <w:bCs/>
          <w:i/>
          <w:color w:val="000000"/>
        </w:rPr>
        <w:t>European Journal of Economic and Financial Research,</w:t>
      </w:r>
      <w:r>
        <w:rPr>
          <w:rFonts w:eastAsia="Calibri"/>
          <w:bCs/>
          <w:color w:val="000000"/>
        </w:rPr>
        <w:t xml:space="preserve"> 4(3), </w:t>
      </w:r>
      <w:r w:rsidRPr="001972F0">
        <w:rPr>
          <w:rFonts w:eastAsia="Calibri"/>
          <w:color w:val="000000"/>
        </w:rPr>
        <w:t>Available on-line at</w:t>
      </w:r>
      <w:r w:rsidRPr="001972F0">
        <w:rPr>
          <w:rFonts w:eastAsia="Calibri"/>
          <w:b/>
          <w:bCs/>
          <w:color w:val="000000"/>
        </w:rPr>
        <w:t xml:space="preserve">: </w:t>
      </w:r>
      <w:r w:rsidRPr="001972F0">
        <w:rPr>
          <w:rFonts w:eastAsia="Calibri"/>
          <w:color w:val="000000"/>
        </w:rPr>
        <w:t>http://www.oapub.org/soc</w:t>
      </w:r>
    </w:p>
    <w:p w:rsidR="00D41071" w:rsidRPr="001972F0" w:rsidRDefault="00D41071" w:rsidP="00D41071">
      <w:pPr>
        <w:jc w:val="both"/>
        <w:rPr>
          <w:color w:val="000000"/>
        </w:rPr>
      </w:pPr>
      <w:r w:rsidRPr="001972F0">
        <w:rPr>
          <w:color w:val="000000"/>
        </w:rPr>
        <w:lastRenderedPageBreak/>
        <w:t>Erturk, E</w:t>
      </w:r>
      <w:r>
        <w:rPr>
          <w:color w:val="000000"/>
        </w:rPr>
        <w:t>.</w:t>
      </w:r>
      <w:r w:rsidRPr="001972F0">
        <w:rPr>
          <w:color w:val="000000"/>
        </w:rPr>
        <w:t xml:space="preserve"> </w:t>
      </w:r>
      <w:r>
        <w:rPr>
          <w:color w:val="000000"/>
        </w:rPr>
        <w:t>(</w:t>
      </w:r>
      <w:r w:rsidRPr="001972F0">
        <w:rPr>
          <w:color w:val="000000"/>
        </w:rPr>
        <w:t>2011</w:t>
      </w:r>
      <w:r>
        <w:rPr>
          <w:color w:val="000000"/>
        </w:rPr>
        <w:t>),</w:t>
      </w:r>
      <w:r w:rsidRPr="001972F0">
        <w:rPr>
          <w:color w:val="000000"/>
        </w:rPr>
        <w:t xml:space="preserve"> "Ecological Surplus and Its Economic Implications: A Three Country Study"</w:t>
      </w:r>
      <w:r>
        <w:rPr>
          <w:color w:val="000000"/>
        </w:rPr>
        <w:t>,</w:t>
      </w:r>
      <w:r w:rsidRPr="001972F0">
        <w:rPr>
          <w:color w:val="000000"/>
        </w:rPr>
        <w:t> </w:t>
      </w:r>
      <w:r w:rsidRPr="001972F0">
        <w:rPr>
          <w:i/>
          <w:iCs/>
          <w:color w:val="000000"/>
        </w:rPr>
        <w:t>The International Journal of Environmental, Cultural, Economic, and Social Sustainability</w:t>
      </w:r>
      <w:r>
        <w:rPr>
          <w:i/>
          <w:iCs/>
          <w:color w:val="000000"/>
        </w:rPr>
        <w:t xml:space="preserve"> </w:t>
      </w:r>
      <w:r w:rsidRPr="001972F0">
        <w:rPr>
          <w:i/>
          <w:iCs/>
          <w:color w:val="000000"/>
        </w:rPr>
        <w:t>Annual Review</w:t>
      </w:r>
      <w:r w:rsidRPr="001972F0">
        <w:rPr>
          <w:color w:val="000000"/>
        </w:rPr>
        <w:t> 7 (3)</w:t>
      </w:r>
      <w:r>
        <w:rPr>
          <w:color w:val="000000"/>
        </w:rPr>
        <w:t xml:space="preserve">, </w:t>
      </w:r>
      <w:r w:rsidRPr="001972F0">
        <w:rPr>
          <w:color w:val="000000"/>
        </w:rPr>
        <w:t xml:space="preserve"> 397-408. doi:10.18848/1832-2077/CGP/v07i03/59449.</w:t>
      </w:r>
    </w:p>
    <w:p w:rsidR="00D41071" w:rsidRPr="001972F0" w:rsidRDefault="00D41071" w:rsidP="00D41071">
      <w:pPr>
        <w:autoSpaceDE w:val="0"/>
        <w:autoSpaceDN w:val="0"/>
        <w:adjustRightInd w:val="0"/>
        <w:jc w:val="both"/>
        <w:rPr>
          <w:rFonts w:eastAsia="Calibri"/>
          <w:color w:val="000000"/>
        </w:rPr>
      </w:pPr>
      <w:r w:rsidRPr="001972F0">
        <w:rPr>
          <w:rFonts w:eastAsia="Calibri"/>
          <w:color w:val="000000"/>
        </w:rPr>
        <w:t>Fan, Y., Liu, L., Wu, G. and Wei, Y. (2006)</w:t>
      </w:r>
      <w:r>
        <w:rPr>
          <w:rFonts w:eastAsia="Calibri"/>
          <w:color w:val="000000"/>
        </w:rPr>
        <w:t>,</w:t>
      </w:r>
      <w:r w:rsidRPr="001972F0">
        <w:rPr>
          <w:rFonts w:eastAsia="Calibri"/>
          <w:color w:val="000000"/>
        </w:rPr>
        <w:t xml:space="preserve"> Analyzing impact factors of CO2 emissions using the STIRPAT model</w:t>
      </w:r>
      <w:r>
        <w:rPr>
          <w:rFonts w:eastAsia="Calibri"/>
          <w:color w:val="000000"/>
        </w:rPr>
        <w:t>,</w:t>
      </w:r>
      <w:r w:rsidRPr="001972F0">
        <w:rPr>
          <w:rFonts w:eastAsia="Calibri"/>
          <w:color w:val="000000"/>
        </w:rPr>
        <w:t xml:space="preserve"> </w:t>
      </w:r>
      <w:r w:rsidRPr="001972F0">
        <w:rPr>
          <w:rFonts w:eastAsia="Calibri"/>
          <w:i/>
          <w:iCs/>
          <w:color w:val="000000"/>
        </w:rPr>
        <w:t>Environmental Impact Assessment Review</w:t>
      </w:r>
      <w:r w:rsidRPr="001972F0">
        <w:rPr>
          <w:rFonts w:eastAsia="Calibri"/>
          <w:color w:val="000000"/>
        </w:rPr>
        <w:t xml:space="preserve">, 26(4), 377-395. </w:t>
      </w:r>
    </w:p>
    <w:p w:rsidR="00D41071" w:rsidRPr="001972F0" w:rsidRDefault="00D41071" w:rsidP="00D41071">
      <w:pPr>
        <w:autoSpaceDE w:val="0"/>
        <w:autoSpaceDN w:val="0"/>
        <w:adjustRightInd w:val="0"/>
        <w:jc w:val="both"/>
        <w:rPr>
          <w:rFonts w:eastAsia="Calibri"/>
          <w:color w:val="000000"/>
        </w:rPr>
      </w:pPr>
      <w:r w:rsidRPr="001972F0">
        <w:rPr>
          <w:rFonts w:eastAsia="Calibri"/>
          <w:color w:val="000000"/>
        </w:rPr>
        <w:t>Gasimli, O., Haq, I., Kumara, S., Gamage, N., and Shihadeh, F. (2019)</w:t>
      </w:r>
      <w:r>
        <w:rPr>
          <w:rFonts w:eastAsia="Calibri"/>
          <w:color w:val="000000"/>
        </w:rPr>
        <w:t>,</w:t>
      </w:r>
      <w:r w:rsidRPr="001972F0">
        <w:rPr>
          <w:rFonts w:eastAsia="Calibri"/>
          <w:color w:val="000000"/>
        </w:rPr>
        <w:t xml:space="preserve"> Energy, Trade, Urb anization and Environmental Degradation Nexus in Sri Lanka: Bounds Testing Approach</w:t>
      </w:r>
      <w:r>
        <w:rPr>
          <w:rFonts w:eastAsia="Calibri"/>
          <w:color w:val="000000"/>
        </w:rPr>
        <w:t>,</w:t>
      </w:r>
      <w:r w:rsidRPr="001972F0">
        <w:rPr>
          <w:rFonts w:eastAsia="Calibri"/>
          <w:color w:val="000000"/>
        </w:rPr>
        <w:t xml:space="preserve"> </w:t>
      </w:r>
      <w:r w:rsidRPr="001972F0">
        <w:rPr>
          <w:rFonts w:eastAsia="Calibri"/>
          <w:i/>
          <w:iCs/>
          <w:color w:val="000000"/>
        </w:rPr>
        <w:t>Energies</w:t>
      </w:r>
      <w:r w:rsidRPr="001972F0">
        <w:rPr>
          <w:rFonts w:eastAsia="Calibri"/>
          <w:color w:val="000000"/>
        </w:rPr>
        <w:t xml:space="preserve">. 1 – 15.  https: doi.org//110.3390//een12091655 </w:t>
      </w:r>
    </w:p>
    <w:p w:rsidR="00D41071" w:rsidRPr="001972F0" w:rsidRDefault="00D41071" w:rsidP="00D41071">
      <w:pPr>
        <w:autoSpaceDE w:val="0"/>
        <w:autoSpaceDN w:val="0"/>
        <w:adjustRightInd w:val="0"/>
        <w:jc w:val="both"/>
        <w:rPr>
          <w:rFonts w:eastAsia="Calibri"/>
          <w:color w:val="000000"/>
        </w:rPr>
      </w:pPr>
      <w:r w:rsidRPr="001972F0">
        <w:rPr>
          <w:rFonts w:eastAsia="Calibri"/>
          <w:color w:val="000000"/>
        </w:rPr>
        <w:t>Global Footprint Network, 2016 ©. National Footprint Accounts, 2016 Edition</w:t>
      </w:r>
    </w:p>
    <w:p w:rsidR="00D41071" w:rsidRPr="001972F0" w:rsidRDefault="00D41071" w:rsidP="00D41071">
      <w:pPr>
        <w:autoSpaceDE w:val="0"/>
        <w:autoSpaceDN w:val="0"/>
        <w:adjustRightInd w:val="0"/>
        <w:jc w:val="both"/>
        <w:rPr>
          <w:rFonts w:eastAsia="Calibri"/>
          <w:color w:val="000000"/>
        </w:rPr>
      </w:pPr>
      <w:r w:rsidRPr="001972F0">
        <w:rPr>
          <w:rFonts w:eastAsia="Calibri"/>
          <w:color w:val="000000"/>
        </w:rPr>
        <w:t xml:space="preserve">Global Footprint Network. (2017 a). </w:t>
      </w:r>
      <w:r w:rsidRPr="001972F0">
        <w:rPr>
          <w:rFonts w:eastAsia="Calibri"/>
          <w:i/>
          <w:iCs/>
          <w:color w:val="000000"/>
        </w:rPr>
        <w:t>Ecological Footprint - Global Footprint Network</w:t>
      </w:r>
      <w:r w:rsidRPr="001972F0">
        <w:rPr>
          <w:rFonts w:eastAsia="Calibri"/>
          <w:color w:val="000000"/>
        </w:rPr>
        <w:t xml:space="preserve">. [online] Available at: http://www.footprintnetwork.org/our-work/ecological-footprint/ [Accessed 19 December. 2020]. </w:t>
      </w:r>
    </w:p>
    <w:p w:rsidR="00D41071" w:rsidRPr="001972F0" w:rsidRDefault="00D41071" w:rsidP="00D41071">
      <w:pPr>
        <w:autoSpaceDE w:val="0"/>
        <w:autoSpaceDN w:val="0"/>
        <w:adjustRightInd w:val="0"/>
        <w:jc w:val="both"/>
        <w:rPr>
          <w:rFonts w:eastAsia="Calibri"/>
          <w:color w:val="000000"/>
        </w:rPr>
      </w:pPr>
      <w:r w:rsidRPr="001972F0">
        <w:rPr>
          <w:rFonts w:eastAsia="Calibri"/>
          <w:color w:val="000000"/>
        </w:rPr>
        <w:t xml:space="preserve">Global Footprint Network. (2017 b). </w:t>
      </w:r>
      <w:r w:rsidRPr="001972F0">
        <w:rPr>
          <w:rFonts w:eastAsia="Calibri"/>
          <w:i/>
          <w:iCs/>
          <w:color w:val="000000"/>
        </w:rPr>
        <w:t>FAQ - Global Footprint Network</w:t>
      </w:r>
      <w:r w:rsidRPr="001972F0">
        <w:rPr>
          <w:rFonts w:eastAsia="Calibri"/>
          <w:color w:val="000000"/>
        </w:rPr>
        <w:t xml:space="preserve">. [online] Available at: http://www.footprintnetwork.org/faq/ [Accessed 19 November. 2020]. </w:t>
      </w:r>
    </w:p>
    <w:p w:rsidR="00D41071" w:rsidRPr="001972F0" w:rsidRDefault="00D41071" w:rsidP="00D41071">
      <w:pPr>
        <w:autoSpaceDE w:val="0"/>
        <w:autoSpaceDN w:val="0"/>
        <w:adjustRightInd w:val="0"/>
        <w:jc w:val="both"/>
        <w:rPr>
          <w:rFonts w:eastAsia="Calibri"/>
          <w:color w:val="000000"/>
        </w:rPr>
      </w:pPr>
      <w:r w:rsidRPr="001972F0">
        <w:rPr>
          <w:rFonts w:eastAsia="Calibri"/>
          <w:color w:val="000000"/>
        </w:rPr>
        <w:t>Grossman, G. and Krueger, A. (1994)</w:t>
      </w:r>
      <w:r>
        <w:rPr>
          <w:rFonts w:eastAsia="Calibri"/>
          <w:color w:val="000000"/>
        </w:rPr>
        <w:t xml:space="preserve">, </w:t>
      </w:r>
      <w:r w:rsidRPr="001972F0">
        <w:rPr>
          <w:rFonts w:eastAsia="Calibri"/>
          <w:color w:val="000000"/>
        </w:rPr>
        <w:t>Economic growth and the environment</w:t>
      </w:r>
      <w:r>
        <w:rPr>
          <w:rFonts w:eastAsia="Calibri"/>
          <w:color w:val="000000"/>
        </w:rPr>
        <w:t>,</w:t>
      </w:r>
      <w:r w:rsidRPr="001972F0">
        <w:rPr>
          <w:rFonts w:eastAsia="Calibri"/>
          <w:color w:val="000000"/>
        </w:rPr>
        <w:t xml:space="preserve"> </w:t>
      </w:r>
      <w:r w:rsidRPr="001972F0">
        <w:rPr>
          <w:rFonts w:eastAsia="Calibri"/>
          <w:i/>
          <w:iCs/>
          <w:color w:val="000000"/>
        </w:rPr>
        <w:t>Quarterly Journal of Economics,  110, 1995, 353-378</w:t>
      </w:r>
      <w:r w:rsidRPr="001972F0">
        <w:rPr>
          <w:rFonts w:eastAsia="Calibri"/>
          <w:color w:val="000000"/>
        </w:rPr>
        <w:t xml:space="preserve">, [online] 110, 1995, pp. 353-37 </w:t>
      </w:r>
    </w:p>
    <w:p w:rsidR="00D41071" w:rsidRPr="001972F0" w:rsidRDefault="00D41071" w:rsidP="00D41071">
      <w:pPr>
        <w:autoSpaceDE w:val="0"/>
        <w:autoSpaceDN w:val="0"/>
        <w:adjustRightInd w:val="0"/>
        <w:jc w:val="both"/>
        <w:rPr>
          <w:rFonts w:eastAsia="Calibri"/>
          <w:color w:val="000000"/>
        </w:rPr>
      </w:pPr>
      <w:r w:rsidRPr="001972F0">
        <w:rPr>
          <w:rFonts w:eastAsia="Calibri"/>
          <w:color w:val="000000"/>
        </w:rPr>
        <w:t xml:space="preserve">Grossman, G.M., Krueger, A.B., </w:t>
      </w:r>
      <w:r>
        <w:rPr>
          <w:rFonts w:eastAsia="Calibri"/>
          <w:color w:val="000000"/>
        </w:rPr>
        <w:t>(</w:t>
      </w:r>
      <w:r w:rsidRPr="001972F0">
        <w:rPr>
          <w:rFonts w:eastAsia="Calibri"/>
          <w:color w:val="000000"/>
        </w:rPr>
        <w:t>1995</w:t>
      </w:r>
      <w:r>
        <w:rPr>
          <w:rFonts w:eastAsia="Calibri"/>
          <w:color w:val="000000"/>
        </w:rPr>
        <w:t>),</w:t>
      </w:r>
      <w:r w:rsidRPr="001972F0">
        <w:rPr>
          <w:rFonts w:eastAsia="Calibri"/>
          <w:color w:val="000000"/>
        </w:rPr>
        <w:t xml:space="preserve"> Economic Growth and the Environment. </w:t>
      </w:r>
      <w:r w:rsidRPr="00957073">
        <w:rPr>
          <w:rFonts w:eastAsia="Calibri"/>
          <w:i/>
          <w:color w:val="000000"/>
        </w:rPr>
        <w:t>Q. J. Econ.</w:t>
      </w:r>
      <w:r w:rsidRPr="001972F0">
        <w:rPr>
          <w:rFonts w:eastAsia="Calibri"/>
          <w:color w:val="000000"/>
        </w:rPr>
        <w:t xml:space="preserve"> 110, 353–377. doi.org/10.2307/2118443 </w:t>
      </w:r>
    </w:p>
    <w:p w:rsidR="00D41071" w:rsidRPr="001972F0" w:rsidRDefault="00D41071" w:rsidP="00D41071">
      <w:pPr>
        <w:pStyle w:val="ParaAttribute3"/>
        <w:rPr>
          <w:rFonts w:eastAsia="Times New Roman"/>
          <w:color w:val="000000"/>
          <w:sz w:val="24"/>
          <w:szCs w:val="24"/>
        </w:rPr>
      </w:pPr>
      <w:r w:rsidRPr="001972F0">
        <w:rPr>
          <w:rFonts w:eastAsia="Times New Roman"/>
          <w:color w:val="000000"/>
          <w:sz w:val="24"/>
          <w:szCs w:val="24"/>
        </w:rPr>
        <w:t>Jansson, F. and Johnsson, P. (2017). Human pressure on the environment: A study on population, affluence and technology on ecological footprint. A Bachelor Thesis in Economics, Jonkoping University international Business School.</w:t>
      </w:r>
    </w:p>
    <w:p w:rsidR="00D41071" w:rsidRPr="001972F0" w:rsidRDefault="00D41071" w:rsidP="00D41071">
      <w:pPr>
        <w:autoSpaceDE w:val="0"/>
        <w:autoSpaceDN w:val="0"/>
        <w:adjustRightInd w:val="0"/>
        <w:jc w:val="both"/>
        <w:rPr>
          <w:rFonts w:eastAsia="Calibri"/>
          <w:color w:val="000000"/>
        </w:rPr>
      </w:pPr>
      <w:r w:rsidRPr="001972F0">
        <w:rPr>
          <w:rFonts w:eastAsia="Calibri"/>
          <w:color w:val="000000"/>
        </w:rPr>
        <w:t xml:space="preserve">Ozturk, I., Bilgili, F., </w:t>
      </w:r>
      <w:r>
        <w:rPr>
          <w:rFonts w:eastAsia="Calibri"/>
          <w:color w:val="000000"/>
        </w:rPr>
        <w:t>(</w:t>
      </w:r>
      <w:r w:rsidRPr="001972F0">
        <w:rPr>
          <w:rFonts w:eastAsia="Calibri"/>
          <w:color w:val="000000"/>
        </w:rPr>
        <w:t>2015</w:t>
      </w:r>
      <w:r>
        <w:rPr>
          <w:rFonts w:eastAsia="Calibri"/>
          <w:color w:val="000000"/>
        </w:rPr>
        <w:t>),</w:t>
      </w:r>
      <w:r w:rsidRPr="001972F0">
        <w:rPr>
          <w:rFonts w:eastAsia="Calibri"/>
          <w:color w:val="000000"/>
        </w:rPr>
        <w:t xml:space="preserve"> Economic growth and biomass consumption nexus: Dynamic panel analysis for Sub-Sahara African countries</w:t>
      </w:r>
      <w:r>
        <w:rPr>
          <w:rFonts w:eastAsia="Calibri"/>
          <w:color w:val="000000"/>
        </w:rPr>
        <w:t xml:space="preserve">, </w:t>
      </w:r>
      <w:r w:rsidRPr="000713B3">
        <w:rPr>
          <w:rFonts w:eastAsia="Calibri"/>
          <w:i/>
          <w:color w:val="000000"/>
        </w:rPr>
        <w:t>Appl. Energy 137</w:t>
      </w:r>
      <w:r w:rsidRPr="001972F0">
        <w:rPr>
          <w:rFonts w:eastAsia="Calibri"/>
          <w:color w:val="000000"/>
        </w:rPr>
        <w:t>,</w:t>
      </w:r>
      <w:r>
        <w:rPr>
          <w:rFonts w:eastAsia="Calibri"/>
          <w:color w:val="000000"/>
        </w:rPr>
        <w:t xml:space="preserve"> </w:t>
      </w:r>
      <w:r w:rsidRPr="001972F0">
        <w:rPr>
          <w:rFonts w:eastAsia="Calibri"/>
          <w:color w:val="000000"/>
        </w:rPr>
        <w:t xml:space="preserve">110–116. doi.org/10.1016/j.apenergy.2014.10.017 </w:t>
      </w:r>
    </w:p>
    <w:p w:rsidR="00D41071" w:rsidRPr="001972F0" w:rsidRDefault="00D41071" w:rsidP="00D41071">
      <w:pPr>
        <w:spacing w:before="100" w:beforeAutospacing="1" w:after="100" w:afterAutospacing="1"/>
        <w:jc w:val="both"/>
        <w:rPr>
          <w:color w:val="000000"/>
        </w:rPr>
      </w:pPr>
      <w:r w:rsidRPr="001972F0">
        <w:rPr>
          <w:color w:val="000000"/>
        </w:rPr>
        <w:t>Pesaran</w:t>
      </w:r>
      <w:r>
        <w:rPr>
          <w:color w:val="000000"/>
        </w:rPr>
        <w:t>,</w:t>
      </w:r>
      <w:r w:rsidRPr="001972F0">
        <w:rPr>
          <w:color w:val="000000"/>
        </w:rPr>
        <w:t xml:space="preserve"> M</w:t>
      </w:r>
      <w:r>
        <w:rPr>
          <w:color w:val="000000"/>
        </w:rPr>
        <w:t>.</w:t>
      </w:r>
      <w:r w:rsidRPr="001972F0">
        <w:rPr>
          <w:color w:val="000000"/>
        </w:rPr>
        <w:t>H, Shin Y, Smith R</w:t>
      </w:r>
      <w:r>
        <w:rPr>
          <w:color w:val="000000"/>
        </w:rPr>
        <w:t xml:space="preserve">. </w:t>
      </w:r>
      <w:r w:rsidRPr="001972F0">
        <w:rPr>
          <w:color w:val="000000"/>
        </w:rPr>
        <w:t>J (2001)</w:t>
      </w:r>
      <w:r>
        <w:rPr>
          <w:color w:val="000000"/>
        </w:rPr>
        <w:t>,</w:t>
      </w:r>
      <w:r w:rsidRPr="001972F0">
        <w:rPr>
          <w:color w:val="000000"/>
        </w:rPr>
        <w:t xml:space="preserve"> Bounds testing approaches to the analysis of level relationships</w:t>
      </w:r>
      <w:r>
        <w:rPr>
          <w:color w:val="000000"/>
        </w:rPr>
        <w:t>,</w:t>
      </w:r>
      <w:r w:rsidRPr="001972F0">
        <w:rPr>
          <w:color w:val="000000"/>
        </w:rPr>
        <w:t xml:space="preserve"> </w:t>
      </w:r>
      <w:r w:rsidRPr="000713B3">
        <w:rPr>
          <w:i/>
          <w:color w:val="000000"/>
        </w:rPr>
        <w:t>Jo</w:t>
      </w:r>
      <w:r>
        <w:rPr>
          <w:i/>
          <w:color w:val="000000"/>
        </w:rPr>
        <w:t>u</w:t>
      </w:r>
      <w:r w:rsidRPr="000713B3">
        <w:rPr>
          <w:i/>
          <w:color w:val="000000"/>
        </w:rPr>
        <w:t>rnal of Econ</w:t>
      </w:r>
      <w:r w:rsidRPr="001972F0">
        <w:rPr>
          <w:color w:val="000000"/>
        </w:rPr>
        <w:t xml:space="preserve"> </w:t>
      </w:r>
      <w:r>
        <w:rPr>
          <w:color w:val="000000"/>
        </w:rPr>
        <w:t>(</w:t>
      </w:r>
      <w:r w:rsidRPr="001972F0">
        <w:rPr>
          <w:color w:val="000000"/>
        </w:rPr>
        <w:t>16</w:t>
      </w:r>
      <w:r>
        <w:rPr>
          <w:color w:val="000000"/>
        </w:rPr>
        <w:t>),</w:t>
      </w:r>
      <w:r w:rsidRPr="001972F0">
        <w:rPr>
          <w:color w:val="000000"/>
        </w:rPr>
        <w:t xml:space="preserve">289–326 </w:t>
      </w:r>
    </w:p>
    <w:p w:rsidR="00D41071" w:rsidRPr="001972F0" w:rsidRDefault="00D41071" w:rsidP="00D41071">
      <w:pPr>
        <w:pStyle w:val="ParaAttribute3"/>
        <w:rPr>
          <w:rFonts w:eastAsia="Times New Roman"/>
          <w:color w:val="000000"/>
          <w:sz w:val="24"/>
          <w:szCs w:val="24"/>
        </w:rPr>
      </w:pPr>
      <w:r w:rsidRPr="001972F0">
        <w:rPr>
          <w:rFonts w:eastAsia="Times New Roman"/>
          <w:color w:val="000000"/>
          <w:sz w:val="24"/>
          <w:szCs w:val="24"/>
        </w:rPr>
        <w:t>Richardson</w:t>
      </w:r>
      <w:r>
        <w:rPr>
          <w:rFonts w:eastAsia="Times New Roman"/>
          <w:color w:val="000000"/>
          <w:sz w:val="24"/>
          <w:szCs w:val="24"/>
        </w:rPr>
        <w:t>, K.</w:t>
      </w:r>
      <w:r w:rsidRPr="001972F0">
        <w:rPr>
          <w:rFonts w:eastAsia="Times New Roman"/>
          <w:color w:val="000000"/>
          <w:sz w:val="24"/>
          <w:szCs w:val="24"/>
        </w:rPr>
        <w:t xml:space="preserve"> and Nnadi</w:t>
      </w:r>
      <w:r>
        <w:rPr>
          <w:rFonts w:eastAsia="Times New Roman"/>
          <w:color w:val="000000"/>
          <w:sz w:val="24"/>
          <w:szCs w:val="24"/>
        </w:rPr>
        <w:t>,</w:t>
      </w:r>
      <w:r w:rsidRPr="001972F0">
        <w:rPr>
          <w:rFonts w:eastAsia="Times New Roman"/>
          <w:color w:val="000000"/>
          <w:sz w:val="24"/>
          <w:szCs w:val="24"/>
        </w:rPr>
        <w:t xml:space="preserve"> </w:t>
      </w:r>
      <w:r>
        <w:rPr>
          <w:rFonts w:eastAsia="Times New Roman"/>
          <w:color w:val="000000"/>
          <w:sz w:val="24"/>
          <w:szCs w:val="24"/>
        </w:rPr>
        <w:t xml:space="preserve">P. </w:t>
      </w:r>
      <w:r w:rsidRPr="001972F0">
        <w:rPr>
          <w:rFonts w:eastAsia="Times New Roman"/>
          <w:color w:val="000000"/>
          <w:sz w:val="24"/>
          <w:szCs w:val="24"/>
        </w:rPr>
        <w:t>(2018). Urban population growth and environmental sustainability in Nigeria</w:t>
      </w:r>
      <w:r>
        <w:rPr>
          <w:rFonts w:eastAsia="Times New Roman"/>
          <w:color w:val="000000"/>
          <w:sz w:val="24"/>
          <w:szCs w:val="24"/>
        </w:rPr>
        <w:t>,</w:t>
      </w:r>
      <w:r w:rsidRPr="001972F0">
        <w:rPr>
          <w:rFonts w:eastAsia="Times New Roman"/>
          <w:color w:val="000000"/>
          <w:sz w:val="24"/>
          <w:szCs w:val="24"/>
        </w:rPr>
        <w:t xml:space="preserve"> </w:t>
      </w:r>
      <w:r w:rsidRPr="007B6B59">
        <w:rPr>
          <w:rFonts w:eastAsia="Times New Roman"/>
          <w:i/>
          <w:color w:val="000000"/>
          <w:sz w:val="24"/>
          <w:szCs w:val="24"/>
        </w:rPr>
        <w:t>Journal of Empirical Studies,</w:t>
      </w:r>
      <w:r w:rsidRPr="001972F0">
        <w:rPr>
          <w:rFonts w:eastAsia="Times New Roman"/>
          <w:color w:val="000000"/>
          <w:sz w:val="24"/>
          <w:szCs w:val="24"/>
        </w:rPr>
        <w:t xml:space="preserve"> 5</w:t>
      </w:r>
      <w:r>
        <w:rPr>
          <w:rFonts w:eastAsia="Times New Roman"/>
          <w:color w:val="000000"/>
          <w:sz w:val="24"/>
          <w:szCs w:val="24"/>
        </w:rPr>
        <w:t xml:space="preserve"> (</w:t>
      </w:r>
      <w:r w:rsidRPr="001972F0">
        <w:rPr>
          <w:rFonts w:eastAsia="Times New Roman"/>
          <w:color w:val="000000"/>
          <w:sz w:val="24"/>
          <w:szCs w:val="24"/>
        </w:rPr>
        <w:t>1</w:t>
      </w:r>
      <w:r>
        <w:rPr>
          <w:rFonts w:eastAsia="Times New Roman"/>
          <w:color w:val="000000"/>
          <w:sz w:val="24"/>
          <w:szCs w:val="24"/>
        </w:rPr>
        <w:t xml:space="preserve">), </w:t>
      </w:r>
      <w:r w:rsidRPr="001972F0">
        <w:rPr>
          <w:rFonts w:eastAsia="Times New Roman"/>
          <w:color w:val="000000"/>
          <w:sz w:val="24"/>
          <w:szCs w:val="24"/>
        </w:rPr>
        <w:t>12-19.</w:t>
      </w:r>
    </w:p>
    <w:p w:rsidR="00D41071" w:rsidRPr="001972F0" w:rsidRDefault="00D41071" w:rsidP="00D41071">
      <w:pPr>
        <w:spacing w:before="100" w:beforeAutospacing="1" w:after="100" w:afterAutospacing="1"/>
        <w:jc w:val="both"/>
        <w:rPr>
          <w:color w:val="000000"/>
        </w:rPr>
      </w:pPr>
      <w:r w:rsidRPr="001972F0">
        <w:rPr>
          <w:color w:val="000000"/>
          <w:shd w:val="clear" w:color="auto" w:fill="FFFFFF"/>
        </w:rPr>
        <w:t>Rosa, E</w:t>
      </w:r>
      <w:r>
        <w:rPr>
          <w:color w:val="000000"/>
          <w:shd w:val="clear" w:color="auto" w:fill="FFFFFF"/>
        </w:rPr>
        <w:t>.</w:t>
      </w:r>
      <w:r w:rsidRPr="001972F0">
        <w:rPr>
          <w:color w:val="000000"/>
          <w:shd w:val="clear" w:color="auto" w:fill="FFFFFF"/>
        </w:rPr>
        <w:t xml:space="preserve"> and Thomas D. </w:t>
      </w:r>
      <w:r>
        <w:rPr>
          <w:color w:val="000000"/>
          <w:shd w:val="clear" w:color="auto" w:fill="FFFFFF"/>
        </w:rPr>
        <w:t>(</w:t>
      </w:r>
      <w:r w:rsidRPr="001972F0">
        <w:rPr>
          <w:color w:val="000000"/>
          <w:shd w:val="clear" w:color="auto" w:fill="FFFFFF"/>
        </w:rPr>
        <w:t>1998</w:t>
      </w:r>
      <w:r>
        <w:rPr>
          <w:color w:val="000000"/>
          <w:shd w:val="clear" w:color="auto" w:fill="FFFFFF"/>
        </w:rPr>
        <w:t>),</w:t>
      </w:r>
      <w:r w:rsidRPr="001972F0">
        <w:rPr>
          <w:color w:val="000000"/>
          <w:shd w:val="clear" w:color="auto" w:fill="FFFFFF"/>
        </w:rPr>
        <w:t xml:space="preserve"> “Climate Change and Society:</w:t>
      </w:r>
      <w:r>
        <w:rPr>
          <w:color w:val="000000"/>
          <w:shd w:val="clear" w:color="auto" w:fill="FFFFFF"/>
        </w:rPr>
        <w:t xml:space="preserve"> </w:t>
      </w:r>
      <w:r w:rsidRPr="001972F0">
        <w:rPr>
          <w:color w:val="000000"/>
          <w:shd w:val="clear" w:color="auto" w:fill="FFFFFF"/>
        </w:rPr>
        <w:t>Speculation,, Construction,, and Scientific Investigation”</w:t>
      </w:r>
      <w:r>
        <w:rPr>
          <w:color w:val="000000"/>
          <w:shd w:val="clear" w:color="auto" w:fill="FFFFFF"/>
        </w:rPr>
        <w:t xml:space="preserve">, </w:t>
      </w:r>
      <w:r w:rsidRPr="001972F0">
        <w:rPr>
          <w:i/>
          <w:iCs/>
          <w:color w:val="000000"/>
          <w:shd w:val="clear" w:color="auto" w:fill="FFFFFF"/>
        </w:rPr>
        <w:t xml:space="preserve">International Sociology </w:t>
      </w:r>
      <w:r w:rsidRPr="001972F0">
        <w:rPr>
          <w:color w:val="000000"/>
          <w:shd w:val="clear" w:color="auto" w:fill="FFFFFF"/>
        </w:rPr>
        <w:t>, 13(44)</w:t>
      </w:r>
      <w:r>
        <w:rPr>
          <w:color w:val="000000"/>
          <w:shd w:val="clear" w:color="auto" w:fill="FFFFFF"/>
        </w:rPr>
        <w:t>,</w:t>
      </w:r>
      <w:r w:rsidRPr="001972F0">
        <w:rPr>
          <w:color w:val="000000"/>
          <w:shd w:val="clear" w:color="auto" w:fill="FFFFFF"/>
        </w:rPr>
        <w:t xml:space="preserve"> 421 - 455.. </w:t>
      </w:r>
    </w:p>
    <w:p w:rsidR="00D41071" w:rsidRPr="001972F0" w:rsidRDefault="00D41071" w:rsidP="00D41071">
      <w:pPr>
        <w:spacing w:before="100" w:beforeAutospacing="1" w:after="100" w:afterAutospacing="1"/>
        <w:jc w:val="both"/>
        <w:rPr>
          <w:color w:val="000000"/>
        </w:rPr>
      </w:pPr>
      <w:r w:rsidRPr="001972F0">
        <w:rPr>
          <w:color w:val="000000"/>
          <w:shd w:val="clear" w:color="auto" w:fill="FFFFFF"/>
        </w:rPr>
        <w:t>Rosa, E</w:t>
      </w:r>
      <w:r>
        <w:rPr>
          <w:color w:val="000000"/>
          <w:shd w:val="clear" w:color="auto" w:fill="FFFFFF"/>
        </w:rPr>
        <w:t>.</w:t>
      </w:r>
      <w:r w:rsidRPr="001972F0">
        <w:rPr>
          <w:color w:val="000000"/>
          <w:shd w:val="clear" w:color="auto" w:fill="FFFFFF"/>
        </w:rPr>
        <w:t>, Richard</w:t>
      </w:r>
      <w:r>
        <w:rPr>
          <w:color w:val="000000"/>
          <w:shd w:val="clear" w:color="auto" w:fill="FFFFFF"/>
        </w:rPr>
        <w:t xml:space="preserve">, </w:t>
      </w:r>
      <w:r w:rsidRPr="001972F0">
        <w:rPr>
          <w:color w:val="000000"/>
          <w:shd w:val="clear" w:color="auto" w:fill="FFFFFF"/>
        </w:rPr>
        <w:t>Y</w:t>
      </w:r>
      <w:r>
        <w:rPr>
          <w:color w:val="000000"/>
          <w:shd w:val="clear" w:color="auto" w:fill="FFFFFF"/>
        </w:rPr>
        <w:t>.</w:t>
      </w:r>
      <w:r w:rsidRPr="001972F0">
        <w:rPr>
          <w:color w:val="000000"/>
          <w:shd w:val="clear" w:color="auto" w:fill="FFFFFF"/>
        </w:rPr>
        <w:t xml:space="preserve"> and Thomas</w:t>
      </w:r>
      <w:r>
        <w:rPr>
          <w:color w:val="000000"/>
          <w:shd w:val="clear" w:color="auto" w:fill="FFFFFF"/>
        </w:rPr>
        <w:t>,</w:t>
      </w:r>
      <w:r w:rsidRPr="001972F0">
        <w:rPr>
          <w:color w:val="000000"/>
          <w:shd w:val="clear" w:color="auto" w:fill="FFFFFF"/>
        </w:rPr>
        <w:t xml:space="preserve"> D.</w:t>
      </w:r>
      <w:r>
        <w:rPr>
          <w:color w:val="000000"/>
          <w:shd w:val="clear" w:color="auto" w:fill="FFFFFF"/>
        </w:rPr>
        <w:t>, (</w:t>
      </w:r>
      <w:r w:rsidRPr="001972F0">
        <w:rPr>
          <w:color w:val="000000"/>
          <w:shd w:val="clear" w:color="auto" w:fill="FFFFFF"/>
        </w:rPr>
        <w:t>200</w:t>
      </w:r>
      <w:r>
        <w:rPr>
          <w:color w:val="000000"/>
          <w:shd w:val="clear" w:color="auto" w:fill="FFFFFF"/>
        </w:rPr>
        <w:t>4),</w:t>
      </w:r>
      <w:r w:rsidRPr="001972F0">
        <w:rPr>
          <w:color w:val="000000"/>
          <w:shd w:val="clear" w:color="auto" w:fill="FFFFFF"/>
        </w:rPr>
        <w:t xml:space="preserve"> “Tracking the Anthropogenic Drivers of Ecological Impacts</w:t>
      </w:r>
      <w:r>
        <w:rPr>
          <w:color w:val="000000"/>
          <w:shd w:val="clear" w:color="auto" w:fill="FFFFFF"/>
        </w:rPr>
        <w:t>”,</w:t>
      </w:r>
      <w:r w:rsidRPr="001972F0">
        <w:rPr>
          <w:color w:val="000000"/>
          <w:shd w:val="clear" w:color="auto" w:fill="FFFFFF"/>
        </w:rPr>
        <w:t xml:space="preserve"> </w:t>
      </w:r>
      <w:r w:rsidRPr="001972F0">
        <w:rPr>
          <w:i/>
          <w:iCs/>
          <w:color w:val="000000"/>
          <w:shd w:val="clear" w:color="auto" w:fill="FFFFFF"/>
        </w:rPr>
        <w:t xml:space="preserve">Ambio </w:t>
      </w:r>
      <w:r w:rsidRPr="001972F0">
        <w:rPr>
          <w:color w:val="000000"/>
          <w:shd w:val="clear" w:color="auto" w:fill="FFFFFF"/>
        </w:rPr>
        <w:t>, 33(88)</w:t>
      </w:r>
      <w:r>
        <w:rPr>
          <w:color w:val="000000"/>
          <w:shd w:val="clear" w:color="auto" w:fill="FFFFFF"/>
        </w:rPr>
        <w:t xml:space="preserve">, </w:t>
      </w:r>
      <w:r w:rsidRPr="001972F0">
        <w:rPr>
          <w:color w:val="000000"/>
          <w:shd w:val="clear" w:color="auto" w:fill="FFFFFF"/>
        </w:rPr>
        <w:t xml:space="preserve">5509 - 512.. </w:t>
      </w:r>
    </w:p>
    <w:p w:rsidR="00D41071" w:rsidRDefault="00D41071" w:rsidP="00D41071">
      <w:pPr>
        <w:pStyle w:val="ParaAttribute3"/>
        <w:rPr>
          <w:rFonts w:eastAsia="Times New Roman"/>
          <w:color w:val="000000"/>
          <w:sz w:val="24"/>
          <w:szCs w:val="24"/>
        </w:rPr>
      </w:pPr>
      <w:r w:rsidRPr="001972F0">
        <w:rPr>
          <w:rFonts w:eastAsia="Times New Roman"/>
          <w:color w:val="000000"/>
          <w:sz w:val="24"/>
          <w:szCs w:val="24"/>
        </w:rPr>
        <w:t>Saka, A.</w:t>
      </w:r>
      <w:r>
        <w:rPr>
          <w:rFonts w:eastAsia="Times New Roman"/>
          <w:color w:val="000000"/>
          <w:sz w:val="24"/>
          <w:szCs w:val="24"/>
        </w:rPr>
        <w:t xml:space="preserve"> </w:t>
      </w:r>
      <w:r w:rsidRPr="001972F0">
        <w:rPr>
          <w:rFonts w:eastAsia="Times New Roman"/>
          <w:color w:val="000000"/>
          <w:sz w:val="24"/>
          <w:szCs w:val="24"/>
        </w:rPr>
        <w:t>(2014)</w:t>
      </w:r>
      <w:r>
        <w:rPr>
          <w:rFonts w:eastAsia="Times New Roman"/>
          <w:color w:val="000000"/>
          <w:sz w:val="24"/>
          <w:szCs w:val="24"/>
        </w:rPr>
        <w:t>,</w:t>
      </w:r>
      <w:r w:rsidRPr="001972F0">
        <w:rPr>
          <w:rFonts w:eastAsia="Times New Roman"/>
          <w:color w:val="000000"/>
          <w:sz w:val="24"/>
          <w:szCs w:val="24"/>
        </w:rPr>
        <w:t xml:space="preserve"> Urban population growth and the environment in China: An investigation</w:t>
      </w:r>
      <w:r>
        <w:rPr>
          <w:rFonts w:eastAsia="Times New Roman"/>
          <w:color w:val="000000"/>
          <w:sz w:val="24"/>
          <w:szCs w:val="24"/>
        </w:rPr>
        <w:t>,</w:t>
      </w:r>
      <w:r w:rsidRPr="001972F0">
        <w:rPr>
          <w:rFonts w:eastAsia="Times New Roman"/>
          <w:color w:val="000000"/>
          <w:sz w:val="24"/>
          <w:szCs w:val="24"/>
        </w:rPr>
        <w:t xml:space="preserve"> </w:t>
      </w:r>
      <w:r w:rsidRPr="007B6B59">
        <w:rPr>
          <w:rFonts w:eastAsia="Times New Roman"/>
          <w:i/>
          <w:color w:val="000000"/>
          <w:sz w:val="24"/>
          <w:szCs w:val="24"/>
        </w:rPr>
        <w:t>Advances in Management and Applied Economics</w:t>
      </w:r>
      <w:r w:rsidRPr="001972F0">
        <w:rPr>
          <w:rFonts w:eastAsia="Times New Roman"/>
          <w:color w:val="000000"/>
          <w:sz w:val="24"/>
          <w:szCs w:val="24"/>
        </w:rPr>
        <w:t>, 4</w:t>
      </w:r>
      <w:r>
        <w:rPr>
          <w:rFonts w:eastAsia="Times New Roman"/>
          <w:color w:val="000000"/>
          <w:sz w:val="24"/>
          <w:szCs w:val="24"/>
        </w:rPr>
        <w:t>(</w:t>
      </w:r>
      <w:r w:rsidRPr="001972F0">
        <w:rPr>
          <w:rFonts w:eastAsia="Times New Roman"/>
          <w:color w:val="000000"/>
          <w:sz w:val="24"/>
          <w:szCs w:val="24"/>
        </w:rPr>
        <w:t>1</w:t>
      </w:r>
      <w:r>
        <w:rPr>
          <w:rFonts w:eastAsia="Times New Roman"/>
          <w:color w:val="000000"/>
          <w:sz w:val="24"/>
          <w:szCs w:val="24"/>
        </w:rPr>
        <w:t xml:space="preserve">), </w:t>
      </w:r>
      <w:r w:rsidRPr="001972F0">
        <w:rPr>
          <w:rFonts w:eastAsia="Times New Roman"/>
          <w:color w:val="000000"/>
          <w:sz w:val="24"/>
          <w:szCs w:val="24"/>
        </w:rPr>
        <w:t>137-149.</w:t>
      </w:r>
    </w:p>
    <w:p w:rsidR="00D41071" w:rsidRPr="007B6B59" w:rsidRDefault="00D41071" w:rsidP="00D41071">
      <w:r w:rsidRPr="007B6B59">
        <w:rPr>
          <w:color w:val="333333"/>
          <w:shd w:val="clear" w:color="auto" w:fill="FFFFFF"/>
        </w:rPr>
        <w:t>Salim, R</w:t>
      </w:r>
      <w:r>
        <w:rPr>
          <w:color w:val="333333"/>
          <w:shd w:val="clear" w:color="auto" w:fill="FFFFFF"/>
        </w:rPr>
        <w:t>.</w:t>
      </w:r>
      <w:r w:rsidRPr="007B6B59">
        <w:rPr>
          <w:color w:val="333333"/>
          <w:shd w:val="clear" w:color="auto" w:fill="FFFFFF"/>
        </w:rPr>
        <w:t xml:space="preserve"> A. </w:t>
      </w:r>
      <w:r>
        <w:rPr>
          <w:color w:val="333333"/>
          <w:shd w:val="clear" w:color="auto" w:fill="FFFFFF"/>
        </w:rPr>
        <w:t>and</w:t>
      </w:r>
      <w:r w:rsidRPr="007B6B59">
        <w:rPr>
          <w:color w:val="333333"/>
          <w:shd w:val="clear" w:color="auto" w:fill="FFFFFF"/>
        </w:rPr>
        <w:t xml:space="preserve"> Shafiei, S</w:t>
      </w:r>
      <w:r>
        <w:rPr>
          <w:color w:val="333333"/>
          <w:shd w:val="clear" w:color="auto" w:fill="FFFFFF"/>
        </w:rPr>
        <w:t>.</w:t>
      </w:r>
      <w:r w:rsidRPr="007B6B59">
        <w:rPr>
          <w:color w:val="333333"/>
          <w:shd w:val="clear" w:color="auto" w:fill="FFFFFF"/>
        </w:rPr>
        <w:t xml:space="preserve"> </w:t>
      </w:r>
      <w:r>
        <w:rPr>
          <w:color w:val="333333"/>
          <w:shd w:val="clear" w:color="auto" w:fill="FFFFFF"/>
        </w:rPr>
        <w:t>(</w:t>
      </w:r>
      <w:r w:rsidRPr="007B6B59">
        <w:rPr>
          <w:color w:val="333333"/>
          <w:shd w:val="clear" w:color="auto" w:fill="FFFFFF"/>
        </w:rPr>
        <w:t>2014</w:t>
      </w:r>
      <w:r>
        <w:rPr>
          <w:color w:val="333333"/>
          <w:shd w:val="clear" w:color="auto" w:fill="FFFFFF"/>
        </w:rPr>
        <w:t>)</w:t>
      </w:r>
      <w:r w:rsidRPr="007B6B59">
        <w:rPr>
          <w:color w:val="333333"/>
          <w:shd w:val="clear" w:color="auto" w:fill="FFFFFF"/>
        </w:rPr>
        <w:t xml:space="preserve"> </w:t>
      </w:r>
      <w:r>
        <w:rPr>
          <w:color w:val="333333"/>
          <w:shd w:val="clear" w:color="auto" w:fill="FFFFFF"/>
        </w:rPr>
        <w:t xml:space="preserve">, </w:t>
      </w:r>
      <w:r w:rsidRPr="007B6B59">
        <w:rPr>
          <w:color w:val="333333"/>
          <w:shd w:val="clear" w:color="auto" w:fill="FFFFFF"/>
        </w:rPr>
        <w:t>"</w:t>
      </w:r>
      <w:hyperlink r:id="rId12" w:history="1">
        <w:r w:rsidRPr="008F4F1E">
          <w:rPr>
            <w:bCs/>
            <w:color w:val="000000"/>
          </w:rPr>
          <w:t>Urbanization and renewable and non-renewable energy consumption in OECD countries: An</w:t>
        </w:r>
        <w:r w:rsidRPr="008F4F1E">
          <w:rPr>
            <w:bCs/>
            <w:color w:val="000000"/>
          </w:rPr>
          <w:t xml:space="preserve"> </w:t>
        </w:r>
        <w:r w:rsidRPr="008F4F1E">
          <w:rPr>
            <w:bCs/>
            <w:color w:val="000000"/>
          </w:rPr>
          <w:t>empirical analysis</w:t>
        </w:r>
      </w:hyperlink>
      <w:r w:rsidRPr="008F4F1E">
        <w:rPr>
          <w:color w:val="000000"/>
          <w:shd w:val="clear" w:color="auto" w:fill="FFFFFF"/>
        </w:rPr>
        <w:t>," </w:t>
      </w:r>
      <w:hyperlink r:id="rId13" w:history="1">
        <w:r w:rsidRPr="008F4F1E">
          <w:rPr>
            <w:i/>
            <w:color w:val="000000"/>
          </w:rPr>
          <w:t>Economic Modelling</w:t>
        </w:r>
      </w:hyperlink>
      <w:r w:rsidRPr="008F4F1E">
        <w:rPr>
          <w:i/>
          <w:color w:val="000000"/>
          <w:shd w:val="clear" w:color="auto" w:fill="FFFFFF"/>
        </w:rPr>
        <w:t xml:space="preserve">, </w:t>
      </w:r>
      <w:r w:rsidRPr="007B6B59">
        <w:rPr>
          <w:i/>
          <w:color w:val="333333"/>
          <w:shd w:val="clear" w:color="auto" w:fill="FFFFFF"/>
        </w:rPr>
        <w:t>Elsevier</w:t>
      </w:r>
      <w:r w:rsidRPr="007B6B59">
        <w:rPr>
          <w:color w:val="333333"/>
          <w:shd w:val="clear" w:color="auto" w:fill="FFFFFF"/>
        </w:rPr>
        <w:t>,</w:t>
      </w:r>
      <w:r>
        <w:rPr>
          <w:color w:val="333333"/>
          <w:shd w:val="clear" w:color="auto" w:fill="FFFFFF"/>
        </w:rPr>
        <w:t xml:space="preserve"> </w:t>
      </w:r>
      <w:r w:rsidRPr="007B6B59">
        <w:rPr>
          <w:color w:val="333333"/>
          <w:shd w:val="clear" w:color="auto" w:fill="FFFFFF"/>
        </w:rPr>
        <w:t>38(C), 581-591.</w:t>
      </w:r>
      <w:r>
        <w:t xml:space="preserve"> </w:t>
      </w:r>
      <w:r w:rsidRPr="001972F0">
        <w:rPr>
          <w:rFonts w:eastAsia="Calibri"/>
          <w:color w:val="000000"/>
        </w:rPr>
        <w:t xml:space="preserve">https:/ddoi..oorg//110.1016//jj..eeconmod..22014.02.008 </w:t>
      </w:r>
    </w:p>
    <w:p w:rsidR="00D41071" w:rsidRPr="001972F0" w:rsidRDefault="00D41071" w:rsidP="00D41071">
      <w:pPr>
        <w:spacing w:before="100" w:beforeAutospacing="1" w:after="100" w:afterAutospacing="1"/>
        <w:jc w:val="both"/>
        <w:rPr>
          <w:color w:val="000000"/>
        </w:rPr>
      </w:pPr>
      <w:r w:rsidRPr="001972F0">
        <w:rPr>
          <w:color w:val="000000"/>
        </w:rPr>
        <w:t>Shahbaz M, Sbia R, Hamdi H, Ozturk I</w:t>
      </w:r>
      <w:r>
        <w:rPr>
          <w:color w:val="000000"/>
        </w:rPr>
        <w:t>.</w:t>
      </w:r>
      <w:r w:rsidRPr="001972F0">
        <w:rPr>
          <w:color w:val="000000"/>
        </w:rPr>
        <w:t xml:space="preserve"> (2014)</w:t>
      </w:r>
      <w:r>
        <w:rPr>
          <w:color w:val="000000"/>
        </w:rPr>
        <w:t>,</w:t>
      </w:r>
      <w:r w:rsidRPr="001972F0">
        <w:rPr>
          <w:color w:val="000000"/>
        </w:rPr>
        <w:t xml:space="preserve"> Economic growth, electricity consumption, urbanization and environmental degradation relationship in United Arab Emirates</w:t>
      </w:r>
      <w:r>
        <w:rPr>
          <w:color w:val="000000"/>
        </w:rPr>
        <w:t>,</w:t>
      </w:r>
      <w:r w:rsidRPr="001972F0">
        <w:rPr>
          <w:color w:val="000000"/>
        </w:rPr>
        <w:t xml:space="preserve"> </w:t>
      </w:r>
      <w:r w:rsidRPr="007B6B59">
        <w:rPr>
          <w:i/>
          <w:color w:val="000000"/>
        </w:rPr>
        <w:t>Ecol Indic</w:t>
      </w:r>
      <w:r w:rsidRPr="001972F0">
        <w:rPr>
          <w:color w:val="000000"/>
        </w:rPr>
        <w:t xml:space="preserve"> 45</w:t>
      </w:r>
      <w:r>
        <w:rPr>
          <w:color w:val="000000"/>
        </w:rPr>
        <w:t xml:space="preserve">, </w:t>
      </w:r>
      <w:r w:rsidRPr="001972F0">
        <w:rPr>
          <w:color w:val="000000"/>
        </w:rPr>
        <w:t xml:space="preserve">622–631 </w:t>
      </w:r>
    </w:p>
    <w:p w:rsidR="00D41071" w:rsidRPr="001972F0" w:rsidRDefault="00D41071" w:rsidP="00D41071">
      <w:pPr>
        <w:autoSpaceDE w:val="0"/>
        <w:autoSpaceDN w:val="0"/>
        <w:adjustRightInd w:val="0"/>
        <w:jc w:val="both"/>
        <w:rPr>
          <w:rFonts w:eastAsia="Calibri"/>
          <w:color w:val="000000"/>
        </w:rPr>
      </w:pPr>
      <w:r w:rsidRPr="001972F0">
        <w:rPr>
          <w:rFonts w:eastAsia="Calibri"/>
          <w:color w:val="000000"/>
        </w:rPr>
        <w:lastRenderedPageBreak/>
        <w:t>Shaheen,, A., Sheng, J., Arshad, S., Salam, S., and Hafeez, M. (2018)</w:t>
      </w:r>
      <w:r>
        <w:rPr>
          <w:rFonts w:eastAsia="Calibri"/>
          <w:color w:val="000000"/>
        </w:rPr>
        <w:t>,</w:t>
      </w:r>
      <w:r w:rsidRPr="001972F0">
        <w:rPr>
          <w:rFonts w:eastAsia="Calibri"/>
          <w:color w:val="000000"/>
        </w:rPr>
        <w:t xml:space="preserve"> The Dynamic Linkage between Income, Energy Consumption, Urbanization and Carbon Emissions in Pakistan. </w:t>
      </w:r>
      <w:r w:rsidRPr="001972F0">
        <w:rPr>
          <w:rFonts w:eastAsia="Calibri"/>
          <w:i/>
          <w:iCs/>
          <w:color w:val="000000"/>
        </w:rPr>
        <w:t>Pol. J. Environ. Stud</w:t>
      </w:r>
      <w:r w:rsidRPr="001972F0">
        <w:rPr>
          <w:rFonts w:eastAsia="Calibri"/>
          <w:color w:val="000000"/>
        </w:rPr>
        <w:t xml:space="preserve">. </w:t>
      </w:r>
      <w:r w:rsidRPr="001972F0">
        <w:rPr>
          <w:rFonts w:eastAsia="Calibri"/>
          <w:i/>
          <w:iCs/>
          <w:color w:val="000000"/>
        </w:rPr>
        <w:t xml:space="preserve">29 </w:t>
      </w:r>
      <w:r w:rsidRPr="001972F0">
        <w:rPr>
          <w:rFonts w:eastAsia="Calibri"/>
          <w:color w:val="000000"/>
        </w:rPr>
        <w:t>(11)</w:t>
      </w:r>
      <w:r>
        <w:rPr>
          <w:rFonts w:eastAsia="Calibri"/>
          <w:color w:val="000000"/>
        </w:rPr>
        <w:t>,</w:t>
      </w:r>
      <w:r w:rsidRPr="001972F0">
        <w:rPr>
          <w:rFonts w:eastAsia="Calibri"/>
          <w:color w:val="000000"/>
        </w:rPr>
        <w:t xml:space="preserve"> 267 – 276. </w:t>
      </w:r>
    </w:p>
    <w:p w:rsidR="00D41071" w:rsidRPr="001972F0" w:rsidRDefault="00D41071" w:rsidP="00D41071">
      <w:pPr>
        <w:spacing w:before="100" w:beforeAutospacing="1" w:after="100" w:afterAutospacing="1"/>
        <w:jc w:val="both"/>
        <w:rPr>
          <w:color w:val="000000"/>
        </w:rPr>
      </w:pPr>
      <w:r w:rsidRPr="001972F0">
        <w:rPr>
          <w:color w:val="000000"/>
        </w:rPr>
        <w:t>Sharma S, (2011)</w:t>
      </w:r>
      <w:r>
        <w:rPr>
          <w:color w:val="000000"/>
        </w:rPr>
        <w:t xml:space="preserve">, </w:t>
      </w:r>
      <w:r w:rsidRPr="001972F0">
        <w:rPr>
          <w:color w:val="000000"/>
        </w:rPr>
        <w:t>Determinants of carbon dioxide emissions: empirical evidence from 69 countries</w:t>
      </w:r>
      <w:r>
        <w:rPr>
          <w:color w:val="000000"/>
        </w:rPr>
        <w:t>,</w:t>
      </w:r>
      <w:r w:rsidRPr="001972F0">
        <w:rPr>
          <w:color w:val="000000"/>
        </w:rPr>
        <w:t xml:space="preserve"> </w:t>
      </w:r>
      <w:r w:rsidRPr="007B6B59">
        <w:rPr>
          <w:i/>
          <w:color w:val="000000"/>
        </w:rPr>
        <w:t xml:space="preserve">Energy </w:t>
      </w:r>
      <w:r w:rsidRPr="001972F0">
        <w:rPr>
          <w:color w:val="000000"/>
        </w:rPr>
        <w:t>88(1)</w:t>
      </w:r>
      <w:r>
        <w:rPr>
          <w:color w:val="000000"/>
        </w:rPr>
        <w:t xml:space="preserve">, </w:t>
      </w:r>
      <w:r w:rsidRPr="001972F0">
        <w:rPr>
          <w:color w:val="000000"/>
        </w:rPr>
        <w:t xml:space="preserve">376–382 </w:t>
      </w:r>
    </w:p>
    <w:p w:rsidR="00D41071" w:rsidRPr="001972F0" w:rsidRDefault="00D41071" w:rsidP="00D41071">
      <w:pPr>
        <w:pStyle w:val="ParaAttribute3"/>
        <w:rPr>
          <w:rFonts w:eastAsia="Times New Roman"/>
          <w:color w:val="000000"/>
          <w:sz w:val="24"/>
          <w:szCs w:val="24"/>
        </w:rPr>
      </w:pPr>
      <w:r w:rsidRPr="001972F0">
        <w:rPr>
          <w:rStyle w:val="CharAttribute1"/>
          <w:rFonts w:eastAsia="Batang"/>
          <w:color w:val="000000"/>
          <w:szCs w:val="24"/>
        </w:rPr>
        <w:t>Shi, A. (2003)</w:t>
      </w:r>
      <w:r>
        <w:rPr>
          <w:rStyle w:val="CharAttribute1"/>
          <w:rFonts w:eastAsia="Batang"/>
          <w:color w:val="000000"/>
          <w:szCs w:val="24"/>
        </w:rPr>
        <w:t>,</w:t>
      </w:r>
      <w:r w:rsidRPr="001972F0">
        <w:rPr>
          <w:rStyle w:val="CharAttribute1"/>
          <w:rFonts w:eastAsia="Batang"/>
          <w:color w:val="000000"/>
          <w:szCs w:val="24"/>
        </w:rPr>
        <w:t xml:space="preserve"> “The impact of population pressure on global carbon dioxide emissions, 1975-1996: evidence from pooled cross-country data”,  </w:t>
      </w:r>
      <w:r w:rsidRPr="007B6B59">
        <w:rPr>
          <w:rStyle w:val="CharAttribute1"/>
          <w:rFonts w:eastAsia="Batang"/>
          <w:i/>
          <w:color w:val="000000"/>
          <w:szCs w:val="24"/>
        </w:rPr>
        <w:t>Ecological Economics</w:t>
      </w:r>
      <w:r w:rsidRPr="001972F0">
        <w:rPr>
          <w:rStyle w:val="CharAttribute1"/>
          <w:rFonts w:eastAsia="Batang"/>
          <w:color w:val="000000"/>
          <w:szCs w:val="24"/>
        </w:rPr>
        <w:t xml:space="preserve"> 44</w:t>
      </w:r>
      <w:r>
        <w:rPr>
          <w:rStyle w:val="CharAttribute1"/>
          <w:rFonts w:eastAsia="Batang"/>
          <w:color w:val="000000"/>
          <w:szCs w:val="24"/>
        </w:rPr>
        <w:t xml:space="preserve">, </w:t>
      </w:r>
      <w:r w:rsidRPr="001972F0">
        <w:rPr>
          <w:rStyle w:val="CharAttribute1"/>
          <w:rFonts w:eastAsia="Batang"/>
          <w:color w:val="000000"/>
          <w:szCs w:val="24"/>
        </w:rPr>
        <w:t>29-42.</w:t>
      </w:r>
    </w:p>
    <w:p w:rsidR="00D41071" w:rsidRDefault="00D41071" w:rsidP="00D41071">
      <w:pPr>
        <w:autoSpaceDE w:val="0"/>
        <w:autoSpaceDN w:val="0"/>
        <w:adjustRightInd w:val="0"/>
        <w:spacing w:after="40"/>
        <w:jc w:val="both"/>
        <w:rPr>
          <w:rFonts w:eastAsia="Calibri"/>
          <w:color w:val="000000"/>
        </w:rPr>
      </w:pPr>
      <w:r w:rsidRPr="001972F0">
        <w:rPr>
          <w:rFonts w:eastAsia="Calibri"/>
          <w:bCs/>
          <w:color w:val="000000"/>
        </w:rPr>
        <w:t>Ulucak. R. and Bilgili. F</w:t>
      </w:r>
      <w:r>
        <w:rPr>
          <w:rFonts w:eastAsia="Calibri"/>
          <w:bCs/>
          <w:color w:val="000000"/>
        </w:rPr>
        <w:t xml:space="preserve"> </w:t>
      </w:r>
      <w:r w:rsidRPr="001972F0">
        <w:rPr>
          <w:rFonts w:eastAsia="Calibri"/>
          <w:bCs/>
          <w:color w:val="000000"/>
        </w:rPr>
        <w:t>(201</w:t>
      </w:r>
      <w:r>
        <w:rPr>
          <w:rFonts w:eastAsia="Calibri"/>
          <w:bCs/>
          <w:color w:val="000000"/>
        </w:rPr>
        <w:t>8</w:t>
      </w:r>
      <w:r w:rsidRPr="001972F0">
        <w:rPr>
          <w:rFonts w:eastAsia="Calibri"/>
          <w:bCs/>
          <w:color w:val="000000"/>
        </w:rPr>
        <w:t>)</w:t>
      </w:r>
      <w:r>
        <w:rPr>
          <w:rFonts w:eastAsia="Calibri"/>
          <w:bCs/>
          <w:color w:val="000000"/>
        </w:rPr>
        <w:t xml:space="preserve">, </w:t>
      </w:r>
      <w:r w:rsidRPr="001972F0">
        <w:rPr>
          <w:rFonts w:eastAsia="Calibri"/>
          <w:bCs/>
          <w:color w:val="000000"/>
        </w:rPr>
        <w:t>A reinvestigation of EKC model by ecological footprint measurement for high, middle and low income countries</w:t>
      </w:r>
      <w:r>
        <w:rPr>
          <w:rFonts w:eastAsia="Calibri"/>
          <w:b/>
          <w:bCs/>
          <w:color w:val="000000"/>
        </w:rPr>
        <w:t xml:space="preserve">, </w:t>
      </w:r>
      <w:r w:rsidRPr="00CA4C65">
        <w:rPr>
          <w:rFonts w:eastAsia="Calibri"/>
          <w:i/>
          <w:color w:val="000000"/>
        </w:rPr>
        <w:t>Journal of Cleaner Production</w:t>
      </w:r>
      <w:r>
        <w:rPr>
          <w:rFonts w:eastAsia="Calibri"/>
          <w:color w:val="000000"/>
        </w:rPr>
        <w:t>, 188, 144-157.</w:t>
      </w:r>
    </w:p>
    <w:p w:rsidR="00D41071" w:rsidRPr="001972F0" w:rsidRDefault="00D41071" w:rsidP="00D41071">
      <w:pPr>
        <w:spacing w:before="100" w:beforeAutospacing="1" w:after="100" w:afterAutospacing="1"/>
        <w:jc w:val="both"/>
        <w:rPr>
          <w:color w:val="000000"/>
        </w:rPr>
      </w:pPr>
      <w:r w:rsidRPr="001972F0">
        <w:rPr>
          <w:color w:val="000000"/>
        </w:rPr>
        <w:t>United Nations (2014): http://www.un.org/en/development/desa/news/ population/world- urbanization-prospects-2014.html</w:t>
      </w:r>
      <w:r>
        <w:rPr>
          <w:color w:val="000000"/>
        </w:rPr>
        <w:t>, Accessed on 24</w:t>
      </w:r>
      <w:r w:rsidRPr="00B3462D">
        <w:rPr>
          <w:color w:val="000000"/>
          <w:vertAlign w:val="superscript"/>
        </w:rPr>
        <w:t>th</w:t>
      </w:r>
      <w:r>
        <w:rPr>
          <w:color w:val="000000"/>
        </w:rPr>
        <w:t xml:space="preserve"> march 2021.</w:t>
      </w:r>
    </w:p>
    <w:p w:rsidR="00D41071" w:rsidRPr="001972F0" w:rsidRDefault="00D41071" w:rsidP="00D41071">
      <w:pPr>
        <w:spacing w:before="100" w:beforeAutospacing="1" w:after="100" w:afterAutospacing="1"/>
        <w:jc w:val="both"/>
        <w:rPr>
          <w:color w:val="000000"/>
        </w:rPr>
      </w:pPr>
      <w:r w:rsidRPr="001972F0">
        <w:rPr>
          <w:color w:val="000000"/>
        </w:rPr>
        <w:t>Yahaya, S.N., Hussain, M. and Bashir, M.B.</w:t>
      </w:r>
      <w:r>
        <w:rPr>
          <w:color w:val="000000"/>
        </w:rPr>
        <w:t xml:space="preserve"> </w:t>
      </w:r>
      <w:r w:rsidRPr="001972F0">
        <w:rPr>
          <w:color w:val="000000"/>
        </w:rPr>
        <w:t>(2020)</w:t>
      </w:r>
      <w:r>
        <w:rPr>
          <w:color w:val="000000"/>
        </w:rPr>
        <w:t xml:space="preserve">, </w:t>
      </w:r>
      <w:r w:rsidRPr="001972F0">
        <w:rPr>
          <w:color w:val="000000"/>
        </w:rPr>
        <w:t>Population growth and environmental degradation in Nigeria</w:t>
      </w:r>
      <w:r>
        <w:rPr>
          <w:color w:val="000000"/>
        </w:rPr>
        <w:t xml:space="preserve">, </w:t>
      </w:r>
      <w:r w:rsidRPr="00B3462D">
        <w:rPr>
          <w:i/>
          <w:color w:val="000000"/>
        </w:rPr>
        <w:t>Academic Journal of Economic Studies</w:t>
      </w:r>
      <w:r w:rsidRPr="001972F0">
        <w:rPr>
          <w:color w:val="000000"/>
        </w:rPr>
        <w:t>,</w:t>
      </w:r>
      <w:r>
        <w:rPr>
          <w:color w:val="000000"/>
        </w:rPr>
        <w:t xml:space="preserve"> </w:t>
      </w:r>
      <w:r w:rsidRPr="001972F0">
        <w:rPr>
          <w:color w:val="000000"/>
        </w:rPr>
        <w:t>6</w:t>
      </w:r>
      <w:r>
        <w:rPr>
          <w:color w:val="000000"/>
        </w:rPr>
        <w:t>(</w:t>
      </w:r>
      <w:r w:rsidRPr="001972F0">
        <w:rPr>
          <w:color w:val="000000"/>
        </w:rPr>
        <w:t>1</w:t>
      </w:r>
      <w:r>
        <w:rPr>
          <w:color w:val="000000"/>
        </w:rPr>
        <w:t>)</w:t>
      </w:r>
      <w:r w:rsidRPr="001972F0">
        <w:rPr>
          <w:color w:val="000000"/>
        </w:rPr>
        <w:t xml:space="preserve"> </w:t>
      </w:r>
      <w:r>
        <w:rPr>
          <w:color w:val="000000"/>
        </w:rPr>
        <w:t xml:space="preserve">, </w:t>
      </w:r>
      <w:r w:rsidRPr="001972F0">
        <w:rPr>
          <w:color w:val="000000"/>
        </w:rPr>
        <w:t>31-35.</w:t>
      </w:r>
    </w:p>
    <w:p w:rsidR="00D41071" w:rsidRPr="001972F0" w:rsidRDefault="00D41071" w:rsidP="00D41071">
      <w:pPr>
        <w:spacing w:before="100" w:beforeAutospacing="1" w:after="100" w:afterAutospacing="1"/>
        <w:jc w:val="both"/>
        <w:rPr>
          <w:color w:val="000000"/>
        </w:rPr>
      </w:pPr>
      <w:r w:rsidRPr="001972F0">
        <w:rPr>
          <w:color w:val="000000"/>
        </w:rPr>
        <w:t>York</w:t>
      </w:r>
      <w:r>
        <w:rPr>
          <w:color w:val="000000"/>
        </w:rPr>
        <w:t>,</w:t>
      </w:r>
      <w:r w:rsidRPr="001972F0">
        <w:rPr>
          <w:color w:val="000000"/>
        </w:rPr>
        <w:t xml:space="preserve"> R</w:t>
      </w:r>
      <w:r>
        <w:rPr>
          <w:color w:val="000000"/>
        </w:rPr>
        <w:t>.</w:t>
      </w:r>
      <w:r w:rsidRPr="001972F0">
        <w:rPr>
          <w:color w:val="000000"/>
        </w:rPr>
        <w:t>, Rosa E</w:t>
      </w:r>
      <w:r>
        <w:rPr>
          <w:color w:val="000000"/>
        </w:rPr>
        <w:t>.</w:t>
      </w:r>
      <w:r w:rsidRPr="001972F0">
        <w:rPr>
          <w:color w:val="000000"/>
        </w:rPr>
        <w:t>A, Dietz</w:t>
      </w:r>
      <w:r>
        <w:rPr>
          <w:color w:val="000000"/>
        </w:rPr>
        <w:t>,</w:t>
      </w:r>
      <w:r w:rsidRPr="001972F0">
        <w:rPr>
          <w:color w:val="000000"/>
        </w:rPr>
        <w:t xml:space="preserve"> T</w:t>
      </w:r>
      <w:r>
        <w:rPr>
          <w:color w:val="000000"/>
        </w:rPr>
        <w:t>.</w:t>
      </w:r>
      <w:r w:rsidRPr="001972F0">
        <w:rPr>
          <w:color w:val="000000"/>
        </w:rPr>
        <w:t xml:space="preserve"> (2003) STIRPAT, IPAT and IMPACT: analytic tools for unpacking the driving forces of environmental impacts</w:t>
      </w:r>
      <w:r>
        <w:rPr>
          <w:color w:val="000000"/>
        </w:rPr>
        <w:t xml:space="preserve">, </w:t>
      </w:r>
      <w:r w:rsidRPr="00B3462D">
        <w:rPr>
          <w:i/>
          <w:color w:val="000000"/>
        </w:rPr>
        <w:t>Ecol Econ</w:t>
      </w:r>
      <w:r w:rsidRPr="001972F0">
        <w:rPr>
          <w:color w:val="000000"/>
        </w:rPr>
        <w:t xml:space="preserve"> 46(3)</w:t>
      </w:r>
      <w:r>
        <w:rPr>
          <w:color w:val="000000"/>
        </w:rPr>
        <w:t xml:space="preserve">, </w:t>
      </w:r>
      <w:r w:rsidRPr="001972F0">
        <w:rPr>
          <w:color w:val="000000"/>
        </w:rPr>
        <w:t>351–365</w:t>
      </w:r>
      <w:r>
        <w:rPr>
          <w:rFonts w:eastAsia="Calibri"/>
          <w:color w:val="000000"/>
        </w:rPr>
        <w:t>.</w:t>
      </w:r>
    </w:p>
    <w:p w:rsidR="00D41071" w:rsidRPr="001972F0" w:rsidRDefault="00D41071" w:rsidP="00D41071">
      <w:pPr>
        <w:pStyle w:val="ParaAttribute3"/>
        <w:rPr>
          <w:rFonts w:eastAsia="Times New Roman"/>
          <w:color w:val="000000"/>
          <w:sz w:val="24"/>
          <w:szCs w:val="24"/>
        </w:rPr>
      </w:pPr>
    </w:p>
    <w:p w:rsidR="00D41071" w:rsidRPr="001972F0" w:rsidRDefault="00D41071" w:rsidP="00D41071">
      <w:pPr>
        <w:pStyle w:val="ParaAttribute3"/>
        <w:rPr>
          <w:rFonts w:eastAsia="Times New Roman"/>
          <w:color w:val="000000"/>
          <w:sz w:val="24"/>
          <w:szCs w:val="24"/>
        </w:rPr>
      </w:pPr>
    </w:p>
    <w:p w:rsidR="00D41071" w:rsidRPr="001972F0" w:rsidRDefault="00D41071" w:rsidP="00D41071">
      <w:pPr>
        <w:pStyle w:val="ParaAttribute3"/>
        <w:rPr>
          <w:rFonts w:eastAsia="Times New Roman"/>
          <w:color w:val="000000"/>
          <w:sz w:val="24"/>
          <w:szCs w:val="24"/>
        </w:rPr>
      </w:pPr>
    </w:p>
    <w:p w:rsidR="00D41071" w:rsidRPr="001972F0" w:rsidRDefault="00D41071" w:rsidP="00D41071">
      <w:pPr>
        <w:pStyle w:val="ParaAttribute3"/>
        <w:rPr>
          <w:rFonts w:eastAsia="Times New Roman"/>
          <w:color w:val="000000"/>
          <w:sz w:val="24"/>
          <w:szCs w:val="24"/>
        </w:rPr>
      </w:pPr>
    </w:p>
    <w:p w:rsidR="00D41071" w:rsidRPr="001972F0" w:rsidRDefault="00D41071" w:rsidP="00D41071">
      <w:pPr>
        <w:pStyle w:val="ParaAttribute3"/>
        <w:rPr>
          <w:rFonts w:eastAsia="Times New Roman"/>
          <w:color w:val="000000"/>
          <w:sz w:val="24"/>
          <w:szCs w:val="24"/>
        </w:rPr>
      </w:pPr>
    </w:p>
    <w:p w:rsidR="00D41071" w:rsidRPr="001972F0" w:rsidRDefault="00D41071" w:rsidP="00D41071">
      <w:pPr>
        <w:pStyle w:val="ParaAttribute3"/>
        <w:rPr>
          <w:rFonts w:eastAsia="Times New Roman"/>
          <w:color w:val="000000"/>
          <w:sz w:val="24"/>
          <w:szCs w:val="24"/>
        </w:rPr>
      </w:pPr>
    </w:p>
    <w:p w:rsidR="00D41071" w:rsidRPr="001972F0" w:rsidRDefault="00D41071" w:rsidP="00D41071">
      <w:pPr>
        <w:pStyle w:val="ParaAttribute3"/>
        <w:rPr>
          <w:rFonts w:eastAsia="Times New Roman"/>
          <w:color w:val="000000"/>
          <w:sz w:val="24"/>
          <w:szCs w:val="24"/>
        </w:rPr>
      </w:pPr>
    </w:p>
    <w:p w:rsidR="00D41071" w:rsidRPr="001972F0" w:rsidRDefault="00D41071" w:rsidP="00D41071">
      <w:pPr>
        <w:pStyle w:val="ParaAttribute3"/>
        <w:rPr>
          <w:rFonts w:eastAsia="Times New Roman"/>
          <w:color w:val="000000"/>
          <w:sz w:val="24"/>
          <w:szCs w:val="24"/>
        </w:rPr>
      </w:pPr>
    </w:p>
    <w:p w:rsidR="00D41071" w:rsidRPr="001972F0" w:rsidRDefault="00D41071" w:rsidP="00D41071">
      <w:pPr>
        <w:pStyle w:val="ParaAttribute3"/>
        <w:rPr>
          <w:rFonts w:eastAsia="Times New Roman"/>
          <w:color w:val="000000"/>
          <w:sz w:val="24"/>
          <w:szCs w:val="24"/>
        </w:rPr>
      </w:pPr>
    </w:p>
    <w:p w:rsidR="00D41071" w:rsidRPr="001972F0" w:rsidRDefault="00D41071" w:rsidP="00D41071">
      <w:pPr>
        <w:pStyle w:val="ParaAttribute3"/>
        <w:rPr>
          <w:rFonts w:eastAsia="Times New Roman"/>
          <w:color w:val="000000"/>
          <w:sz w:val="24"/>
          <w:szCs w:val="24"/>
        </w:rPr>
      </w:pPr>
    </w:p>
    <w:p w:rsidR="00D41071" w:rsidRPr="001972F0" w:rsidRDefault="00D41071" w:rsidP="00D41071">
      <w:pPr>
        <w:jc w:val="both"/>
        <w:rPr>
          <w:color w:val="000000"/>
        </w:rPr>
      </w:pPr>
    </w:p>
    <w:p w:rsidR="00DB2E72" w:rsidRDefault="00DB2E72">
      <w:bookmarkStart w:id="0" w:name="_GoBack"/>
      <w:bookmarkEnd w:id="0"/>
    </w:p>
    <w:sectPr w:rsidR="00DB2E72" w:rsidSect="00585103">
      <w:headerReference w:type="default" r:id="rId14"/>
      <w:footerReference w:type="even" r:id="rId15"/>
      <w:footerReference w:type="default" r:id="rId16"/>
      <w:pgSz w:w="11906" w:h="16838" w:orient="landscape" w:code="9"/>
      <w:pgMar w:top="1440" w:right="1440" w:bottom="1440" w:left="1440" w:header="708" w:footer="268" w:gutter="0"/>
      <w:cols w:space="720"/>
      <w:titlePg/>
      <w:docGrid w:linePitch="360"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IDFont+F3">
    <w:altName w:val="MS Mincho"/>
    <w:panose1 w:val="020B0604020202020204"/>
    <w:charset w:val="80"/>
    <w:family w:val="auto"/>
    <w:pitch w:val="default"/>
    <w:sig w:usb0="00000000" w:usb1="08070000" w:usb2="00000010" w:usb3="00000000" w:csb0="00020000" w:csb1="00000000"/>
  </w:font>
  <w:font w:name="TimesNewRomanPSMT">
    <w:altName w:val="Times New Roman"/>
    <w:panose1 w:val="020206030504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A21" w:rsidRDefault="00021B6A" w:rsidP="008F4F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107A21" w:rsidRDefault="00021B6A" w:rsidP="00107A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A21" w:rsidRDefault="00021B6A" w:rsidP="008F4F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783D63" w:rsidRDefault="00021B6A" w:rsidP="00107A21">
    <w:pPr>
      <w:pStyle w:val="ParaAttribute2"/>
      <w:ind w:right="360"/>
      <w:rPr>
        <w:rFonts w:ascii="Calibri" w:eastAsia="Calibri" w:hAnsi="Calibri"/>
        <w:sz w:val="22"/>
        <w:szCs w:val="2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D63" w:rsidRDefault="00021B6A">
    <w:pPr>
      <w:pStyle w:val="ParaAttribute0"/>
      <w:spacing w:line="276" w:lineRule="auto"/>
      <w:rPr>
        <w:rFonts w:ascii="Calibri" w:eastAsia="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53629164"/>
    <w:lvl w:ilvl="0" w:tplc="242AC284">
      <w:numFmt w:val="bullet"/>
      <w:lvlText w:val=""/>
      <w:lvlJc w:val="left"/>
      <w:pPr>
        <w:ind w:left="720" w:hanging="360"/>
      </w:pPr>
      <w:rPr>
        <w:rFonts w:ascii="Symbol" w:eastAsia="Symbol" w:hAnsi="Symbol" w:hint="default"/>
        <w:sz w:val="24"/>
      </w:rPr>
    </w:lvl>
    <w:lvl w:ilvl="1" w:tplc="C5C831C8">
      <w:numFmt w:val="bullet"/>
      <w:lvlText w:val=""/>
      <w:lvlJc w:val="left"/>
      <w:pPr>
        <w:ind w:left="720" w:hanging="360"/>
      </w:pPr>
      <w:rPr>
        <w:rFonts w:ascii="Symbol" w:eastAsia="Symbol" w:hAnsi="Symbol" w:hint="default"/>
        <w:sz w:val="24"/>
      </w:rPr>
    </w:lvl>
    <w:lvl w:ilvl="2" w:tplc="51B6081C">
      <w:numFmt w:val="bullet"/>
      <w:lvlText w:val=""/>
      <w:lvlJc w:val="left"/>
      <w:pPr>
        <w:ind w:left="720" w:hanging="360"/>
      </w:pPr>
      <w:rPr>
        <w:rFonts w:ascii="Symbol" w:eastAsia="Symbol" w:hAnsi="Symbol" w:hint="default"/>
        <w:sz w:val="24"/>
      </w:rPr>
    </w:lvl>
    <w:lvl w:ilvl="3" w:tplc="64CA17A8">
      <w:numFmt w:val="bullet"/>
      <w:lvlText w:val=""/>
      <w:lvlJc w:val="left"/>
      <w:pPr>
        <w:ind w:left="720" w:hanging="360"/>
      </w:pPr>
      <w:rPr>
        <w:rFonts w:ascii="Symbol" w:eastAsia="Symbol" w:hAnsi="Symbol" w:hint="default"/>
        <w:sz w:val="24"/>
      </w:rPr>
    </w:lvl>
    <w:lvl w:ilvl="4" w:tplc="0CD0CEC8">
      <w:numFmt w:val="bullet"/>
      <w:lvlText w:val=""/>
      <w:lvlJc w:val="left"/>
      <w:pPr>
        <w:ind w:left="720" w:hanging="360"/>
      </w:pPr>
      <w:rPr>
        <w:rFonts w:ascii="Symbol" w:eastAsia="Symbol" w:hAnsi="Symbol" w:hint="default"/>
        <w:sz w:val="24"/>
      </w:rPr>
    </w:lvl>
    <w:lvl w:ilvl="5" w:tplc="4FDAEBF6">
      <w:numFmt w:val="bullet"/>
      <w:lvlText w:val=""/>
      <w:lvlJc w:val="left"/>
      <w:pPr>
        <w:ind w:left="720" w:hanging="360"/>
      </w:pPr>
      <w:rPr>
        <w:rFonts w:ascii="Symbol" w:eastAsia="Symbol" w:hAnsi="Symbol" w:hint="default"/>
        <w:sz w:val="24"/>
      </w:rPr>
    </w:lvl>
    <w:lvl w:ilvl="6" w:tplc="DBDAE158">
      <w:numFmt w:val="bullet"/>
      <w:lvlText w:val=""/>
      <w:lvlJc w:val="left"/>
      <w:pPr>
        <w:ind w:left="720" w:hanging="360"/>
      </w:pPr>
      <w:rPr>
        <w:rFonts w:ascii="Symbol" w:eastAsia="Symbol" w:hAnsi="Symbol" w:hint="default"/>
        <w:sz w:val="24"/>
      </w:rPr>
    </w:lvl>
    <w:lvl w:ilvl="7" w:tplc="B27600E8">
      <w:numFmt w:val="bullet"/>
      <w:lvlText w:val=""/>
      <w:lvlJc w:val="left"/>
      <w:pPr>
        <w:ind w:left="720" w:hanging="360"/>
      </w:pPr>
      <w:rPr>
        <w:rFonts w:ascii="Symbol" w:eastAsia="Symbol" w:hAnsi="Symbol" w:hint="default"/>
        <w:sz w:val="24"/>
      </w:rPr>
    </w:lvl>
    <w:lvl w:ilvl="8" w:tplc="3E0CA910">
      <w:numFmt w:val="bullet"/>
      <w:lvlText w:val=""/>
      <w:lvlJc w:val="left"/>
      <w:pPr>
        <w:ind w:left="720" w:hanging="360"/>
      </w:pPr>
      <w:rPr>
        <w:rFonts w:ascii="Symbol" w:eastAsia="Symbol" w:hAnsi="Symbol" w:hint="default"/>
        <w:sz w:val="24"/>
      </w:rPr>
    </w:lvl>
  </w:abstractNum>
  <w:abstractNum w:abstractNumId="1" w15:restartNumberingAfterBreak="0">
    <w:nsid w:val="16B37D20"/>
    <w:multiLevelType w:val="hybridMultilevel"/>
    <w:tmpl w:val="05A00AE4"/>
    <w:lvl w:ilvl="0" w:tplc="43DA7612">
      <w:start w:val="1"/>
      <w:numFmt w:val="decimal"/>
      <w:lvlText w:val="%1."/>
      <w:lvlJc w:val="left"/>
      <w:pPr>
        <w:ind w:left="720" w:hanging="360"/>
      </w:pPr>
      <w:rPr>
        <w:rFonts w:eastAsia="SimSu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C20D2"/>
    <w:multiLevelType w:val="multilevel"/>
    <w:tmpl w:val="B1C8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CD6991"/>
    <w:multiLevelType w:val="multilevel"/>
    <w:tmpl w:val="7562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763518"/>
    <w:multiLevelType w:val="multilevel"/>
    <w:tmpl w:val="36F0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262E3F"/>
    <w:multiLevelType w:val="multilevel"/>
    <w:tmpl w:val="A44C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B80E14"/>
    <w:multiLevelType w:val="multilevel"/>
    <w:tmpl w:val="A782B6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B363D3"/>
    <w:multiLevelType w:val="multilevel"/>
    <w:tmpl w:val="DB284F3E"/>
    <w:lvl w:ilvl="0">
      <w:start w:val="1"/>
      <w:numFmt w:val="decimal"/>
      <w:lvlText w:val="%1.0."/>
      <w:lvlJc w:val="left"/>
      <w:pPr>
        <w:ind w:left="720" w:hanging="720"/>
      </w:pPr>
      <w:rPr>
        <w:rFonts w:ascii="Times New Roman" w:hint="default"/>
      </w:rPr>
    </w:lvl>
    <w:lvl w:ilvl="1">
      <w:start w:val="1"/>
      <w:numFmt w:val="decimal"/>
      <w:lvlText w:val="%1.%2."/>
      <w:lvlJc w:val="left"/>
      <w:pPr>
        <w:ind w:left="720" w:hanging="720"/>
      </w:pPr>
      <w:rPr>
        <w:rFonts w:ascii="Times New Roman" w:hint="default"/>
      </w:rPr>
    </w:lvl>
    <w:lvl w:ilvl="2">
      <w:start w:val="1"/>
      <w:numFmt w:val="decimal"/>
      <w:lvlText w:val="%1.%2.%3."/>
      <w:lvlJc w:val="left"/>
      <w:pPr>
        <w:ind w:left="2160" w:hanging="720"/>
      </w:pPr>
      <w:rPr>
        <w:rFonts w:ascii="Times New Roman" w:hint="default"/>
      </w:rPr>
    </w:lvl>
    <w:lvl w:ilvl="3">
      <w:start w:val="1"/>
      <w:numFmt w:val="decimal"/>
      <w:lvlText w:val="%1.%2.%3.%4."/>
      <w:lvlJc w:val="left"/>
      <w:pPr>
        <w:ind w:left="3240" w:hanging="1080"/>
      </w:pPr>
      <w:rPr>
        <w:rFonts w:ascii="Times New Roman" w:hint="default"/>
      </w:rPr>
    </w:lvl>
    <w:lvl w:ilvl="4">
      <w:start w:val="1"/>
      <w:numFmt w:val="decimal"/>
      <w:lvlText w:val="%1.%2.%3.%4.%5."/>
      <w:lvlJc w:val="left"/>
      <w:pPr>
        <w:ind w:left="4320" w:hanging="1440"/>
      </w:pPr>
      <w:rPr>
        <w:rFonts w:ascii="Times New Roman" w:hint="default"/>
      </w:rPr>
    </w:lvl>
    <w:lvl w:ilvl="5">
      <w:start w:val="1"/>
      <w:numFmt w:val="decimal"/>
      <w:lvlText w:val="%1.%2.%3.%4.%5.%6."/>
      <w:lvlJc w:val="left"/>
      <w:pPr>
        <w:ind w:left="5040" w:hanging="1440"/>
      </w:pPr>
      <w:rPr>
        <w:rFonts w:ascii="Times New Roman" w:hint="default"/>
      </w:rPr>
    </w:lvl>
    <w:lvl w:ilvl="6">
      <w:start w:val="1"/>
      <w:numFmt w:val="decimal"/>
      <w:lvlText w:val="%1.%2.%3.%4.%5.%6.%7."/>
      <w:lvlJc w:val="left"/>
      <w:pPr>
        <w:ind w:left="6120" w:hanging="1800"/>
      </w:pPr>
      <w:rPr>
        <w:rFonts w:ascii="Times New Roman" w:hint="default"/>
      </w:rPr>
    </w:lvl>
    <w:lvl w:ilvl="7">
      <w:start w:val="1"/>
      <w:numFmt w:val="decimal"/>
      <w:lvlText w:val="%1.%2.%3.%4.%5.%6.%7.%8."/>
      <w:lvlJc w:val="left"/>
      <w:pPr>
        <w:ind w:left="6840" w:hanging="1800"/>
      </w:pPr>
      <w:rPr>
        <w:rFonts w:ascii="Times New Roman" w:hint="default"/>
      </w:rPr>
    </w:lvl>
    <w:lvl w:ilvl="8">
      <w:start w:val="1"/>
      <w:numFmt w:val="decimal"/>
      <w:lvlText w:val="%1.%2.%3.%4.%5.%6.%7.%8.%9."/>
      <w:lvlJc w:val="left"/>
      <w:pPr>
        <w:ind w:left="7920" w:hanging="2160"/>
      </w:pPr>
      <w:rPr>
        <w:rFonts w:ascii="Times New Roman" w:hint="default"/>
      </w:rPr>
    </w:lvl>
  </w:abstractNum>
  <w:abstractNum w:abstractNumId="8" w15:restartNumberingAfterBreak="0">
    <w:nsid w:val="5F7D124C"/>
    <w:multiLevelType w:val="multilevel"/>
    <w:tmpl w:val="2A8C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5A7013"/>
    <w:multiLevelType w:val="multilevel"/>
    <w:tmpl w:val="BAEE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896C82"/>
    <w:multiLevelType w:val="multilevel"/>
    <w:tmpl w:val="E706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57105C"/>
    <w:multiLevelType w:val="multilevel"/>
    <w:tmpl w:val="75A4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B458A1"/>
    <w:multiLevelType w:val="multilevel"/>
    <w:tmpl w:val="D2DE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4F7413"/>
    <w:multiLevelType w:val="multilevel"/>
    <w:tmpl w:val="9472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3"/>
  </w:num>
  <w:num w:numId="4">
    <w:abstractNumId w:val="10"/>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 w:numId="9">
    <w:abstractNumId w:val="4"/>
  </w:num>
  <w:num w:numId="10">
    <w:abstractNumId w:val="12"/>
  </w:num>
  <w:num w:numId="11">
    <w:abstractNumId w:val="9"/>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071"/>
    <w:rsid w:val="00021B6A"/>
    <w:rsid w:val="00D41071"/>
    <w:rsid w:val="00DB2E72"/>
    <w:rsid w:val="00F7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C5FE4-E54D-904B-9B62-A9A81878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071"/>
    <w:rPr>
      <w:rFonts w:ascii="Times New Roman" w:eastAsia="Times New Roman" w:hAnsi="Times New Roman" w:cs="Times New Roman"/>
    </w:rPr>
  </w:style>
  <w:style w:type="paragraph" w:styleId="Heading1">
    <w:name w:val="heading 1"/>
    <w:basedOn w:val="Normal"/>
    <w:next w:val="Normal"/>
    <w:link w:val="Heading1Char"/>
    <w:uiPriority w:val="9"/>
    <w:qFormat/>
    <w:rsid w:val="00D41071"/>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D4107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071"/>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D41071"/>
    <w:rPr>
      <w:rFonts w:ascii="Times New Roman" w:eastAsia="Times New Roman" w:hAnsi="Times New Roman" w:cs="Times New Roman"/>
      <w:b/>
      <w:bCs/>
      <w:sz w:val="36"/>
      <w:szCs w:val="36"/>
    </w:rPr>
  </w:style>
  <w:style w:type="table" w:customStyle="1" w:styleId="DefaultTable">
    <w:name w:val="Default Table"/>
    <w:rsid w:val="00D41071"/>
    <w:rPr>
      <w:rFonts w:ascii="Times New Roman" w:eastAsia="Batang"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41071"/>
    <w:pPr>
      <w:ind w:left="400"/>
    </w:pPr>
  </w:style>
  <w:style w:type="paragraph" w:customStyle="1" w:styleId="ParaAttribute0">
    <w:name w:val="ParaAttribute0"/>
    <w:rsid w:val="00D41071"/>
    <w:pPr>
      <w:widowControl w:val="0"/>
      <w:wordWrap w:val="0"/>
      <w:spacing w:after="200"/>
      <w:jc w:val="center"/>
    </w:pPr>
    <w:rPr>
      <w:rFonts w:ascii="Times New Roman" w:eastAsia="Batang" w:hAnsi="Times New Roman" w:cs="Times New Roman"/>
      <w:sz w:val="20"/>
      <w:szCs w:val="20"/>
      <w:lang w:val="en-GB" w:eastAsia="en-GB"/>
    </w:rPr>
  </w:style>
  <w:style w:type="paragraph" w:customStyle="1" w:styleId="ParaAttribute2">
    <w:name w:val="ParaAttribute2"/>
    <w:rsid w:val="00D41071"/>
    <w:pPr>
      <w:widowControl w:val="0"/>
      <w:tabs>
        <w:tab w:val="center" w:pos="4320"/>
        <w:tab w:val="right" w:pos="8640"/>
      </w:tabs>
      <w:wordWrap w:val="0"/>
      <w:jc w:val="center"/>
    </w:pPr>
    <w:rPr>
      <w:rFonts w:ascii="Times New Roman" w:eastAsia="Batang" w:hAnsi="Times New Roman" w:cs="Times New Roman"/>
      <w:sz w:val="20"/>
      <w:szCs w:val="20"/>
      <w:lang w:val="en-GB" w:eastAsia="en-GB"/>
    </w:rPr>
  </w:style>
  <w:style w:type="paragraph" w:customStyle="1" w:styleId="ParaAttribute3">
    <w:name w:val="ParaAttribute3"/>
    <w:rsid w:val="00D41071"/>
    <w:pPr>
      <w:widowControl w:val="0"/>
      <w:wordWrap w:val="0"/>
      <w:spacing w:after="200"/>
      <w:jc w:val="both"/>
    </w:pPr>
    <w:rPr>
      <w:rFonts w:ascii="Times New Roman" w:eastAsia="Batang" w:hAnsi="Times New Roman" w:cs="Times New Roman"/>
      <w:sz w:val="20"/>
      <w:szCs w:val="20"/>
      <w:lang w:val="en-GB" w:eastAsia="en-GB"/>
    </w:rPr>
  </w:style>
  <w:style w:type="paragraph" w:customStyle="1" w:styleId="ParaAttribute7">
    <w:name w:val="ParaAttribute7"/>
    <w:rsid w:val="00D41071"/>
    <w:pPr>
      <w:widowControl w:val="0"/>
      <w:wordWrap w:val="0"/>
      <w:jc w:val="both"/>
    </w:pPr>
    <w:rPr>
      <w:rFonts w:ascii="Times New Roman" w:eastAsia="Batang" w:hAnsi="Times New Roman" w:cs="Times New Roman"/>
      <w:sz w:val="20"/>
      <w:szCs w:val="20"/>
      <w:lang w:val="en-GB" w:eastAsia="en-GB"/>
    </w:rPr>
  </w:style>
  <w:style w:type="paragraph" w:customStyle="1" w:styleId="ParaAttribute9">
    <w:name w:val="ParaAttribute9"/>
    <w:rsid w:val="00D41071"/>
    <w:pPr>
      <w:widowControl w:val="0"/>
      <w:wordWrap w:val="0"/>
    </w:pPr>
    <w:rPr>
      <w:rFonts w:ascii="Times New Roman" w:eastAsia="Batang" w:hAnsi="Times New Roman" w:cs="Times New Roman"/>
      <w:sz w:val="20"/>
      <w:szCs w:val="20"/>
      <w:lang w:val="en-GB" w:eastAsia="en-GB"/>
    </w:rPr>
  </w:style>
  <w:style w:type="paragraph" w:customStyle="1" w:styleId="ParaAttribute11">
    <w:name w:val="ParaAttribute11"/>
    <w:rsid w:val="00D41071"/>
    <w:pPr>
      <w:widowControl w:val="0"/>
      <w:wordWrap w:val="0"/>
      <w:spacing w:before="240" w:after="200"/>
      <w:jc w:val="both"/>
    </w:pPr>
    <w:rPr>
      <w:rFonts w:ascii="Times New Roman" w:eastAsia="Batang" w:hAnsi="Times New Roman" w:cs="Times New Roman"/>
      <w:sz w:val="20"/>
      <w:szCs w:val="20"/>
      <w:lang w:val="en-GB" w:eastAsia="en-GB"/>
    </w:rPr>
  </w:style>
  <w:style w:type="paragraph" w:customStyle="1" w:styleId="ParaAttribute12">
    <w:name w:val="ParaAttribute12"/>
    <w:rsid w:val="00D41071"/>
    <w:pPr>
      <w:widowControl w:val="0"/>
      <w:wordWrap w:val="0"/>
      <w:spacing w:after="200"/>
    </w:pPr>
    <w:rPr>
      <w:rFonts w:ascii="Times New Roman" w:eastAsia="Batang" w:hAnsi="Times New Roman" w:cs="Times New Roman"/>
      <w:sz w:val="20"/>
      <w:szCs w:val="20"/>
      <w:lang w:val="en-GB" w:eastAsia="en-GB"/>
    </w:rPr>
  </w:style>
  <w:style w:type="character" w:customStyle="1" w:styleId="CharAttribute1">
    <w:name w:val="CharAttribute1"/>
    <w:rsid w:val="00D41071"/>
    <w:rPr>
      <w:rFonts w:ascii="Times New Roman" w:eastAsia="Times New Roman"/>
      <w:sz w:val="24"/>
    </w:rPr>
  </w:style>
  <w:style w:type="character" w:customStyle="1" w:styleId="CharAttribute3">
    <w:name w:val="CharAttribute3"/>
    <w:rsid w:val="00D41071"/>
    <w:rPr>
      <w:rFonts w:ascii="Times New Roman" w:eastAsia="Times New Roman"/>
      <w:sz w:val="24"/>
    </w:rPr>
  </w:style>
  <w:style w:type="character" w:customStyle="1" w:styleId="CharAttribute4">
    <w:name w:val="CharAttribute4"/>
    <w:rsid w:val="00D41071"/>
    <w:rPr>
      <w:rFonts w:ascii="Times New Roman" w:eastAsia="Times New Roman"/>
      <w:b/>
      <w:sz w:val="24"/>
    </w:rPr>
  </w:style>
  <w:style w:type="character" w:customStyle="1" w:styleId="CharAttribute6">
    <w:name w:val="CharAttribute6"/>
    <w:rsid w:val="00D41071"/>
    <w:rPr>
      <w:rFonts w:ascii="Times New Roman" w:eastAsia="Times New Roman"/>
      <w:color w:val="0000FF"/>
      <w:sz w:val="24"/>
      <w:u w:val="single"/>
    </w:rPr>
  </w:style>
  <w:style w:type="character" w:customStyle="1" w:styleId="CharAttribute8">
    <w:name w:val="CharAttribute8"/>
    <w:rsid w:val="00D41071"/>
    <w:rPr>
      <w:rFonts w:ascii="Times New Roman" w:eastAsia="Times New Roman"/>
      <w:b/>
      <w:i/>
      <w:sz w:val="24"/>
    </w:rPr>
  </w:style>
  <w:style w:type="character" w:customStyle="1" w:styleId="CharAttribute14">
    <w:name w:val="CharAttribute14"/>
    <w:rsid w:val="00D41071"/>
    <w:rPr>
      <w:rFonts w:ascii="Calibri" w:eastAsia="Calibri"/>
      <w:sz w:val="22"/>
    </w:rPr>
  </w:style>
  <w:style w:type="character" w:customStyle="1" w:styleId="CharAttribute15">
    <w:name w:val="CharAttribute15"/>
    <w:rsid w:val="00D41071"/>
    <w:rPr>
      <w:rFonts w:ascii="Times New Roman" w:eastAsia="Times New Roman"/>
      <w:sz w:val="24"/>
      <w:vertAlign w:val="superscript"/>
    </w:rPr>
  </w:style>
  <w:style w:type="character" w:customStyle="1" w:styleId="CharAttribute16">
    <w:name w:val="CharAttribute16"/>
    <w:rsid w:val="00D41071"/>
    <w:rPr>
      <w:rFonts w:ascii="Times New Roman" w:eastAsia="Times New Roman"/>
      <w:i/>
      <w:sz w:val="24"/>
    </w:rPr>
  </w:style>
  <w:style w:type="character" w:customStyle="1" w:styleId="CharAttribute17">
    <w:name w:val="CharAttribute17"/>
    <w:rsid w:val="00D41071"/>
    <w:rPr>
      <w:rFonts w:ascii="Times New Roman" w:eastAsia="Times New Roman"/>
      <w:sz w:val="24"/>
      <w:vertAlign w:val="subscript"/>
    </w:rPr>
  </w:style>
  <w:style w:type="character" w:customStyle="1" w:styleId="CharAttribute20">
    <w:name w:val="CharAttribute20"/>
    <w:rsid w:val="00D41071"/>
    <w:rPr>
      <w:rFonts w:ascii="Times New Roman" w:eastAsia="Times New Roman"/>
      <w:b/>
      <w:i/>
      <w:spacing w:val="174"/>
      <w:sz w:val="24"/>
    </w:rPr>
  </w:style>
  <w:style w:type="character" w:customStyle="1" w:styleId="CharAttribute21">
    <w:name w:val="CharAttribute21"/>
    <w:rsid w:val="00D41071"/>
    <w:rPr>
      <w:rFonts w:ascii="Times New Roman" w:eastAsia="Times New Roman"/>
      <w:b/>
      <w:i/>
      <w:spacing w:val="3"/>
      <w:sz w:val="24"/>
    </w:rPr>
  </w:style>
  <w:style w:type="character" w:customStyle="1" w:styleId="CharAttribute22">
    <w:name w:val="CharAttribute22"/>
    <w:rsid w:val="00D41071"/>
    <w:rPr>
      <w:rFonts w:ascii="Times New Roman" w:eastAsia="Times New Roman"/>
      <w:b/>
      <w:i/>
      <w:spacing w:val="71"/>
      <w:sz w:val="24"/>
    </w:rPr>
  </w:style>
  <w:style w:type="character" w:customStyle="1" w:styleId="CharAttribute23">
    <w:name w:val="CharAttribute23"/>
    <w:rsid w:val="00D41071"/>
    <w:rPr>
      <w:rFonts w:ascii="Times New Roman" w:eastAsia="Times New Roman"/>
      <w:b/>
      <w:i/>
      <w:spacing w:val="8"/>
      <w:sz w:val="24"/>
    </w:rPr>
  </w:style>
  <w:style w:type="character" w:customStyle="1" w:styleId="CharAttribute24">
    <w:name w:val="CharAttribute24"/>
    <w:rsid w:val="00D41071"/>
    <w:rPr>
      <w:rFonts w:ascii="Times New Roman" w:eastAsia="Times New Roman"/>
      <w:b/>
      <w:i/>
      <w:spacing w:val="7"/>
      <w:sz w:val="24"/>
    </w:rPr>
  </w:style>
  <w:style w:type="character" w:customStyle="1" w:styleId="CharAttribute25">
    <w:name w:val="CharAttribute25"/>
    <w:rsid w:val="00D41071"/>
    <w:rPr>
      <w:rFonts w:ascii="Times New Roman" w:eastAsia="Times New Roman"/>
      <w:b/>
      <w:i/>
      <w:w w:val="38"/>
      <w:sz w:val="24"/>
    </w:rPr>
  </w:style>
  <w:style w:type="character" w:customStyle="1" w:styleId="CharAttribute26">
    <w:name w:val="CharAttribute26"/>
    <w:rsid w:val="00D41071"/>
    <w:rPr>
      <w:rFonts w:ascii="Times New Roman" w:eastAsia="Times New Roman"/>
      <w:b/>
      <w:i/>
      <w:spacing w:val="10"/>
      <w:w w:val="38"/>
      <w:sz w:val="24"/>
    </w:rPr>
  </w:style>
  <w:style w:type="character" w:customStyle="1" w:styleId="CharAttribute27">
    <w:name w:val="CharAttribute27"/>
    <w:rsid w:val="00D41071"/>
    <w:rPr>
      <w:rFonts w:ascii="Times New Roman" w:eastAsia="Times New Roman"/>
      <w:b/>
      <w:i/>
      <w:spacing w:val="520"/>
      <w:sz w:val="24"/>
    </w:rPr>
  </w:style>
  <w:style w:type="character" w:customStyle="1" w:styleId="CharAttribute28">
    <w:name w:val="CharAttribute28"/>
    <w:rsid w:val="00D41071"/>
    <w:rPr>
      <w:rFonts w:ascii="Times New Roman" w:eastAsia="Times New Roman"/>
      <w:b/>
      <w:i/>
      <w:spacing w:val="1"/>
      <w:sz w:val="24"/>
    </w:rPr>
  </w:style>
  <w:style w:type="character" w:customStyle="1" w:styleId="CharAttribute29">
    <w:name w:val="CharAttribute29"/>
    <w:rsid w:val="00D41071"/>
    <w:rPr>
      <w:rFonts w:ascii="Times New Roman" w:eastAsia="Times New Roman"/>
      <w:b/>
      <w:i/>
      <w:spacing w:val="1"/>
      <w:w w:val="60"/>
      <w:sz w:val="24"/>
    </w:rPr>
  </w:style>
  <w:style w:type="character" w:customStyle="1" w:styleId="CharAttribute30">
    <w:name w:val="CharAttribute30"/>
    <w:rsid w:val="00D41071"/>
    <w:rPr>
      <w:rFonts w:ascii="Times New Roman" w:eastAsia="Times New Roman"/>
      <w:b/>
      <w:i/>
      <w:spacing w:val="4"/>
      <w:w w:val="60"/>
      <w:sz w:val="24"/>
    </w:rPr>
  </w:style>
  <w:style w:type="character" w:customStyle="1" w:styleId="CharAttribute31">
    <w:name w:val="CharAttribute31"/>
    <w:rsid w:val="00D41071"/>
    <w:rPr>
      <w:rFonts w:ascii="Times New Roman" w:eastAsia="Times New Roman"/>
      <w:b/>
      <w:i/>
      <w:spacing w:val="9"/>
      <w:sz w:val="24"/>
    </w:rPr>
  </w:style>
  <w:style w:type="character" w:customStyle="1" w:styleId="CharAttribute32">
    <w:name w:val="CharAttribute32"/>
    <w:rsid w:val="00D41071"/>
    <w:rPr>
      <w:rFonts w:ascii="Times New Roman" w:eastAsia="Times New Roman"/>
      <w:b/>
      <w:i/>
      <w:spacing w:val="60"/>
      <w:sz w:val="24"/>
    </w:rPr>
  </w:style>
  <w:style w:type="character" w:customStyle="1" w:styleId="CharAttribute34">
    <w:name w:val="CharAttribute34"/>
    <w:rsid w:val="00D41071"/>
    <w:rPr>
      <w:rFonts w:ascii="Times New Roman" w:eastAsia="Times New Roman"/>
      <w:b/>
      <w:i/>
      <w:spacing w:val="61"/>
      <w:sz w:val="24"/>
    </w:rPr>
  </w:style>
  <w:style w:type="character" w:customStyle="1" w:styleId="CharAttribute35">
    <w:name w:val="CharAttribute35"/>
    <w:rsid w:val="00D41071"/>
    <w:rPr>
      <w:rFonts w:ascii="Times New Roman" w:eastAsia="Times New Roman"/>
      <w:b/>
      <w:i/>
      <w:spacing w:val="6"/>
      <w:sz w:val="24"/>
    </w:rPr>
  </w:style>
  <w:style w:type="character" w:customStyle="1" w:styleId="CharAttribute36">
    <w:name w:val="CharAttribute36"/>
    <w:rsid w:val="00D41071"/>
    <w:rPr>
      <w:rFonts w:ascii="Times New Roman" w:eastAsia="Times New Roman"/>
      <w:b/>
      <w:i/>
      <w:w w:val="57"/>
      <w:sz w:val="24"/>
    </w:rPr>
  </w:style>
  <w:style w:type="character" w:customStyle="1" w:styleId="CharAttribute37">
    <w:name w:val="CharAttribute37"/>
    <w:rsid w:val="00D41071"/>
    <w:rPr>
      <w:rFonts w:ascii="Times New Roman" w:eastAsia="Times New Roman"/>
      <w:b/>
      <w:i/>
      <w:spacing w:val="7"/>
      <w:w w:val="57"/>
      <w:sz w:val="24"/>
    </w:rPr>
  </w:style>
  <w:style w:type="character" w:customStyle="1" w:styleId="CharAttribute38">
    <w:name w:val="CharAttribute38"/>
    <w:rsid w:val="00D41071"/>
    <w:rPr>
      <w:rFonts w:ascii="Times New Roman" w:eastAsia="Times New Roman"/>
      <w:spacing w:val="79"/>
      <w:sz w:val="24"/>
    </w:rPr>
  </w:style>
  <w:style w:type="character" w:customStyle="1" w:styleId="CharAttribute39">
    <w:name w:val="CharAttribute39"/>
    <w:rsid w:val="00D41071"/>
    <w:rPr>
      <w:rFonts w:ascii="Times New Roman" w:eastAsia="Times New Roman"/>
      <w:spacing w:val="7"/>
      <w:sz w:val="24"/>
    </w:rPr>
  </w:style>
  <w:style w:type="character" w:customStyle="1" w:styleId="CharAttribute41">
    <w:name w:val="CharAttribute41"/>
    <w:rsid w:val="00D41071"/>
    <w:rPr>
      <w:rFonts w:ascii="Times New Roman" w:eastAsia="Times New Roman"/>
      <w:spacing w:val="43"/>
      <w:sz w:val="24"/>
    </w:rPr>
  </w:style>
  <w:style w:type="character" w:customStyle="1" w:styleId="CharAttribute42">
    <w:name w:val="CharAttribute42"/>
    <w:rsid w:val="00D41071"/>
    <w:rPr>
      <w:rFonts w:ascii="Times New Roman" w:eastAsia="Times New Roman"/>
      <w:spacing w:val="2"/>
      <w:sz w:val="24"/>
    </w:rPr>
  </w:style>
  <w:style w:type="character" w:customStyle="1" w:styleId="CharAttribute43">
    <w:name w:val="CharAttribute43"/>
    <w:rsid w:val="00D41071"/>
    <w:rPr>
      <w:rFonts w:ascii="Times New Roman" w:eastAsia="Times New Roman"/>
      <w:w w:val="89"/>
      <w:sz w:val="24"/>
    </w:rPr>
  </w:style>
  <w:style w:type="character" w:customStyle="1" w:styleId="CharAttribute44">
    <w:name w:val="CharAttribute44"/>
    <w:rsid w:val="00D41071"/>
    <w:rPr>
      <w:rFonts w:ascii="Times New Roman" w:eastAsia="Times New Roman"/>
      <w:spacing w:val="15"/>
      <w:w w:val="89"/>
      <w:sz w:val="24"/>
    </w:rPr>
  </w:style>
  <w:style w:type="character" w:customStyle="1" w:styleId="CharAttribute45">
    <w:name w:val="CharAttribute45"/>
    <w:rsid w:val="00D41071"/>
    <w:rPr>
      <w:rFonts w:ascii="Times New Roman" w:eastAsia="Times New Roman"/>
      <w:w w:val="90"/>
      <w:sz w:val="24"/>
    </w:rPr>
  </w:style>
  <w:style w:type="character" w:customStyle="1" w:styleId="CharAttribute46">
    <w:name w:val="CharAttribute46"/>
    <w:rsid w:val="00D41071"/>
    <w:rPr>
      <w:rFonts w:ascii="Times New Roman" w:eastAsia="Times New Roman"/>
      <w:w w:val="87"/>
      <w:sz w:val="24"/>
    </w:rPr>
  </w:style>
  <w:style w:type="character" w:customStyle="1" w:styleId="CharAttribute47">
    <w:name w:val="CharAttribute47"/>
    <w:rsid w:val="00D41071"/>
    <w:rPr>
      <w:rFonts w:ascii="Times New Roman" w:eastAsia="Times New Roman"/>
      <w:spacing w:val="8"/>
      <w:w w:val="87"/>
      <w:sz w:val="24"/>
    </w:rPr>
  </w:style>
  <w:style w:type="character" w:customStyle="1" w:styleId="CharAttribute48">
    <w:name w:val="CharAttribute48"/>
    <w:rsid w:val="00D41071"/>
    <w:rPr>
      <w:rFonts w:ascii="Times New Roman" w:eastAsia="Times New Roman"/>
      <w:w w:val="62"/>
      <w:sz w:val="24"/>
    </w:rPr>
  </w:style>
  <w:style w:type="character" w:customStyle="1" w:styleId="CharAttribute49">
    <w:name w:val="CharAttribute49"/>
    <w:rsid w:val="00D41071"/>
    <w:rPr>
      <w:rFonts w:ascii="Times New Roman" w:eastAsia="Times New Roman"/>
      <w:spacing w:val="12"/>
      <w:w w:val="62"/>
      <w:sz w:val="24"/>
    </w:rPr>
  </w:style>
  <w:style w:type="character" w:customStyle="1" w:styleId="CharAttribute50">
    <w:name w:val="CharAttribute50"/>
    <w:rsid w:val="00D41071"/>
    <w:rPr>
      <w:rFonts w:ascii="Times New Roman" w:eastAsia="Times New Roman"/>
      <w:spacing w:val="81"/>
      <w:sz w:val="24"/>
    </w:rPr>
  </w:style>
  <w:style w:type="character" w:customStyle="1" w:styleId="CharAttribute51">
    <w:name w:val="CharAttribute51"/>
    <w:rsid w:val="00D41071"/>
    <w:rPr>
      <w:rFonts w:ascii="Times New Roman" w:eastAsia="Times New Roman"/>
      <w:spacing w:val="1"/>
      <w:sz w:val="24"/>
    </w:rPr>
  </w:style>
  <w:style w:type="character" w:customStyle="1" w:styleId="CharAttribute52">
    <w:name w:val="CharAttribute52"/>
    <w:rsid w:val="00D41071"/>
    <w:rPr>
      <w:rFonts w:ascii="Times New Roman" w:eastAsia="Times New Roman"/>
      <w:spacing w:val="231"/>
      <w:sz w:val="24"/>
    </w:rPr>
  </w:style>
  <w:style w:type="character" w:customStyle="1" w:styleId="CharAttribute53">
    <w:name w:val="CharAttribute53"/>
    <w:rsid w:val="00D41071"/>
    <w:rPr>
      <w:rFonts w:ascii="Times New Roman" w:eastAsia="Times New Roman"/>
      <w:spacing w:val="4"/>
      <w:sz w:val="24"/>
    </w:rPr>
  </w:style>
  <w:style w:type="character" w:customStyle="1" w:styleId="CharAttribute54">
    <w:name w:val="CharAttribute54"/>
    <w:rsid w:val="00D41071"/>
    <w:rPr>
      <w:rFonts w:ascii="Times New Roman" w:eastAsia="Times New Roman"/>
      <w:spacing w:val="232"/>
      <w:sz w:val="24"/>
    </w:rPr>
  </w:style>
  <w:style w:type="character" w:customStyle="1" w:styleId="CharAttribute55">
    <w:name w:val="CharAttribute55"/>
    <w:rsid w:val="00D41071"/>
    <w:rPr>
      <w:rFonts w:ascii="Times New Roman" w:eastAsia="Times New Roman"/>
      <w:spacing w:val="135"/>
      <w:sz w:val="24"/>
    </w:rPr>
  </w:style>
  <w:style w:type="character" w:customStyle="1" w:styleId="CharAttribute56">
    <w:name w:val="CharAttribute56"/>
    <w:rsid w:val="00D41071"/>
    <w:rPr>
      <w:rFonts w:ascii="Times New Roman" w:eastAsia="Times New Roman"/>
      <w:spacing w:val="85"/>
      <w:sz w:val="24"/>
    </w:rPr>
  </w:style>
  <w:style w:type="character" w:customStyle="1" w:styleId="CharAttribute57">
    <w:name w:val="CharAttribute57"/>
    <w:rsid w:val="00D41071"/>
    <w:rPr>
      <w:rFonts w:ascii="Times New Roman" w:eastAsia="Times New Roman"/>
      <w:spacing w:val="349"/>
      <w:sz w:val="24"/>
    </w:rPr>
  </w:style>
  <w:style w:type="character" w:customStyle="1" w:styleId="CharAttribute58">
    <w:name w:val="CharAttribute58"/>
    <w:rsid w:val="00D41071"/>
    <w:rPr>
      <w:rFonts w:ascii="Times New Roman" w:eastAsia="Times New Roman"/>
      <w:spacing w:val="3"/>
      <w:sz w:val="24"/>
    </w:rPr>
  </w:style>
  <w:style w:type="character" w:customStyle="1" w:styleId="CharAttribute59">
    <w:name w:val="CharAttribute59"/>
    <w:rsid w:val="00D41071"/>
    <w:rPr>
      <w:rFonts w:ascii="Times New Roman" w:eastAsia="Times New Roman"/>
      <w:b/>
      <w:sz w:val="16"/>
    </w:rPr>
  </w:style>
  <w:style w:type="character" w:customStyle="1" w:styleId="CharAttribute63">
    <w:name w:val="CharAttribute63"/>
    <w:rsid w:val="00D41071"/>
    <w:rPr>
      <w:rFonts w:ascii="Times New Roman" w:eastAsia="Times New Roman"/>
      <w:spacing w:val="56"/>
      <w:sz w:val="24"/>
    </w:rPr>
  </w:style>
  <w:style w:type="character" w:customStyle="1" w:styleId="CharAttribute64">
    <w:name w:val="CharAttribute64"/>
    <w:rsid w:val="00D41071"/>
    <w:rPr>
      <w:rFonts w:ascii="Times New Roman" w:eastAsia="Times New Roman"/>
      <w:spacing w:val="8"/>
      <w:sz w:val="24"/>
    </w:rPr>
  </w:style>
  <w:style w:type="character" w:customStyle="1" w:styleId="CharAttribute65">
    <w:name w:val="CharAttribute65"/>
    <w:rsid w:val="00D41071"/>
    <w:rPr>
      <w:rFonts w:ascii="Times New Roman" w:eastAsia="Times New Roman"/>
      <w:w w:val="74"/>
      <w:sz w:val="24"/>
    </w:rPr>
  </w:style>
  <w:style w:type="character" w:customStyle="1" w:styleId="CharAttribute66">
    <w:name w:val="CharAttribute66"/>
    <w:rsid w:val="00D41071"/>
    <w:rPr>
      <w:rFonts w:ascii="Times New Roman" w:eastAsia="Times New Roman"/>
      <w:spacing w:val="19"/>
      <w:w w:val="74"/>
      <w:sz w:val="24"/>
    </w:rPr>
  </w:style>
  <w:style w:type="character" w:customStyle="1" w:styleId="CharAttribute67">
    <w:name w:val="CharAttribute67"/>
    <w:rsid w:val="00D41071"/>
    <w:rPr>
      <w:rFonts w:ascii="Times New Roman" w:eastAsia="Times New Roman"/>
      <w:spacing w:val="5"/>
      <w:sz w:val="24"/>
    </w:rPr>
  </w:style>
  <w:style w:type="character" w:customStyle="1" w:styleId="CharAttribute68">
    <w:name w:val="CharAttribute68"/>
    <w:rsid w:val="00D41071"/>
    <w:rPr>
      <w:rFonts w:ascii="Times New Roman" w:eastAsia="Times New Roman"/>
      <w:spacing w:val="45"/>
      <w:sz w:val="24"/>
    </w:rPr>
  </w:style>
  <w:style w:type="character" w:customStyle="1" w:styleId="CharAttribute69">
    <w:name w:val="CharAttribute69"/>
    <w:rsid w:val="00D41071"/>
    <w:rPr>
      <w:rFonts w:ascii="Times New Roman" w:eastAsia="Times New Roman"/>
      <w:spacing w:val="80"/>
      <w:sz w:val="24"/>
    </w:rPr>
  </w:style>
  <w:style w:type="character" w:customStyle="1" w:styleId="CharAttribute70">
    <w:name w:val="CharAttribute70"/>
    <w:rsid w:val="00D41071"/>
    <w:rPr>
      <w:rFonts w:ascii="Times New Roman" w:eastAsia="Times New Roman"/>
      <w:spacing w:val="102"/>
      <w:sz w:val="24"/>
    </w:rPr>
  </w:style>
  <w:style w:type="character" w:customStyle="1" w:styleId="CharAttribute71">
    <w:name w:val="CharAttribute71"/>
    <w:rsid w:val="00D41071"/>
    <w:rPr>
      <w:rFonts w:ascii="Times New Roman" w:eastAsia="Times New Roman"/>
      <w:spacing w:val="192"/>
      <w:sz w:val="24"/>
    </w:rPr>
  </w:style>
  <w:style w:type="character" w:customStyle="1" w:styleId="CharAttribute72">
    <w:name w:val="CharAttribute72"/>
    <w:rsid w:val="00D41071"/>
    <w:rPr>
      <w:rFonts w:ascii="Times New Roman" w:eastAsia="Times New Roman"/>
      <w:spacing w:val="51"/>
      <w:sz w:val="24"/>
    </w:rPr>
  </w:style>
  <w:style w:type="character" w:customStyle="1" w:styleId="CharAttribute73">
    <w:name w:val="CharAttribute73"/>
    <w:rsid w:val="00D41071"/>
    <w:rPr>
      <w:rFonts w:ascii="Times New Roman" w:eastAsia="Times New Roman"/>
      <w:spacing w:val="103"/>
      <w:sz w:val="24"/>
    </w:rPr>
  </w:style>
  <w:style w:type="character" w:customStyle="1" w:styleId="CharAttribute74">
    <w:name w:val="CharAttribute74"/>
    <w:rsid w:val="00D41071"/>
    <w:rPr>
      <w:rFonts w:ascii="Times New Roman" w:eastAsia="Times New Roman"/>
      <w:spacing w:val="159"/>
      <w:sz w:val="24"/>
    </w:rPr>
  </w:style>
  <w:style w:type="character" w:customStyle="1" w:styleId="CharAttribute75">
    <w:name w:val="CharAttribute75"/>
    <w:rsid w:val="00D41071"/>
    <w:rPr>
      <w:rFonts w:ascii="Times New Roman" w:eastAsia="Times New Roman"/>
      <w:spacing w:val="48"/>
      <w:sz w:val="24"/>
    </w:rPr>
  </w:style>
  <w:style w:type="character" w:customStyle="1" w:styleId="CharAttribute76">
    <w:name w:val="CharAttribute76"/>
    <w:rsid w:val="00D41071"/>
    <w:rPr>
      <w:rFonts w:ascii="Times New Roman" w:eastAsia="Times New Roman"/>
      <w:spacing w:val="167"/>
      <w:sz w:val="24"/>
    </w:rPr>
  </w:style>
  <w:style w:type="character" w:customStyle="1" w:styleId="CharAttribute77">
    <w:name w:val="CharAttribute77"/>
    <w:rsid w:val="00D41071"/>
    <w:rPr>
      <w:rFonts w:ascii="Times New Roman" w:eastAsia="Times New Roman"/>
      <w:spacing w:val="52"/>
      <w:sz w:val="24"/>
    </w:rPr>
  </w:style>
  <w:style w:type="character" w:customStyle="1" w:styleId="CharAttribute78">
    <w:name w:val="CharAttribute78"/>
    <w:rsid w:val="00D41071"/>
    <w:rPr>
      <w:rFonts w:ascii="Times New Roman" w:eastAsia="Times New Roman"/>
      <w:spacing w:val="164"/>
      <w:sz w:val="24"/>
    </w:rPr>
  </w:style>
  <w:style w:type="character" w:customStyle="1" w:styleId="CharAttribute79">
    <w:name w:val="CharAttribute79"/>
    <w:rsid w:val="00D41071"/>
    <w:rPr>
      <w:rFonts w:ascii="Times New Roman" w:eastAsia="Times New Roman"/>
      <w:spacing w:val="121"/>
      <w:sz w:val="24"/>
    </w:rPr>
  </w:style>
  <w:style w:type="character" w:customStyle="1" w:styleId="CharAttribute80">
    <w:name w:val="CharAttribute80"/>
    <w:rsid w:val="00D41071"/>
    <w:rPr>
      <w:rFonts w:ascii="Times New Roman" w:eastAsia="Times New Roman"/>
      <w:spacing w:val="50"/>
      <w:sz w:val="24"/>
    </w:rPr>
  </w:style>
  <w:style w:type="character" w:customStyle="1" w:styleId="CharAttribute81">
    <w:name w:val="CharAttribute81"/>
    <w:rsid w:val="00D41071"/>
    <w:rPr>
      <w:rFonts w:ascii="Times New Roman" w:eastAsia="Times New Roman"/>
      <w:spacing w:val="-18"/>
      <w:sz w:val="24"/>
    </w:rPr>
  </w:style>
  <w:style w:type="character" w:customStyle="1" w:styleId="CharAttribute82">
    <w:name w:val="CharAttribute82"/>
    <w:rsid w:val="00D41071"/>
    <w:rPr>
      <w:rFonts w:ascii="Times New Roman" w:eastAsia="Times New Roman"/>
      <w:spacing w:val="113"/>
      <w:sz w:val="24"/>
    </w:rPr>
  </w:style>
  <w:style w:type="character" w:customStyle="1" w:styleId="CharAttribute83">
    <w:name w:val="CharAttribute83"/>
    <w:rsid w:val="00D41071"/>
    <w:rPr>
      <w:rFonts w:ascii="Times New Roman" w:eastAsia="Times New Roman"/>
      <w:spacing w:val="54"/>
      <w:sz w:val="24"/>
    </w:rPr>
  </w:style>
  <w:style w:type="character" w:customStyle="1" w:styleId="CharAttribute84">
    <w:name w:val="CharAttribute84"/>
    <w:rsid w:val="00D41071"/>
    <w:rPr>
      <w:rFonts w:ascii="Times New Roman" w:eastAsia="Times New Roman"/>
      <w:spacing w:val="15"/>
      <w:sz w:val="24"/>
    </w:rPr>
  </w:style>
  <w:style w:type="character" w:customStyle="1" w:styleId="CharAttribute85">
    <w:name w:val="CharAttribute85"/>
    <w:rsid w:val="00D41071"/>
    <w:rPr>
      <w:rFonts w:ascii="Times New Roman" w:eastAsia="Times New Roman"/>
      <w:spacing w:val="39"/>
      <w:sz w:val="24"/>
    </w:rPr>
  </w:style>
  <w:style w:type="character" w:customStyle="1" w:styleId="CharAttribute86">
    <w:name w:val="CharAttribute86"/>
    <w:rsid w:val="00D41071"/>
    <w:rPr>
      <w:rFonts w:ascii="Times New Roman" w:eastAsia="Times New Roman"/>
      <w:spacing w:val="55"/>
      <w:sz w:val="24"/>
    </w:rPr>
  </w:style>
  <w:style w:type="character" w:customStyle="1" w:styleId="CharAttribute87">
    <w:name w:val="CharAttribute87"/>
    <w:rsid w:val="00D41071"/>
    <w:rPr>
      <w:rFonts w:ascii="Times New Roman" w:eastAsia="Times New Roman"/>
      <w:spacing w:val="6"/>
      <w:sz w:val="24"/>
    </w:rPr>
  </w:style>
  <w:style w:type="character" w:customStyle="1" w:styleId="CharAttribute88">
    <w:name w:val="CharAttribute88"/>
    <w:rsid w:val="00D41071"/>
    <w:rPr>
      <w:rFonts w:ascii="Times New Roman" w:eastAsia="Times New Roman"/>
      <w:spacing w:val="108"/>
      <w:sz w:val="24"/>
    </w:rPr>
  </w:style>
  <w:style w:type="character" w:customStyle="1" w:styleId="CharAttribute89">
    <w:name w:val="CharAttribute89"/>
    <w:rsid w:val="00D41071"/>
    <w:rPr>
      <w:rFonts w:ascii="Times New Roman" w:eastAsia="Times New Roman"/>
      <w:spacing w:val="140"/>
      <w:sz w:val="24"/>
    </w:rPr>
  </w:style>
  <w:style w:type="character" w:customStyle="1" w:styleId="CharAttribute90">
    <w:name w:val="CharAttribute90"/>
    <w:rsid w:val="00D41071"/>
    <w:rPr>
      <w:rFonts w:ascii="Times New Roman" w:eastAsia="Times New Roman"/>
      <w:spacing w:val="161"/>
      <w:sz w:val="24"/>
    </w:rPr>
  </w:style>
  <w:style w:type="character" w:customStyle="1" w:styleId="CharAttribute91">
    <w:name w:val="CharAttribute91"/>
    <w:rsid w:val="00D41071"/>
    <w:rPr>
      <w:rFonts w:ascii="Times New Roman" w:eastAsia="Times New Roman"/>
      <w:spacing w:val="169"/>
      <w:sz w:val="24"/>
    </w:rPr>
  </w:style>
  <w:style w:type="character" w:customStyle="1" w:styleId="CharAttribute92">
    <w:name w:val="CharAttribute92"/>
    <w:rsid w:val="00D41071"/>
    <w:rPr>
      <w:rFonts w:ascii="Times New Roman" w:eastAsia="Times New Roman"/>
      <w:spacing w:val="123"/>
      <w:sz w:val="24"/>
    </w:rPr>
  </w:style>
  <w:style w:type="character" w:customStyle="1" w:styleId="CharAttribute93">
    <w:name w:val="CharAttribute93"/>
    <w:rsid w:val="00D41071"/>
    <w:rPr>
      <w:rFonts w:ascii="Times New Roman" w:eastAsia="Times New Roman"/>
      <w:spacing w:val="127"/>
      <w:sz w:val="24"/>
    </w:rPr>
  </w:style>
  <w:style w:type="paragraph" w:styleId="NormalWeb">
    <w:name w:val="Normal (Web)"/>
    <w:basedOn w:val="Normal"/>
    <w:uiPriority w:val="99"/>
    <w:unhideWhenUsed/>
    <w:rsid w:val="00D41071"/>
    <w:pPr>
      <w:spacing w:before="100" w:beforeAutospacing="1" w:after="100" w:afterAutospacing="1"/>
    </w:pPr>
  </w:style>
  <w:style w:type="paragraph" w:customStyle="1" w:styleId="topic-paragraph">
    <w:name w:val="topic-paragraph"/>
    <w:basedOn w:val="Normal"/>
    <w:rsid w:val="00D41071"/>
    <w:pPr>
      <w:spacing w:before="100" w:beforeAutospacing="1" w:after="100" w:afterAutospacing="1"/>
    </w:pPr>
  </w:style>
  <w:style w:type="character" w:styleId="Hyperlink">
    <w:name w:val="Hyperlink"/>
    <w:uiPriority w:val="99"/>
    <w:unhideWhenUsed/>
    <w:rsid w:val="00D41071"/>
    <w:rPr>
      <w:color w:val="0000FF"/>
      <w:u w:val="single"/>
    </w:rPr>
  </w:style>
  <w:style w:type="character" w:customStyle="1" w:styleId="reference-accessdate">
    <w:name w:val="reference-accessdate"/>
    <w:rsid w:val="00D41071"/>
  </w:style>
  <w:style w:type="character" w:customStyle="1" w:styleId="nowrap">
    <w:name w:val="nowrap"/>
    <w:rsid w:val="00D41071"/>
  </w:style>
  <w:style w:type="paragraph" w:styleId="Title">
    <w:name w:val="Title"/>
    <w:basedOn w:val="Normal"/>
    <w:next w:val="Normal"/>
    <w:link w:val="TitleChar"/>
    <w:uiPriority w:val="10"/>
    <w:qFormat/>
    <w:rsid w:val="00D4107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D41071"/>
    <w:rPr>
      <w:rFonts w:ascii="Cambria" w:eastAsia="Times New Roman" w:hAnsi="Cambria" w:cs="Times New Roman"/>
      <w:b/>
      <w:bCs/>
      <w:kern w:val="28"/>
      <w:sz w:val="32"/>
      <w:szCs w:val="32"/>
    </w:rPr>
  </w:style>
  <w:style w:type="table" w:styleId="TableGrid">
    <w:name w:val="Table Grid"/>
    <w:basedOn w:val="TableNormal"/>
    <w:uiPriority w:val="39"/>
    <w:rsid w:val="00D4107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41071"/>
    <w:rPr>
      <w:color w:val="605E5C"/>
      <w:shd w:val="clear" w:color="auto" w:fill="E1DFDD"/>
    </w:rPr>
  </w:style>
  <w:style w:type="paragraph" w:styleId="Footer">
    <w:name w:val="footer"/>
    <w:basedOn w:val="Normal"/>
    <w:link w:val="FooterChar"/>
    <w:uiPriority w:val="99"/>
    <w:unhideWhenUsed/>
    <w:rsid w:val="00D41071"/>
    <w:pPr>
      <w:tabs>
        <w:tab w:val="center" w:pos="4680"/>
        <w:tab w:val="right" w:pos="9360"/>
      </w:tabs>
    </w:pPr>
  </w:style>
  <w:style w:type="character" w:customStyle="1" w:styleId="FooterChar">
    <w:name w:val="Footer Char"/>
    <w:basedOn w:val="DefaultParagraphFont"/>
    <w:link w:val="Footer"/>
    <w:uiPriority w:val="99"/>
    <w:rsid w:val="00D41071"/>
    <w:rPr>
      <w:rFonts w:ascii="Times New Roman" w:eastAsia="Times New Roman" w:hAnsi="Times New Roman" w:cs="Times New Roman"/>
    </w:rPr>
  </w:style>
  <w:style w:type="character" w:styleId="PageNumber">
    <w:name w:val="page number"/>
    <w:uiPriority w:val="99"/>
    <w:semiHidden/>
    <w:unhideWhenUsed/>
    <w:rsid w:val="00D41071"/>
  </w:style>
  <w:style w:type="character" w:customStyle="1" w:styleId="name">
    <w:name w:val="name"/>
    <w:rsid w:val="00D41071"/>
  </w:style>
  <w:style w:type="paragraph" w:customStyle="1" w:styleId="nova-e-listitem">
    <w:name w:val="nova-e-list__item"/>
    <w:basedOn w:val="Normal"/>
    <w:rsid w:val="00D4107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yperlink" Target="https://ideas.repec.org/s/eee/ecmode.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s://ideas.repec.org/a/eee/ecmode/v38y2014icp581-591.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s://ideas.repec.org/s/sae/sagope.html" TargetMode="External"/><Relationship Id="rId5" Type="http://schemas.openxmlformats.org/officeDocument/2006/relationships/image" Target="media/image1.emf"/><Relationship Id="rId15" Type="http://schemas.openxmlformats.org/officeDocument/2006/relationships/footer" Target="footer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5054</Words>
  <Characters>28814</Characters>
  <Application>Microsoft Office Word</Application>
  <DocSecurity>0</DocSecurity>
  <Lines>240</Lines>
  <Paragraphs>67</Paragraphs>
  <ScaleCrop>false</ScaleCrop>
  <Company/>
  <LinksUpToDate>false</LinksUpToDate>
  <CharactersWithSpaces>33801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2021-05-25T18:07:00Z</dcterms:created>
  <dcterms:modified xsi:type="dcterms:W3CDTF">2021-05-25T18:08:00Z</dcterms:modified>
</cp:coreProperties>
</file>