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86E4A" w14:textId="77777777" w:rsidR="00A3406F" w:rsidRDefault="00A3406F" w:rsidP="004A70B3">
      <w:pPr>
        <w:spacing w:before="120" w:after="120"/>
        <w:jc w:val="center"/>
        <w:rPr>
          <w:rFonts w:ascii="Times New Roman" w:hAnsi="Times New Roman" w:cs="Times New Roman"/>
          <w:b/>
          <w:sz w:val="28"/>
          <w:szCs w:val="28"/>
        </w:rPr>
      </w:pPr>
      <w:proofErr w:type="spellStart"/>
      <w:r w:rsidRPr="00677A97">
        <w:rPr>
          <w:rFonts w:ascii="Times New Roman" w:hAnsi="Times New Roman" w:cs="Times New Roman"/>
          <w:b/>
          <w:sz w:val="28"/>
          <w:szCs w:val="28"/>
        </w:rPr>
        <w:t>Factors</w:t>
      </w:r>
      <w:proofErr w:type="spellEnd"/>
      <w:r w:rsidRPr="00677A97">
        <w:rPr>
          <w:rFonts w:ascii="Times New Roman" w:hAnsi="Times New Roman" w:cs="Times New Roman"/>
          <w:b/>
          <w:sz w:val="28"/>
          <w:szCs w:val="28"/>
        </w:rPr>
        <w:t xml:space="preserve"> </w:t>
      </w:r>
      <w:proofErr w:type="spellStart"/>
      <w:r w:rsidRPr="00677A97">
        <w:rPr>
          <w:rFonts w:ascii="Times New Roman" w:hAnsi="Times New Roman" w:cs="Times New Roman"/>
          <w:b/>
          <w:sz w:val="28"/>
          <w:szCs w:val="28"/>
        </w:rPr>
        <w:t>Affecting</w:t>
      </w:r>
      <w:proofErr w:type="spellEnd"/>
      <w:r w:rsidRPr="00677A97">
        <w:rPr>
          <w:rFonts w:ascii="Times New Roman" w:hAnsi="Times New Roman" w:cs="Times New Roman"/>
          <w:b/>
          <w:sz w:val="28"/>
          <w:szCs w:val="28"/>
        </w:rPr>
        <w:t xml:space="preserve"> </w:t>
      </w:r>
      <w:proofErr w:type="spellStart"/>
      <w:r w:rsidRPr="00677A97">
        <w:rPr>
          <w:rFonts w:ascii="Times New Roman" w:hAnsi="Times New Roman" w:cs="Times New Roman"/>
          <w:b/>
          <w:sz w:val="28"/>
          <w:szCs w:val="28"/>
        </w:rPr>
        <w:t>the</w:t>
      </w:r>
      <w:proofErr w:type="spellEnd"/>
      <w:r w:rsidRPr="00677A97">
        <w:rPr>
          <w:rFonts w:ascii="Times New Roman" w:hAnsi="Times New Roman" w:cs="Times New Roman"/>
          <w:b/>
          <w:sz w:val="28"/>
          <w:szCs w:val="28"/>
        </w:rPr>
        <w:t xml:space="preserve"> </w:t>
      </w:r>
      <w:proofErr w:type="spellStart"/>
      <w:r w:rsidRPr="00677A97">
        <w:rPr>
          <w:rFonts w:ascii="Times New Roman" w:hAnsi="Times New Roman" w:cs="Times New Roman"/>
          <w:b/>
          <w:sz w:val="28"/>
          <w:szCs w:val="28"/>
        </w:rPr>
        <w:t>Physical</w:t>
      </w:r>
      <w:proofErr w:type="spellEnd"/>
      <w:r w:rsidRPr="00677A97">
        <w:rPr>
          <w:rFonts w:ascii="Times New Roman" w:hAnsi="Times New Roman" w:cs="Times New Roman"/>
          <w:b/>
          <w:sz w:val="28"/>
          <w:szCs w:val="28"/>
        </w:rPr>
        <w:t xml:space="preserve"> Activity Level </w:t>
      </w:r>
      <w:proofErr w:type="spellStart"/>
      <w:r w:rsidRPr="00677A97">
        <w:rPr>
          <w:rFonts w:ascii="Times New Roman" w:hAnsi="Times New Roman" w:cs="Times New Roman"/>
          <w:b/>
          <w:sz w:val="28"/>
          <w:szCs w:val="28"/>
        </w:rPr>
        <w:t>and</w:t>
      </w:r>
      <w:proofErr w:type="spellEnd"/>
      <w:r w:rsidRPr="00677A97">
        <w:rPr>
          <w:rFonts w:ascii="Times New Roman" w:hAnsi="Times New Roman" w:cs="Times New Roman"/>
          <w:b/>
          <w:sz w:val="28"/>
          <w:szCs w:val="28"/>
        </w:rPr>
        <w:t xml:space="preserve"> </w:t>
      </w:r>
      <w:proofErr w:type="spellStart"/>
      <w:r w:rsidRPr="00677A97">
        <w:rPr>
          <w:rFonts w:ascii="Times New Roman" w:hAnsi="Times New Roman" w:cs="Times New Roman"/>
          <w:b/>
          <w:sz w:val="28"/>
          <w:szCs w:val="28"/>
        </w:rPr>
        <w:t>Stress</w:t>
      </w:r>
      <w:proofErr w:type="spellEnd"/>
      <w:r w:rsidRPr="00677A97">
        <w:rPr>
          <w:rFonts w:ascii="Times New Roman" w:hAnsi="Times New Roman" w:cs="Times New Roman"/>
          <w:b/>
          <w:sz w:val="28"/>
          <w:szCs w:val="28"/>
        </w:rPr>
        <w:t xml:space="preserve"> </w:t>
      </w:r>
      <w:proofErr w:type="spellStart"/>
      <w:r w:rsidRPr="00677A97">
        <w:rPr>
          <w:rFonts w:ascii="Times New Roman" w:hAnsi="Times New Roman" w:cs="Times New Roman"/>
          <w:b/>
          <w:sz w:val="28"/>
          <w:szCs w:val="28"/>
        </w:rPr>
        <w:t>Perceptions</w:t>
      </w:r>
      <w:proofErr w:type="spellEnd"/>
      <w:r w:rsidRPr="00677A97">
        <w:rPr>
          <w:rFonts w:ascii="Times New Roman" w:hAnsi="Times New Roman" w:cs="Times New Roman"/>
          <w:b/>
          <w:sz w:val="28"/>
          <w:szCs w:val="28"/>
        </w:rPr>
        <w:t xml:space="preserve"> of </w:t>
      </w:r>
      <w:proofErr w:type="spellStart"/>
      <w:r w:rsidRPr="00677A97">
        <w:rPr>
          <w:rFonts w:ascii="Times New Roman" w:hAnsi="Times New Roman" w:cs="Times New Roman"/>
          <w:b/>
          <w:sz w:val="28"/>
          <w:szCs w:val="28"/>
        </w:rPr>
        <w:t>University</w:t>
      </w:r>
      <w:proofErr w:type="spellEnd"/>
      <w:r w:rsidRPr="00677A97">
        <w:rPr>
          <w:rFonts w:ascii="Times New Roman" w:hAnsi="Times New Roman" w:cs="Times New Roman"/>
          <w:b/>
          <w:sz w:val="28"/>
          <w:szCs w:val="28"/>
        </w:rPr>
        <w:t xml:space="preserve"> </w:t>
      </w:r>
      <w:proofErr w:type="spellStart"/>
      <w:r w:rsidRPr="00677A97">
        <w:rPr>
          <w:rFonts w:ascii="Times New Roman" w:hAnsi="Times New Roman" w:cs="Times New Roman"/>
          <w:b/>
          <w:sz w:val="28"/>
          <w:szCs w:val="28"/>
        </w:rPr>
        <w:t>Students</w:t>
      </w:r>
      <w:proofErr w:type="spellEnd"/>
      <w:r w:rsidRPr="00677A97">
        <w:rPr>
          <w:rFonts w:ascii="Times New Roman" w:hAnsi="Times New Roman" w:cs="Times New Roman"/>
          <w:b/>
          <w:sz w:val="28"/>
          <w:szCs w:val="28"/>
        </w:rPr>
        <w:t xml:space="preserve"> </w:t>
      </w:r>
      <w:proofErr w:type="spellStart"/>
      <w:r w:rsidRPr="00677A97">
        <w:rPr>
          <w:rFonts w:ascii="Times New Roman" w:hAnsi="Times New Roman" w:cs="Times New Roman"/>
          <w:b/>
          <w:sz w:val="28"/>
          <w:szCs w:val="28"/>
        </w:rPr>
        <w:t>During</w:t>
      </w:r>
      <w:proofErr w:type="spellEnd"/>
      <w:r w:rsidRPr="00677A97">
        <w:rPr>
          <w:rFonts w:ascii="Times New Roman" w:hAnsi="Times New Roman" w:cs="Times New Roman"/>
          <w:b/>
          <w:sz w:val="28"/>
          <w:szCs w:val="28"/>
        </w:rPr>
        <w:t xml:space="preserve"> COVID-19 </w:t>
      </w:r>
      <w:proofErr w:type="spellStart"/>
      <w:r w:rsidRPr="00677A97">
        <w:rPr>
          <w:rFonts w:ascii="Times New Roman" w:hAnsi="Times New Roman" w:cs="Times New Roman"/>
          <w:b/>
          <w:sz w:val="28"/>
          <w:szCs w:val="28"/>
        </w:rPr>
        <w:t>Pandemic</w:t>
      </w:r>
      <w:proofErr w:type="spellEnd"/>
      <w:r w:rsidRPr="00677A97">
        <w:rPr>
          <w:rFonts w:ascii="Times New Roman" w:hAnsi="Times New Roman" w:cs="Times New Roman"/>
          <w:b/>
          <w:sz w:val="28"/>
          <w:szCs w:val="28"/>
        </w:rPr>
        <w:t xml:space="preserve"> </w:t>
      </w:r>
    </w:p>
    <w:p w14:paraId="567BE380" w14:textId="4DC9FFE7" w:rsidR="00A3406F" w:rsidRDefault="00300A5F" w:rsidP="004A70B3">
      <w:pPr>
        <w:autoSpaceDE w:val="0"/>
        <w:autoSpaceDN w:val="0"/>
        <w:spacing w:before="120" w:after="0"/>
        <w:jc w:val="center"/>
        <w:rPr>
          <w:rFonts w:ascii="Times New Roman" w:hAnsi="Times New Roman" w:cs="Times New Roman"/>
          <w:b/>
          <w:i/>
        </w:rPr>
      </w:pPr>
      <w:r>
        <w:rPr>
          <w:rFonts w:ascii="Times New Roman" w:hAnsi="Times New Roman" w:cs="Times New Roman"/>
          <w:b/>
          <w:i/>
        </w:rPr>
        <w:t xml:space="preserve">Senay Çerezci-Duygu 1, </w:t>
      </w:r>
      <w:r w:rsidR="00A3406F" w:rsidRPr="00677A97">
        <w:rPr>
          <w:rFonts w:ascii="Times New Roman" w:hAnsi="Times New Roman" w:cs="Times New Roman"/>
          <w:b/>
          <w:i/>
        </w:rPr>
        <w:t>Furkan Özdemir</w:t>
      </w:r>
      <w:r>
        <w:rPr>
          <w:rFonts w:ascii="Times New Roman" w:hAnsi="Times New Roman" w:cs="Times New Roman"/>
          <w:b/>
          <w:i/>
        </w:rPr>
        <w:t xml:space="preserve"> </w:t>
      </w:r>
      <w:r w:rsidR="00A3406F">
        <w:rPr>
          <w:rFonts w:ascii="Times New Roman" w:hAnsi="Times New Roman" w:cs="Times New Roman"/>
          <w:b/>
          <w:i/>
        </w:rPr>
        <w:t>2</w:t>
      </w:r>
      <w:r w:rsidR="00A3406F" w:rsidRPr="00677A97">
        <w:rPr>
          <w:rFonts w:ascii="Times New Roman" w:hAnsi="Times New Roman" w:cs="Times New Roman"/>
          <w:b/>
          <w:i/>
        </w:rPr>
        <w:t xml:space="preserve">, </w:t>
      </w:r>
      <w:r w:rsidR="00A3406F">
        <w:rPr>
          <w:rFonts w:ascii="Times New Roman" w:hAnsi="Times New Roman" w:cs="Times New Roman"/>
          <w:b/>
          <w:i/>
        </w:rPr>
        <w:t>Melike Naz Gürel 3</w:t>
      </w:r>
    </w:p>
    <w:p w14:paraId="69D37E70" w14:textId="55E749B3" w:rsidR="00A3406F" w:rsidRPr="00677A97" w:rsidRDefault="00A3406F" w:rsidP="004A70B3">
      <w:pPr>
        <w:spacing w:after="0"/>
        <w:jc w:val="center"/>
        <w:rPr>
          <w:rFonts w:ascii="Times New Roman" w:hAnsi="Times New Roman" w:cs="Times New Roman"/>
          <w:i/>
          <w:sz w:val="18"/>
          <w:szCs w:val="18"/>
          <w:vertAlign w:val="superscript"/>
        </w:rPr>
      </w:pPr>
      <w:r w:rsidRPr="00677A97">
        <w:rPr>
          <w:rFonts w:ascii="Times New Roman" w:hAnsi="Times New Roman" w:cs="Times New Roman"/>
          <w:i/>
          <w:sz w:val="18"/>
          <w:szCs w:val="18"/>
          <w:vertAlign w:val="superscript"/>
        </w:rPr>
        <w:t>1</w:t>
      </w:r>
      <w:r w:rsidR="00300A5F" w:rsidRPr="00300A5F">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University</w:t>
      </w:r>
      <w:proofErr w:type="spellEnd"/>
      <w:r w:rsidR="00300A5F" w:rsidRPr="00677A97">
        <w:rPr>
          <w:rFonts w:ascii="Times New Roman" w:hAnsi="Times New Roman" w:cs="Times New Roman"/>
          <w:i/>
          <w:sz w:val="18"/>
          <w:szCs w:val="18"/>
          <w:vertAlign w:val="superscript"/>
        </w:rPr>
        <w:t xml:space="preserve"> of </w:t>
      </w:r>
      <w:proofErr w:type="spellStart"/>
      <w:r w:rsidR="00300A5F" w:rsidRPr="00677A97">
        <w:rPr>
          <w:rFonts w:ascii="Times New Roman" w:hAnsi="Times New Roman" w:cs="Times New Roman"/>
          <w:i/>
          <w:sz w:val="18"/>
          <w:szCs w:val="18"/>
          <w:vertAlign w:val="superscript"/>
        </w:rPr>
        <w:t>Health</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Sciences</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Gulhane</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Faculty</w:t>
      </w:r>
      <w:proofErr w:type="spellEnd"/>
      <w:r w:rsidR="00300A5F" w:rsidRPr="00677A97">
        <w:rPr>
          <w:rFonts w:ascii="Times New Roman" w:hAnsi="Times New Roman" w:cs="Times New Roman"/>
          <w:i/>
          <w:sz w:val="18"/>
          <w:szCs w:val="18"/>
          <w:vertAlign w:val="superscript"/>
        </w:rPr>
        <w:t xml:space="preserve"> of </w:t>
      </w:r>
      <w:proofErr w:type="spellStart"/>
      <w:r w:rsidR="00300A5F" w:rsidRPr="00677A97">
        <w:rPr>
          <w:rFonts w:ascii="Times New Roman" w:hAnsi="Times New Roman" w:cs="Times New Roman"/>
          <w:i/>
          <w:sz w:val="18"/>
          <w:szCs w:val="18"/>
          <w:vertAlign w:val="superscript"/>
        </w:rPr>
        <w:t>Health</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Sciences</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Department</w:t>
      </w:r>
      <w:proofErr w:type="spellEnd"/>
      <w:r w:rsidR="00300A5F" w:rsidRPr="00677A97">
        <w:rPr>
          <w:rFonts w:ascii="Times New Roman" w:hAnsi="Times New Roman" w:cs="Times New Roman"/>
          <w:i/>
          <w:sz w:val="18"/>
          <w:szCs w:val="18"/>
          <w:vertAlign w:val="superscript"/>
        </w:rPr>
        <w:t xml:space="preserve"> of </w:t>
      </w:r>
      <w:proofErr w:type="spellStart"/>
      <w:r w:rsidR="00300A5F" w:rsidRPr="00677A97">
        <w:rPr>
          <w:rFonts w:ascii="Times New Roman" w:hAnsi="Times New Roman" w:cs="Times New Roman"/>
          <w:i/>
          <w:sz w:val="18"/>
          <w:szCs w:val="18"/>
          <w:vertAlign w:val="superscript"/>
        </w:rPr>
        <w:t>Orthotics</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and</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Prosthetics</w:t>
      </w:r>
      <w:proofErr w:type="spellEnd"/>
      <w:r w:rsidR="00300A5F" w:rsidRPr="00677A97">
        <w:rPr>
          <w:rFonts w:ascii="Times New Roman" w:hAnsi="Times New Roman" w:cs="Times New Roman"/>
          <w:i/>
          <w:sz w:val="18"/>
          <w:szCs w:val="18"/>
          <w:vertAlign w:val="superscript"/>
        </w:rPr>
        <w:t xml:space="preserve">, Ankara, </w:t>
      </w:r>
      <w:proofErr w:type="spellStart"/>
      <w:r w:rsidR="00300A5F" w:rsidRPr="00677A97">
        <w:rPr>
          <w:rFonts w:ascii="Times New Roman" w:hAnsi="Times New Roman" w:cs="Times New Roman"/>
          <w:i/>
          <w:sz w:val="18"/>
          <w:szCs w:val="18"/>
          <w:vertAlign w:val="superscript"/>
        </w:rPr>
        <w:t>Turkey</w:t>
      </w:r>
      <w:proofErr w:type="spellEnd"/>
      <w:r w:rsidRPr="00677A97">
        <w:rPr>
          <w:rFonts w:ascii="Times New Roman" w:hAnsi="Times New Roman" w:cs="Times New Roman"/>
          <w:i/>
          <w:sz w:val="18"/>
          <w:szCs w:val="18"/>
          <w:vertAlign w:val="superscript"/>
        </w:rPr>
        <w:t xml:space="preserve"> </w:t>
      </w:r>
    </w:p>
    <w:p w14:paraId="71A67FD4" w14:textId="25034CEB" w:rsidR="00A3406F" w:rsidRPr="00677A97" w:rsidRDefault="00A3406F" w:rsidP="004A70B3">
      <w:pPr>
        <w:spacing w:after="0"/>
        <w:jc w:val="center"/>
        <w:rPr>
          <w:rFonts w:ascii="Times New Roman" w:hAnsi="Times New Roman" w:cs="Times New Roman"/>
          <w:i/>
          <w:sz w:val="18"/>
          <w:szCs w:val="18"/>
          <w:vertAlign w:val="superscript"/>
        </w:rPr>
      </w:pPr>
      <w:r w:rsidRPr="00677A97">
        <w:rPr>
          <w:rFonts w:ascii="Times New Roman" w:hAnsi="Times New Roman" w:cs="Times New Roman"/>
          <w:i/>
          <w:sz w:val="18"/>
          <w:szCs w:val="18"/>
          <w:vertAlign w:val="superscript"/>
        </w:rPr>
        <w:t xml:space="preserve">2 </w:t>
      </w:r>
      <w:proofErr w:type="spellStart"/>
      <w:r w:rsidR="00300A5F" w:rsidRPr="00677A97">
        <w:rPr>
          <w:rFonts w:ascii="Times New Roman" w:hAnsi="Times New Roman" w:cs="Times New Roman"/>
          <w:i/>
          <w:sz w:val="18"/>
          <w:szCs w:val="18"/>
          <w:vertAlign w:val="superscript"/>
        </w:rPr>
        <w:t>Cankiri</w:t>
      </w:r>
      <w:proofErr w:type="spellEnd"/>
      <w:r w:rsidR="00300A5F" w:rsidRPr="00677A97">
        <w:rPr>
          <w:rFonts w:ascii="Times New Roman" w:hAnsi="Times New Roman" w:cs="Times New Roman"/>
          <w:i/>
          <w:sz w:val="18"/>
          <w:szCs w:val="18"/>
          <w:vertAlign w:val="superscript"/>
        </w:rPr>
        <w:t xml:space="preserve"> Karatekin </w:t>
      </w:r>
      <w:proofErr w:type="spellStart"/>
      <w:r w:rsidR="00300A5F" w:rsidRPr="00677A97">
        <w:rPr>
          <w:rFonts w:ascii="Times New Roman" w:hAnsi="Times New Roman" w:cs="Times New Roman"/>
          <w:i/>
          <w:sz w:val="18"/>
          <w:szCs w:val="18"/>
          <w:vertAlign w:val="superscript"/>
        </w:rPr>
        <w:t>University</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Faculty</w:t>
      </w:r>
      <w:proofErr w:type="spellEnd"/>
      <w:r w:rsidR="00300A5F" w:rsidRPr="00677A97">
        <w:rPr>
          <w:rFonts w:ascii="Times New Roman" w:hAnsi="Times New Roman" w:cs="Times New Roman"/>
          <w:i/>
          <w:sz w:val="18"/>
          <w:szCs w:val="18"/>
          <w:vertAlign w:val="superscript"/>
        </w:rPr>
        <w:t xml:space="preserve"> of </w:t>
      </w:r>
      <w:proofErr w:type="spellStart"/>
      <w:r w:rsidR="00300A5F" w:rsidRPr="00677A97">
        <w:rPr>
          <w:rFonts w:ascii="Times New Roman" w:hAnsi="Times New Roman" w:cs="Times New Roman"/>
          <w:i/>
          <w:sz w:val="18"/>
          <w:szCs w:val="18"/>
          <w:vertAlign w:val="superscript"/>
        </w:rPr>
        <w:t>Health</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Sciences</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Department</w:t>
      </w:r>
      <w:proofErr w:type="spellEnd"/>
      <w:r w:rsidR="00300A5F" w:rsidRPr="00677A97">
        <w:rPr>
          <w:rFonts w:ascii="Times New Roman" w:hAnsi="Times New Roman" w:cs="Times New Roman"/>
          <w:i/>
          <w:sz w:val="18"/>
          <w:szCs w:val="18"/>
          <w:vertAlign w:val="superscript"/>
        </w:rPr>
        <w:t xml:space="preserve"> of </w:t>
      </w:r>
      <w:proofErr w:type="spellStart"/>
      <w:r w:rsidR="00300A5F" w:rsidRPr="00677A97">
        <w:rPr>
          <w:rFonts w:ascii="Times New Roman" w:hAnsi="Times New Roman" w:cs="Times New Roman"/>
          <w:i/>
          <w:sz w:val="18"/>
          <w:szCs w:val="18"/>
          <w:vertAlign w:val="superscript"/>
        </w:rPr>
        <w:t>Physiotherapy</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and</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Rehabilitation</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Cankiri</w:t>
      </w:r>
      <w:proofErr w:type="spellEnd"/>
      <w:r w:rsidR="00300A5F" w:rsidRPr="00677A97">
        <w:rPr>
          <w:rFonts w:ascii="Times New Roman" w:hAnsi="Times New Roman" w:cs="Times New Roman"/>
          <w:i/>
          <w:sz w:val="18"/>
          <w:szCs w:val="18"/>
          <w:vertAlign w:val="superscript"/>
        </w:rPr>
        <w:t xml:space="preserve">, </w:t>
      </w:r>
      <w:proofErr w:type="spellStart"/>
      <w:r w:rsidR="00300A5F" w:rsidRPr="00677A97">
        <w:rPr>
          <w:rFonts w:ascii="Times New Roman" w:hAnsi="Times New Roman" w:cs="Times New Roman"/>
          <w:i/>
          <w:sz w:val="18"/>
          <w:szCs w:val="18"/>
          <w:vertAlign w:val="superscript"/>
        </w:rPr>
        <w:t>Turkey</w:t>
      </w:r>
      <w:proofErr w:type="spellEnd"/>
    </w:p>
    <w:p w14:paraId="1B82CC7F" w14:textId="77777777" w:rsidR="00A3406F" w:rsidRDefault="00A3406F" w:rsidP="004A70B3">
      <w:pPr>
        <w:spacing w:after="0"/>
        <w:jc w:val="center"/>
        <w:rPr>
          <w:rFonts w:ascii="Times New Roman" w:hAnsi="Times New Roman" w:cs="Times New Roman"/>
          <w:i/>
          <w:sz w:val="18"/>
          <w:szCs w:val="18"/>
          <w:vertAlign w:val="superscript"/>
        </w:rPr>
      </w:pPr>
      <w:r w:rsidRPr="00677A97">
        <w:rPr>
          <w:rFonts w:ascii="Times New Roman" w:hAnsi="Times New Roman" w:cs="Times New Roman"/>
          <w:i/>
          <w:sz w:val="18"/>
          <w:szCs w:val="18"/>
          <w:vertAlign w:val="superscript"/>
        </w:rPr>
        <w:t xml:space="preserve">3 </w:t>
      </w:r>
      <w:proofErr w:type="spellStart"/>
      <w:r>
        <w:rPr>
          <w:rFonts w:ascii="Times New Roman" w:hAnsi="Times New Roman" w:cs="Times New Roman"/>
          <w:i/>
          <w:sz w:val="18"/>
          <w:szCs w:val="18"/>
          <w:vertAlign w:val="superscript"/>
        </w:rPr>
        <w:t>Baskent</w:t>
      </w:r>
      <w:proofErr w:type="spellEnd"/>
      <w:r w:rsidRPr="00677A97">
        <w:rPr>
          <w:rFonts w:ascii="Times New Roman" w:hAnsi="Times New Roman" w:cs="Times New Roman"/>
          <w:i/>
          <w:sz w:val="18"/>
          <w:szCs w:val="18"/>
          <w:vertAlign w:val="superscript"/>
        </w:rPr>
        <w:t xml:space="preserve"> </w:t>
      </w:r>
      <w:proofErr w:type="spellStart"/>
      <w:r w:rsidRPr="00677A97">
        <w:rPr>
          <w:rFonts w:ascii="Times New Roman" w:hAnsi="Times New Roman" w:cs="Times New Roman"/>
          <w:i/>
          <w:sz w:val="18"/>
          <w:szCs w:val="18"/>
          <w:vertAlign w:val="superscript"/>
        </w:rPr>
        <w:t>University</w:t>
      </w:r>
      <w:proofErr w:type="spellEnd"/>
      <w:r w:rsidRPr="00677A97">
        <w:rPr>
          <w:rFonts w:ascii="Times New Roman" w:hAnsi="Times New Roman" w:cs="Times New Roman"/>
          <w:i/>
          <w:sz w:val="18"/>
          <w:szCs w:val="18"/>
          <w:vertAlign w:val="superscript"/>
        </w:rPr>
        <w:t xml:space="preserve">, </w:t>
      </w:r>
      <w:proofErr w:type="spellStart"/>
      <w:r w:rsidRPr="00677A97">
        <w:rPr>
          <w:rFonts w:ascii="Times New Roman" w:hAnsi="Times New Roman" w:cs="Times New Roman"/>
          <w:i/>
          <w:sz w:val="18"/>
          <w:szCs w:val="18"/>
          <w:vertAlign w:val="superscript"/>
        </w:rPr>
        <w:t>Faculty</w:t>
      </w:r>
      <w:proofErr w:type="spellEnd"/>
      <w:r w:rsidRPr="00677A97">
        <w:rPr>
          <w:rFonts w:ascii="Times New Roman" w:hAnsi="Times New Roman" w:cs="Times New Roman"/>
          <w:i/>
          <w:sz w:val="18"/>
          <w:szCs w:val="18"/>
          <w:vertAlign w:val="superscript"/>
        </w:rPr>
        <w:t xml:space="preserve"> of </w:t>
      </w:r>
      <w:proofErr w:type="spellStart"/>
      <w:r w:rsidRPr="00677A97">
        <w:rPr>
          <w:rFonts w:ascii="Times New Roman" w:hAnsi="Times New Roman" w:cs="Times New Roman"/>
          <w:i/>
          <w:sz w:val="18"/>
          <w:szCs w:val="18"/>
          <w:vertAlign w:val="superscript"/>
        </w:rPr>
        <w:t>Health</w:t>
      </w:r>
      <w:proofErr w:type="spellEnd"/>
      <w:r w:rsidRPr="00677A97">
        <w:rPr>
          <w:rFonts w:ascii="Times New Roman" w:hAnsi="Times New Roman" w:cs="Times New Roman"/>
          <w:i/>
          <w:sz w:val="18"/>
          <w:szCs w:val="18"/>
          <w:vertAlign w:val="superscript"/>
        </w:rPr>
        <w:t xml:space="preserve"> </w:t>
      </w:r>
      <w:proofErr w:type="spellStart"/>
      <w:r w:rsidRPr="00677A97">
        <w:rPr>
          <w:rFonts w:ascii="Times New Roman" w:hAnsi="Times New Roman" w:cs="Times New Roman"/>
          <w:i/>
          <w:sz w:val="18"/>
          <w:szCs w:val="18"/>
          <w:vertAlign w:val="superscript"/>
        </w:rPr>
        <w:t>Sciences</w:t>
      </w:r>
      <w:proofErr w:type="spellEnd"/>
      <w:r w:rsidRPr="00677A97">
        <w:rPr>
          <w:rFonts w:ascii="Times New Roman" w:hAnsi="Times New Roman" w:cs="Times New Roman"/>
          <w:i/>
          <w:sz w:val="18"/>
          <w:szCs w:val="18"/>
          <w:vertAlign w:val="superscript"/>
        </w:rPr>
        <w:t xml:space="preserve">, </w:t>
      </w:r>
      <w:proofErr w:type="spellStart"/>
      <w:r w:rsidRPr="00677A97">
        <w:rPr>
          <w:rFonts w:ascii="Times New Roman" w:hAnsi="Times New Roman" w:cs="Times New Roman"/>
          <w:i/>
          <w:sz w:val="18"/>
          <w:szCs w:val="18"/>
          <w:vertAlign w:val="superscript"/>
        </w:rPr>
        <w:t>Department</w:t>
      </w:r>
      <w:proofErr w:type="spellEnd"/>
      <w:r w:rsidRPr="00677A97">
        <w:rPr>
          <w:rFonts w:ascii="Times New Roman" w:hAnsi="Times New Roman" w:cs="Times New Roman"/>
          <w:i/>
          <w:sz w:val="18"/>
          <w:szCs w:val="18"/>
          <w:vertAlign w:val="superscript"/>
        </w:rPr>
        <w:t xml:space="preserve"> of </w:t>
      </w:r>
      <w:proofErr w:type="spellStart"/>
      <w:r w:rsidRPr="00677A97">
        <w:rPr>
          <w:rFonts w:ascii="Times New Roman" w:hAnsi="Times New Roman" w:cs="Times New Roman"/>
          <w:i/>
          <w:sz w:val="18"/>
          <w:szCs w:val="18"/>
          <w:vertAlign w:val="superscript"/>
        </w:rPr>
        <w:t>Physiotherapy</w:t>
      </w:r>
      <w:proofErr w:type="spellEnd"/>
      <w:r w:rsidRPr="00677A97">
        <w:rPr>
          <w:rFonts w:ascii="Times New Roman" w:hAnsi="Times New Roman" w:cs="Times New Roman"/>
          <w:i/>
          <w:sz w:val="18"/>
          <w:szCs w:val="18"/>
          <w:vertAlign w:val="superscript"/>
        </w:rPr>
        <w:t xml:space="preserve"> </w:t>
      </w:r>
      <w:proofErr w:type="spellStart"/>
      <w:r w:rsidRPr="00677A97">
        <w:rPr>
          <w:rFonts w:ascii="Times New Roman" w:hAnsi="Times New Roman" w:cs="Times New Roman"/>
          <w:i/>
          <w:sz w:val="18"/>
          <w:szCs w:val="18"/>
          <w:vertAlign w:val="superscript"/>
        </w:rPr>
        <w:t>and</w:t>
      </w:r>
      <w:proofErr w:type="spellEnd"/>
      <w:r w:rsidRPr="00677A97">
        <w:rPr>
          <w:rFonts w:ascii="Times New Roman" w:hAnsi="Times New Roman" w:cs="Times New Roman"/>
          <w:i/>
          <w:sz w:val="18"/>
          <w:szCs w:val="18"/>
          <w:vertAlign w:val="superscript"/>
        </w:rPr>
        <w:t xml:space="preserve"> </w:t>
      </w:r>
      <w:proofErr w:type="spellStart"/>
      <w:r w:rsidRPr="00677A97">
        <w:rPr>
          <w:rFonts w:ascii="Times New Roman" w:hAnsi="Times New Roman" w:cs="Times New Roman"/>
          <w:i/>
          <w:sz w:val="18"/>
          <w:szCs w:val="18"/>
          <w:vertAlign w:val="superscript"/>
        </w:rPr>
        <w:t>Rehabilitation</w:t>
      </w:r>
      <w:proofErr w:type="spellEnd"/>
      <w:r w:rsidRPr="00677A97">
        <w:rPr>
          <w:rFonts w:ascii="Times New Roman" w:hAnsi="Times New Roman" w:cs="Times New Roman"/>
          <w:i/>
          <w:sz w:val="18"/>
          <w:szCs w:val="18"/>
          <w:vertAlign w:val="superscript"/>
        </w:rPr>
        <w:t xml:space="preserve">, </w:t>
      </w:r>
      <w:r>
        <w:rPr>
          <w:rFonts w:ascii="Times New Roman" w:hAnsi="Times New Roman" w:cs="Times New Roman"/>
          <w:i/>
          <w:sz w:val="18"/>
          <w:szCs w:val="18"/>
          <w:vertAlign w:val="superscript"/>
        </w:rPr>
        <w:t>Ankara</w:t>
      </w:r>
      <w:r w:rsidRPr="00677A97">
        <w:rPr>
          <w:rFonts w:ascii="Times New Roman" w:hAnsi="Times New Roman" w:cs="Times New Roman"/>
          <w:i/>
          <w:sz w:val="18"/>
          <w:szCs w:val="18"/>
          <w:vertAlign w:val="superscript"/>
        </w:rPr>
        <w:t xml:space="preserve">, </w:t>
      </w:r>
      <w:proofErr w:type="spellStart"/>
      <w:r w:rsidRPr="00677A97">
        <w:rPr>
          <w:rFonts w:ascii="Times New Roman" w:hAnsi="Times New Roman" w:cs="Times New Roman"/>
          <w:i/>
          <w:sz w:val="18"/>
          <w:szCs w:val="18"/>
          <w:vertAlign w:val="superscript"/>
        </w:rPr>
        <w:t>Turkey</w:t>
      </w:r>
      <w:proofErr w:type="spellEnd"/>
    </w:p>
    <w:p w14:paraId="03EBEDF2" w14:textId="77777777" w:rsidR="00A3406F" w:rsidRPr="00F07AEF" w:rsidRDefault="00A3406F" w:rsidP="004A70B3">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3406F" w:rsidRPr="00F56331" w14:paraId="13C3549C" w14:textId="77777777" w:rsidTr="00DD5589">
        <w:trPr>
          <w:trHeight w:val="4472"/>
        </w:trPr>
        <w:tc>
          <w:tcPr>
            <w:tcW w:w="10006" w:type="dxa"/>
            <w:shd w:val="clear" w:color="auto" w:fill="FFFFFF" w:themeFill="background1"/>
          </w:tcPr>
          <w:p w14:paraId="0D140D2C" w14:textId="77777777" w:rsidR="00A3406F" w:rsidRPr="001558FC" w:rsidRDefault="00A3406F" w:rsidP="004A70B3">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554A038F" w14:textId="77777777" w:rsidR="00A3406F" w:rsidRDefault="00A3406F" w:rsidP="004A70B3">
            <w:pPr>
              <w:shd w:val="clear" w:color="auto" w:fill="D9D9D9" w:themeFill="background1" w:themeFillShade="D9"/>
              <w:jc w:val="both"/>
              <w:rPr>
                <w:rFonts w:ascii="Times New Roman" w:hAnsi="Times New Roman" w:cs="Times New Roman"/>
                <w:sz w:val="20"/>
                <w:szCs w:val="20"/>
              </w:rPr>
            </w:pPr>
          </w:p>
          <w:p w14:paraId="13777618" w14:textId="2CF4D738" w:rsidR="00A3406F" w:rsidRPr="00681606" w:rsidRDefault="00A3406F" w:rsidP="004A70B3">
            <w:pPr>
              <w:shd w:val="clear" w:color="auto" w:fill="D9D9D9" w:themeFill="background1" w:themeFillShade="D9"/>
              <w:jc w:val="both"/>
              <w:rPr>
                <w:rFonts w:ascii="Times New Roman" w:hAnsi="Times New Roman" w:cs="Times New Roman"/>
                <w:sz w:val="20"/>
                <w:szCs w:val="20"/>
              </w:rPr>
            </w:pPr>
            <w:r w:rsidRPr="00677A97">
              <w:rPr>
                <w:rFonts w:ascii="Times New Roman" w:hAnsi="Times New Roman" w:cs="Times New Roman"/>
                <w:sz w:val="20"/>
                <w:szCs w:val="20"/>
              </w:rPr>
              <w:t xml:space="preserve">The COVID-19 pandemic was first identified from an outbreak in </w:t>
            </w:r>
            <w:r>
              <w:rPr>
                <w:rFonts w:ascii="Times New Roman" w:hAnsi="Times New Roman" w:cs="Times New Roman"/>
                <w:sz w:val="20"/>
                <w:szCs w:val="20"/>
              </w:rPr>
              <w:t xml:space="preserve">Wuhan, China, in December 2019 </w:t>
            </w:r>
            <w:r>
              <w:rPr>
                <w:rFonts w:ascii="Times New Roman" w:hAnsi="Times New Roman" w:cs="Times New Roman"/>
                <w:sz w:val="20"/>
                <w:szCs w:val="20"/>
              </w:rPr>
              <w:fldChar w:fldCharType="begin" w:fldLock="1"/>
            </w:r>
            <w:r w:rsidR="008E0D7F">
              <w:rPr>
                <w:rFonts w:ascii="Times New Roman" w:hAnsi="Times New Roman" w:cs="Times New Roman"/>
                <w:sz w:val="20"/>
                <w:szCs w:val="20"/>
              </w:rPr>
              <w:instrText>ADDIN CSL_CITATION {"citationItems":[{"id":"ITEM-1","itemData":{"author":[{"dropping-particle":"","family":"World Health Organisation (WHO)","given":"","non-dropping-particle":"","parse-names":false,"suffix":""}],"id":"ITEM-1","issued":{"date-parts":[["0"]]},"number-of-pages":"9 p.","publisher":"World Health Organization","title":"Coronavirus disease 2019 (COVID-19): situation report, 51","type":"report"},"uris":["http://www.mendeley.com/documents/?uuid=a345c1f7-1b68-45a1-ad45-dc881d09862f"]}],"mendeley":{"formattedCitation":"(1)","plainTextFormattedCitation":"(1)","previouslyFormattedCitation":"(1)"},"properties":{"noteIndex":0},"schema":"https://github.com/citation-style-language/schema/raw/master/csl-citation.json"}</w:instrText>
            </w:r>
            <w:r>
              <w:rPr>
                <w:rFonts w:ascii="Times New Roman" w:hAnsi="Times New Roman" w:cs="Times New Roman"/>
                <w:sz w:val="20"/>
                <w:szCs w:val="20"/>
              </w:rPr>
              <w:fldChar w:fldCharType="separate"/>
            </w:r>
            <w:r w:rsidR="008E0D7F" w:rsidRPr="008E0D7F">
              <w:rPr>
                <w:rFonts w:ascii="Times New Roman" w:hAnsi="Times New Roman" w:cs="Times New Roman"/>
                <w:noProof/>
                <w:sz w:val="20"/>
                <w:szCs w:val="20"/>
              </w:rPr>
              <w:t>(1)</w:t>
            </w:r>
            <w:r>
              <w:rPr>
                <w:rFonts w:ascii="Times New Roman" w:hAnsi="Times New Roman" w:cs="Times New Roman"/>
                <w:sz w:val="20"/>
                <w:szCs w:val="20"/>
              </w:rPr>
              <w:fldChar w:fldCharType="end"/>
            </w:r>
            <w:r w:rsidRPr="00677A97">
              <w:rPr>
                <w:rFonts w:ascii="Times New Roman" w:hAnsi="Times New Roman" w:cs="Times New Roman"/>
                <w:sz w:val="20"/>
                <w:szCs w:val="20"/>
              </w:rPr>
              <w:t>.</w:t>
            </w:r>
            <w:r>
              <w:rPr>
                <w:rFonts w:ascii="Times New Roman" w:hAnsi="Times New Roman" w:cs="Times New Roman"/>
                <w:sz w:val="20"/>
                <w:szCs w:val="20"/>
              </w:rPr>
              <w:t xml:space="preserve"> </w:t>
            </w:r>
            <w:r w:rsidRPr="00677A97">
              <w:rPr>
                <w:rFonts w:ascii="Times New Roman" w:hAnsi="Times New Roman" w:cs="Times New Roman"/>
                <w:sz w:val="20"/>
                <w:szCs w:val="20"/>
              </w:rPr>
              <w:t>A decrease in physical activity and an increase in psychological distress have been an observable fact in the COVID-19 pandemic</w:t>
            </w:r>
            <w:r>
              <w:rPr>
                <w:rFonts w:ascii="Times New Roman" w:hAnsi="Times New Roman" w:cs="Times New Roman"/>
                <w:sz w:val="20"/>
                <w:szCs w:val="20"/>
              </w:rPr>
              <w:t xml:space="preserve"> </w:t>
            </w:r>
            <w:r>
              <w:rPr>
                <w:rFonts w:ascii="Times New Roman" w:hAnsi="Times New Roman" w:cs="Times New Roman"/>
                <w:sz w:val="20"/>
                <w:szCs w:val="20"/>
              </w:rPr>
              <w:fldChar w:fldCharType="begin" w:fldLock="1"/>
            </w:r>
            <w:r w:rsidR="008E0D7F">
              <w:rPr>
                <w:rFonts w:ascii="Times New Roman" w:hAnsi="Times New Roman" w:cs="Times New Roman"/>
                <w:sz w:val="20"/>
                <w:szCs w:val="20"/>
              </w:rPr>
              <w:instrText>ADDIN CSL_CITATION {"citationItems":[{"id":"ITEM-1","itemData":{"DOI":"10.1080/17461391.2020.1761076","ISSN":"1746-1391","author":[{"dropping-particle":"","family":"Narici","given":"Marco","non-dropping-particle":"","parse-names":false,"suffix":""},{"dropping-particle":"De","family":"Vito","given":"Giuseppe","non-dropping-particle":"","parse-names":false,"suffix":""},{"dropping-particle":"","family":"Franchi","given":"Martino","non-dropping-particle":"","parse-names":false,"suffix":""},{"dropping-particle":"","family":"Paoli","given":"Antonio","non-dropping-particle":"","parse-names":false,"suffix":""},{"dropping-particle":"","family":"Moro","given":"Tatiana","non-dropping-particle":"","parse-names":false,"suffix":""},{"dropping-particle":"","family":"Marcolin","given":"Giuseppe","non-dropping-particle":"","parse-names":false,"suffix":""},{"dropping-particle":"","family":"Grassi","given":"Bruno","non-dropping-particle":"","parse-names":false,"suffix":""},{"dropping-particle":"","family":"Baldassarre","given":"Giovanni","non-dropping-particle":"","parse-names":false,"suffix":""},{"dropping-particle":"","family":"Zuccarelli","given":"Lucrezia","non-dropping-particle":"","parse-names":false,"suffix":""},{"dropping-particle":"","family":"Biolo","given":"Gianni","non-dropping-particle":"","parse-names":false,"suffix":""},{"dropping-particle":"","family":"Girolamo","given":"Filippo Giorgio","non-dropping-particle":"di","parse-names":false,"suffix":""},{"dropping-particle":"","family":"Fiotti","given":"Nicola","non-dropping-particle":"","parse-names":false,"suffix":""},{"dropping-particle":"","family":"Dela","given":"Flemming","non-dropping-particle":"","parse-names":false,"suffix":""},{"dropping-particle":"","family":"Greenhaff","given":"Paul","non-dropping-particle":"","parse-names":false,"suffix":""},{"dropping-particle":"","family":"Maganaris","given":"Constantinos","non-dropping-particle":"","parse-names":false,"suffix":""}],"container-title":"European Journal of Sport Science","id":"ITEM-1","issue":"4","issued":{"date-parts":[["2021","4","3"]]},"page":"614-635","title":"Impact of sedentarism due to the COVID-19 home confinement on neuromuscular, cardiovascular and metabolic health: Physiological and pathophysiological implications and recommendations for physical and nutritional countermeasures","type":"article-journal","volume":"21"},"uris":["http://www.mendeley.com/documents/?uuid=62b2ee2d-dbd0-4d9c-ae3f-fabc8e165452"]}],"mendeley":{"formattedCitation":"(2)","plainTextFormattedCitation":"(2)","previouslyFormattedCitation":"(2)"},"properties":{"noteIndex":0},"schema":"https://github.com/citation-style-language/schema/raw/master/csl-citation.json"}</w:instrText>
            </w:r>
            <w:r>
              <w:rPr>
                <w:rFonts w:ascii="Times New Roman" w:hAnsi="Times New Roman" w:cs="Times New Roman"/>
                <w:sz w:val="20"/>
                <w:szCs w:val="20"/>
              </w:rPr>
              <w:fldChar w:fldCharType="separate"/>
            </w:r>
            <w:r w:rsidR="008E0D7F" w:rsidRPr="008E0D7F">
              <w:rPr>
                <w:rFonts w:ascii="Times New Roman" w:hAnsi="Times New Roman" w:cs="Times New Roman"/>
                <w:noProof/>
                <w:sz w:val="20"/>
                <w:szCs w:val="20"/>
              </w:rPr>
              <w:t>(2)</w:t>
            </w:r>
            <w:r>
              <w:rPr>
                <w:rFonts w:ascii="Times New Roman" w:hAnsi="Times New Roman" w:cs="Times New Roman"/>
                <w:sz w:val="20"/>
                <w:szCs w:val="20"/>
              </w:rPr>
              <w:fldChar w:fldCharType="end"/>
            </w:r>
            <w:r>
              <w:rPr>
                <w:rFonts w:ascii="Times New Roman" w:hAnsi="Times New Roman" w:cs="Times New Roman"/>
                <w:sz w:val="20"/>
                <w:szCs w:val="20"/>
              </w:rPr>
              <w:t>. 18-2</w:t>
            </w:r>
            <w:r w:rsidRPr="00677A97">
              <w:rPr>
                <w:rFonts w:ascii="Times New Roman" w:hAnsi="Times New Roman" w:cs="Times New Roman"/>
                <w:sz w:val="20"/>
                <w:szCs w:val="20"/>
              </w:rPr>
              <w:t xml:space="preserve">5 years old university students are one of the groups that have become the focus of concerns with the sudden change in their active lifestyles </w:t>
            </w:r>
            <w:r>
              <w:rPr>
                <w:rFonts w:ascii="Times New Roman" w:hAnsi="Times New Roman" w:cs="Times New Roman"/>
                <w:sz w:val="20"/>
                <w:szCs w:val="20"/>
              </w:rPr>
              <w:fldChar w:fldCharType="begin" w:fldLock="1"/>
            </w:r>
            <w:r w:rsidR="008E0D7F">
              <w:rPr>
                <w:rFonts w:ascii="Times New Roman" w:hAnsi="Times New Roman" w:cs="Times New Roman"/>
                <w:sz w:val="20"/>
                <w:szCs w:val="20"/>
              </w:rPr>
              <w:instrText>ADDIN CSL_CITATION {"citationItems":[{"id":"ITEM-1","itemData":{"DOI":"10.3390/ijerph17186567","ISSN":"1660-4601","abstract":"Regular physical activity is related to many factors in a university student’s environment. The coronavirus pandemic and the resulting lockdown have restricted many elements of our environment. The aim of this study was to evaluate students’ physical activity and sedentary behaviour at two points in time: before and during the coronavirus lockdown. As a secondary aim, we also wanted to look at changes resulting from other factors (alcohol, tobacco, diet, stages of change, symptoms of anxiety/depression and sociodemographic characteristics). We conducted an observational, cross-sectional, pre-post study with two cut-off points. Two hundred and thirteen students took part in the study. The main dependent variables were physical activity and sitting time, measured using the International Physical Activity Questionnaire—Short Form (IPAQ-SF). Parametric and non-parametric tests were used for paired and unpaired data, as well as group-stratified analysis. During lockdown, both weekly physical activity (MD: −159.87; CI: −100.44, −219.31) and weekly sitting time increased (MD: −106.76; CI: −71.85, −141.67). In the group analysis, differences were observed in relation to gender, year of study, BMI, alcohol consumption, tobacco use, symptoms of anxiety/depression, Mediterranean diet, living situation and stage of change. The results showed an increase in both physical activity and sitting time globally and by group.","author":[{"dropping-particle":"","family":"Romero-Blanco","given":"Cristina","non-dropping-particle":"","parse-names":false,"suffix":""},{"dropping-particle":"","family":"Rodríguez-Almagro","given":"Julián","non-dropping-particle":"","parse-names":false,"suffix":""},{"dropping-particle":"","family":"Onieva-Zafra","given":"María Dolores","non-dropping-particle":"","parse-names":false,"suffix":""},{"dropping-particle":"","family":"Parra-Fernández","given":"María Laura","non-dropping-particle":"","parse-names":false,"suffix":""},{"dropping-particle":"","family":"Prado-Laguna","given":"María del Carmen","non-dropping-particle":"","parse-names":false,"suffix":""},{"dropping-particle":"","family":"Hernández-Martínez","given":"Antonio","non-dropping-particle":"","parse-names":false,"suffix":""}],"container-title":"International Journal of Environmental Research and Public Health","id":"ITEM-1","issue":"18","issued":{"date-parts":[["2020","9","9"]]},"page":"6567","title":"Physical Activity and Sedentary Lifestyle in University Students: Changes during Confinement Due to the COVID-19 Pandemic","type":"article-journal","volume":"17"},"uris":["http://www.mendeley.com/documents/?uuid=052ae71d-c372-4065-af71-d286ee39575e"]}],"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008E0D7F" w:rsidRPr="008E0D7F">
              <w:rPr>
                <w:rFonts w:ascii="Times New Roman" w:hAnsi="Times New Roman" w:cs="Times New Roman"/>
                <w:noProof/>
                <w:sz w:val="20"/>
                <w:szCs w:val="20"/>
              </w:rPr>
              <w:t>(3)</w:t>
            </w:r>
            <w:r>
              <w:rPr>
                <w:rFonts w:ascii="Times New Roman" w:hAnsi="Times New Roman" w:cs="Times New Roman"/>
                <w:sz w:val="20"/>
                <w:szCs w:val="20"/>
              </w:rPr>
              <w:fldChar w:fldCharType="end"/>
            </w:r>
            <w:r w:rsidRPr="00677A97">
              <w:rPr>
                <w:rFonts w:ascii="Times New Roman" w:hAnsi="Times New Roman" w:cs="Times New Roman"/>
                <w:sz w:val="20"/>
                <w:szCs w:val="20"/>
              </w:rPr>
              <w:t>.</w:t>
            </w:r>
            <w:r>
              <w:rPr>
                <w:rFonts w:ascii="Times New Roman" w:hAnsi="Times New Roman" w:cs="Times New Roman"/>
                <w:sz w:val="20"/>
                <w:szCs w:val="20"/>
              </w:rPr>
              <w:t xml:space="preserve"> T</w:t>
            </w:r>
            <w:r w:rsidRPr="00677A97">
              <w:rPr>
                <w:rFonts w:ascii="Times New Roman" w:hAnsi="Times New Roman" w:cs="Times New Roman"/>
                <w:sz w:val="20"/>
                <w:szCs w:val="20"/>
              </w:rPr>
              <w:t>he aim of this study was to examine the factors affecting the physical activity level of university students during the COVID-19 pandemic and investigating the relationship between physical activity level and stress perceptions.</w:t>
            </w:r>
            <w:r>
              <w:rPr>
                <w:rFonts w:ascii="Times New Roman" w:hAnsi="Times New Roman" w:cs="Times New Roman"/>
                <w:sz w:val="20"/>
                <w:szCs w:val="20"/>
              </w:rPr>
              <w:t xml:space="preserve"> Four hundred and forty-four college students has included in this study. Physical activity level (by IPAQ) and perceived stress level (by PSS) evaluated and barriers/motivators for physical activity were asked to participants during COVID-19 pandemic. Mean age of participants were </w:t>
            </w:r>
            <w:r w:rsidRPr="00681606">
              <w:rPr>
                <w:rFonts w:ascii="Times New Roman" w:hAnsi="Times New Roman" w:cs="Times New Roman"/>
                <w:sz w:val="20"/>
                <w:szCs w:val="20"/>
              </w:rPr>
              <w:t>21±2.95 years</w:t>
            </w:r>
            <w:r>
              <w:rPr>
                <w:rFonts w:ascii="Times New Roman" w:hAnsi="Times New Roman" w:cs="Times New Roman"/>
                <w:sz w:val="20"/>
                <w:szCs w:val="20"/>
              </w:rPr>
              <w:t xml:space="preserve">, 81.3% were women and </w:t>
            </w:r>
            <w:r w:rsidRPr="00681606">
              <w:rPr>
                <w:rFonts w:ascii="Times New Roman" w:hAnsi="Times New Roman" w:cs="Times New Roman"/>
                <w:sz w:val="20"/>
                <w:szCs w:val="20"/>
              </w:rPr>
              <w:t>body mass index (BMI) of 21.93±3.5 kg/m</w:t>
            </w:r>
            <w:r w:rsidRPr="00681606">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Results of our study showed that </w:t>
            </w:r>
            <w:proofErr w:type="spellStart"/>
            <w:r>
              <w:rPr>
                <w:rFonts w:ascii="Times New Roman" w:hAnsi="Times New Roman" w:cs="Times New Roman"/>
                <w:sz w:val="20"/>
                <w:szCs w:val="20"/>
              </w:rPr>
              <w:t>vigorious</w:t>
            </w:r>
            <w:proofErr w:type="spellEnd"/>
            <w:r>
              <w:rPr>
                <w:rFonts w:ascii="Times New Roman" w:hAnsi="Times New Roman" w:cs="Times New Roman"/>
                <w:sz w:val="20"/>
                <w:szCs w:val="20"/>
              </w:rPr>
              <w:t xml:space="preserve"> physical activity </w:t>
            </w:r>
            <w:r w:rsidRPr="00681606">
              <w:rPr>
                <w:rFonts w:ascii="Times New Roman" w:hAnsi="Times New Roman" w:cs="Times New Roman"/>
                <w:sz w:val="20"/>
                <w:szCs w:val="20"/>
              </w:rPr>
              <w:t>(r=-0.160, p&lt;0.01)</w:t>
            </w:r>
            <w:r>
              <w:rPr>
                <w:rFonts w:ascii="Times New Roman" w:hAnsi="Times New Roman" w:cs="Times New Roman"/>
                <w:sz w:val="20"/>
                <w:szCs w:val="20"/>
              </w:rPr>
              <w:t xml:space="preserve">, walking </w:t>
            </w:r>
            <w:r w:rsidRPr="00681606">
              <w:rPr>
                <w:rFonts w:ascii="Times New Roman" w:hAnsi="Times New Roman" w:cs="Times New Roman"/>
                <w:sz w:val="20"/>
                <w:szCs w:val="20"/>
              </w:rPr>
              <w:t>(r=-0.130, p&lt;0.05)</w:t>
            </w:r>
            <w:r>
              <w:rPr>
                <w:rFonts w:ascii="Times New Roman" w:hAnsi="Times New Roman" w:cs="Times New Roman"/>
                <w:sz w:val="20"/>
                <w:szCs w:val="20"/>
              </w:rPr>
              <w:t xml:space="preserve"> and total physical activity scores </w:t>
            </w:r>
            <w:r w:rsidRPr="00681606">
              <w:rPr>
                <w:rFonts w:ascii="Times New Roman" w:hAnsi="Times New Roman" w:cs="Times New Roman"/>
                <w:sz w:val="20"/>
                <w:szCs w:val="20"/>
              </w:rPr>
              <w:t>(r=-0.157, p&lt;0.01)</w:t>
            </w:r>
            <w:r>
              <w:rPr>
                <w:rFonts w:ascii="Times New Roman" w:hAnsi="Times New Roman" w:cs="Times New Roman"/>
                <w:sz w:val="20"/>
                <w:szCs w:val="20"/>
              </w:rPr>
              <w:t xml:space="preserve"> of IPAQ were negative relationship with perceived stress score. Participants mostly reported that insufficient time (before pandemic</w:t>
            </w:r>
            <w:proofErr w:type="gramStart"/>
            <w:r>
              <w:rPr>
                <w:rFonts w:ascii="Times New Roman" w:hAnsi="Times New Roman" w:cs="Times New Roman"/>
                <w:sz w:val="20"/>
                <w:szCs w:val="20"/>
              </w:rPr>
              <w:t>:42</w:t>
            </w:r>
            <w:proofErr w:type="gramEnd"/>
            <w:r>
              <w:rPr>
                <w:rFonts w:ascii="Times New Roman" w:hAnsi="Times New Roman" w:cs="Times New Roman"/>
                <w:sz w:val="20"/>
                <w:szCs w:val="20"/>
              </w:rPr>
              <w:t>%, during pandemic:33.5%), insufficient equipment (before pandemic:26.5%, during pandemic:27%) and lack of motivation (before pandemic:50%, during pandemic:45%) were barriers for physical activity before and during COVID-19 pandemic. Participants mostly reported that weight control (before pandemic</w:t>
            </w:r>
            <w:proofErr w:type="gramStart"/>
            <w:r>
              <w:rPr>
                <w:rFonts w:ascii="Times New Roman" w:hAnsi="Times New Roman" w:cs="Times New Roman"/>
                <w:sz w:val="20"/>
                <w:szCs w:val="20"/>
              </w:rPr>
              <w:t>:53.2</w:t>
            </w:r>
            <w:proofErr w:type="gramEnd"/>
            <w:r>
              <w:rPr>
                <w:rFonts w:ascii="Times New Roman" w:hAnsi="Times New Roman" w:cs="Times New Roman"/>
                <w:sz w:val="20"/>
                <w:szCs w:val="20"/>
              </w:rPr>
              <w:t xml:space="preserve">%, during pandemic:55.1%), increasing muscle strength (before pandemic:54.7%, during pandemic:57.7%) and reducing stress (before pandemic:52.8%, during pandemic:55.1%) were motivators for physical activity before and during COVID-19 pandemic. </w:t>
            </w:r>
            <w:r w:rsidRPr="00D720DA">
              <w:rPr>
                <w:rFonts w:ascii="Times New Roman" w:hAnsi="Times New Roman" w:cs="Times New Roman"/>
                <w:sz w:val="20"/>
                <w:szCs w:val="20"/>
              </w:rPr>
              <w:t>As a result of our study, it has been shown that during the pandemic the perceived stress level decreases with vigorous physical activity, walking or total physical activity level. Considering university students, increasing the level of physical activity for stress management will be an effective, accessible method without any adverse effects.</w:t>
            </w:r>
            <w:r>
              <w:rPr>
                <w:rFonts w:ascii="Times New Roman" w:hAnsi="Times New Roman" w:cs="Times New Roman"/>
                <w:sz w:val="20"/>
                <w:szCs w:val="20"/>
              </w:rPr>
              <w:t xml:space="preserve"> </w:t>
            </w:r>
          </w:p>
          <w:p w14:paraId="68FA34D5" w14:textId="77777777" w:rsidR="00A3406F" w:rsidRDefault="00A3406F" w:rsidP="004A70B3">
            <w:pPr>
              <w:shd w:val="clear" w:color="auto" w:fill="D9D9D9" w:themeFill="background1" w:themeFillShade="D9"/>
              <w:jc w:val="both"/>
              <w:rPr>
                <w:rFonts w:ascii="Times New Roman" w:hAnsi="Times New Roman" w:cs="Times New Roman"/>
                <w:sz w:val="20"/>
                <w:szCs w:val="20"/>
              </w:rPr>
            </w:pPr>
          </w:p>
          <w:p w14:paraId="61C9BF78" w14:textId="77777777" w:rsidR="00A3406F" w:rsidRPr="001C669B" w:rsidRDefault="00A3406F" w:rsidP="004A70B3">
            <w:pPr>
              <w:pStyle w:val="TRANSAffiliation"/>
              <w:jc w:val="left"/>
              <w:rPr>
                <w:szCs w:val="24"/>
              </w:rPr>
            </w:pPr>
          </w:p>
        </w:tc>
      </w:tr>
      <w:tr w:rsidR="00A3406F" w:rsidRPr="00F56331" w14:paraId="38065D10" w14:textId="77777777" w:rsidTr="00DD5589">
        <w:trPr>
          <w:trHeight w:val="684"/>
        </w:trPr>
        <w:tc>
          <w:tcPr>
            <w:tcW w:w="10006" w:type="dxa"/>
            <w:shd w:val="clear" w:color="auto" w:fill="FFFFFF" w:themeFill="background1"/>
          </w:tcPr>
          <w:p w14:paraId="47919B5F" w14:textId="16FA3956" w:rsidR="00A3406F" w:rsidRPr="00766F99" w:rsidRDefault="00A3406F" w:rsidP="004A70B3">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874841">
              <w:rPr>
                <w:rFonts w:eastAsia="MS Mincho"/>
                <w:b w:val="0"/>
                <w:bCs w:val="0"/>
                <w:sz w:val="20"/>
                <w:szCs w:val="20"/>
                <w:lang w:val="tr-TR"/>
              </w:rPr>
              <w:t>COVID-19</w:t>
            </w:r>
            <w:r w:rsidR="00874841" w:rsidRPr="00766F99">
              <w:rPr>
                <w:rFonts w:eastAsia="MS Mincho"/>
                <w:b w:val="0"/>
                <w:bCs w:val="0"/>
                <w:sz w:val="20"/>
                <w:szCs w:val="20"/>
                <w:lang w:val="tr-TR"/>
              </w:rPr>
              <w:t xml:space="preserve">, </w:t>
            </w:r>
            <w:r>
              <w:rPr>
                <w:rFonts w:eastAsia="MS Mincho"/>
                <w:b w:val="0"/>
                <w:bCs w:val="0"/>
                <w:sz w:val="20"/>
                <w:szCs w:val="20"/>
                <w:lang w:val="tr-TR"/>
              </w:rPr>
              <w:t>Physical Activity</w:t>
            </w:r>
            <w:r w:rsidRPr="00766F99">
              <w:rPr>
                <w:rFonts w:eastAsia="MS Mincho"/>
                <w:b w:val="0"/>
                <w:bCs w:val="0"/>
                <w:sz w:val="20"/>
                <w:szCs w:val="20"/>
                <w:lang w:val="tr-TR"/>
              </w:rPr>
              <w:t>,</w:t>
            </w:r>
            <w:r w:rsidRPr="00766F99">
              <w:rPr>
                <w:rFonts w:eastAsia="MS Mincho"/>
                <w:sz w:val="20"/>
                <w:szCs w:val="20"/>
                <w:lang w:val="tr-TR"/>
              </w:rPr>
              <w:t xml:space="preserve"> </w:t>
            </w:r>
            <w:r>
              <w:rPr>
                <w:rFonts w:eastAsia="MS Mincho"/>
                <w:b w:val="0"/>
                <w:bCs w:val="0"/>
                <w:sz w:val="20"/>
                <w:szCs w:val="20"/>
                <w:lang w:val="tr-TR"/>
              </w:rPr>
              <w:t>Stress</w:t>
            </w:r>
            <w:bookmarkStart w:id="0" w:name="_GoBack"/>
            <w:bookmarkEnd w:id="0"/>
          </w:p>
          <w:p w14:paraId="380255EB" w14:textId="77777777" w:rsidR="00A3406F" w:rsidRDefault="00A3406F" w:rsidP="004A70B3">
            <w:pPr>
              <w:pStyle w:val="TRANSAffiliation"/>
              <w:jc w:val="both"/>
              <w:rPr>
                <w:i/>
                <w:sz w:val="20"/>
              </w:rPr>
            </w:pPr>
          </w:p>
          <w:p w14:paraId="4CA6DA02" w14:textId="77777777" w:rsidR="00A3406F" w:rsidRPr="007C0293" w:rsidRDefault="00A3406F" w:rsidP="004A70B3">
            <w:pPr>
              <w:pStyle w:val="TRANSAffiliation"/>
              <w:jc w:val="both"/>
              <w:rPr>
                <w:i/>
                <w:sz w:val="20"/>
              </w:rPr>
            </w:pPr>
          </w:p>
        </w:tc>
      </w:tr>
    </w:tbl>
    <w:p w14:paraId="62ADA711" w14:textId="4463B817" w:rsidR="003A283B" w:rsidRPr="003A283B" w:rsidRDefault="00B2099A" w:rsidP="004A70B3">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40729E3E" w14:textId="5FDD903F" w:rsidR="006E4181" w:rsidRDefault="00E817D0" w:rsidP="004A70B3">
      <w:pPr>
        <w:spacing w:before="120" w:after="0"/>
        <w:jc w:val="both"/>
        <w:rPr>
          <w:rFonts w:ascii="Times New Roman" w:eastAsia="Times New Roman" w:hAnsi="Times New Roman" w:cs="Times New Roman"/>
          <w:shd w:val="clear" w:color="auto" w:fill="FFFFFF"/>
          <w:lang w:val="en-US" w:eastAsia="tr-TR"/>
        </w:rPr>
      </w:pPr>
      <w:r w:rsidRPr="00E817D0">
        <w:rPr>
          <w:rFonts w:ascii="Times New Roman" w:eastAsia="Times New Roman" w:hAnsi="Times New Roman" w:cs="Times New Roman"/>
          <w:shd w:val="clear" w:color="auto" w:fill="FFFFFF"/>
          <w:lang w:val="en-US" w:eastAsia="tr-TR"/>
        </w:rPr>
        <w:t>The COVID-19 pandemic was first identified from an outbreak in Wuhan, China, in December 2019. The virus had spread worldwide in a short time and strict security measures including social isolation and mobility constraints had been implemented in many countries</w:t>
      </w:r>
      <w:r>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fldChar w:fldCharType="begin" w:fldLock="1"/>
      </w:r>
      <w:r w:rsidR="008E0D7F">
        <w:rPr>
          <w:rFonts w:ascii="Times New Roman" w:eastAsia="Times New Roman" w:hAnsi="Times New Roman" w:cs="Times New Roman"/>
          <w:shd w:val="clear" w:color="auto" w:fill="FFFFFF"/>
          <w:lang w:val="en-US" w:eastAsia="tr-TR"/>
        </w:rPr>
        <w:instrText>ADDIN CSL_CITATION {"citationItems":[{"id":"ITEM-1","itemData":{"author":[{"dropping-particle":"","family":"World Health Organisation (WHO)","given":"","non-dropping-particle":"","parse-names":false,"suffix":""}],"id":"ITEM-1","issued":{"date-parts":[["0"]]},"number-of-pages":"9 p.","publisher":"World Health Organization","title":"Coronavirus disease 2019 (COVID-19): situation report, 51","type":"report"},"uris":["http://www.mendeley.com/documents/?uuid=a345c1f7-1b68-45a1-ad45-dc881d09862f"]}],"mendeley":{"formattedCitation":"(1)","plainTextFormattedCitation":"(1)","previouslyFormattedCitation":"(1)"},"properties":{"noteIndex":0},"schema":"https://github.com/citation-style-language/schema/raw/master/csl-citation.json"}</w:instrText>
      </w:r>
      <w:r>
        <w:rPr>
          <w:rFonts w:ascii="Times New Roman" w:eastAsia="Times New Roman" w:hAnsi="Times New Roman" w:cs="Times New Roman"/>
          <w:shd w:val="clear" w:color="auto" w:fill="FFFFFF"/>
          <w:lang w:val="en-US" w:eastAsia="tr-TR"/>
        </w:rPr>
        <w:fldChar w:fldCharType="separate"/>
      </w:r>
      <w:r w:rsidR="008E0D7F" w:rsidRPr="008E0D7F">
        <w:rPr>
          <w:rFonts w:ascii="Times New Roman" w:eastAsia="Times New Roman" w:hAnsi="Times New Roman" w:cs="Times New Roman"/>
          <w:noProof/>
          <w:shd w:val="clear" w:color="auto" w:fill="FFFFFF"/>
          <w:lang w:val="en-US" w:eastAsia="tr-TR"/>
        </w:rPr>
        <w:t>(1)</w:t>
      </w:r>
      <w:r>
        <w:rPr>
          <w:rFonts w:ascii="Times New Roman" w:eastAsia="Times New Roman" w:hAnsi="Times New Roman" w:cs="Times New Roman"/>
          <w:shd w:val="clear" w:color="auto" w:fill="FFFFFF"/>
          <w:lang w:val="en-US" w:eastAsia="tr-TR"/>
        </w:rPr>
        <w:fldChar w:fldCharType="end"/>
      </w:r>
      <w:r w:rsidRPr="00E817D0">
        <w:rPr>
          <w:rFonts w:ascii="Times New Roman" w:eastAsia="Times New Roman" w:hAnsi="Times New Roman" w:cs="Times New Roman"/>
          <w:shd w:val="clear" w:color="auto" w:fill="FFFFFF"/>
          <w:lang w:val="en-US" w:eastAsia="tr-TR"/>
        </w:rPr>
        <w:t>.</w:t>
      </w:r>
      <w:r>
        <w:rPr>
          <w:rFonts w:ascii="Times New Roman" w:eastAsia="Times New Roman" w:hAnsi="Times New Roman" w:cs="Times New Roman"/>
          <w:shd w:val="clear" w:color="auto" w:fill="FFFFFF"/>
          <w:lang w:val="en-US" w:eastAsia="tr-TR"/>
        </w:rPr>
        <w:t xml:space="preserve"> </w:t>
      </w:r>
      <w:r w:rsidR="00325E9A">
        <w:rPr>
          <w:rFonts w:ascii="Times New Roman" w:eastAsia="Times New Roman" w:hAnsi="Times New Roman" w:cs="Times New Roman"/>
          <w:shd w:val="clear" w:color="auto" w:fill="FFFFFF"/>
          <w:lang w:val="en-US" w:eastAsia="tr-TR"/>
        </w:rPr>
        <w:t xml:space="preserve">Different countries applied different isolation protocols and preventive strategies for decreasing spreading rate of the virus. </w:t>
      </w:r>
    </w:p>
    <w:p w14:paraId="30A1D1EF" w14:textId="4EE49576" w:rsidR="00325E9A" w:rsidRDefault="00325E9A" w:rsidP="004A70B3">
      <w:pPr>
        <w:spacing w:before="120" w:after="0"/>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 xml:space="preserve">During and after isolation period, the major concern of health care professionals has decreasing physical activity and increasing sedentary behaviors in general population </w:t>
      </w:r>
      <w:r>
        <w:rPr>
          <w:rFonts w:ascii="Times New Roman" w:eastAsia="Times New Roman" w:hAnsi="Times New Roman" w:cs="Times New Roman"/>
          <w:shd w:val="clear" w:color="auto" w:fill="FFFFFF"/>
          <w:lang w:val="en-US" w:eastAsia="tr-TR"/>
        </w:rPr>
        <w:fldChar w:fldCharType="begin" w:fldLock="1"/>
      </w:r>
      <w:r w:rsidR="008E0D7F">
        <w:rPr>
          <w:rFonts w:ascii="Times New Roman" w:eastAsia="Times New Roman" w:hAnsi="Times New Roman" w:cs="Times New Roman"/>
          <w:shd w:val="clear" w:color="auto" w:fill="FFFFFF"/>
          <w:lang w:val="en-US" w:eastAsia="tr-TR"/>
        </w:rPr>
        <w:instrText>ADDIN CSL_CITATION {"citationItems":[{"id":"ITEM-1","itemData":{"DOI":"10.1136/bmjsem-2020-000960","ISSN":"2055-7647","author":[{"dropping-particle":"","family":"Stockwell","given":"Stephanie","non-dropping-particle":"","parse-names":false,"suffix":""},{"dropping-particle":"","family":"Trott","given":"Mike","non-dropping-particle":"","parse-names":false,"suffix":""},{"dropping-particle":"","family":"Tully","given":"Mark","non-dropping-particle":"","parse-names":false,"suffix":""},{"dropping-particle":"","family":"Shin","given":"Jae","non-dropping-particle":"","parse-names":false,"suffix":""},{"dropping-particle":"","family":"Barnett","given":"Yvonne","non-dropping-particle":"","parse-names":false,"suffix":""},{"dropping-particle":"","family":"Butler","given":"Laurie","non-dropping-particle":"","parse-names":false,"suffix":""},{"dropping-particle":"","family":"McDermott","given":"Daragh","non-dropping-particle":"","parse-names":false,"suffix":""},{"dropping-particle":"","family":"Schuch","given":"Felipe","non-dropping-particle":"","parse-names":false,"suffix":""},{"dropping-particle":"","family":"Smith","given":"Lee","non-dropping-particle":"","parse-names":false,"suffix":""}],"container-title":"BMJ Open Sport &amp; Exercise Medicine","id":"ITEM-1","issue":"1","issued":{"date-parts":[["2021","1","1"]]},"page":"e000960","title":"Changes in physical activity and sedentary behaviours from before to during the COVID-19 pandemic lockdown: a systematic review","type":"article-journal","volume":"7"},"uris":["http://www.mendeley.com/documents/?uuid=14ee6d4e-75b2-4a51-b23b-e14eb951e8c5"]}],"mendeley":{"formattedCitation":"(4)","plainTextFormattedCitation":"(4)","previouslyFormattedCitation":"(4)"},"properties":{"noteIndex":0},"schema":"https://github.com/citation-style-language/schema/raw/master/csl-citation.json"}</w:instrText>
      </w:r>
      <w:r>
        <w:rPr>
          <w:rFonts w:ascii="Times New Roman" w:eastAsia="Times New Roman" w:hAnsi="Times New Roman" w:cs="Times New Roman"/>
          <w:shd w:val="clear" w:color="auto" w:fill="FFFFFF"/>
          <w:lang w:val="en-US" w:eastAsia="tr-TR"/>
        </w:rPr>
        <w:fldChar w:fldCharType="separate"/>
      </w:r>
      <w:r w:rsidR="008E0D7F" w:rsidRPr="008E0D7F">
        <w:rPr>
          <w:rFonts w:ascii="Times New Roman" w:eastAsia="Times New Roman" w:hAnsi="Times New Roman" w:cs="Times New Roman"/>
          <w:noProof/>
          <w:shd w:val="clear" w:color="auto" w:fill="FFFFFF"/>
          <w:lang w:val="en-US" w:eastAsia="tr-TR"/>
        </w:rPr>
        <w:t>(4)</w:t>
      </w:r>
      <w:r>
        <w:rPr>
          <w:rFonts w:ascii="Times New Roman" w:eastAsia="Times New Roman" w:hAnsi="Times New Roman" w:cs="Times New Roman"/>
          <w:shd w:val="clear" w:color="auto" w:fill="FFFFFF"/>
          <w:lang w:val="en-US" w:eastAsia="tr-TR"/>
        </w:rPr>
        <w:fldChar w:fldCharType="end"/>
      </w:r>
      <w:r>
        <w:rPr>
          <w:rFonts w:ascii="Times New Roman" w:eastAsia="Times New Roman" w:hAnsi="Times New Roman" w:cs="Times New Roman"/>
          <w:shd w:val="clear" w:color="auto" w:fill="FFFFFF"/>
          <w:lang w:val="en-US" w:eastAsia="tr-TR"/>
        </w:rPr>
        <w:t xml:space="preserve">. </w:t>
      </w:r>
      <w:r w:rsidR="00F101C2">
        <w:rPr>
          <w:rFonts w:ascii="Times New Roman" w:eastAsia="Times New Roman" w:hAnsi="Times New Roman" w:cs="Times New Roman"/>
          <w:shd w:val="clear" w:color="auto" w:fill="FFFFFF"/>
          <w:lang w:val="en-US" w:eastAsia="tr-TR"/>
        </w:rPr>
        <w:t xml:space="preserve">It has thought that both the direct effect of isolation process and pandemic and negative effects of decreased physical activity may cause </w:t>
      </w:r>
      <w:r w:rsidR="00F35D2F">
        <w:rPr>
          <w:rFonts w:ascii="Times New Roman" w:eastAsia="Times New Roman" w:hAnsi="Times New Roman" w:cs="Times New Roman"/>
          <w:shd w:val="clear" w:color="auto" w:fill="FFFFFF"/>
          <w:lang w:val="en-US" w:eastAsia="tr-TR"/>
        </w:rPr>
        <w:t xml:space="preserve">mental disorders such as increased perceived stress, anxiety and depression symptoms </w:t>
      </w:r>
      <w:r w:rsidR="00F35D2F">
        <w:rPr>
          <w:rFonts w:ascii="Times New Roman" w:eastAsia="Times New Roman" w:hAnsi="Times New Roman" w:cs="Times New Roman"/>
          <w:shd w:val="clear" w:color="auto" w:fill="FFFFFF"/>
          <w:lang w:val="en-US" w:eastAsia="tr-TR"/>
        </w:rPr>
        <w:fldChar w:fldCharType="begin" w:fldLock="1"/>
      </w:r>
      <w:r w:rsidR="008E0D7F">
        <w:rPr>
          <w:rFonts w:ascii="Times New Roman" w:eastAsia="Times New Roman" w:hAnsi="Times New Roman" w:cs="Times New Roman"/>
          <w:shd w:val="clear" w:color="auto" w:fill="FFFFFF"/>
          <w:lang w:val="en-US" w:eastAsia="tr-TR"/>
        </w:rPr>
        <w:instrText>ADDIN CSL_CITATION {"citationItems":[{"id":"ITEM-1","itemData":{"DOI":"10.1371/journal.pone.0239244","ISSN":"1932-6203","abstract":"The COVID-19 pandemic has impacted the mental health, physical activity, and sedentary behavior of people worldwide. According to the Health Belief Model (HBM), health-related behavior is determined by perceived barriers and motivators. Using an online survey with 1669 respondents, we sought to understand why and how physical activity and sedentary behavior has changed by querying about perceived barriers and motivators to physical activity that changed because of the pandemic, and how those changes impacted mental health. The following results were statistically significant at p &lt; .05. Consistent with prior reports, our respondents were less physically active (aerobic activity, -11%; strength-based activity, -30%) and more sedentary (+11%) during the pandemic as compared to 6-months before. The pandemic also increased psychological stress (+22%) and brought on moderate symptoms of anxiety and depression. Respondents’ whose mental health deteriorated the most were also the ones who were least active (depression r = -.21, anxiety r = -.12). The majority of respondents were unmotivated to exercise because they were too anxious (+8%,), lacked social support (+6%), or had limited access to equipment (+23%) or space (+41%). The respondents who were able to stay active reported feeling less motivated by physical health outcomes such as weight loss (-7%) or strength (-14%) and instead more motivated by mental health outcomes such as anxiety relief (+14%). Coupled with previous work demonstrating a direct relationship between mental health and physical activity, these results highlight the potential protective effect of physical activity on mental health and point to the need for psychological support to overcome perceived barriers so that people can continue to be physically active during stressful times like the pandemic.","author":[{"dropping-particle":"","family":"Marashi","given":"Maryam Yvonne","non-dropping-particle":"","parse-names":false,"suffix":""},{"dropping-particle":"","family":"Nicholson","given":"Emma","non-dropping-particle":"","parse-names":false,"suffix":""},{"dropping-particle":"","family":"Ogrodnik","given":"Michelle","non-dropping-particle":"","parse-names":false,"suffix":""},{"dropping-particle":"","family":"Fenesi","given":"Barbara","non-dropping-particle":"","parse-names":false,"suffix":""},{"dropping-particle":"","family":"Heisz","given":"Jennifer J.","non-dropping-particle":"","parse-names":false,"suffix":""}],"container-title":"PLOS ONE","editor":[{"dropping-particle":"","family":"Kotozaki","given":"Yuka","non-dropping-particle":"","parse-names":false,"suffix":""}],"id":"ITEM-1","issue":"4","issued":{"date-parts":[["2021","4","1"]]},"page":"e0239244","title":"A mental health paradox: Mental health was both a motivator and barrier to physical activity during the COVID-19 pandemic","type":"article-journal","volume":"16"},"uris":["http://www.mendeley.com/documents/?uuid=2ff88080-baa3-4476-86ab-4549ba80e08e"]}],"mendeley":{"formattedCitation":"(5)","plainTextFormattedCitation":"(5)","previouslyFormattedCitation":"(5)"},"properties":{"noteIndex":0},"schema":"https://github.com/citation-style-language/schema/raw/master/csl-citation.json"}</w:instrText>
      </w:r>
      <w:r w:rsidR="00F35D2F">
        <w:rPr>
          <w:rFonts w:ascii="Times New Roman" w:eastAsia="Times New Roman" w:hAnsi="Times New Roman" w:cs="Times New Roman"/>
          <w:shd w:val="clear" w:color="auto" w:fill="FFFFFF"/>
          <w:lang w:val="en-US" w:eastAsia="tr-TR"/>
        </w:rPr>
        <w:fldChar w:fldCharType="separate"/>
      </w:r>
      <w:r w:rsidR="008E0D7F" w:rsidRPr="008E0D7F">
        <w:rPr>
          <w:rFonts w:ascii="Times New Roman" w:eastAsia="Times New Roman" w:hAnsi="Times New Roman" w:cs="Times New Roman"/>
          <w:noProof/>
          <w:shd w:val="clear" w:color="auto" w:fill="FFFFFF"/>
          <w:lang w:val="en-US" w:eastAsia="tr-TR"/>
        </w:rPr>
        <w:t>(5)</w:t>
      </w:r>
      <w:r w:rsidR="00F35D2F">
        <w:rPr>
          <w:rFonts w:ascii="Times New Roman" w:eastAsia="Times New Roman" w:hAnsi="Times New Roman" w:cs="Times New Roman"/>
          <w:shd w:val="clear" w:color="auto" w:fill="FFFFFF"/>
          <w:lang w:val="en-US" w:eastAsia="tr-TR"/>
        </w:rPr>
        <w:fldChar w:fldCharType="end"/>
      </w:r>
      <w:r w:rsidR="00F35D2F">
        <w:rPr>
          <w:rFonts w:ascii="Times New Roman" w:eastAsia="Times New Roman" w:hAnsi="Times New Roman" w:cs="Times New Roman"/>
          <w:shd w:val="clear" w:color="auto" w:fill="FFFFFF"/>
          <w:lang w:val="en-US" w:eastAsia="tr-TR"/>
        </w:rPr>
        <w:t xml:space="preserve">. </w:t>
      </w:r>
    </w:p>
    <w:p w14:paraId="58104D36" w14:textId="66738D0B" w:rsidR="006E4181" w:rsidRDefault="002E16BA" w:rsidP="004A70B3">
      <w:pPr>
        <w:spacing w:before="120" w:after="0"/>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 xml:space="preserve">It has stated that decreased physical activity and increased psychological distress are the major problems for general population during COVID-19 pandemic </w:t>
      </w:r>
      <w:r>
        <w:rPr>
          <w:rFonts w:ascii="Times New Roman" w:eastAsia="Times New Roman" w:hAnsi="Times New Roman" w:cs="Times New Roman"/>
          <w:shd w:val="clear" w:color="auto" w:fill="FFFFFF"/>
          <w:lang w:val="en-US" w:eastAsia="tr-TR"/>
        </w:rPr>
        <w:fldChar w:fldCharType="begin" w:fldLock="1"/>
      </w:r>
      <w:r w:rsidR="008E0D7F">
        <w:rPr>
          <w:rFonts w:ascii="Times New Roman" w:eastAsia="Times New Roman" w:hAnsi="Times New Roman" w:cs="Times New Roman"/>
          <w:shd w:val="clear" w:color="auto" w:fill="FFFFFF"/>
          <w:lang w:val="en-US" w:eastAsia="tr-TR"/>
        </w:rPr>
        <w:instrText>ADDIN CSL_CITATION {"citationItems":[{"id":"ITEM-1","itemData":{"DOI":"10.1080/17461391.2020.1761076","ISSN":"1746-1391","author":[{"dropping-particle":"","family":"Narici","given":"Marco","non-dropping-particle":"","parse-names":false,"suffix":""},{"dropping-particle":"De","family":"Vito","given":"Giuseppe","non-dropping-particle":"","parse-names":false,"suffix":""},{"dropping-particle":"","family":"Franchi","given":"Martino","non-dropping-particle":"","parse-names":false,"suffix":""},{"dropping-particle":"","family":"Paoli","given":"Antonio","non-dropping-particle":"","parse-names":false,"suffix":""},{"dropping-particle":"","family":"Moro","given":"Tatiana","non-dropping-particle":"","parse-names":false,"suffix":""},{"dropping-particle":"","family":"Marcolin","given":"Giuseppe","non-dropping-particle":"","parse-names":false,"suffix":""},{"dropping-particle":"","family":"Grassi","given":"Bruno","non-dropping-particle":"","parse-names":false,"suffix":""},{"dropping-particle":"","family":"Baldassarre","given":"Giovanni","non-dropping-particle":"","parse-names":false,"suffix":""},{"dropping-particle":"","family":"Zuccarelli","given":"Lucrezia","non-dropping-particle":"","parse-names":false,"suffix":""},{"dropping-particle":"","family":"Biolo","given":"Gianni","non-dropping-particle":"","parse-names":false,"suffix":""},{"dropping-particle":"","family":"Girolamo","given":"Filippo Giorgio","non-dropping-particle":"di","parse-names":false,"suffix":""},{"dropping-particle":"","family":"Fiotti","given":"Nicola","non-dropping-particle":"","parse-names":false,"suffix":""},{"dropping-particle":"","family":"Dela","given":"Flemming","non-dropping-particle":"","parse-names":false,"suffix":""},{"dropping-particle":"","family":"Greenhaff","given":"Paul","non-dropping-particle":"","parse-names":false,"suffix":""},{"dropping-particle":"","family":"Maganaris","given":"Constantinos","non-dropping-particle":"","parse-names":false,"suffix":""}],"container-title":"European Journal of Sport Science","id":"ITEM-1","issue":"4","issued":{"date-parts":[["2021","4","3"]]},"page":"614-635","title":"Impact of sedentarism due to the COVID-19 home confinement on neuromuscular, cardiovascular and metabolic health: Physiological and pathophysiological implications and recommendations for physical and nutritional countermeasures","type":"article-journal","volume":"21"},"uris":["http://www.mendeley.com/documents/?uuid=62b2ee2d-dbd0-4d9c-ae3f-fabc8e165452"]},{"id":"ITEM-2","itemData":{"DOI":"10.1016/S0140-6736(20)30460-8","ISSN":"01406736","author":[{"dropping-particle":"","family":"Brooks","given":"Samantha K","non-dropping-particle":"","parse-names":false,"suffix":""},{"dropping-particle":"","family":"Webster","given":"Rebecca K","non-dropping-particle":"","parse-names":false,"suffix":""},{"dropping-particle":"","family":"Smith","given":"Louise E","non-dropping-particle":"","parse-names":false,"suffix":""},{"dropping-particle":"","family":"Woodland","given":"Lisa","non-dropping-particle":"","parse-names":false,"suffix":""},{"dropping-particle":"","family":"Wessely","given":"Simon","non-dropping-particle":"","parse-names":false,"suffix":""},{"dropping-particle":"","family":"Greenberg","given":"Neil","non-dropping-particle":"","parse-names":false,"suffix":""},{"dropping-particle":"","family":"Rubin","given":"Gideon James","non-dropping-particle":"","parse-names":false,"suffix":""}],"container-title":"The Lancet","id":"ITEM-2","issue":"10227","issued":{"date-parts":[["2020","3"]]},"page":"912-920","title":"The psychological impact of quarantine and how to reduce it: rapid review of the evidence","type":"article-journal","volume":"395"},"uris":["http://www.mendeley.com/documents/?uuid=7a5d1dc3-169c-4eae-b654-b94471aa13ef"]},{"id":"ITEM-3","itemData":{"DOI":"10.1016/j.sleep.2020.05.011","ISSN":"13899457","author":[{"dropping-particle":"","family":"Casagrande","given":"Maria","non-dropping-particle":"","parse-names":false,"suffix":""},{"dropping-particle":"","family":"Favieri","given":"Francesca","non-dropping-particle":"","parse-names":false,"suffix":""},{"dropping-particle":"","family":"Tambelli","given":"Renata","non-dropping-particle":"","parse-names":false,"suffix":""},{"dropping-particle":"","family":"Forte","given":"Giuseppe","non-dropping-particle":"","parse-names":false,"suffix":""}],"container-title":"Sleep Medicine","id":"ITEM-3","issued":{"date-parts":[["2020","11"]]},"page":"12-20","title":"The enemy who sealed the world: effects quarantine due to the COVID-19 on sleep quality, anxiety, and psychological distress in the Italian population","type":"article-journal","volume":"75"},"uris":["http://www.mendeley.com/documents/?uuid=b37934ce-182a-495a-933e-70a2f384c86c"]}],"mendeley":{"formattedCitation":"(2,6,7)","plainTextFormattedCitation":"(2,6,7)","previouslyFormattedCitation":"(2,6,7)"},"properties":{"noteIndex":0},"schema":"https://github.com/citation-style-language/schema/raw/master/csl-citation.json"}</w:instrText>
      </w:r>
      <w:r>
        <w:rPr>
          <w:rFonts w:ascii="Times New Roman" w:eastAsia="Times New Roman" w:hAnsi="Times New Roman" w:cs="Times New Roman"/>
          <w:shd w:val="clear" w:color="auto" w:fill="FFFFFF"/>
          <w:lang w:val="en-US" w:eastAsia="tr-TR"/>
        </w:rPr>
        <w:fldChar w:fldCharType="separate"/>
      </w:r>
      <w:r w:rsidR="008E0D7F" w:rsidRPr="008E0D7F">
        <w:rPr>
          <w:rFonts w:ascii="Times New Roman" w:eastAsia="Times New Roman" w:hAnsi="Times New Roman" w:cs="Times New Roman"/>
          <w:noProof/>
          <w:shd w:val="clear" w:color="auto" w:fill="FFFFFF"/>
          <w:lang w:val="en-US" w:eastAsia="tr-TR"/>
        </w:rPr>
        <w:t>(2,6,7)</w:t>
      </w:r>
      <w:r>
        <w:rPr>
          <w:rFonts w:ascii="Times New Roman" w:eastAsia="Times New Roman" w:hAnsi="Times New Roman" w:cs="Times New Roman"/>
          <w:shd w:val="clear" w:color="auto" w:fill="FFFFFF"/>
          <w:lang w:val="en-US" w:eastAsia="tr-TR"/>
        </w:rPr>
        <w:fldChar w:fldCharType="end"/>
      </w:r>
      <w:r>
        <w:rPr>
          <w:rFonts w:ascii="Times New Roman" w:eastAsia="Times New Roman" w:hAnsi="Times New Roman" w:cs="Times New Roman"/>
          <w:shd w:val="clear" w:color="auto" w:fill="FFFFFF"/>
          <w:lang w:val="en-US" w:eastAsia="tr-TR"/>
        </w:rPr>
        <w:t xml:space="preserve">. But the young population, especially college students, may be the most risky group for lifestyle changes because of prevention strategies and isolation process and may need to encourage for different type of physical activity during pandemic </w:t>
      </w:r>
      <w:r>
        <w:rPr>
          <w:rFonts w:ascii="Times New Roman" w:eastAsia="Times New Roman" w:hAnsi="Times New Roman" w:cs="Times New Roman"/>
          <w:shd w:val="clear" w:color="auto" w:fill="FFFFFF"/>
          <w:lang w:val="en-US" w:eastAsia="tr-TR"/>
        </w:rPr>
        <w:fldChar w:fldCharType="begin" w:fldLock="1"/>
      </w:r>
      <w:r w:rsidR="008E0D7F">
        <w:rPr>
          <w:rFonts w:ascii="Times New Roman" w:eastAsia="Times New Roman" w:hAnsi="Times New Roman" w:cs="Times New Roman"/>
          <w:shd w:val="clear" w:color="auto" w:fill="FFFFFF"/>
          <w:lang w:val="en-US" w:eastAsia="tr-TR"/>
        </w:rPr>
        <w:instrText>ADDIN CSL_CITATION {"citationItems":[{"id":"ITEM-1","itemData":{"DOI":"10.3390/ijerph17186567","ISSN":"1660-4601","abstract":"Regular physical activity is related to many factors in a university student’s environment. The coronavirus pandemic and the resulting lockdown have restricted many elements of our environment. The aim of this study was to evaluate students’ physical activity and sedentary behaviour at two points in time: before and during the coronavirus lockdown. As a secondary aim, we also wanted to look at changes resulting from other factors (alcohol, tobacco, diet, stages of change, symptoms of anxiety/depression and sociodemographic characteristics). We conducted an observational, cross-sectional, pre-post study with two cut-off points. Two hundred and thirteen students took part in the study. The main dependent variables were physical activity and sitting time, measured using the International Physical Activity Questionnaire—Short Form (IPAQ-SF). Parametric and non-parametric tests were used for paired and unpaired data, as well as group-stratified analysis. During lockdown, both weekly physical activity (MD: −159.87; CI: −100.44, −219.31) and weekly sitting time increased (MD: −106.76; CI: −71.85, −141.67). In the group analysis, differences were observed in relation to gender, year of study, BMI, alcohol consumption, tobacco use, symptoms of anxiety/depression, Mediterranean diet, living situation and stage of change. The results showed an increase in both physical activity and sitting time globally and by group.","author":[{"dropping-particle":"","family":"Romero-Blanco","given":"Cristina","non-dropping-particle":"","parse-names":false,"suffix":""},{"dropping-particle":"","family":"Rodríguez-Almagro","given":"Julián","non-dropping-particle":"","parse-names":false,"suffix":""},{"dropping-particle":"","family":"Onieva-Zafra","given":"María Dolores","non-dropping-particle":"","parse-names":false,"suffix":""},{"dropping-particle":"","family":"Parra-Fernández","given":"María Laura","non-dropping-particle":"","parse-names":false,"suffix":""},{"dropping-particle":"","family":"Prado-Laguna","given":"María del Carmen","non-dropping-particle":"","parse-names":false,"suffix":""},{"dropping-particle":"","family":"Hernández-Martínez","given":"Antonio","non-dropping-particle":"","parse-names":false,"suffix":""}],"container-title":"International Journal of Environmental Research and Public Health","id":"ITEM-1","issue":"18","issued":{"date-parts":[["2020","9","9"]]},"page":"6567","title":"Physical Activity and Sedentary Lifestyle in University Students: Changes during Confinement Due to the COVID-19 Pandemic","type":"article-journal","volume":"17"},"uris":["http://www.mendeley.com/documents/?uuid=052ae71d-c372-4065-af71-d286ee39575e"]},{"id":"ITEM-2","itemData":{"DOI":"10.1016/j.psychres.2016.12.020","ISSN":"01651781","author":[{"dropping-particle":"","family":"Stubbs","given":"Brendon","non-dropping-particle":"","parse-names":false,"suffix":""},{"dropping-particle":"","family":"Vancampfort","given":"Davy","non-dropping-particle":"","parse-names":false,"suffix":""},{"dropping-particle":"","family":"Rosenbaum","given":"Simon","non-dropping-particle":"","parse-names":false,"suffix":""},{"dropping-particle":"","family":"Firth","given":"Joseph","non-dropping-particle":"","parse-names":false,"suffix":""},{"dropping-particle":"","family":"Cosco","given":"Theodore","non-dropping-particle":"","parse-names":false,"suffix":""},{"dropping-particle":"","family":"Veronese","given":"Nicola","non-dropping-particle":"","parse-names":false,"suffix":""},{"dropping-particle":"","family":"Salum","given":"Giovanni A.","non-dropping-particle":"","parse-names":false,"suffix":""},{"dropping-particle":"","family":"Schuch","given":"Felipe B.","non-dropping-particle":"","parse-names":false,"suffix":""}],"container-title":"Psychiatry Research","id":"ITEM-2","issued":{"date-parts":[["2017","3"]]},"page":"102-108","title":"An examination of the anxiolytic effects of exercise for people with anxiety and stress-related disorders: A meta-analysis","type":"article-journal","volume":"249"},"uris":["http://www.mendeley.com/documents/?uuid=af3fd89c-23f1-4ecd-8bf6-a4c600abfad7"]}],"mendeley":{"formattedCitation":"(3,8)","plainTextFormattedCitation":"(3,8)","previouslyFormattedCitation":"(3,8)"},"properties":{"noteIndex":0},"schema":"https://github.com/citation-style-language/schema/raw/master/csl-citation.json"}</w:instrText>
      </w:r>
      <w:r>
        <w:rPr>
          <w:rFonts w:ascii="Times New Roman" w:eastAsia="Times New Roman" w:hAnsi="Times New Roman" w:cs="Times New Roman"/>
          <w:shd w:val="clear" w:color="auto" w:fill="FFFFFF"/>
          <w:lang w:val="en-US" w:eastAsia="tr-TR"/>
        </w:rPr>
        <w:fldChar w:fldCharType="separate"/>
      </w:r>
      <w:r w:rsidR="008E0D7F" w:rsidRPr="008E0D7F">
        <w:rPr>
          <w:rFonts w:ascii="Times New Roman" w:eastAsia="Times New Roman" w:hAnsi="Times New Roman" w:cs="Times New Roman"/>
          <w:noProof/>
          <w:shd w:val="clear" w:color="auto" w:fill="FFFFFF"/>
          <w:lang w:val="en-US" w:eastAsia="tr-TR"/>
        </w:rPr>
        <w:t>(3,8)</w:t>
      </w:r>
      <w:r>
        <w:rPr>
          <w:rFonts w:ascii="Times New Roman" w:eastAsia="Times New Roman" w:hAnsi="Times New Roman" w:cs="Times New Roman"/>
          <w:shd w:val="clear" w:color="auto" w:fill="FFFFFF"/>
          <w:lang w:val="en-US" w:eastAsia="tr-TR"/>
        </w:rPr>
        <w:fldChar w:fldCharType="end"/>
      </w:r>
      <w:r>
        <w:rPr>
          <w:rFonts w:ascii="Times New Roman" w:eastAsia="Times New Roman" w:hAnsi="Times New Roman" w:cs="Times New Roman"/>
          <w:shd w:val="clear" w:color="auto" w:fill="FFFFFF"/>
          <w:lang w:val="en-US" w:eastAsia="tr-TR"/>
        </w:rPr>
        <w:t xml:space="preserve">. </w:t>
      </w:r>
    </w:p>
    <w:p w14:paraId="3AA8CEBF" w14:textId="60D841A5" w:rsidR="002E16BA" w:rsidRDefault="002E16BA" w:rsidP="004A70B3">
      <w:pPr>
        <w:spacing w:before="120" w:after="0"/>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 xml:space="preserve">On the light of these </w:t>
      </w:r>
      <w:proofErr w:type="spellStart"/>
      <w:r>
        <w:rPr>
          <w:rFonts w:ascii="Times New Roman" w:eastAsia="Times New Roman" w:hAnsi="Times New Roman" w:cs="Times New Roman"/>
          <w:shd w:val="clear" w:color="auto" w:fill="FFFFFF"/>
          <w:lang w:val="en-US" w:eastAsia="tr-TR"/>
        </w:rPr>
        <w:t>informations</w:t>
      </w:r>
      <w:proofErr w:type="spellEnd"/>
      <w:r>
        <w:rPr>
          <w:rFonts w:ascii="Times New Roman" w:eastAsia="Times New Roman" w:hAnsi="Times New Roman" w:cs="Times New Roman"/>
          <w:shd w:val="clear" w:color="auto" w:fill="FFFFFF"/>
          <w:lang w:val="en-US" w:eastAsia="tr-TR"/>
        </w:rPr>
        <w:t xml:space="preserve">, </w:t>
      </w:r>
      <w:r w:rsidRPr="002E16BA">
        <w:rPr>
          <w:rFonts w:ascii="Times New Roman" w:eastAsia="Times New Roman" w:hAnsi="Times New Roman" w:cs="Times New Roman"/>
          <w:shd w:val="clear" w:color="auto" w:fill="FFFFFF"/>
          <w:lang w:val="en-US" w:eastAsia="tr-TR"/>
        </w:rPr>
        <w:t>the aim of this study was to examine the factors affecting the physical activity level of university students during the COVID-19 pandemic and investigating the relationship between physical activity level and stress perceptions.</w:t>
      </w:r>
    </w:p>
    <w:p w14:paraId="41CF2FA6" w14:textId="77777777" w:rsidR="00E817D0" w:rsidRPr="003D3818" w:rsidRDefault="00E817D0" w:rsidP="004A70B3">
      <w:pPr>
        <w:spacing w:before="120" w:after="0"/>
        <w:jc w:val="both"/>
        <w:rPr>
          <w:rFonts w:ascii="Times New Roman" w:hAnsi="Times New Roman" w:cs="Times New Roman"/>
          <w:noProof/>
        </w:rPr>
      </w:pPr>
    </w:p>
    <w:p w14:paraId="6518FB14" w14:textId="635B3E44" w:rsidR="00183830" w:rsidRPr="000409ED" w:rsidRDefault="00CF58C0" w:rsidP="004A70B3">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0A651D8A" w14:textId="20C88DE2" w:rsidR="007E75C3" w:rsidRPr="003E70C9" w:rsidRDefault="007E75C3" w:rsidP="004A70B3">
      <w:pPr>
        <w:autoSpaceDE w:val="0"/>
        <w:autoSpaceDN w:val="0"/>
        <w:adjustRightInd w:val="0"/>
        <w:spacing w:after="120"/>
        <w:jc w:val="both"/>
        <w:rPr>
          <w:rFonts w:ascii="Times New Roman" w:hAnsi="Times New Roman" w:cs="Times New Roman"/>
          <w:b/>
          <w:lang w:val="en-GB"/>
        </w:rPr>
      </w:pPr>
      <w:r w:rsidRPr="003E70C9">
        <w:rPr>
          <w:rFonts w:ascii="Times New Roman" w:hAnsi="Times New Roman" w:cs="Times New Roman"/>
          <w:b/>
          <w:lang w:val="en-GB"/>
        </w:rPr>
        <w:t xml:space="preserve">2.1. </w:t>
      </w:r>
      <w:r w:rsidR="002E16BA" w:rsidRPr="002E16BA">
        <w:rPr>
          <w:rFonts w:ascii="Times New Roman" w:hAnsi="Times New Roman" w:cs="Times New Roman"/>
          <w:b/>
          <w:lang w:val="en-GB"/>
        </w:rPr>
        <w:t xml:space="preserve">Participants </w:t>
      </w:r>
    </w:p>
    <w:p w14:paraId="30931BB9" w14:textId="2CBBEAF2" w:rsidR="002E16BA" w:rsidRPr="002E16BA" w:rsidRDefault="002E16BA" w:rsidP="004A70B3">
      <w:pPr>
        <w:autoSpaceDE w:val="0"/>
        <w:autoSpaceDN w:val="0"/>
        <w:adjustRightInd w:val="0"/>
        <w:jc w:val="both"/>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lastRenderedPageBreak/>
        <w:t xml:space="preserve">Forty hundred and forty-four college </w:t>
      </w:r>
      <w:proofErr w:type="gramStart"/>
      <w:r>
        <w:rPr>
          <w:rFonts w:ascii="Times New Roman" w:eastAsiaTheme="majorEastAsia" w:hAnsi="Times New Roman" w:cs="Times New Roman"/>
          <w:bCs/>
          <w:kern w:val="32"/>
          <w:lang w:val="en-US"/>
        </w:rPr>
        <w:t>student</w:t>
      </w:r>
      <w:proofErr w:type="gramEnd"/>
      <w:r>
        <w:rPr>
          <w:rFonts w:ascii="Times New Roman" w:eastAsiaTheme="majorEastAsia" w:hAnsi="Times New Roman" w:cs="Times New Roman"/>
          <w:bCs/>
          <w:kern w:val="32"/>
          <w:lang w:val="en-US"/>
        </w:rPr>
        <w:t xml:space="preserve"> included </w:t>
      </w:r>
      <w:r w:rsidRPr="002E16BA">
        <w:rPr>
          <w:rFonts w:ascii="Times New Roman" w:eastAsiaTheme="majorEastAsia" w:hAnsi="Times New Roman" w:cs="Times New Roman"/>
          <w:bCs/>
          <w:kern w:val="32"/>
          <w:lang w:val="en-US"/>
        </w:rPr>
        <w:t>who voluntarily agreed to participate in the study in the 2019-2020 Spring, 2020-2021 Fall and</w:t>
      </w:r>
      <w:r w:rsidR="00A9757A">
        <w:rPr>
          <w:rFonts w:ascii="Times New Roman" w:eastAsiaTheme="majorEastAsia" w:hAnsi="Times New Roman" w:cs="Times New Roman"/>
          <w:bCs/>
          <w:kern w:val="32"/>
          <w:lang w:val="en-US"/>
        </w:rPr>
        <w:t xml:space="preserve"> 2020-2021 Spring semesters, while</w:t>
      </w:r>
      <w:r w:rsidRPr="002E16BA">
        <w:rPr>
          <w:rFonts w:ascii="Times New Roman" w:eastAsiaTheme="majorEastAsia" w:hAnsi="Times New Roman" w:cs="Times New Roman"/>
          <w:bCs/>
          <w:kern w:val="32"/>
          <w:lang w:val="en-US"/>
        </w:rPr>
        <w:t xml:space="preserve"> online education was carried out due to the COVID-19 pandemic. </w:t>
      </w:r>
    </w:p>
    <w:p w14:paraId="54455D7E" w14:textId="60F0A4D5" w:rsidR="003D3818" w:rsidRDefault="002E16BA" w:rsidP="004A70B3">
      <w:pPr>
        <w:autoSpaceDE w:val="0"/>
        <w:autoSpaceDN w:val="0"/>
        <w:adjustRightInd w:val="0"/>
        <w:jc w:val="both"/>
        <w:rPr>
          <w:rFonts w:ascii="Times New Roman" w:eastAsiaTheme="majorEastAsia" w:hAnsi="Times New Roman" w:cs="Times New Roman"/>
          <w:bCs/>
          <w:kern w:val="32"/>
          <w:lang w:val="en-US"/>
        </w:rPr>
      </w:pPr>
      <w:r w:rsidRPr="002E16BA">
        <w:rPr>
          <w:rFonts w:ascii="Times New Roman" w:eastAsiaTheme="majorEastAsia" w:hAnsi="Times New Roman" w:cs="Times New Roman"/>
          <w:bCs/>
          <w:kern w:val="32"/>
          <w:lang w:val="en-US"/>
        </w:rPr>
        <w:t>The inclusion criteria were being between the ages of 18-25, being university student, having awareness of physical activity, and maintaining education through online system during the pandemic process. The exclusion criteria were being in a department that has not switched to online education during the pandemic process, or that not being university student within the specified time frame.</w:t>
      </w:r>
    </w:p>
    <w:p w14:paraId="70E8EABD" w14:textId="1945DF40" w:rsidR="00A9757A" w:rsidRPr="003E70C9" w:rsidRDefault="00A9757A" w:rsidP="004A70B3">
      <w:pPr>
        <w:autoSpaceDE w:val="0"/>
        <w:autoSpaceDN w:val="0"/>
        <w:adjustRightInd w:val="0"/>
        <w:spacing w:after="120"/>
        <w:jc w:val="both"/>
        <w:rPr>
          <w:rFonts w:ascii="Times New Roman" w:hAnsi="Times New Roman" w:cs="Times New Roman"/>
          <w:b/>
          <w:lang w:val="en-GB"/>
        </w:rPr>
      </w:pPr>
      <w:r w:rsidRPr="003E70C9">
        <w:rPr>
          <w:rFonts w:ascii="Times New Roman" w:hAnsi="Times New Roman" w:cs="Times New Roman"/>
          <w:b/>
          <w:lang w:val="en-GB"/>
        </w:rPr>
        <w:t>2.</w:t>
      </w:r>
      <w:r>
        <w:rPr>
          <w:rFonts w:ascii="Times New Roman" w:hAnsi="Times New Roman" w:cs="Times New Roman"/>
          <w:b/>
          <w:lang w:val="en-GB"/>
        </w:rPr>
        <w:t>2</w:t>
      </w:r>
      <w:r w:rsidRPr="003E70C9">
        <w:rPr>
          <w:rFonts w:ascii="Times New Roman" w:hAnsi="Times New Roman" w:cs="Times New Roman"/>
          <w:b/>
          <w:lang w:val="en-GB"/>
        </w:rPr>
        <w:t xml:space="preserve">. </w:t>
      </w:r>
      <w:r>
        <w:rPr>
          <w:rFonts w:ascii="Times New Roman" w:hAnsi="Times New Roman" w:cs="Times New Roman"/>
          <w:b/>
          <w:lang w:val="en-GB"/>
        </w:rPr>
        <w:t>Measurements</w:t>
      </w:r>
      <w:r w:rsidRPr="002E16BA">
        <w:rPr>
          <w:rFonts w:ascii="Times New Roman" w:hAnsi="Times New Roman" w:cs="Times New Roman"/>
          <w:b/>
          <w:lang w:val="en-GB"/>
        </w:rPr>
        <w:t xml:space="preserve"> </w:t>
      </w:r>
    </w:p>
    <w:p w14:paraId="2FA0000F" w14:textId="77777777" w:rsidR="00A9757A" w:rsidRPr="00A9757A" w:rsidRDefault="00A9757A" w:rsidP="004A70B3">
      <w:pPr>
        <w:autoSpaceDE w:val="0"/>
        <w:autoSpaceDN w:val="0"/>
        <w:adjustRightInd w:val="0"/>
        <w:jc w:val="both"/>
        <w:rPr>
          <w:rFonts w:ascii="Times New Roman" w:eastAsiaTheme="majorEastAsia" w:hAnsi="Times New Roman" w:cs="Times New Roman"/>
          <w:bCs/>
          <w:i/>
          <w:kern w:val="32"/>
          <w:lang w:val="en-US"/>
        </w:rPr>
      </w:pPr>
      <w:r w:rsidRPr="00A9757A">
        <w:rPr>
          <w:rFonts w:ascii="Times New Roman" w:eastAsiaTheme="majorEastAsia" w:hAnsi="Times New Roman" w:cs="Times New Roman"/>
          <w:bCs/>
          <w:i/>
          <w:kern w:val="32"/>
          <w:lang w:val="en-US"/>
        </w:rPr>
        <w:t>Physical Activity</w:t>
      </w:r>
    </w:p>
    <w:p w14:paraId="282F1C96" w14:textId="03711097" w:rsidR="00A9757A" w:rsidRPr="00A9757A" w:rsidRDefault="00A9757A" w:rsidP="004A70B3">
      <w:pPr>
        <w:autoSpaceDE w:val="0"/>
        <w:autoSpaceDN w:val="0"/>
        <w:adjustRightInd w:val="0"/>
        <w:jc w:val="both"/>
        <w:rPr>
          <w:rFonts w:ascii="Times New Roman" w:eastAsiaTheme="majorEastAsia" w:hAnsi="Times New Roman" w:cs="Times New Roman"/>
          <w:bCs/>
          <w:kern w:val="32"/>
          <w:lang w:val="en-US"/>
        </w:rPr>
      </w:pPr>
      <w:r w:rsidRPr="00A9757A">
        <w:rPr>
          <w:rFonts w:ascii="Times New Roman" w:eastAsiaTheme="majorEastAsia" w:hAnsi="Times New Roman" w:cs="Times New Roman"/>
          <w:bCs/>
          <w:kern w:val="32"/>
          <w:lang w:val="en-US"/>
        </w:rPr>
        <w:t>The</w:t>
      </w:r>
      <w:r>
        <w:rPr>
          <w:rFonts w:ascii="Times New Roman" w:eastAsiaTheme="majorEastAsia" w:hAnsi="Times New Roman" w:cs="Times New Roman"/>
          <w:bCs/>
          <w:kern w:val="32"/>
          <w:lang w:val="en-US"/>
        </w:rPr>
        <w:t xml:space="preserve"> Turkish version of </w:t>
      </w:r>
      <w:r w:rsidRPr="00A9757A">
        <w:rPr>
          <w:rFonts w:ascii="Times New Roman" w:eastAsiaTheme="majorEastAsia" w:hAnsi="Times New Roman" w:cs="Times New Roman"/>
          <w:bCs/>
          <w:kern w:val="32"/>
          <w:lang w:val="en-US"/>
        </w:rPr>
        <w:t xml:space="preserve">International Physical Activity Questionnaire- Short Form (IPAQ-SF) was used to </w:t>
      </w:r>
      <w:proofErr w:type="gramStart"/>
      <w:r>
        <w:rPr>
          <w:rFonts w:ascii="Times New Roman" w:eastAsiaTheme="majorEastAsia" w:hAnsi="Times New Roman" w:cs="Times New Roman"/>
          <w:bCs/>
          <w:kern w:val="32"/>
          <w:lang w:val="en-US"/>
        </w:rPr>
        <w:t>evaluated</w:t>
      </w:r>
      <w:proofErr w:type="gramEnd"/>
      <w:r w:rsidRPr="00A9757A">
        <w:rPr>
          <w:rFonts w:ascii="Times New Roman" w:eastAsiaTheme="majorEastAsia" w:hAnsi="Times New Roman" w:cs="Times New Roman"/>
          <w:bCs/>
          <w:kern w:val="32"/>
          <w:lang w:val="en-US"/>
        </w:rPr>
        <w:t xml:space="preserve"> health–related physical activity.  IPAQ-SF records the activity of four intensity levels: 1) vigorous-intensity activity such as aerobics, 2) moderate-intensity activity such as leisure cycling, 3) walking, and 4) sitting</w:t>
      </w:r>
      <w:r>
        <w:rPr>
          <w:rFonts w:ascii="Times New Roman" w:eastAsiaTheme="majorEastAsia" w:hAnsi="Times New Roman" w:cs="Times New Roman"/>
          <w:bCs/>
          <w:kern w:val="32"/>
          <w:lang w:val="en-US"/>
        </w:rPr>
        <w:t xml:space="preserve"> time</w:t>
      </w:r>
      <w:r w:rsidRPr="00A9757A">
        <w:rPr>
          <w:rFonts w:ascii="Times New Roman" w:eastAsiaTheme="majorEastAsia" w:hAnsi="Times New Roman" w:cs="Times New Roman"/>
          <w:bCs/>
          <w:kern w:val="32"/>
          <w:lang w:val="en-US"/>
        </w:rPr>
        <w:t>. Frequency (measured in days per week) and duration (time per day) are collected separately for each specific type of activity</w:t>
      </w:r>
      <w:r>
        <w:rPr>
          <w:rFonts w:ascii="Times New Roman" w:eastAsiaTheme="majorEastAsia" w:hAnsi="Times New Roman" w:cs="Times New Roman"/>
          <w:bCs/>
          <w:kern w:val="32"/>
          <w:lang w:val="en-US"/>
        </w:rPr>
        <w:t xml:space="preserve"> for last 7 days </w:t>
      </w:r>
      <w:r>
        <w:rPr>
          <w:rFonts w:ascii="Times New Roman" w:eastAsiaTheme="majorEastAsia" w:hAnsi="Times New Roman" w:cs="Times New Roman"/>
          <w:bCs/>
          <w:kern w:val="32"/>
          <w:lang w:val="en-US"/>
        </w:rPr>
        <w:fldChar w:fldCharType="begin" w:fldLock="1"/>
      </w:r>
      <w:r w:rsidR="008E0D7F">
        <w:rPr>
          <w:rFonts w:ascii="Times New Roman" w:eastAsiaTheme="majorEastAsia" w:hAnsi="Times New Roman" w:cs="Times New Roman"/>
          <w:bCs/>
          <w:kern w:val="32"/>
          <w:lang w:val="en-US"/>
        </w:rPr>
        <w:instrText>ADDIN CSL_CITATION {"citationItems":[{"id":"ITEM-1","itemData":{"DOI":"10.2466/06.08.PMS.111.4.278-284","ISBN":"0031-5125 (Print) 0031-5125 (Linking)","ISSN":"0031-5125","PMID":"21058606","abstract":"Physical inactivity is a global problem which is related to many chronic health disorders. Physical activity scales which allow cross-cultural comparisons have been developed. The goal was to assess the reliability and validity of a Turkish version of the International Physical Activity Questionnaire (IPAQ). 1,097 university students (721 women, 376 men; ages 18-32) volunteered. Short and long forms of the IPAQ gave good agreement and comparable 1-wk. test-retest reliabilities. Caltrac accelerometer data were compared with IPAQ scores in 80 participants with good agreement for short and long forms. Turkish versions of the IPAQ short and long forms are reliable and valid in assessment of physical activity.","author":[{"dropping-particle":"","family":"Saglam","given":"Melda","non-dropping-particle":"","parse-names":false,"suffix":""},{"dropping-particle":"","family":"Arikan","given":"Hulya","non-dropping-particle":"","parse-names":false,"suffix":""},{"dropping-particle":"","family":"Savci","given":"Sema","non-dropping-particle":"","parse-names":false,"suffix":""},{"dropping-particle":"","family":"Inal-Ince","given":"Deniz","non-dropping-particle":"","parse-names":false,"suffix":""},{"dropping-particle":"","family":"Bosnak-Guclu","given":"Meral","non-dropping-particle":"","parse-names":false,"suffix":""},{"dropping-particle":"","family":"Karabulut","given":"Erdem","non-dropping-particle":"","parse-names":false,"suffix":""},{"dropping-particle":"","family":"Tokgozoglu","given":"Lale","non-dropping-particle":"","parse-names":false,"suffix":""}],"container-title":"Perceptual and Motor Skills","id":"ITEM-1","issue":"1","issued":{"date-parts":[["2010"]]},"page":"278-284","title":"International Physical Activity Questionnaire: Reliability and Validity of the Turkish Version","type":"article-journal","volume":"111"},"uris":["http://www.mendeley.com/documents/?uuid=c97692f6-4cca-47fd-b7ac-202f071be803"]}],"mendeley":{"formattedCitation":"(9)","plainTextFormattedCitation":"(9)","previouslyFormattedCitation":"(9)"},"properties":{"noteIndex":0},"schema":"https://github.com/citation-style-language/schema/raw/master/csl-citation.json"}</w:instrText>
      </w:r>
      <w:r>
        <w:rPr>
          <w:rFonts w:ascii="Times New Roman" w:eastAsiaTheme="majorEastAsia" w:hAnsi="Times New Roman" w:cs="Times New Roman"/>
          <w:bCs/>
          <w:kern w:val="32"/>
          <w:lang w:val="en-US"/>
        </w:rPr>
        <w:fldChar w:fldCharType="separate"/>
      </w:r>
      <w:r w:rsidR="008E0D7F" w:rsidRPr="008E0D7F">
        <w:rPr>
          <w:rFonts w:ascii="Times New Roman" w:eastAsiaTheme="majorEastAsia" w:hAnsi="Times New Roman" w:cs="Times New Roman"/>
          <w:bCs/>
          <w:noProof/>
          <w:kern w:val="32"/>
          <w:lang w:val="en-US"/>
        </w:rPr>
        <w:t>(9)</w:t>
      </w:r>
      <w:r>
        <w:rPr>
          <w:rFonts w:ascii="Times New Roman" w:eastAsiaTheme="majorEastAsia" w:hAnsi="Times New Roman" w:cs="Times New Roman"/>
          <w:bCs/>
          <w:kern w:val="32"/>
          <w:lang w:val="en-US"/>
        </w:rPr>
        <w:fldChar w:fldCharType="end"/>
      </w:r>
      <w:r w:rsidRPr="00A9757A">
        <w:rPr>
          <w:rFonts w:ascii="Times New Roman" w:eastAsiaTheme="majorEastAsia" w:hAnsi="Times New Roman" w:cs="Times New Roman"/>
          <w:bCs/>
          <w:kern w:val="32"/>
          <w:lang w:val="en-US"/>
        </w:rPr>
        <w:t xml:space="preserve">. </w:t>
      </w:r>
    </w:p>
    <w:p w14:paraId="650A41F5" w14:textId="77777777" w:rsidR="00A9757A" w:rsidRPr="00A9757A" w:rsidRDefault="00A9757A" w:rsidP="004A70B3">
      <w:pPr>
        <w:autoSpaceDE w:val="0"/>
        <w:autoSpaceDN w:val="0"/>
        <w:adjustRightInd w:val="0"/>
        <w:jc w:val="both"/>
        <w:rPr>
          <w:rFonts w:ascii="Times New Roman" w:eastAsia="Times New Roman" w:hAnsi="Times New Roman" w:cs="Times New Roman"/>
          <w:i/>
          <w:noProof/>
          <w:lang w:val="en-US" w:eastAsia="tr-TR"/>
        </w:rPr>
      </w:pPr>
      <w:r w:rsidRPr="00A9757A">
        <w:rPr>
          <w:rFonts w:ascii="Times New Roman" w:eastAsia="Times New Roman" w:hAnsi="Times New Roman" w:cs="Times New Roman"/>
          <w:i/>
          <w:noProof/>
          <w:lang w:val="en-US" w:eastAsia="tr-TR"/>
        </w:rPr>
        <w:t>Stress Level</w:t>
      </w:r>
    </w:p>
    <w:p w14:paraId="6FE64B70" w14:textId="2573910B" w:rsidR="00A9757A" w:rsidRDefault="00A9757A" w:rsidP="004A70B3">
      <w:pPr>
        <w:autoSpaceDE w:val="0"/>
        <w:autoSpaceDN w:val="0"/>
        <w:adjustRightInd w:val="0"/>
        <w:jc w:val="both"/>
        <w:rPr>
          <w:rFonts w:ascii="Times New Roman" w:eastAsia="Times New Roman" w:hAnsi="Times New Roman" w:cs="Times New Roman"/>
          <w:noProof/>
          <w:lang w:val="en-US" w:eastAsia="tr-TR"/>
        </w:rPr>
      </w:pPr>
      <w:r w:rsidRPr="00A9757A">
        <w:rPr>
          <w:rFonts w:ascii="Times New Roman" w:eastAsiaTheme="majorEastAsia" w:hAnsi="Times New Roman" w:cs="Times New Roman"/>
          <w:bCs/>
          <w:kern w:val="32"/>
          <w:lang w:val="en-US"/>
        </w:rPr>
        <w:t>The</w:t>
      </w:r>
      <w:r>
        <w:rPr>
          <w:rFonts w:ascii="Times New Roman" w:eastAsiaTheme="majorEastAsia" w:hAnsi="Times New Roman" w:cs="Times New Roman"/>
          <w:bCs/>
          <w:kern w:val="32"/>
          <w:lang w:val="en-US"/>
        </w:rPr>
        <w:t xml:space="preserve"> Turkish version of </w:t>
      </w:r>
      <w:r w:rsidRPr="00A9757A">
        <w:rPr>
          <w:rFonts w:ascii="Times New Roman" w:eastAsia="Times New Roman" w:hAnsi="Times New Roman" w:cs="Times New Roman"/>
          <w:noProof/>
          <w:lang w:val="en-US" w:eastAsia="tr-TR"/>
        </w:rPr>
        <w:t xml:space="preserve">Perceived Stress Scale (PSS) was used to </w:t>
      </w:r>
      <w:r>
        <w:rPr>
          <w:rFonts w:ascii="Times New Roman" w:eastAsia="Times New Roman" w:hAnsi="Times New Roman" w:cs="Times New Roman"/>
          <w:noProof/>
          <w:lang w:val="en-US" w:eastAsia="tr-TR"/>
        </w:rPr>
        <w:t>evaluate</w:t>
      </w:r>
      <w:r w:rsidRPr="00A9757A">
        <w:rPr>
          <w:rFonts w:ascii="Times New Roman" w:eastAsia="Times New Roman" w:hAnsi="Times New Roman" w:cs="Times New Roman"/>
          <w:noProof/>
          <w:lang w:val="en-US" w:eastAsia="tr-TR"/>
        </w:rPr>
        <w:t xml:space="preserve"> psychological stress level. PSS items were designed to tap how unpredictable, uncontrollable, and overloaded participants find their lives. The scale also includes a number of direct queries about current levels of experienced stress.  Participants evaluated each item on a 5-point Likert-type scale ranging from "Never (0)" to "Very often (4)" and were asked to take the last 1 month as a reference for evaluation </w:t>
      </w:r>
      <w:r>
        <w:rPr>
          <w:rFonts w:ascii="Times New Roman" w:eastAsia="Times New Roman" w:hAnsi="Times New Roman" w:cs="Times New Roman"/>
          <w:noProof/>
          <w:lang w:val="en-US" w:eastAsia="tr-TR"/>
        </w:rPr>
        <w:fldChar w:fldCharType="begin" w:fldLock="1"/>
      </w:r>
      <w:r w:rsidR="008E0D7F">
        <w:rPr>
          <w:rFonts w:ascii="Times New Roman" w:eastAsia="Times New Roman" w:hAnsi="Times New Roman" w:cs="Times New Roman"/>
          <w:noProof/>
          <w:lang w:val="en-US" w:eastAsia="tr-TR"/>
        </w:rPr>
        <w:instrText>ADDIN CSL_CITATION {"citationItems":[{"id":"ITEM-1","itemData":{"author":[{"dropping-particle":"","family":"Erci","given":"Behice","non-dropping-particle":"","parse-names":false,"suffix":""}],"container-title":"Journal of Anatolia Nursing and Health Sciences","id":"ITEM-1","issue":"1","issued":{"date-parts":[["2006"]]},"page":"58-63","publisher":"Journal of Anatolia Nursing andHealth Sciences","title":"Reliability and validity of the Turkish version of perceived stress scale","type":"article-journal","volume":"9"},"uris":["http://www.mendeley.com/documents/?uuid=b485428e-3bd2-4369-afd9-1a024919eefb"]}],"mendeley":{"formattedCitation":"(10)","plainTextFormattedCitation":"(10)","previouslyFormattedCitation":"(10)"},"properties":{"noteIndex":0},"schema":"https://github.com/citation-style-language/schema/raw/master/csl-citation.json"}</w:instrText>
      </w:r>
      <w:r>
        <w:rPr>
          <w:rFonts w:ascii="Times New Roman" w:eastAsia="Times New Roman" w:hAnsi="Times New Roman" w:cs="Times New Roman"/>
          <w:noProof/>
          <w:lang w:val="en-US" w:eastAsia="tr-TR"/>
        </w:rPr>
        <w:fldChar w:fldCharType="separate"/>
      </w:r>
      <w:r w:rsidR="008E0D7F" w:rsidRPr="008E0D7F">
        <w:rPr>
          <w:rFonts w:ascii="Times New Roman" w:eastAsia="Times New Roman" w:hAnsi="Times New Roman" w:cs="Times New Roman"/>
          <w:noProof/>
          <w:lang w:val="en-US" w:eastAsia="tr-TR"/>
        </w:rPr>
        <w:t>(10)</w:t>
      </w:r>
      <w:r>
        <w:rPr>
          <w:rFonts w:ascii="Times New Roman" w:eastAsia="Times New Roman" w:hAnsi="Times New Roman" w:cs="Times New Roman"/>
          <w:noProof/>
          <w:lang w:val="en-US" w:eastAsia="tr-TR"/>
        </w:rPr>
        <w:fldChar w:fldCharType="end"/>
      </w:r>
      <w:r>
        <w:rPr>
          <w:rFonts w:ascii="Times New Roman" w:eastAsia="Times New Roman" w:hAnsi="Times New Roman" w:cs="Times New Roman"/>
          <w:noProof/>
          <w:lang w:val="en-US" w:eastAsia="tr-TR"/>
        </w:rPr>
        <w:t>.</w:t>
      </w:r>
    </w:p>
    <w:p w14:paraId="15D358C6" w14:textId="77777777" w:rsidR="00A9757A" w:rsidRPr="00A9757A" w:rsidRDefault="00A9757A" w:rsidP="004A70B3">
      <w:pPr>
        <w:autoSpaceDE w:val="0"/>
        <w:autoSpaceDN w:val="0"/>
        <w:adjustRightInd w:val="0"/>
        <w:jc w:val="both"/>
        <w:rPr>
          <w:rFonts w:ascii="Times New Roman" w:eastAsia="Times New Roman" w:hAnsi="Times New Roman" w:cs="Times New Roman"/>
          <w:i/>
          <w:noProof/>
          <w:lang w:val="en-US" w:eastAsia="tr-TR"/>
        </w:rPr>
      </w:pPr>
      <w:r w:rsidRPr="00A9757A">
        <w:rPr>
          <w:rFonts w:ascii="Times New Roman" w:eastAsia="Times New Roman" w:hAnsi="Times New Roman" w:cs="Times New Roman"/>
          <w:i/>
          <w:noProof/>
          <w:lang w:val="en-US" w:eastAsia="tr-TR"/>
        </w:rPr>
        <w:t>Barriers and Motivators to Physical Activity</w:t>
      </w:r>
    </w:p>
    <w:p w14:paraId="51C6ABFA" w14:textId="01B48F37" w:rsidR="00A9757A" w:rsidRPr="003D3818" w:rsidRDefault="00A9757A" w:rsidP="004A70B3">
      <w:pPr>
        <w:autoSpaceDE w:val="0"/>
        <w:autoSpaceDN w:val="0"/>
        <w:adjustRightInd w:val="0"/>
        <w:jc w:val="both"/>
        <w:rPr>
          <w:rFonts w:ascii="Times New Roman" w:eastAsia="Times New Roman" w:hAnsi="Times New Roman" w:cs="Times New Roman"/>
          <w:noProof/>
          <w:lang w:val="en-US" w:eastAsia="tr-TR"/>
        </w:rPr>
      </w:pPr>
      <w:r w:rsidRPr="00A9757A">
        <w:rPr>
          <w:rFonts w:ascii="Times New Roman" w:eastAsia="Times New Roman" w:hAnsi="Times New Roman" w:cs="Times New Roman"/>
          <w:noProof/>
          <w:lang w:val="en-US" w:eastAsia="tr-TR"/>
        </w:rPr>
        <w:t xml:space="preserve">To identify barriers and motivators for physical activity, participants were asked to report current and 6 months </w:t>
      </w:r>
      <w:r>
        <w:rPr>
          <w:rFonts w:ascii="Times New Roman" w:eastAsia="Times New Roman" w:hAnsi="Times New Roman" w:cs="Times New Roman"/>
          <w:noProof/>
          <w:lang w:val="en-US" w:eastAsia="tr-TR"/>
        </w:rPr>
        <w:t>before</w:t>
      </w:r>
      <w:r w:rsidRPr="00A9757A">
        <w:rPr>
          <w:rFonts w:ascii="Times New Roman" w:eastAsia="Times New Roman" w:hAnsi="Times New Roman" w:cs="Times New Roman"/>
          <w:noProof/>
          <w:lang w:val="en-US" w:eastAsia="tr-TR"/>
        </w:rPr>
        <w:t xml:space="preserve"> to COVID-19 Pandemic barriers and motivations using a multiple choice list.  The barriers and motivators evaluated in the current study have been previously investigated and have been shown to significantly a</w:t>
      </w:r>
      <w:r>
        <w:rPr>
          <w:rFonts w:ascii="Times New Roman" w:eastAsia="Times New Roman" w:hAnsi="Times New Roman" w:cs="Times New Roman"/>
          <w:noProof/>
          <w:lang w:val="en-US" w:eastAsia="tr-TR"/>
        </w:rPr>
        <w:t xml:space="preserve">ffect physical activity levels </w:t>
      </w:r>
      <w:r>
        <w:rPr>
          <w:rFonts w:ascii="Times New Roman" w:eastAsia="Times New Roman" w:hAnsi="Times New Roman" w:cs="Times New Roman"/>
          <w:noProof/>
          <w:lang w:val="en-US" w:eastAsia="tr-TR"/>
        </w:rPr>
        <w:fldChar w:fldCharType="begin" w:fldLock="1"/>
      </w:r>
      <w:r w:rsidR="008E0D7F">
        <w:rPr>
          <w:rFonts w:ascii="Times New Roman" w:eastAsia="Times New Roman" w:hAnsi="Times New Roman" w:cs="Times New Roman"/>
          <w:noProof/>
          <w:lang w:val="en-US" w:eastAsia="tr-TR"/>
        </w:rPr>
        <w:instrText>ADDIN CSL_CITATION {"citationItems":[{"id":"ITEM-1","itemData":{"DOI":"10.1371/journal.pone.0239244","ISSN":"1932-6203","abstract":"The COVID-19 pandemic has impacted the mental health, physical activity, and sedentary behavior of people worldwide. According to the Health Belief Model (HBM), health-related behavior is determined by perceived barriers and motivators. Using an online survey with 1669 respondents, we sought to understand why and how physical activity and sedentary behavior has changed by querying about perceived barriers and motivators to physical activity that changed because of the pandemic, and how those changes impacted mental health. The following results were statistically significant at p &lt; .05. Consistent with prior reports, our respondents were less physically active (aerobic activity, -11%; strength-based activity, -30%) and more sedentary (+11%) during the pandemic as compared to 6-months before. The pandemic also increased psychological stress (+22%) and brought on moderate symptoms of anxiety and depression. Respondents’ whose mental health deteriorated the most were also the ones who were least active (depression r = -.21, anxiety r = -.12). The majority of respondents were unmotivated to exercise because they were too anxious (+8%,), lacked social support (+6%), or had limited access to equipment (+23%) or space (+41%). The respondents who were able to stay active reported feeling less motivated by physical health outcomes such as weight loss (-7%) or strength (-14%) and instead more motivated by mental health outcomes such as anxiety relief (+14%). Coupled with previous work demonstrating a direct relationship between mental health and physical activity, these results highlight the potential protective effect of physical activity on mental health and point to the need for psychological support to overcome perceived barriers so that people can continue to be physically active during stressful times like the pandemic.","author":[{"dropping-particle":"","family":"Marashi","given":"Maryam Yvonne","non-dropping-particle":"","parse-names":false,"suffix":""},{"dropping-particle":"","family":"Nicholson","given":"Emma","non-dropping-particle":"","parse-names":false,"suffix":""},{"dropping-particle":"","family":"Ogrodnik","given":"Michelle","non-dropping-particle":"","parse-names":false,"suffix":""},{"dropping-particle":"","family":"Fenesi","given":"Barbara","non-dropping-particle":"","parse-names":false,"suffix":""},{"dropping-particle":"","family":"Heisz","given":"Jennifer J.","non-dropping-particle":"","parse-names":false,"suffix":""}],"container-title":"PLOS ONE","editor":[{"dropping-particle":"","family":"Kotozaki","given":"Yuka","non-dropping-particle":"","parse-names":false,"suffix":""}],"id":"ITEM-1","issue":"4","issued":{"date-parts":[["2021","4","1"]]},"page":"e0239244","title":"A mental health paradox: Mental health was both a motivator and barrier to physical activity during the COVID-19 pandemic","type":"article-journal","volume":"16"},"uris":["http://www.mendeley.com/documents/?uuid=2ff88080-baa3-4476-86ab-4549ba80e08e"]}],"mendeley":{"formattedCitation":"(5)","plainTextFormattedCitation":"(5)","previouslyFormattedCitation":"(5)"},"properties":{"noteIndex":0},"schema":"https://github.com/citation-style-language/schema/raw/master/csl-citation.json"}</w:instrText>
      </w:r>
      <w:r>
        <w:rPr>
          <w:rFonts w:ascii="Times New Roman" w:eastAsia="Times New Roman" w:hAnsi="Times New Roman" w:cs="Times New Roman"/>
          <w:noProof/>
          <w:lang w:val="en-US" w:eastAsia="tr-TR"/>
        </w:rPr>
        <w:fldChar w:fldCharType="separate"/>
      </w:r>
      <w:r w:rsidR="008E0D7F" w:rsidRPr="008E0D7F">
        <w:rPr>
          <w:rFonts w:ascii="Times New Roman" w:eastAsia="Times New Roman" w:hAnsi="Times New Roman" w:cs="Times New Roman"/>
          <w:noProof/>
          <w:lang w:val="en-US" w:eastAsia="tr-TR"/>
        </w:rPr>
        <w:t>(5)</w:t>
      </w:r>
      <w:r>
        <w:rPr>
          <w:rFonts w:ascii="Times New Roman" w:eastAsia="Times New Roman" w:hAnsi="Times New Roman" w:cs="Times New Roman"/>
          <w:noProof/>
          <w:lang w:val="en-US" w:eastAsia="tr-TR"/>
        </w:rPr>
        <w:fldChar w:fldCharType="end"/>
      </w:r>
      <w:r>
        <w:rPr>
          <w:rFonts w:ascii="Times New Roman" w:eastAsia="Times New Roman" w:hAnsi="Times New Roman" w:cs="Times New Roman"/>
          <w:noProof/>
          <w:lang w:val="en-US" w:eastAsia="tr-TR"/>
        </w:rPr>
        <w:t>.</w:t>
      </w:r>
    </w:p>
    <w:p w14:paraId="5BF325CD" w14:textId="4FFFB714" w:rsidR="007B47CE" w:rsidRDefault="007B47CE" w:rsidP="004A70B3">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proofErr w:type="spellStart"/>
      <w:r w:rsidRPr="00A87B23">
        <w:rPr>
          <w:rFonts w:ascii="Times New Roman" w:hAnsi="Times New Roman" w:cs="Times New Roman"/>
          <w:b/>
        </w:rPr>
        <w:t>Results</w:t>
      </w:r>
      <w:proofErr w:type="spellEnd"/>
      <w:r w:rsidRPr="00A87B23">
        <w:rPr>
          <w:rFonts w:ascii="Times New Roman" w:hAnsi="Times New Roman" w:cs="Times New Roman"/>
          <w:b/>
        </w:rPr>
        <w:t xml:space="preserve"> </w:t>
      </w:r>
      <w:proofErr w:type="spellStart"/>
      <w:r w:rsidRPr="00A87B23">
        <w:rPr>
          <w:rFonts w:ascii="Times New Roman" w:hAnsi="Times New Roman" w:cs="Times New Roman"/>
          <w:b/>
        </w:rPr>
        <w:t>and</w:t>
      </w:r>
      <w:proofErr w:type="spellEnd"/>
      <w:r w:rsidRPr="00A87B23">
        <w:rPr>
          <w:rFonts w:ascii="Times New Roman" w:hAnsi="Times New Roman" w:cs="Times New Roman"/>
          <w:b/>
        </w:rPr>
        <w:t xml:space="preserve"> </w:t>
      </w:r>
      <w:proofErr w:type="spellStart"/>
      <w:r w:rsidR="0010259C">
        <w:rPr>
          <w:rFonts w:ascii="Times New Roman" w:hAnsi="Times New Roman" w:cs="Times New Roman"/>
          <w:b/>
        </w:rPr>
        <w:t>D</w:t>
      </w:r>
      <w:r w:rsidRPr="00A87B23">
        <w:rPr>
          <w:rFonts w:ascii="Times New Roman" w:hAnsi="Times New Roman" w:cs="Times New Roman"/>
          <w:b/>
        </w:rPr>
        <w:t>iscussion</w:t>
      </w:r>
      <w:proofErr w:type="spellEnd"/>
    </w:p>
    <w:p w14:paraId="19FE161F" w14:textId="2C47DA2D" w:rsidR="00F601E5" w:rsidRDefault="007B47CE" w:rsidP="004A70B3">
      <w:pPr>
        <w:autoSpaceDE w:val="0"/>
        <w:autoSpaceDN w:val="0"/>
        <w:adjustRightInd w:val="0"/>
        <w:spacing w:before="120" w:after="240"/>
        <w:jc w:val="both"/>
        <w:rPr>
          <w:rFonts w:ascii="Times New Roman" w:hAnsi="Times New Roman" w:cs="Times New Roman"/>
          <w:b/>
          <w:color w:val="FF0000"/>
        </w:rPr>
      </w:pPr>
      <w:r>
        <w:rPr>
          <w:rFonts w:ascii="Times New Roman" w:hAnsi="Times New Roman" w:cs="Times New Roman"/>
          <w:b/>
          <w:lang w:val="en-GB"/>
        </w:rPr>
        <w:t xml:space="preserve">3.1. </w:t>
      </w:r>
      <w:r w:rsidR="00564178">
        <w:rPr>
          <w:rFonts w:ascii="Times New Roman" w:hAnsi="Times New Roman" w:cs="Times New Roman"/>
          <w:b/>
          <w:lang w:val="en-GB"/>
        </w:rPr>
        <w:t>Results</w:t>
      </w:r>
      <w:r w:rsidR="0039131A">
        <w:rPr>
          <w:rFonts w:ascii="Times New Roman" w:hAnsi="Times New Roman" w:cs="Times New Roman"/>
          <w:b/>
          <w:lang w:val="en-GB"/>
        </w:rPr>
        <w:t xml:space="preserve"> </w:t>
      </w:r>
    </w:p>
    <w:p w14:paraId="43F9458D" w14:textId="77777777" w:rsidR="00564178" w:rsidRDefault="00564178" w:rsidP="004A70B3">
      <w:pPr>
        <w:shd w:val="clear" w:color="auto" w:fill="FFFFFF"/>
        <w:spacing w:after="0"/>
        <w:jc w:val="both"/>
        <w:rPr>
          <w:rFonts w:ascii="Times New Roman" w:hAnsi="Times New Roman" w:cs="Times New Roman"/>
          <w:lang w:val="en-US"/>
        </w:rPr>
      </w:pPr>
      <w:r w:rsidRPr="00564178">
        <w:rPr>
          <w:rFonts w:ascii="Times New Roman" w:hAnsi="Times New Roman" w:cs="Times New Roman"/>
          <w:lang w:val="en-US"/>
        </w:rPr>
        <w:t>The study included 444 university students who voluntarily agreed to participate in the research in the 2019-2020 Spring, 2020-2021 Fall and 2020-2021 Spring semesters, when online education was held due to the COVID-19 pandemic. Participants had an average age of 21±2.95 years (min=18, max=28) and an average body mass index (BMI) of 21.93±3.5 kg/m2 (min=15.42, max=39.79). The descriptive characteristics of the participants are given in Table 1.</w:t>
      </w:r>
    </w:p>
    <w:p w14:paraId="6E71093E" w14:textId="721EBC64" w:rsidR="007B47CE" w:rsidRDefault="007B47CE" w:rsidP="004A70B3">
      <w:pPr>
        <w:shd w:val="clear" w:color="auto" w:fill="FFFFFF"/>
        <w:spacing w:after="0"/>
        <w:jc w:val="both"/>
        <w:rPr>
          <w:rFonts w:ascii="Times New Roman" w:eastAsia="Calibri" w:hAnsi="Times New Roman" w:cs="Times New Roman"/>
          <w:lang w:val="en-GB"/>
        </w:rPr>
      </w:pPr>
    </w:p>
    <w:p w14:paraId="6DE88739" w14:textId="77777777" w:rsidR="00564178" w:rsidRPr="00564178" w:rsidRDefault="00564178" w:rsidP="004A70B3">
      <w:pPr>
        <w:jc w:val="both"/>
        <w:rPr>
          <w:rFonts w:ascii="Times New Roman" w:hAnsi="Times New Roman" w:cs="Times New Roman"/>
          <w:bCs/>
          <w:iCs/>
          <w:sz w:val="20"/>
          <w:szCs w:val="20"/>
          <w:lang w:val="en-US"/>
        </w:rPr>
      </w:pPr>
      <w:proofErr w:type="gramStart"/>
      <w:r w:rsidRPr="00564178">
        <w:rPr>
          <w:rFonts w:ascii="Times New Roman" w:hAnsi="Times New Roman" w:cs="Times New Roman"/>
          <w:b/>
          <w:iCs/>
          <w:sz w:val="20"/>
          <w:szCs w:val="20"/>
          <w:lang w:val="en-US"/>
        </w:rPr>
        <w:t>Table 1</w:t>
      </w:r>
      <w:r w:rsidRPr="00564178">
        <w:rPr>
          <w:rFonts w:ascii="Times New Roman" w:hAnsi="Times New Roman" w:cs="Times New Roman"/>
          <w:bCs/>
          <w:iCs/>
          <w:sz w:val="20"/>
          <w:szCs w:val="20"/>
          <w:lang w:val="en-US"/>
        </w:rPr>
        <w:t>.</w:t>
      </w:r>
      <w:proofErr w:type="gramEnd"/>
      <w:r w:rsidRPr="00564178">
        <w:rPr>
          <w:rFonts w:ascii="Times New Roman" w:hAnsi="Times New Roman" w:cs="Times New Roman"/>
          <w:bCs/>
          <w:iCs/>
          <w:sz w:val="20"/>
          <w:szCs w:val="20"/>
          <w:lang w:val="en-US"/>
        </w:rPr>
        <w:t xml:space="preserve"> Descriptive characteristics of the participants</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3652"/>
        <w:gridCol w:w="3686"/>
        <w:gridCol w:w="1874"/>
      </w:tblGrid>
      <w:tr w:rsidR="00564178" w:rsidRPr="008E3342" w14:paraId="6470162C" w14:textId="77777777" w:rsidTr="008D3305">
        <w:tc>
          <w:tcPr>
            <w:tcW w:w="3652" w:type="dxa"/>
            <w:tcBorders>
              <w:bottom w:val="nil"/>
              <w:right w:val="nil"/>
            </w:tcBorders>
            <w:vAlign w:val="center"/>
          </w:tcPr>
          <w:p w14:paraId="0C98941D" w14:textId="77777777" w:rsidR="00564178" w:rsidRPr="00564178" w:rsidRDefault="00564178" w:rsidP="004A70B3">
            <w:pPr>
              <w:rPr>
                <w:rFonts w:ascii="Times New Roman" w:hAnsi="Times New Roman" w:cs="Times New Roman"/>
                <w:bCs/>
                <w:iCs/>
                <w:sz w:val="20"/>
                <w:szCs w:val="20"/>
              </w:rPr>
            </w:pPr>
          </w:p>
        </w:tc>
        <w:tc>
          <w:tcPr>
            <w:tcW w:w="3686" w:type="dxa"/>
            <w:tcBorders>
              <w:left w:val="nil"/>
              <w:bottom w:val="nil"/>
              <w:right w:val="nil"/>
            </w:tcBorders>
            <w:vAlign w:val="center"/>
          </w:tcPr>
          <w:p w14:paraId="5476E07F" w14:textId="77777777" w:rsidR="00564178" w:rsidRPr="00564178" w:rsidRDefault="00564178" w:rsidP="004A70B3">
            <w:pPr>
              <w:jc w:val="right"/>
              <w:rPr>
                <w:rFonts w:ascii="Times New Roman" w:hAnsi="Times New Roman" w:cs="Times New Roman"/>
                <w:b/>
                <w:iCs/>
                <w:sz w:val="20"/>
                <w:szCs w:val="20"/>
              </w:rPr>
            </w:pPr>
            <w:r w:rsidRPr="00564178">
              <w:rPr>
                <w:rFonts w:ascii="Times New Roman" w:hAnsi="Times New Roman" w:cs="Times New Roman"/>
                <w:b/>
                <w:iCs/>
                <w:sz w:val="20"/>
                <w:szCs w:val="20"/>
              </w:rPr>
              <w:t>Variables</w:t>
            </w:r>
          </w:p>
        </w:tc>
        <w:tc>
          <w:tcPr>
            <w:tcW w:w="1874" w:type="dxa"/>
            <w:tcBorders>
              <w:left w:val="nil"/>
              <w:bottom w:val="nil"/>
            </w:tcBorders>
            <w:vAlign w:val="center"/>
          </w:tcPr>
          <w:p w14:paraId="6F8F384F"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N (%)</w:t>
            </w:r>
          </w:p>
        </w:tc>
      </w:tr>
      <w:tr w:rsidR="00564178" w:rsidRPr="008E3342" w14:paraId="33203AB9" w14:textId="77777777" w:rsidTr="008D3305">
        <w:tc>
          <w:tcPr>
            <w:tcW w:w="3652" w:type="dxa"/>
            <w:tcBorders>
              <w:top w:val="nil"/>
              <w:bottom w:val="single" w:sz="4" w:space="0" w:color="auto"/>
              <w:right w:val="nil"/>
            </w:tcBorders>
            <w:vAlign w:val="center"/>
          </w:tcPr>
          <w:p w14:paraId="3B0F9058" w14:textId="77777777" w:rsidR="00564178" w:rsidRPr="00564178" w:rsidRDefault="00564178" w:rsidP="004A70B3">
            <w:pPr>
              <w:rPr>
                <w:rFonts w:ascii="Times New Roman" w:hAnsi="Times New Roman" w:cs="Times New Roman"/>
                <w:bCs/>
                <w:iCs/>
                <w:sz w:val="20"/>
                <w:szCs w:val="20"/>
              </w:rPr>
            </w:pPr>
          </w:p>
        </w:tc>
        <w:tc>
          <w:tcPr>
            <w:tcW w:w="3686" w:type="dxa"/>
            <w:tcBorders>
              <w:top w:val="nil"/>
              <w:left w:val="nil"/>
              <w:bottom w:val="single" w:sz="4" w:space="0" w:color="auto"/>
              <w:right w:val="nil"/>
            </w:tcBorders>
            <w:vAlign w:val="center"/>
          </w:tcPr>
          <w:p w14:paraId="5F214B32" w14:textId="77777777" w:rsidR="00564178" w:rsidRPr="00564178" w:rsidRDefault="00564178" w:rsidP="004A70B3">
            <w:pPr>
              <w:jc w:val="right"/>
              <w:rPr>
                <w:rFonts w:ascii="Times New Roman" w:hAnsi="Times New Roman" w:cs="Times New Roman"/>
                <w:b/>
                <w:iCs/>
                <w:sz w:val="20"/>
                <w:szCs w:val="20"/>
              </w:rPr>
            </w:pPr>
            <w:r w:rsidRPr="00564178">
              <w:rPr>
                <w:rFonts w:ascii="Times New Roman" w:hAnsi="Times New Roman" w:cs="Times New Roman"/>
                <w:b/>
                <w:iCs/>
                <w:sz w:val="20"/>
                <w:szCs w:val="20"/>
              </w:rPr>
              <w:t>Total</w:t>
            </w:r>
          </w:p>
        </w:tc>
        <w:tc>
          <w:tcPr>
            <w:tcW w:w="1874" w:type="dxa"/>
            <w:tcBorders>
              <w:top w:val="nil"/>
              <w:left w:val="nil"/>
              <w:bottom w:val="single" w:sz="4" w:space="0" w:color="auto"/>
            </w:tcBorders>
            <w:vAlign w:val="center"/>
          </w:tcPr>
          <w:p w14:paraId="1B4EA518"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444 (100)</w:t>
            </w:r>
          </w:p>
        </w:tc>
      </w:tr>
      <w:tr w:rsidR="00564178" w:rsidRPr="008E3342" w14:paraId="6AC99F57" w14:textId="77777777" w:rsidTr="008D3305">
        <w:tc>
          <w:tcPr>
            <w:tcW w:w="3652" w:type="dxa"/>
            <w:vMerge w:val="restart"/>
            <w:tcBorders>
              <w:top w:val="nil"/>
              <w:right w:val="nil"/>
            </w:tcBorders>
            <w:vAlign w:val="center"/>
          </w:tcPr>
          <w:p w14:paraId="76799D1A"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
                <w:iCs/>
                <w:sz w:val="20"/>
                <w:szCs w:val="20"/>
              </w:rPr>
              <w:t>Gender</w:t>
            </w:r>
          </w:p>
        </w:tc>
        <w:tc>
          <w:tcPr>
            <w:tcW w:w="3686" w:type="dxa"/>
            <w:tcBorders>
              <w:top w:val="nil"/>
              <w:left w:val="nil"/>
              <w:bottom w:val="nil"/>
              <w:right w:val="nil"/>
            </w:tcBorders>
            <w:vAlign w:val="center"/>
          </w:tcPr>
          <w:p w14:paraId="328CDCBE"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Woman</w:t>
            </w:r>
          </w:p>
        </w:tc>
        <w:tc>
          <w:tcPr>
            <w:tcW w:w="1874" w:type="dxa"/>
            <w:tcBorders>
              <w:top w:val="nil"/>
              <w:left w:val="nil"/>
              <w:bottom w:val="nil"/>
            </w:tcBorders>
            <w:vAlign w:val="center"/>
          </w:tcPr>
          <w:p w14:paraId="60FD26E2"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361 (81.3)</w:t>
            </w:r>
          </w:p>
        </w:tc>
      </w:tr>
      <w:tr w:rsidR="00564178" w:rsidRPr="008E3342" w14:paraId="67A23B6E" w14:textId="77777777" w:rsidTr="008D3305">
        <w:tc>
          <w:tcPr>
            <w:tcW w:w="3652" w:type="dxa"/>
            <w:vMerge/>
            <w:tcBorders>
              <w:bottom w:val="single" w:sz="4" w:space="0" w:color="auto"/>
              <w:right w:val="nil"/>
            </w:tcBorders>
            <w:vAlign w:val="center"/>
          </w:tcPr>
          <w:p w14:paraId="53F2B461" w14:textId="77777777" w:rsidR="00564178" w:rsidRPr="00564178" w:rsidRDefault="00564178" w:rsidP="004A70B3">
            <w:pPr>
              <w:rPr>
                <w:rFonts w:ascii="Times New Roman" w:hAnsi="Times New Roman" w:cs="Times New Roman"/>
                <w:bCs/>
                <w:iCs/>
                <w:sz w:val="20"/>
                <w:szCs w:val="20"/>
              </w:rPr>
            </w:pPr>
          </w:p>
        </w:tc>
        <w:tc>
          <w:tcPr>
            <w:tcW w:w="3686" w:type="dxa"/>
            <w:tcBorders>
              <w:top w:val="nil"/>
              <w:left w:val="nil"/>
              <w:bottom w:val="single" w:sz="4" w:space="0" w:color="auto"/>
              <w:right w:val="nil"/>
            </w:tcBorders>
            <w:vAlign w:val="center"/>
          </w:tcPr>
          <w:p w14:paraId="20FEDD1C"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Man</w:t>
            </w:r>
          </w:p>
        </w:tc>
        <w:tc>
          <w:tcPr>
            <w:tcW w:w="1874" w:type="dxa"/>
            <w:tcBorders>
              <w:top w:val="nil"/>
              <w:left w:val="nil"/>
              <w:bottom w:val="single" w:sz="4" w:space="0" w:color="auto"/>
            </w:tcBorders>
            <w:vAlign w:val="center"/>
          </w:tcPr>
          <w:p w14:paraId="6C7535EA"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83 (18.7)</w:t>
            </w:r>
          </w:p>
        </w:tc>
      </w:tr>
      <w:tr w:rsidR="00564178" w:rsidRPr="008E3342" w14:paraId="20F9B6E4" w14:textId="77777777" w:rsidTr="008D3305">
        <w:tc>
          <w:tcPr>
            <w:tcW w:w="3652" w:type="dxa"/>
            <w:vMerge w:val="restart"/>
            <w:tcBorders>
              <w:top w:val="nil"/>
              <w:right w:val="nil"/>
            </w:tcBorders>
            <w:vAlign w:val="center"/>
          </w:tcPr>
          <w:p w14:paraId="55CEDAAE"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
                <w:iCs/>
                <w:sz w:val="20"/>
                <w:szCs w:val="20"/>
              </w:rPr>
              <w:t>Department</w:t>
            </w:r>
          </w:p>
        </w:tc>
        <w:tc>
          <w:tcPr>
            <w:tcW w:w="3686" w:type="dxa"/>
            <w:tcBorders>
              <w:top w:val="nil"/>
              <w:left w:val="nil"/>
              <w:bottom w:val="nil"/>
              <w:right w:val="nil"/>
            </w:tcBorders>
            <w:vAlign w:val="center"/>
          </w:tcPr>
          <w:p w14:paraId="7BA81861"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Physiotherapy and Rehabilitation Department</w:t>
            </w:r>
          </w:p>
        </w:tc>
        <w:tc>
          <w:tcPr>
            <w:tcW w:w="1874" w:type="dxa"/>
            <w:tcBorders>
              <w:top w:val="nil"/>
              <w:left w:val="nil"/>
              <w:bottom w:val="nil"/>
            </w:tcBorders>
            <w:vAlign w:val="center"/>
          </w:tcPr>
          <w:p w14:paraId="7ABC32E7"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316 (71.2)</w:t>
            </w:r>
          </w:p>
        </w:tc>
      </w:tr>
      <w:tr w:rsidR="00564178" w:rsidRPr="008E3342" w14:paraId="15EFFA6B" w14:textId="77777777" w:rsidTr="008D3305">
        <w:tc>
          <w:tcPr>
            <w:tcW w:w="3652" w:type="dxa"/>
            <w:vMerge/>
            <w:tcBorders>
              <w:right w:val="nil"/>
            </w:tcBorders>
            <w:vAlign w:val="center"/>
          </w:tcPr>
          <w:p w14:paraId="26E9FCC1" w14:textId="77777777" w:rsidR="00564178" w:rsidRPr="00564178" w:rsidRDefault="00564178" w:rsidP="004A70B3">
            <w:pPr>
              <w:rPr>
                <w:rFonts w:ascii="Times New Roman" w:hAnsi="Times New Roman" w:cs="Times New Roman"/>
                <w:bCs/>
                <w:iCs/>
                <w:sz w:val="20"/>
                <w:szCs w:val="20"/>
              </w:rPr>
            </w:pPr>
          </w:p>
        </w:tc>
        <w:tc>
          <w:tcPr>
            <w:tcW w:w="3686" w:type="dxa"/>
            <w:tcBorders>
              <w:top w:val="nil"/>
              <w:left w:val="nil"/>
              <w:right w:val="nil"/>
            </w:tcBorders>
            <w:vAlign w:val="center"/>
          </w:tcPr>
          <w:p w14:paraId="79924D3B"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Other</w:t>
            </w:r>
          </w:p>
        </w:tc>
        <w:tc>
          <w:tcPr>
            <w:tcW w:w="1874" w:type="dxa"/>
            <w:tcBorders>
              <w:top w:val="nil"/>
              <w:left w:val="nil"/>
            </w:tcBorders>
            <w:vAlign w:val="center"/>
          </w:tcPr>
          <w:p w14:paraId="7CA9B775"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128 (28.8)</w:t>
            </w:r>
          </w:p>
        </w:tc>
      </w:tr>
      <w:tr w:rsidR="00564178" w:rsidRPr="008E3342" w14:paraId="314926EA" w14:textId="77777777" w:rsidTr="008D3305">
        <w:tc>
          <w:tcPr>
            <w:tcW w:w="3652" w:type="dxa"/>
            <w:vMerge w:val="restart"/>
            <w:tcBorders>
              <w:right w:val="nil"/>
            </w:tcBorders>
            <w:vAlign w:val="center"/>
          </w:tcPr>
          <w:p w14:paraId="3266988A"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
                <w:iCs/>
                <w:sz w:val="20"/>
                <w:szCs w:val="20"/>
              </w:rPr>
              <w:t>Academic Year</w:t>
            </w:r>
          </w:p>
        </w:tc>
        <w:tc>
          <w:tcPr>
            <w:tcW w:w="3686" w:type="dxa"/>
            <w:tcBorders>
              <w:left w:val="nil"/>
              <w:bottom w:val="nil"/>
              <w:right w:val="nil"/>
            </w:tcBorders>
            <w:vAlign w:val="center"/>
          </w:tcPr>
          <w:p w14:paraId="24F6AC6B"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1</w:t>
            </w:r>
          </w:p>
        </w:tc>
        <w:tc>
          <w:tcPr>
            <w:tcW w:w="1874" w:type="dxa"/>
            <w:tcBorders>
              <w:left w:val="nil"/>
              <w:bottom w:val="nil"/>
            </w:tcBorders>
            <w:vAlign w:val="center"/>
          </w:tcPr>
          <w:p w14:paraId="264146E3"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19 (4.3)</w:t>
            </w:r>
          </w:p>
        </w:tc>
      </w:tr>
      <w:tr w:rsidR="00564178" w:rsidRPr="008E3342" w14:paraId="701B2F3F" w14:textId="77777777" w:rsidTr="008D3305">
        <w:tc>
          <w:tcPr>
            <w:tcW w:w="3652" w:type="dxa"/>
            <w:vMerge/>
            <w:tcBorders>
              <w:right w:val="nil"/>
            </w:tcBorders>
            <w:vAlign w:val="center"/>
          </w:tcPr>
          <w:p w14:paraId="5E66BE8A" w14:textId="77777777" w:rsidR="00564178" w:rsidRPr="00564178" w:rsidRDefault="00564178" w:rsidP="004A70B3">
            <w:pPr>
              <w:rPr>
                <w:rFonts w:ascii="Times New Roman" w:hAnsi="Times New Roman" w:cs="Times New Roman"/>
                <w:bCs/>
                <w:iCs/>
                <w:sz w:val="20"/>
                <w:szCs w:val="20"/>
              </w:rPr>
            </w:pPr>
          </w:p>
        </w:tc>
        <w:tc>
          <w:tcPr>
            <w:tcW w:w="3686" w:type="dxa"/>
            <w:tcBorders>
              <w:top w:val="nil"/>
              <w:left w:val="nil"/>
              <w:bottom w:val="nil"/>
              <w:right w:val="nil"/>
            </w:tcBorders>
            <w:vAlign w:val="center"/>
          </w:tcPr>
          <w:p w14:paraId="26A8A4AD"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2</w:t>
            </w:r>
          </w:p>
        </w:tc>
        <w:tc>
          <w:tcPr>
            <w:tcW w:w="1874" w:type="dxa"/>
            <w:tcBorders>
              <w:top w:val="nil"/>
              <w:left w:val="nil"/>
              <w:bottom w:val="nil"/>
            </w:tcBorders>
            <w:vAlign w:val="center"/>
          </w:tcPr>
          <w:p w14:paraId="2EC253F2"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174 (39.2)</w:t>
            </w:r>
          </w:p>
        </w:tc>
      </w:tr>
      <w:tr w:rsidR="00564178" w:rsidRPr="008E3342" w14:paraId="2FD60E41" w14:textId="77777777" w:rsidTr="008D3305">
        <w:tc>
          <w:tcPr>
            <w:tcW w:w="3652" w:type="dxa"/>
            <w:vMerge/>
            <w:tcBorders>
              <w:right w:val="nil"/>
            </w:tcBorders>
            <w:vAlign w:val="center"/>
          </w:tcPr>
          <w:p w14:paraId="5DF076E6" w14:textId="77777777" w:rsidR="00564178" w:rsidRPr="00564178" w:rsidRDefault="00564178" w:rsidP="004A70B3">
            <w:pPr>
              <w:rPr>
                <w:rFonts w:ascii="Times New Roman" w:hAnsi="Times New Roman" w:cs="Times New Roman"/>
                <w:bCs/>
                <w:iCs/>
                <w:sz w:val="20"/>
                <w:szCs w:val="20"/>
              </w:rPr>
            </w:pPr>
          </w:p>
        </w:tc>
        <w:tc>
          <w:tcPr>
            <w:tcW w:w="3686" w:type="dxa"/>
            <w:tcBorders>
              <w:top w:val="nil"/>
              <w:left w:val="nil"/>
              <w:bottom w:val="nil"/>
              <w:right w:val="nil"/>
            </w:tcBorders>
            <w:vAlign w:val="center"/>
          </w:tcPr>
          <w:p w14:paraId="6D0E4EDC"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3</w:t>
            </w:r>
          </w:p>
        </w:tc>
        <w:tc>
          <w:tcPr>
            <w:tcW w:w="1874" w:type="dxa"/>
            <w:tcBorders>
              <w:top w:val="nil"/>
              <w:left w:val="nil"/>
              <w:bottom w:val="nil"/>
            </w:tcBorders>
            <w:vAlign w:val="center"/>
          </w:tcPr>
          <w:p w14:paraId="58F4510C"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151 (34)</w:t>
            </w:r>
          </w:p>
        </w:tc>
      </w:tr>
      <w:tr w:rsidR="00564178" w:rsidRPr="008E3342" w14:paraId="623BF9FB" w14:textId="77777777" w:rsidTr="008D3305">
        <w:tc>
          <w:tcPr>
            <w:tcW w:w="3652" w:type="dxa"/>
            <w:vMerge/>
            <w:tcBorders>
              <w:right w:val="nil"/>
            </w:tcBorders>
            <w:vAlign w:val="center"/>
          </w:tcPr>
          <w:p w14:paraId="41EDA5BC" w14:textId="77777777" w:rsidR="00564178" w:rsidRPr="00564178" w:rsidRDefault="00564178" w:rsidP="004A70B3">
            <w:pPr>
              <w:rPr>
                <w:rFonts w:ascii="Times New Roman" w:hAnsi="Times New Roman" w:cs="Times New Roman"/>
                <w:bCs/>
                <w:iCs/>
                <w:sz w:val="20"/>
                <w:szCs w:val="20"/>
              </w:rPr>
            </w:pPr>
          </w:p>
        </w:tc>
        <w:tc>
          <w:tcPr>
            <w:tcW w:w="3686" w:type="dxa"/>
            <w:tcBorders>
              <w:top w:val="nil"/>
              <w:left w:val="nil"/>
              <w:right w:val="nil"/>
            </w:tcBorders>
            <w:vAlign w:val="center"/>
          </w:tcPr>
          <w:p w14:paraId="54FBFA22"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4 or +</w:t>
            </w:r>
          </w:p>
        </w:tc>
        <w:tc>
          <w:tcPr>
            <w:tcW w:w="1874" w:type="dxa"/>
            <w:tcBorders>
              <w:top w:val="nil"/>
              <w:left w:val="nil"/>
            </w:tcBorders>
            <w:vAlign w:val="center"/>
          </w:tcPr>
          <w:p w14:paraId="61B7C636"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100 (22.5)</w:t>
            </w:r>
          </w:p>
        </w:tc>
      </w:tr>
      <w:tr w:rsidR="00564178" w:rsidRPr="008E3342" w14:paraId="35A7A0D8" w14:textId="77777777" w:rsidTr="008D3305">
        <w:tc>
          <w:tcPr>
            <w:tcW w:w="3652" w:type="dxa"/>
            <w:vMerge w:val="restart"/>
            <w:tcBorders>
              <w:right w:val="nil"/>
            </w:tcBorders>
            <w:vAlign w:val="center"/>
          </w:tcPr>
          <w:p w14:paraId="31F1EF65"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
                <w:iCs/>
                <w:sz w:val="20"/>
                <w:szCs w:val="20"/>
              </w:rPr>
              <w:t>Are the place of residence and the university in the same city?</w:t>
            </w:r>
          </w:p>
        </w:tc>
        <w:tc>
          <w:tcPr>
            <w:tcW w:w="3686" w:type="dxa"/>
            <w:tcBorders>
              <w:left w:val="nil"/>
              <w:bottom w:val="nil"/>
              <w:right w:val="nil"/>
            </w:tcBorders>
            <w:vAlign w:val="center"/>
          </w:tcPr>
          <w:p w14:paraId="2979CE09"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Yes, in same city.</w:t>
            </w:r>
          </w:p>
        </w:tc>
        <w:tc>
          <w:tcPr>
            <w:tcW w:w="1874" w:type="dxa"/>
            <w:tcBorders>
              <w:left w:val="nil"/>
              <w:bottom w:val="nil"/>
            </w:tcBorders>
            <w:vAlign w:val="center"/>
          </w:tcPr>
          <w:p w14:paraId="40E1E8AA"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189 (42.6)</w:t>
            </w:r>
          </w:p>
        </w:tc>
      </w:tr>
      <w:tr w:rsidR="00564178" w:rsidRPr="008E3342" w14:paraId="4562A962" w14:textId="77777777" w:rsidTr="008D3305">
        <w:tc>
          <w:tcPr>
            <w:tcW w:w="3652" w:type="dxa"/>
            <w:vMerge/>
            <w:tcBorders>
              <w:right w:val="nil"/>
            </w:tcBorders>
            <w:vAlign w:val="center"/>
          </w:tcPr>
          <w:p w14:paraId="7AD24533" w14:textId="77777777" w:rsidR="00564178" w:rsidRPr="00564178" w:rsidRDefault="00564178" w:rsidP="004A70B3">
            <w:pPr>
              <w:rPr>
                <w:rFonts w:ascii="Times New Roman" w:hAnsi="Times New Roman" w:cs="Times New Roman"/>
                <w:bCs/>
                <w:iCs/>
                <w:sz w:val="20"/>
                <w:szCs w:val="20"/>
              </w:rPr>
            </w:pPr>
          </w:p>
        </w:tc>
        <w:tc>
          <w:tcPr>
            <w:tcW w:w="3686" w:type="dxa"/>
            <w:tcBorders>
              <w:top w:val="nil"/>
              <w:left w:val="nil"/>
              <w:right w:val="nil"/>
            </w:tcBorders>
            <w:vAlign w:val="center"/>
          </w:tcPr>
          <w:p w14:paraId="6FB5A159"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No, in different cities.</w:t>
            </w:r>
          </w:p>
        </w:tc>
        <w:tc>
          <w:tcPr>
            <w:tcW w:w="1874" w:type="dxa"/>
            <w:tcBorders>
              <w:top w:val="nil"/>
              <w:left w:val="nil"/>
            </w:tcBorders>
            <w:vAlign w:val="center"/>
          </w:tcPr>
          <w:p w14:paraId="25FBBBDC"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255 (57.4)</w:t>
            </w:r>
          </w:p>
        </w:tc>
      </w:tr>
      <w:tr w:rsidR="00564178" w:rsidRPr="008E3342" w14:paraId="2F5E87B8" w14:textId="77777777" w:rsidTr="008D3305">
        <w:trPr>
          <w:trHeight w:val="111"/>
        </w:trPr>
        <w:tc>
          <w:tcPr>
            <w:tcW w:w="3652" w:type="dxa"/>
            <w:vMerge w:val="restart"/>
            <w:tcBorders>
              <w:right w:val="nil"/>
            </w:tcBorders>
            <w:vAlign w:val="center"/>
          </w:tcPr>
          <w:p w14:paraId="7508F2DC" w14:textId="77777777" w:rsidR="00564178" w:rsidRPr="00564178" w:rsidRDefault="00564178" w:rsidP="004A70B3">
            <w:pPr>
              <w:rPr>
                <w:rFonts w:ascii="Times New Roman" w:hAnsi="Times New Roman" w:cs="Times New Roman"/>
                <w:b/>
                <w:iCs/>
                <w:sz w:val="20"/>
                <w:szCs w:val="20"/>
              </w:rPr>
            </w:pPr>
            <w:r w:rsidRPr="00564178">
              <w:rPr>
                <w:rFonts w:ascii="Times New Roman" w:hAnsi="Times New Roman" w:cs="Times New Roman"/>
                <w:b/>
                <w:iCs/>
                <w:sz w:val="20"/>
                <w:szCs w:val="20"/>
              </w:rPr>
              <w:t xml:space="preserve">Have you ever been </w:t>
            </w:r>
            <w:r w:rsidRPr="00564178">
              <w:rPr>
                <w:rFonts w:ascii="Times New Roman" w:hAnsi="Times New Roman" w:cs="Times New Roman"/>
                <w:b/>
                <w:bCs/>
                <w:iCs/>
                <w:sz w:val="20"/>
                <w:szCs w:val="20"/>
              </w:rPr>
              <w:t>COVID-</w:t>
            </w:r>
            <w:proofErr w:type="gramStart"/>
            <w:r w:rsidRPr="00564178">
              <w:rPr>
                <w:rFonts w:ascii="Times New Roman" w:hAnsi="Times New Roman" w:cs="Times New Roman"/>
                <w:b/>
                <w:bCs/>
                <w:iCs/>
                <w:sz w:val="20"/>
                <w:szCs w:val="20"/>
              </w:rPr>
              <w:t xml:space="preserve">19 </w:t>
            </w:r>
            <w:r w:rsidRPr="00564178">
              <w:rPr>
                <w:rFonts w:ascii="Times New Roman" w:hAnsi="Times New Roman" w:cs="Times New Roman"/>
                <w:b/>
                <w:iCs/>
                <w:sz w:val="20"/>
                <w:szCs w:val="20"/>
              </w:rPr>
              <w:t xml:space="preserve"> positive</w:t>
            </w:r>
            <w:proofErr w:type="gramEnd"/>
            <w:r w:rsidRPr="00564178">
              <w:rPr>
                <w:rFonts w:ascii="Times New Roman" w:hAnsi="Times New Roman" w:cs="Times New Roman"/>
                <w:b/>
                <w:iCs/>
                <w:sz w:val="20"/>
                <w:szCs w:val="20"/>
              </w:rPr>
              <w:t xml:space="preserve"> since the start of the pandemic?</w:t>
            </w:r>
          </w:p>
        </w:tc>
        <w:tc>
          <w:tcPr>
            <w:tcW w:w="3686" w:type="dxa"/>
            <w:tcBorders>
              <w:left w:val="nil"/>
              <w:bottom w:val="nil"/>
              <w:right w:val="nil"/>
            </w:tcBorders>
            <w:vAlign w:val="center"/>
          </w:tcPr>
          <w:p w14:paraId="7359CF17"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Yes, I have been COVID-19 positive.</w:t>
            </w:r>
          </w:p>
        </w:tc>
        <w:tc>
          <w:tcPr>
            <w:tcW w:w="1874" w:type="dxa"/>
            <w:tcBorders>
              <w:left w:val="nil"/>
              <w:bottom w:val="nil"/>
            </w:tcBorders>
            <w:vAlign w:val="center"/>
          </w:tcPr>
          <w:p w14:paraId="576A9838"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90 ( 20.3)</w:t>
            </w:r>
          </w:p>
        </w:tc>
      </w:tr>
      <w:tr w:rsidR="00564178" w:rsidRPr="008E3342" w14:paraId="2264906B" w14:textId="77777777" w:rsidTr="008D3305">
        <w:tc>
          <w:tcPr>
            <w:tcW w:w="3652" w:type="dxa"/>
            <w:vMerge/>
            <w:tcBorders>
              <w:right w:val="nil"/>
            </w:tcBorders>
            <w:vAlign w:val="center"/>
          </w:tcPr>
          <w:p w14:paraId="58895C7C" w14:textId="77777777" w:rsidR="00564178" w:rsidRPr="00564178" w:rsidRDefault="00564178" w:rsidP="004A70B3">
            <w:pPr>
              <w:rPr>
                <w:rFonts w:ascii="Times New Roman" w:hAnsi="Times New Roman" w:cs="Times New Roman"/>
                <w:bCs/>
                <w:iCs/>
                <w:sz w:val="20"/>
                <w:szCs w:val="20"/>
              </w:rPr>
            </w:pPr>
          </w:p>
        </w:tc>
        <w:tc>
          <w:tcPr>
            <w:tcW w:w="3686" w:type="dxa"/>
            <w:tcBorders>
              <w:top w:val="nil"/>
              <w:left w:val="nil"/>
              <w:right w:val="nil"/>
            </w:tcBorders>
            <w:vAlign w:val="center"/>
          </w:tcPr>
          <w:p w14:paraId="28ADD531"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No, I haven't been COVID-19 positive.</w:t>
            </w:r>
          </w:p>
        </w:tc>
        <w:tc>
          <w:tcPr>
            <w:tcW w:w="1874" w:type="dxa"/>
            <w:tcBorders>
              <w:top w:val="nil"/>
              <w:left w:val="nil"/>
            </w:tcBorders>
            <w:vAlign w:val="center"/>
          </w:tcPr>
          <w:p w14:paraId="2FD891F7" w14:textId="77777777" w:rsidR="00564178" w:rsidRPr="00564178" w:rsidRDefault="00564178" w:rsidP="004A70B3">
            <w:pPr>
              <w:rPr>
                <w:rFonts w:ascii="Times New Roman" w:hAnsi="Times New Roman" w:cs="Times New Roman"/>
                <w:bCs/>
                <w:iCs/>
                <w:sz w:val="20"/>
                <w:szCs w:val="20"/>
              </w:rPr>
            </w:pPr>
            <w:r w:rsidRPr="00564178">
              <w:rPr>
                <w:rFonts w:ascii="Times New Roman" w:hAnsi="Times New Roman" w:cs="Times New Roman"/>
                <w:bCs/>
                <w:iCs/>
                <w:sz w:val="20"/>
                <w:szCs w:val="20"/>
              </w:rPr>
              <w:t>354 (79.7)</w:t>
            </w:r>
          </w:p>
        </w:tc>
      </w:tr>
    </w:tbl>
    <w:p w14:paraId="1DBD5CB5" w14:textId="7FD3CB79" w:rsidR="007B47CE" w:rsidRPr="00564178" w:rsidRDefault="00564178" w:rsidP="004A70B3">
      <w:pPr>
        <w:autoSpaceDE w:val="0"/>
        <w:autoSpaceDN w:val="0"/>
        <w:adjustRightInd w:val="0"/>
        <w:spacing w:after="0"/>
        <w:jc w:val="both"/>
        <w:rPr>
          <w:rFonts w:ascii="Times New Roman" w:hAnsi="Times New Roman" w:cs="Times New Roman"/>
          <w:lang w:val="en-GB"/>
        </w:rPr>
      </w:pPr>
      <w:r w:rsidRPr="00564178">
        <w:rPr>
          <w:rFonts w:ascii="Times New Roman" w:hAnsi="Times New Roman" w:cs="Times New Roman"/>
          <w:lang w:val="en-GB"/>
        </w:rPr>
        <w:lastRenderedPageBreak/>
        <w:t>Descriptive statistics of physical activity levels and perceived stress scale measures are given in Table 2. There was a low-level negative significant linear relationship between vigorous physical activ</w:t>
      </w:r>
      <w:r>
        <w:rPr>
          <w:rFonts w:ascii="Times New Roman" w:hAnsi="Times New Roman" w:cs="Times New Roman"/>
          <w:lang w:val="en-GB"/>
        </w:rPr>
        <w:t>ity</w:t>
      </w:r>
      <w:proofErr w:type="gramStart"/>
      <w:r>
        <w:rPr>
          <w:rFonts w:ascii="Times New Roman" w:hAnsi="Times New Roman" w:cs="Times New Roman"/>
          <w:lang w:val="en-GB"/>
        </w:rPr>
        <w:t xml:space="preserve">,  </w:t>
      </w:r>
      <w:r w:rsidRPr="00564178">
        <w:rPr>
          <w:rFonts w:ascii="Times New Roman" w:hAnsi="Times New Roman" w:cs="Times New Roman"/>
          <w:lang w:val="en-GB"/>
        </w:rPr>
        <w:t>walking</w:t>
      </w:r>
      <w:proofErr w:type="gramEnd"/>
      <w:r w:rsidRPr="00564178">
        <w:rPr>
          <w:rFonts w:ascii="Times New Roman" w:hAnsi="Times New Roman" w:cs="Times New Roman"/>
          <w:lang w:val="en-GB"/>
        </w:rPr>
        <w:t xml:space="preserve"> score</w:t>
      </w:r>
      <w:r>
        <w:rPr>
          <w:rFonts w:ascii="Times New Roman" w:hAnsi="Times New Roman" w:cs="Times New Roman"/>
          <w:lang w:val="en-GB"/>
        </w:rPr>
        <w:t xml:space="preserve"> and </w:t>
      </w:r>
      <w:r w:rsidRPr="00564178">
        <w:rPr>
          <w:rFonts w:ascii="Times New Roman" w:hAnsi="Times New Roman" w:cs="Times New Roman"/>
          <w:lang w:val="en-GB"/>
        </w:rPr>
        <w:t xml:space="preserve"> total physical activity </w:t>
      </w:r>
      <w:r>
        <w:rPr>
          <w:rFonts w:ascii="Times New Roman" w:hAnsi="Times New Roman" w:cs="Times New Roman"/>
          <w:lang w:val="en-GB"/>
        </w:rPr>
        <w:t xml:space="preserve">score with perceived stress </w:t>
      </w:r>
      <w:r w:rsidRPr="00564178">
        <w:rPr>
          <w:rFonts w:ascii="Times New Roman" w:hAnsi="Times New Roman" w:cs="Times New Roman"/>
          <w:lang w:val="en-GB"/>
        </w:rPr>
        <w:t>while there was no significant relationship between moderate physical activity score and perceived stres</w:t>
      </w:r>
      <w:r>
        <w:rPr>
          <w:rFonts w:ascii="Times New Roman" w:hAnsi="Times New Roman" w:cs="Times New Roman"/>
          <w:lang w:val="en-GB"/>
        </w:rPr>
        <w:t>s (Table 3).</w:t>
      </w:r>
    </w:p>
    <w:p w14:paraId="180FB5D4" w14:textId="77777777" w:rsidR="00564178" w:rsidRDefault="00564178" w:rsidP="004A70B3">
      <w:pPr>
        <w:autoSpaceDE w:val="0"/>
        <w:autoSpaceDN w:val="0"/>
        <w:adjustRightInd w:val="0"/>
        <w:spacing w:after="0"/>
        <w:jc w:val="both"/>
        <w:rPr>
          <w:rFonts w:cs="Calibri"/>
          <w:sz w:val="24"/>
          <w:szCs w:val="24"/>
          <w:lang w:val="en-GB"/>
        </w:rPr>
      </w:pPr>
    </w:p>
    <w:p w14:paraId="7F2F8197" w14:textId="77777777" w:rsidR="00564178" w:rsidRPr="00564178" w:rsidRDefault="00564178" w:rsidP="004A70B3">
      <w:pPr>
        <w:pStyle w:val="KonuBal"/>
        <w:tabs>
          <w:tab w:val="left" w:pos="1418"/>
        </w:tabs>
        <w:jc w:val="left"/>
        <w:rPr>
          <w:rFonts w:ascii="Times New Roman" w:hAnsi="Times New Roman"/>
          <w:sz w:val="20"/>
          <w:highlight w:val="green"/>
          <w:lang w:val="en-US"/>
        </w:rPr>
      </w:pPr>
      <w:proofErr w:type="gramStart"/>
      <w:r w:rsidRPr="00564178">
        <w:rPr>
          <w:rFonts w:ascii="Times New Roman" w:hAnsi="Times New Roman"/>
          <w:sz w:val="20"/>
          <w:lang w:val="en-US"/>
        </w:rPr>
        <w:t>Table 2.</w:t>
      </w:r>
      <w:proofErr w:type="gramEnd"/>
      <w:r w:rsidRPr="00564178">
        <w:rPr>
          <w:rFonts w:ascii="Times New Roman" w:hAnsi="Times New Roman"/>
          <w:sz w:val="20"/>
          <w:lang w:val="en-US"/>
        </w:rPr>
        <w:t xml:space="preserve"> </w:t>
      </w:r>
      <w:r w:rsidRPr="00564178">
        <w:rPr>
          <w:rFonts w:ascii="Times New Roman" w:hAnsi="Times New Roman"/>
          <w:b w:val="0"/>
          <w:bCs/>
          <w:sz w:val="20"/>
          <w:lang w:val="en-US"/>
        </w:rPr>
        <w:t>Descriptive Statistics of Physical Activity and Perceived Stress Levels during COVID-19</w:t>
      </w:r>
    </w:p>
    <w:tbl>
      <w:tblPr>
        <w:tblW w:w="5029" w:type="pct"/>
        <w:jc w:val="center"/>
        <w:tblCellMar>
          <w:left w:w="70" w:type="dxa"/>
          <w:right w:w="70" w:type="dxa"/>
        </w:tblCellMar>
        <w:tblLook w:val="04A0" w:firstRow="1" w:lastRow="0" w:firstColumn="1" w:lastColumn="0" w:noHBand="0" w:noVBand="1"/>
      </w:tblPr>
      <w:tblGrid>
        <w:gridCol w:w="3922"/>
        <w:gridCol w:w="2727"/>
        <w:gridCol w:w="1535"/>
        <w:gridCol w:w="1878"/>
      </w:tblGrid>
      <w:tr w:rsidR="00564178" w:rsidRPr="00564178" w14:paraId="2F0687BC" w14:textId="77777777" w:rsidTr="00776AFC">
        <w:trPr>
          <w:trHeight w:val="286"/>
          <w:tblHeader/>
          <w:jc w:val="center"/>
        </w:trPr>
        <w:tc>
          <w:tcPr>
            <w:tcW w:w="1949" w:type="pct"/>
            <w:tcBorders>
              <w:top w:val="single" w:sz="4" w:space="0" w:color="auto"/>
              <w:bottom w:val="single" w:sz="4" w:space="0" w:color="auto"/>
            </w:tcBorders>
            <w:shd w:val="clear" w:color="auto" w:fill="auto"/>
            <w:vAlign w:val="center"/>
          </w:tcPr>
          <w:p w14:paraId="5C8B8B9E" w14:textId="77777777" w:rsidR="00564178" w:rsidRPr="00564178" w:rsidRDefault="00564178" w:rsidP="004A70B3">
            <w:pPr>
              <w:pStyle w:val="AralkYok"/>
              <w:rPr>
                <w:rFonts w:ascii="Times New Roman" w:hAnsi="Times New Roman"/>
                <w:sz w:val="20"/>
                <w:szCs w:val="20"/>
                <w:lang w:val="en-US"/>
              </w:rPr>
            </w:pPr>
          </w:p>
        </w:tc>
        <w:tc>
          <w:tcPr>
            <w:tcW w:w="1355" w:type="pct"/>
            <w:tcBorders>
              <w:top w:val="single" w:sz="4" w:space="0" w:color="auto"/>
              <w:bottom w:val="single" w:sz="4" w:space="0" w:color="auto"/>
            </w:tcBorders>
            <w:vAlign w:val="center"/>
          </w:tcPr>
          <w:p w14:paraId="70781FB6"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b/>
                <w:sz w:val="20"/>
                <w:szCs w:val="20"/>
                <w:lang w:val="en-US"/>
              </w:rPr>
              <w:t>X±SD</w:t>
            </w:r>
          </w:p>
        </w:tc>
        <w:tc>
          <w:tcPr>
            <w:tcW w:w="763" w:type="pct"/>
            <w:tcBorders>
              <w:top w:val="single" w:sz="4" w:space="0" w:color="auto"/>
              <w:bottom w:val="single" w:sz="4" w:space="0" w:color="auto"/>
            </w:tcBorders>
            <w:shd w:val="clear" w:color="auto" w:fill="auto"/>
            <w:vAlign w:val="center"/>
          </w:tcPr>
          <w:p w14:paraId="4B6577DC" w14:textId="77777777" w:rsidR="00564178" w:rsidRPr="00564178" w:rsidRDefault="00564178" w:rsidP="004A70B3">
            <w:pPr>
              <w:pStyle w:val="AralkYok"/>
              <w:jc w:val="center"/>
              <w:rPr>
                <w:rFonts w:ascii="Times New Roman" w:hAnsi="Times New Roman"/>
                <w:b/>
                <w:bCs/>
                <w:sz w:val="20"/>
                <w:szCs w:val="20"/>
                <w:lang w:val="en-US"/>
              </w:rPr>
            </w:pPr>
            <w:r w:rsidRPr="00564178">
              <w:rPr>
                <w:rFonts w:ascii="Times New Roman" w:hAnsi="Times New Roman"/>
                <w:b/>
                <w:bCs/>
                <w:sz w:val="20"/>
                <w:szCs w:val="20"/>
                <w:lang w:val="en-US"/>
              </w:rPr>
              <w:t>Median</w:t>
            </w:r>
          </w:p>
        </w:tc>
        <w:tc>
          <w:tcPr>
            <w:tcW w:w="933" w:type="pct"/>
            <w:tcBorders>
              <w:top w:val="single" w:sz="4" w:space="0" w:color="auto"/>
              <w:bottom w:val="single" w:sz="4" w:space="0" w:color="auto"/>
            </w:tcBorders>
            <w:vAlign w:val="center"/>
          </w:tcPr>
          <w:p w14:paraId="0EB41E99"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b/>
                <w:sz w:val="20"/>
                <w:szCs w:val="20"/>
                <w:lang w:val="en-US"/>
              </w:rPr>
              <w:t>Min-Max</w:t>
            </w:r>
          </w:p>
        </w:tc>
      </w:tr>
      <w:tr w:rsidR="00564178" w:rsidRPr="00564178" w14:paraId="586072FA" w14:textId="77777777" w:rsidTr="00776AFC">
        <w:trPr>
          <w:trHeight w:val="286"/>
          <w:jc w:val="center"/>
        </w:trPr>
        <w:tc>
          <w:tcPr>
            <w:tcW w:w="1949" w:type="pct"/>
            <w:vAlign w:val="center"/>
          </w:tcPr>
          <w:p w14:paraId="2891FAF5" w14:textId="77777777" w:rsidR="00564178" w:rsidRPr="00564178" w:rsidRDefault="00564178" w:rsidP="004A70B3">
            <w:pPr>
              <w:pStyle w:val="AralkYok"/>
              <w:rPr>
                <w:rFonts w:ascii="Times New Roman" w:hAnsi="Times New Roman"/>
                <w:b/>
                <w:bCs/>
                <w:sz w:val="20"/>
                <w:szCs w:val="20"/>
                <w:lang w:val="en-US"/>
              </w:rPr>
            </w:pPr>
            <w:r w:rsidRPr="00564178">
              <w:rPr>
                <w:rFonts w:ascii="Times New Roman" w:hAnsi="Times New Roman"/>
                <w:sz w:val="20"/>
                <w:szCs w:val="20"/>
                <w:lang w:val="en-US"/>
              </w:rPr>
              <w:t xml:space="preserve">IPAQ </w:t>
            </w:r>
          </w:p>
        </w:tc>
        <w:tc>
          <w:tcPr>
            <w:tcW w:w="1355" w:type="pct"/>
            <w:shd w:val="clear" w:color="auto" w:fill="auto"/>
            <w:noWrap/>
            <w:vAlign w:val="center"/>
          </w:tcPr>
          <w:p w14:paraId="035563AC" w14:textId="77777777" w:rsidR="00564178" w:rsidRPr="00564178" w:rsidRDefault="00564178" w:rsidP="004A70B3">
            <w:pPr>
              <w:pStyle w:val="AralkYok"/>
              <w:jc w:val="center"/>
              <w:rPr>
                <w:rFonts w:ascii="Times New Roman" w:hAnsi="Times New Roman"/>
                <w:sz w:val="20"/>
                <w:szCs w:val="20"/>
                <w:lang w:val="en-US"/>
              </w:rPr>
            </w:pPr>
          </w:p>
        </w:tc>
        <w:tc>
          <w:tcPr>
            <w:tcW w:w="763" w:type="pct"/>
            <w:shd w:val="clear" w:color="auto" w:fill="auto"/>
            <w:noWrap/>
            <w:vAlign w:val="center"/>
          </w:tcPr>
          <w:p w14:paraId="7DDD68B7" w14:textId="77777777" w:rsidR="00564178" w:rsidRPr="00564178" w:rsidRDefault="00564178" w:rsidP="004A70B3">
            <w:pPr>
              <w:pStyle w:val="AralkYok"/>
              <w:jc w:val="center"/>
              <w:rPr>
                <w:rFonts w:ascii="Times New Roman" w:hAnsi="Times New Roman"/>
                <w:sz w:val="20"/>
                <w:szCs w:val="20"/>
                <w:lang w:val="en-US"/>
              </w:rPr>
            </w:pPr>
          </w:p>
        </w:tc>
        <w:tc>
          <w:tcPr>
            <w:tcW w:w="933" w:type="pct"/>
            <w:vAlign w:val="center"/>
          </w:tcPr>
          <w:p w14:paraId="32072D45" w14:textId="77777777" w:rsidR="00564178" w:rsidRPr="00564178" w:rsidRDefault="00564178" w:rsidP="004A70B3">
            <w:pPr>
              <w:pStyle w:val="AralkYok"/>
              <w:jc w:val="center"/>
              <w:rPr>
                <w:rFonts w:ascii="Times New Roman" w:hAnsi="Times New Roman"/>
                <w:sz w:val="20"/>
                <w:szCs w:val="20"/>
                <w:lang w:val="en-US"/>
              </w:rPr>
            </w:pPr>
          </w:p>
        </w:tc>
      </w:tr>
      <w:tr w:rsidR="00564178" w:rsidRPr="00564178" w14:paraId="2D76076B" w14:textId="77777777" w:rsidTr="00776AFC">
        <w:trPr>
          <w:trHeight w:val="286"/>
          <w:jc w:val="center"/>
        </w:trPr>
        <w:tc>
          <w:tcPr>
            <w:tcW w:w="1949" w:type="pct"/>
            <w:vAlign w:val="center"/>
          </w:tcPr>
          <w:p w14:paraId="0727C288"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Vigorous MET-min/week</w:t>
            </w:r>
          </w:p>
        </w:tc>
        <w:tc>
          <w:tcPr>
            <w:tcW w:w="1355" w:type="pct"/>
            <w:shd w:val="clear" w:color="auto" w:fill="auto"/>
            <w:noWrap/>
            <w:vAlign w:val="center"/>
          </w:tcPr>
          <w:p w14:paraId="1B5E897D"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2197.24±14023.975</w:t>
            </w:r>
          </w:p>
        </w:tc>
        <w:tc>
          <w:tcPr>
            <w:tcW w:w="763" w:type="pct"/>
            <w:shd w:val="clear" w:color="auto" w:fill="auto"/>
            <w:noWrap/>
            <w:vAlign w:val="center"/>
          </w:tcPr>
          <w:p w14:paraId="14CD4F16"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0</w:t>
            </w:r>
          </w:p>
        </w:tc>
        <w:tc>
          <w:tcPr>
            <w:tcW w:w="933" w:type="pct"/>
            <w:vAlign w:val="center"/>
          </w:tcPr>
          <w:p w14:paraId="235FCE32"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0-288000</w:t>
            </w:r>
          </w:p>
        </w:tc>
      </w:tr>
      <w:tr w:rsidR="00564178" w:rsidRPr="00564178" w14:paraId="1D82AF1E" w14:textId="77777777" w:rsidTr="00776AFC">
        <w:trPr>
          <w:trHeight w:val="286"/>
          <w:jc w:val="center"/>
        </w:trPr>
        <w:tc>
          <w:tcPr>
            <w:tcW w:w="1949" w:type="pct"/>
            <w:vAlign w:val="center"/>
          </w:tcPr>
          <w:p w14:paraId="240750A4"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Moderate MET-min/week</w:t>
            </w:r>
          </w:p>
        </w:tc>
        <w:tc>
          <w:tcPr>
            <w:tcW w:w="1355" w:type="pct"/>
            <w:shd w:val="clear" w:color="auto" w:fill="auto"/>
            <w:noWrap/>
            <w:vAlign w:val="center"/>
          </w:tcPr>
          <w:p w14:paraId="47AD62F8"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744.13±1674.070</w:t>
            </w:r>
          </w:p>
        </w:tc>
        <w:tc>
          <w:tcPr>
            <w:tcW w:w="763" w:type="pct"/>
            <w:shd w:val="clear" w:color="auto" w:fill="auto"/>
            <w:noWrap/>
            <w:vAlign w:val="center"/>
          </w:tcPr>
          <w:p w14:paraId="61BA9131"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2.5</w:t>
            </w:r>
          </w:p>
        </w:tc>
        <w:tc>
          <w:tcPr>
            <w:tcW w:w="933" w:type="pct"/>
            <w:vAlign w:val="center"/>
          </w:tcPr>
          <w:p w14:paraId="4D61017B"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0-13440</w:t>
            </w:r>
          </w:p>
        </w:tc>
      </w:tr>
      <w:tr w:rsidR="00564178" w:rsidRPr="00564178" w14:paraId="5B130E15" w14:textId="77777777" w:rsidTr="00776AFC">
        <w:trPr>
          <w:trHeight w:val="286"/>
          <w:jc w:val="center"/>
        </w:trPr>
        <w:tc>
          <w:tcPr>
            <w:tcW w:w="1949" w:type="pct"/>
            <w:vAlign w:val="center"/>
          </w:tcPr>
          <w:p w14:paraId="3984C6CC" w14:textId="77777777" w:rsidR="00564178" w:rsidRPr="00564178" w:rsidRDefault="00564178" w:rsidP="004A70B3">
            <w:pPr>
              <w:pStyle w:val="AralkYok"/>
              <w:rPr>
                <w:rFonts w:ascii="Times New Roman" w:hAnsi="Times New Roman"/>
                <w:b/>
                <w:bCs/>
                <w:sz w:val="20"/>
                <w:szCs w:val="20"/>
                <w:lang w:val="en-US"/>
              </w:rPr>
            </w:pPr>
            <w:r w:rsidRPr="00564178">
              <w:rPr>
                <w:rFonts w:ascii="Times New Roman" w:hAnsi="Times New Roman"/>
                <w:sz w:val="20"/>
                <w:szCs w:val="20"/>
                <w:lang w:val="en-US"/>
              </w:rPr>
              <w:t>Walking MET-min/week</w:t>
            </w:r>
          </w:p>
        </w:tc>
        <w:tc>
          <w:tcPr>
            <w:tcW w:w="1355" w:type="pct"/>
            <w:shd w:val="clear" w:color="auto" w:fill="auto"/>
            <w:noWrap/>
            <w:vAlign w:val="center"/>
          </w:tcPr>
          <w:p w14:paraId="35CB6317"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1330.63±2489.449</w:t>
            </w:r>
          </w:p>
        </w:tc>
        <w:tc>
          <w:tcPr>
            <w:tcW w:w="763" w:type="pct"/>
            <w:shd w:val="clear" w:color="auto" w:fill="auto"/>
            <w:noWrap/>
            <w:vAlign w:val="center"/>
          </w:tcPr>
          <w:p w14:paraId="56A5412C"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693</w:t>
            </w:r>
          </w:p>
        </w:tc>
        <w:tc>
          <w:tcPr>
            <w:tcW w:w="933" w:type="pct"/>
            <w:vAlign w:val="center"/>
          </w:tcPr>
          <w:p w14:paraId="1CC20A55"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0-38280</w:t>
            </w:r>
          </w:p>
        </w:tc>
      </w:tr>
      <w:tr w:rsidR="00564178" w:rsidRPr="00564178" w14:paraId="210CF504" w14:textId="77777777" w:rsidTr="00776AFC">
        <w:trPr>
          <w:trHeight w:val="286"/>
          <w:jc w:val="center"/>
        </w:trPr>
        <w:tc>
          <w:tcPr>
            <w:tcW w:w="1949" w:type="pct"/>
            <w:vAlign w:val="center"/>
          </w:tcPr>
          <w:p w14:paraId="3BBA6E99"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IPAQ Sitting Time (min/week)</w:t>
            </w:r>
          </w:p>
        </w:tc>
        <w:tc>
          <w:tcPr>
            <w:tcW w:w="1355" w:type="pct"/>
            <w:shd w:val="clear" w:color="auto" w:fill="auto"/>
            <w:noWrap/>
            <w:vAlign w:val="center"/>
          </w:tcPr>
          <w:p w14:paraId="7A31AE0F"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365.03±226.209</w:t>
            </w:r>
          </w:p>
        </w:tc>
        <w:tc>
          <w:tcPr>
            <w:tcW w:w="763" w:type="pct"/>
            <w:shd w:val="clear" w:color="auto" w:fill="auto"/>
            <w:noWrap/>
            <w:vAlign w:val="center"/>
          </w:tcPr>
          <w:p w14:paraId="5EEF646B"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300</w:t>
            </w:r>
          </w:p>
        </w:tc>
        <w:tc>
          <w:tcPr>
            <w:tcW w:w="933" w:type="pct"/>
            <w:vAlign w:val="center"/>
          </w:tcPr>
          <w:p w14:paraId="20EC3729"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20-1200</w:t>
            </w:r>
          </w:p>
        </w:tc>
      </w:tr>
      <w:tr w:rsidR="00564178" w:rsidRPr="00564178" w14:paraId="03D948FF" w14:textId="77777777" w:rsidTr="00776AFC">
        <w:trPr>
          <w:trHeight w:val="286"/>
          <w:jc w:val="center"/>
        </w:trPr>
        <w:tc>
          <w:tcPr>
            <w:tcW w:w="1949" w:type="pct"/>
            <w:tcBorders>
              <w:bottom w:val="single" w:sz="4" w:space="0" w:color="auto"/>
            </w:tcBorders>
            <w:vAlign w:val="center"/>
          </w:tcPr>
          <w:p w14:paraId="026F73E4" w14:textId="01C2EB04"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IPAQ Total MET-min/week</w:t>
            </w:r>
          </w:p>
        </w:tc>
        <w:tc>
          <w:tcPr>
            <w:tcW w:w="1355" w:type="pct"/>
            <w:tcBorders>
              <w:bottom w:val="single" w:sz="4" w:space="0" w:color="auto"/>
            </w:tcBorders>
            <w:shd w:val="clear" w:color="auto" w:fill="auto"/>
            <w:noWrap/>
            <w:vAlign w:val="center"/>
          </w:tcPr>
          <w:p w14:paraId="08BDADA0" w14:textId="2DBE9D52"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4278.11±16341.501</w:t>
            </w:r>
          </w:p>
        </w:tc>
        <w:tc>
          <w:tcPr>
            <w:tcW w:w="763" w:type="pct"/>
            <w:tcBorders>
              <w:bottom w:val="single" w:sz="4" w:space="0" w:color="auto"/>
            </w:tcBorders>
            <w:shd w:val="clear" w:color="auto" w:fill="auto"/>
            <w:noWrap/>
            <w:vAlign w:val="center"/>
          </w:tcPr>
          <w:p w14:paraId="6FBA84A7" w14:textId="04A6145C"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1628</w:t>
            </w:r>
          </w:p>
        </w:tc>
        <w:tc>
          <w:tcPr>
            <w:tcW w:w="933" w:type="pct"/>
            <w:tcBorders>
              <w:bottom w:val="single" w:sz="4" w:space="0" w:color="auto"/>
            </w:tcBorders>
            <w:vAlign w:val="center"/>
          </w:tcPr>
          <w:p w14:paraId="617FEDF9" w14:textId="7267AF10"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0-327960</w:t>
            </w:r>
          </w:p>
        </w:tc>
      </w:tr>
      <w:tr w:rsidR="00564178" w:rsidRPr="00564178" w14:paraId="147C0D3B" w14:textId="77777777" w:rsidTr="00776AFC">
        <w:trPr>
          <w:trHeight w:val="286"/>
          <w:jc w:val="center"/>
        </w:trPr>
        <w:tc>
          <w:tcPr>
            <w:tcW w:w="1949" w:type="pct"/>
            <w:tcBorders>
              <w:top w:val="single" w:sz="4" w:space="0" w:color="auto"/>
              <w:bottom w:val="single" w:sz="4" w:space="0" w:color="auto"/>
            </w:tcBorders>
            <w:vAlign w:val="center"/>
          </w:tcPr>
          <w:p w14:paraId="3A64306B"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Perceived Stress Scale</w:t>
            </w:r>
          </w:p>
        </w:tc>
        <w:tc>
          <w:tcPr>
            <w:tcW w:w="1355" w:type="pct"/>
            <w:tcBorders>
              <w:top w:val="single" w:sz="4" w:space="0" w:color="auto"/>
              <w:bottom w:val="single" w:sz="4" w:space="0" w:color="auto"/>
            </w:tcBorders>
            <w:shd w:val="clear" w:color="auto" w:fill="auto"/>
            <w:noWrap/>
            <w:vAlign w:val="center"/>
          </w:tcPr>
          <w:p w14:paraId="30A25A21"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28.62±7.105</w:t>
            </w:r>
          </w:p>
        </w:tc>
        <w:tc>
          <w:tcPr>
            <w:tcW w:w="763" w:type="pct"/>
            <w:tcBorders>
              <w:top w:val="single" w:sz="4" w:space="0" w:color="auto"/>
              <w:bottom w:val="single" w:sz="4" w:space="0" w:color="auto"/>
            </w:tcBorders>
            <w:shd w:val="clear" w:color="auto" w:fill="auto"/>
            <w:noWrap/>
            <w:vAlign w:val="center"/>
          </w:tcPr>
          <w:p w14:paraId="5F6874FC"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28</w:t>
            </w:r>
          </w:p>
        </w:tc>
        <w:tc>
          <w:tcPr>
            <w:tcW w:w="933" w:type="pct"/>
            <w:tcBorders>
              <w:top w:val="single" w:sz="4" w:space="0" w:color="auto"/>
              <w:bottom w:val="single" w:sz="4" w:space="0" w:color="auto"/>
            </w:tcBorders>
            <w:vAlign w:val="center"/>
          </w:tcPr>
          <w:p w14:paraId="455CCEF3" w14:textId="77777777" w:rsidR="00564178" w:rsidRPr="00564178" w:rsidRDefault="00564178" w:rsidP="004A70B3">
            <w:pPr>
              <w:pStyle w:val="AralkYok"/>
              <w:jc w:val="center"/>
              <w:rPr>
                <w:rFonts w:ascii="Times New Roman" w:hAnsi="Times New Roman"/>
                <w:sz w:val="20"/>
                <w:szCs w:val="20"/>
                <w:lang w:val="en-US"/>
              </w:rPr>
            </w:pPr>
            <w:r w:rsidRPr="00564178">
              <w:rPr>
                <w:rFonts w:ascii="Times New Roman" w:hAnsi="Times New Roman"/>
                <w:sz w:val="20"/>
                <w:szCs w:val="20"/>
                <w:lang w:val="en-US"/>
              </w:rPr>
              <w:t>9-51</w:t>
            </w:r>
          </w:p>
        </w:tc>
      </w:tr>
    </w:tbl>
    <w:p w14:paraId="761458D0" w14:textId="77777777" w:rsidR="00564178" w:rsidRPr="00564178" w:rsidRDefault="00564178" w:rsidP="004A70B3">
      <w:pPr>
        <w:pStyle w:val="AralkYok"/>
        <w:rPr>
          <w:rFonts w:ascii="Times New Roman" w:hAnsi="Times New Roman"/>
          <w:sz w:val="18"/>
          <w:szCs w:val="18"/>
          <w:lang w:val="en-US"/>
        </w:rPr>
      </w:pPr>
      <w:r w:rsidRPr="00564178">
        <w:rPr>
          <w:rFonts w:ascii="Times New Roman" w:hAnsi="Times New Roman"/>
          <w:sz w:val="18"/>
          <w:szCs w:val="18"/>
          <w:lang w:val="en-US"/>
        </w:rPr>
        <w:t>X=Mean, SD=Standard Deviation, Min=Minimum, Max=Maximum</w:t>
      </w:r>
    </w:p>
    <w:p w14:paraId="39AB6431" w14:textId="77777777" w:rsidR="00564178" w:rsidRDefault="00564178" w:rsidP="004A70B3">
      <w:pPr>
        <w:autoSpaceDE w:val="0"/>
        <w:autoSpaceDN w:val="0"/>
        <w:adjustRightInd w:val="0"/>
        <w:spacing w:after="0"/>
        <w:jc w:val="both"/>
        <w:rPr>
          <w:rFonts w:cs="Calibri"/>
          <w:sz w:val="24"/>
          <w:szCs w:val="24"/>
          <w:lang w:val="en-GB"/>
        </w:rPr>
      </w:pPr>
    </w:p>
    <w:p w14:paraId="78355C01" w14:textId="31425055" w:rsidR="00564178" w:rsidRPr="00564178" w:rsidRDefault="00564178" w:rsidP="004A70B3">
      <w:pPr>
        <w:pStyle w:val="KonuBal"/>
        <w:jc w:val="both"/>
        <w:rPr>
          <w:rFonts w:ascii="Times New Roman" w:hAnsi="Times New Roman"/>
          <w:b w:val="0"/>
          <w:bCs/>
          <w:sz w:val="20"/>
          <w:lang w:val="en-US"/>
        </w:rPr>
      </w:pPr>
      <w:proofErr w:type="gramStart"/>
      <w:r w:rsidRPr="00564178">
        <w:rPr>
          <w:rFonts w:ascii="Times New Roman" w:hAnsi="Times New Roman"/>
          <w:sz w:val="20"/>
          <w:lang w:val="en-US"/>
        </w:rPr>
        <w:t>Table 3</w:t>
      </w:r>
      <w:r w:rsidRPr="00564178">
        <w:rPr>
          <w:rFonts w:ascii="Times New Roman" w:hAnsi="Times New Roman"/>
          <w:b w:val="0"/>
          <w:bCs/>
          <w:sz w:val="20"/>
          <w:lang w:val="en-US"/>
        </w:rPr>
        <w:t>.</w:t>
      </w:r>
      <w:proofErr w:type="gramEnd"/>
      <w:r w:rsidRPr="00564178">
        <w:rPr>
          <w:rFonts w:ascii="Times New Roman" w:hAnsi="Times New Roman"/>
          <w:b w:val="0"/>
          <w:bCs/>
          <w:sz w:val="20"/>
          <w:lang w:val="en-US"/>
        </w:rPr>
        <w:t xml:space="preserve"> Relationships </w:t>
      </w:r>
      <w:proofErr w:type="gramStart"/>
      <w:r w:rsidRPr="00564178">
        <w:rPr>
          <w:rFonts w:ascii="Times New Roman" w:hAnsi="Times New Roman"/>
          <w:b w:val="0"/>
          <w:bCs/>
          <w:sz w:val="20"/>
          <w:lang w:val="en-US"/>
        </w:rPr>
        <w:t>Between</w:t>
      </w:r>
      <w:proofErr w:type="gramEnd"/>
      <w:r w:rsidRPr="00564178">
        <w:rPr>
          <w:rFonts w:ascii="Times New Roman" w:hAnsi="Times New Roman"/>
          <w:b w:val="0"/>
          <w:bCs/>
          <w:sz w:val="20"/>
          <w:lang w:val="en-US"/>
        </w:rPr>
        <w:t xml:space="preserve"> Physical Activity Level and Perceived Stress Scale Score during COVID-19</w:t>
      </w:r>
    </w:p>
    <w:tbl>
      <w:tblPr>
        <w:tblW w:w="5000" w:type="pct"/>
        <w:jc w:val="center"/>
        <w:tblCellMar>
          <w:left w:w="70" w:type="dxa"/>
          <w:right w:w="70" w:type="dxa"/>
        </w:tblCellMar>
        <w:tblLook w:val="04A0" w:firstRow="1" w:lastRow="0" w:firstColumn="1" w:lastColumn="0" w:noHBand="0" w:noVBand="1"/>
      </w:tblPr>
      <w:tblGrid>
        <w:gridCol w:w="5091"/>
        <w:gridCol w:w="987"/>
        <w:gridCol w:w="982"/>
        <w:gridCol w:w="992"/>
        <w:gridCol w:w="1006"/>
        <w:gridCol w:w="946"/>
      </w:tblGrid>
      <w:tr w:rsidR="004A70B3" w:rsidRPr="00564178" w14:paraId="1C9F53D6" w14:textId="77777777" w:rsidTr="004A70B3">
        <w:trPr>
          <w:trHeight w:val="361"/>
          <w:jc w:val="center"/>
        </w:trPr>
        <w:tc>
          <w:tcPr>
            <w:tcW w:w="2544" w:type="pct"/>
            <w:tcBorders>
              <w:top w:val="single" w:sz="4" w:space="0" w:color="auto"/>
              <w:left w:val="nil"/>
              <w:bottom w:val="single" w:sz="4" w:space="0" w:color="auto"/>
            </w:tcBorders>
            <w:shd w:val="clear" w:color="auto" w:fill="auto"/>
            <w:vAlign w:val="center"/>
            <w:hideMark/>
          </w:tcPr>
          <w:p w14:paraId="3217872D" w14:textId="77777777" w:rsidR="00564178" w:rsidRPr="00564178" w:rsidRDefault="00564178" w:rsidP="004A70B3">
            <w:pPr>
              <w:pStyle w:val="AralkYok"/>
              <w:jc w:val="both"/>
              <w:rPr>
                <w:rFonts w:ascii="Times New Roman" w:hAnsi="Times New Roman"/>
                <w:sz w:val="20"/>
                <w:szCs w:val="20"/>
                <w:lang w:val="en-US" w:eastAsia="tr-TR"/>
              </w:rPr>
            </w:pPr>
          </w:p>
        </w:tc>
        <w:tc>
          <w:tcPr>
            <w:tcW w:w="493" w:type="pct"/>
            <w:tcBorders>
              <w:top w:val="single" w:sz="4" w:space="0" w:color="auto"/>
              <w:left w:val="nil"/>
              <w:bottom w:val="single" w:sz="4" w:space="0" w:color="auto"/>
              <w:right w:val="nil"/>
            </w:tcBorders>
            <w:shd w:val="clear" w:color="auto" w:fill="auto"/>
            <w:vAlign w:val="center"/>
          </w:tcPr>
          <w:p w14:paraId="4BA9AA14" w14:textId="77777777" w:rsidR="00564178" w:rsidRPr="00564178" w:rsidRDefault="00564178" w:rsidP="004A70B3">
            <w:pPr>
              <w:pStyle w:val="AralkYok"/>
              <w:rPr>
                <w:rFonts w:ascii="Times New Roman" w:hAnsi="Times New Roman"/>
                <w:sz w:val="20"/>
                <w:szCs w:val="20"/>
                <w:lang w:val="en-US" w:eastAsia="tr-TR"/>
              </w:rPr>
            </w:pPr>
            <w:r w:rsidRPr="00564178">
              <w:rPr>
                <w:rFonts w:ascii="Times New Roman" w:hAnsi="Times New Roman"/>
                <w:sz w:val="20"/>
                <w:szCs w:val="20"/>
                <w:lang w:val="en-US" w:eastAsia="tr-TR"/>
              </w:rPr>
              <w:t>1</w:t>
            </w:r>
          </w:p>
        </w:tc>
        <w:tc>
          <w:tcPr>
            <w:tcW w:w="491" w:type="pct"/>
            <w:tcBorders>
              <w:top w:val="single" w:sz="4" w:space="0" w:color="auto"/>
              <w:left w:val="nil"/>
              <w:bottom w:val="single" w:sz="4" w:space="0" w:color="auto"/>
              <w:right w:val="nil"/>
            </w:tcBorders>
            <w:vAlign w:val="center"/>
          </w:tcPr>
          <w:p w14:paraId="46EEAE36" w14:textId="77777777" w:rsidR="00564178" w:rsidRPr="00564178" w:rsidRDefault="00564178" w:rsidP="004A70B3">
            <w:pPr>
              <w:pStyle w:val="AralkYok"/>
              <w:rPr>
                <w:rFonts w:ascii="Times New Roman" w:hAnsi="Times New Roman"/>
                <w:sz w:val="20"/>
                <w:szCs w:val="20"/>
                <w:lang w:val="en-US" w:eastAsia="tr-TR"/>
              </w:rPr>
            </w:pPr>
            <w:r w:rsidRPr="00564178">
              <w:rPr>
                <w:rFonts w:ascii="Times New Roman" w:hAnsi="Times New Roman"/>
                <w:sz w:val="20"/>
                <w:szCs w:val="20"/>
                <w:lang w:val="en-US" w:eastAsia="tr-TR"/>
              </w:rPr>
              <w:t>2</w:t>
            </w:r>
          </w:p>
        </w:tc>
        <w:tc>
          <w:tcPr>
            <w:tcW w:w="496" w:type="pct"/>
            <w:tcBorders>
              <w:top w:val="single" w:sz="4" w:space="0" w:color="auto"/>
              <w:left w:val="nil"/>
              <w:bottom w:val="single" w:sz="4" w:space="0" w:color="auto"/>
              <w:right w:val="nil"/>
            </w:tcBorders>
            <w:vAlign w:val="center"/>
          </w:tcPr>
          <w:p w14:paraId="4D9E2B80" w14:textId="77777777" w:rsidR="00564178" w:rsidRPr="00564178" w:rsidRDefault="00564178" w:rsidP="004A70B3">
            <w:pPr>
              <w:pStyle w:val="AralkYok"/>
              <w:rPr>
                <w:rFonts w:ascii="Times New Roman" w:hAnsi="Times New Roman"/>
                <w:sz w:val="20"/>
                <w:szCs w:val="20"/>
                <w:lang w:val="en-US" w:eastAsia="tr-TR"/>
              </w:rPr>
            </w:pPr>
            <w:r w:rsidRPr="00564178">
              <w:rPr>
                <w:rFonts w:ascii="Times New Roman" w:hAnsi="Times New Roman"/>
                <w:sz w:val="20"/>
                <w:szCs w:val="20"/>
                <w:lang w:val="en-US" w:eastAsia="tr-TR"/>
              </w:rPr>
              <w:t>3</w:t>
            </w:r>
          </w:p>
        </w:tc>
        <w:tc>
          <w:tcPr>
            <w:tcW w:w="503" w:type="pct"/>
            <w:tcBorders>
              <w:top w:val="single" w:sz="4" w:space="0" w:color="auto"/>
              <w:left w:val="nil"/>
              <w:bottom w:val="single" w:sz="4" w:space="0" w:color="auto"/>
              <w:right w:val="nil"/>
            </w:tcBorders>
            <w:vAlign w:val="center"/>
          </w:tcPr>
          <w:p w14:paraId="47F7BE31" w14:textId="77777777" w:rsidR="00564178" w:rsidRPr="00564178" w:rsidRDefault="00564178" w:rsidP="004A70B3">
            <w:pPr>
              <w:pStyle w:val="AralkYok"/>
              <w:rPr>
                <w:rFonts w:ascii="Times New Roman" w:hAnsi="Times New Roman"/>
                <w:sz w:val="20"/>
                <w:szCs w:val="20"/>
                <w:lang w:val="en-US" w:eastAsia="tr-TR"/>
              </w:rPr>
            </w:pPr>
            <w:r w:rsidRPr="00564178">
              <w:rPr>
                <w:rFonts w:ascii="Times New Roman" w:hAnsi="Times New Roman"/>
                <w:sz w:val="20"/>
                <w:szCs w:val="20"/>
                <w:lang w:val="en-US" w:eastAsia="tr-TR"/>
              </w:rPr>
              <w:t>4</w:t>
            </w:r>
          </w:p>
        </w:tc>
        <w:tc>
          <w:tcPr>
            <w:tcW w:w="473" w:type="pct"/>
            <w:tcBorders>
              <w:top w:val="single" w:sz="4" w:space="0" w:color="auto"/>
              <w:left w:val="nil"/>
              <w:bottom w:val="single" w:sz="4" w:space="0" w:color="auto"/>
              <w:right w:val="nil"/>
            </w:tcBorders>
            <w:vAlign w:val="center"/>
          </w:tcPr>
          <w:p w14:paraId="06483ED6" w14:textId="77777777" w:rsidR="00564178" w:rsidRPr="00564178" w:rsidRDefault="00564178" w:rsidP="004A70B3">
            <w:pPr>
              <w:pStyle w:val="AralkYok"/>
              <w:rPr>
                <w:rFonts w:ascii="Times New Roman" w:hAnsi="Times New Roman"/>
                <w:sz w:val="20"/>
                <w:szCs w:val="20"/>
                <w:lang w:val="en-US" w:eastAsia="tr-TR"/>
              </w:rPr>
            </w:pPr>
            <w:r w:rsidRPr="00564178">
              <w:rPr>
                <w:rFonts w:ascii="Times New Roman" w:hAnsi="Times New Roman"/>
                <w:sz w:val="20"/>
                <w:szCs w:val="20"/>
                <w:lang w:val="en-US" w:eastAsia="tr-TR"/>
              </w:rPr>
              <w:t>5</w:t>
            </w:r>
          </w:p>
        </w:tc>
      </w:tr>
      <w:tr w:rsidR="004A70B3" w:rsidRPr="00564178" w14:paraId="27424F29" w14:textId="77777777" w:rsidTr="004A70B3">
        <w:trPr>
          <w:cantSplit/>
          <w:trHeight w:val="361"/>
          <w:jc w:val="center"/>
        </w:trPr>
        <w:tc>
          <w:tcPr>
            <w:tcW w:w="2544" w:type="pct"/>
            <w:tcBorders>
              <w:top w:val="single" w:sz="4" w:space="0" w:color="auto"/>
              <w:left w:val="nil"/>
            </w:tcBorders>
            <w:shd w:val="clear" w:color="auto" w:fill="auto"/>
            <w:vAlign w:val="center"/>
          </w:tcPr>
          <w:p w14:paraId="27600625"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1.IPAQ Vigorous MET-min/week</w:t>
            </w:r>
          </w:p>
        </w:tc>
        <w:tc>
          <w:tcPr>
            <w:tcW w:w="493" w:type="pct"/>
            <w:tcBorders>
              <w:top w:val="single" w:sz="4" w:space="0" w:color="auto"/>
              <w:left w:val="nil"/>
              <w:right w:val="nil"/>
            </w:tcBorders>
            <w:shd w:val="clear" w:color="auto" w:fill="auto"/>
            <w:noWrap/>
            <w:vAlign w:val="center"/>
          </w:tcPr>
          <w:p w14:paraId="29D88545"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1</w:t>
            </w:r>
          </w:p>
        </w:tc>
        <w:tc>
          <w:tcPr>
            <w:tcW w:w="491" w:type="pct"/>
            <w:tcBorders>
              <w:top w:val="single" w:sz="4" w:space="0" w:color="auto"/>
              <w:left w:val="nil"/>
              <w:right w:val="nil"/>
            </w:tcBorders>
            <w:vAlign w:val="center"/>
          </w:tcPr>
          <w:p w14:paraId="727D7B02" w14:textId="77777777" w:rsidR="00564178" w:rsidRPr="00564178" w:rsidRDefault="00564178" w:rsidP="004A70B3">
            <w:pPr>
              <w:pStyle w:val="AralkYok"/>
              <w:rPr>
                <w:rFonts w:ascii="Times New Roman" w:hAnsi="Times New Roman"/>
                <w:sz w:val="20"/>
                <w:szCs w:val="20"/>
                <w:lang w:val="en-US"/>
              </w:rPr>
            </w:pPr>
          </w:p>
        </w:tc>
        <w:tc>
          <w:tcPr>
            <w:tcW w:w="496" w:type="pct"/>
            <w:tcBorders>
              <w:top w:val="single" w:sz="4" w:space="0" w:color="auto"/>
              <w:left w:val="nil"/>
              <w:right w:val="nil"/>
            </w:tcBorders>
            <w:vAlign w:val="center"/>
          </w:tcPr>
          <w:p w14:paraId="52E4FEDA" w14:textId="77777777" w:rsidR="00564178" w:rsidRPr="00564178" w:rsidRDefault="00564178" w:rsidP="004A70B3">
            <w:pPr>
              <w:pStyle w:val="AralkYok"/>
              <w:rPr>
                <w:rFonts w:ascii="Times New Roman" w:hAnsi="Times New Roman"/>
                <w:sz w:val="20"/>
                <w:szCs w:val="20"/>
                <w:lang w:val="en-US"/>
              </w:rPr>
            </w:pPr>
          </w:p>
        </w:tc>
        <w:tc>
          <w:tcPr>
            <w:tcW w:w="503" w:type="pct"/>
            <w:tcBorders>
              <w:top w:val="single" w:sz="4" w:space="0" w:color="auto"/>
              <w:left w:val="nil"/>
              <w:right w:val="nil"/>
            </w:tcBorders>
            <w:vAlign w:val="center"/>
          </w:tcPr>
          <w:p w14:paraId="3611C617" w14:textId="77777777" w:rsidR="00564178" w:rsidRPr="00564178" w:rsidRDefault="00564178" w:rsidP="004A70B3">
            <w:pPr>
              <w:pStyle w:val="AralkYok"/>
              <w:rPr>
                <w:rFonts w:ascii="Times New Roman" w:hAnsi="Times New Roman"/>
                <w:sz w:val="20"/>
                <w:szCs w:val="20"/>
                <w:lang w:val="en-US"/>
              </w:rPr>
            </w:pPr>
          </w:p>
        </w:tc>
        <w:tc>
          <w:tcPr>
            <w:tcW w:w="473" w:type="pct"/>
            <w:tcBorders>
              <w:top w:val="single" w:sz="4" w:space="0" w:color="auto"/>
              <w:left w:val="nil"/>
              <w:right w:val="nil"/>
            </w:tcBorders>
            <w:vAlign w:val="center"/>
          </w:tcPr>
          <w:p w14:paraId="62E9327A" w14:textId="77777777" w:rsidR="00564178" w:rsidRPr="00564178" w:rsidRDefault="00564178" w:rsidP="004A70B3">
            <w:pPr>
              <w:pStyle w:val="AralkYok"/>
              <w:rPr>
                <w:rFonts w:ascii="Times New Roman" w:hAnsi="Times New Roman"/>
                <w:sz w:val="20"/>
                <w:szCs w:val="20"/>
                <w:lang w:val="en-US"/>
              </w:rPr>
            </w:pPr>
          </w:p>
        </w:tc>
      </w:tr>
      <w:tr w:rsidR="004A70B3" w:rsidRPr="00564178" w14:paraId="67D418B1" w14:textId="77777777" w:rsidTr="004A70B3">
        <w:trPr>
          <w:cantSplit/>
          <w:trHeight w:val="361"/>
          <w:jc w:val="center"/>
        </w:trPr>
        <w:tc>
          <w:tcPr>
            <w:tcW w:w="2544" w:type="pct"/>
            <w:tcBorders>
              <w:left w:val="nil"/>
            </w:tcBorders>
            <w:shd w:val="clear" w:color="auto" w:fill="auto"/>
            <w:vAlign w:val="center"/>
          </w:tcPr>
          <w:p w14:paraId="35E38D65"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2.IPAQ Moderate MET-min/week</w:t>
            </w:r>
          </w:p>
        </w:tc>
        <w:tc>
          <w:tcPr>
            <w:tcW w:w="493" w:type="pct"/>
            <w:tcBorders>
              <w:left w:val="nil"/>
              <w:right w:val="nil"/>
            </w:tcBorders>
            <w:shd w:val="clear" w:color="auto" w:fill="auto"/>
            <w:noWrap/>
            <w:vAlign w:val="center"/>
          </w:tcPr>
          <w:p w14:paraId="75B429B0"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0.375</w:t>
            </w:r>
            <w:r w:rsidRPr="00564178">
              <w:rPr>
                <w:rFonts w:ascii="Times New Roman" w:hAnsi="Times New Roman"/>
                <w:sz w:val="20"/>
                <w:szCs w:val="20"/>
                <w:vertAlign w:val="superscript"/>
                <w:lang w:val="en-US"/>
              </w:rPr>
              <w:t>***</w:t>
            </w:r>
          </w:p>
        </w:tc>
        <w:tc>
          <w:tcPr>
            <w:tcW w:w="491" w:type="pct"/>
            <w:tcBorders>
              <w:left w:val="nil"/>
              <w:right w:val="nil"/>
            </w:tcBorders>
            <w:vAlign w:val="center"/>
          </w:tcPr>
          <w:p w14:paraId="1BB04884"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1</w:t>
            </w:r>
          </w:p>
        </w:tc>
        <w:tc>
          <w:tcPr>
            <w:tcW w:w="496" w:type="pct"/>
            <w:tcBorders>
              <w:left w:val="nil"/>
              <w:right w:val="nil"/>
            </w:tcBorders>
            <w:vAlign w:val="center"/>
          </w:tcPr>
          <w:p w14:paraId="54DAA1EE" w14:textId="77777777" w:rsidR="00564178" w:rsidRPr="00564178" w:rsidRDefault="00564178" w:rsidP="004A70B3">
            <w:pPr>
              <w:pStyle w:val="AralkYok"/>
              <w:rPr>
                <w:rFonts w:ascii="Times New Roman" w:hAnsi="Times New Roman"/>
                <w:sz w:val="20"/>
                <w:szCs w:val="20"/>
                <w:lang w:val="en-US"/>
              </w:rPr>
            </w:pPr>
          </w:p>
        </w:tc>
        <w:tc>
          <w:tcPr>
            <w:tcW w:w="503" w:type="pct"/>
            <w:tcBorders>
              <w:left w:val="nil"/>
              <w:right w:val="nil"/>
            </w:tcBorders>
            <w:vAlign w:val="center"/>
          </w:tcPr>
          <w:p w14:paraId="62830738" w14:textId="77777777" w:rsidR="00564178" w:rsidRPr="00564178" w:rsidRDefault="00564178" w:rsidP="004A70B3">
            <w:pPr>
              <w:pStyle w:val="AralkYok"/>
              <w:rPr>
                <w:rFonts w:ascii="Times New Roman" w:hAnsi="Times New Roman"/>
                <w:sz w:val="20"/>
                <w:szCs w:val="20"/>
                <w:lang w:val="en-US"/>
              </w:rPr>
            </w:pPr>
          </w:p>
        </w:tc>
        <w:tc>
          <w:tcPr>
            <w:tcW w:w="473" w:type="pct"/>
            <w:tcBorders>
              <w:left w:val="nil"/>
              <w:right w:val="nil"/>
            </w:tcBorders>
            <w:vAlign w:val="center"/>
          </w:tcPr>
          <w:p w14:paraId="57B8CE6D" w14:textId="77777777" w:rsidR="00564178" w:rsidRPr="00564178" w:rsidRDefault="00564178" w:rsidP="004A70B3">
            <w:pPr>
              <w:pStyle w:val="AralkYok"/>
              <w:rPr>
                <w:rFonts w:ascii="Times New Roman" w:hAnsi="Times New Roman"/>
                <w:sz w:val="20"/>
                <w:szCs w:val="20"/>
                <w:lang w:val="en-US"/>
              </w:rPr>
            </w:pPr>
          </w:p>
        </w:tc>
      </w:tr>
      <w:tr w:rsidR="004A70B3" w:rsidRPr="00564178" w14:paraId="4EBEC8D5" w14:textId="77777777" w:rsidTr="004A70B3">
        <w:trPr>
          <w:cantSplit/>
          <w:trHeight w:val="361"/>
          <w:jc w:val="center"/>
        </w:trPr>
        <w:tc>
          <w:tcPr>
            <w:tcW w:w="2544" w:type="pct"/>
            <w:tcBorders>
              <w:left w:val="nil"/>
              <w:right w:val="nil"/>
            </w:tcBorders>
            <w:shd w:val="clear" w:color="auto" w:fill="auto"/>
            <w:vAlign w:val="center"/>
          </w:tcPr>
          <w:p w14:paraId="4EC42A1F"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3.IPAQ Walking MET-min/week</w:t>
            </w:r>
          </w:p>
        </w:tc>
        <w:tc>
          <w:tcPr>
            <w:tcW w:w="493" w:type="pct"/>
            <w:tcBorders>
              <w:left w:val="nil"/>
              <w:right w:val="nil"/>
            </w:tcBorders>
            <w:shd w:val="clear" w:color="auto" w:fill="auto"/>
            <w:noWrap/>
            <w:vAlign w:val="center"/>
          </w:tcPr>
          <w:p w14:paraId="5690CFB6"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0.430</w:t>
            </w:r>
            <w:r w:rsidRPr="00564178">
              <w:rPr>
                <w:rFonts w:ascii="Times New Roman" w:hAnsi="Times New Roman"/>
                <w:sz w:val="20"/>
                <w:szCs w:val="20"/>
                <w:vertAlign w:val="superscript"/>
                <w:lang w:val="en-US"/>
              </w:rPr>
              <w:t>***</w:t>
            </w:r>
          </w:p>
        </w:tc>
        <w:tc>
          <w:tcPr>
            <w:tcW w:w="491" w:type="pct"/>
            <w:tcBorders>
              <w:left w:val="nil"/>
              <w:right w:val="nil"/>
            </w:tcBorders>
            <w:vAlign w:val="center"/>
          </w:tcPr>
          <w:p w14:paraId="0C7D5AE7"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0.213</w:t>
            </w:r>
            <w:r w:rsidRPr="00564178">
              <w:rPr>
                <w:rFonts w:ascii="Times New Roman" w:hAnsi="Times New Roman"/>
                <w:sz w:val="20"/>
                <w:szCs w:val="20"/>
                <w:vertAlign w:val="superscript"/>
                <w:lang w:val="en-US"/>
              </w:rPr>
              <w:t>***</w:t>
            </w:r>
          </w:p>
        </w:tc>
        <w:tc>
          <w:tcPr>
            <w:tcW w:w="496" w:type="pct"/>
            <w:tcBorders>
              <w:left w:val="nil"/>
              <w:right w:val="nil"/>
            </w:tcBorders>
            <w:vAlign w:val="center"/>
          </w:tcPr>
          <w:p w14:paraId="401504F8"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1</w:t>
            </w:r>
          </w:p>
        </w:tc>
        <w:tc>
          <w:tcPr>
            <w:tcW w:w="503" w:type="pct"/>
            <w:tcBorders>
              <w:left w:val="nil"/>
              <w:right w:val="nil"/>
            </w:tcBorders>
            <w:vAlign w:val="center"/>
          </w:tcPr>
          <w:p w14:paraId="016C68A7" w14:textId="77777777" w:rsidR="00564178" w:rsidRPr="00564178" w:rsidRDefault="00564178" w:rsidP="004A70B3">
            <w:pPr>
              <w:pStyle w:val="AralkYok"/>
              <w:rPr>
                <w:rFonts w:ascii="Times New Roman" w:hAnsi="Times New Roman"/>
                <w:sz w:val="20"/>
                <w:szCs w:val="20"/>
                <w:lang w:val="en-US"/>
              </w:rPr>
            </w:pPr>
          </w:p>
        </w:tc>
        <w:tc>
          <w:tcPr>
            <w:tcW w:w="473" w:type="pct"/>
            <w:tcBorders>
              <w:left w:val="nil"/>
              <w:right w:val="nil"/>
            </w:tcBorders>
            <w:vAlign w:val="center"/>
          </w:tcPr>
          <w:p w14:paraId="36F777E1" w14:textId="77777777" w:rsidR="00564178" w:rsidRPr="00564178" w:rsidRDefault="00564178" w:rsidP="004A70B3">
            <w:pPr>
              <w:pStyle w:val="AralkYok"/>
              <w:rPr>
                <w:rFonts w:ascii="Times New Roman" w:hAnsi="Times New Roman"/>
                <w:sz w:val="20"/>
                <w:szCs w:val="20"/>
                <w:lang w:val="en-US"/>
              </w:rPr>
            </w:pPr>
          </w:p>
        </w:tc>
      </w:tr>
      <w:tr w:rsidR="004A70B3" w:rsidRPr="00564178" w14:paraId="150FB307" w14:textId="77777777" w:rsidTr="004A70B3">
        <w:trPr>
          <w:cantSplit/>
          <w:trHeight w:val="361"/>
          <w:jc w:val="center"/>
        </w:trPr>
        <w:tc>
          <w:tcPr>
            <w:tcW w:w="2544" w:type="pct"/>
            <w:tcBorders>
              <w:left w:val="nil"/>
              <w:right w:val="nil"/>
            </w:tcBorders>
            <w:shd w:val="clear" w:color="auto" w:fill="auto"/>
            <w:vAlign w:val="center"/>
          </w:tcPr>
          <w:p w14:paraId="082B6D5F" w14:textId="77777777" w:rsidR="00564178" w:rsidRPr="00564178" w:rsidRDefault="00564178" w:rsidP="004A70B3">
            <w:pPr>
              <w:pStyle w:val="AralkYok"/>
              <w:rPr>
                <w:rFonts w:ascii="Times New Roman" w:hAnsi="Times New Roman"/>
                <w:sz w:val="20"/>
                <w:szCs w:val="20"/>
                <w:u w:val="double"/>
                <w:lang w:val="en-US"/>
              </w:rPr>
            </w:pPr>
            <w:r w:rsidRPr="00564178">
              <w:rPr>
                <w:rFonts w:ascii="Times New Roman" w:hAnsi="Times New Roman"/>
                <w:sz w:val="20"/>
                <w:szCs w:val="20"/>
                <w:lang w:val="en-US"/>
              </w:rPr>
              <w:t>4.IPAQ Total MET-min/week</w:t>
            </w:r>
          </w:p>
        </w:tc>
        <w:tc>
          <w:tcPr>
            <w:tcW w:w="493" w:type="pct"/>
            <w:tcBorders>
              <w:left w:val="nil"/>
              <w:right w:val="nil"/>
            </w:tcBorders>
            <w:shd w:val="clear" w:color="auto" w:fill="auto"/>
            <w:noWrap/>
            <w:vAlign w:val="center"/>
          </w:tcPr>
          <w:p w14:paraId="050F8EC3"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0.768</w:t>
            </w:r>
            <w:r w:rsidRPr="00564178">
              <w:rPr>
                <w:rFonts w:ascii="Times New Roman" w:hAnsi="Times New Roman"/>
                <w:sz w:val="20"/>
                <w:szCs w:val="20"/>
                <w:vertAlign w:val="superscript"/>
                <w:lang w:val="en-US"/>
              </w:rPr>
              <w:t>***</w:t>
            </w:r>
          </w:p>
        </w:tc>
        <w:tc>
          <w:tcPr>
            <w:tcW w:w="491" w:type="pct"/>
            <w:tcBorders>
              <w:left w:val="nil"/>
              <w:right w:val="nil"/>
            </w:tcBorders>
            <w:vAlign w:val="center"/>
          </w:tcPr>
          <w:p w14:paraId="40E479A0"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0.564</w:t>
            </w:r>
            <w:r w:rsidRPr="00564178">
              <w:rPr>
                <w:rFonts w:ascii="Times New Roman" w:hAnsi="Times New Roman"/>
                <w:sz w:val="20"/>
                <w:szCs w:val="20"/>
                <w:vertAlign w:val="superscript"/>
                <w:lang w:val="en-US"/>
              </w:rPr>
              <w:t>***</w:t>
            </w:r>
          </w:p>
        </w:tc>
        <w:tc>
          <w:tcPr>
            <w:tcW w:w="496" w:type="pct"/>
            <w:tcBorders>
              <w:left w:val="nil"/>
              <w:right w:val="nil"/>
            </w:tcBorders>
            <w:vAlign w:val="center"/>
          </w:tcPr>
          <w:p w14:paraId="181ABE1A"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0.831</w:t>
            </w:r>
            <w:r w:rsidRPr="00564178">
              <w:rPr>
                <w:rFonts w:ascii="Times New Roman" w:hAnsi="Times New Roman"/>
                <w:sz w:val="20"/>
                <w:szCs w:val="20"/>
                <w:vertAlign w:val="superscript"/>
                <w:lang w:val="en-US"/>
              </w:rPr>
              <w:t>***</w:t>
            </w:r>
          </w:p>
        </w:tc>
        <w:tc>
          <w:tcPr>
            <w:tcW w:w="503" w:type="pct"/>
            <w:tcBorders>
              <w:left w:val="nil"/>
              <w:right w:val="nil"/>
            </w:tcBorders>
            <w:vAlign w:val="center"/>
          </w:tcPr>
          <w:p w14:paraId="54FBB027"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1</w:t>
            </w:r>
          </w:p>
        </w:tc>
        <w:tc>
          <w:tcPr>
            <w:tcW w:w="473" w:type="pct"/>
            <w:tcBorders>
              <w:left w:val="nil"/>
              <w:right w:val="nil"/>
            </w:tcBorders>
            <w:vAlign w:val="center"/>
          </w:tcPr>
          <w:p w14:paraId="56A1B7A9" w14:textId="77777777" w:rsidR="00564178" w:rsidRPr="00564178" w:rsidRDefault="00564178" w:rsidP="004A70B3">
            <w:pPr>
              <w:pStyle w:val="AralkYok"/>
              <w:rPr>
                <w:rFonts w:ascii="Times New Roman" w:hAnsi="Times New Roman"/>
                <w:sz w:val="20"/>
                <w:szCs w:val="20"/>
                <w:lang w:val="en-US"/>
              </w:rPr>
            </w:pPr>
          </w:p>
        </w:tc>
      </w:tr>
      <w:tr w:rsidR="004A70B3" w:rsidRPr="00564178" w14:paraId="5BF4C341" w14:textId="77777777" w:rsidTr="004A70B3">
        <w:trPr>
          <w:cantSplit/>
          <w:trHeight w:val="69"/>
          <w:jc w:val="center"/>
        </w:trPr>
        <w:tc>
          <w:tcPr>
            <w:tcW w:w="2544" w:type="pct"/>
            <w:tcBorders>
              <w:left w:val="nil"/>
              <w:bottom w:val="single" w:sz="4" w:space="0" w:color="auto"/>
              <w:right w:val="nil"/>
            </w:tcBorders>
            <w:shd w:val="clear" w:color="auto" w:fill="auto"/>
            <w:vAlign w:val="center"/>
          </w:tcPr>
          <w:p w14:paraId="1653C4D9"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5.Percieved Stress Scale Score</w:t>
            </w:r>
          </w:p>
        </w:tc>
        <w:tc>
          <w:tcPr>
            <w:tcW w:w="493" w:type="pct"/>
            <w:tcBorders>
              <w:left w:val="nil"/>
              <w:bottom w:val="single" w:sz="4" w:space="0" w:color="auto"/>
              <w:right w:val="nil"/>
            </w:tcBorders>
            <w:shd w:val="clear" w:color="auto" w:fill="auto"/>
            <w:noWrap/>
            <w:vAlign w:val="center"/>
          </w:tcPr>
          <w:p w14:paraId="26B3803E"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-0.160</w:t>
            </w:r>
            <w:r w:rsidRPr="00564178">
              <w:rPr>
                <w:rFonts w:ascii="Times New Roman" w:hAnsi="Times New Roman"/>
                <w:sz w:val="20"/>
                <w:szCs w:val="20"/>
                <w:vertAlign w:val="superscript"/>
                <w:lang w:val="en-US"/>
              </w:rPr>
              <w:t>**</w:t>
            </w:r>
          </w:p>
        </w:tc>
        <w:tc>
          <w:tcPr>
            <w:tcW w:w="491" w:type="pct"/>
            <w:tcBorders>
              <w:left w:val="nil"/>
              <w:bottom w:val="single" w:sz="4" w:space="0" w:color="auto"/>
              <w:right w:val="nil"/>
            </w:tcBorders>
            <w:vAlign w:val="center"/>
          </w:tcPr>
          <w:p w14:paraId="4F4B81F8"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-0.039</w:t>
            </w:r>
          </w:p>
        </w:tc>
        <w:tc>
          <w:tcPr>
            <w:tcW w:w="496" w:type="pct"/>
            <w:tcBorders>
              <w:left w:val="nil"/>
              <w:bottom w:val="single" w:sz="4" w:space="0" w:color="auto"/>
              <w:right w:val="nil"/>
            </w:tcBorders>
            <w:vAlign w:val="center"/>
          </w:tcPr>
          <w:p w14:paraId="1EC5F0D2"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-0.130</w:t>
            </w:r>
            <w:r w:rsidRPr="00564178">
              <w:rPr>
                <w:rFonts w:ascii="Times New Roman" w:hAnsi="Times New Roman"/>
                <w:sz w:val="20"/>
                <w:szCs w:val="20"/>
                <w:vertAlign w:val="superscript"/>
                <w:lang w:val="en-US"/>
              </w:rPr>
              <w:t>*</w:t>
            </w:r>
          </w:p>
        </w:tc>
        <w:tc>
          <w:tcPr>
            <w:tcW w:w="503" w:type="pct"/>
            <w:tcBorders>
              <w:left w:val="nil"/>
              <w:bottom w:val="single" w:sz="4" w:space="0" w:color="auto"/>
              <w:right w:val="nil"/>
            </w:tcBorders>
            <w:vAlign w:val="center"/>
          </w:tcPr>
          <w:p w14:paraId="2AB46715"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-0.157</w:t>
            </w:r>
            <w:r w:rsidRPr="00564178">
              <w:rPr>
                <w:rFonts w:ascii="Times New Roman" w:hAnsi="Times New Roman"/>
                <w:sz w:val="20"/>
                <w:szCs w:val="20"/>
                <w:vertAlign w:val="superscript"/>
                <w:lang w:val="en-US"/>
              </w:rPr>
              <w:t>**</w:t>
            </w:r>
          </w:p>
        </w:tc>
        <w:tc>
          <w:tcPr>
            <w:tcW w:w="473" w:type="pct"/>
            <w:tcBorders>
              <w:left w:val="nil"/>
              <w:bottom w:val="single" w:sz="4" w:space="0" w:color="auto"/>
              <w:right w:val="nil"/>
            </w:tcBorders>
            <w:vAlign w:val="center"/>
          </w:tcPr>
          <w:p w14:paraId="65E34C58" w14:textId="77777777" w:rsidR="00564178" w:rsidRPr="00564178" w:rsidRDefault="00564178" w:rsidP="004A70B3">
            <w:pPr>
              <w:pStyle w:val="AralkYok"/>
              <w:rPr>
                <w:rFonts w:ascii="Times New Roman" w:hAnsi="Times New Roman"/>
                <w:sz w:val="20"/>
                <w:szCs w:val="20"/>
                <w:lang w:val="en-US"/>
              </w:rPr>
            </w:pPr>
            <w:r w:rsidRPr="00564178">
              <w:rPr>
                <w:rFonts w:ascii="Times New Roman" w:hAnsi="Times New Roman"/>
                <w:sz w:val="20"/>
                <w:szCs w:val="20"/>
                <w:lang w:val="en-US"/>
              </w:rPr>
              <w:t>1</w:t>
            </w:r>
          </w:p>
        </w:tc>
      </w:tr>
    </w:tbl>
    <w:p w14:paraId="57F3750B" w14:textId="77777777" w:rsidR="00564178" w:rsidRPr="00564178" w:rsidRDefault="00564178" w:rsidP="004A70B3">
      <w:pPr>
        <w:pStyle w:val="AralkYok"/>
        <w:rPr>
          <w:rFonts w:ascii="Times New Roman" w:hAnsi="Times New Roman"/>
          <w:sz w:val="18"/>
          <w:szCs w:val="18"/>
          <w:lang w:val="en-US"/>
        </w:rPr>
      </w:pPr>
      <w:r w:rsidRPr="00564178">
        <w:rPr>
          <w:rFonts w:ascii="Times New Roman" w:hAnsi="Times New Roman"/>
          <w:sz w:val="18"/>
          <w:szCs w:val="18"/>
          <w:lang w:val="en-US"/>
        </w:rPr>
        <w:t xml:space="preserve">*p&lt;0.05, **p&lt;0.01, ***p&lt;0.001, </w:t>
      </w:r>
      <w:r w:rsidRPr="00564178">
        <w:rPr>
          <w:rFonts w:ascii="Times New Roman" w:hAnsi="Times New Roman"/>
          <w:iCs/>
          <w:sz w:val="18"/>
          <w:szCs w:val="18"/>
          <w:lang w:val="en-US"/>
        </w:rPr>
        <w:t>Spearman's rho Correlation Coefficient</w:t>
      </w:r>
    </w:p>
    <w:p w14:paraId="6DB94913" w14:textId="77777777" w:rsidR="00564178" w:rsidRDefault="00564178" w:rsidP="004A70B3">
      <w:pPr>
        <w:autoSpaceDE w:val="0"/>
        <w:autoSpaceDN w:val="0"/>
        <w:adjustRightInd w:val="0"/>
        <w:spacing w:after="0"/>
        <w:jc w:val="both"/>
        <w:rPr>
          <w:rFonts w:ascii="Times New Roman" w:hAnsi="Times New Roman" w:cs="Times New Roman"/>
          <w:sz w:val="24"/>
          <w:szCs w:val="24"/>
          <w:lang w:val="en-GB"/>
        </w:rPr>
      </w:pPr>
    </w:p>
    <w:p w14:paraId="31DE1E6F" w14:textId="27DAF18F" w:rsidR="00564178" w:rsidRDefault="00564178" w:rsidP="004A70B3">
      <w:pPr>
        <w:autoSpaceDE w:val="0"/>
        <w:autoSpaceDN w:val="0"/>
        <w:adjustRightInd w:val="0"/>
        <w:spacing w:before="240" w:after="0"/>
        <w:jc w:val="both"/>
        <w:rPr>
          <w:rFonts w:ascii="Times New Roman" w:hAnsi="Times New Roman" w:cs="Times New Roman"/>
          <w:sz w:val="24"/>
          <w:szCs w:val="24"/>
          <w:lang w:val="en-GB"/>
        </w:rPr>
      </w:pPr>
      <w:r w:rsidRPr="00564178">
        <w:rPr>
          <w:rFonts w:ascii="Times New Roman" w:hAnsi="Times New Roman" w:cs="Times New Roman"/>
          <w:sz w:val="24"/>
          <w:szCs w:val="24"/>
          <w:lang w:val="en-GB"/>
        </w:rPr>
        <w:t>It was examined whether there was a difference between the answers to the barrier and motivation items for exercise before and during COVID-19 pandemic, and the results are presented in the tables and charts below (</w:t>
      </w:r>
      <w:r w:rsidR="00A928AB">
        <w:rPr>
          <w:rFonts w:ascii="Times New Roman" w:hAnsi="Times New Roman" w:cs="Times New Roman"/>
          <w:sz w:val="24"/>
          <w:szCs w:val="24"/>
          <w:lang w:val="en-GB"/>
        </w:rPr>
        <w:t>Figure</w:t>
      </w:r>
      <w:r w:rsidRPr="00564178">
        <w:rPr>
          <w:rFonts w:ascii="Times New Roman" w:hAnsi="Times New Roman" w:cs="Times New Roman"/>
          <w:sz w:val="24"/>
          <w:szCs w:val="24"/>
          <w:lang w:val="en-GB"/>
        </w:rPr>
        <w:t xml:space="preserve"> 1</w:t>
      </w:r>
      <w:r w:rsidR="00A928AB">
        <w:rPr>
          <w:rFonts w:ascii="Times New Roman" w:hAnsi="Times New Roman" w:cs="Times New Roman"/>
          <w:sz w:val="24"/>
          <w:szCs w:val="24"/>
          <w:lang w:val="en-GB"/>
        </w:rPr>
        <w:t xml:space="preserve"> and </w:t>
      </w:r>
      <w:r w:rsidRPr="00564178">
        <w:rPr>
          <w:rFonts w:ascii="Times New Roman" w:hAnsi="Times New Roman" w:cs="Times New Roman"/>
          <w:sz w:val="24"/>
          <w:szCs w:val="24"/>
          <w:lang w:val="en-GB"/>
        </w:rPr>
        <w:t>2).</w:t>
      </w:r>
    </w:p>
    <w:p w14:paraId="297E414F" w14:textId="7AA95A80" w:rsidR="00A928AB" w:rsidRPr="008E3342" w:rsidRDefault="00A928AB" w:rsidP="004A70B3">
      <w:pPr>
        <w:pStyle w:val="Balk1"/>
        <w:spacing w:before="240"/>
        <w:rPr>
          <w:b w:val="0"/>
          <w:bCs/>
          <w:iCs/>
          <w:lang w:val="en-US"/>
        </w:rPr>
      </w:pPr>
      <w:proofErr w:type="gramStart"/>
      <w:r>
        <w:rPr>
          <w:sz w:val="20"/>
          <w:lang w:val="en-US"/>
        </w:rPr>
        <w:t>Figure</w:t>
      </w:r>
      <w:r w:rsidRPr="008E3342">
        <w:rPr>
          <w:sz w:val="20"/>
          <w:lang w:val="en-US"/>
        </w:rPr>
        <w:t xml:space="preserve"> 1.</w:t>
      </w:r>
      <w:proofErr w:type="gramEnd"/>
      <w:r w:rsidRPr="008E3342">
        <w:rPr>
          <w:sz w:val="20"/>
          <w:lang w:val="en-US"/>
        </w:rPr>
        <w:t xml:space="preserve"> </w:t>
      </w:r>
      <w:r w:rsidRPr="008E3342">
        <w:rPr>
          <w:b w:val="0"/>
          <w:bCs/>
          <w:sz w:val="20"/>
          <w:lang w:val="en-US"/>
        </w:rPr>
        <w:t xml:space="preserve">Distribution of “Yes” Responses to Barriers to Exercise Items Before and During </w:t>
      </w:r>
      <w:r w:rsidRPr="00AF5667">
        <w:rPr>
          <w:b w:val="0"/>
          <w:bCs/>
          <w:sz w:val="20"/>
          <w:lang w:val="en-US"/>
        </w:rPr>
        <w:t xml:space="preserve">COVID-19 </w:t>
      </w:r>
      <w:r w:rsidRPr="008E3342">
        <w:rPr>
          <w:b w:val="0"/>
          <w:bCs/>
          <w:sz w:val="20"/>
          <w:lang w:val="en-US"/>
        </w:rPr>
        <w:t>Pandemic</w:t>
      </w:r>
    </w:p>
    <w:p w14:paraId="6B9C2DEB" w14:textId="218A5DA9" w:rsidR="00A928AB" w:rsidRPr="008E3342" w:rsidRDefault="00A928AB" w:rsidP="004A70B3">
      <w:pPr>
        <w:pStyle w:val="AralkYok"/>
        <w:rPr>
          <w:lang w:val="en-US"/>
        </w:rPr>
      </w:pPr>
      <w:r w:rsidRPr="008E3342">
        <w:rPr>
          <w:noProof/>
          <w:lang w:eastAsia="tr-TR"/>
        </w:rPr>
        <mc:AlternateContent>
          <mc:Choice Requires="wps">
            <w:drawing>
              <wp:anchor distT="0" distB="0" distL="114300" distR="114300" simplePos="0" relativeHeight="251659264" behindDoc="0" locked="0" layoutInCell="1" allowOverlap="1" wp14:anchorId="573F1CA5" wp14:editId="18697E34">
                <wp:simplePos x="0" y="0"/>
                <wp:positionH relativeFrom="column">
                  <wp:posOffset>2506345</wp:posOffset>
                </wp:positionH>
                <wp:positionV relativeFrom="paragraph">
                  <wp:posOffset>890270</wp:posOffset>
                </wp:positionV>
                <wp:extent cx="415925" cy="104140"/>
                <wp:effectExtent l="3493" t="129857" r="25717" b="25718"/>
                <wp:wrapNone/>
                <wp:docPr id="2" name="Bağlayıcı: Dirsek 4"/>
                <wp:cNvGraphicFramePr/>
                <a:graphic xmlns:a="http://schemas.openxmlformats.org/drawingml/2006/main">
                  <a:graphicData uri="http://schemas.microsoft.com/office/word/2010/wordprocessingShape">
                    <wps:wsp>
                      <wps:cNvCnPr/>
                      <wps:spPr>
                        <a:xfrm rot="5400000" flipH="1">
                          <a:off x="0" y="0"/>
                          <a:ext cx="415925" cy="104140"/>
                        </a:xfrm>
                        <a:prstGeom prst="bentConnector3">
                          <a:avLst>
                            <a:gd name="adj1" fmla="val 132034"/>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4" o:spid="_x0000_s1026" type="#_x0000_t34" style="position:absolute;margin-left:197.35pt;margin-top:70.1pt;width:32.75pt;height:8.2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" adj="28519" strokecolor="black [3200]"/>
            </w:pict>
          </mc:Fallback>
        </mc:AlternateContent>
      </w:r>
      <w:r w:rsidRPr="008E3342">
        <w:rPr>
          <w:noProof/>
          <w:lang w:eastAsia="tr-TR"/>
        </w:rPr>
        <mc:AlternateContent>
          <mc:Choice Requires="wps">
            <w:drawing>
              <wp:anchor distT="0" distB="0" distL="114300" distR="114300" simplePos="0" relativeHeight="251660288" behindDoc="0" locked="0" layoutInCell="1" allowOverlap="1" wp14:anchorId="7CAFC25D" wp14:editId="555AD350">
                <wp:simplePos x="0" y="0"/>
                <wp:positionH relativeFrom="column">
                  <wp:posOffset>2600755</wp:posOffset>
                </wp:positionH>
                <wp:positionV relativeFrom="paragraph">
                  <wp:posOffset>392933</wp:posOffset>
                </wp:positionV>
                <wp:extent cx="212090" cy="193040"/>
                <wp:effectExtent l="0" t="0" r="0" b="0"/>
                <wp:wrapNone/>
                <wp:docPr id="6" name="Metin kutusu 25"/>
                <wp:cNvGraphicFramePr/>
                <a:graphic xmlns:a="http://schemas.openxmlformats.org/drawingml/2006/main">
                  <a:graphicData uri="http://schemas.microsoft.com/office/word/2010/wordprocessingShape">
                    <wps:wsp>
                      <wps:cNvSpPr txBox="1"/>
                      <wps:spPr>
                        <a:xfrm>
                          <a:off x="0" y="0"/>
                          <a:ext cx="212090" cy="193040"/>
                        </a:xfrm>
                        <a:prstGeom prst="rect">
                          <a:avLst/>
                        </a:prstGeom>
                      </wps:spPr>
                      <wps:txbx>
                        <w:txbxContent>
                          <w:p w14:paraId="6E7093C0" w14:textId="77777777" w:rsidR="00A928AB" w:rsidRDefault="00A928AB" w:rsidP="00A928AB">
                            <w:pPr>
                              <w:rPr>
                                <w:rFonts w:hAnsi="Calibri"/>
                              </w:rPr>
                            </w:pPr>
                            <w:r>
                              <w:rPr>
                                <w:rFonts w:hAnsi="Calibri"/>
                              </w:rPr>
                              <w:t>*</w:t>
                            </w:r>
                          </w:p>
                        </w:txbxContent>
                      </wps:txbx>
                      <wps:bodyPr vertOverflow="clip"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5" o:spid="_x0000_s1026" type="#_x0000_t202" style="position:absolute;margin-left:204.8pt;margin-top:30.95pt;width:16.7pt;height:15.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" filled="f" stroked="f">
                <v:textbox>
                  <w:txbxContent>
                    <w:p w14:paraId="6E7093C0" w14:textId="77777777" w:rsidR="00A928AB" w:rsidRDefault="00A928AB" w:rsidP="00A928AB">
                      <w:pPr>
                        <w:rPr>
                          <w:rFonts w:hAnsi="Calibri"/>
                        </w:rPr>
                      </w:pPr>
                      <w:r>
                        <w:rPr>
                          <w:rFonts w:hAnsi="Calibri"/>
                        </w:rPr>
                        <w:t>*</w:t>
                      </w:r>
                    </w:p>
                  </w:txbxContent>
                </v:textbox>
              </v:shape>
            </w:pict>
          </mc:Fallback>
        </mc:AlternateContent>
      </w:r>
      <w:r w:rsidRPr="008E3342">
        <w:rPr>
          <w:noProof/>
          <w:lang w:eastAsia="tr-TR"/>
        </w:rPr>
        <w:drawing>
          <wp:inline distT="0" distB="0" distL="0" distR="0" wp14:anchorId="0996D96A" wp14:editId="612F69EC">
            <wp:extent cx="5762847" cy="2987749"/>
            <wp:effectExtent l="0" t="0" r="9525" b="22225"/>
            <wp:docPr id="1"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C673A7C-36AE-414A-B976-0A25904CB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2B2A3C" w14:textId="77777777" w:rsidR="00A928AB" w:rsidRDefault="00A928AB" w:rsidP="004A70B3">
      <w:pPr>
        <w:spacing w:before="240"/>
        <w:jc w:val="both"/>
        <w:rPr>
          <w:rFonts w:ascii="Times New Roman" w:hAnsi="Times New Roman" w:cs="Times New Roman"/>
          <w:bCs/>
          <w:iCs/>
          <w:lang w:val="en-US"/>
        </w:rPr>
      </w:pPr>
      <w:r w:rsidRPr="00A928AB">
        <w:rPr>
          <w:rFonts w:ascii="Times New Roman" w:hAnsi="Times New Roman" w:cs="Times New Roman"/>
          <w:bCs/>
          <w:iCs/>
          <w:lang w:val="en-US"/>
        </w:rPr>
        <w:lastRenderedPageBreak/>
        <w:t xml:space="preserve">As a result of the </w:t>
      </w:r>
      <w:proofErr w:type="spellStart"/>
      <w:r w:rsidRPr="00A928AB">
        <w:rPr>
          <w:rFonts w:ascii="Times New Roman" w:hAnsi="Times New Roman" w:cs="Times New Roman"/>
          <w:bCs/>
          <w:iCs/>
          <w:lang w:val="en-US"/>
        </w:rPr>
        <w:t>McNemar</w:t>
      </w:r>
      <w:proofErr w:type="spellEnd"/>
      <w:r w:rsidRPr="00A928AB">
        <w:rPr>
          <w:rFonts w:ascii="Times New Roman" w:hAnsi="Times New Roman" w:cs="Times New Roman"/>
          <w:bCs/>
          <w:iCs/>
          <w:lang w:val="en-US"/>
        </w:rPr>
        <w:t xml:space="preserve"> test, it was seen that there was a statistically significant difference between the yes answer given by the participants to the statement "insufficient finances" before (14.5%) and during COVID-19 pandemic (8.0%)  </w:t>
      </w:r>
      <w:proofErr w:type="gramStart"/>
      <w:r w:rsidRPr="00A928AB">
        <w:rPr>
          <w:rFonts w:ascii="Times New Roman" w:hAnsi="Times New Roman" w:cs="Times New Roman"/>
          <w:bCs/>
          <w:iCs/>
          <w:lang w:val="en-US"/>
        </w:rPr>
        <w:t>(p&lt;0.05).</w:t>
      </w:r>
      <w:proofErr w:type="gramEnd"/>
      <w:r>
        <w:rPr>
          <w:rFonts w:ascii="Times New Roman" w:hAnsi="Times New Roman" w:cs="Times New Roman"/>
          <w:bCs/>
          <w:iCs/>
          <w:lang w:val="en-US"/>
        </w:rPr>
        <w:t xml:space="preserve"> </w:t>
      </w:r>
    </w:p>
    <w:p w14:paraId="315C04E0" w14:textId="3D28E195" w:rsidR="00A928AB" w:rsidRPr="008E3342" w:rsidRDefault="00A928AB" w:rsidP="004A70B3">
      <w:pPr>
        <w:pStyle w:val="Balk1"/>
        <w:spacing w:before="240"/>
        <w:rPr>
          <w:sz w:val="20"/>
          <w:lang w:val="en-US"/>
        </w:rPr>
      </w:pPr>
      <w:proofErr w:type="gramStart"/>
      <w:r>
        <w:rPr>
          <w:sz w:val="20"/>
          <w:lang w:val="en-US"/>
        </w:rPr>
        <w:t>Figure</w:t>
      </w:r>
      <w:r w:rsidRPr="008E3342">
        <w:rPr>
          <w:sz w:val="20"/>
          <w:lang w:val="en-US"/>
        </w:rPr>
        <w:t xml:space="preserve"> 2.</w:t>
      </w:r>
      <w:proofErr w:type="gramEnd"/>
      <w:r w:rsidRPr="008E3342">
        <w:rPr>
          <w:sz w:val="20"/>
          <w:lang w:val="en-US"/>
        </w:rPr>
        <w:t xml:space="preserve"> </w:t>
      </w:r>
      <w:r w:rsidRPr="008E3342">
        <w:rPr>
          <w:b w:val="0"/>
          <w:bCs/>
          <w:sz w:val="20"/>
          <w:lang w:val="en-US"/>
        </w:rPr>
        <w:t xml:space="preserve">Distribution of “Yes” Responses to Motivators to Exercise Items Before and During </w:t>
      </w:r>
      <w:r w:rsidRPr="00AF5667">
        <w:rPr>
          <w:b w:val="0"/>
          <w:bCs/>
          <w:sz w:val="20"/>
          <w:lang w:val="en-US"/>
        </w:rPr>
        <w:t xml:space="preserve">COVID-19 </w:t>
      </w:r>
      <w:r w:rsidRPr="008E3342">
        <w:rPr>
          <w:b w:val="0"/>
          <w:bCs/>
          <w:sz w:val="20"/>
          <w:lang w:val="en-US"/>
        </w:rPr>
        <w:t>Pandemic</w:t>
      </w:r>
    </w:p>
    <w:p w14:paraId="3233C2F8" w14:textId="77777777" w:rsidR="00A928AB" w:rsidRPr="008E3342" w:rsidRDefault="00A928AB" w:rsidP="004A70B3">
      <w:pPr>
        <w:pStyle w:val="Balk1"/>
        <w:rPr>
          <w:lang w:val="en-US"/>
        </w:rPr>
      </w:pPr>
      <w:r w:rsidRPr="008E3342">
        <w:rPr>
          <w:noProof/>
        </w:rPr>
        <mc:AlternateContent>
          <mc:Choice Requires="wps">
            <w:drawing>
              <wp:anchor distT="0" distB="0" distL="114300" distR="114300" simplePos="0" relativeHeight="251663360" behindDoc="0" locked="0" layoutInCell="1" allowOverlap="1" wp14:anchorId="43B17947" wp14:editId="0A86733C">
                <wp:simplePos x="0" y="0"/>
                <wp:positionH relativeFrom="column">
                  <wp:posOffset>1157833</wp:posOffset>
                </wp:positionH>
                <wp:positionV relativeFrom="paragraph">
                  <wp:posOffset>1184275</wp:posOffset>
                </wp:positionV>
                <wp:extent cx="212090" cy="259715"/>
                <wp:effectExtent l="0" t="0" r="0" b="0"/>
                <wp:wrapNone/>
                <wp:docPr id="3" name="Metin kutusu 25"/>
                <wp:cNvGraphicFramePr/>
                <a:graphic xmlns:a="http://schemas.openxmlformats.org/drawingml/2006/main">
                  <a:graphicData uri="http://schemas.microsoft.com/office/word/2010/wordprocessingShape">
                    <wps:wsp>
                      <wps:cNvSpPr txBox="1"/>
                      <wps:spPr>
                        <a:xfrm>
                          <a:off x="0" y="0"/>
                          <a:ext cx="212090" cy="259715"/>
                        </a:xfrm>
                        <a:prstGeom prst="rect">
                          <a:avLst/>
                        </a:prstGeom>
                      </wps:spPr>
                      <wps:txbx>
                        <w:txbxContent>
                          <w:p w14:paraId="2F530B78" w14:textId="77777777" w:rsidR="00A928AB" w:rsidRDefault="00A928AB" w:rsidP="00A928AB">
                            <w:pPr>
                              <w:rPr>
                                <w:rFonts w:hAnsi="Calibri"/>
                              </w:rPr>
                            </w:pPr>
                            <w:r>
                              <w:rPr>
                                <w:rFonts w:hAnsi="Calibri"/>
                              </w:rPr>
                              <w:t>*</w:t>
                            </w:r>
                          </w:p>
                        </w:txbxContent>
                      </wps:txbx>
                      <wps:bodyPr vertOverflow="clip" wrap="square" rtlCol="0">
                        <a:noAutofit/>
                      </wps:bodyPr>
                    </wps:wsp>
                  </a:graphicData>
                </a:graphic>
                <wp14:sizeRelV relativeFrom="margin">
                  <wp14:pctHeight>0</wp14:pctHeight>
                </wp14:sizeRelV>
              </wp:anchor>
            </w:drawing>
          </mc:Choice>
          <mc:Fallback>
            <w:pict>
              <v:shape id="_x0000_s1027" type="#_x0000_t202" style="position:absolute;margin-left:91.15pt;margin-top:93.25pt;width:16.7pt;height:20.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" filled="f" stroked="f">
                <v:textbox>
                  <w:txbxContent>
                    <w:p w14:paraId="2F530B78" w14:textId="77777777" w:rsidR="00A928AB" w:rsidRDefault="00A928AB" w:rsidP="00A928AB">
                      <w:pPr>
                        <w:rPr>
                          <w:rFonts w:hAnsi="Calibri"/>
                        </w:rPr>
                      </w:pPr>
                      <w:r>
                        <w:rPr>
                          <w:rFonts w:hAnsi="Calibri"/>
                        </w:rPr>
                        <w:t>*</w:t>
                      </w:r>
                    </w:p>
                  </w:txbxContent>
                </v:textbox>
              </v:shape>
            </w:pict>
          </mc:Fallback>
        </mc:AlternateContent>
      </w:r>
      <w:r w:rsidRPr="008E3342">
        <w:rPr>
          <w:noProof/>
        </w:rPr>
        <mc:AlternateContent>
          <mc:Choice Requires="wps">
            <w:drawing>
              <wp:anchor distT="0" distB="0" distL="114300" distR="114300" simplePos="0" relativeHeight="251662336" behindDoc="0" locked="0" layoutInCell="1" allowOverlap="1" wp14:anchorId="62FF817D" wp14:editId="7F177731">
                <wp:simplePos x="0" y="0"/>
                <wp:positionH relativeFrom="column">
                  <wp:posOffset>1199954</wp:posOffset>
                </wp:positionH>
                <wp:positionV relativeFrom="paragraph">
                  <wp:posOffset>1484748</wp:posOffset>
                </wp:positionV>
                <wp:extent cx="155099" cy="155099"/>
                <wp:effectExtent l="0" t="139700" r="22860" b="10160"/>
                <wp:wrapNone/>
                <wp:docPr id="5" name="Bağlayıcı: Dirsek 4"/>
                <wp:cNvGraphicFramePr/>
                <a:graphic xmlns:a="http://schemas.openxmlformats.org/drawingml/2006/main">
                  <a:graphicData uri="http://schemas.microsoft.com/office/word/2010/wordprocessingShape">
                    <wps:wsp>
                      <wps:cNvCnPr/>
                      <wps:spPr>
                        <a:xfrm rot="5400000" flipH="1" flipV="1">
                          <a:off x="0" y="0"/>
                          <a:ext cx="155099" cy="155099"/>
                        </a:xfrm>
                        <a:prstGeom prst="bentConnector3">
                          <a:avLst>
                            <a:gd name="adj1" fmla="val 183150"/>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Bağlayıcı: Dirsek 4" o:spid="_x0000_s1026" type="#_x0000_t34" style="position:absolute;margin-left:94.5pt;margin-top:116.9pt;width:12.2pt;height:12.2pt;rotation:90;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" adj="39560" strokecolor="black [3200]"/>
            </w:pict>
          </mc:Fallback>
        </mc:AlternateContent>
      </w:r>
      <w:r w:rsidRPr="008E3342">
        <w:rPr>
          <w:noProof/>
        </w:rPr>
        <w:drawing>
          <wp:inline distT="0" distB="0" distL="0" distR="0" wp14:anchorId="42448A63" wp14:editId="5B00AB62">
            <wp:extent cx="5762847" cy="3338624"/>
            <wp:effectExtent l="0" t="0" r="9525" b="14605"/>
            <wp:docPr id="4" name="Grafik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547F6CE-0C06-7C49-FFE0-76157D6E8E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7B38EE" w14:textId="6F81C292" w:rsidR="00A928AB" w:rsidRPr="00A928AB" w:rsidRDefault="00A928AB" w:rsidP="004A70B3">
      <w:pPr>
        <w:spacing w:before="240"/>
        <w:jc w:val="both"/>
        <w:rPr>
          <w:rFonts w:ascii="Times New Roman" w:hAnsi="Times New Roman" w:cs="Times New Roman"/>
          <w:bCs/>
          <w:iCs/>
          <w:lang w:val="en-US"/>
        </w:rPr>
      </w:pPr>
      <w:r w:rsidRPr="00A928AB">
        <w:rPr>
          <w:rFonts w:ascii="Times New Roman" w:hAnsi="Times New Roman" w:cs="Times New Roman"/>
          <w:bCs/>
          <w:iCs/>
          <w:lang w:val="en-US"/>
        </w:rPr>
        <w:t xml:space="preserve">As a result of the </w:t>
      </w:r>
      <w:proofErr w:type="spellStart"/>
      <w:r w:rsidRPr="00A928AB">
        <w:rPr>
          <w:rFonts w:ascii="Times New Roman" w:hAnsi="Times New Roman" w:cs="Times New Roman"/>
          <w:bCs/>
          <w:iCs/>
          <w:lang w:val="en-US"/>
        </w:rPr>
        <w:t>McNemar</w:t>
      </w:r>
      <w:proofErr w:type="spellEnd"/>
      <w:r w:rsidRPr="00A928AB">
        <w:rPr>
          <w:rFonts w:ascii="Times New Roman" w:hAnsi="Times New Roman" w:cs="Times New Roman"/>
          <w:bCs/>
          <w:iCs/>
          <w:lang w:val="en-US"/>
        </w:rPr>
        <w:t xml:space="preserve"> test, it was seen that there was a statistically significant difference between the yes response given by the participants to the statement "HCP (Healthcare Professional) Recommended" before (16.2%) and during COVID-19 pandemic (21.1%)  </w:t>
      </w:r>
      <w:proofErr w:type="gramStart"/>
      <w:r w:rsidRPr="00A928AB">
        <w:rPr>
          <w:rFonts w:ascii="Times New Roman" w:hAnsi="Times New Roman" w:cs="Times New Roman"/>
          <w:bCs/>
          <w:iCs/>
          <w:lang w:val="en-US"/>
        </w:rPr>
        <w:t>(p&lt;0.05).</w:t>
      </w:r>
      <w:proofErr w:type="gramEnd"/>
    </w:p>
    <w:p w14:paraId="48C3F4A9" w14:textId="77777777" w:rsidR="00A928AB" w:rsidRPr="00564178" w:rsidRDefault="00A928AB" w:rsidP="004A70B3">
      <w:pPr>
        <w:autoSpaceDE w:val="0"/>
        <w:autoSpaceDN w:val="0"/>
        <w:adjustRightInd w:val="0"/>
        <w:spacing w:after="0"/>
        <w:jc w:val="both"/>
        <w:rPr>
          <w:rFonts w:ascii="Times New Roman" w:hAnsi="Times New Roman" w:cs="Times New Roman"/>
          <w:sz w:val="24"/>
          <w:szCs w:val="24"/>
          <w:lang w:val="en-GB"/>
        </w:rPr>
      </w:pPr>
    </w:p>
    <w:p w14:paraId="049A3F76" w14:textId="16CBC085" w:rsidR="007B47CE" w:rsidRPr="00A87B23" w:rsidRDefault="007B47CE" w:rsidP="004A70B3">
      <w:pPr>
        <w:autoSpaceDE w:val="0"/>
        <w:autoSpaceDN w:val="0"/>
        <w:adjustRightInd w:val="0"/>
        <w:spacing w:after="120"/>
        <w:jc w:val="both"/>
        <w:rPr>
          <w:rFonts w:ascii="Times New Roman" w:hAnsi="Times New Roman" w:cs="Times New Roman"/>
          <w:b/>
        </w:rPr>
      </w:pPr>
      <w:r>
        <w:rPr>
          <w:rFonts w:ascii="Times New Roman" w:hAnsi="Times New Roman" w:cs="Times New Roman"/>
          <w:b/>
          <w:lang w:val="en-GB"/>
        </w:rPr>
        <w:t xml:space="preserve">3.2. </w:t>
      </w:r>
      <w:r w:rsidR="00A928AB" w:rsidRPr="00A928AB">
        <w:rPr>
          <w:rFonts w:ascii="Times New Roman" w:hAnsi="Times New Roman" w:cs="Times New Roman"/>
          <w:b/>
          <w:lang w:val="en-GB"/>
        </w:rPr>
        <w:t>Discussion</w:t>
      </w:r>
    </w:p>
    <w:p w14:paraId="4C639434" w14:textId="4C535C16" w:rsidR="00337C37" w:rsidRDefault="00A928AB" w:rsidP="004A70B3">
      <w:pPr>
        <w:jc w:val="both"/>
        <w:rPr>
          <w:rFonts w:ascii="Times New Roman" w:hAnsi="Times New Roman" w:cs="Times New Roman"/>
          <w:lang w:val="en-US" w:eastAsia="tr-TR"/>
        </w:rPr>
      </w:pPr>
      <w:r w:rsidRPr="00A928AB">
        <w:rPr>
          <w:rFonts w:ascii="Times New Roman" w:hAnsi="Times New Roman" w:cs="Times New Roman"/>
          <w:lang w:val="en-US" w:eastAsia="tr-TR"/>
        </w:rPr>
        <w:t>Our study shows that during the COVID-19 pandemic, the "HCP (Health Care Professional) Recommendation" became more important as a motivator for physical activity than the pre-pandemic conditions and there was a negative-significant linear relationship between vigorous physical activity, walking, total physical activity, and perceived stress level.</w:t>
      </w:r>
    </w:p>
    <w:p w14:paraId="7A8611E6" w14:textId="2278CB84" w:rsidR="004A70B3" w:rsidRDefault="004A70B3" w:rsidP="004A70B3">
      <w:pPr>
        <w:jc w:val="both"/>
        <w:rPr>
          <w:rFonts w:ascii="Times New Roman" w:hAnsi="Times New Roman" w:cs="Times New Roman"/>
          <w:lang w:val="en-US" w:eastAsia="tr-TR"/>
        </w:rPr>
      </w:pPr>
      <w:r w:rsidRPr="004A70B3">
        <w:rPr>
          <w:rFonts w:ascii="Times New Roman" w:hAnsi="Times New Roman" w:cs="Times New Roman"/>
          <w:lang w:val="en-US" w:eastAsia="tr-TR"/>
        </w:rPr>
        <w:t>As a result of our study, it has been shown that during the pandemic the perceived stress level decreases with vigorous physical activity, walking or total physical activity level. Considering university students, increasing the level of physical activity for stress management will be an effective, accessible method without any adverse effects.</w:t>
      </w:r>
    </w:p>
    <w:p w14:paraId="0F2440CD" w14:textId="41E2E584" w:rsidR="004A70B3" w:rsidRDefault="008E0D7F" w:rsidP="004A70B3">
      <w:pPr>
        <w:jc w:val="both"/>
        <w:rPr>
          <w:rFonts w:ascii="Times New Roman" w:hAnsi="Times New Roman" w:cs="Times New Roman"/>
          <w:lang w:val="en-US" w:eastAsia="tr-TR"/>
        </w:rPr>
      </w:pPr>
      <w:r w:rsidRPr="008E0D7F">
        <w:rPr>
          <w:rFonts w:ascii="Times New Roman" w:hAnsi="Times New Roman" w:cs="Times New Roman"/>
          <w:lang w:val="en-US" w:eastAsia="tr-TR"/>
        </w:rPr>
        <w:t xml:space="preserve">There are limited source about the effects of the COVID-19 pandemic on barriers and motivators for physical activity, which has been shown to reduce the perceived stress level. In a self-reported study, in which individuals from all age groups participated, “weight control” and “stress reduction” were the motivation factors that directing individuals to activity </w:t>
      </w:r>
      <w:r>
        <w:rPr>
          <w:rFonts w:ascii="Times New Roman" w:hAnsi="Times New Roman" w:cs="Times New Roman"/>
          <w:lang w:val="en-US" w:eastAsia="tr-TR"/>
        </w:rPr>
        <w:fldChar w:fldCharType="begin" w:fldLock="1"/>
      </w:r>
      <w:r>
        <w:rPr>
          <w:rFonts w:ascii="Times New Roman" w:hAnsi="Times New Roman" w:cs="Times New Roman"/>
          <w:lang w:val="en-US" w:eastAsia="tr-TR"/>
        </w:rPr>
        <w:instrText>ADDIN CSL_CITATION {"citationItems":[{"id":"ITEM-1","itemData":{"DOI":"10.1371/journal.pone.0239244","ISSN":"1932-6203","abstract":"The COVID-19 pandemic has impacted the mental health, physical activity, and sedentary behavior of people worldwide. According to the Health Belief Model (HBM), health-related behavior is determined by perceived barriers and motivators. Using an online survey with 1669 respondents, we sought to understand why and how physical activity and sedentary behavior has changed by querying about perceived barriers and motivators to physical activity that changed because of the pandemic, and how those changes impacted mental health. The following results were statistically significant at p &lt; .05. Consistent with prior reports, our respondents were less physically active (aerobic activity, -11%; strength-based activity, -30%) and more sedentary (+11%) during the pandemic as compared to 6-months before. The pandemic also increased psychological stress (+22%) and brought on moderate symptoms of anxiety and depression. Respondents’ whose mental health deteriorated the most were also the ones who were least active (depression r = -.21, anxiety r = -.12). The majority of respondents were unmotivated to exercise because they were too anxious (+8%,), lacked social support (+6%), or had limited access to equipment (+23%) or space (+41%). The respondents who were able to stay active reported feeling less motivated by physical health outcomes such as weight loss (-7%) or strength (-14%) and instead more motivated by mental health outcomes such as anxiety relief (+14%). Coupled with previous work demonstrating a direct relationship between mental health and physical activity, these results highlight the potential protective effect of physical activity on mental health and point to the need for psychological support to overcome perceived barriers so that people can continue to be physically active during stressful times like the pandemic.","author":[{"dropping-particle":"","family":"Marashi","given":"Maryam Yvonne","non-dropping-particle":"","parse-names":false,"suffix":""},{"dropping-particle":"","family":"Nicholson","given":"Emma","non-dropping-particle":"","parse-names":false,"suffix":""},{"dropping-particle":"","family":"Ogrodnik","given":"Michelle","non-dropping-particle":"","parse-names":false,"suffix":""},{"dropping-particle":"","family":"Fenesi","given":"Barbara","non-dropping-particle":"","parse-names":false,"suffix":""},{"dropping-particle":"","family":"Heisz","given":"Jennifer J.","non-dropping-particle":"","parse-names":false,"suffix":""}],"container-title":"PLOS ONE","editor":[{"dropping-particle":"","family":"Kotozaki","given":"Yuka","non-dropping-particle":"","parse-names":false,"suffix":""}],"id":"ITEM-1","issue":"4","issued":{"date-parts":[["2021","4","1"]]},"page":"e0239244","title":"A mental health paradox: Mental health was both a motivator and barrier to physical activity during the COVID-19 pandemic","type":"article-journal","volume":"16"},"uris":["http://www.mendeley.com/documents/?uuid=2ff88080-baa3-4476-86ab-4549ba80e08e"]}],"mendeley":{"formattedCitation":"(5)","plainTextFormattedCitation":"(5)","previouslyFormattedCitation":"(5)"},"properties":{"noteIndex":0},"schema":"https://github.com/citation-style-language/schema/raw/master/csl-citation.json"}</w:instrText>
      </w:r>
      <w:r>
        <w:rPr>
          <w:rFonts w:ascii="Times New Roman" w:hAnsi="Times New Roman" w:cs="Times New Roman"/>
          <w:lang w:val="en-US" w:eastAsia="tr-TR"/>
        </w:rPr>
        <w:fldChar w:fldCharType="separate"/>
      </w:r>
      <w:r w:rsidRPr="008E0D7F">
        <w:rPr>
          <w:rFonts w:ascii="Times New Roman" w:hAnsi="Times New Roman" w:cs="Times New Roman"/>
          <w:noProof/>
          <w:lang w:val="en-US" w:eastAsia="tr-TR"/>
        </w:rPr>
        <w:t>(5)</w:t>
      </w:r>
      <w:r>
        <w:rPr>
          <w:rFonts w:ascii="Times New Roman" w:hAnsi="Times New Roman" w:cs="Times New Roman"/>
          <w:lang w:val="en-US" w:eastAsia="tr-TR"/>
        </w:rPr>
        <w:fldChar w:fldCharType="end"/>
      </w:r>
      <w:r>
        <w:rPr>
          <w:rFonts w:ascii="Times New Roman" w:hAnsi="Times New Roman" w:cs="Times New Roman"/>
          <w:lang w:val="en-US" w:eastAsia="tr-TR"/>
        </w:rPr>
        <w:t xml:space="preserve">. </w:t>
      </w:r>
      <w:r w:rsidRPr="008E0D7F">
        <w:rPr>
          <w:rFonts w:ascii="Times New Roman" w:hAnsi="Times New Roman" w:cs="Times New Roman"/>
          <w:lang w:val="en-US" w:eastAsia="tr-TR"/>
        </w:rPr>
        <w:t>Our study results support previous study findings. In current study, among the motivation factors for physical activity before and after pandemic, the first three according to the number of people were “strength building”, “weight control” and “stress reduction”. It was observed that this proportional superiority did not change with the pandemic process and the three reported motivation items were still valid during the COVID-19.</w:t>
      </w:r>
    </w:p>
    <w:p w14:paraId="552346AB" w14:textId="5A7D2828" w:rsidR="008E0D7F" w:rsidRPr="008E0D7F" w:rsidRDefault="008E0D7F" w:rsidP="008E0D7F">
      <w:pPr>
        <w:jc w:val="both"/>
        <w:rPr>
          <w:rFonts w:ascii="Times New Roman" w:hAnsi="Times New Roman" w:cs="Times New Roman"/>
          <w:lang w:val="en-US" w:eastAsia="tr-TR"/>
        </w:rPr>
      </w:pPr>
      <w:r w:rsidRPr="008E0D7F">
        <w:rPr>
          <w:rFonts w:ascii="Times New Roman" w:hAnsi="Times New Roman" w:cs="Times New Roman"/>
          <w:lang w:val="en-US" w:eastAsia="tr-TR"/>
        </w:rPr>
        <w:t xml:space="preserve">It is known that the physical activity levels of university students decreased during the COVID-19 pandemic </w:t>
      </w:r>
      <w:r>
        <w:rPr>
          <w:rFonts w:ascii="Times New Roman" w:hAnsi="Times New Roman" w:cs="Times New Roman"/>
          <w:lang w:val="en-US" w:eastAsia="tr-TR"/>
        </w:rPr>
        <w:fldChar w:fldCharType="begin" w:fldLock="1"/>
      </w:r>
      <w:r>
        <w:rPr>
          <w:rFonts w:ascii="Times New Roman" w:hAnsi="Times New Roman" w:cs="Times New Roman"/>
          <w:lang w:val="en-US" w:eastAsia="tr-TR"/>
        </w:rPr>
        <w:instrText>ADDIN CSL_CITATION {"citationItems":[{"id":"ITEM-1","itemData":{"DOI":"10.1017/S1368980021003906","ISSN":"1368-9800","author":[{"dropping-particle":"","family":"Bosi Bağcı","given":"Tülay Ayşe","non-dropping-particle":"","parse-names":false,"suffix":""},{"dropping-particle":"","family":"Kanadıkırık","given":"Ayşegül","non-dropping-particle":"","parse-names":false,"suffix":""},{"dropping-particle":"","family":"Somyürek","given":"Emel","non-dropping-particle":"","parse-names":false,"suffix":""},{"dropping-particle":"","family":"Gerçek","given":"Gülce","non-dropping-particle":"","parse-names":false,"suffix":""},{"dropping-particle":"","family":"Tanrıkulu","given":"Hamza Berdan","non-dropping-particle":"","parse-names":false,"suffix":""},{"dropping-particle":"","family":"Öntaş","given":"Eray","non-dropping-particle":"","parse-names":false,"suffix":""},{"dropping-particle":"","family":"Uzun","given":"Sarp","non-dropping-particle":"","parse-names":false,"suffix":""}],"container-title":"Public Health Nutrition","id":"ITEM-1","issue":"18","issued":{"date-parts":[["2021","12","9"]]},"page":"6369-6376","title":"Impact of COVID-19 on eating habits, sleeping behaviour and physical activity status of final-year medical students in Ankara, Turkey","type":"article-journal","volume":"24"},"uris":["http://www.mendeley.com/documents/?uuid=46cd620b-2dbb-4bfc-b6df-d546a054a5fd"]}],"mendeley":{"formattedCitation":"(11)","plainTextFormattedCitation":"(11)","previouslyFormattedCitation":"(11)"},"properties":{"noteIndex":0},"schema":"https://github.com/citation-style-language/schema/raw/master/csl-citation.json"}</w:instrText>
      </w:r>
      <w:r>
        <w:rPr>
          <w:rFonts w:ascii="Times New Roman" w:hAnsi="Times New Roman" w:cs="Times New Roman"/>
          <w:lang w:val="en-US" w:eastAsia="tr-TR"/>
        </w:rPr>
        <w:fldChar w:fldCharType="separate"/>
      </w:r>
      <w:r w:rsidRPr="008E0D7F">
        <w:rPr>
          <w:rFonts w:ascii="Times New Roman" w:hAnsi="Times New Roman" w:cs="Times New Roman"/>
          <w:noProof/>
          <w:lang w:val="en-US" w:eastAsia="tr-TR"/>
        </w:rPr>
        <w:t>(11)</w:t>
      </w:r>
      <w:r>
        <w:rPr>
          <w:rFonts w:ascii="Times New Roman" w:hAnsi="Times New Roman" w:cs="Times New Roman"/>
          <w:lang w:val="en-US" w:eastAsia="tr-TR"/>
        </w:rPr>
        <w:fldChar w:fldCharType="end"/>
      </w:r>
      <w:r>
        <w:rPr>
          <w:rFonts w:ascii="Times New Roman" w:hAnsi="Times New Roman" w:cs="Times New Roman"/>
          <w:lang w:val="en-US" w:eastAsia="tr-TR"/>
        </w:rPr>
        <w:t xml:space="preserve">. </w:t>
      </w:r>
      <w:r w:rsidRPr="008E0D7F">
        <w:rPr>
          <w:rFonts w:ascii="Times New Roman" w:hAnsi="Times New Roman" w:cs="Times New Roman"/>
          <w:lang w:val="en-US" w:eastAsia="tr-TR"/>
        </w:rPr>
        <w:t>In previous studies it was reported that taking person specific physical activity recommendations increase physical activity level</w:t>
      </w:r>
      <w:r>
        <w:rPr>
          <w:rFonts w:ascii="Times New Roman" w:hAnsi="Times New Roman" w:cs="Times New Roman"/>
          <w:lang w:val="en-US" w:eastAsia="tr-TR"/>
        </w:rPr>
        <w:t xml:space="preserve"> </w:t>
      </w:r>
      <w:r>
        <w:rPr>
          <w:rFonts w:ascii="Times New Roman" w:hAnsi="Times New Roman" w:cs="Times New Roman"/>
          <w:lang w:val="en-US" w:eastAsia="tr-TR"/>
        </w:rPr>
        <w:fldChar w:fldCharType="begin" w:fldLock="1"/>
      </w:r>
      <w:r>
        <w:rPr>
          <w:rFonts w:ascii="Times New Roman" w:hAnsi="Times New Roman" w:cs="Times New Roman"/>
          <w:lang w:val="en-US" w:eastAsia="tr-TR"/>
        </w:rPr>
        <w:instrText>ADDIN CSL_CITATION {"citationItems":[{"id":"ITEM-1","itemData":{"ISSN":"1827-1928","PMID":"26554859","abstract":"BACKGROUND Grounded in self-determination theory and trans-theoretical model applied to exercise, the aim of this study was to analyse the existing relationships between physical activity (PA) carried out by university students, perceived barriers to PA, motivation to PA and stages of change. METHODS 901 Spanish students took part in the study (408 men, 493 women; mean age 22.59±3.59), who completed the Behavioural Regulation in Exercise Questionnaire (BREQ-3), Scale of Barriers to PA, Stages of Change and the International Physical Activity Questionnaire - Short Form (IPAQ-SF). RESULTS Noteworthy among the findings is the positive relationship between the more autonomous regulation forms, especially integrated regulation, and the moderate to vigorous PA (MVPA) levels. However, barriers to participatrion are negatively related to PA levels and the more self-determined forms of motivation. Finally, students in action and maintenance stages, and those who comply with the recommendations on PA present higher values in the more self-determined motivation forms and lower values in barriers to participation in PA. CONCLUSIONS The study shows the importance of addressing the analysis of variables associated with engagement in PA in the university population to develop healthy policies and intervention programmes that can establish a series of healthy and more active habits in the youth-adult stage. The appropriateness of promoting more self-determined motivation forms is highlighted, especially integrated regulation, to have an impact on higher levels of MVPA.","author":[{"dropping-particle":"","family":"Sevil","given":"Javier","non-dropping-particle":"","parse-names":false,"suffix":""},{"dropping-particle":"","family":"Práxedes","given":"Alba","non-dropping-particle":"","parse-names":false,"suffix":""},{"dropping-particle":"","family":"Abarca-Sos","given":"Alberto","non-dropping-particle":"","parse-names":false,"suffix":""},{"dropping-particle":"","family":"Villar","given":"Fernando","non-dropping-particle":"Del","parse-names":false,"suffix":""},{"dropping-particle":"","family":"García-González","given":"Luis","non-dropping-particle":"","parse-names":false,"suffix":""}],"container-title":"The Journal of sports medicine and physical fitness","id":"ITEM-1","issue":"10","issued":{"date-parts":[["2016","10"]]},"page":"1239-1248","title":"Levels of physical activity, motivation and barriers to participation in university students.","type":"article-journal","volume":"56"},"uris":["http://www.mendeley.com/documents/?uuid=fdb26977-f719-41d5-9f46-304c2859e479"]}],"mendeley":{"formattedCitation":"(12)","plainTextFormattedCitation":"(12)","previouslyFormattedCitation":"(12)"},"properties":{"noteIndex":0},"schema":"https://github.com/citation-style-language/schema/raw/master/csl-citation.json"}</w:instrText>
      </w:r>
      <w:r>
        <w:rPr>
          <w:rFonts w:ascii="Times New Roman" w:hAnsi="Times New Roman" w:cs="Times New Roman"/>
          <w:lang w:val="en-US" w:eastAsia="tr-TR"/>
        </w:rPr>
        <w:fldChar w:fldCharType="separate"/>
      </w:r>
      <w:r w:rsidRPr="008E0D7F">
        <w:rPr>
          <w:rFonts w:ascii="Times New Roman" w:hAnsi="Times New Roman" w:cs="Times New Roman"/>
          <w:noProof/>
          <w:lang w:val="en-US" w:eastAsia="tr-TR"/>
        </w:rPr>
        <w:t>(12)</w:t>
      </w:r>
      <w:r>
        <w:rPr>
          <w:rFonts w:ascii="Times New Roman" w:hAnsi="Times New Roman" w:cs="Times New Roman"/>
          <w:lang w:val="en-US" w:eastAsia="tr-TR"/>
        </w:rPr>
        <w:fldChar w:fldCharType="end"/>
      </w:r>
      <w:r w:rsidRPr="008E0D7F">
        <w:rPr>
          <w:rFonts w:ascii="Times New Roman" w:hAnsi="Times New Roman" w:cs="Times New Roman"/>
          <w:lang w:val="en-US" w:eastAsia="tr-TR"/>
        </w:rPr>
        <w:t xml:space="preserve">. Similarly in multiple liner regression </w:t>
      </w:r>
      <w:proofErr w:type="gramStart"/>
      <w:r w:rsidRPr="008E0D7F">
        <w:rPr>
          <w:rFonts w:ascii="Times New Roman" w:hAnsi="Times New Roman" w:cs="Times New Roman"/>
          <w:lang w:val="en-US" w:eastAsia="tr-TR"/>
        </w:rPr>
        <w:t>model</w:t>
      </w:r>
      <w:proofErr w:type="gramEnd"/>
      <w:r w:rsidRPr="008E0D7F">
        <w:rPr>
          <w:rFonts w:ascii="Times New Roman" w:hAnsi="Times New Roman" w:cs="Times New Roman"/>
          <w:lang w:val="en-US" w:eastAsia="tr-TR"/>
        </w:rPr>
        <w:t xml:space="preserve">, it was seen that the effect of the “HCP recommendation” statement on the level of physical activity was statistically significant and the physical activity score of the students who answered yes to the statement was higher than the students who said no. It is </w:t>
      </w:r>
      <w:r w:rsidRPr="008E0D7F">
        <w:rPr>
          <w:rFonts w:ascii="Times New Roman" w:hAnsi="Times New Roman" w:cs="Times New Roman"/>
          <w:lang w:val="en-US" w:eastAsia="tr-TR"/>
        </w:rPr>
        <w:lastRenderedPageBreak/>
        <w:t>an indicator that determining a goal for reaching the physical activity level determined by a HCP may be an effective method for increasing physical activity</w:t>
      </w:r>
      <w:r>
        <w:rPr>
          <w:rFonts w:ascii="Times New Roman" w:hAnsi="Times New Roman" w:cs="Times New Roman"/>
          <w:lang w:val="en-US" w:eastAsia="tr-TR"/>
        </w:rPr>
        <w:t xml:space="preserve"> level of the college students.</w:t>
      </w:r>
    </w:p>
    <w:p w14:paraId="75C6CDEA" w14:textId="1BB78C8D" w:rsidR="008E0D7F" w:rsidRDefault="008E0D7F" w:rsidP="008E0D7F">
      <w:pPr>
        <w:jc w:val="both"/>
        <w:rPr>
          <w:rFonts w:ascii="Times New Roman" w:hAnsi="Times New Roman" w:cs="Times New Roman"/>
          <w:lang w:val="en-US" w:eastAsia="tr-TR"/>
        </w:rPr>
      </w:pPr>
      <w:r w:rsidRPr="008E0D7F">
        <w:rPr>
          <w:rFonts w:ascii="Times New Roman" w:hAnsi="Times New Roman" w:cs="Times New Roman"/>
          <w:lang w:val="en-US" w:eastAsia="tr-TR"/>
        </w:rPr>
        <w:t>Our results and the results of previous studies show that physical activity counseling by HCP is important and the benefit from physical activity counseling increases significantly with the pandemic process. It can be predicted that the use of physical activity counseling by HCP in the young population studying at university, whose inactivity rate has increased during the pandemic process, will also prevent long-term negative effects</w:t>
      </w:r>
      <w:r>
        <w:rPr>
          <w:rFonts w:ascii="Times New Roman" w:hAnsi="Times New Roman" w:cs="Times New Roman"/>
          <w:lang w:val="en-US" w:eastAsia="tr-TR"/>
        </w:rPr>
        <w:t>.</w:t>
      </w:r>
    </w:p>
    <w:p w14:paraId="343CCDFF" w14:textId="6088531B" w:rsidR="008E0D7F" w:rsidRDefault="008E0D7F" w:rsidP="008E0D7F">
      <w:pPr>
        <w:jc w:val="both"/>
        <w:rPr>
          <w:rFonts w:ascii="Times New Roman" w:hAnsi="Times New Roman" w:cs="Times New Roman"/>
          <w:lang w:val="en-US" w:eastAsia="tr-TR"/>
        </w:rPr>
      </w:pPr>
      <w:r w:rsidRPr="008E0D7F">
        <w:rPr>
          <w:rFonts w:ascii="Times New Roman" w:hAnsi="Times New Roman" w:cs="Times New Roman"/>
          <w:lang w:val="en-US" w:eastAsia="tr-TR"/>
        </w:rPr>
        <w:t xml:space="preserve">It is known that this is neither the first, nor be the last pandemic It has clearly known that problems caused by physical inactivity are critical and the young adults were the most affected group by complications caused by COVID-19 pandemic </w:t>
      </w:r>
      <w:r>
        <w:rPr>
          <w:rFonts w:ascii="Times New Roman" w:hAnsi="Times New Roman" w:cs="Times New Roman"/>
          <w:lang w:val="en-US" w:eastAsia="tr-TR"/>
        </w:rPr>
        <w:fldChar w:fldCharType="begin" w:fldLock="1"/>
      </w:r>
      <w:r>
        <w:rPr>
          <w:rFonts w:ascii="Times New Roman" w:hAnsi="Times New Roman" w:cs="Times New Roman"/>
          <w:lang w:val="en-US" w:eastAsia="tr-TR"/>
        </w:rPr>
        <w:instrText>ADDIN CSL_CITATION {"citationItems":[{"id":"ITEM-1","itemData":{"DOI":"10.3390/microorganisms9020433","ISSN":"2076-2607","abstract":"The common trait among the betacoronaviruses that emerged during the past two decades (the severe acute respiratory syndrome coronavirus—SARS-CoV, the Middle East respiratory syndrome coronavirus—MERS-CoV, and the recent SARS coronavirus 2—SARS-CoV-2) is their probable animal origin, all deriving from viruses present in bat species. Bats have arisen the attention of the scientific community as reservoir of emerging viruses, given their wide geographical distribution, their biological diversity (around 1400 species, 21 different families and over 200 genera), and their peculiar ecological and physiological characteristics which seem to facilitate them in harbouring a high viral diversity. Several human activities may enable the viral spill-over from bats to humans, such as deforestation, land-use changes, increased livestock grazing or intensive production of vegetal cultures. In addition, the globalization of trade and high global human mobility allow these viruses to be disseminated in few hours in many parts of the World. In order to avoid the emergence of new pandemic threats in the future we need to substantially change our global models of social and economic development, posing the conservation of biodiversity and the preservation of natural ecosystems as a pillar for the protection of global human health.","author":[{"dropping-particle":"","family":"Calistri","given":"Paolo","non-dropping-particle":"","parse-names":false,"suffix":""},{"dropping-particle":"","family":"Decaro","given":"Nicola","non-dropping-particle":"","parse-names":false,"suffix":""},{"dropping-particle":"","family":"Lorusso","given":"Alessio","non-dropping-particle":"","parse-names":false,"suffix":""}],"container-title":"Microorganisms","id":"ITEM-1","issue":"2","issued":{"date-parts":[["2021","2","19"]]},"page":"433","title":"SARS-CoV-2 Pandemic: Not the First, Not the Last","type":"article-journal","volume":"9"},"uris":["http://www.mendeley.com/documents/?uuid=536c2048-952d-4805-9ba5-0e1a4cf184ee"]},{"id":"ITEM-2","itemData":{"DOI":"10.1016/j.annepidem.2021.05.001","ISSN":"10472797","author":[{"dropping-particle":"","family":"Silva","given":"Danilo R.","non-dropping-particle":"","parse-names":false,"suffix":""},{"dropping-particle":"","family":"Werneck","given":"André O.","non-dropping-particle":"","parse-names":false,"suffix":""},{"dropping-particle":"","family":"Malta","given":"Deborah C.","non-dropping-particle":"","parse-names":false,"suffix":""},{"dropping-particle":"","family":"Souza-Júnior","given":"Paulo R.B.","non-dropping-particle":"","parse-names":false,"suffix":""},{"dropping-particle":"","family":"Azevedo","given":"Luiz O.","non-dropping-particle":"","parse-names":false,"suffix":""},{"dropping-particle":"","family":"Barros","given":"Marilisa B.A.","non-dropping-particle":"","parse-names":false,"suffix":""},{"dropping-particle":"","family":"Szwarcwald","given":"Célia L.","non-dropping-particle":"","parse-names":false,"suffix":""}],"container-title":"Annals of Epidemiology","id":"ITEM-2","issued":{"date-parts":[["2021","10"]]},"page":"30-35","title":"Incidence of physical inactivity and excessive screen time during the first wave of the COVID-19 pandemic in Brazil: what are the most affected population groups?","type":"article-journal","volume":"62"},"uris":["http://www.mendeley.com/documents/?uuid=7ad07625-861b-4c00-9fe0-e2e1356dffb6"]}],"mendeley":{"formattedCitation":"(13,14)","plainTextFormattedCitation":"(13,14)"},"properties":{"noteIndex":0},"schema":"https://github.com/citation-style-language/schema/raw/master/csl-citation.json"}</w:instrText>
      </w:r>
      <w:r>
        <w:rPr>
          <w:rFonts w:ascii="Times New Roman" w:hAnsi="Times New Roman" w:cs="Times New Roman"/>
          <w:lang w:val="en-US" w:eastAsia="tr-TR"/>
        </w:rPr>
        <w:fldChar w:fldCharType="separate"/>
      </w:r>
      <w:r w:rsidRPr="008E0D7F">
        <w:rPr>
          <w:rFonts w:ascii="Times New Roman" w:hAnsi="Times New Roman" w:cs="Times New Roman"/>
          <w:noProof/>
          <w:lang w:val="en-US" w:eastAsia="tr-TR"/>
        </w:rPr>
        <w:t>(13,14)</w:t>
      </w:r>
      <w:r>
        <w:rPr>
          <w:rFonts w:ascii="Times New Roman" w:hAnsi="Times New Roman" w:cs="Times New Roman"/>
          <w:lang w:val="en-US" w:eastAsia="tr-TR"/>
        </w:rPr>
        <w:fldChar w:fldCharType="end"/>
      </w:r>
      <w:r>
        <w:rPr>
          <w:rFonts w:ascii="Times New Roman" w:hAnsi="Times New Roman" w:cs="Times New Roman"/>
          <w:lang w:val="en-US" w:eastAsia="tr-TR"/>
        </w:rPr>
        <w:t xml:space="preserve">. </w:t>
      </w:r>
      <w:r w:rsidRPr="008E0D7F">
        <w:rPr>
          <w:rFonts w:ascii="Times New Roman" w:hAnsi="Times New Roman" w:cs="Times New Roman"/>
          <w:lang w:val="en-US" w:eastAsia="tr-TR"/>
        </w:rPr>
        <w:t xml:space="preserve">Our study results point that while increasing the level of physical activity reduces the perceived stress level, one of the strong alternatives we must increase the level of physical activity is to increase accessibility and consultation with HCP. Considering that inactivity has increased with the pandemic, study results should be considered when it is desired to increase the level of physical activity during and after the pandemic. In conclusion, the results of the current research will be </w:t>
      </w:r>
      <w:proofErr w:type="gramStart"/>
      <w:r w:rsidRPr="008E0D7F">
        <w:rPr>
          <w:rFonts w:ascii="Times New Roman" w:hAnsi="Times New Roman" w:cs="Times New Roman"/>
          <w:lang w:val="en-US" w:eastAsia="tr-TR"/>
        </w:rPr>
        <w:t>key</w:t>
      </w:r>
      <w:proofErr w:type="gramEnd"/>
      <w:r w:rsidRPr="008E0D7F">
        <w:rPr>
          <w:rFonts w:ascii="Times New Roman" w:hAnsi="Times New Roman" w:cs="Times New Roman"/>
          <w:lang w:val="en-US" w:eastAsia="tr-TR"/>
        </w:rPr>
        <w:t xml:space="preserve"> to increasing and maintaining well-being after the pandemic.</w:t>
      </w:r>
    </w:p>
    <w:p w14:paraId="503DD2D0" w14:textId="77777777" w:rsidR="008E0D7F" w:rsidRPr="00A928AB" w:rsidRDefault="008E0D7F" w:rsidP="008E0D7F">
      <w:pPr>
        <w:jc w:val="both"/>
        <w:rPr>
          <w:rFonts w:ascii="Times New Roman" w:hAnsi="Times New Roman" w:cs="Times New Roman"/>
          <w:highlight w:val="yellow"/>
          <w:lang w:val="en-US" w:eastAsia="tr-TR"/>
        </w:rPr>
      </w:pPr>
    </w:p>
    <w:p w14:paraId="4E4B187E" w14:textId="16CDB633" w:rsidR="00F803B1" w:rsidRPr="008E0D7F" w:rsidRDefault="00F803B1" w:rsidP="004A70B3">
      <w:pPr>
        <w:jc w:val="both"/>
        <w:rPr>
          <w:rFonts w:ascii="Times New Roman" w:hAnsi="Times New Roman" w:cs="Times New Roman"/>
          <w:b/>
          <w:sz w:val="24"/>
          <w:szCs w:val="24"/>
          <w:lang w:val="en-US" w:eastAsia="tr-TR"/>
        </w:rPr>
      </w:pPr>
      <w:r w:rsidRPr="008E0D7F">
        <w:rPr>
          <w:rFonts w:ascii="Times New Roman" w:hAnsi="Times New Roman" w:cs="Times New Roman"/>
          <w:b/>
          <w:sz w:val="24"/>
          <w:szCs w:val="24"/>
          <w:lang w:val="en-US" w:eastAsia="tr-TR"/>
        </w:rPr>
        <w:t>Acknowledgment</w:t>
      </w:r>
    </w:p>
    <w:p w14:paraId="5AC41F3B" w14:textId="277F0DB6" w:rsidR="00F82C0C" w:rsidRPr="00F82C0C" w:rsidRDefault="008E0D7F" w:rsidP="004A70B3">
      <w:pPr>
        <w:jc w:val="both"/>
        <w:rPr>
          <w:rFonts w:ascii="Times New Roman" w:hAnsi="Times New Roman" w:cs="Times New Roman"/>
          <w:sz w:val="24"/>
          <w:szCs w:val="24"/>
        </w:rPr>
      </w:pPr>
      <w:proofErr w:type="spellStart"/>
      <w:r w:rsidRPr="008E0D7F">
        <w:rPr>
          <w:rFonts w:ascii="Times New Roman" w:hAnsi="Times New Roman" w:cs="Times New Roman"/>
          <w:sz w:val="24"/>
          <w:szCs w:val="24"/>
        </w:rPr>
        <w:t>This</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study</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was</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approved</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by</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Baskent</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University</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Institutional</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Review</w:t>
      </w:r>
      <w:proofErr w:type="spellEnd"/>
      <w:r w:rsidRPr="008E0D7F">
        <w:rPr>
          <w:rFonts w:ascii="Times New Roman" w:hAnsi="Times New Roman" w:cs="Times New Roman"/>
          <w:sz w:val="24"/>
          <w:szCs w:val="24"/>
        </w:rPr>
        <w:t xml:space="preserve"> Board </w:t>
      </w:r>
      <w:proofErr w:type="spellStart"/>
      <w:r w:rsidRPr="008E0D7F">
        <w:rPr>
          <w:rFonts w:ascii="Times New Roman" w:hAnsi="Times New Roman" w:cs="Times New Roman"/>
          <w:sz w:val="24"/>
          <w:szCs w:val="24"/>
        </w:rPr>
        <w:t>and</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Ethics</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Committee</w:t>
      </w:r>
      <w:proofErr w:type="spellEnd"/>
      <w:r w:rsidRPr="008E0D7F">
        <w:rPr>
          <w:rFonts w:ascii="Times New Roman" w:hAnsi="Times New Roman" w:cs="Times New Roman"/>
          <w:sz w:val="24"/>
          <w:szCs w:val="24"/>
        </w:rPr>
        <w:t xml:space="preserve"> </w:t>
      </w:r>
      <w:proofErr w:type="spellStart"/>
      <w:r w:rsidRPr="008E0D7F">
        <w:rPr>
          <w:rFonts w:ascii="Times New Roman" w:hAnsi="Times New Roman" w:cs="Times New Roman"/>
          <w:sz w:val="24"/>
          <w:szCs w:val="24"/>
        </w:rPr>
        <w:t>Ethics</w:t>
      </w:r>
      <w:proofErr w:type="spellEnd"/>
      <w:r w:rsidRPr="008E0D7F">
        <w:rPr>
          <w:rFonts w:ascii="Times New Roman" w:hAnsi="Times New Roman" w:cs="Times New Roman"/>
          <w:sz w:val="24"/>
          <w:szCs w:val="24"/>
        </w:rPr>
        <w:t xml:space="preserve"> Board (Project </w:t>
      </w:r>
      <w:proofErr w:type="spellStart"/>
      <w:r w:rsidRPr="008E0D7F">
        <w:rPr>
          <w:rFonts w:ascii="Times New Roman" w:hAnsi="Times New Roman" w:cs="Times New Roman"/>
          <w:sz w:val="24"/>
          <w:szCs w:val="24"/>
        </w:rPr>
        <w:t>no</w:t>
      </w:r>
      <w:proofErr w:type="spellEnd"/>
      <w:r w:rsidRPr="008E0D7F">
        <w:rPr>
          <w:rFonts w:ascii="Times New Roman" w:hAnsi="Times New Roman" w:cs="Times New Roman"/>
          <w:sz w:val="24"/>
          <w:szCs w:val="24"/>
        </w:rPr>
        <w:t>: KA21/378).</w:t>
      </w:r>
      <w:r w:rsidR="00F82C0C" w:rsidRPr="00F82C0C">
        <w:rPr>
          <w:rFonts w:ascii="Times New Roman" w:hAnsi="Times New Roman" w:cs="Times New Roman"/>
          <w:sz w:val="24"/>
          <w:szCs w:val="24"/>
        </w:rPr>
        <w:t xml:space="preserve"> </w:t>
      </w:r>
    </w:p>
    <w:p w14:paraId="78AFF951" w14:textId="77777777" w:rsidR="00F803B1" w:rsidRDefault="00F803B1" w:rsidP="004A70B3">
      <w:pPr>
        <w:jc w:val="both"/>
        <w:rPr>
          <w:rFonts w:ascii="Times New Roman" w:hAnsi="Times New Roman" w:cs="Times New Roman"/>
          <w:b/>
          <w:sz w:val="24"/>
          <w:szCs w:val="24"/>
          <w:highlight w:val="yellow"/>
          <w:lang w:val="en-US" w:eastAsia="tr-TR"/>
        </w:rPr>
      </w:pPr>
    </w:p>
    <w:p w14:paraId="6A70E17A" w14:textId="5B5FBE88" w:rsidR="00B976E8" w:rsidRDefault="00F803B1" w:rsidP="004A70B3">
      <w:pPr>
        <w:spacing w:after="0"/>
        <w:jc w:val="both"/>
        <w:rPr>
          <w:rFonts w:ascii="Times New Roman" w:hAnsi="Times New Roman" w:cs="Times New Roman"/>
          <w:b/>
          <w:sz w:val="24"/>
          <w:szCs w:val="24"/>
          <w:lang w:val="en-US" w:eastAsia="tr-TR"/>
        </w:rPr>
      </w:pPr>
      <w:r w:rsidRPr="004A1052">
        <w:rPr>
          <w:rFonts w:ascii="Times New Roman" w:hAnsi="Times New Roman" w:cs="Times New Roman"/>
          <w:b/>
          <w:sz w:val="24"/>
          <w:szCs w:val="24"/>
          <w:lang w:val="en-US" w:eastAsia="tr-TR"/>
        </w:rPr>
        <w:t>References</w:t>
      </w:r>
      <w:r w:rsidR="00B976E8" w:rsidRPr="004A1052">
        <w:rPr>
          <w:rFonts w:ascii="Times New Roman" w:hAnsi="Times New Roman" w:cs="Times New Roman"/>
          <w:b/>
          <w:sz w:val="24"/>
          <w:szCs w:val="24"/>
          <w:lang w:val="en-US" w:eastAsia="tr-TR"/>
        </w:rPr>
        <w:t xml:space="preserve"> </w:t>
      </w:r>
    </w:p>
    <w:p w14:paraId="7C30F4DC" w14:textId="1132AFA0" w:rsidR="008E0D7F" w:rsidRPr="008E0D7F" w:rsidRDefault="004A1052" w:rsidP="008E0D7F">
      <w:pPr>
        <w:widowControl w:val="0"/>
        <w:autoSpaceDE w:val="0"/>
        <w:autoSpaceDN w:val="0"/>
        <w:adjustRightInd w:val="0"/>
        <w:spacing w:before="240" w:after="0"/>
        <w:ind w:left="640" w:hanging="640"/>
        <w:rPr>
          <w:rFonts w:ascii="Times New Roman" w:hAnsi="Times New Roman" w:cs="Times New Roman"/>
          <w:noProof/>
          <w:szCs w:val="24"/>
        </w:rPr>
      </w:pPr>
      <w:r>
        <w:rPr>
          <w:rFonts w:ascii="Times New Roman" w:eastAsia="Times New Roman" w:hAnsi="Times New Roman" w:cs="Times New Roman"/>
          <w:color w:val="FF0000"/>
          <w:shd w:val="clear" w:color="auto" w:fill="FFFFFF"/>
          <w:lang w:val="en-US" w:eastAsia="tr-TR"/>
        </w:rPr>
        <w:fldChar w:fldCharType="begin" w:fldLock="1"/>
      </w:r>
      <w:r>
        <w:rPr>
          <w:rFonts w:ascii="Times New Roman" w:eastAsia="Times New Roman" w:hAnsi="Times New Roman" w:cs="Times New Roman"/>
          <w:color w:val="FF0000"/>
          <w:shd w:val="clear" w:color="auto" w:fill="FFFFFF"/>
          <w:lang w:val="en-US" w:eastAsia="tr-TR"/>
        </w:rPr>
        <w:instrText xml:space="preserve">ADDIN Mendeley Bibliography CSL_BIBLIOGRAPHY </w:instrText>
      </w:r>
      <w:r>
        <w:rPr>
          <w:rFonts w:ascii="Times New Roman" w:eastAsia="Times New Roman" w:hAnsi="Times New Roman" w:cs="Times New Roman"/>
          <w:color w:val="FF0000"/>
          <w:shd w:val="clear" w:color="auto" w:fill="FFFFFF"/>
          <w:lang w:val="en-US" w:eastAsia="tr-TR"/>
        </w:rPr>
        <w:fldChar w:fldCharType="separate"/>
      </w:r>
      <w:r w:rsidR="008E0D7F" w:rsidRPr="008E0D7F">
        <w:rPr>
          <w:rFonts w:ascii="Times New Roman" w:hAnsi="Times New Roman" w:cs="Times New Roman"/>
          <w:noProof/>
          <w:szCs w:val="24"/>
        </w:rPr>
        <w:t xml:space="preserve">1. </w:t>
      </w:r>
      <w:r w:rsidR="008E0D7F" w:rsidRPr="008E0D7F">
        <w:rPr>
          <w:rFonts w:ascii="Times New Roman" w:hAnsi="Times New Roman" w:cs="Times New Roman"/>
          <w:noProof/>
          <w:szCs w:val="24"/>
        </w:rPr>
        <w:tab/>
        <w:t xml:space="preserve">World Health Organisation (WHO). Coronavirus disease 2019 (COVID-19): situation report, 51. World Health Organization; </w:t>
      </w:r>
    </w:p>
    <w:p w14:paraId="7D2E90A8"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2. </w:t>
      </w:r>
      <w:r w:rsidRPr="008E0D7F">
        <w:rPr>
          <w:rFonts w:ascii="Times New Roman" w:hAnsi="Times New Roman" w:cs="Times New Roman"/>
          <w:noProof/>
          <w:szCs w:val="24"/>
        </w:rPr>
        <w:tab/>
        <w:t>Narici M, Vito G De, Franchi M, Paoli A, Moro T, Marcolin G, et al. Impact of sedentarism due to the COVID-19 home confinement on neuromuscular, cardiovascular and metabolic health: Physiological and pathophysiological implications and recommendations for physical and nutritional countermeasures. Eur J Sport Sci [Internet]. 2021 Apr 3;21(4):614–35. Available from: https://www.tandfonline.com/doi/full/10.1080/17461391.2020.1761076</w:t>
      </w:r>
    </w:p>
    <w:p w14:paraId="7E707D15"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3. </w:t>
      </w:r>
      <w:r w:rsidRPr="008E0D7F">
        <w:rPr>
          <w:rFonts w:ascii="Times New Roman" w:hAnsi="Times New Roman" w:cs="Times New Roman"/>
          <w:noProof/>
          <w:szCs w:val="24"/>
        </w:rPr>
        <w:tab/>
        <w:t>Romero-Blanco C, Rodríguez-Almagro J, Onieva-Zafra MD, Parra-Fernández ML, Prado-Laguna M del C, Hernández-Martínez A. Physical Activity and Sedentary Lifestyle in University Students: Changes during Confinement Due to the COVID-19 Pandemic. Int J Environ Res Public Health [Internet]. 2020 Sep 9;17(18):6567. Available from: https://www.mdpi.com/1660-4601/17/18/6567</w:t>
      </w:r>
    </w:p>
    <w:p w14:paraId="3C7B78CE"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4. </w:t>
      </w:r>
      <w:r w:rsidRPr="008E0D7F">
        <w:rPr>
          <w:rFonts w:ascii="Times New Roman" w:hAnsi="Times New Roman" w:cs="Times New Roman"/>
          <w:noProof/>
          <w:szCs w:val="24"/>
        </w:rPr>
        <w:tab/>
        <w:t>Stockwell S, Trott M, Tully M, Shin J, Barnett Y, Butler L, et al. Changes in physical activity and sedentary behaviours from before to during the COVID-19 pandemic lockdown: a systematic review. BMJ Open Sport Exerc Med [Internet]. 2021 Jan 1;7(1):e000960. Available from: https://bmjopensem.bmj.com/lookup/doi/10.1136/bmjsem-2020-000960</w:t>
      </w:r>
    </w:p>
    <w:p w14:paraId="67D63925"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5. </w:t>
      </w:r>
      <w:r w:rsidRPr="008E0D7F">
        <w:rPr>
          <w:rFonts w:ascii="Times New Roman" w:hAnsi="Times New Roman" w:cs="Times New Roman"/>
          <w:noProof/>
          <w:szCs w:val="24"/>
        </w:rPr>
        <w:tab/>
        <w:t>Marashi MY, Nicholson E, Ogrodnik M, Fenesi B, Heisz JJ. A mental health paradox: Mental health was both a motivator and barrier to physical activity during the COVID-19 pandemic. Kotozaki Y, editor. PLoS One [Internet]. 2021 Apr 1;16(4):e0239244. Available from: https://dx.plos.org/10.1371/journal.pone.0239244</w:t>
      </w:r>
    </w:p>
    <w:p w14:paraId="205B3721"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6. </w:t>
      </w:r>
      <w:r w:rsidRPr="008E0D7F">
        <w:rPr>
          <w:rFonts w:ascii="Times New Roman" w:hAnsi="Times New Roman" w:cs="Times New Roman"/>
          <w:noProof/>
          <w:szCs w:val="24"/>
        </w:rPr>
        <w:tab/>
        <w:t>Brooks SK, Webster RK, Smith LE, Woodland L, Wessely S, Greenberg N, et al. The psychological impact of quarantine and how to reduce it: rapid review of the evidence. Lancet [Internet]. 2020 Mar;395(10227):912–20. Available from: https://linkinghub.elsevier.com/retrieve/pii/S0140673620304608</w:t>
      </w:r>
    </w:p>
    <w:p w14:paraId="665EBC09"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7. </w:t>
      </w:r>
      <w:r w:rsidRPr="008E0D7F">
        <w:rPr>
          <w:rFonts w:ascii="Times New Roman" w:hAnsi="Times New Roman" w:cs="Times New Roman"/>
          <w:noProof/>
          <w:szCs w:val="24"/>
        </w:rPr>
        <w:tab/>
        <w:t xml:space="preserve">Casagrande M, Favieri F, Tambelli R, Forte G. The enemy who sealed the world: effects quarantine due to the COVID-19 on sleep quality, anxiety, and psychological distress in the Italian population. Sleep Med [Internet]. 2020 Nov;75:12–20. Available from: </w:t>
      </w:r>
      <w:r w:rsidRPr="008E0D7F">
        <w:rPr>
          <w:rFonts w:ascii="Times New Roman" w:hAnsi="Times New Roman" w:cs="Times New Roman"/>
          <w:noProof/>
          <w:szCs w:val="24"/>
        </w:rPr>
        <w:lastRenderedPageBreak/>
        <w:t>https://linkinghub.elsevier.com/retrieve/pii/S1389945720302136</w:t>
      </w:r>
    </w:p>
    <w:p w14:paraId="5B60974F"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8. </w:t>
      </w:r>
      <w:r w:rsidRPr="008E0D7F">
        <w:rPr>
          <w:rFonts w:ascii="Times New Roman" w:hAnsi="Times New Roman" w:cs="Times New Roman"/>
          <w:noProof/>
          <w:szCs w:val="24"/>
        </w:rPr>
        <w:tab/>
        <w:t>Stubbs B, Vancampfort D, Rosenbaum S, Firth J, Cosco T, Veronese N, et al. An examination of the anxiolytic effects of exercise for people with anxiety and stress-related disorders: A meta-analysis. Psychiatry Res [Internet]. 2017 Mar;249:102–8. Available from: https://linkinghub.elsevier.com/retrieve/pii/S016517811630909X</w:t>
      </w:r>
    </w:p>
    <w:p w14:paraId="23999D13"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9. </w:t>
      </w:r>
      <w:r w:rsidRPr="008E0D7F">
        <w:rPr>
          <w:rFonts w:ascii="Times New Roman" w:hAnsi="Times New Roman" w:cs="Times New Roman"/>
          <w:noProof/>
          <w:szCs w:val="24"/>
        </w:rPr>
        <w:tab/>
        <w:t>Saglam M, Arikan H, Savci S, Inal-Ince D, Bosnak-Guclu M, Karabulut E, et al. International Physical Activity Questionnaire: Reliability and Validity of the Turkish Version. Percept Mot Skills [Internet]. 2010;111(1):278–84. Available from: http://journals.sagepub.com/doi/10.2466/06.08.PMS.111.4.278-284</w:t>
      </w:r>
    </w:p>
    <w:p w14:paraId="572BA08B"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10. </w:t>
      </w:r>
      <w:r w:rsidRPr="008E0D7F">
        <w:rPr>
          <w:rFonts w:ascii="Times New Roman" w:hAnsi="Times New Roman" w:cs="Times New Roman"/>
          <w:noProof/>
          <w:szCs w:val="24"/>
        </w:rPr>
        <w:tab/>
        <w:t xml:space="preserve">Erci B. Reliability and validity of the Turkish version of perceived stress scale. J Anatolia Nurs Heal Sci. 2006;9(1):58–63. </w:t>
      </w:r>
    </w:p>
    <w:p w14:paraId="3FBAC8A4"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11. </w:t>
      </w:r>
      <w:r w:rsidRPr="008E0D7F">
        <w:rPr>
          <w:rFonts w:ascii="Times New Roman" w:hAnsi="Times New Roman" w:cs="Times New Roman"/>
          <w:noProof/>
          <w:szCs w:val="24"/>
        </w:rPr>
        <w:tab/>
        <w:t>Bosi Bağcı TA, Kanadıkırık A, Somyürek E, Gerçek G, Tanrıkulu HB, Öntaş E, et al. Impact of COVID-19 on eating habits, sleeping behaviour and physical activity status of final-year medical students in Ankara, Turkey. Public Health Nutr [Internet]. 2021 Dec 9;24(18):6369–76. Available from: https://www.cambridge.org/core/product/identifier/S1368980021003906/type/journal_article</w:t>
      </w:r>
    </w:p>
    <w:p w14:paraId="7BB014BD"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12. </w:t>
      </w:r>
      <w:r w:rsidRPr="008E0D7F">
        <w:rPr>
          <w:rFonts w:ascii="Times New Roman" w:hAnsi="Times New Roman" w:cs="Times New Roman"/>
          <w:noProof/>
          <w:szCs w:val="24"/>
        </w:rPr>
        <w:tab/>
        <w:t>Sevil J, Práxedes A, Abarca-Sos A, Del Villar F, García-González L. Levels of physical activity, motivation and barriers to participation in university students. J Sports Med Phys Fitness [Internet]. 2016 Oct;56(10):1239–48. Available from: http://www.ncbi.nlm.nih.gov/pubmed/26554859</w:t>
      </w:r>
    </w:p>
    <w:p w14:paraId="2D189CB5"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szCs w:val="24"/>
        </w:rPr>
      </w:pPr>
      <w:r w:rsidRPr="008E0D7F">
        <w:rPr>
          <w:rFonts w:ascii="Times New Roman" w:hAnsi="Times New Roman" w:cs="Times New Roman"/>
          <w:noProof/>
          <w:szCs w:val="24"/>
        </w:rPr>
        <w:t xml:space="preserve">13. </w:t>
      </w:r>
      <w:r w:rsidRPr="008E0D7F">
        <w:rPr>
          <w:rFonts w:ascii="Times New Roman" w:hAnsi="Times New Roman" w:cs="Times New Roman"/>
          <w:noProof/>
          <w:szCs w:val="24"/>
        </w:rPr>
        <w:tab/>
        <w:t>Calistri P, Decaro N, Lorusso A. SARS-CoV-2 Pandemic: Not the First, Not the Last. Microorganisms [Internet]. 2021 Feb 19;9(2):433. Available from: https://www.mdpi.com/2076-2607/9/2/433</w:t>
      </w:r>
    </w:p>
    <w:p w14:paraId="2440A3F2" w14:textId="77777777" w:rsidR="008E0D7F" w:rsidRPr="008E0D7F" w:rsidRDefault="008E0D7F" w:rsidP="008E0D7F">
      <w:pPr>
        <w:widowControl w:val="0"/>
        <w:autoSpaceDE w:val="0"/>
        <w:autoSpaceDN w:val="0"/>
        <w:adjustRightInd w:val="0"/>
        <w:spacing w:before="240" w:after="0"/>
        <w:ind w:left="640" w:hanging="640"/>
        <w:rPr>
          <w:rFonts w:ascii="Times New Roman" w:hAnsi="Times New Roman" w:cs="Times New Roman"/>
          <w:noProof/>
        </w:rPr>
      </w:pPr>
      <w:r w:rsidRPr="008E0D7F">
        <w:rPr>
          <w:rFonts w:ascii="Times New Roman" w:hAnsi="Times New Roman" w:cs="Times New Roman"/>
          <w:noProof/>
          <w:szCs w:val="24"/>
        </w:rPr>
        <w:t xml:space="preserve">14. </w:t>
      </w:r>
      <w:r w:rsidRPr="008E0D7F">
        <w:rPr>
          <w:rFonts w:ascii="Times New Roman" w:hAnsi="Times New Roman" w:cs="Times New Roman"/>
          <w:noProof/>
          <w:szCs w:val="24"/>
        </w:rPr>
        <w:tab/>
        <w:t>Silva DR, Werneck AO, Malta DC, Souza-Júnior PRB, Azevedo LO, Barros MBA, et al. Incidence of physical inactivity and excessive screen time during the first wave of the COVID-19 pandemic in Brazil: what are the most affected population groups? Ann Epidemiol [Internet]. 2021 Oct;62:30–5. Available from: https://linkinghub.elsevier.com/retrieve/pii/S1047279721000843</w:t>
      </w:r>
    </w:p>
    <w:p w14:paraId="10073E58" w14:textId="6F335C2D" w:rsidR="004A1052" w:rsidRDefault="004A1052" w:rsidP="008E0D7F">
      <w:pPr>
        <w:widowControl w:val="0"/>
        <w:autoSpaceDE w:val="0"/>
        <w:autoSpaceDN w:val="0"/>
        <w:adjustRightInd w:val="0"/>
        <w:spacing w:before="240" w:after="0"/>
        <w:ind w:left="640" w:hanging="640"/>
        <w:rPr>
          <w:rFonts w:ascii="Times New Roman" w:eastAsia="Times New Roman" w:hAnsi="Times New Roman" w:cs="Times New Roman"/>
          <w:color w:val="FF0000"/>
          <w:shd w:val="clear" w:color="auto" w:fill="FFFFFF"/>
          <w:lang w:val="en-US" w:eastAsia="tr-TR"/>
        </w:rPr>
      </w:pPr>
      <w:r>
        <w:rPr>
          <w:rFonts w:ascii="Times New Roman" w:eastAsia="Times New Roman" w:hAnsi="Times New Roman" w:cs="Times New Roman"/>
          <w:color w:val="FF0000"/>
          <w:shd w:val="clear" w:color="auto" w:fill="FFFFFF"/>
          <w:lang w:val="en-US" w:eastAsia="tr-TR"/>
        </w:rPr>
        <w:fldChar w:fldCharType="end"/>
      </w:r>
    </w:p>
    <w:sectPr w:rsidR="004A1052" w:rsidSect="008E75EF">
      <w:footerReference w:type="first" r:id="rId1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DA9F2" w14:textId="77777777" w:rsidR="00942F67" w:rsidRDefault="00942F67" w:rsidP="00A86FE2">
      <w:pPr>
        <w:spacing w:after="0"/>
      </w:pPr>
      <w:r>
        <w:separator/>
      </w:r>
    </w:p>
  </w:endnote>
  <w:endnote w:type="continuationSeparator" w:id="0">
    <w:p w14:paraId="22AC4696" w14:textId="77777777" w:rsidR="00942F67" w:rsidRDefault="00942F6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874841">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9549A" w14:textId="77777777" w:rsidR="00942F67" w:rsidRDefault="00942F67" w:rsidP="00A86FE2">
      <w:pPr>
        <w:spacing w:after="0"/>
      </w:pPr>
      <w:r>
        <w:separator/>
      </w:r>
    </w:p>
  </w:footnote>
  <w:footnote w:type="continuationSeparator" w:id="0">
    <w:p w14:paraId="7FD48996" w14:textId="77777777" w:rsidR="00942F67" w:rsidRDefault="00942F67" w:rsidP="00A86F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1CC53A3"/>
    <w:multiLevelType w:val="hybridMultilevel"/>
    <w:tmpl w:val="90BAB68E"/>
    <w:lvl w:ilvl="0" w:tplc="14B00330">
      <w:start w:val="1"/>
      <w:numFmt w:val="decimal"/>
      <w:lvlText w:val="Tablo %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2"/>
  </w:num>
  <w:num w:numId="6">
    <w:abstractNumId w:val="10"/>
  </w:num>
  <w:num w:numId="7">
    <w:abstractNumId w:val="4"/>
  </w:num>
  <w:num w:numId="8">
    <w:abstractNumId w:val="18"/>
  </w:num>
  <w:num w:numId="9">
    <w:abstractNumId w:val="27"/>
  </w:num>
  <w:num w:numId="10">
    <w:abstractNumId w:val="22"/>
  </w:num>
  <w:num w:numId="11">
    <w:abstractNumId w:val="12"/>
  </w:num>
  <w:num w:numId="12">
    <w:abstractNumId w:val="3"/>
  </w:num>
  <w:num w:numId="13">
    <w:abstractNumId w:val="23"/>
  </w:num>
  <w:num w:numId="14">
    <w:abstractNumId w:val="33"/>
  </w:num>
  <w:num w:numId="15">
    <w:abstractNumId w:val="35"/>
  </w:num>
  <w:num w:numId="16">
    <w:abstractNumId w:val="36"/>
  </w:num>
  <w:num w:numId="17">
    <w:abstractNumId w:val="13"/>
  </w:num>
  <w:num w:numId="18">
    <w:abstractNumId w:val="29"/>
  </w:num>
  <w:num w:numId="19">
    <w:abstractNumId w:val="31"/>
  </w:num>
  <w:num w:numId="20">
    <w:abstractNumId w:val="9"/>
  </w:num>
  <w:num w:numId="21">
    <w:abstractNumId w:val="19"/>
  </w:num>
  <w:num w:numId="22">
    <w:abstractNumId w:val="6"/>
  </w:num>
  <w:num w:numId="23">
    <w:abstractNumId w:val="26"/>
  </w:num>
  <w:num w:numId="24">
    <w:abstractNumId w:val="2"/>
  </w:num>
  <w:num w:numId="25">
    <w:abstractNumId w:val="7"/>
  </w:num>
  <w:num w:numId="26">
    <w:abstractNumId w:val="16"/>
  </w:num>
  <w:num w:numId="27">
    <w:abstractNumId w:val="15"/>
  </w:num>
  <w:num w:numId="28">
    <w:abstractNumId w:val="30"/>
  </w:num>
  <w:num w:numId="29">
    <w:abstractNumId w:val="34"/>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4"/>
  </w:num>
  <w:num w:numId="36">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23F"/>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CB9"/>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16BA"/>
    <w:rsid w:val="002E3230"/>
    <w:rsid w:val="002E45FC"/>
    <w:rsid w:val="002E5C5B"/>
    <w:rsid w:val="002E7AA4"/>
    <w:rsid w:val="002F4D18"/>
    <w:rsid w:val="002F4EF5"/>
    <w:rsid w:val="002F5562"/>
    <w:rsid w:val="002F6ACD"/>
    <w:rsid w:val="00300A5F"/>
    <w:rsid w:val="00304BED"/>
    <w:rsid w:val="00305082"/>
    <w:rsid w:val="003102CB"/>
    <w:rsid w:val="00310FEF"/>
    <w:rsid w:val="0031782F"/>
    <w:rsid w:val="00320AAB"/>
    <w:rsid w:val="003244FC"/>
    <w:rsid w:val="00325E9A"/>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1052"/>
    <w:rsid w:val="004A4C36"/>
    <w:rsid w:val="004A70B3"/>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178"/>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181"/>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AFC"/>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841"/>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0D7F"/>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2F6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06F"/>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28AB"/>
    <w:rsid w:val="00A937C1"/>
    <w:rsid w:val="00A93FBE"/>
    <w:rsid w:val="00A94A60"/>
    <w:rsid w:val="00A95134"/>
    <w:rsid w:val="00A9757A"/>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49B"/>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817D0"/>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1C2"/>
    <w:rsid w:val="00F1021D"/>
    <w:rsid w:val="00F10805"/>
    <w:rsid w:val="00F16963"/>
    <w:rsid w:val="00F30776"/>
    <w:rsid w:val="00F30DDD"/>
    <w:rsid w:val="00F31B01"/>
    <w:rsid w:val="00F31B8F"/>
    <w:rsid w:val="00F33455"/>
    <w:rsid w:val="00F34D25"/>
    <w:rsid w:val="00F35D2F"/>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aliases w:val="Tablo Yazısı,Ana Metin"/>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aliases w:val="Tablo Yazısı Char,Ana Metin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aliases w:val="Konu Başlığı Başlık 4,Tablo"/>
    <w:basedOn w:val="Normal"/>
    <w:link w:val="KonuBalChar"/>
    <w:uiPriority w:val="1"/>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aliases w:val="Konu Başlığı Başlık 4 Char,Tablo Char"/>
    <w:basedOn w:val="VarsaylanParagrafYazTipi"/>
    <w:link w:val="KonuBal"/>
    <w:uiPriority w:val="1"/>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uiPriority="1"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uiPriority="1"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aliases w:val="Tablo Yazısı,Ana Metin"/>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aliases w:val="Tablo Yazısı Char,Ana Metin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aliases w:val="Konu Başlığı Başlık 4,Tablo"/>
    <w:basedOn w:val="Normal"/>
    <w:link w:val="KonuBalChar"/>
    <w:uiPriority w:val="1"/>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aliases w:val="Konu Başlığı Başlık 4 Char,Tablo Char"/>
    <w:basedOn w:val="VarsaylanParagrafYazTipi"/>
    <w:link w:val="KonuBal"/>
    <w:uiPriority w:val="1"/>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BARRIERS!$B$1</c:f>
              <c:strCache>
                <c:ptCount val="1"/>
                <c:pt idx="0">
                  <c:v>Barriers Before Covid</c:v>
                </c:pt>
              </c:strCache>
            </c:strRef>
          </c:tx>
          <c:spPr>
            <a:solidFill>
              <a:schemeClr val="accent1"/>
            </a:solidFill>
            <a:ln>
              <a:noFill/>
            </a:ln>
            <a:effectLst/>
          </c:spPr>
          <c:invertIfNegative val="0"/>
          <c:cat>
            <c:strRef>
              <c:f>BARRIERS!$A$2:$A$14</c:f>
              <c:strCache>
                <c:ptCount val="13"/>
                <c:pt idx="0">
                  <c:v>Insufficient Time</c:v>
                </c:pt>
                <c:pt idx="1">
                  <c:v>No Equipments</c:v>
                </c:pt>
                <c:pt idx="2">
                  <c:v>No Access to Childcare</c:v>
                </c:pt>
                <c:pt idx="3">
                  <c:v>Lack of Motivation</c:v>
                </c:pt>
                <c:pt idx="4">
                  <c:v>Lack of Enjoyment</c:v>
                </c:pt>
                <c:pt idx="5">
                  <c:v>Insufficient Finances</c:v>
                </c:pt>
                <c:pt idx="6">
                  <c:v>Recent Injury</c:v>
                </c:pt>
                <c:pt idx="7">
                  <c:v>Fear of Injury</c:v>
                </c:pt>
                <c:pt idx="8">
                  <c:v>Lack of Support</c:v>
                </c:pt>
                <c:pt idx="9">
                  <c:v>Lack of Confidence</c:v>
                </c:pt>
                <c:pt idx="10">
                  <c:v>Increased Anxiety</c:v>
                </c:pt>
                <c:pt idx="11">
                  <c:v>No Barriers</c:v>
                </c:pt>
                <c:pt idx="12">
                  <c:v>Other</c:v>
                </c:pt>
              </c:strCache>
            </c:strRef>
          </c:cat>
          <c:val>
            <c:numRef>
              <c:f>BARRIERS!$B$2:$B$14</c:f>
              <c:numCache>
                <c:formatCode>General</c:formatCode>
                <c:ptCount val="13"/>
                <c:pt idx="0">
                  <c:v>42</c:v>
                </c:pt>
                <c:pt idx="1">
                  <c:v>26.5</c:v>
                </c:pt>
                <c:pt idx="2">
                  <c:v>2</c:v>
                </c:pt>
                <c:pt idx="3">
                  <c:v>50</c:v>
                </c:pt>
                <c:pt idx="4">
                  <c:v>19</c:v>
                </c:pt>
                <c:pt idx="5">
                  <c:v>29</c:v>
                </c:pt>
                <c:pt idx="6">
                  <c:v>4</c:v>
                </c:pt>
                <c:pt idx="7">
                  <c:v>5</c:v>
                </c:pt>
                <c:pt idx="8">
                  <c:v>17</c:v>
                </c:pt>
                <c:pt idx="9">
                  <c:v>18</c:v>
                </c:pt>
                <c:pt idx="10">
                  <c:v>20</c:v>
                </c:pt>
                <c:pt idx="11">
                  <c:v>36</c:v>
                </c:pt>
                <c:pt idx="12">
                  <c:v>9</c:v>
                </c:pt>
              </c:numCache>
            </c:numRef>
          </c:val>
          <c:extLst xmlns="http://schemas.openxmlformats.org/drawingml/2006/chart" xmlns:c16r2="http://schemas.microsoft.com/office/drawing/2015/06/chart">
            <c:ext xmlns:c16="http://schemas.microsoft.com/office/drawing/2014/chart" uri="{C3380CC4-5D6E-409C-BE32-E72D297353CC}">
              <c16:uniqueId val="{00000000-8EDB-844E-BBAF-A9AF57081B19}"/>
            </c:ext>
          </c:extLst>
        </c:ser>
        <c:ser>
          <c:idx val="1"/>
          <c:order val="1"/>
          <c:tx>
            <c:strRef>
              <c:f>BARRIERS!$C$1</c:f>
              <c:strCache>
                <c:ptCount val="1"/>
                <c:pt idx="0">
                  <c:v>Barriers During Covid</c:v>
                </c:pt>
              </c:strCache>
            </c:strRef>
          </c:tx>
          <c:spPr>
            <a:solidFill>
              <a:schemeClr val="accent3"/>
            </a:solidFill>
            <a:ln>
              <a:noFill/>
            </a:ln>
            <a:effectLst/>
          </c:spPr>
          <c:invertIfNegative val="0"/>
          <c:cat>
            <c:strRef>
              <c:f>BARRIERS!$A$2:$A$14</c:f>
              <c:strCache>
                <c:ptCount val="13"/>
                <c:pt idx="0">
                  <c:v>Insufficient Time</c:v>
                </c:pt>
                <c:pt idx="1">
                  <c:v>No Equipments</c:v>
                </c:pt>
                <c:pt idx="2">
                  <c:v>No Access to Childcare</c:v>
                </c:pt>
                <c:pt idx="3">
                  <c:v>Lack of Motivation</c:v>
                </c:pt>
                <c:pt idx="4">
                  <c:v>Lack of Enjoyment</c:v>
                </c:pt>
                <c:pt idx="5">
                  <c:v>Insufficient Finances</c:v>
                </c:pt>
                <c:pt idx="6">
                  <c:v>Recent Injury</c:v>
                </c:pt>
                <c:pt idx="7">
                  <c:v>Fear of Injury</c:v>
                </c:pt>
                <c:pt idx="8">
                  <c:v>Lack of Support</c:v>
                </c:pt>
                <c:pt idx="9">
                  <c:v>Lack of Confidence</c:v>
                </c:pt>
                <c:pt idx="10">
                  <c:v>Increased Anxiety</c:v>
                </c:pt>
                <c:pt idx="11">
                  <c:v>No Barriers</c:v>
                </c:pt>
                <c:pt idx="12">
                  <c:v>Other</c:v>
                </c:pt>
              </c:strCache>
            </c:strRef>
          </c:cat>
          <c:val>
            <c:numRef>
              <c:f>BARRIERS!$C$2:$C$14</c:f>
              <c:numCache>
                <c:formatCode>General</c:formatCode>
                <c:ptCount val="13"/>
                <c:pt idx="0">
                  <c:v>33.5</c:v>
                </c:pt>
                <c:pt idx="1">
                  <c:v>27</c:v>
                </c:pt>
                <c:pt idx="2">
                  <c:v>3.5</c:v>
                </c:pt>
                <c:pt idx="3">
                  <c:v>45</c:v>
                </c:pt>
                <c:pt idx="4">
                  <c:v>19</c:v>
                </c:pt>
                <c:pt idx="5">
                  <c:v>16</c:v>
                </c:pt>
                <c:pt idx="6">
                  <c:v>5</c:v>
                </c:pt>
                <c:pt idx="7">
                  <c:v>6</c:v>
                </c:pt>
                <c:pt idx="8">
                  <c:v>19</c:v>
                </c:pt>
                <c:pt idx="9">
                  <c:v>12</c:v>
                </c:pt>
                <c:pt idx="10">
                  <c:v>20</c:v>
                </c:pt>
                <c:pt idx="11">
                  <c:v>28</c:v>
                </c:pt>
                <c:pt idx="12">
                  <c:v>9</c:v>
                </c:pt>
              </c:numCache>
            </c:numRef>
          </c:val>
          <c:extLst xmlns="http://schemas.openxmlformats.org/drawingml/2006/chart" xmlns:c16r2="http://schemas.microsoft.com/office/drawing/2015/06/chart">
            <c:ext xmlns:c16="http://schemas.microsoft.com/office/drawing/2014/chart" uri="{C3380CC4-5D6E-409C-BE32-E72D297353CC}">
              <c16:uniqueId val="{00000001-8EDB-844E-BBAF-A9AF57081B19}"/>
            </c:ext>
          </c:extLst>
        </c:ser>
        <c:dLbls>
          <c:showLegendKey val="0"/>
          <c:showVal val="0"/>
          <c:showCatName val="0"/>
          <c:showSerName val="0"/>
          <c:showPercent val="0"/>
          <c:showBubbleSize val="0"/>
        </c:dLbls>
        <c:gapWidth val="219"/>
        <c:overlap val="-27"/>
        <c:axId val="150825216"/>
        <c:axId val="150827008"/>
      </c:barChart>
      <c:catAx>
        <c:axId val="15082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0827008"/>
        <c:crosses val="autoZero"/>
        <c:auto val="1"/>
        <c:lblAlgn val="ctr"/>
        <c:lblOffset val="100"/>
        <c:noMultiLvlLbl val="0"/>
      </c:catAx>
      <c:valAx>
        <c:axId val="1508270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tr-TR" sz="1000">
                    <a:solidFill>
                      <a:schemeClr val="tx1"/>
                    </a:solidFill>
                    <a:latin typeface="Times New Roman" pitchFamily="18" charset="0"/>
                    <a:cs typeface="Times New Roman" pitchFamily="18" charset="0"/>
                  </a:rPr>
                  <a:t>Frequency</a:t>
                </a:r>
                <a:r>
                  <a:rPr lang="tr-TR" sz="1000" baseline="0">
                    <a:solidFill>
                      <a:schemeClr val="tx1"/>
                    </a:solidFill>
                    <a:latin typeface="Times New Roman" pitchFamily="18" charset="0"/>
                    <a:cs typeface="Times New Roman" pitchFamily="18" charset="0"/>
                  </a:rPr>
                  <a:t> (% of Respondents</a:t>
                </a:r>
                <a:r>
                  <a:rPr lang="tr-TR" sz="1000">
                    <a:solidFill>
                      <a:schemeClr val="tx1"/>
                    </a:solidFill>
                    <a:latin typeface="Times New Roman" pitchFamily="18" charset="0"/>
                    <a:cs typeface="Times New Roman" pitchFamily="18" charset="0"/>
                  </a:rPr>
                  <a: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0825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tr-TR"/>
        </a:p>
      </c:txPr>
    </c:legend>
    <c:plotVisOnly val="1"/>
    <c:dispBlanksAs val="gap"/>
    <c:showDLblsOverMax val="0"/>
    <c:extLst xmlns="http://schemas.openxmlformats.org/drawingml/2006/char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MOTİVATORS!$B$1</c:f>
              <c:strCache>
                <c:ptCount val="1"/>
                <c:pt idx="0">
                  <c:v>Motivators Before Covid</c:v>
                </c:pt>
              </c:strCache>
            </c:strRef>
          </c:tx>
          <c:spPr>
            <a:solidFill>
              <a:schemeClr val="accent1"/>
            </a:solidFill>
            <a:ln>
              <a:noFill/>
            </a:ln>
            <a:effectLst/>
          </c:spPr>
          <c:invertIfNegative val="0"/>
          <c:cat>
            <c:strRef>
              <c:f>MOTİVATORS!$A$2:$A$12</c:f>
              <c:strCache>
                <c:ptCount val="11"/>
                <c:pt idx="0">
                  <c:v>Weight Control</c:v>
                </c:pt>
                <c:pt idx="1">
                  <c:v>HCP Reccomended</c:v>
                </c:pt>
                <c:pt idx="2">
                  <c:v>Strength Building</c:v>
                </c:pt>
                <c:pt idx="3">
                  <c:v>Increase Energy</c:v>
                </c:pt>
                <c:pt idx="4">
                  <c:v>Anxiety Relief</c:v>
                </c:pt>
                <c:pt idx="5">
                  <c:v>Stress Reduction</c:v>
                </c:pt>
                <c:pt idx="6">
                  <c:v>Social Engagement</c:v>
                </c:pt>
                <c:pt idx="7">
                  <c:v>Enjoyment</c:v>
                </c:pt>
                <c:pt idx="8">
                  <c:v>Sports Training</c:v>
                </c:pt>
                <c:pt idx="9">
                  <c:v>No Motivation</c:v>
                </c:pt>
                <c:pt idx="10">
                  <c:v>Other</c:v>
                </c:pt>
              </c:strCache>
            </c:strRef>
          </c:cat>
          <c:val>
            <c:numRef>
              <c:f>MOTİVATORS!$B$2:$B$12</c:f>
              <c:numCache>
                <c:formatCode>General</c:formatCode>
                <c:ptCount val="11"/>
                <c:pt idx="0">
                  <c:v>53.2</c:v>
                </c:pt>
                <c:pt idx="1">
                  <c:v>16.2</c:v>
                </c:pt>
                <c:pt idx="2">
                  <c:v>54.7</c:v>
                </c:pt>
                <c:pt idx="3">
                  <c:v>47.9</c:v>
                </c:pt>
                <c:pt idx="4">
                  <c:v>39.6</c:v>
                </c:pt>
                <c:pt idx="5">
                  <c:v>52.8</c:v>
                </c:pt>
                <c:pt idx="6">
                  <c:v>21.2</c:v>
                </c:pt>
                <c:pt idx="7">
                  <c:v>38.299999999999997</c:v>
                </c:pt>
                <c:pt idx="8">
                  <c:v>9.5</c:v>
                </c:pt>
                <c:pt idx="9">
                  <c:v>11</c:v>
                </c:pt>
                <c:pt idx="10">
                  <c:v>0.8</c:v>
                </c:pt>
              </c:numCache>
            </c:numRef>
          </c:val>
          <c:extLst xmlns="http://schemas.openxmlformats.org/drawingml/2006/chart" xmlns:c16r2="http://schemas.microsoft.com/office/drawing/2015/06/chart">
            <c:ext xmlns:c16="http://schemas.microsoft.com/office/drawing/2014/chart" uri="{C3380CC4-5D6E-409C-BE32-E72D297353CC}">
              <c16:uniqueId val="{00000000-3BE1-1642-B9BA-2C0E032073FD}"/>
            </c:ext>
          </c:extLst>
        </c:ser>
        <c:ser>
          <c:idx val="1"/>
          <c:order val="1"/>
          <c:tx>
            <c:strRef>
              <c:f>MOTİVATORS!$C$1</c:f>
              <c:strCache>
                <c:ptCount val="1"/>
                <c:pt idx="0">
                  <c:v>Motivators During Covid</c:v>
                </c:pt>
              </c:strCache>
            </c:strRef>
          </c:tx>
          <c:spPr>
            <a:solidFill>
              <a:schemeClr val="accent3"/>
            </a:solidFill>
            <a:ln>
              <a:noFill/>
            </a:ln>
            <a:effectLst/>
          </c:spPr>
          <c:invertIfNegative val="0"/>
          <c:cat>
            <c:strRef>
              <c:f>MOTİVATORS!$A$2:$A$12</c:f>
              <c:strCache>
                <c:ptCount val="11"/>
                <c:pt idx="0">
                  <c:v>Weight Control</c:v>
                </c:pt>
                <c:pt idx="1">
                  <c:v>HCP Reccomended</c:v>
                </c:pt>
                <c:pt idx="2">
                  <c:v>Strength Building</c:v>
                </c:pt>
                <c:pt idx="3">
                  <c:v>Increase Energy</c:v>
                </c:pt>
                <c:pt idx="4">
                  <c:v>Anxiety Relief</c:v>
                </c:pt>
                <c:pt idx="5">
                  <c:v>Stress Reduction</c:v>
                </c:pt>
                <c:pt idx="6">
                  <c:v>Social Engagement</c:v>
                </c:pt>
                <c:pt idx="7">
                  <c:v>Enjoyment</c:v>
                </c:pt>
                <c:pt idx="8">
                  <c:v>Sports Training</c:v>
                </c:pt>
                <c:pt idx="9">
                  <c:v>No Motivation</c:v>
                </c:pt>
                <c:pt idx="10">
                  <c:v>Other</c:v>
                </c:pt>
              </c:strCache>
            </c:strRef>
          </c:cat>
          <c:val>
            <c:numRef>
              <c:f>MOTİVATORS!$C$2:$C$12</c:f>
              <c:numCache>
                <c:formatCode>General</c:formatCode>
                <c:ptCount val="11"/>
                <c:pt idx="0">
                  <c:v>55.1</c:v>
                </c:pt>
                <c:pt idx="1">
                  <c:v>21.1</c:v>
                </c:pt>
                <c:pt idx="2">
                  <c:v>57.7</c:v>
                </c:pt>
                <c:pt idx="3">
                  <c:v>47.5</c:v>
                </c:pt>
                <c:pt idx="4">
                  <c:v>43.8</c:v>
                </c:pt>
                <c:pt idx="5">
                  <c:v>55.1</c:v>
                </c:pt>
                <c:pt idx="6">
                  <c:v>18.600000000000001</c:v>
                </c:pt>
                <c:pt idx="7">
                  <c:v>34.5</c:v>
                </c:pt>
                <c:pt idx="8">
                  <c:v>9.8000000000000007</c:v>
                </c:pt>
                <c:pt idx="9">
                  <c:v>8.6999999999999993</c:v>
                </c:pt>
                <c:pt idx="10">
                  <c:v>1.5</c:v>
                </c:pt>
              </c:numCache>
            </c:numRef>
          </c:val>
          <c:extLst xmlns="http://schemas.openxmlformats.org/drawingml/2006/chart" xmlns:c16r2="http://schemas.microsoft.com/office/drawing/2015/06/chart">
            <c:ext xmlns:c16="http://schemas.microsoft.com/office/drawing/2014/chart" uri="{C3380CC4-5D6E-409C-BE32-E72D297353CC}">
              <c16:uniqueId val="{00000001-3BE1-1642-B9BA-2C0E032073FD}"/>
            </c:ext>
          </c:extLst>
        </c:ser>
        <c:dLbls>
          <c:showLegendKey val="0"/>
          <c:showVal val="0"/>
          <c:showCatName val="0"/>
          <c:showSerName val="0"/>
          <c:showPercent val="0"/>
          <c:showBubbleSize val="0"/>
        </c:dLbls>
        <c:gapWidth val="219"/>
        <c:overlap val="-27"/>
        <c:axId val="151062784"/>
        <c:axId val="151072768"/>
      </c:barChart>
      <c:catAx>
        <c:axId val="15106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151072768"/>
        <c:crosses val="autoZero"/>
        <c:auto val="1"/>
        <c:lblAlgn val="ctr"/>
        <c:lblOffset val="100"/>
        <c:noMultiLvlLbl val="0"/>
      </c:catAx>
      <c:valAx>
        <c:axId val="1510727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tr-TR" sz="1000" b="0" i="0" baseline="0">
                    <a:solidFill>
                      <a:schemeClr val="tx1"/>
                    </a:solidFill>
                    <a:effectLst/>
                    <a:latin typeface="Times New Roman" pitchFamily="18" charset="0"/>
                    <a:cs typeface="Times New Roman" pitchFamily="18" charset="0"/>
                  </a:rPr>
                  <a:t>Frequency (% of Respondents)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106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tr-TR"/>
        </a:p>
      </c:txPr>
    </c:legend>
    <c:plotVisOnly val="1"/>
    <c:dispBlanksAs val="gap"/>
    <c:showDLblsOverMax val="0"/>
    <c:extLst xmlns="http://schemas.openxmlformats.org/drawingml/2006/char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92E3775-CF92-48AB-8565-DC158668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Pages>
  <Words>8616</Words>
  <Characters>49117</Characters>
  <Application>Microsoft Office Word</Application>
  <DocSecurity>0</DocSecurity>
  <Lines>409</Lines>
  <Paragraphs>115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Fzt. Furkan Özdemir</cp:lastModifiedBy>
  <cp:revision>30</cp:revision>
  <cp:lastPrinted>2020-01-30T11:06:00Z</cp:lastPrinted>
  <dcterms:created xsi:type="dcterms:W3CDTF">2021-04-02T09:32:00Z</dcterms:created>
  <dcterms:modified xsi:type="dcterms:W3CDTF">2022-08-15T12:26:00Z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de9dcfc4-21a6-3713-8d2c-f7735c1825fe</vt:lpwstr>
  </property>
  <property fmtid="{D5CDD505-2E9C-101B-9397-08002B2CF9AE}" pid="24" name="Mendeley Citation Style_1">
    <vt:lpwstr>http://www.zotero.org/styles/vancouver</vt:lpwstr>
  </property>
</Properties>
</file>